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F9498" w14:textId="77777777" w:rsidR="00715914" w:rsidRPr="006D52A9" w:rsidRDefault="00DA186E" w:rsidP="00B05CF4">
      <w:pPr>
        <w:rPr>
          <w:sz w:val="28"/>
        </w:rPr>
      </w:pPr>
      <w:r w:rsidRPr="006D52A9">
        <w:rPr>
          <w:noProof/>
          <w:lang w:eastAsia="en-AU"/>
        </w:rPr>
        <w:drawing>
          <wp:inline distT="0" distB="0" distL="0" distR="0" wp14:anchorId="108644B1" wp14:editId="0A0606A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C44152" w14:textId="77777777" w:rsidR="00FC57E7" w:rsidRPr="00A91628" w:rsidRDefault="00FC57E7" w:rsidP="00FC57E7">
      <w:pPr>
        <w:rPr>
          <w:sz w:val="20"/>
          <w:lang w:eastAsia="en-AU"/>
        </w:rPr>
      </w:pPr>
    </w:p>
    <w:p w14:paraId="0C0A9FD0" w14:textId="77777777" w:rsidR="00FC57E7" w:rsidRPr="006D52A9" w:rsidRDefault="00AC60F6" w:rsidP="00FC57E7">
      <w:pPr>
        <w:rPr>
          <w:b/>
          <w:sz w:val="30"/>
          <w:szCs w:val="28"/>
          <w:lang w:eastAsia="en-AU"/>
        </w:rPr>
      </w:pPr>
      <w:r w:rsidRPr="006D52A9">
        <w:rPr>
          <w:b/>
          <w:sz w:val="30"/>
          <w:szCs w:val="28"/>
          <w:lang w:eastAsia="en-AU"/>
        </w:rPr>
        <w:t xml:space="preserve">PB </w:t>
      </w:r>
      <w:r w:rsidR="008572AB" w:rsidRPr="006D52A9">
        <w:rPr>
          <w:b/>
          <w:sz w:val="30"/>
          <w:szCs w:val="28"/>
          <w:lang w:eastAsia="en-AU"/>
        </w:rPr>
        <w:t>27</w:t>
      </w:r>
      <w:r w:rsidRPr="006D52A9">
        <w:rPr>
          <w:b/>
          <w:sz w:val="30"/>
          <w:szCs w:val="28"/>
          <w:lang w:eastAsia="en-AU"/>
        </w:rPr>
        <w:t xml:space="preserve"> of </w:t>
      </w:r>
      <w:r w:rsidR="00FC57E7" w:rsidRPr="006D52A9">
        <w:rPr>
          <w:b/>
          <w:sz w:val="30"/>
          <w:szCs w:val="28"/>
          <w:lang w:eastAsia="en-AU"/>
        </w:rPr>
        <w:t>202</w:t>
      </w:r>
      <w:r w:rsidR="00727AE8" w:rsidRPr="006D52A9">
        <w:rPr>
          <w:b/>
          <w:sz w:val="30"/>
          <w:szCs w:val="28"/>
          <w:lang w:eastAsia="en-AU"/>
        </w:rPr>
        <w:t>1</w:t>
      </w:r>
    </w:p>
    <w:p w14:paraId="0EA1AACF" w14:textId="77777777" w:rsidR="00FC57E7" w:rsidRPr="00A91628" w:rsidRDefault="00FC57E7" w:rsidP="00FC57E7">
      <w:pPr>
        <w:rPr>
          <w:sz w:val="20"/>
        </w:rPr>
      </w:pPr>
    </w:p>
    <w:p w14:paraId="6B227C2C" w14:textId="77777777" w:rsidR="00715914" w:rsidRPr="006D52A9" w:rsidRDefault="00190D02" w:rsidP="00715914">
      <w:pPr>
        <w:pStyle w:val="ShortT"/>
      </w:pPr>
      <w:r w:rsidRPr="006D52A9">
        <w:t>National Health (Highly Specialised Drugs P</w:t>
      </w:r>
      <w:r w:rsidR="00C2796F" w:rsidRPr="006D52A9">
        <w:t>rogram) Special Arrangement 2021</w:t>
      </w:r>
    </w:p>
    <w:p w14:paraId="25028DEF" w14:textId="77777777" w:rsidR="00E30043" w:rsidRPr="006D52A9" w:rsidRDefault="00E30043" w:rsidP="00DC35C8">
      <w:pPr>
        <w:pStyle w:val="SignCoverPageStart"/>
        <w:rPr>
          <w:szCs w:val="22"/>
        </w:rPr>
      </w:pPr>
      <w:r w:rsidRPr="006D52A9">
        <w:rPr>
          <w:szCs w:val="22"/>
        </w:rPr>
        <w:t xml:space="preserve">I, </w:t>
      </w:r>
      <w:r w:rsidR="00BB225C" w:rsidRPr="006D52A9">
        <w:rPr>
          <w:szCs w:val="22"/>
        </w:rPr>
        <w:t>Adriana Platona</w:t>
      </w:r>
      <w:r w:rsidRPr="006D52A9">
        <w:rPr>
          <w:szCs w:val="22"/>
        </w:rPr>
        <w:t>,</w:t>
      </w:r>
      <w:r w:rsidR="00083CB3" w:rsidRPr="006D52A9">
        <w:rPr>
          <w:szCs w:val="22"/>
        </w:rPr>
        <w:t xml:space="preserve"> as delegate of</w:t>
      </w:r>
      <w:r w:rsidRPr="006D52A9">
        <w:rPr>
          <w:szCs w:val="22"/>
        </w:rPr>
        <w:t xml:space="preserve"> </w:t>
      </w:r>
      <w:r w:rsidR="00DC1FDE" w:rsidRPr="006D52A9">
        <w:rPr>
          <w:szCs w:val="22"/>
        </w:rPr>
        <w:t xml:space="preserve">the </w:t>
      </w:r>
      <w:r w:rsidRPr="006D52A9">
        <w:rPr>
          <w:szCs w:val="22"/>
        </w:rPr>
        <w:t>Minister for Health</w:t>
      </w:r>
      <w:r w:rsidR="00110E4B" w:rsidRPr="006D52A9">
        <w:rPr>
          <w:szCs w:val="22"/>
        </w:rPr>
        <w:t xml:space="preserve"> and Aged Care</w:t>
      </w:r>
      <w:r w:rsidRPr="006D52A9">
        <w:rPr>
          <w:szCs w:val="22"/>
        </w:rPr>
        <w:t>, make the following special arrangement.</w:t>
      </w:r>
    </w:p>
    <w:p w14:paraId="6E0BDDAB" w14:textId="63A3F248" w:rsidR="00E30043" w:rsidRPr="006D52A9" w:rsidRDefault="00E30043" w:rsidP="00DC35C8">
      <w:pPr>
        <w:keepNext/>
        <w:spacing w:before="300" w:line="240" w:lineRule="atLeast"/>
        <w:ind w:right="397"/>
        <w:jc w:val="both"/>
        <w:rPr>
          <w:szCs w:val="22"/>
        </w:rPr>
      </w:pPr>
      <w:r w:rsidRPr="006D52A9">
        <w:rPr>
          <w:szCs w:val="22"/>
        </w:rPr>
        <w:t>Dated</w:t>
      </w:r>
      <w:r w:rsidR="005722DF">
        <w:rPr>
          <w:szCs w:val="22"/>
        </w:rPr>
        <w:t xml:space="preserve"> </w:t>
      </w:r>
      <w:r w:rsidRPr="006D52A9">
        <w:rPr>
          <w:szCs w:val="22"/>
        </w:rPr>
        <w:fldChar w:fldCharType="begin"/>
      </w:r>
      <w:r w:rsidRPr="006D52A9">
        <w:rPr>
          <w:szCs w:val="22"/>
        </w:rPr>
        <w:instrText xml:space="preserve"> DOCPROPERTY  DateMade </w:instrText>
      </w:r>
      <w:r w:rsidRPr="006D52A9">
        <w:rPr>
          <w:szCs w:val="22"/>
        </w:rPr>
        <w:fldChar w:fldCharType="separate"/>
      </w:r>
      <w:r w:rsidR="005722DF">
        <w:rPr>
          <w:szCs w:val="22"/>
        </w:rPr>
        <w:t>25 March 2021</w:t>
      </w:r>
      <w:r w:rsidRPr="006D52A9">
        <w:rPr>
          <w:szCs w:val="22"/>
        </w:rPr>
        <w:fldChar w:fldCharType="end"/>
      </w:r>
      <w:bookmarkStart w:id="0" w:name="_GoBack"/>
      <w:bookmarkEnd w:id="0"/>
    </w:p>
    <w:p w14:paraId="5843CCC6" w14:textId="77777777" w:rsidR="00E30043" w:rsidRPr="006D52A9" w:rsidRDefault="00BB225C" w:rsidP="00DC35C8">
      <w:pPr>
        <w:keepNext/>
        <w:tabs>
          <w:tab w:val="left" w:pos="3402"/>
        </w:tabs>
        <w:spacing w:before="1440" w:line="300" w:lineRule="atLeast"/>
        <w:ind w:right="397"/>
        <w:rPr>
          <w:szCs w:val="22"/>
        </w:rPr>
      </w:pPr>
      <w:r w:rsidRPr="006D52A9">
        <w:rPr>
          <w:szCs w:val="22"/>
        </w:rPr>
        <w:t>Adriana Platona</w:t>
      </w:r>
      <w:r w:rsidR="00083CB3" w:rsidRPr="006D52A9">
        <w:rPr>
          <w:b/>
          <w:szCs w:val="22"/>
        </w:rPr>
        <w:br/>
      </w:r>
      <w:r w:rsidRPr="006D52A9">
        <w:rPr>
          <w:szCs w:val="22"/>
        </w:rPr>
        <w:t>First Assistant Secretary</w:t>
      </w:r>
      <w:r w:rsidRPr="006D52A9">
        <w:rPr>
          <w:szCs w:val="22"/>
        </w:rPr>
        <w:br/>
        <w:t>Technology Assessment and Access Division</w:t>
      </w:r>
    </w:p>
    <w:p w14:paraId="3C13B83F" w14:textId="77777777" w:rsidR="00E30043" w:rsidRPr="006D52A9" w:rsidRDefault="00083CB3" w:rsidP="00DC35C8">
      <w:pPr>
        <w:pStyle w:val="SignCoverPageEnd"/>
        <w:rPr>
          <w:szCs w:val="22"/>
        </w:rPr>
      </w:pPr>
      <w:r w:rsidRPr="006D52A9">
        <w:rPr>
          <w:szCs w:val="22"/>
        </w:rPr>
        <w:t xml:space="preserve">Department of </w:t>
      </w:r>
      <w:r w:rsidR="00E30043" w:rsidRPr="006D52A9">
        <w:rPr>
          <w:szCs w:val="22"/>
        </w:rPr>
        <w:t>Health</w:t>
      </w:r>
    </w:p>
    <w:p w14:paraId="5B902D70" w14:textId="77777777" w:rsidR="00E30043" w:rsidRPr="006D52A9" w:rsidRDefault="00E30043" w:rsidP="00DC35C8"/>
    <w:p w14:paraId="452C18C0" w14:textId="77777777" w:rsidR="00715914" w:rsidRPr="00A757E4" w:rsidRDefault="00715914" w:rsidP="00715914">
      <w:pPr>
        <w:pStyle w:val="Header"/>
        <w:tabs>
          <w:tab w:val="clear" w:pos="4150"/>
          <w:tab w:val="clear" w:pos="8307"/>
        </w:tabs>
      </w:pPr>
      <w:r w:rsidRPr="00A757E4">
        <w:rPr>
          <w:rStyle w:val="CharChapNo"/>
        </w:rPr>
        <w:t xml:space="preserve"> </w:t>
      </w:r>
      <w:r w:rsidRPr="00A757E4">
        <w:rPr>
          <w:rStyle w:val="CharChapText"/>
        </w:rPr>
        <w:t xml:space="preserve"> </w:t>
      </w:r>
    </w:p>
    <w:p w14:paraId="47BE4947" w14:textId="77777777" w:rsidR="00715914" w:rsidRPr="00A757E4" w:rsidRDefault="00715914" w:rsidP="00715914">
      <w:pPr>
        <w:pStyle w:val="Header"/>
        <w:tabs>
          <w:tab w:val="clear" w:pos="4150"/>
          <w:tab w:val="clear" w:pos="8307"/>
        </w:tabs>
      </w:pPr>
      <w:r w:rsidRPr="00A757E4">
        <w:rPr>
          <w:rStyle w:val="CharPartNo"/>
        </w:rPr>
        <w:t xml:space="preserve"> </w:t>
      </w:r>
      <w:r w:rsidRPr="00A757E4">
        <w:rPr>
          <w:rStyle w:val="CharPartText"/>
        </w:rPr>
        <w:t xml:space="preserve"> </w:t>
      </w:r>
    </w:p>
    <w:p w14:paraId="6A0E063A" w14:textId="77777777" w:rsidR="00715914" w:rsidRPr="00A757E4" w:rsidRDefault="00715914" w:rsidP="00715914">
      <w:pPr>
        <w:pStyle w:val="Header"/>
        <w:tabs>
          <w:tab w:val="clear" w:pos="4150"/>
          <w:tab w:val="clear" w:pos="8307"/>
        </w:tabs>
      </w:pPr>
      <w:r w:rsidRPr="00A757E4">
        <w:rPr>
          <w:rStyle w:val="CharDivNo"/>
        </w:rPr>
        <w:t xml:space="preserve"> </w:t>
      </w:r>
      <w:r w:rsidRPr="00A757E4">
        <w:rPr>
          <w:rStyle w:val="CharDivText"/>
        </w:rPr>
        <w:t xml:space="preserve"> </w:t>
      </w:r>
    </w:p>
    <w:p w14:paraId="3711CC51" w14:textId="77777777" w:rsidR="00715914" w:rsidRPr="006D52A9" w:rsidRDefault="00715914" w:rsidP="00715914">
      <w:pPr>
        <w:sectPr w:rsidR="00715914" w:rsidRPr="006D52A9" w:rsidSect="00C7189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0D812D2" w14:textId="77777777" w:rsidR="00F67BCA" w:rsidRPr="006D52A9" w:rsidRDefault="00715914" w:rsidP="00715914">
      <w:pPr>
        <w:outlineLvl w:val="0"/>
        <w:rPr>
          <w:sz w:val="36"/>
        </w:rPr>
      </w:pPr>
      <w:r w:rsidRPr="006D52A9">
        <w:rPr>
          <w:sz w:val="36"/>
        </w:rPr>
        <w:lastRenderedPageBreak/>
        <w:t>Contents</w:t>
      </w:r>
    </w:p>
    <w:p w14:paraId="3C56E27F" w14:textId="6895B073" w:rsidR="00A757E4" w:rsidRDefault="00A757E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757E4">
        <w:rPr>
          <w:b w:val="0"/>
          <w:noProof/>
          <w:sz w:val="18"/>
        </w:rPr>
        <w:tab/>
      </w:r>
      <w:r w:rsidRPr="00A757E4">
        <w:rPr>
          <w:b w:val="0"/>
          <w:noProof/>
          <w:sz w:val="18"/>
        </w:rPr>
        <w:fldChar w:fldCharType="begin"/>
      </w:r>
      <w:r w:rsidRPr="00A757E4">
        <w:rPr>
          <w:b w:val="0"/>
          <w:noProof/>
          <w:sz w:val="18"/>
        </w:rPr>
        <w:instrText xml:space="preserve"> PAGEREF _Toc66968093 \h </w:instrText>
      </w:r>
      <w:r w:rsidRPr="00A757E4">
        <w:rPr>
          <w:b w:val="0"/>
          <w:noProof/>
          <w:sz w:val="18"/>
        </w:rPr>
      </w:r>
      <w:r w:rsidRPr="00A757E4">
        <w:rPr>
          <w:b w:val="0"/>
          <w:noProof/>
          <w:sz w:val="18"/>
        </w:rPr>
        <w:fldChar w:fldCharType="separate"/>
      </w:r>
      <w:r w:rsidR="005722DF">
        <w:rPr>
          <w:b w:val="0"/>
          <w:noProof/>
          <w:sz w:val="18"/>
        </w:rPr>
        <w:t>1</w:t>
      </w:r>
      <w:r w:rsidRPr="00A757E4">
        <w:rPr>
          <w:b w:val="0"/>
          <w:noProof/>
          <w:sz w:val="18"/>
        </w:rPr>
        <w:fldChar w:fldCharType="end"/>
      </w:r>
    </w:p>
    <w:p w14:paraId="6C3C04AA" w14:textId="5E819ABB" w:rsidR="00A757E4" w:rsidRDefault="00A757E4">
      <w:pPr>
        <w:pStyle w:val="TOC3"/>
        <w:rPr>
          <w:rFonts w:asciiTheme="minorHAnsi" w:eastAsiaTheme="minorEastAsia" w:hAnsiTheme="minorHAnsi" w:cstheme="minorBidi"/>
          <w:b w:val="0"/>
          <w:noProof/>
          <w:kern w:val="0"/>
          <w:szCs w:val="22"/>
        </w:rPr>
      </w:pPr>
      <w:r>
        <w:rPr>
          <w:noProof/>
        </w:rPr>
        <w:t>Division 1—General</w:t>
      </w:r>
      <w:r w:rsidRPr="00A757E4">
        <w:rPr>
          <w:b w:val="0"/>
          <w:noProof/>
          <w:sz w:val="18"/>
        </w:rPr>
        <w:tab/>
      </w:r>
      <w:r w:rsidRPr="00A757E4">
        <w:rPr>
          <w:b w:val="0"/>
          <w:noProof/>
          <w:sz w:val="18"/>
        </w:rPr>
        <w:fldChar w:fldCharType="begin"/>
      </w:r>
      <w:r w:rsidRPr="00A757E4">
        <w:rPr>
          <w:b w:val="0"/>
          <w:noProof/>
          <w:sz w:val="18"/>
        </w:rPr>
        <w:instrText xml:space="preserve"> PAGEREF _Toc66968094 \h </w:instrText>
      </w:r>
      <w:r w:rsidRPr="00A757E4">
        <w:rPr>
          <w:b w:val="0"/>
          <w:noProof/>
          <w:sz w:val="18"/>
        </w:rPr>
      </w:r>
      <w:r w:rsidRPr="00A757E4">
        <w:rPr>
          <w:b w:val="0"/>
          <w:noProof/>
          <w:sz w:val="18"/>
        </w:rPr>
        <w:fldChar w:fldCharType="separate"/>
      </w:r>
      <w:r w:rsidR="005722DF">
        <w:rPr>
          <w:b w:val="0"/>
          <w:noProof/>
          <w:sz w:val="18"/>
        </w:rPr>
        <w:t>1</w:t>
      </w:r>
      <w:r w:rsidRPr="00A757E4">
        <w:rPr>
          <w:b w:val="0"/>
          <w:noProof/>
          <w:sz w:val="18"/>
        </w:rPr>
        <w:fldChar w:fldCharType="end"/>
      </w:r>
    </w:p>
    <w:p w14:paraId="558BE87D" w14:textId="54157924" w:rsidR="00A757E4" w:rsidRDefault="00A757E4">
      <w:pPr>
        <w:pStyle w:val="TOC5"/>
        <w:rPr>
          <w:rFonts w:asciiTheme="minorHAnsi" w:eastAsiaTheme="minorEastAsia" w:hAnsiTheme="minorHAnsi" w:cstheme="minorBidi"/>
          <w:noProof/>
          <w:kern w:val="0"/>
          <w:sz w:val="22"/>
          <w:szCs w:val="22"/>
        </w:rPr>
      </w:pPr>
      <w:r>
        <w:rPr>
          <w:noProof/>
        </w:rPr>
        <w:t>1</w:t>
      </w:r>
      <w:r>
        <w:rPr>
          <w:noProof/>
        </w:rPr>
        <w:tab/>
        <w:t>Name</w:t>
      </w:r>
      <w:r w:rsidRPr="00A757E4">
        <w:rPr>
          <w:noProof/>
        </w:rPr>
        <w:tab/>
      </w:r>
      <w:r w:rsidRPr="00A757E4">
        <w:rPr>
          <w:noProof/>
        </w:rPr>
        <w:fldChar w:fldCharType="begin"/>
      </w:r>
      <w:r w:rsidRPr="00A757E4">
        <w:rPr>
          <w:noProof/>
        </w:rPr>
        <w:instrText xml:space="preserve"> PAGEREF _Toc66968095 \h </w:instrText>
      </w:r>
      <w:r w:rsidRPr="00A757E4">
        <w:rPr>
          <w:noProof/>
        </w:rPr>
      </w:r>
      <w:r w:rsidRPr="00A757E4">
        <w:rPr>
          <w:noProof/>
        </w:rPr>
        <w:fldChar w:fldCharType="separate"/>
      </w:r>
      <w:r w:rsidR="005722DF">
        <w:rPr>
          <w:noProof/>
        </w:rPr>
        <w:t>1</w:t>
      </w:r>
      <w:r w:rsidRPr="00A757E4">
        <w:rPr>
          <w:noProof/>
        </w:rPr>
        <w:fldChar w:fldCharType="end"/>
      </w:r>
    </w:p>
    <w:p w14:paraId="7362F1A0" w14:textId="4F014FD7" w:rsidR="00A757E4" w:rsidRDefault="00A757E4">
      <w:pPr>
        <w:pStyle w:val="TOC5"/>
        <w:rPr>
          <w:rFonts w:asciiTheme="minorHAnsi" w:eastAsiaTheme="minorEastAsia" w:hAnsiTheme="minorHAnsi" w:cstheme="minorBidi"/>
          <w:noProof/>
          <w:kern w:val="0"/>
          <w:sz w:val="22"/>
          <w:szCs w:val="22"/>
        </w:rPr>
      </w:pPr>
      <w:r>
        <w:rPr>
          <w:noProof/>
        </w:rPr>
        <w:t>2</w:t>
      </w:r>
      <w:r>
        <w:rPr>
          <w:noProof/>
        </w:rPr>
        <w:tab/>
        <w:t>Commencement</w:t>
      </w:r>
      <w:r w:rsidRPr="00A757E4">
        <w:rPr>
          <w:noProof/>
        </w:rPr>
        <w:tab/>
      </w:r>
      <w:r w:rsidRPr="00A757E4">
        <w:rPr>
          <w:noProof/>
        </w:rPr>
        <w:fldChar w:fldCharType="begin"/>
      </w:r>
      <w:r w:rsidRPr="00A757E4">
        <w:rPr>
          <w:noProof/>
        </w:rPr>
        <w:instrText xml:space="preserve"> PAGEREF _Toc66968096 \h </w:instrText>
      </w:r>
      <w:r w:rsidRPr="00A757E4">
        <w:rPr>
          <w:noProof/>
        </w:rPr>
      </w:r>
      <w:r w:rsidRPr="00A757E4">
        <w:rPr>
          <w:noProof/>
        </w:rPr>
        <w:fldChar w:fldCharType="separate"/>
      </w:r>
      <w:r w:rsidR="005722DF">
        <w:rPr>
          <w:noProof/>
        </w:rPr>
        <w:t>1</w:t>
      </w:r>
      <w:r w:rsidRPr="00A757E4">
        <w:rPr>
          <w:noProof/>
        </w:rPr>
        <w:fldChar w:fldCharType="end"/>
      </w:r>
    </w:p>
    <w:p w14:paraId="35DC8EBF" w14:textId="1CD1D9AE" w:rsidR="00A757E4" w:rsidRDefault="00A757E4">
      <w:pPr>
        <w:pStyle w:val="TOC5"/>
        <w:rPr>
          <w:rFonts w:asciiTheme="minorHAnsi" w:eastAsiaTheme="minorEastAsia" w:hAnsiTheme="minorHAnsi" w:cstheme="minorBidi"/>
          <w:noProof/>
          <w:kern w:val="0"/>
          <w:sz w:val="22"/>
          <w:szCs w:val="22"/>
        </w:rPr>
      </w:pPr>
      <w:r>
        <w:rPr>
          <w:noProof/>
        </w:rPr>
        <w:t>3</w:t>
      </w:r>
      <w:r>
        <w:rPr>
          <w:noProof/>
        </w:rPr>
        <w:tab/>
        <w:t>Authority</w:t>
      </w:r>
      <w:r w:rsidRPr="00A757E4">
        <w:rPr>
          <w:noProof/>
        </w:rPr>
        <w:tab/>
      </w:r>
      <w:r w:rsidRPr="00A757E4">
        <w:rPr>
          <w:noProof/>
        </w:rPr>
        <w:fldChar w:fldCharType="begin"/>
      </w:r>
      <w:r w:rsidRPr="00A757E4">
        <w:rPr>
          <w:noProof/>
        </w:rPr>
        <w:instrText xml:space="preserve"> PAGEREF _Toc66968097 \h </w:instrText>
      </w:r>
      <w:r w:rsidRPr="00A757E4">
        <w:rPr>
          <w:noProof/>
        </w:rPr>
      </w:r>
      <w:r w:rsidRPr="00A757E4">
        <w:rPr>
          <w:noProof/>
        </w:rPr>
        <w:fldChar w:fldCharType="separate"/>
      </w:r>
      <w:r w:rsidR="005722DF">
        <w:rPr>
          <w:noProof/>
        </w:rPr>
        <w:t>1</w:t>
      </w:r>
      <w:r w:rsidRPr="00A757E4">
        <w:rPr>
          <w:noProof/>
        </w:rPr>
        <w:fldChar w:fldCharType="end"/>
      </w:r>
    </w:p>
    <w:p w14:paraId="695D0688" w14:textId="330EBBA8" w:rsidR="00A757E4" w:rsidRDefault="00A757E4">
      <w:pPr>
        <w:pStyle w:val="TOC5"/>
        <w:rPr>
          <w:rFonts w:asciiTheme="minorHAnsi" w:eastAsiaTheme="minorEastAsia" w:hAnsiTheme="minorHAnsi" w:cstheme="minorBidi"/>
          <w:noProof/>
          <w:kern w:val="0"/>
          <w:sz w:val="22"/>
          <w:szCs w:val="22"/>
        </w:rPr>
      </w:pPr>
      <w:r>
        <w:rPr>
          <w:noProof/>
        </w:rPr>
        <w:t>4</w:t>
      </w:r>
      <w:r>
        <w:rPr>
          <w:noProof/>
        </w:rPr>
        <w:tab/>
        <w:t>Schedules</w:t>
      </w:r>
      <w:r w:rsidRPr="00A757E4">
        <w:rPr>
          <w:noProof/>
        </w:rPr>
        <w:tab/>
      </w:r>
      <w:r w:rsidRPr="00A757E4">
        <w:rPr>
          <w:noProof/>
        </w:rPr>
        <w:fldChar w:fldCharType="begin"/>
      </w:r>
      <w:r w:rsidRPr="00A757E4">
        <w:rPr>
          <w:noProof/>
        </w:rPr>
        <w:instrText xml:space="preserve"> PAGEREF _Toc66968098 \h </w:instrText>
      </w:r>
      <w:r w:rsidRPr="00A757E4">
        <w:rPr>
          <w:noProof/>
        </w:rPr>
      </w:r>
      <w:r w:rsidRPr="00A757E4">
        <w:rPr>
          <w:noProof/>
        </w:rPr>
        <w:fldChar w:fldCharType="separate"/>
      </w:r>
      <w:r w:rsidR="005722DF">
        <w:rPr>
          <w:noProof/>
        </w:rPr>
        <w:t>1</w:t>
      </w:r>
      <w:r w:rsidRPr="00A757E4">
        <w:rPr>
          <w:noProof/>
        </w:rPr>
        <w:fldChar w:fldCharType="end"/>
      </w:r>
    </w:p>
    <w:p w14:paraId="30D084BF" w14:textId="1401918C" w:rsidR="00A757E4" w:rsidRDefault="00A757E4">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A757E4">
        <w:rPr>
          <w:noProof/>
        </w:rPr>
        <w:tab/>
      </w:r>
      <w:r w:rsidRPr="00A757E4">
        <w:rPr>
          <w:noProof/>
        </w:rPr>
        <w:fldChar w:fldCharType="begin"/>
      </w:r>
      <w:r w:rsidRPr="00A757E4">
        <w:rPr>
          <w:noProof/>
        </w:rPr>
        <w:instrText xml:space="preserve"> PAGEREF _Toc66968099 \h </w:instrText>
      </w:r>
      <w:r w:rsidRPr="00A757E4">
        <w:rPr>
          <w:noProof/>
        </w:rPr>
      </w:r>
      <w:r w:rsidRPr="00A757E4">
        <w:rPr>
          <w:noProof/>
        </w:rPr>
        <w:fldChar w:fldCharType="separate"/>
      </w:r>
      <w:r w:rsidR="005722DF">
        <w:rPr>
          <w:noProof/>
        </w:rPr>
        <w:t>1</w:t>
      </w:r>
      <w:r w:rsidRPr="00A757E4">
        <w:rPr>
          <w:noProof/>
        </w:rPr>
        <w:fldChar w:fldCharType="end"/>
      </w:r>
    </w:p>
    <w:p w14:paraId="4A815818" w14:textId="02D09FA6" w:rsidR="00A757E4" w:rsidRDefault="00A757E4">
      <w:pPr>
        <w:pStyle w:val="TOC5"/>
        <w:rPr>
          <w:rFonts w:asciiTheme="minorHAnsi" w:eastAsiaTheme="minorEastAsia" w:hAnsiTheme="minorHAnsi" w:cstheme="minorBidi"/>
          <w:noProof/>
          <w:kern w:val="0"/>
          <w:sz w:val="22"/>
          <w:szCs w:val="22"/>
        </w:rPr>
      </w:pPr>
      <w:r>
        <w:rPr>
          <w:noProof/>
        </w:rPr>
        <w:t>6</w:t>
      </w:r>
      <w:r>
        <w:rPr>
          <w:noProof/>
        </w:rPr>
        <w:tab/>
        <w:t>Definitions</w:t>
      </w:r>
      <w:r w:rsidRPr="00A757E4">
        <w:rPr>
          <w:noProof/>
        </w:rPr>
        <w:tab/>
      </w:r>
      <w:r w:rsidRPr="00A757E4">
        <w:rPr>
          <w:noProof/>
        </w:rPr>
        <w:fldChar w:fldCharType="begin"/>
      </w:r>
      <w:r w:rsidRPr="00A757E4">
        <w:rPr>
          <w:noProof/>
        </w:rPr>
        <w:instrText xml:space="preserve"> PAGEREF _Toc66968100 \h </w:instrText>
      </w:r>
      <w:r w:rsidRPr="00A757E4">
        <w:rPr>
          <w:noProof/>
        </w:rPr>
      </w:r>
      <w:r w:rsidRPr="00A757E4">
        <w:rPr>
          <w:noProof/>
        </w:rPr>
        <w:fldChar w:fldCharType="separate"/>
      </w:r>
      <w:r w:rsidR="005722DF">
        <w:rPr>
          <w:noProof/>
        </w:rPr>
        <w:t>2</w:t>
      </w:r>
      <w:r w:rsidRPr="00A757E4">
        <w:rPr>
          <w:noProof/>
        </w:rPr>
        <w:fldChar w:fldCharType="end"/>
      </w:r>
    </w:p>
    <w:p w14:paraId="5F1D8036" w14:textId="6A5F8AF9" w:rsidR="00A757E4" w:rsidRDefault="00A757E4">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EA2119">
        <w:rPr>
          <w:i/>
          <w:noProof/>
        </w:rPr>
        <w:t>authorised prescriber</w:t>
      </w:r>
      <w:r w:rsidRPr="00A757E4">
        <w:rPr>
          <w:noProof/>
        </w:rPr>
        <w:tab/>
      </w:r>
      <w:r w:rsidRPr="00A757E4">
        <w:rPr>
          <w:noProof/>
        </w:rPr>
        <w:fldChar w:fldCharType="begin"/>
      </w:r>
      <w:r w:rsidRPr="00A757E4">
        <w:rPr>
          <w:noProof/>
        </w:rPr>
        <w:instrText xml:space="preserve"> PAGEREF _Toc66968101 \h </w:instrText>
      </w:r>
      <w:r w:rsidRPr="00A757E4">
        <w:rPr>
          <w:noProof/>
        </w:rPr>
      </w:r>
      <w:r w:rsidRPr="00A757E4">
        <w:rPr>
          <w:noProof/>
        </w:rPr>
        <w:fldChar w:fldCharType="separate"/>
      </w:r>
      <w:r w:rsidR="005722DF">
        <w:rPr>
          <w:noProof/>
        </w:rPr>
        <w:t>6</w:t>
      </w:r>
      <w:r w:rsidRPr="00A757E4">
        <w:rPr>
          <w:noProof/>
        </w:rPr>
        <w:fldChar w:fldCharType="end"/>
      </w:r>
    </w:p>
    <w:p w14:paraId="09CC7C40" w14:textId="739DC3D4" w:rsidR="00A757E4" w:rsidRDefault="00A757E4">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EA2119">
        <w:rPr>
          <w:i/>
          <w:noProof/>
        </w:rPr>
        <w:t>eligible patient</w:t>
      </w:r>
      <w:r w:rsidRPr="00A757E4">
        <w:rPr>
          <w:noProof/>
        </w:rPr>
        <w:tab/>
      </w:r>
      <w:r w:rsidRPr="00A757E4">
        <w:rPr>
          <w:noProof/>
        </w:rPr>
        <w:fldChar w:fldCharType="begin"/>
      </w:r>
      <w:r w:rsidRPr="00A757E4">
        <w:rPr>
          <w:noProof/>
        </w:rPr>
        <w:instrText xml:space="preserve"> PAGEREF _Toc66968102 \h </w:instrText>
      </w:r>
      <w:r w:rsidRPr="00A757E4">
        <w:rPr>
          <w:noProof/>
        </w:rPr>
      </w:r>
      <w:r w:rsidRPr="00A757E4">
        <w:rPr>
          <w:noProof/>
        </w:rPr>
        <w:fldChar w:fldCharType="separate"/>
      </w:r>
      <w:r w:rsidR="005722DF">
        <w:rPr>
          <w:noProof/>
        </w:rPr>
        <w:t>8</w:t>
      </w:r>
      <w:r w:rsidRPr="00A757E4">
        <w:rPr>
          <w:noProof/>
        </w:rPr>
        <w:fldChar w:fldCharType="end"/>
      </w:r>
    </w:p>
    <w:p w14:paraId="04C7548F" w14:textId="5B636DFD" w:rsidR="00A757E4" w:rsidRDefault="00A757E4">
      <w:pPr>
        <w:pStyle w:val="TOC3"/>
        <w:rPr>
          <w:rFonts w:asciiTheme="minorHAnsi" w:eastAsiaTheme="minorEastAsia" w:hAnsiTheme="minorHAnsi" w:cstheme="minorBidi"/>
          <w:b w:val="0"/>
          <w:noProof/>
          <w:kern w:val="0"/>
          <w:szCs w:val="22"/>
        </w:rPr>
      </w:pPr>
      <w:r>
        <w:rPr>
          <w:noProof/>
        </w:rPr>
        <w:t>Division 2—Supplies of HSD pharmaceutical benefits from hospitals</w:t>
      </w:r>
      <w:r w:rsidRPr="00A757E4">
        <w:rPr>
          <w:b w:val="0"/>
          <w:noProof/>
          <w:sz w:val="18"/>
        </w:rPr>
        <w:tab/>
      </w:r>
      <w:r w:rsidRPr="00A757E4">
        <w:rPr>
          <w:b w:val="0"/>
          <w:noProof/>
          <w:sz w:val="18"/>
        </w:rPr>
        <w:fldChar w:fldCharType="begin"/>
      </w:r>
      <w:r w:rsidRPr="00A757E4">
        <w:rPr>
          <w:b w:val="0"/>
          <w:noProof/>
          <w:sz w:val="18"/>
        </w:rPr>
        <w:instrText xml:space="preserve"> PAGEREF _Toc66968103 \h </w:instrText>
      </w:r>
      <w:r w:rsidRPr="00A757E4">
        <w:rPr>
          <w:b w:val="0"/>
          <w:noProof/>
          <w:sz w:val="18"/>
        </w:rPr>
      </w:r>
      <w:r w:rsidRPr="00A757E4">
        <w:rPr>
          <w:b w:val="0"/>
          <w:noProof/>
          <w:sz w:val="18"/>
        </w:rPr>
        <w:fldChar w:fldCharType="separate"/>
      </w:r>
      <w:r w:rsidR="005722DF">
        <w:rPr>
          <w:b w:val="0"/>
          <w:noProof/>
          <w:sz w:val="18"/>
        </w:rPr>
        <w:t>10</w:t>
      </w:r>
      <w:r w:rsidRPr="00A757E4">
        <w:rPr>
          <w:b w:val="0"/>
          <w:noProof/>
          <w:sz w:val="18"/>
        </w:rPr>
        <w:fldChar w:fldCharType="end"/>
      </w:r>
    </w:p>
    <w:p w14:paraId="6E0392FD" w14:textId="01639FEF" w:rsidR="00A757E4" w:rsidRDefault="00A757E4">
      <w:pPr>
        <w:pStyle w:val="TOC5"/>
        <w:rPr>
          <w:rFonts w:asciiTheme="minorHAnsi" w:eastAsiaTheme="minorEastAsia" w:hAnsiTheme="minorHAnsi" w:cstheme="minorBidi"/>
          <w:noProof/>
          <w:kern w:val="0"/>
          <w:sz w:val="22"/>
          <w:szCs w:val="22"/>
        </w:rPr>
      </w:pPr>
      <w:r>
        <w:rPr>
          <w:noProof/>
        </w:rPr>
        <w:t>9</w:t>
      </w:r>
      <w:r>
        <w:rPr>
          <w:noProof/>
        </w:rPr>
        <w:tab/>
        <w:t>Supplies of HSD pharmaceutical benefits by approved hospital authorities to patients receiving treatment from hospitals</w:t>
      </w:r>
      <w:r w:rsidRPr="00A757E4">
        <w:rPr>
          <w:noProof/>
        </w:rPr>
        <w:tab/>
      </w:r>
      <w:r w:rsidRPr="00A757E4">
        <w:rPr>
          <w:noProof/>
        </w:rPr>
        <w:fldChar w:fldCharType="begin"/>
      </w:r>
      <w:r w:rsidRPr="00A757E4">
        <w:rPr>
          <w:noProof/>
        </w:rPr>
        <w:instrText xml:space="preserve"> PAGEREF _Toc66968104 \h </w:instrText>
      </w:r>
      <w:r w:rsidRPr="00A757E4">
        <w:rPr>
          <w:noProof/>
        </w:rPr>
      </w:r>
      <w:r w:rsidRPr="00A757E4">
        <w:rPr>
          <w:noProof/>
        </w:rPr>
        <w:fldChar w:fldCharType="separate"/>
      </w:r>
      <w:r w:rsidR="005722DF">
        <w:rPr>
          <w:noProof/>
        </w:rPr>
        <w:t>10</w:t>
      </w:r>
      <w:r w:rsidRPr="00A757E4">
        <w:rPr>
          <w:noProof/>
        </w:rPr>
        <w:fldChar w:fldCharType="end"/>
      </w:r>
    </w:p>
    <w:p w14:paraId="1A2AF816" w14:textId="746C80D3" w:rsidR="00A757E4" w:rsidRDefault="00A757E4">
      <w:pPr>
        <w:pStyle w:val="TOC3"/>
        <w:rPr>
          <w:rFonts w:asciiTheme="minorHAnsi" w:eastAsiaTheme="minorEastAsia" w:hAnsiTheme="minorHAnsi" w:cstheme="minorBidi"/>
          <w:b w:val="0"/>
          <w:noProof/>
          <w:kern w:val="0"/>
          <w:szCs w:val="22"/>
        </w:rPr>
      </w:pPr>
      <w:r>
        <w:rPr>
          <w:noProof/>
        </w:rPr>
        <w:t>Division 3—HSD hospital authorities</w:t>
      </w:r>
      <w:r w:rsidRPr="00A757E4">
        <w:rPr>
          <w:b w:val="0"/>
          <w:noProof/>
          <w:sz w:val="18"/>
        </w:rPr>
        <w:tab/>
      </w:r>
      <w:r w:rsidRPr="00A757E4">
        <w:rPr>
          <w:b w:val="0"/>
          <w:noProof/>
          <w:sz w:val="18"/>
        </w:rPr>
        <w:fldChar w:fldCharType="begin"/>
      </w:r>
      <w:r w:rsidRPr="00A757E4">
        <w:rPr>
          <w:b w:val="0"/>
          <w:noProof/>
          <w:sz w:val="18"/>
        </w:rPr>
        <w:instrText xml:space="preserve"> PAGEREF _Toc66968105 \h </w:instrText>
      </w:r>
      <w:r w:rsidRPr="00A757E4">
        <w:rPr>
          <w:b w:val="0"/>
          <w:noProof/>
          <w:sz w:val="18"/>
        </w:rPr>
      </w:r>
      <w:r w:rsidRPr="00A757E4">
        <w:rPr>
          <w:b w:val="0"/>
          <w:noProof/>
          <w:sz w:val="18"/>
        </w:rPr>
        <w:fldChar w:fldCharType="separate"/>
      </w:r>
      <w:r w:rsidR="005722DF">
        <w:rPr>
          <w:b w:val="0"/>
          <w:noProof/>
          <w:sz w:val="18"/>
        </w:rPr>
        <w:t>11</w:t>
      </w:r>
      <w:r w:rsidRPr="00A757E4">
        <w:rPr>
          <w:b w:val="0"/>
          <w:noProof/>
          <w:sz w:val="18"/>
        </w:rPr>
        <w:fldChar w:fldCharType="end"/>
      </w:r>
    </w:p>
    <w:p w14:paraId="7D7C2759" w14:textId="1A62AD85" w:rsidR="00A757E4" w:rsidRDefault="00A757E4">
      <w:pPr>
        <w:pStyle w:val="TOC5"/>
        <w:rPr>
          <w:rFonts w:asciiTheme="minorHAnsi" w:eastAsiaTheme="minorEastAsia" w:hAnsiTheme="minorHAnsi" w:cstheme="minorBidi"/>
          <w:noProof/>
          <w:kern w:val="0"/>
          <w:sz w:val="22"/>
          <w:szCs w:val="22"/>
        </w:rPr>
      </w:pPr>
      <w:r>
        <w:rPr>
          <w:noProof/>
        </w:rPr>
        <w:t>10</w:t>
      </w:r>
      <w:r>
        <w:rPr>
          <w:noProof/>
        </w:rPr>
        <w:tab/>
        <w:t>HSD hospital authorities</w:t>
      </w:r>
      <w:r w:rsidRPr="00A757E4">
        <w:rPr>
          <w:noProof/>
        </w:rPr>
        <w:tab/>
      </w:r>
      <w:r w:rsidRPr="00A757E4">
        <w:rPr>
          <w:noProof/>
        </w:rPr>
        <w:fldChar w:fldCharType="begin"/>
      </w:r>
      <w:r w:rsidRPr="00A757E4">
        <w:rPr>
          <w:noProof/>
        </w:rPr>
        <w:instrText xml:space="preserve"> PAGEREF _Toc66968106 \h </w:instrText>
      </w:r>
      <w:r w:rsidRPr="00A757E4">
        <w:rPr>
          <w:noProof/>
        </w:rPr>
      </w:r>
      <w:r w:rsidRPr="00A757E4">
        <w:rPr>
          <w:noProof/>
        </w:rPr>
        <w:fldChar w:fldCharType="separate"/>
      </w:r>
      <w:r w:rsidR="005722DF">
        <w:rPr>
          <w:noProof/>
        </w:rPr>
        <w:t>11</w:t>
      </w:r>
      <w:r w:rsidRPr="00A757E4">
        <w:rPr>
          <w:noProof/>
        </w:rPr>
        <w:fldChar w:fldCharType="end"/>
      </w:r>
    </w:p>
    <w:p w14:paraId="1EFE8CDA" w14:textId="738BAA7E" w:rsidR="00A757E4" w:rsidRDefault="00A757E4">
      <w:pPr>
        <w:pStyle w:val="TOC5"/>
        <w:rPr>
          <w:rFonts w:asciiTheme="minorHAnsi" w:eastAsiaTheme="minorEastAsia" w:hAnsiTheme="minorHAnsi" w:cstheme="minorBidi"/>
          <w:noProof/>
          <w:kern w:val="0"/>
          <w:sz w:val="22"/>
          <w:szCs w:val="22"/>
        </w:rPr>
      </w:pPr>
      <w:r>
        <w:rPr>
          <w:noProof/>
        </w:rPr>
        <w:t>11</w:t>
      </w:r>
      <w:r>
        <w:rPr>
          <w:noProof/>
        </w:rPr>
        <w:tab/>
        <w:t>References to approved suppliers and approved hospital authorities</w:t>
      </w:r>
      <w:r w:rsidRPr="00A757E4">
        <w:rPr>
          <w:noProof/>
        </w:rPr>
        <w:tab/>
      </w:r>
      <w:r w:rsidRPr="00A757E4">
        <w:rPr>
          <w:noProof/>
        </w:rPr>
        <w:fldChar w:fldCharType="begin"/>
      </w:r>
      <w:r w:rsidRPr="00A757E4">
        <w:rPr>
          <w:noProof/>
        </w:rPr>
        <w:instrText xml:space="preserve"> PAGEREF _Toc66968107 \h </w:instrText>
      </w:r>
      <w:r w:rsidRPr="00A757E4">
        <w:rPr>
          <w:noProof/>
        </w:rPr>
      </w:r>
      <w:r w:rsidRPr="00A757E4">
        <w:rPr>
          <w:noProof/>
        </w:rPr>
        <w:fldChar w:fldCharType="separate"/>
      </w:r>
      <w:r w:rsidR="005722DF">
        <w:rPr>
          <w:noProof/>
        </w:rPr>
        <w:t>11</w:t>
      </w:r>
      <w:r w:rsidRPr="00A757E4">
        <w:rPr>
          <w:noProof/>
        </w:rPr>
        <w:fldChar w:fldCharType="end"/>
      </w:r>
    </w:p>
    <w:p w14:paraId="266E4311" w14:textId="5AC7F178" w:rsidR="00A757E4" w:rsidRDefault="00A757E4">
      <w:pPr>
        <w:pStyle w:val="TOC5"/>
        <w:rPr>
          <w:rFonts w:asciiTheme="minorHAnsi" w:eastAsiaTheme="minorEastAsia" w:hAnsiTheme="minorHAnsi" w:cstheme="minorBidi"/>
          <w:noProof/>
          <w:kern w:val="0"/>
          <w:sz w:val="22"/>
          <w:szCs w:val="22"/>
        </w:rPr>
      </w:pPr>
      <w:r>
        <w:rPr>
          <w:noProof/>
        </w:rPr>
        <w:t>12</w:t>
      </w:r>
      <w:r>
        <w:rPr>
          <w:noProof/>
        </w:rPr>
        <w:tab/>
        <w:t>Numbers allotted to HSD hospital authorities</w:t>
      </w:r>
      <w:r w:rsidRPr="00A757E4">
        <w:rPr>
          <w:noProof/>
        </w:rPr>
        <w:tab/>
      </w:r>
      <w:r w:rsidRPr="00A757E4">
        <w:rPr>
          <w:noProof/>
        </w:rPr>
        <w:fldChar w:fldCharType="begin"/>
      </w:r>
      <w:r w:rsidRPr="00A757E4">
        <w:rPr>
          <w:noProof/>
        </w:rPr>
        <w:instrText xml:space="preserve"> PAGEREF _Toc66968108 \h </w:instrText>
      </w:r>
      <w:r w:rsidRPr="00A757E4">
        <w:rPr>
          <w:noProof/>
        </w:rPr>
      </w:r>
      <w:r w:rsidRPr="00A757E4">
        <w:rPr>
          <w:noProof/>
        </w:rPr>
        <w:fldChar w:fldCharType="separate"/>
      </w:r>
      <w:r w:rsidR="005722DF">
        <w:rPr>
          <w:noProof/>
        </w:rPr>
        <w:t>11</w:t>
      </w:r>
      <w:r w:rsidRPr="00A757E4">
        <w:rPr>
          <w:noProof/>
        </w:rPr>
        <w:fldChar w:fldCharType="end"/>
      </w:r>
    </w:p>
    <w:p w14:paraId="6F0F9BAB" w14:textId="3B62334D" w:rsidR="00A757E4" w:rsidRDefault="00A757E4">
      <w:pPr>
        <w:pStyle w:val="TOC2"/>
        <w:rPr>
          <w:rFonts w:asciiTheme="minorHAnsi" w:eastAsiaTheme="minorEastAsia" w:hAnsiTheme="minorHAnsi" w:cstheme="minorBidi"/>
          <w:b w:val="0"/>
          <w:noProof/>
          <w:kern w:val="0"/>
          <w:sz w:val="22"/>
          <w:szCs w:val="22"/>
        </w:rPr>
      </w:pPr>
      <w:r>
        <w:rPr>
          <w:noProof/>
        </w:rPr>
        <w:t>Part 2—Special arrangement supplies of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_Toc66968109 \h </w:instrText>
      </w:r>
      <w:r w:rsidRPr="00A757E4">
        <w:rPr>
          <w:b w:val="0"/>
          <w:noProof/>
          <w:sz w:val="18"/>
        </w:rPr>
      </w:r>
      <w:r w:rsidRPr="00A757E4">
        <w:rPr>
          <w:b w:val="0"/>
          <w:noProof/>
          <w:sz w:val="18"/>
        </w:rPr>
        <w:fldChar w:fldCharType="separate"/>
      </w:r>
      <w:r w:rsidR="005722DF">
        <w:rPr>
          <w:b w:val="0"/>
          <w:noProof/>
          <w:sz w:val="18"/>
        </w:rPr>
        <w:t>12</w:t>
      </w:r>
      <w:r w:rsidRPr="00A757E4">
        <w:rPr>
          <w:b w:val="0"/>
          <w:noProof/>
          <w:sz w:val="18"/>
        </w:rPr>
        <w:fldChar w:fldCharType="end"/>
      </w:r>
    </w:p>
    <w:p w14:paraId="44D3EDAD" w14:textId="3AFD0775" w:rsidR="00A757E4" w:rsidRDefault="00A757E4">
      <w:pPr>
        <w:pStyle w:val="TOC3"/>
        <w:rPr>
          <w:rFonts w:asciiTheme="minorHAnsi" w:eastAsiaTheme="minorEastAsia" w:hAnsiTheme="minorHAnsi" w:cstheme="minorBidi"/>
          <w:b w:val="0"/>
          <w:noProof/>
          <w:kern w:val="0"/>
          <w:szCs w:val="22"/>
        </w:rPr>
      </w:pPr>
      <w:r>
        <w:rPr>
          <w:noProof/>
        </w:rPr>
        <w:t>Division 1—Preliminary</w:t>
      </w:r>
      <w:r w:rsidRPr="00A757E4">
        <w:rPr>
          <w:b w:val="0"/>
          <w:noProof/>
          <w:sz w:val="18"/>
        </w:rPr>
        <w:tab/>
      </w:r>
      <w:r w:rsidRPr="00A757E4">
        <w:rPr>
          <w:b w:val="0"/>
          <w:noProof/>
          <w:sz w:val="18"/>
        </w:rPr>
        <w:fldChar w:fldCharType="begin"/>
      </w:r>
      <w:r w:rsidRPr="00A757E4">
        <w:rPr>
          <w:b w:val="0"/>
          <w:noProof/>
          <w:sz w:val="18"/>
        </w:rPr>
        <w:instrText xml:space="preserve"> PAGEREF _Toc66968110 \h </w:instrText>
      </w:r>
      <w:r w:rsidRPr="00A757E4">
        <w:rPr>
          <w:b w:val="0"/>
          <w:noProof/>
          <w:sz w:val="18"/>
        </w:rPr>
      </w:r>
      <w:r w:rsidRPr="00A757E4">
        <w:rPr>
          <w:b w:val="0"/>
          <w:noProof/>
          <w:sz w:val="18"/>
        </w:rPr>
        <w:fldChar w:fldCharType="separate"/>
      </w:r>
      <w:r w:rsidR="005722DF">
        <w:rPr>
          <w:b w:val="0"/>
          <w:noProof/>
          <w:sz w:val="18"/>
        </w:rPr>
        <w:t>12</w:t>
      </w:r>
      <w:r w:rsidRPr="00A757E4">
        <w:rPr>
          <w:b w:val="0"/>
          <w:noProof/>
          <w:sz w:val="18"/>
        </w:rPr>
        <w:fldChar w:fldCharType="end"/>
      </w:r>
    </w:p>
    <w:p w14:paraId="1151D7BF" w14:textId="4C0CE29A" w:rsidR="00A757E4" w:rsidRDefault="00A757E4">
      <w:pPr>
        <w:pStyle w:val="TOC5"/>
        <w:rPr>
          <w:rFonts w:asciiTheme="minorHAnsi" w:eastAsiaTheme="minorEastAsia" w:hAnsiTheme="minorHAnsi" w:cstheme="minorBidi"/>
          <w:noProof/>
          <w:kern w:val="0"/>
          <w:sz w:val="22"/>
          <w:szCs w:val="22"/>
        </w:rPr>
      </w:pPr>
      <w:r>
        <w:rPr>
          <w:noProof/>
        </w:rPr>
        <w:t>13</w:t>
      </w:r>
      <w:r>
        <w:rPr>
          <w:noProof/>
        </w:rPr>
        <w:tab/>
        <w:t xml:space="preserve">Definition of </w:t>
      </w:r>
      <w:r w:rsidRPr="00EA2119">
        <w:rPr>
          <w:i/>
          <w:noProof/>
        </w:rPr>
        <w:t>special arrangement supply</w:t>
      </w:r>
      <w:r w:rsidRPr="00A757E4">
        <w:rPr>
          <w:noProof/>
        </w:rPr>
        <w:tab/>
      </w:r>
      <w:r w:rsidRPr="00A757E4">
        <w:rPr>
          <w:noProof/>
        </w:rPr>
        <w:fldChar w:fldCharType="begin"/>
      </w:r>
      <w:r w:rsidRPr="00A757E4">
        <w:rPr>
          <w:noProof/>
        </w:rPr>
        <w:instrText xml:space="preserve"> PAGEREF _Toc66968111 \h </w:instrText>
      </w:r>
      <w:r w:rsidRPr="00A757E4">
        <w:rPr>
          <w:noProof/>
        </w:rPr>
      </w:r>
      <w:r w:rsidRPr="00A757E4">
        <w:rPr>
          <w:noProof/>
        </w:rPr>
        <w:fldChar w:fldCharType="separate"/>
      </w:r>
      <w:r w:rsidR="005722DF">
        <w:rPr>
          <w:noProof/>
        </w:rPr>
        <w:t>12</w:t>
      </w:r>
      <w:r w:rsidRPr="00A757E4">
        <w:rPr>
          <w:noProof/>
        </w:rPr>
        <w:fldChar w:fldCharType="end"/>
      </w:r>
    </w:p>
    <w:p w14:paraId="0BCE8252" w14:textId="2468CFAB" w:rsidR="00A757E4" w:rsidRDefault="00A757E4">
      <w:pPr>
        <w:pStyle w:val="TOC3"/>
        <w:rPr>
          <w:rFonts w:asciiTheme="minorHAnsi" w:eastAsiaTheme="minorEastAsia" w:hAnsiTheme="minorHAnsi" w:cstheme="minorBidi"/>
          <w:b w:val="0"/>
          <w:noProof/>
          <w:kern w:val="0"/>
          <w:szCs w:val="22"/>
        </w:rPr>
      </w:pPr>
      <w:r>
        <w:rPr>
          <w:noProof/>
        </w:rPr>
        <w:t>Division 2—Prescribing of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_Toc66968112 \h </w:instrText>
      </w:r>
      <w:r w:rsidRPr="00A757E4">
        <w:rPr>
          <w:b w:val="0"/>
          <w:noProof/>
          <w:sz w:val="18"/>
        </w:rPr>
      </w:r>
      <w:r w:rsidRPr="00A757E4">
        <w:rPr>
          <w:b w:val="0"/>
          <w:noProof/>
          <w:sz w:val="18"/>
        </w:rPr>
        <w:fldChar w:fldCharType="separate"/>
      </w:r>
      <w:r w:rsidR="005722DF">
        <w:rPr>
          <w:b w:val="0"/>
          <w:noProof/>
          <w:sz w:val="18"/>
        </w:rPr>
        <w:t>14</w:t>
      </w:r>
      <w:r w:rsidRPr="00A757E4">
        <w:rPr>
          <w:b w:val="0"/>
          <w:noProof/>
          <w:sz w:val="18"/>
        </w:rPr>
        <w:fldChar w:fldCharType="end"/>
      </w:r>
    </w:p>
    <w:p w14:paraId="0C6A45A8" w14:textId="107C8D63" w:rsidR="00A757E4" w:rsidRDefault="00A757E4">
      <w:pPr>
        <w:pStyle w:val="TOC5"/>
        <w:rPr>
          <w:rFonts w:asciiTheme="minorHAnsi" w:eastAsiaTheme="minorEastAsia" w:hAnsiTheme="minorHAnsi" w:cstheme="minorBidi"/>
          <w:noProof/>
          <w:kern w:val="0"/>
          <w:sz w:val="22"/>
          <w:szCs w:val="22"/>
        </w:rPr>
      </w:pPr>
      <w:r>
        <w:rPr>
          <w:noProof/>
        </w:rPr>
        <w:t>14</w:t>
      </w:r>
      <w:r>
        <w:rPr>
          <w:noProof/>
        </w:rPr>
        <w:tab/>
        <w:t>Prescribing of HSD pharmaceutical benefits—authorised prescribers (Act s 88(1) and (1E))</w:t>
      </w:r>
      <w:r w:rsidRPr="00A757E4">
        <w:rPr>
          <w:noProof/>
        </w:rPr>
        <w:tab/>
      </w:r>
      <w:r w:rsidRPr="00A757E4">
        <w:rPr>
          <w:noProof/>
        </w:rPr>
        <w:fldChar w:fldCharType="begin"/>
      </w:r>
      <w:r w:rsidRPr="00A757E4">
        <w:rPr>
          <w:noProof/>
        </w:rPr>
        <w:instrText xml:space="preserve"> PAGEREF _Toc66968113 \h </w:instrText>
      </w:r>
      <w:r w:rsidRPr="00A757E4">
        <w:rPr>
          <w:noProof/>
        </w:rPr>
      </w:r>
      <w:r w:rsidRPr="00A757E4">
        <w:rPr>
          <w:noProof/>
        </w:rPr>
        <w:fldChar w:fldCharType="separate"/>
      </w:r>
      <w:r w:rsidR="005722DF">
        <w:rPr>
          <w:noProof/>
        </w:rPr>
        <w:t>14</w:t>
      </w:r>
      <w:r w:rsidRPr="00A757E4">
        <w:rPr>
          <w:noProof/>
        </w:rPr>
        <w:fldChar w:fldCharType="end"/>
      </w:r>
    </w:p>
    <w:p w14:paraId="63FEE48B" w14:textId="23E51463" w:rsidR="00A757E4" w:rsidRDefault="00A757E4">
      <w:pPr>
        <w:pStyle w:val="TOC5"/>
        <w:rPr>
          <w:rFonts w:asciiTheme="minorHAnsi" w:eastAsiaTheme="minorEastAsia" w:hAnsiTheme="minorHAnsi" w:cstheme="minorBidi"/>
          <w:noProof/>
          <w:kern w:val="0"/>
          <w:sz w:val="22"/>
          <w:szCs w:val="22"/>
        </w:rPr>
      </w:pPr>
      <w:r>
        <w:rPr>
          <w:noProof/>
        </w:rPr>
        <w:t>15</w:t>
      </w:r>
      <w:r>
        <w:rPr>
          <w:noProof/>
        </w:rPr>
        <w:tab/>
        <w:t>Prescription circumstances—general (Act s 85(7)(a) and (b))</w:t>
      </w:r>
      <w:r w:rsidRPr="00A757E4">
        <w:rPr>
          <w:noProof/>
        </w:rPr>
        <w:tab/>
      </w:r>
      <w:r w:rsidRPr="00A757E4">
        <w:rPr>
          <w:noProof/>
        </w:rPr>
        <w:fldChar w:fldCharType="begin"/>
      </w:r>
      <w:r w:rsidRPr="00A757E4">
        <w:rPr>
          <w:noProof/>
        </w:rPr>
        <w:instrText xml:space="preserve"> PAGEREF _Toc66968114 \h </w:instrText>
      </w:r>
      <w:r w:rsidRPr="00A757E4">
        <w:rPr>
          <w:noProof/>
        </w:rPr>
      </w:r>
      <w:r w:rsidRPr="00A757E4">
        <w:rPr>
          <w:noProof/>
        </w:rPr>
        <w:fldChar w:fldCharType="separate"/>
      </w:r>
      <w:r w:rsidR="005722DF">
        <w:rPr>
          <w:noProof/>
        </w:rPr>
        <w:t>14</w:t>
      </w:r>
      <w:r w:rsidRPr="00A757E4">
        <w:rPr>
          <w:noProof/>
        </w:rPr>
        <w:fldChar w:fldCharType="end"/>
      </w:r>
    </w:p>
    <w:p w14:paraId="44929046" w14:textId="493FA9BE" w:rsidR="00A757E4" w:rsidRDefault="00A757E4">
      <w:pPr>
        <w:pStyle w:val="TOC5"/>
        <w:rPr>
          <w:rFonts w:asciiTheme="minorHAnsi" w:eastAsiaTheme="minorEastAsia" w:hAnsiTheme="minorHAnsi" w:cstheme="minorBidi"/>
          <w:noProof/>
          <w:kern w:val="0"/>
          <w:sz w:val="22"/>
          <w:szCs w:val="22"/>
        </w:rPr>
      </w:pPr>
      <w:r>
        <w:rPr>
          <w:noProof/>
        </w:rPr>
        <w:t>16</w:t>
      </w:r>
      <w:r>
        <w:rPr>
          <w:noProof/>
        </w:rPr>
        <w:tab/>
        <w:t>Prescription circumstances—authority required procedures</w:t>
      </w:r>
      <w:r w:rsidRPr="00A757E4">
        <w:rPr>
          <w:noProof/>
        </w:rPr>
        <w:tab/>
      </w:r>
      <w:r w:rsidRPr="00A757E4">
        <w:rPr>
          <w:noProof/>
        </w:rPr>
        <w:fldChar w:fldCharType="begin"/>
      </w:r>
      <w:r w:rsidRPr="00A757E4">
        <w:rPr>
          <w:noProof/>
        </w:rPr>
        <w:instrText xml:space="preserve"> PAGEREF _Toc66968115 \h </w:instrText>
      </w:r>
      <w:r w:rsidRPr="00A757E4">
        <w:rPr>
          <w:noProof/>
        </w:rPr>
      </w:r>
      <w:r w:rsidRPr="00A757E4">
        <w:rPr>
          <w:noProof/>
        </w:rPr>
        <w:fldChar w:fldCharType="separate"/>
      </w:r>
      <w:r w:rsidR="005722DF">
        <w:rPr>
          <w:noProof/>
        </w:rPr>
        <w:t>14</w:t>
      </w:r>
      <w:r w:rsidRPr="00A757E4">
        <w:rPr>
          <w:noProof/>
        </w:rPr>
        <w:fldChar w:fldCharType="end"/>
      </w:r>
    </w:p>
    <w:p w14:paraId="45B596DC" w14:textId="35E3C209" w:rsidR="00A757E4" w:rsidRDefault="00A757E4">
      <w:pPr>
        <w:pStyle w:val="TOC5"/>
        <w:rPr>
          <w:rFonts w:asciiTheme="minorHAnsi" w:eastAsiaTheme="minorEastAsia" w:hAnsiTheme="minorHAnsi" w:cstheme="minorBidi"/>
          <w:noProof/>
          <w:kern w:val="0"/>
          <w:sz w:val="22"/>
          <w:szCs w:val="22"/>
        </w:rPr>
      </w:pPr>
      <w:r>
        <w:rPr>
          <w:noProof/>
        </w:rPr>
        <w:t>17</w:t>
      </w:r>
      <w:r>
        <w:rPr>
          <w:noProof/>
        </w:rPr>
        <w:tab/>
        <w:t>Prescription circumstances—modifications during COVID</w:t>
      </w:r>
      <w:r>
        <w:rPr>
          <w:noProof/>
        </w:rPr>
        <w:noBreakHyphen/>
        <w:t>19 pandemic (Act s 85(7)(a) and (b))</w:t>
      </w:r>
      <w:r w:rsidRPr="00A757E4">
        <w:rPr>
          <w:noProof/>
        </w:rPr>
        <w:tab/>
      </w:r>
      <w:r w:rsidRPr="00A757E4">
        <w:rPr>
          <w:noProof/>
        </w:rPr>
        <w:fldChar w:fldCharType="begin"/>
      </w:r>
      <w:r w:rsidRPr="00A757E4">
        <w:rPr>
          <w:noProof/>
        </w:rPr>
        <w:instrText xml:space="preserve"> PAGEREF _Toc66968116 \h </w:instrText>
      </w:r>
      <w:r w:rsidRPr="00A757E4">
        <w:rPr>
          <w:noProof/>
        </w:rPr>
      </w:r>
      <w:r w:rsidRPr="00A757E4">
        <w:rPr>
          <w:noProof/>
        </w:rPr>
        <w:fldChar w:fldCharType="separate"/>
      </w:r>
      <w:r w:rsidR="005722DF">
        <w:rPr>
          <w:noProof/>
        </w:rPr>
        <w:t>15</w:t>
      </w:r>
      <w:r w:rsidRPr="00A757E4">
        <w:rPr>
          <w:noProof/>
        </w:rPr>
        <w:fldChar w:fldCharType="end"/>
      </w:r>
    </w:p>
    <w:p w14:paraId="6269500F" w14:textId="3C6918E8" w:rsidR="00A757E4" w:rsidRDefault="00A757E4">
      <w:pPr>
        <w:pStyle w:val="TOC5"/>
        <w:rPr>
          <w:rFonts w:asciiTheme="minorHAnsi" w:eastAsiaTheme="minorEastAsia" w:hAnsiTheme="minorHAnsi" w:cstheme="minorBidi"/>
          <w:noProof/>
          <w:kern w:val="0"/>
          <w:sz w:val="22"/>
          <w:szCs w:val="22"/>
        </w:rPr>
      </w:pPr>
      <w:r>
        <w:rPr>
          <w:noProof/>
        </w:rPr>
        <w:t>18</w:t>
      </w:r>
      <w:r>
        <w:rPr>
          <w:noProof/>
        </w:rPr>
        <w:tab/>
        <w:t>When medication chart prescriptions not to be written</w:t>
      </w:r>
      <w:r w:rsidRPr="00A757E4">
        <w:rPr>
          <w:noProof/>
        </w:rPr>
        <w:tab/>
      </w:r>
      <w:r w:rsidRPr="00A757E4">
        <w:rPr>
          <w:noProof/>
        </w:rPr>
        <w:fldChar w:fldCharType="begin"/>
      </w:r>
      <w:r w:rsidRPr="00A757E4">
        <w:rPr>
          <w:noProof/>
        </w:rPr>
        <w:instrText xml:space="preserve"> PAGEREF _Toc66968117 \h </w:instrText>
      </w:r>
      <w:r w:rsidRPr="00A757E4">
        <w:rPr>
          <w:noProof/>
        </w:rPr>
      </w:r>
      <w:r w:rsidRPr="00A757E4">
        <w:rPr>
          <w:noProof/>
        </w:rPr>
        <w:fldChar w:fldCharType="separate"/>
      </w:r>
      <w:r w:rsidR="005722DF">
        <w:rPr>
          <w:noProof/>
        </w:rPr>
        <w:t>15</w:t>
      </w:r>
      <w:r w:rsidRPr="00A757E4">
        <w:rPr>
          <w:noProof/>
        </w:rPr>
        <w:fldChar w:fldCharType="end"/>
      </w:r>
    </w:p>
    <w:p w14:paraId="7D313CFE" w14:textId="7BC86104" w:rsidR="00A757E4" w:rsidRDefault="00A757E4">
      <w:pPr>
        <w:pStyle w:val="TOC5"/>
        <w:rPr>
          <w:rFonts w:asciiTheme="minorHAnsi" w:eastAsiaTheme="minorEastAsia" w:hAnsiTheme="minorHAnsi" w:cstheme="minorBidi"/>
          <w:noProof/>
          <w:kern w:val="0"/>
          <w:sz w:val="22"/>
          <w:szCs w:val="22"/>
        </w:rPr>
      </w:pPr>
      <w:r>
        <w:rPr>
          <w:noProof/>
        </w:rPr>
        <w:t>19</w:t>
      </w:r>
      <w:r>
        <w:rPr>
          <w:noProof/>
        </w:rPr>
        <w:tab/>
        <w:t>Prescriptions not to direct repeated supplies for visitors to Australia</w:t>
      </w:r>
      <w:r w:rsidRPr="00A757E4">
        <w:rPr>
          <w:noProof/>
        </w:rPr>
        <w:tab/>
      </w:r>
      <w:r w:rsidRPr="00A757E4">
        <w:rPr>
          <w:noProof/>
        </w:rPr>
        <w:fldChar w:fldCharType="begin"/>
      </w:r>
      <w:r w:rsidRPr="00A757E4">
        <w:rPr>
          <w:noProof/>
        </w:rPr>
        <w:instrText xml:space="preserve"> PAGEREF _Toc66968118 \h </w:instrText>
      </w:r>
      <w:r w:rsidRPr="00A757E4">
        <w:rPr>
          <w:noProof/>
        </w:rPr>
      </w:r>
      <w:r w:rsidRPr="00A757E4">
        <w:rPr>
          <w:noProof/>
        </w:rPr>
        <w:fldChar w:fldCharType="separate"/>
      </w:r>
      <w:r w:rsidR="005722DF">
        <w:rPr>
          <w:noProof/>
        </w:rPr>
        <w:t>16</w:t>
      </w:r>
      <w:r w:rsidRPr="00A757E4">
        <w:rPr>
          <w:noProof/>
        </w:rPr>
        <w:fldChar w:fldCharType="end"/>
      </w:r>
    </w:p>
    <w:p w14:paraId="64FDCB8A" w14:textId="6F8D6181" w:rsidR="00A757E4" w:rsidRDefault="00A757E4">
      <w:pPr>
        <w:pStyle w:val="TOC5"/>
        <w:rPr>
          <w:rFonts w:asciiTheme="minorHAnsi" w:eastAsiaTheme="minorEastAsia" w:hAnsiTheme="minorHAnsi" w:cstheme="minorBidi"/>
          <w:noProof/>
          <w:kern w:val="0"/>
          <w:sz w:val="22"/>
          <w:szCs w:val="22"/>
        </w:rPr>
      </w:pPr>
      <w:r>
        <w:rPr>
          <w:noProof/>
        </w:rPr>
        <w:t>20</w:t>
      </w:r>
      <w:r>
        <w:rPr>
          <w:noProof/>
        </w:rPr>
        <w:tab/>
        <w:t>Maximum quantity or number of units (Act s 85A(2)(a))</w:t>
      </w:r>
      <w:r w:rsidRPr="00A757E4">
        <w:rPr>
          <w:noProof/>
        </w:rPr>
        <w:tab/>
      </w:r>
      <w:r w:rsidRPr="00A757E4">
        <w:rPr>
          <w:noProof/>
        </w:rPr>
        <w:fldChar w:fldCharType="begin"/>
      </w:r>
      <w:r w:rsidRPr="00A757E4">
        <w:rPr>
          <w:noProof/>
        </w:rPr>
        <w:instrText xml:space="preserve"> PAGEREF _Toc66968119 \h </w:instrText>
      </w:r>
      <w:r w:rsidRPr="00A757E4">
        <w:rPr>
          <w:noProof/>
        </w:rPr>
      </w:r>
      <w:r w:rsidRPr="00A757E4">
        <w:rPr>
          <w:noProof/>
        </w:rPr>
        <w:fldChar w:fldCharType="separate"/>
      </w:r>
      <w:r w:rsidR="005722DF">
        <w:rPr>
          <w:noProof/>
        </w:rPr>
        <w:t>16</w:t>
      </w:r>
      <w:r w:rsidRPr="00A757E4">
        <w:rPr>
          <w:noProof/>
        </w:rPr>
        <w:fldChar w:fldCharType="end"/>
      </w:r>
    </w:p>
    <w:p w14:paraId="7776634B" w14:textId="16301D57" w:rsidR="00A757E4" w:rsidRDefault="00A757E4">
      <w:pPr>
        <w:pStyle w:val="TOC5"/>
        <w:rPr>
          <w:rFonts w:asciiTheme="minorHAnsi" w:eastAsiaTheme="minorEastAsia" w:hAnsiTheme="minorHAnsi" w:cstheme="minorBidi"/>
          <w:noProof/>
          <w:kern w:val="0"/>
          <w:sz w:val="22"/>
          <w:szCs w:val="22"/>
        </w:rPr>
      </w:pPr>
      <w:r>
        <w:rPr>
          <w:noProof/>
        </w:rPr>
        <w:t>21</w:t>
      </w:r>
      <w:r>
        <w:rPr>
          <w:noProof/>
        </w:rPr>
        <w:tab/>
        <w:t>Maximum number of repeats (Act s 85A(2)(b))</w:t>
      </w:r>
      <w:r w:rsidRPr="00A757E4">
        <w:rPr>
          <w:noProof/>
        </w:rPr>
        <w:tab/>
      </w:r>
      <w:r w:rsidRPr="00A757E4">
        <w:rPr>
          <w:noProof/>
        </w:rPr>
        <w:fldChar w:fldCharType="begin"/>
      </w:r>
      <w:r w:rsidRPr="00A757E4">
        <w:rPr>
          <w:noProof/>
        </w:rPr>
        <w:instrText xml:space="preserve"> PAGEREF _Toc66968120 \h </w:instrText>
      </w:r>
      <w:r w:rsidRPr="00A757E4">
        <w:rPr>
          <w:noProof/>
        </w:rPr>
      </w:r>
      <w:r w:rsidRPr="00A757E4">
        <w:rPr>
          <w:noProof/>
        </w:rPr>
        <w:fldChar w:fldCharType="separate"/>
      </w:r>
      <w:r w:rsidR="005722DF">
        <w:rPr>
          <w:noProof/>
        </w:rPr>
        <w:t>17</w:t>
      </w:r>
      <w:r w:rsidRPr="00A757E4">
        <w:rPr>
          <w:noProof/>
        </w:rPr>
        <w:fldChar w:fldCharType="end"/>
      </w:r>
    </w:p>
    <w:p w14:paraId="13CC1F3F" w14:textId="5A178041" w:rsidR="00A757E4" w:rsidRDefault="00A757E4">
      <w:pPr>
        <w:pStyle w:val="TOC5"/>
        <w:rPr>
          <w:rFonts w:asciiTheme="minorHAnsi" w:eastAsiaTheme="minorEastAsia" w:hAnsiTheme="minorHAnsi" w:cstheme="minorBidi"/>
          <w:noProof/>
          <w:kern w:val="0"/>
          <w:sz w:val="22"/>
          <w:szCs w:val="22"/>
        </w:rPr>
      </w:pPr>
      <w:r>
        <w:rPr>
          <w:noProof/>
        </w:rPr>
        <w:t>22</w:t>
      </w:r>
      <w:r>
        <w:rPr>
          <w:noProof/>
        </w:rPr>
        <w:tab/>
        <w:t>No variation of application of determination of maximum number of repeats or maximum number or quantity of units—HSD pharmaceutical benefits that have CAR drugs</w:t>
      </w:r>
      <w:r w:rsidRPr="00A757E4">
        <w:rPr>
          <w:noProof/>
        </w:rPr>
        <w:tab/>
      </w:r>
      <w:r w:rsidRPr="00A757E4">
        <w:rPr>
          <w:noProof/>
        </w:rPr>
        <w:fldChar w:fldCharType="begin"/>
      </w:r>
      <w:r w:rsidRPr="00A757E4">
        <w:rPr>
          <w:noProof/>
        </w:rPr>
        <w:instrText xml:space="preserve"> PAGEREF _Toc66968121 \h </w:instrText>
      </w:r>
      <w:r w:rsidRPr="00A757E4">
        <w:rPr>
          <w:noProof/>
        </w:rPr>
      </w:r>
      <w:r w:rsidRPr="00A757E4">
        <w:rPr>
          <w:noProof/>
        </w:rPr>
        <w:fldChar w:fldCharType="separate"/>
      </w:r>
      <w:r w:rsidR="005722DF">
        <w:rPr>
          <w:noProof/>
        </w:rPr>
        <w:t>18</w:t>
      </w:r>
      <w:r w:rsidRPr="00A757E4">
        <w:rPr>
          <w:noProof/>
        </w:rPr>
        <w:fldChar w:fldCharType="end"/>
      </w:r>
    </w:p>
    <w:p w14:paraId="18D7760D" w14:textId="674839EB" w:rsidR="00A757E4" w:rsidRDefault="00A757E4">
      <w:pPr>
        <w:pStyle w:val="TOC5"/>
        <w:rPr>
          <w:rFonts w:asciiTheme="minorHAnsi" w:eastAsiaTheme="minorEastAsia" w:hAnsiTheme="minorHAnsi" w:cstheme="minorBidi"/>
          <w:noProof/>
          <w:kern w:val="0"/>
          <w:sz w:val="22"/>
          <w:szCs w:val="22"/>
        </w:rPr>
      </w:pPr>
      <w:r>
        <w:rPr>
          <w:noProof/>
        </w:rPr>
        <w:t>23</w:t>
      </w:r>
      <w:r>
        <w:rPr>
          <w:noProof/>
        </w:rPr>
        <w:tab/>
        <w:t xml:space="preserve">Records to be kept—prescriptions for HSD pharmaceutical benefits that contain </w:t>
      </w:r>
      <w:r w:rsidRPr="00EA2119">
        <w:rPr>
          <w:noProof/>
          <w:color w:val="000000"/>
        </w:rPr>
        <w:t>eculizumab</w:t>
      </w:r>
      <w:r w:rsidRPr="00A757E4">
        <w:rPr>
          <w:noProof/>
        </w:rPr>
        <w:tab/>
      </w:r>
      <w:r w:rsidRPr="00A757E4">
        <w:rPr>
          <w:noProof/>
        </w:rPr>
        <w:fldChar w:fldCharType="begin"/>
      </w:r>
      <w:r w:rsidRPr="00A757E4">
        <w:rPr>
          <w:noProof/>
        </w:rPr>
        <w:instrText xml:space="preserve"> PAGEREF _Toc66968122 \h </w:instrText>
      </w:r>
      <w:r w:rsidRPr="00A757E4">
        <w:rPr>
          <w:noProof/>
        </w:rPr>
      </w:r>
      <w:r w:rsidRPr="00A757E4">
        <w:rPr>
          <w:noProof/>
        </w:rPr>
        <w:fldChar w:fldCharType="separate"/>
      </w:r>
      <w:r w:rsidR="005722DF">
        <w:rPr>
          <w:noProof/>
        </w:rPr>
        <w:t>18</w:t>
      </w:r>
      <w:r w:rsidRPr="00A757E4">
        <w:rPr>
          <w:noProof/>
        </w:rPr>
        <w:fldChar w:fldCharType="end"/>
      </w:r>
    </w:p>
    <w:p w14:paraId="1CD8931D" w14:textId="0F2873CD" w:rsidR="00A757E4" w:rsidRDefault="00A757E4">
      <w:pPr>
        <w:pStyle w:val="TOC3"/>
        <w:rPr>
          <w:rFonts w:asciiTheme="minorHAnsi" w:eastAsiaTheme="minorEastAsia" w:hAnsiTheme="minorHAnsi" w:cstheme="minorBidi"/>
          <w:b w:val="0"/>
          <w:noProof/>
          <w:kern w:val="0"/>
          <w:szCs w:val="22"/>
        </w:rPr>
      </w:pPr>
      <w:r>
        <w:rPr>
          <w:noProof/>
        </w:rPr>
        <w:t>Division 3—Supplying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_Toc66968123 \h </w:instrText>
      </w:r>
      <w:r w:rsidRPr="00A757E4">
        <w:rPr>
          <w:b w:val="0"/>
          <w:noProof/>
          <w:sz w:val="18"/>
        </w:rPr>
      </w:r>
      <w:r w:rsidRPr="00A757E4">
        <w:rPr>
          <w:b w:val="0"/>
          <w:noProof/>
          <w:sz w:val="18"/>
        </w:rPr>
        <w:fldChar w:fldCharType="separate"/>
      </w:r>
      <w:r w:rsidR="005722DF">
        <w:rPr>
          <w:b w:val="0"/>
          <w:noProof/>
          <w:sz w:val="18"/>
        </w:rPr>
        <w:t>19</w:t>
      </w:r>
      <w:r w:rsidRPr="00A757E4">
        <w:rPr>
          <w:b w:val="0"/>
          <w:noProof/>
          <w:sz w:val="18"/>
        </w:rPr>
        <w:fldChar w:fldCharType="end"/>
      </w:r>
    </w:p>
    <w:p w14:paraId="3B907077" w14:textId="7D03C020" w:rsidR="00A757E4" w:rsidRDefault="00A757E4">
      <w:pPr>
        <w:pStyle w:val="TOC5"/>
        <w:rPr>
          <w:rFonts w:asciiTheme="minorHAnsi" w:eastAsiaTheme="minorEastAsia" w:hAnsiTheme="minorHAnsi" w:cstheme="minorBidi"/>
          <w:noProof/>
          <w:kern w:val="0"/>
          <w:sz w:val="22"/>
          <w:szCs w:val="22"/>
        </w:rPr>
      </w:pPr>
      <w:r>
        <w:rPr>
          <w:noProof/>
        </w:rPr>
        <w:t>24</w:t>
      </w:r>
      <w:r>
        <w:rPr>
          <w:noProof/>
        </w:rPr>
        <w:tab/>
        <w:t>Special patient contribution for certain HSD pharmaceutical benefits</w:t>
      </w:r>
      <w:r w:rsidRPr="00A757E4">
        <w:rPr>
          <w:noProof/>
        </w:rPr>
        <w:tab/>
      </w:r>
      <w:r w:rsidRPr="00A757E4">
        <w:rPr>
          <w:noProof/>
        </w:rPr>
        <w:fldChar w:fldCharType="begin"/>
      </w:r>
      <w:r w:rsidRPr="00A757E4">
        <w:rPr>
          <w:noProof/>
        </w:rPr>
        <w:instrText xml:space="preserve"> PAGEREF _Toc66968124 \h </w:instrText>
      </w:r>
      <w:r w:rsidRPr="00A757E4">
        <w:rPr>
          <w:noProof/>
        </w:rPr>
      </w:r>
      <w:r w:rsidRPr="00A757E4">
        <w:rPr>
          <w:noProof/>
        </w:rPr>
        <w:fldChar w:fldCharType="separate"/>
      </w:r>
      <w:r w:rsidR="005722DF">
        <w:rPr>
          <w:noProof/>
        </w:rPr>
        <w:t>19</w:t>
      </w:r>
      <w:r w:rsidRPr="00A757E4">
        <w:rPr>
          <w:noProof/>
        </w:rPr>
        <w:fldChar w:fldCharType="end"/>
      </w:r>
    </w:p>
    <w:p w14:paraId="2F375029" w14:textId="425A2B9F" w:rsidR="00A757E4" w:rsidRDefault="00A757E4">
      <w:pPr>
        <w:pStyle w:val="TOC5"/>
        <w:rPr>
          <w:rFonts w:asciiTheme="minorHAnsi" w:eastAsiaTheme="minorEastAsia" w:hAnsiTheme="minorHAnsi" w:cstheme="minorBidi"/>
          <w:noProof/>
          <w:kern w:val="0"/>
          <w:sz w:val="22"/>
          <w:szCs w:val="22"/>
        </w:rPr>
      </w:pPr>
      <w:r>
        <w:rPr>
          <w:noProof/>
        </w:rPr>
        <w:t>25</w:t>
      </w:r>
      <w:r>
        <w:rPr>
          <w:noProof/>
        </w:rPr>
        <w:tab/>
        <w:t>Modified application of conditions of approval of approved pharmacists</w:t>
      </w:r>
      <w:r w:rsidRPr="00A757E4">
        <w:rPr>
          <w:noProof/>
        </w:rPr>
        <w:tab/>
      </w:r>
      <w:r w:rsidRPr="00A757E4">
        <w:rPr>
          <w:noProof/>
        </w:rPr>
        <w:fldChar w:fldCharType="begin"/>
      </w:r>
      <w:r w:rsidRPr="00A757E4">
        <w:rPr>
          <w:noProof/>
        </w:rPr>
        <w:instrText xml:space="preserve"> PAGEREF _Toc66968125 \h </w:instrText>
      </w:r>
      <w:r w:rsidRPr="00A757E4">
        <w:rPr>
          <w:noProof/>
        </w:rPr>
      </w:r>
      <w:r w:rsidRPr="00A757E4">
        <w:rPr>
          <w:noProof/>
        </w:rPr>
        <w:fldChar w:fldCharType="separate"/>
      </w:r>
      <w:r w:rsidR="005722DF">
        <w:rPr>
          <w:noProof/>
        </w:rPr>
        <w:t>19</w:t>
      </w:r>
      <w:r w:rsidRPr="00A757E4">
        <w:rPr>
          <w:noProof/>
        </w:rPr>
        <w:fldChar w:fldCharType="end"/>
      </w:r>
    </w:p>
    <w:p w14:paraId="780B00F2" w14:textId="27E92A8B" w:rsidR="00A757E4" w:rsidRDefault="00A757E4">
      <w:pPr>
        <w:pStyle w:val="TOC5"/>
        <w:rPr>
          <w:rFonts w:asciiTheme="minorHAnsi" w:eastAsiaTheme="minorEastAsia" w:hAnsiTheme="minorHAnsi" w:cstheme="minorBidi"/>
          <w:noProof/>
          <w:kern w:val="0"/>
          <w:sz w:val="22"/>
          <w:szCs w:val="22"/>
        </w:rPr>
      </w:pPr>
      <w:r>
        <w:rPr>
          <w:noProof/>
        </w:rPr>
        <w:t>26</w:t>
      </w:r>
      <w:r>
        <w:rPr>
          <w:noProof/>
        </w:rPr>
        <w:tab/>
        <w:t>Supplies by HSD hospital authorities need not be directly to persons</w:t>
      </w:r>
      <w:r w:rsidRPr="00A757E4">
        <w:rPr>
          <w:noProof/>
        </w:rPr>
        <w:tab/>
      </w:r>
      <w:r w:rsidRPr="00A757E4">
        <w:rPr>
          <w:noProof/>
        </w:rPr>
        <w:fldChar w:fldCharType="begin"/>
      </w:r>
      <w:r w:rsidRPr="00A757E4">
        <w:rPr>
          <w:noProof/>
        </w:rPr>
        <w:instrText xml:space="preserve"> PAGEREF _Toc66968126 \h </w:instrText>
      </w:r>
      <w:r w:rsidRPr="00A757E4">
        <w:rPr>
          <w:noProof/>
        </w:rPr>
      </w:r>
      <w:r w:rsidRPr="00A757E4">
        <w:rPr>
          <w:noProof/>
        </w:rPr>
        <w:fldChar w:fldCharType="separate"/>
      </w:r>
      <w:r w:rsidR="005722DF">
        <w:rPr>
          <w:noProof/>
        </w:rPr>
        <w:t>19</w:t>
      </w:r>
      <w:r w:rsidRPr="00A757E4">
        <w:rPr>
          <w:noProof/>
        </w:rPr>
        <w:fldChar w:fldCharType="end"/>
      </w:r>
    </w:p>
    <w:p w14:paraId="59302BC3" w14:textId="42CB6C9E" w:rsidR="00A757E4" w:rsidRDefault="00A757E4">
      <w:pPr>
        <w:pStyle w:val="TOC5"/>
        <w:rPr>
          <w:rFonts w:asciiTheme="minorHAnsi" w:eastAsiaTheme="minorEastAsia" w:hAnsiTheme="minorHAnsi" w:cstheme="minorBidi"/>
          <w:noProof/>
          <w:kern w:val="0"/>
          <w:sz w:val="22"/>
          <w:szCs w:val="22"/>
        </w:rPr>
      </w:pPr>
      <w:r>
        <w:rPr>
          <w:noProof/>
        </w:rPr>
        <w:t>27</w:t>
      </w:r>
      <w:r>
        <w:rPr>
          <w:noProof/>
        </w:rPr>
        <w:tab/>
        <w:t>Repeated supplies of pharmaceutical benefits</w:t>
      </w:r>
      <w:r w:rsidRPr="00A757E4">
        <w:rPr>
          <w:noProof/>
        </w:rPr>
        <w:tab/>
      </w:r>
      <w:r w:rsidRPr="00A757E4">
        <w:rPr>
          <w:noProof/>
        </w:rPr>
        <w:fldChar w:fldCharType="begin"/>
      </w:r>
      <w:r w:rsidRPr="00A757E4">
        <w:rPr>
          <w:noProof/>
        </w:rPr>
        <w:instrText xml:space="preserve"> PAGEREF _Toc66968127 \h </w:instrText>
      </w:r>
      <w:r w:rsidRPr="00A757E4">
        <w:rPr>
          <w:noProof/>
        </w:rPr>
      </w:r>
      <w:r w:rsidRPr="00A757E4">
        <w:rPr>
          <w:noProof/>
        </w:rPr>
        <w:fldChar w:fldCharType="separate"/>
      </w:r>
      <w:r w:rsidR="005722DF">
        <w:rPr>
          <w:noProof/>
        </w:rPr>
        <w:t>19</w:t>
      </w:r>
      <w:r w:rsidRPr="00A757E4">
        <w:rPr>
          <w:noProof/>
        </w:rPr>
        <w:fldChar w:fldCharType="end"/>
      </w:r>
    </w:p>
    <w:p w14:paraId="280BCEC1" w14:textId="17A7EF09" w:rsidR="00A757E4" w:rsidRDefault="00A757E4">
      <w:pPr>
        <w:pStyle w:val="TOC2"/>
        <w:rPr>
          <w:rFonts w:asciiTheme="minorHAnsi" w:eastAsiaTheme="minorEastAsia" w:hAnsiTheme="minorHAnsi" w:cstheme="minorBidi"/>
          <w:b w:val="0"/>
          <w:noProof/>
          <w:kern w:val="0"/>
          <w:sz w:val="22"/>
          <w:szCs w:val="22"/>
        </w:rPr>
      </w:pPr>
      <w:r>
        <w:rPr>
          <w:noProof/>
        </w:rPr>
        <w:t>Part 3—Payment for special arrangement supplies of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_Toc66968128 \h </w:instrText>
      </w:r>
      <w:r w:rsidRPr="00A757E4">
        <w:rPr>
          <w:b w:val="0"/>
          <w:noProof/>
          <w:sz w:val="18"/>
        </w:rPr>
      </w:r>
      <w:r w:rsidRPr="00A757E4">
        <w:rPr>
          <w:b w:val="0"/>
          <w:noProof/>
          <w:sz w:val="18"/>
        </w:rPr>
        <w:fldChar w:fldCharType="separate"/>
      </w:r>
      <w:r w:rsidR="005722DF">
        <w:rPr>
          <w:b w:val="0"/>
          <w:noProof/>
          <w:sz w:val="18"/>
        </w:rPr>
        <w:t>20</w:t>
      </w:r>
      <w:r w:rsidRPr="00A757E4">
        <w:rPr>
          <w:b w:val="0"/>
          <w:noProof/>
          <w:sz w:val="18"/>
        </w:rPr>
        <w:fldChar w:fldCharType="end"/>
      </w:r>
    </w:p>
    <w:p w14:paraId="68077FB4" w14:textId="63486058" w:rsidR="00A757E4" w:rsidRDefault="00A757E4">
      <w:pPr>
        <w:pStyle w:val="TOC3"/>
        <w:rPr>
          <w:rFonts w:asciiTheme="minorHAnsi" w:eastAsiaTheme="minorEastAsia" w:hAnsiTheme="minorHAnsi" w:cstheme="minorBidi"/>
          <w:b w:val="0"/>
          <w:noProof/>
          <w:kern w:val="0"/>
          <w:szCs w:val="22"/>
        </w:rPr>
      </w:pPr>
      <w:r>
        <w:rPr>
          <w:noProof/>
        </w:rPr>
        <w:t>Division 1—Supplies by approved hospital authorities for public hospitals</w:t>
      </w:r>
      <w:r w:rsidRPr="00A757E4">
        <w:rPr>
          <w:b w:val="0"/>
          <w:noProof/>
          <w:sz w:val="18"/>
        </w:rPr>
        <w:tab/>
      </w:r>
      <w:r w:rsidRPr="00A757E4">
        <w:rPr>
          <w:b w:val="0"/>
          <w:noProof/>
          <w:sz w:val="18"/>
        </w:rPr>
        <w:fldChar w:fldCharType="begin"/>
      </w:r>
      <w:r w:rsidRPr="00A757E4">
        <w:rPr>
          <w:b w:val="0"/>
          <w:noProof/>
          <w:sz w:val="18"/>
        </w:rPr>
        <w:instrText xml:space="preserve"> PAGEREF _Toc66968129 \h </w:instrText>
      </w:r>
      <w:r w:rsidRPr="00A757E4">
        <w:rPr>
          <w:b w:val="0"/>
          <w:noProof/>
          <w:sz w:val="18"/>
        </w:rPr>
      </w:r>
      <w:r w:rsidRPr="00A757E4">
        <w:rPr>
          <w:b w:val="0"/>
          <w:noProof/>
          <w:sz w:val="18"/>
        </w:rPr>
        <w:fldChar w:fldCharType="separate"/>
      </w:r>
      <w:r w:rsidR="005722DF">
        <w:rPr>
          <w:b w:val="0"/>
          <w:noProof/>
          <w:sz w:val="18"/>
        </w:rPr>
        <w:t>20</w:t>
      </w:r>
      <w:r w:rsidRPr="00A757E4">
        <w:rPr>
          <w:b w:val="0"/>
          <w:noProof/>
          <w:sz w:val="18"/>
        </w:rPr>
        <w:fldChar w:fldCharType="end"/>
      </w:r>
    </w:p>
    <w:p w14:paraId="02BB0213" w14:textId="54C70F11" w:rsidR="00A757E4" w:rsidRDefault="00A757E4">
      <w:pPr>
        <w:pStyle w:val="TOC5"/>
        <w:rPr>
          <w:rFonts w:asciiTheme="minorHAnsi" w:eastAsiaTheme="minorEastAsia" w:hAnsiTheme="minorHAnsi" w:cstheme="minorBidi"/>
          <w:noProof/>
          <w:kern w:val="0"/>
          <w:sz w:val="22"/>
          <w:szCs w:val="22"/>
        </w:rPr>
      </w:pPr>
      <w:r>
        <w:rPr>
          <w:noProof/>
        </w:rPr>
        <w:t>28</w:t>
      </w:r>
      <w:r>
        <w:rPr>
          <w:noProof/>
        </w:rPr>
        <w:tab/>
        <w:t>Rates of payment for approved hospital authorities for public hospitals (Act s 99(4))</w:t>
      </w:r>
      <w:r w:rsidRPr="00A757E4">
        <w:rPr>
          <w:noProof/>
        </w:rPr>
        <w:tab/>
      </w:r>
      <w:r w:rsidRPr="00A757E4">
        <w:rPr>
          <w:noProof/>
        </w:rPr>
        <w:fldChar w:fldCharType="begin"/>
      </w:r>
      <w:r w:rsidRPr="00A757E4">
        <w:rPr>
          <w:noProof/>
        </w:rPr>
        <w:instrText xml:space="preserve"> PAGEREF _Toc66968130 \h </w:instrText>
      </w:r>
      <w:r w:rsidRPr="00A757E4">
        <w:rPr>
          <w:noProof/>
        </w:rPr>
      </w:r>
      <w:r w:rsidRPr="00A757E4">
        <w:rPr>
          <w:noProof/>
        </w:rPr>
        <w:fldChar w:fldCharType="separate"/>
      </w:r>
      <w:r w:rsidR="005722DF">
        <w:rPr>
          <w:noProof/>
        </w:rPr>
        <w:t>20</w:t>
      </w:r>
      <w:r w:rsidRPr="00A757E4">
        <w:rPr>
          <w:noProof/>
        </w:rPr>
        <w:fldChar w:fldCharType="end"/>
      </w:r>
    </w:p>
    <w:p w14:paraId="5B4B32AC" w14:textId="722F88B7" w:rsidR="00A757E4" w:rsidRDefault="00A757E4">
      <w:pPr>
        <w:pStyle w:val="TOC5"/>
        <w:rPr>
          <w:rFonts w:asciiTheme="minorHAnsi" w:eastAsiaTheme="minorEastAsia" w:hAnsiTheme="minorHAnsi" w:cstheme="minorBidi"/>
          <w:noProof/>
          <w:kern w:val="0"/>
          <w:sz w:val="22"/>
          <w:szCs w:val="22"/>
        </w:rPr>
      </w:pPr>
      <w:r>
        <w:rPr>
          <w:noProof/>
        </w:rPr>
        <w:t>29</w:t>
      </w:r>
      <w:r>
        <w:rPr>
          <w:noProof/>
        </w:rPr>
        <w:tab/>
        <w:t>Dispensed price for approved hospital authorities for public hospitals</w:t>
      </w:r>
      <w:r w:rsidRPr="00A757E4">
        <w:rPr>
          <w:noProof/>
        </w:rPr>
        <w:tab/>
      </w:r>
      <w:r w:rsidRPr="00A757E4">
        <w:rPr>
          <w:noProof/>
        </w:rPr>
        <w:fldChar w:fldCharType="begin"/>
      </w:r>
      <w:r w:rsidRPr="00A757E4">
        <w:rPr>
          <w:noProof/>
        </w:rPr>
        <w:instrText xml:space="preserve"> PAGEREF _Toc66968131 \h </w:instrText>
      </w:r>
      <w:r w:rsidRPr="00A757E4">
        <w:rPr>
          <w:noProof/>
        </w:rPr>
      </w:r>
      <w:r w:rsidRPr="00A757E4">
        <w:rPr>
          <w:noProof/>
        </w:rPr>
        <w:fldChar w:fldCharType="separate"/>
      </w:r>
      <w:r w:rsidR="005722DF">
        <w:rPr>
          <w:noProof/>
        </w:rPr>
        <w:t>20</w:t>
      </w:r>
      <w:r w:rsidRPr="00A757E4">
        <w:rPr>
          <w:noProof/>
        </w:rPr>
        <w:fldChar w:fldCharType="end"/>
      </w:r>
    </w:p>
    <w:p w14:paraId="6EE3CAEC" w14:textId="2CFD2D53" w:rsidR="00A757E4" w:rsidRDefault="00A757E4">
      <w:pPr>
        <w:pStyle w:val="TOC3"/>
        <w:rPr>
          <w:rFonts w:asciiTheme="minorHAnsi" w:eastAsiaTheme="minorEastAsia" w:hAnsiTheme="minorHAnsi" w:cstheme="minorBidi"/>
          <w:b w:val="0"/>
          <w:noProof/>
          <w:kern w:val="0"/>
          <w:szCs w:val="22"/>
        </w:rPr>
      </w:pPr>
      <w:r>
        <w:rPr>
          <w:noProof/>
        </w:rPr>
        <w:lastRenderedPageBreak/>
        <w:t>Division 2—Supplies by other approved suppliers</w:t>
      </w:r>
      <w:r w:rsidRPr="00A757E4">
        <w:rPr>
          <w:b w:val="0"/>
          <w:noProof/>
          <w:sz w:val="18"/>
        </w:rPr>
        <w:tab/>
      </w:r>
      <w:r w:rsidRPr="00A757E4">
        <w:rPr>
          <w:b w:val="0"/>
          <w:noProof/>
          <w:sz w:val="18"/>
        </w:rPr>
        <w:fldChar w:fldCharType="begin"/>
      </w:r>
      <w:r w:rsidRPr="00A757E4">
        <w:rPr>
          <w:b w:val="0"/>
          <w:noProof/>
          <w:sz w:val="18"/>
        </w:rPr>
        <w:instrText xml:space="preserve"> PAGEREF _Toc66968132 \h </w:instrText>
      </w:r>
      <w:r w:rsidRPr="00A757E4">
        <w:rPr>
          <w:b w:val="0"/>
          <w:noProof/>
          <w:sz w:val="18"/>
        </w:rPr>
      </w:r>
      <w:r w:rsidRPr="00A757E4">
        <w:rPr>
          <w:b w:val="0"/>
          <w:noProof/>
          <w:sz w:val="18"/>
        </w:rPr>
        <w:fldChar w:fldCharType="separate"/>
      </w:r>
      <w:r w:rsidR="005722DF">
        <w:rPr>
          <w:b w:val="0"/>
          <w:noProof/>
          <w:sz w:val="18"/>
        </w:rPr>
        <w:t>22</w:t>
      </w:r>
      <w:r w:rsidRPr="00A757E4">
        <w:rPr>
          <w:b w:val="0"/>
          <w:noProof/>
          <w:sz w:val="18"/>
        </w:rPr>
        <w:fldChar w:fldCharType="end"/>
      </w:r>
    </w:p>
    <w:p w14:paraId="33ECB9CB" w14:textId="04C0D5DF" w:rsidR="00A757E4" w:rsidRDefault="00A757E4">
      <w:pPr>
        <w:pStyle w:val="TOC5"/>
        <w:rPr>
          <w:rFonts w:asciiTheme="minorHAnsi" w:eastAsiaTheme="minorEastAsia" w:hAnsiTheme="minorHAnsi" w:cstheme="minorBidi"/>
          <w:noProof/>
          <w:kern w:val="0"/>
          <w:sz w:val="22"/>
          <w:szCs w:val="22"/>
        </w:rPr>
      </w:pPr>
      <w:r>
        <w:rPr>
          <w:noProof/>
        </w:rPr>
        <w:t>30</w:t>
      </w:r>
      <w:r>
        <w:rPr>
          <w:noProof/>
        </w:rPr>
        <w:tab/>
        <w:t>Entitlement to, and amount of, payment for approved pharmacists and approved medical practitioners</w:t>
      </w:r>
      <w:r w:rsidRPr="00A757E4">
        <w:rPr>
          <w:noProof/>
        </w:rPr>
        <w:tab/>
      </w:r>
      <w:r w:rsidRPr="00A757E4">
        <w:rPr>
          <w:noProof/>
        </w:rPr>
        <w:fldChar w:fldCharType="begin"/>
      </w:r>
      <w:r w:rsidRPr="00A757E4">
        <w:rPr>
          <w:noProof/>
        </w:rPr>
        <w:instrText xml:space="preserve"> PAGEREF _Toc66968133 \h </w:instrText>
      </w:r>
      <w:r w:rsidRPr="00A757E4">
        <w:rPr>
          <w:noProof/>
        </w:rPr>
      </w:r>
      <w:r w:rsidRPr="00A757E4">
        <w:rPr>
          <w:noProof/>
        </w:rPr>
        <w:fldChar w:fldCharType="separate"/>
      </w:r>
      <w:r w:rsidR="005722DF">
        <w:rPr>
          <w:noProof/>
        </w:rPr>
        <w:t>22</w:t>
      </w:r>
      <w:r w:rsidRPr="00A757E4">
        <w:rPr>
          <w:noProof/>
        </w:rPr>
        <w:fldChar w:fldCharType="end"/>
      </w:r>
    </w:p>
    <w:p w14:paraId="1BA0768B" w14:textId="56A39417" w:rsidR="00A757E4" w:rsidRDefault="00A757E4">
      <w:pPr>
        <w:pStyle w:val="TOC5"/>
        <w:rPr>
          <w:rFonts w:asciiTheme="minorHAnsi" w:eastAsiaTheme="minorEastAsia" w:hAnsiTheme="minorHAnsi" w:cstheme="minorBidi"/>
          <w:noProof/>
          <w:kern w:val="0"/>
          <w:sz w:val="22"/>
          <w:szCs w:val="22"/>
        </w:rPr>
      </w:pPr>
      <w:r>
        <w:rPr>
          <w:noProof/>
        </w:rPr>
        <w:t>31</w:t>
      </w:r>
      <w:r>
        <w:rPr>
          <w:noProof/>
        </w:rPr>
        <w:tab/>
        <w:t>Rates of payment for approved hospital authorities for private hospitals (Act s 99(4))</w:t>
      </w:r>
      <w:r w:rsidRPr="00A757E4">
        <w:rPr>
          <w:noProof/>
        </w:rPr>
        <w:tab/>
      </w:r>
      <w:r w:rsidRPr="00A757E4">
        <w:rPr>
          <w:noProof/>
        </w:rPr>
        <w:fldChar w:fldCharType="begin"/>
      </w:r>
      <w:r w:rsidRPr="00A757E4">
        <w:rPr>
          <w:noProof/>
        </w:rPr>
        <w:instrText xml:space="preserve"> PAGEREF _Toc66968134 \h </w:instrText>
      </w:r>
      <w:r w:rsidRPr="00A757E4">
        <w:rPr>
          <w:noProof/>
        </w:rPr>
      </w:r>
      <w:r w:rsidRPr="00A757E4">
        <w:rPr>
          <w:noProof/>
        </w:rPr>
        <w:fldChar w:fldCharType="separate"/>
      </w:r>
      <w:r w:rsidR="005722DF">
        <w:rPr>
          <w:noProof/>
        </w:rPr>
        <w:t>22</w:t>
      </w:r>
      <w:r w:rsidRPr="00A757E4">
        <w:rPr>
          <w:noProof/>
        </w:rPr>
        <w:fldChar w:fldCharType="end"/>
      </w:r>
    </w:p>
    <w:p w14:paraId="75F06525" w14:textId="13D28AA1" w:rsidR="00A757E4" w:rsidRDefault="00A757E4">
      <w:pPr>
        <w:pStyle w:val="TOC5"/>
        <w:rPr>
          <w:rFonts w:asciiTheme="minorHAnsi" w:eastAsiaTheme="minorEastAsia" w:hAnsiTheme="minorHAnsi" w:cstheme="minorBidi"/>
          <w:noProof/>
          <w:kern w:val="0"/>
          <w:sz w:val="22"/>
          <w:szCs w:val="22"/>
        </w:rPr>
      </w:pPr>
      <w:r>
        <w:rPr>
          <w:noProof/>
        </w:rPr>
        <w:t>32</w:t>
      </w:r>
      <w:r>
        <w:rPr>
          <w:noProof/>
        </w:rPr>
        <w:tab/>
        <w:t>Dispensed price for approved suppliers other than approved hospital authorities for public hospitals</w:t>
      </w:r>
      <w:r w:rsidRPr="00A757E4">
        <w:rPr>
          <w:noProof/>
        </w:rPr>
        <w:tab/>
      </w:r>
      <w:r w:rsidRPr="00A757E4">
        <w:rPr>
          <w:noProof/>
        </w:rPr>
        <w:fldChar w:fldCharType="begin"/>
      </w:r>
      <w:r w:rsidRPr="00A757E4">
        <w:rPr>
          <w:noProof/>
        </w:rPr>
        <w:instrText xml:space="preserve"> PAGEREF _Toc66968135 \h </w:instrText>
      </w:r>
      <w:r w:rsidRPr="00A757E4">
        <w:rPr>
          <w:noProof/>
        </w:rPr>
      </w:r>
      <w:r w:rsidRPr="00A757E4">
        <w:rPr>
          <w:noProof/>
        </w:rPr>
        <w:fldChar w:fldCharType="separate"/>
      </w:r>
      <w:r w:rsidR="005722DF">
        <w:rPr>
          <w:noProof/>
        </w:rPr>
        <w:t>22</w:t>
      </w:r>
      <w:r w:rsidRPr="00A757E4">
        <w:rPr>
          <w:noProof/>
        </w:rPr>
        <w:fldChar w:fldCharType="end"/>
      </w:r>
    </w:p>
    <w:p w14:paraId="2265348E" w14:textId="6736FDD4" w:rsidR="00A757E4" w:rsidRDefault="00A757E4">
      <w:pPr>
        <w:pStyle w:val="TOC5"/>
        <w:rPr>
          <w:rFonts w:asciiTheme="minorHAnsi" w:eastAsiaTheme="minorEastAsia" w:hAnsiTheme="minorHAnsi" w:cstheme="minorBidi"/>
          <w:noProof/>
          <w:kern w:val="0"/>
          <w:sz w:val="22"/>
          <w:szCs w:val="22"/>
        </w:rPr>
      </w:pPr>
      <w:r>
        <w:rPr>
          <w:noProof/>
        </w:rPr>
        <w:t>33</w:t>
      </w:r>
      <w:r>
        <w:rPr>
          <w:noProof/>
        </w:rPr>
        <w:tab/>
        <w:t>Mark</w:t>
      </w:r>
      <w:r>
        <w:rPr>
          <w:noProof/>
        </w:rPr>
        <w:noBreakHyphen/>
        <w:t>up for ready</w:t>
      </w:r>
      <w:r>
        <w:rPr>
          <w:noProof/>
        </w:rPr>
        <w:noBreakHyphen/>
        <w:t>prepared pharmaceutical benefits</w:t>
      </w:r>
      <w:r w:rsidRPr="00A757E4">
        <w:rPr>
          <w:noProof/>
        </w:rPr>
        <w:tab/>
      </w:r>
      <w:r w:rsidRPr="00A757E4">
        <w:rPr>
          <w:noProof/>
        </w:rPr>
        <w:fldChar w:fldCharType="begin"/>
      </w:r>
      <w:r w:rsidRPr="00A757E4">
        <w:rPr>
          <w:noProof/>
        </w:rPr>
        <w:instrText xml:space="preserve"> PAGEREF _Toc66968136 \h </w:instrText>
      </w:r>
      <w:r w:rsidRPr="00A757E4">
        <w:rPr>
          <w:noProof/>
        </w:rPr>
      </w:r>
      <w:r w:rsidRPr="00A757E4">
        <w:rPr>
          <w:noProof/>
        </w:rPr>
        <w:fldChar w:fldCharType="separate"/>
      </w:r>
      <w:r w:rsidR="005722DF">
        <w:rPr>
          <w:noProof/>
        </w:rPr>
        <w:t>23</w:t>
      </w:r>
      <w:r w:rsidRPr="00A757E4">
        <w:rPr>
          <w:noProof/>
        </w:rPr>
        <w:fldChar w:fldCharType="end"/>
      </w:r>
    </w:p>
    <w:p w14:paraId="1F9DE5A8" w14:textId="031F87F4" w:rsidR="00A757E4" w:rsidRDefault="00A757E4">
      <w:pPr>
        <w:pStyle w:val="TOC5"/>
        <w:rPr>
          <w:rFonts w:asciiTheme="minorHAnsi" w:eastAsiaTheme="minorEastAsia" w:hAnsiTheme="minorHAnsi" w:cstheme="minorBidi"/>
          <w:noProof/>
          <w:kern w:val="0"/>
          <w:sz w:val="22"/>
          <w:szCs w:val="22"/>
        </w:rPr>
      </w:pPr>
      <w:r>
        <w:rPr>
          <w:noProof/>
        </w:rPr>
        <w:t>34</w:t>
      </w:r>
      <w:r>
        <w:rPr>
          <w:noProof/>
        </w:rPr>
        <w:tab/>
        <w:t>Dispensing fee</w:t>
      </w:r>
      <w:r w:rsidRPr="00A757E4">
        <w:rPr>
          <w:noProof/>
        </w:rPr>
        <w:tab/>
      </w:r>
      <w:r w:rsidRPr="00A757E4">
        <w:rPr>
          <w:noProof/>
        </w:rPr>
        <w:fldChar w:fldCharType="begin"/>
      </w:r>
      <w:r w:rsidRPr="00A757E4">
        <w:rPr>
          <w:noProof/>
        </w:rPr>
        <w:instrText xml:space="preserve"> PAGEREF _Toc66968137 \h </w:instrText>
      </w:r>
      <w:r w:rsidRPr="00A757E4">
        <w:rPr>
          <w:noProof/>
        </w:rPr>
      </w:r>
      <w:r w:rsidRPr="00A757E4">
        <w:rPr>
          <w:noProof/>
        </w:rPr>
        <w:fldChar w:fldCharType="separate"/>
      </w:r>
      <w:r w:rsidR="005722DF">
        <w:rPr>
          <w:noProof/>
        </w:rPr>
        <w:t>24</w:t>
      </w:r>
      <w:r w:rsidRPr="00A757E4">
        <w:rPr>
          <w:noProof/>
        </w:rPr>
        <w:fldChar w:fldCharType="end"/>
      </w:r>
    </w:p>
    <w:p w14:paraId="07802F1C" w14:textId="4094B6E6" w:rsidR="00A757E4" w:rsidRDefault="00A757E4">
      <w:pPr>
        <w:pStyle w:val="TOC2"/>
        <w:rPr>
          <w:rFonts w:asciiTheme="minorHAnsi" w:eastAsiaTheme="minorEastAsia" w:hAnsiTheme="minorHAnsi" w:cstheme="minorBidi"/>
          <w:b w:val="0"/>
          <w:noProof/>
          <w:kern w:val="0"/>
          <w:sz w:val="22"/>
          <w:szCs w:val="22"/>
        </w:rPr>
      </w:pPr>
      <w:r>
        <w:rPr>
          <w:noProof/>
        </w:rPr>
        <w:t>Part 4—Claims for payment for special arrangement supplies of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_Toc66968138 \h </w:instrText>
      </w:r>
      <w:r w:rsidRPr="00A757E4">
        <w:rPr>
          <w:b w:val="0"/>
          <w:noProof/>
          <w:sz w:val="18"/>
        </w:rPr>
      </w:r>
      <w:r w:rsidRPr="00A757E4">
        <w:rPr>
          <w:b w:val="0"/>
          <w:noProof/>
          <w:sz w:val="18"/>
        </w:rPr>
        <w:fldChar w:fldCharType="separate"/>
      </w:r>
      <w:r w:rsidR="005722DF">
        <w:rPr>
          <w:b w:val="0"/>
          <w:noProof/>
          <w:sz w:val="18"/>
        </w:rPr>
        <w:t>25</w:t>
      </w:r>
      <w:r w:rsidRPr="00A757E4">
        <w:rPr>
          <w:b w:val="0"/>
          <w:noProof/>
          <w:sz w:val="18"/>
        </w:rPr>
        <w:fldChar w:fldCharType="end"/>
      </w:r>
    </w:p>
    <w:p w14:paraId="5B9BE6D0" w14:textId="4ACF4339" w:rsidR="00A757E4" w:rsidRDefault="00A757E4">
      <w:pPr>
        <w:pStyle w:val="TOC5"/>
        <w:rPr>
          <w:rFonts w:asciiTheme="minorHAnsi" w:eastAsiaTheme="minorEastAsia" w:hAnsiTheme="minorHAnsi" w:cstheme="minorBidi"/>
          <w:noProof/>
          <w:kern w:val="0"/>
          <w:sz w:val="22"/>
          <w:szCs w:val="22"/>
        </w:rPr>
      </w:pPr>
      <w:r>
        <w:rPr>
          <w:noProof/>
        </w:rPr>
        <w:t>35</w:t>
      </w:r>
      <w:r>
        <w:rPr>
          <w:noProof/>
        </w:rPr>
        <w:tab/>
        <w:t xml:space="preserve">Rules for providing information about supplies—definition of </w:t>
      </w:r>
      <w:r w:rsidRPr="00EA2119">
        <w:rPr>
          <w:i/>
          <w:noProof/>
        </w:rPr>
        <w:t>under co</w:t>
      </w:r>
      <w:r w:rsidRPr="00EA2119">
        <w:rPr>
          <w:i/>
          <w:noProof/>
        </w:rPr>
        <w:noBreakHyphen/>
        <w:t>payment data</w:t>
      </w:r>
      <w:r w:rsidRPr="00A757E4">
        <w:rPr>
          <w:noProof/>
        </w:rPr>
        <w:tab/>
      </w:r>
      <w:r w:rsidRPr="00A757E4">
        <w:rPr>
          <w:noProof/>
        </w:rPr>
        <w:fldChar w:fldCharType="begin"/>
      </w:r>
      <w:r w:rsidRPr="00A757E4">
        <w:rPr>
          <w:noProof/>
        </w:rPr>
        <w:instrText xml:space="preserve"> PAGEREF _Toc66968139 \h </w:instrText>
      </w:r>
      <w:r w:rsidRPr="00A757E4">
        <w:rPr>
          <w:noProof/>
        </w:rPr>
      </w:r>
      <w:r w:rsidRPr="00A757E4">
        <w:rPr>
          <w:noProof/>
        </w:rPr>
        <w:fldChar w:fldCharType="separate"/>
      </w:r>
      <w:r w:rsidR="005722DF">
        <w:rPr>
          <w:noProof/>
        </w:rPr>
        <w:t>25</w:t>
      </w:r>
      <w:r w:rsidRPr="00A757E4">
        <w:rPr>
          <w:noProof/>
        </w:rPr>
        <w:fldChar w:fldCharType="end"/>
      </w:r>
    </w:p>
    <w:p w14:paraId="06F2A8C3" w14:textId="601C570F" w:rsidR="00A757E4" w:rsidRDefault="00A757E4">
      <w:pPr>
        <w:pStyle w:val="TOC2"/>
        <w:rPr>
          <w:rFonts w:asciiTheme="minorHAnsi" w:eastAsiaTheme="minorEastAsia" w:hAnsiTheme="minorHAnsi" w:cstheme="minorBidi"/>
          <w:b w:val="0"/>
          <w:noProof/>
          <w:kern w:val="0"/>
          <w:sz w:val="22"/>
          <w:szCs w:val="22"/>
        </w:rPr>
      </w:pPr>
      <w:r>
        <w:rPr>
          <w:noProof/>
        </w:rPr>
        <w:t>Part 5—Miscellaneous</w:t>
      </w:r>
      <w:r w:rsidRPr="00A757E4">
        <w:rPr>
          <w:b w:val="0"/>
          <w:noProof/>
          <w:sz w:val="18"/>
        </w:rPr>
        <w:tab/>
      </w:r>
      <w:r w:rsidRPr="00A757E4">
        <w:rPr>
          <w:b w:val="0"/>
          <w:noProof/>
          <w:sz w:val="18"/>
        </w:rPr>
        <w:fldChar w:fldCharType="begin"/>
      </w:r>
      <w:r w:rsidRPr="00A757E4">
        <w:rPr>
          <w:b w:val="0"/>
          <w:noProof/>
          <w:sz w:val="18"/>
        </w:rPr>
        <w:instrText xml:space="preserve"> PAGEREF _Toc66968140 \h </w:instrText>
      </w:r>
      <w:r w:rsidRPr="00A757E4">
        <w:rPr>
          <w:b w:val="0"/>
          <w:noProof/>
          <w:sz w:val="18"/>
        </w:rPr>
      </w:r>
      <w:r w:rsidRPr="00A757E4">
        <w:rPr>
          <w:b w:val="0"/>
          <w:noProof/>
          <w:sz w:val="18"/>
        </w:rPr>
        <w:fldChar w:fldCharType="separate"/>
      </w:r>
      <w:r w:rsidR="005722DF">
        <w:rPr>
          <w:b w:val="0"/>
          <w:noProof/>
          <w:sz w:val="18"/>
        </w:rPr>
        <w:t>26</w:t>
      </w:r>
      <w:r w:rsidRPr="00A757E4">
        <w:rPr>
          <w:b w:val="0"/>
          <w:noProof/>
          <w:sz w:val="18"/>
        </w:rPr>
        <w:fldChar w:fldCharType="end"/>
      </w:r>
    </w:p>
    <w:p w14:paraId="2640E33C" w14:textId="7CC49E83" w:rsidR="00A757E4" w:rsidRDefault="00A757E4">
      <w:pPr>
        <w:pStyle w:val="TOC5"/>
        <w:rPr>
          <w:rFonts w:asciiTheme="minorHAnsi" w:eastAsiaTheme="minorEastAsia" w:hAnsiTheme="minorHAnsi" w:cstheme="minorBidi"/>
          <w:noProof/>
          <w:kern w:val="0"/>
          <w:sz w:val="22"/>
          <w:szCs w:val="22"/>
        </w:rPr>
      </w:pPr>
      <w:r>
        <w:rPr>
          <w:noProof/>
        </w:rPr>
        <w:t>36</w:t>
      </w:r>
      <w:r>
        <w:rPr>
          <w:noProof/>
        </w:rPr>
        <w:tab/>
        <w:t>Compliance and audit arrangements</w:t>
      </w:r>
      <w:r w:rsidRPr="00A757E4">
        <w:rPr>
          <w:noProof/>
        </w:rPr>
        <w:tab/>
      </w:r>
      <w:r w:rsidRPr="00A757E4">
        <w:rPr>
          <w:noProof/>
        </w:rPr>
        <w:fldChar w:fldCharType="begin"/>
      </w:r>
      <w:r w:rsidRPr="00A757E4">
        <w:rPr>
          <w:noProof/>
        </w:rPr>
        <w:instrText xml:space="preserve"> PAGEREF _Toc66968141 \h </w:instrText>
      </w:r>
      <w:r w:rsidRPr="00A757E4">
        <w:rPr>
          <w:noProof/>
        </w:rPr>
      </w:r>
      <w:r w:rsidRPr="00A757E4">
        <w:rPr>
          <w:noProof/>
        </w:rPr>
        <w:fldChar w:fldCharType="separate"/>
      </w:r>
      <w:r w:rsidR="005722DF">
        <w:rPr>
          <w:noProof/>
        </w:rPr>
        <w:t>26</w:t>
      </w:r>
      <w:r w:rsidRPr="00A757E4">
        <w:rPr>
          <w:noProof/>
        </w:rPr>
        <w:fldChar w:fldCharType="end"/>
      </w:r>
    </w:p>
    <w:p w14:paraId="225A3696" w14:textId="4D7C194E" w:rsidR="00A757E4" w:rsidRDefault="00A757E4">
      <w:pPr>
        <w:pStyle w:val="TOC5"/>
        <w:rPr>
          <w:rFonts w:asciiTheme="minorHAnsi" w:eastAsiaTheme="minorEastAsia" w:hAnsiTheme="minorHAnsi" w:cstheme="minorBidi"/>
          <w:noProof/>
          <w:kern w:val="0"/>
          <w:sz w:val="22"/>
          <w:szCs w:val="22"/>
        </w:rPr>
      </w:pPr>
      <w:r>
        <w:rPr>
          <w:noProof/>
        </w:rPr>
        <w:t>37</w:t>
      </w:r>
      <w:r>
        <w:rPr>
          <w:noProof/>
        </w:rPr>
        <w:tab/>
      </w:r>
      <w:r w:rsidRPr="00EA2119">
        <w:rPr>
          <w:i/>
          <w:noProof/>
        </w:rPr>
        <w:t>Value for safety net purposes</w:t>
      </w:r>
      <w:r>
        <w:rPr>
          <w:noProof/>
        </w:rPr>
        <w:t xml:space="preserve"> for supplies</w:t>
      </w:r>
      <w:r w:rsidRPr="00A757E4">
        <w:rPr>
          <w:noProof/>
        </w:rPr>
        <w:tab/>
      </w:r>
      <w:r w:rsidRPr="00A757E4">
        <w:rPr>
          <w:noProof/>
        </w:rPr>
        <w:fldChar w:fldCharType="begin"/>
      </w:r>
      <w:r w:rsidRPr="00A757E4">
        <w:rPr>
          <w:noProof/>
        </w:rPr>
        <w:instrText xml:space="preserve"> PAGEREF _Toc66968142 \h </w:instrText>
      </w:r>
      <w:r w:rsidRPr="00A757E4">
        <w:rPr>
          <w:noProof/>
        </w:rPr>
      </w:r>
      <w:r w:rsidRPr="00A757E4">
        <w:rPr>
          <w:noProof/>
        </w:rPr>
        <w:fldChar w:fldCharType="separate"/>
      </w:r>
      <w:r w:rsidR="005722DF">
        <w:rPr>
          <w:noProof/>
        </w:rPr>
        <w:t>26</w:t>
      </w:r>
      <w:r w:rsidRPr="00A757E4">
        <w:rPr>
          <w:noProof/>
        </w:rPr>
        <w:fldChar w:fldCharType="end"/>
      </w:r>
    </w:p>
    <w:p w14:paraId="79ECDE66" w14:textId="3424AA19" w:rsidR="00A757E4" w:rsidRDefault="00A757E4">
      <w:pPr>
        <w:pStyle w:val="TOC2"/>
        <w:rPr>
          <w:rFonts w:asciiTheme="minorHAnsi" w:eastAsiaTheme="minorEastAsia" w:hAnsiTheme="minorHAnsi" w:cstheme="minorBidi"/>
          <w:b w:val="0"/>
          <w:noProof/>
          <w:kern w:val="0"/>
          <w:sz w:val="22"/>
          <w:szCs w:val="22"/>
        </w:rPr>
      </w:pPr>
      <w:r>
        <w:rPr>
          <w:noProof/>
        </w:rPr>
        <w:t>Part 6—Application, saving and transitional provisions</w:t>
      </w:r>
      <w:r w:rsidRPr="00A757E4">
        <w:rPr>
          <w:b w:val="0"/>
          <w:noProof/>
          <w:sz w:val="18"/>
        </w:rPr>
        <w:tab/>
      </w:r>
      <w:r w:rsidRPr="00A757E4">
        <w:rPr>
          <w:b w:val="0"/>
          <w:noProof/>
          <w:sz w:val="18"/>
        </w:rPr>
        <w:fldChar w:fldCharType="begin"/>
      </w:r>
      <w:r w:rsidRPr="00A757E4">
        <w:rPr>
          <w:b w:val="0"/>
          <w:noProof/>
          <w:sz w:val="18"/>
        </w:rPr>
        <w:instrText xml:space="preserve"> PAGEREF _Toc66968143 \h </w:instrText>
      </w:r>
      <w:r w:rsidRPr="00A757E4">
        <w:rPr>
          <w:b w:val="0"/>
          <w:noProof/>
          <w:sz w:val="18"/>
        </w:rPr>
      </w:r>
      <w:r w:rsidRPr="00A757E4">
        <w:rPr>
          <w:b w:val="0"/>
          <w:noProof/>
          <w:sz w:val="18"/>
        </w:rPr>
        <w:fldChar w:fldCharType="separate"/>
      </w:r>
      <w:r w:rsidR="005722DF">
        <w:rPr>
          <w:b w:val="0"/>
          <w:noProof/>
          <w:sz w:val="18"/>
        </w:rPr>
        <w:t>27</w:t>
      </w:r>
      <w:r w:rsidRPr="00A757E4">
        <w:rPr>
          <w:b w:val="0"/>
          <w:noProof/>
          <w:sz w:val="18"/>
        </w:rPr>
        <w:fldChar w:fldCharType="end"/>
      </w:r>
    </w:p>
    <w:p w14:paraId="0F1CDAF4" w14:textId="3CA31D78" w:rsidR="00A757E4" w:rsidRDefault="00A757E4">
      <w:pPr>
        <w:pStyle w:val="TOC3"/>
        <w:rPr>
          <w:rFonts w:asciiTheme="minorHAnsi" w:eastAsiaTheme="minorEastAsia" w:hAnsiTheme="minorHAnsi" w:cstheme="minorBidi"/>
          <w:b w:val="0"/>
          <w:noProof/>
          <w:kern w:val="0"/>
          <w:szCs w:val="22"/>
        </w:rPr>
      </w:pPr>
      <w:r>
        <w:rPr>
          <w:noProof/>
        </w:rPr>
        <w:t>Division 1—Provisions relating to this instrument as made</w:t>
      </w:r>
      <w:r w:rsidRPr="00A757E4">
        <w:rPr>
          <w:b w:val="0"/>
          <w:noProof/>
          <w:sz w:val="18"/>
        </w:rPr>
        <w:tab/>
      </w:r>
      <w:r w:rsidRPr="00A757E4">
        <w:rPr>
          <w:b w:val="0"/>
          <w:noProof/>
          <w:sz w:val="18"/>
        </w:rPr>
        <w:fldChar w:fldCharType="begin"/>
      </w:r>
      <w:r w:rsidRPr="00A757E4">
        <w:rPr>
          <w:b w:val="0"/>
          <w:noProof/>
          <w:sz w:val="18"/>
        </w:rPr>
        <w:instrText xml:space="preserve"> PAGEREF _Toc66968144 \h </w:instrText>
      </w:r>
      <w:r w:rsidRPr="00A757E4">
        <w:rPr>
          <w:b w:val="0"/>
          <w:noProof/>
          <w:sz w:val="18"/>
        </w:rPr>
      </w:r>
      <w:r w:rsidRPr="00A757E4">
        <w:rPr>
          <w:b w:val="0"/>
          <w:noProof/>
          <w:sz w:val="18"/>
        </w:rPr>
        <w:fldChar w:fldCharType="separate"/>
      </w:r>
      <w:r w:rsidR="005722DF">
        <w:rPr>
          <w:b w:val="0"/>
          <w:noProof/>
          <w:sz w:val="18"/>
        </w:rPr>
        <w:t>27</w:t>
      </w:r>
      <w:r w:rsidRPr="00A757E4">
        <w:rPr>
          <w:b w:val="0"/>
          <w:noProof/>
          <w:sz w:val="18"/>
        </w:rPr>
        <w:fldChar w:fldCharType="end"/>
      </w:r>
    </w:p>
    <w:p w14:paraId="61088BB2" w14:textId="36244615" w:rsidR="00A757E4" w:rsidRDefault="00A757E4">
      <w:pPr>
        <w:pStyle w:val="TOC5"/>
        <w:rPr>
          <w:rFonts w:asciiTheme="minorHAnsi" w:eastAsiaTheme="minorEastAsia" w:hAnsiTheme="minorHAnsi" w:cstheme="minorBidi"/>
          <w:noProof/>
          <w:kern w:val="0"/>
          <w:sz w:val="22"/>
          <w:szCs w:val="22"/>
        </w:rPr>
      </w:pPr>
      <w:r>
        <w:rPr>
          <w:noProof/>
        </w:rPr>
        <w:t>38</w:t>
      </w:r>
      <w:r>
        <w:rPr>
          <w:noProof/>
        </w:rPr>
        <w:tab/>
        <w:t>HSD hospital authorities</w:t>
      </w:r>
      <w:r w:rsidRPr="00A757E4">
        <w:rPr>
          <w:noProof/>
        </w:rPr>
        <w:tab/>
      </w:r>
      <w:r w:rsidRPr="00A757E4">
        <w:rPr>
          <w:noProof/>
        </w:rPr>
        <w:fldChar w:fldCharType="begin"/>
      </w:r>
      <w:r w:rsidRPr="00A757E4">
        <w:rPr>
          <w:noProof/>
        </w:rPr>
        <w:instrText xml:space="preserve"> PAGEREF _Toc66968145 \h </w:instrText>
      </w:r>
      <w:r w:rsidRPr="00A757E4">
        <w:rPr>
          <w:noProof/>
        </w:rPr>
      </w:r>
      <w:r w:rsidRPr="00A757E4">
        <w:rPr>
          <w:noProof/>
        </w:rPr>
        <w:fldChar w:fldCharType="separate"/>
      </w:r>
      <w:r w:rsidR="005722DF">
        <w:rPr>
          <w:noProof/>
        </w:rPr>
        <w:t>27</w:t>
      </w:r>
      <w:r w:rsidRPr="00A757E4">
        <w:rPr>
          <w:noProof/>
        </w:rPr>
        <w:fldChar w:fldCharType="end"/>
      </w:r>
    </w:p>
    <w:p w14:paraId="1FE40954" w14:textId="50C10AFE" w:rsidR="00A757E4" w:rsidRDefault="00A757E4">
      <w:pPr>
        <w:pStyle w:val="TOC1"/>
        <w:rPr>
          <w:rFonts w:asciiTheme="minorHAnsi" w:eastAsiaTheme="minorEastAsia" w:hAnsiTheme="minorHAnsi" w:cstheme="minorBidi"/>
          <w:b w:val="0"/>
          <w:noProof/>
          <w:kern w:val="0"/>
          <w:sz w:val="22"/>
          <w:szCs w:val="22"/>
        </w:rPr>
      </w:pPr>
      <w:r>
        <w:rPr>
          <w:noProof/>
        </w:rPr>
        <w:t>Schedule 1—HSD pharmaceutical benefits and related information</w:t>
      </w:r>
      <w:r w:rsidRPr="00A757E4">
        <w:rPr>
          <w:b w:val="0"/>
          <w:noProof/>
          <w:sz w:val="18"/>
        </w:rPr>
        <w:tab/>
      </w:r>
      <w:r w:rsidRPr="00A757E4">
        <w:rPr>
          <w:b w:val="0"/>
          <w:noProof/>
          <w:sz w:val="18"/>
        </w:rPr>
        <w:fldChar w:fldCharType="begin"/>
      </w:r>
      <w:r w:rsidRPr="00A757E4">
        <w:rPr>
          <w:b w:val="0"/>
          <w:noProof/>
          <w:sz w:val="18"/>
        </w:rPr>
        <w:instrText xml:space="preserve"> PAGEREF _Toc66968146 \h </w:instrText>
      </w:r>
      <w:r w:rsidRPr="00A757E4">
        <w:rPr>
          <w:b w:val="0"/>
          <w:noProof/>
          <w:sz w:val="18"/>
        </w:rPr>
      </w:r>
      <w:r w:rsidRPr="00A757E4">
        <w:rPr>
          <w:b w:val="0"/>
          <w:noProof/>
          <w:sz w:val="18"/>
        </w:rPr>
        <w:fldChar w:fldCharType="separate"/>
      </w:r>
      <w:r w:rsidR="005722DF">
        <w:rPr>
          <w:b w:val="0"/>
          <w:noProof/>
          <w:sz w:val="18"/>
        </w:rPr>
        <w:t>28</w:t>
      </w:r>
      <w:r w:rsidRPr="00A757E4">
        <w:rPr>
          <w:b w:val="0"/>
          <w:noProof/>
          <w:sz w:val="18"/>
        </w:rPr>
        <w:fldChar w:fldCharType="end"/>
      </w:r>
    </w:p>
    <w:p w14:paraId="0A4690F1" w14:textId="7019255B" w:rsidR="00A757E4" w:rsidRDefault="00A757E4">
      <w:pPr>
        <w:pStyle w:val="TOC5"/>
        <w:rPr>
          <w:rFonts w:asciiTheme="minorHAnsi" w:eastAsiaTheme="minorEastAsia" w:hAnsiTheme="minorHAnsi" w:cstheme="minorBidi"/>
          <w:noProof/>
          <w:kern w:val="0"/>
          <w:sz w:val="22"/>
          <w:szCs w:val="22"/>
        </w:rPr>
      </w:pPr>
      <w:r>
        <w:rPr>
          <w:noProof/>
        </w:rPr>
        <w:t>1</w:t>
      </w:r>
      <w:r>
        <w:rPr>
          <w:noProof/>
        </w:rPr>
        <w:tab/>
        <w:t>Highly specialised drugs and HSD pharmaceutical benefits</w:t>
      </w:r>
      <w:r w:rsidRPr="00A757E4">
        <w:rPr>
          <w:noProof/>
        </w:rPr>
        <w:tab/>
      </w:r>
      <w:r w:rsidRPr="00A757E4">
        <w:rPr>
          <w:noProof/>
        </w:rPr>
        <w:fldChar w:fldCharType="begin"/>
      </w:r>
      <w:r w:rsidRPr="00A757E4">
        <w:rPr>
          <w:noProof/>
        </w:rPr>
        <w:instrText xml:space="preserve"> PAGEREF _Toc66968147 \h </w:instrText>
      </w:r>
      <w:r w:rsidRPr="00A757E4">
        <w:rPr>
          <w:noProof/>
        </w:rPr>
      </w:r>
      <w:r w:rsidRPr="00A757E4">
        <w:rPr>
          <w:noProof/>
        </w:rPr>
        <w:fldChar w:fldCharType="separate"/>
      </w:r>
      <w:r w:rsidR="005722DF">
        <w:rPr>
          <w:noProof/>
        </w:rPr>
        <w:t>28</w:t>
      </w:r>
      <w:r w:rsidRPr="00A757E4">
        <w:rPr>
          <w:noProof/>
        </w:rPr>
        <w:fldChar w:fldCharType="end"/>
      </w:r>
    </w:p>
    <w:p w14:paraId="50333495" w14:textId="155033BF" w:rsidR="00A757E4" w:rsidRDefault="00A757E4">
      <w:pPr>
        <w:pStyle w:val="TOC1"/>
        <w:rPr>
          <w:rFonts w:asciiTheme="minorHAnsi" w:eastAsiaTheme="minorEastAsia" w:hAnsiTheme="minorHAnsi" w:cstheme="minorBidi"/>
          <w:b w:val="0"/>
          <w:noProof/>
          <w:kern w:val="0"/>
          <w:sz w:val="22"/>
          <w:szCs w:val="22"/>
        </w:rPr>
      </w:pPr>
      <w:r>
        <w:rPr>
          <w:noProof/>
        </w:rPr>
        <w:t>Schedule 2—Maximum quantities and repeats for certain HSD pharmaceutical benefits</w:t>
      </w:r>
      <w:r w:rsidRPr="00A757E4">
        <w:rPr>
          <w:b w:val="0"/>
          <w:noProof/>
          <w:sz w:val="18"/>
        </w:rPr>
        <w:tab/>
      </w:r>
      <w:r w:rsidRPr="00A757E4">
        <w:rPr>
          <w:b w:val="0"/>
          <w:noProof/>
          <w:sz w:val="18"/>
        </w:rPr>
        <w:fldChar w:fldCharType="begin"/>
      </w:r>
      <w:r w:rsidRPr="00A757E4">
        <w:rPr>
          <w:b w:val="0"/>
          <w:noProof/>
          <w:sz w:val="18"/>
        </w:rPr>
        <w:instrText xml:space="preserve"> PAGEREF _Toc66968148 \h </w:instrText>
      </w:r>
      <w:r w:rsidRPr="00A757E4">
        <w:rPr>
          <w:b w:val="0"/>
          <w:noProof/>
          <w:sz w:val="18"/>
        </w:rPr>
      </w:r>
      <w:r w:rsidRPr="00A757E4">
        <w:rPr>
          <w:b w:val="0"/>
          <w:noProof/>
          <w:sz w:val="18"/>
        </w:rPr>
        <w:fldChar w:fldCharType="separate"/>
      </w:r>
      <w:r w:rsidR="005722DF">
        <w:rPr>
          <w:b w:val="0"/>
          <w:noProof/>
          <w:sz w:val="18"/>
        </w:rPr>
        <w:t>76</w:t>
      </w:r>
      <w:r w:rsidRPr="00A757E4">
        <w:rPr>
          <w:b w:val="0"/>
          <w:noProof/>
          <w:sz w:val="18"/>
        </w:rPr>
        <w:fldChar w:fldCharType="end"/>
      </w:r>
    </w:p>
    <w:p w14:paraId="57751976" w14:textId="1CD8C3FB" w:rsidR="00A757E4" w:rsidRDefault="00A757E4">
      <w:pPr>
        <w:pStyle w:val="TOC5"/>
        <w:rPr>
          <w:rFonts w:asciiTheme="minorHAnsi" w:eastAsiaTheme="minorEastAsia" w:hAnsiTheme="minorHAnsi" w:cstheme="minorBidi"/>
          <w:noProof/>
          <w:kern w:val="0"/>
          <w:sz w:val="22"/>
          <w:szCs w:val="22"/>
        </w:rPr>
      </w:pPr>
      <w:r>
        <w:rPr>
          <w:noProof/>
        </w:rPr>
        <w:t>1</w:t>
      </w:r>
      <w:r>
        <w:rPr>
          <w:noProof/>
        </w:rPr>
        <w:tab/>
        <w:t>Maximum quantity or number of units and maximum number of repeats</w:t>
      </w:r>
      <w:r w:rsidRPr="00A757E4">
        <w:rPr>
          <w:noProof/>
        </w:rPr>
        <w:tab/>
      </w:r>
      <w:r w:rsidRPr="00A757E4">
        <w:rPr>
          <w:noProof/>
        </w:rPr>
        <w:fldChar w:fldCharType="begin"/>
      </w:r>
      <w:r w:rsidRPr="00A757E4">
        <w:rPr>
          <w:noProof/>
        </w:rPr>
        <w:instrText xml:space="preserve"> PAGEREF _Toc66968149 \h </w:instrText>
      </w:r>
      <w:r w:rsidRPr="00A757E4">
        <w:rPr>
          <w:noProof/>
        </w:rPr>
      </w:r>
      <w:r w:rsidRPr="00A757E4">
        <w:rPr>
          <w:noProof/>
        </w:rPr>
        <w:fldChar w:fldCharType="separate"/>
      </w:r>
      <w:r w:rsidR="005722DF">
        <w:rPr>
          <w:noProof/>
        </w:rPr>
        <w:t>76</w:t>
      </w:r>
      <w:r w:rsidRPr="00A757E4">
        <w:rPr>
          <w:noProof/>
        </w:rPr>
        <w:fldChar w:fldCharType="end"/>
      </w:r>
    </w:p>
    <w:p w14:paraId="425E9BD5" w14:textId="22E208A0" w:rsidR="00A757E4" w:rsidRDefault="00A757E4">
      <w:pPr>
        <w:pStyle w:val="TOC1"/>
        <w:rPr>
          <w:rFonts w:asciiTheme="minorHAnsi" w:eastAsiaTheme="minorEastAsia" w:hAnsiTheme="minorHAnsi" w:cstheme="minorBidi"/>
          <w:b w:val="0"/>
          <w:noProof/>
          <w:kern w:val="0"/>
          <w:sz w:val="22"/>
          <w:szCs w:val="22"/>
        </w:rPr>
      </w:pPr>
      <w:r>
        <w:rPr>
          <w:noProof/>
        </w:rPr>
        <w:t>Schedule 3—Circumstances and purposes</w:t>
      </w:r>
      <w:r w:rsidRPr="00A757E4">
        <w:rPr>
          <w:b w:val="0"/>
          <w:noProof/>
          <w:sz w:val="18"/>
        </w:rPr>
        <w:tab/>
      </w:r>
      <w:r w:rsidRPr="00A757E4">
        <w:rPr>
          <w:b w:val="0"/>
          <w:noProof/>
          <w:sz w:val="18"/>
        </w:rPr>
        <w:fldChar w:fldCharType="begin"/>
      </w:r>
      <w:r w:rsidRPr="00A757E4">
        <w:rPr>
          <w:b w:val="0"/>
          <w:noProof/>
          <w:sz w:val="18"/>
        </w:rPr>
        <w:instrText xml:space="preserve"> PAGEREF _Toc66968150 \h </w:instrText>
      </w:r>
      <w:r w:rsidRPr="00A757E4">
        <w:rPr>
          <w:b w:val="0"/>
          <w:noProof/>
          <w:sz w:val="18"/>
        </w:rPr>
      </w:r>
      <w:r w:rsidRPr="00A757E4">
        <w:rPr>
          <w:b w:val="0"/>
          <w:noProof/>
          <w:sz w:val="18"/>
        </w:rPr>
        <w:fldChar w:fldCharType="separate"/>
      </w:r>
      <w:r w:rsidR="005722DF">
        <w:rPr>
          <w:b w:val="0"/>
          <w:noProof/>
          <w:sz w:val="18"/>
        </w:rPr>
        <w:t>79</w:t>
      </w:r>
      <w:r w:rsidRPr="00A757E4">
        <w:rPr>
          <w:b w:val="0"/>
          <w:noProof/>
          <w:sz w:val="18"/>
        </w:rPr>
        <w:fldChar w:fldCharType="end"/>
      </w:r>
    </w:p>
    <w:p w14:paraId="428D1DA9" w14:textId="25CF97BF" w:rsidR="00A757E4" w:rsidRDefault="00A757E4">
      <w:pPr>
        <w:pStyle w:val="TOC5"/>
        <w:rPr>
          <w:rFonts w:asciiTheme="minorHAnsi" w:eastAsiaTheme="minorEastAsia" w:hAnsiTheme="minorHAnsi" w:cstheme="minorBidi"/>
          <w:noProof/>
          <w:kern w:val="0"/>
          <w:sz w:val="22"/>
          <w:szCs w:val="22"/>
        </w:rPr>
      </w:pPr>
      <w:r>
        <w:rPr>
          <w:noProof/>
        </w:rPr>
        <w:t>1</w:t>
      </w:r>
      <w:r>
        <w:rPr>
          <w:noProof/>
        </w:rPr>
        <w:tab/>
        <w:t>Circumstances and purposes</w:t>
      </w:r>
      <w:r w:rsidRPr="00A757E4">
        <w:rPr>
          <w:noProof/>
        </w:rPr>
        <w:tab/>
      </w:r>
      <w:r w:rsidRPr="00A757E4">
        <w:rPr>
          <w:noProof/>
        </w:rPr>
        <w:fldChar w:fldCharType="begin"/>
      </w:r>
      <w:r w:rsidRPr="00A757E4">
        <w:rPr>
          <w:noProof/>
        </w:rPr>
        <w:instrText xml:space="preserve"> PAGEREF _Toc66968151 \h </w:instrText>
      </w:r>
      <w:r w:rsidRPr="00A757E4">
        <w:rPr>
          <w:noProof/>
        </w:rPr>
      </w:r>
      <w:r w:rsidRPr="00A757E4">
        <w:rPr>
          <w:noProof/>
        </w:rPr>
        <w:fldChar w:fldCharType="separate"/>
      </w:r>
      <w:r w:rsidR="005722DF">
        <w:rPr>
          <w:noProof/>
        </w:rPr>
        <w:t>79</w:t>
      </w:r>
      <w:r w:rsidRPr="00A757E4">
        <w:rPr>
          <w:noProof/>
        </w:rPr>
        <w:fldChar w:fldCharType="end"/>
      </w:r>
    </w:p>
    <w:p w14:paraId="3AB7A9B9" w14:textId="3A7B7EED" w:rsidR="00A757E4" w:rsidRDefault="00A757E4">
      <w:pPr>
        <w:pStyle w:val="TOC1"/>
        <w:rPr>
          <w:rFonts w:asciiTheme="minorHAnsi" w:eastAsiaTheme="minorEastAsia" w:hAnsiTheme="minorHAnsi" w:cstheme="minorBidi"/>
          <w:b w:val="0"/>
          <w:noProof/>
          <w:kern w:val="0"/>
          <w:sz w:val="22"/>
          <w:szCs w:val="22"/>
        </w:rPr>
      </w:pPr>
      <w:r>
        <w:rPr>
          <w:noProof/>
        </w:rPr>
        <w:t>Schedule 4—HSD pharmaceutical benefits with modified prescription circumstances during COVID</w:t>
      </w:r>
      <w:r>
        <w:rPr>
          <w:noProof/>
        </w:rPr>
        <w:noBreakHyphen/>
        <w:t>19 pandemic</w:t>
      </w:r>
      <w:r w:rsidRPr="00A757E4">
        <w:rPr>
          <w:b w:val="0"/>
          <w:noProof/>
          <w:sz w:val="18"/>
        </w:rPr>
        <w:tab/>
      </w:r>
      <w:r w:rsidRPr="00A757E4">
        <w:rPr>
          <w:b w:val="0"/>
          <w:noProof/>
          <w:sz w:val="18"/>
        </w:rPr>
        <w:fldChar w:fldCharType="begin"/>
      </w:r>
      <w:r w:rsidRPr="00A757E4">
        <w:rPr>
          <w:b w:val="0"/>
          <w:noProof/>
          <w:sz w:val="18"/>
        </w:rPr>
        <w:instrText xml:space="preserve"> PAGEREF _Toc66968152 \h </w:instrText>
      </w:r>
      <w:r w:rsidRPr="00A757E4">
        <w:rPr>
          <w:b w:val="0"/>
          <w:noProof/>
          <w:sz w:val="18"/>
        </w:rPr>
      </w:r>
      <w:r w:rsidRPr="00A757E4">
        <w:rPr>
          <w:b w:val="0"/>
          <w:noProof/>
          <w:sz w:val="18"/>
        </w:rPr>
        <w:fldChar w:fldCharType="separate"/>
      </w:r>
      <w:r w:rsidR="005722DF">
        <w:rPr>
          <w:b w:val="0"/>
          <w:noProof/>
          <w:sz w:val="18"/>
        </w:rPr>
        <w:t>417</w:t>
      </w:r>
      <w:r w:rsidRPr="00A757E4">
        <w:rPr>
          <w:b w:val="0"/>
          <w:noProof/>
          <w:sz w:val="18"/>
        </w:rPr>
        <w:fldChar w:fldCharType="end"/>
      </w:r>
    </w:p>
    <w:p w14:paraId="32F6E311" w14:textId="42FC9AD1" w:rsidR="00A757E4" w:rsidRDefault="00A757E4">
      <w:pPr>
        <w:pStyle w:val="TOC5"/>
        <w:rPr>
          <w:rFonts w:asciiTheme="minorHAnsi" w:eastAsiaTheme="minorEastAsia" w:hAnsiTheme="minorHAnsi" w:cstheme="minorBidi"/>
          <w:noProof/>
          <w:kern w:val="0"/>
          <w:sz w:val="22"/>
          <w:szCs w:val="22"/>
        </w:rPr>
      </w:pPr>
      <w:r>
        <w:rPr>
          <w:noProof/>
        </w:rPr>
        <w:t>1</w:t>
      </w:r>
      <w:r>
        <w:rPr>
          <w:noProof/>
        </w:rPr>
        <w:tab/>
        <w:t>HSD pharmaceutical benefits with modified prescription circumstances during COVID</w:t>
      </w:r>
      <w:r>
        <w:rPr>
          <w:noProof/>
        </w:rPr>
        <w:noBreakHyphen/>
        <w:t>19 pandemic</w:t>
      </w:r>
      <w:r w:rsidRPr="00A757E4">
        <w:rPr>
          <w:noProof/>
        </w:rPr>
        <w:tab/>
      </w:r>
      <w:r w:rsidRPr="00A757E4">
        <w:rPr>
          <w:noProof/>
        </w:rPr>
        <w:fldChar w:fldCharType="begin"/>
      </w:r>
      <w:r w:rsidRPr="00A757E4">
        <w:rPr>
          <w:noProof/>
        </w:rPr>
        <w:instrText xml:space="preserve"> PAGEREF _Toc66968153 \h </w:instrText>
      </w:r>
      <w:r w:rsidRPr="00A757E4">
        <w:rPr>
          <w:noProof/>
        </w:rPr>
      </w:r>
      <w:r w:rsidRPr="00A757E4">
        <w:rPr>
          <w:noProof/>
        </w:rPr>
        <w:fldChar w:fldCharType="separate"/>
      </w:r>
      <w:r w:rsidR="005722DF">
        <w:rPr>
          <w:noProof/>
        </w:rPr>
        <w:t>417</w:t>
      </w:r>
      <w:r w:rsidRPr="00A757E4">
        <w:rPr>
          <w:noProof/>
        </w:rPr>
        <w:fldChar w:fldCharType="end"/>
      </w:r>
    </w:p>
    <w:p w14:paraId="4471DA3E" w14:textId="0376A733" w:rsidR="00A757E4" w:rsidRDefault="00A757E4">
      <w:pPr>
        <w:pStyle w:val="TOC6"/>
        <w:rPr>
          <w:rFonts w:asciiTheme="minorHAnsi" w:eastAsiaTheme="minorEastAsia" w:hAnsiTheme="minorHAnsi" w:cstheme="minorBidi"/>
          <w:b w:val="0"/>
          <w:noProof/>
          <w:kern w:val="0"/>
          <w:sz w:val="22"/>
          <w:szCs w:val="22"/>
        </w:rPr>
      </w:pPr>
      <w:r>
        <w:rPr>
          <w:noProof/>
        </w:rPr>
        <w:t>Schedule 5—Repeals</w:t>
      </w:r>
      <w:r w:rsidRPr="00A757E4">
        <w:rPr>
          <w:b w:val="0"/>
          <w:noProof/>
          <w:sz w:val="18"/>
        </w:rPr>
        <w:tab/>
      </w:r>
      <w:r w:rsidRPr="00A757E4">
        <w:rPr>
          <w:b w:val="0"/>
          <w:noProof/>
          <w:sz w:val="18"/>
        </w:rPr>
        <w:fldChar w:fldCharType="begin"/>
      </w:r>
      <w:r w:rsidRPr="00A757E4">
        <w:rPr>
          <w:b w:val="0"/>
          <w:noProof/>
          <w:sz w:val="18"/>
        </w:rPr>
        <w:instrText xml:space="preserve"> PAGEREF _Toc66968154 \h </w:instrText>
      </w:r>
      <w:r w:rsidRPr="00A757E4">
        <w:rPr>
          <w:b w:val="0"/>
          <w:noProof/>
          <w:sz w:val="18"/>
        </w:rPr>
      </w:r>
      <w:r w:rsidRPr="00A757E4">
        <w:rPr>
          <w:b w:val="0"/>
          <w:noProof/>
          <w:sz w:val="18"/>
        </w:rPr>
        <w:fldChar w:fldCharType="separate"/>
      </w:r>
      <w:r w:rsidR="005722DF">
        <w:rPr>
          <w:b w:val="0"/>
          <w:noProof/>
          <w:sz w:val="18"/>
        </w:rPr>
        <w:t>420</w:t>
      </w:r>
      <w:r w:rsidRPr="00A757E4">
        <w:rPr>
          <w:b w:val="0"/>
          <w:noProof/>
          <w:sz w:val="18"/>
        </w:rPr>
        <w:fldChar w:fldCharType="end"/>
      </w:r>
    </w:p>
    <w:p w14:paraId="5ECE58E9" w14:textId="61458B6A" w:rsidR="00A757E4" w:rsidRDefault="00A757E4">
      <w:pPr>
        <w:pStyle w:val="TOC9"/>
        <w:rPr>
          <w:rFonts w:asciiTheme="minorHAnsi" w:eastAsiaTheme="minorEastAsia" w:hAnsiTheme="minorHAnsi" w:cstheme="minorBidi"/>
          <w:i w:val="0"/>
          <w:noProof/>
          <w:kern w:val="0"/>
          <w:sz w:val="22"/>
          <w:szCs w:val="22"/>
        </w:rPr>
      </w:pPr>
      <w:r>
        <w:rPr>
          <w:noProof/>
        </w:rPr>
        <w:t>National Health (Highly specialised drugs program) Special Arrangement 2010 (PB 116 of 2010)</w:t>
      </w:r>
      <w:r w:rsidRPr="00A757E4">
        <w:rPr>
          <w:i w:val="0"/>
          <w:noProof/>
          <w:sz w:val="18"/>
        </w:rPr>
        <w:tab/>
      </w:r>
      <w:r w:rsidRPr="00A757E4">
        <w:rPr>
          <w:i w:val="0"/>
          <w:noProof/>
          <w:sz w:val="18"/>
        </w:rPr>
        <w:fldChar w:fldCharType="begin"/>
      </w:r>
      <w:r w:rsidRPr="00A757E4">
        <w:rPr>
          <w:i w:val="0"/>
          <w:noProof/>
          <w:sz w:val="18"/>
        </w:rPr>
        <w:instrText xml:space="preserve"> PAGEREF _Toc66968155 \h </w:instrText>
      </w:r>
      <w:r w:rsidRPr="00A757E4">
        <w:rPr>
          <w:i w:val="0"/>
          <w:noProof/>
          <w:sz w:val="18"/>
        </w:rPr>
      </w:r>
      <w:r w:rsidRPr="00A757E4">
        <w:rPr>
          <w:i w:val="0"/>
          <w:noProof/>
          <w:sz w:val="18"/>
        </w:rPr>
        <w:fldChar w:fldCharType="separate"/>
      </w:r>
      <w:r w:rsidR="005722DF">
        <w:rPr>
          <w:i w:val="0"/>
          <w:noProof/>
          <w:sz w:val="18"/>
        </w:rPr>
        <w:t>420</w:t>
      </w:r>
      <w:r w:rsidRPr="00A757E4">
        <w:rPr>
          <w:i w:val="0"/>
          <w:noProof/>
          <w:sz w:val="18"/>
        </w:rPr>
        <w:fldChar w:fldCharType="end"/>
      </w:r>
    </w:p>
    <w:p w14:paraId="2D35BB10" w14:textId="77777777" w:rsidR="00670EA1" w:rsidRPr="006D52A9" w:rsidRDefault="00A757E4" w:rsidP="00715914">
      <w:r>
        <w:fldChar w:fldCharType="end"/>
      </w:r>
    </w:p>
    <w:p w14:paraId="0156152E" w14:textId="77777777" w:rsidR="00670EA1" w:rsidRPr="006D52A9" w:rsidRDefault="00670EA1" w:rsidP="00715914">
      <w:pPr>
        <w:sectPr w:rsidR="00670EA1" w:rsidRPr="006D52A9" w:rsidSect="00C71894">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5E773A4F" w14:textId="77777777" w:rsidR="00715914" w:rsidRPr="006D52A9" w:rsidRDefault="007008C3" w:rsidP="00715914">
      <w:pPr>
        <w:pStyle w:val="ActHead2"/>
      </w:pPr>
      <w:bookmarkStart w:id="1" w:name="_Toc66968093"/>
      <w:r w:rsidRPr="00A757E4">
        <w:rPr>
          <w:rStyle w:val="CharPartNo"/>
        </w:rPr>
        <w:lastRenderedPageBreak/>
        <w:t>Part 1</w:t>
      </w:r>
      <w:r w:rsidR="00715914" w:rsidRPr="006D52A9">
        <w:t>—</w:t>
      </w:r>
      <w:r w:rsidR="00715914" w:rsidRPr="00A757E4">
        <w:rPr>
          <w:rStyle w:val="CharPartText"/>
        </w:rPr>
        <w:t>Preliminary</w:t>
      </w:r>
      <w:bookmarkEnd w:id="1"/>
    </w:p>
    <w:p w14:paraId="1F04D62C" w14:textId="77777777" w:rsidR="000C3639" w:rsidRPr="006D52A9" w:rsidRDefault="008A3D12" w:rsidP="000C3639">
      <w:pPr>
        <w:pStyle w:val="ActHead3"/>
      </w:pPr>
      <w:bookmarkStart w:id="2" w:name="_Toc66968094"/>
      <w:r w:rsidRPr="00A757E4">
        <w:rPr>
          <w:rStyle w:val="CharDivNo"/>
        </w:rPr>
        <w:t>Division 1</w:t>
      </w:r>
      <w:r w:rsidR="008641B6" w:rsidRPr="006D52A9">
        <w:t>—</w:t>
      </w:r>
      <w:r w:rsidR="008641B6" w:rsidRPr="00A757E4">
        <w:rPr>
          <w:rStyle w:val="CharDivText"/>
        </w:rPr>
        <w:t>General</w:t>
      </w:r>
      <w:bookmarkEnd w:id="2"/>
    </w:p>
    <w:p w14:paraId="17992363" w14:textId="77777777" w:rsidR="00715914" w:rsidRPr="006D52A9" w:rsidRDefault="005F407C" w:rsidP="00715914">
      <w:pPr>
        <w:pStyle w:val="ActHead5"/>
      </w:pPr>
      <w:bookmarkStart w:id="3" w:name="_Toc66968095"/>
      <w:r w:rsidRPr="00A757E4">
        <w:rPr>
          <w:rStyle w:val="CharSectno"/>
        </w:rPr>
        <w:t>1</w:t>
      </w:r>
      <w:r w:rsidR="00715914" w:rsidRPr="006D52A9">
        <w:t xml:space="preserve">  </w:t>
      </w:r>
      <w:r w:rsidR="00CE493D" w:rsidRPr="006D52A9">
        <w:t>Name</w:t>
      </w:r>
      <w:bookmarkEnd w:id="3"/>
    </w:p>
    <w:p w14:paraId="68EF58CA" w14:textId="2494980A" w:rsidR="00715914" w:rsidRPr="006D52A9" w:rsidRDefault="00715914" w:rsidP="00715914">
      <w:pPr>
        <w:pStyle w:val="subsection"/>
      </w:pPr>
      <w:r w:rsidRPr="006D52A9">
        <w:tab/>
      </w:r>
      <w:r w:rsidR="001A743B" w:rsidRPr="006D52A9">
        <w:t>(1)</w:t>
      </w:r>
      <w:r w:rsidRPr="006D52A9">
        <w:tab/>
      </w:r>
      <w:r w:rsidR="00190D02" w:rsidRPr="006D52A9">
        <w:t>This instrument is</w:t>
      </w:r>
      <w:r w:rsidR="00CE493D" w:rsidRPr="006D52A9">
        <w:t xml:space="preserve"> the </w:t>
      </w:r>
      <w:r w:rsidR="00BC76AC" w:rsidRPr="006D52A9">
        <w:rPr>
          <w:i/>
        </w:rPr>
        <w:fldChar w:fldCharType="begin"/>
      </w:r>
      <w:r w:rsidR="00BC76AC" w:rsidRPr="006D52A9">
        <w:rPr>
          <w:i/>
        </w:rPr>
        <w:instrText xml:space="preserve"> STYLEREF  ShortT </w:instrText>
      </w:r>
      <w:r w:rsidR="00BC76AC" w:rsidRPr="006D52A9">
        <w:rPr>
          <w:i/>
        </w:rPr>
        <w:fldChar w:fldCharType="separate"/>
      </w:r>
      <w:r w:rsidR="005722DF">
        <w:rPr>
          <w:i/>
          <w:noProof/>
        </w:rPr>
        <w:t>National Health (Highly Specialised Drugs Program) Special Arrangement 2021</w:t>
      </w:r>
      <w:r w:rsidR="00BC76AC" w:rsidRPr="006D52A9">
        <w:rPr>
          <w:i/>
        </w:rPr>
        <w:fldChar w:fldCharType="end"/>
      </w:r>
      <w:r w:rsidRPr="006D52A9">
        <w:t>.</w:t>
      </w:r>
    </w:p>
    <w:p w14:paraId="412E36B1" w14:textId="77777777" w:rsidR="001A743B" w:rsidRPr="006D52A9" w:rsidRDefault="001A743B" w:rsidP="001A743B">
      <w:pPr>
        <w:pStyle w:val="subsection"/>
      </w:pPr>
      <w:r w:rsidRPr="006D52A9">
        <w:tab/>
        <w:t>(2)</w:t>
      </w:r>
      <w:r w:rsidRPr="006D52A9">
        <w:tab/>
        <w:t>This instrument may a</w:t>
      </w:r>
      <w:r w:rsidR="00AC60F6" w:rsidRPr="006D52A9">
        <w:t xml:space="preserve">lso be cited as PB </w:t>
      </w:r>
      <w:r w:rsidR="008572AB" w:rsidRPr="006D52A9">
        <w:t>27</w:t>
      </w:r>
      <w:r w:rsidR="00AC60F6" w:rsidRPr="006D52A9">
        <w:t xml:space="preserve"> of </w:t>
      </w:r>
      <w:r w:rsidR="00727AE8" w:rsidRPr="006D52A9">
        <w:t>2021</w:t>
      </w:r>
      <w:r w:rsidRPr="006D52A9">
        <w:t>.</w:t>
      </w:r>
    </w:p>
    <w:p w14:paraId="24F50110" w14:textId="77777777" w:rsidR="00715914" w:rsidRPr="006D52A9" w:rsidRDefault="005F407C" w:rsidP="00715914">
      <w:pPr>
        <w:pStyle w:val="ActHead5"/>
      </w:pPr>
      <w:bookmarkStart w:id="4" w:name="_Toc66968096"/>
      <w:r w:rsidRPr="00A757E4">
        <w:rPr>
          <w:rStyle w:val="CharSectno"/>
        </w:rPr>
        <w:t>2</w:t>
      </w:r>
      <w:r w:rsidR="00715914" w:rsidRPr="006D52A9">
        <w:t xml:space="preserve">  Commencement</w:t>
      </w:r>
      <w:bookmarkEnd w:id="4"/>
    </w:p>
    <w:p w14:paraId="663697B4" w14:textId="77777777" w:rsidR="00AE3652" w:rsidRPr="006D52A9" w:rsidRDefault="00807626" w:rsidP="00AE3652">
      <w:pPr>
        <w:pStyle w:val="subsection"/>
      </w:pPr>
      <w:r w:rsidRPr="006D52A9">
        <w:tab/>
      </w:r>
      <w:r w:rsidR="00AE3652" w:rsidRPr="006D52A9">
        <w:t>(1)</w:t>
      </w:r>
      <w:r w:rsidR="00AE3652" w:rsidRPr="006D52A9">
        <w:tab/>
        <w:t xml:space="preserve">Each provision of </w:t>
      </w:r>
      <w:r w:rsidR="00190D02" w:rsidRPr="006D52A9">
        <w:t>this instrument</w:t>
      </w:r>
      <w:r w:rsidR="00AE3652" w:rsidRPr="006D52A9">
        <w:t xml:space="preserve"> specified in column 1 of the table commences, or is taken to have commenced, in accordance with column 2 of the table. Any other statement in column 2 has effect according to its terms.</w:t>
      </w:r>
    </w:p>
    <w:p w14:paraId="5766CCE0" w14:textId="77777777" w:rsidR="00AE3652" w:rsidRPr="006D52A9"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6D52A9" w14:paraId="1799157B" w14:textId="77777777" w:rsidTr="00BE5990">
        <w:trPr>
          <w:tblHeader/>
        </w:trPr>
        <w:tc>
          <w:tcPr>
            <w:tcW w:w="5000" w:type="pct"/>
            <w:gridSpan w:val="3"/>
            <w:tcBorders>
              <w:top w:val="single" w:sz="12" w:space="0" w:color="auto"/>
              <w:bottom w:val="single" w:sz="6" w:space="0" w:color="auto"/>
            </w:tcBorders>
            <w:shd w:val="clear" w:color="auto" w:fill="auto"/>
            <w:hideMark/>
          </w:tcPr>
          <w:p w14:paraId="1DCE8A37" w14:textId="77777777" w:rsidR="00AE3652" w:rsidRPr="006D52A9" w:rsidRDefault="00AE3652" w:rsidP="00DC35C8">
            <w:pPr>
              <w:pStyle w:val="TableHeading"/>
            </w:pPr>
            <w:r w:rsidRPr="006D52A9">
              <w:t>Commencement information</w:t>
            </w:r>
          </w:p>
        </w:tc>
      </w:tr>
      <w:tr w:rsidR="00AE3652" w:rsidRPr="006D52A9" w14:paraId="4F37FB2E" w14:textId="77777777" w:rsidTr="00BE5990">
        <w:trPr>
          <w:tblHeader/>
        </w:trPr>
        <w:tc>
          <w:tcPr>
            <w:tcW w:w="1272" w:type="pct"/>
            <w:tcBorders>
              <w:top w:val="single" w:sz="6" w:space="0" w:color="auto"/>
              <w:bottom w:val="single" w:sz="6" w:space="0" w:color="auto"/>
            </w:tcBorders>
            <w:shd w:val="clear" w:color="auto" w:fill="auto"/>
            <w:hideMark/>
          </w:tcPr>
          <w:p w14:paraId="66D9DDAF" w14:textId="77777777" w:rsidR="00AE3652" w:rsidRPr="006D52A9" w:rsidRDefault="00AE3652" w:rsidP="00DC35C8">
            <w:pPr>
              <w:pStyle w:val="TableHeading"/>
            </w:pPr>
            <w:r w:rsidRPr="006D52A9">
              <w:t>Column 1</w:t>
            </w:r>
          </w:p>
        </w:tc>
        <w:tc>
          <w:tcPr>
            <w:tcW w:w="2627" w:type="pct"/>
            <w:tcBorders>
              <w:top w:val="single" w:sz="6" w:space="0" w:color="auto"/>
              <w:bottom w:val="single" w:sz="6" w:space="0" w:color="auto"/>
            </w:tcBorders>
            <w:shd w:val="clear" w:color="auto" w:fill="auto"/>
            <w:hideMark/>
          </w:tcPr>
          <w:p w14:paraId="4F1A5FC9" w14:textId="77777777" w:rsidR="00AE3652" w:rsidRPr="006D52A9" w:rsidRDefault="00AE3652" w:rsidP="00DC35C8">
            <w:pPr>
              <w:pStyle w:val="TableHeading"/>
            </w:pPr>
            <w:r w:rsidRPr="006D52A9">
              <w:t>Column 2</w:t>
            </w:r>
          </w:p>
        </w:tc>
        <w:tc>
          <w:tcPr>
            <w:tcW w:w="1102" w:type="pct"/>
            <w:tcBorders>
              <w:top w:val="single" w:sz="6" w:space="0" w:color="auto"/>
              <w:bottom w:val="single" w:sz="6" w:space="0" w:color="auto"/>
            </w:tcBorders>
            <w:shd w:val="clear" w:color="auto" w:fill="auto"/>
            <w:hideMark/>
          </w:tcPr>
          <w:p w14:paraId="41D97A5C" w14:textId="77777777" w:rsidR="00AE3652" w:rsidRPr="006D52A9" w:rsidRDefault="00AE3652" w:rsidP="00DC35C8">
            <w:pPr>
              <w:pStyle w:val="TableHeading"/>
            </w:pPr>
            <w:r w:rsidRPr="006D52A9">
              <w:t>Column 3</w:t>
            </w:r>
          </w:p>
        </w:tc>
      </w:tr>
      <w:tr w:rsidR="00AE3652" w:rsidRPr="006D52A9" w14:paraId="6E33F58C" w14:textId="77777777" w:rsidTr="00BE5990">
        <w:trPr>
          <w:tblHeader/>
        </w:trPr>
        <w:tc>
          <w:tcPr>
            <w:tcW w:w="1272" w:type="pct"/>
            <w:tcBorders>
              <w:top w:val="single" w:sz="6" w:space="0" w:color="auto"/>
              <w:bottom w:val="single" w:sz="12" w:space="0" w:color="auto"/>
            </w:tcBorders>
            <w:shd w:val="clear" w:color="auto" w:fill="auto"/>
            <w:hideMark/>
          </w:tcPr>
          <w:p w14:paraId="31ABF2CC" w14:textId="77777777" w:rsidR="00AE3652" w:rsidRPr="006D52A9" w:rsidRDefault="00AE3652" w:rsidP="00DC35C8">
            <w:pPr>
              <w:pStyle w:val="TableHeading"/>
            </w:pPr>
            <w:r w:rsidRPr="006D52A9">
              <w:t>Provisions</w:t>
            </w:r>
          </w:p>
        </w:tc>
        <w:tc>
          <w:tcPr>
            <w:tcW w:w="2627" w:type="pct"/>
            <w:tcBorders>
              <w:top w:val="single" w:sz="6" w:space="0" w:color="auto"/>
              <w:bottom w:val="single" w:sz="12" w:space="0" w:color="auto"/>
            </w:tcBorders>
            <w:shd w:val="clear" w:color="auto" w:fill="auto"/>
            <w:hideMark/>
          </w:tcPr>
          <w:p w14:paraId="2C8E42D8" w14:textId="77777777" w:rsidR="00AE3652" w:rsidRPr="006D52A9" w:rsidRDefault="00AE3652" w:rsidP="00DC35C8">
            <w:pPr>
              <w:pStyle w:val="TableHeading"/>
            </w:pPr>
            <w:r w:rsidRPr="006D52A9">
              <w:t>Commencement</w:t>
            </w:r>
          </w:p>
        </w:tc>
        <w:tc>
          <w:tcPr>
            <w:tcW w:w="1102" w:type="pct"/>
            <w:tcBorders>
              <w:top w:val="single" w:sz="6" w:space="0" w:color="auto"/>
              <w:bottom w:val="single" w:sz="12" w:space="0" w:color="auto"/>
            </w:tcBorders>
            <w:shd w:val="clear" w:color="auto" w:fill="auto"/>
            <w:hideMark/>
          </w:tcPr>
          <w:p w14:paraId="68A71DED" w14:textId="77777777" w:rsidR="00AE3652" w:rsidRPr="006D52A9" w:rsidRDefault="00AE3652" w:rsidP="00DC35C8">
            <w:pPr>
              <w:pStyle w:val="TableHeading"/>
            </w:pPr>
            <w:r w:rsidRPr="006D52A9">
              <w:t>Date/Details</w:t>
            </w:r>
          </w:p>
        </w:tc>
      </w:tr>
      <w:tr w:rsidR="00AE3652" w:rsidRPr="006D52A9" w14:paraId="4B68DF7B" w14:textId="77777777" w:rsidTr="00BE5990">
        <w:tc>
          <w:tcPr>
            <w:tcW w:w="1272" w:type="pct"/>
            <w:tcBorders>
              <w:top w:val="single" w:sz="12" w:space="0" w:color="auto"/>
              <w:bottom w:val="single" w:sz="12" w:space="0" w:color="auto"/>
            </w:tcBorders>
            <w:shd w:val="clear" w:color="auto" w:fill="auto"/>
            <w:hideMark/>
          </w:tcPr>
          <w:p w14:paraId="5A5FDDA4" w14:textId="77777777" w:rsidR="00AE3652" w:rsidRPr="006D52A9" w:rsidRDefault="00AE3652" w:rsidP="00DC35C8">
            <w:pPr>
              <w:pStyle w:val="Tabletext"/>
            </w:pPr>
            <w:r w:rsidRPr="006D52A9">
              <w:t xml:space="preserve">1.  The whole of </w:t>
            </w:r>
            <w:r w:rsidR="00190D02" w:rsidRPr="006D52A9">
              <w:t>this instrument</w:t>
            </w:r>
          </w:p>
        </w:tc>
        <w:tc>
          <w:tcPr>
            <w:tcW w:w="2627" w:type="pct"/>
            <w:tcBorders>
              <w:top w:val="single" w:sz="12" w:space="0" w:color="auto"/>
              <w:bottom w:val="single" w:sz="12" w:space="0" w:color="auto"/>
            </w:tcBorders>
            <w:shd w:val="clear" w:color="auto" w:fill="auto"/>
            <w:hideMark/>
          </w:tcPr>
          <w:p w14:paraId="2AC6B811" w14:textId="77777777" w:rsidR="00AE3652" w:rsidRPr="006D52A9" w:rsidRDefault="008A3D12" w:rsidP="00DC35C8">
            <w:pPr>
              <w:pStyle w:val="Tabletext"/>
            </w:pPr>
            <w:r w:rsidRPr="006D52A9">
              <w:t>1 April</w:t>
            </w:r>
            <w:r w:rsidR="004E3ED1" w:rsidRPr="006D52A9">
              <w:t xml:space="preserve"> 2021</w:t>
            </w:r>
            <w:r w:rsidR="00AE3652" w:rsidRPr="006D52A9">
              <w:t>.</w:t>
            </w:r>
          </w:p>
        </w:tc>
        <w:tc>
          <w:tcPr>
            <w:tcW w:w="1102" w:type="pct"/>
            <w:tcBorders>
              <w:top w:val="single" w:sz="12" w:space="0" w:color="auto"/>
              <w:bottom w:val="single" w:sz="12" w:space="0" w:color="auto"/>
            </w:tcBorders>
            <w:shd w:val="clear" w:color="auto" w:fill="auto"/>
          </w:tcPr>
          <w:p w14:paraId="249035B3" w14:textId="77777777" w:rsidR="00AE3652" w:rsidRPr="006D52A9" w:rsidRDefault="008A3D12" w:rsidP="00DC35C8">
            <w:pPr>
              <w:pStyle w:val="Tabletext"/>
            </w:pPr>
            <w:r w:rsidRPr="006D52A9">
              <w:t>1 April</w:t>
            </w:r>
            <w:r w:rsidR="004E3ED1" w:rsidRPr="006D52A9">
              <w:t xml:space="preserve"> 2021</w:t>
            </w:r>
          </w:p>
        </w:tc>
      </w:tr>
    </w:tbl>
    <w:p w14:paraId="11524827" w14:textId="77777777" w:rsidR="00AE3652" w:rsidRPr="006D52A9" w:rsidRDefault="00AE3652" w:rsidP="00AE3652">
      <w:pPr>
        <w:pStyle w:val="notetext"/>
      </w:pPr>
      <w:r w:rsidRPr="006D52A9">
        <w:rPr>
          <w:snapToGrid w:val="0"/>
          <w:lang w:eastAsia="en-US"/>
        </w:rPr>
        <w:t>Note:</w:t>
      </w:r>
      <w:r w:rsidRPr="006D52A9">
        <w:rPr>
          <w:snapToGrid w:val="0"/>
          <w:lang w:eastAsia="en-US"/>
        </w:rPr>
        <w:tab/>
        <w:t xml:space="preserve">This table relates only to the provisions of </w:t>
      </w:r>
      <w:r w:rsidR="00190D02" w:rsidRPr="006D52A9">
        <w:rPr>
          <w:snapToGrid w:val="0"/>
          <w:lang w:eastAsia="en-US"/>
        </w:rPr>
        <w:t>this instrument</w:t>
      </w:r>
      <w:r w:rsidRPr="006D52A9">
        <w:t xml:space="preserve"> </w:t>
      </w:r>
      <w:r w:rsidRPr="006D52A9">
        <w:rPr>
          <w:snapToGrid w:val="0"/>
          <w:lang w:eastAsia="en-US"/>
        </w:rPr>
        <w:t xml:space="preserve">as originally made. It will not be amended to deal with any later amendments of </w:t>
      </w:r>
      <w:r w:rsidR="00190D02" w:rsidRPr="006D52A9">
        <w:rPr>
          <w:snapToGrid w:val="0"/>
          <w:lang w:eastAsia="en-US"/>
        </w:rPr>
        <w:t>this instrument</w:t>
      </w:r>
      <w:r w:rsidRPr="006D52A9">
        <w:rPr>
          <w:snapToGrid w:val="0"/>
          <w:lang w:eastAsia="en-US"/>
        </w:rPr>
        <w:t>.</w:t>
      </w:r>
    </w:p>
    <w:p w14:paraId="1CA6CB2C" w14:textId="77777777" w:rsidR="00807626" w:rsidRPr="006D52A9" w:rsidRDefault="00AE3652" w:rsidP="00AE3652">
      <w:pPr>
        <w:pStyle w:val="subsection"/>
      </w:pPr>
      <w:r w:rsidRPr="006D52A9">
        <w:tab/>
        <w:t>(2)</w:t>
      </w:r>
      <w:r w:rsidRPr="006D52A9">
        <w:tab/>
        <w:t xml:space="preserve">Any information in column 3 of the table is not part of </w:t>
      </w:r>
      <w:r w:rsidR="00190D02" w:rsidRPr="006D52A9">
        <w:t>this instrument</w:t>
      </w:r>
      <w:r w:rsidRPr="006D52A9">
        <w:t xml:space="preserve">. Information may be inserted in this column, or information in it may be edited, in any published version of </w:t>
      </w:r>
      <w:r w:rsidR="00190D02" w:rsidRPr="006D52A9">
        <w:t>this instrument</w:t>
      </w:r>
      <w:r w:rsidRPr="006D52A9">
        <w:t>.</w:t>
      </w:r>
    </w:p>
    <w:p w14:paraId="45CD2A01" w14:textId="77777777" w:rsidR="007500C8" w:rsidRPr="006D52A9" w:rsidRDefault="005F407C" w:rsidP="007500C8">
      <w:pPr>
        <w:pStyle w:val="ActHead5"/>
      </w:pPr>
      <w:bookmarkStart w:id="5" w:name="_Toc66968097"/>
      <w:r w:rsidRPr="00A757E4">
        <w:rPr>
          <w:rStyle w:val="CharSectno"/>
        </w:rPr>
        <w:t>3</w:t>
      </w:r>
      <w:r w:rsidR="007500C8" w:rsidRPr="006D52A9">
        <w:t xml:space="preserve">  Authority</w:t>
      </w:r>
      <w:bookmarkEnd w:id="5"/>
    </w:p>
    <w:p w14:paraId="6AD14C17" w14:textId="77777777" w:rsidR="00157B8B" w:rsidRPr="006D52A9" w:rsidRDefault="007500C8" w:rsidP="007E667A">
      <w:pPr>
        <w:pStyle w:val="subsection"/>
      </w:pPr>
      <w:r w:rsidRPr="006D52A9">
        <w:tab/>
      </w:r>
      <w:r w:rsidRPr="006D52A9">
        <w:tab/>
      </w:r>
      <w:r w:rsidR="00190D02" w:rsidRPr="006D52A9">
        <w:t>This instrument is</w:t>
      </w:r>
      <w:r w:rsidRPr="006D52A9">
        <w:t xml:space="preserve"> made under </w:t>
      </w:r>
      <w:r w:rsidR="008A3D12" w:rsidRPr="006D52A9">
        <w:t>sections 8</w:t>
      </w:r>
      <w:r w:rsidR="006E3141" w:rsidRPr="006D52A9">
        <w:t>5,</w:t>
      </w:r>
      <w:r w:rsidR="004A2982" w:rsidRPr="006D52A9">
        <w:t xml:space="preserve"> 85A,</w:t>
      </w:r>
      <w:r w:rsidR="0044370B" w:rsidRPr="006D52A9">
        <w:t xml:space="preserve"> 88</w:t>
      </w:r>
      <w:r w:rsidR="007243EB" w:rsidRPr="006D52A9">
        <w:t xml:space="preserve">, </w:t>
      </w:r>
      <w:r w:rsidR="00A66117" w:rsidRPr="006D52A9">
        <w:t>99</w:t>
      </w:r>
      <w:r w:rsidR="0007695F" w:rsidRPr="006D52A9">
        <w:t xml:space="preserve"> </w:t>
      </w:r>
      <w:r w:rsidR="0044370B" w:rsidRPr="006D52A9">
        <w:t>and</w:t>
      </w:r>
      <w:r w:rsidR="000B6A22" w:rsidRPr="006D52A9">
        <w:t> 1</w:t>
      </w:r>
      <w:r w:rsidR="00E30043" w:rsidRPr="006D52A9">
        <w:t xml:space="preserve">00 of </w:t>
      </w:r>
      <w:r w:rsidRPr="006D52A9">
        <w:t xml:space="preserve">the </w:t>
      </w:r>
      <w:r w:rsidR="00E30043" w:rsidRPr="006D52A9">
        <w:rPr>
          <w:i/>
        </w:rPr>
        <w:t>National Health Act 1953</w:t>
      </w:r>
      <w:r w:rsidR="00F4350D" w:rsidRPr="006D52A9">
        <w:t>.</w:t>
      </w:r>
    </w:p>
    <w:p w14:paraId="7A61057D" w14:textId="77777777" w:rsidR="006636F4" w:rsidRPr="006D52A9" w:rsidRDefault="005F407C" w:rsidP="006636F4">
      <w:pPr>
        <w:pStyle w:val="ActHead5"/>
      </w:pPr>
      <w:bookmarkStart w:id="6" w:name="_Toc66968098"/>
      <w:r w:rsidRPr="00A757E4">
        <w:rPr>
          <w:rStyle w:val="CharSectno"/>
        </w:rPr>
        <w:t>4</w:t>
      </w:r>
      <w:r w:rsidR="006636F4" w:rsidRPr="006D52A9">
        <w:t xml:space="preserve">  Schedules</w:t>
      </w:r>
      <w:bookmarkEnd w:id="6"/>
    </w:p>
    <w:p w14:paraId="771C856B" w14:textId="77777777" w:rsidR="006636F4" w:rsidRPr="006D52A9" w:rsidRDefault="006636F4" w:rsidP="006636F4">
      <w:pPr>
        <w:pStyle w:val="subsection"/>
      </w:pPr>
      <w:r w:rsidRPr="006D52A9">
        <w:tab/>
      </w:r>
      <w:r w:rsidRPr="006D52A9">
        <w:tab/>
        <w:t>Each instrument that is specified in a Schedule to this instrument is amended or repealed as set out in the applicable items in the Schedule concerned, and any other item in a Schedule to this instrument has effect according to its terms.</w:t>
      </w:r>
    </w:p>
    <w:p w14:paraId="1C374133" w14:textId="77777777" w:rsidR="00ED19EC" w:rsidRPr="006D52A9" w:rsidRDefault="005F407C" w:rsidP="00ED19EC">
      <w:pPr>
        <w:pStyle w:val="ActHead5"/>
      </w:pPr>
      <w:bookmarkStart w:id="7" w:name="_Toc66968099"/>
      <w:r w:rsidRPr="00A757E4">
        <w:rPr>
          <w:rStyle w:val="CharSectno"/>
        </w:rPr>
        <w:t>5</w:t>
      </w:r>
      <w:r w:rsidR="00ED19EC" w:rsidRPr="006D52A9">
        <w:t xml:space="preserve">  Simplified outline of this instrument</w:t>
      </w:r>
      <w:bookmarkEnd w:id="7"/>
    </w:p>
    <w:p w14:paraId="0ECD0797" w14:textId="77777777" w:rsidR="00300085" w:rsidRPr="006D52A9" w:rsidRDefault="00EA5A86" w:rsidP="00ED19EC">
      <w:pPr>
        <w:pStyle w:val="SOText"/>
      </w:pPr>
      <w:r w:rsidRPr="006D52A9">
        <w:t xml:space="preserve">This instrument makes a special arrangement for the supply of </w:t>
      </w:r>
      <w:r w:rsidR="00F533D3" w:rsidRPr="006D52A9">
        <w:t xml:space="preserve">pharmaceutical benefits that contain </w:t>
      </w:r>
      <w:r w:rsidRPr="006D52A9">
        <w:t xml:space="preserve">highly specialised drugs </w:t>
      </w:r>
      <w:r w:rsidR="0055274A" w:rsidRPr="006D52A9">
        <w:rPr>
          <w:color w:val="000000"/>
          <w:shd w:val="clear" w:color="auto" w:fill="FFFFFF"/>
        </w:rPr>
        <w:t>for the</w:t>
      </w:r>
      <w:r w:rsidRPr="006D52A9">
        <w:rPr>
          <w:color w:val="000000"/>
          <w:shd w:val="clear" w:color="auto" w:fill="FFFFFF"/>
        </w:rPr>
        <w:t xml:space="preserve"> treatment </w:t>
      </w:r>
      <w:r w:rsidR="0055274A" w:rsidRPr="006D52A9">
        <w:rPr>
          <w:color w:val="000000"/>
          <w:shd w:val="clear" w:color="auto" w:fill="FFFFFF"/>
        </w:rPr>
        <w:t xml:space="preserve">of </w:t>
      </w:r>
      <w:r w:rsidRPr="006D52A9">
        <w:rPr>
          <w:color w:val="000000"/>
          <w:shd w:val="clear" w:color="auto" w:fill="FFFFFF"/>
        </w:rPr>
        <w:t>chronic conditions</w:t>
      </w:r>
      <w:r w:rsidR="00300085" w:rsidRPr="006D52A9">
        <w:t>.</w:t>
      </w:r>
    </w:p>
    <w:p w14:paraId="6AA8D8F6" w14:textId="77777777" w:rsidR="00ED19EC" w:rsidRPr="006D52A9" w:rsidRDefault="008F58D2" w:rsidP="00ED19EC">
      <w:pPr>
        <w:pStyle w:val="SOText"/>
      </w:pPr>
      <w:r w:rsidRPr="006D52A9">
        <w:t>Restrictions apply to the prescribing and supply of these</w:t>
      </w:r>
      <w:r w:rsidR="00300085" w:rsidRPr="006D52A9">
        <w:t xml:space="preserve"> benefits because of their clinical </w:t>
      </w:r>
      <w:r w:rsidR="00425335" w:rsidRPr="006D52A9">
        <w:t>use and other special features.</w:t>
      </w:r>
    </w:p>
    <w:p w14:paraId="6A983C8B" w14:textId="77777777" w:rsidR="00425335" w:rsidRPr="006D52A9" w:rsidRDefault="00425335" w:rsidP="00ED19EC">
      <w:pPr>
        <w:pStyle w:val="SOText"/>
      </w:pPr>
      <w:r w:rsidRPr="006D52A9">
        <w:lastRenderedPageBreak/>
        <w:t>The prescribing of these benefits is in most cases limited to practitioners who have undertaken particular training or are affiliated with a specialised hospital unit.</w:t>
      </w:r>
    </w:p>
    <w:p w14:paraId="6D577EE7" w14:textId="77777777" w:rsidR="002252C3" w:rsidRPr="006D52A9" w:rsidRDefault="002252C3" w:rsidP="00ED19EC">
      <w:pPr>
        <w:pStyle w:val="SOText"/>
      </w:pPr>
      <w:r w:rsidRPr="006D52A9">
        <w:t xml:space="preserve">The </w:t>
      </w:r>
      <w:r w:rsidR="00425335" w:rsidRPr="006D52A9">
        <w:t xml:space="preserve">supply of these </w:t>
      </w:r>
      <w:r w:rsidRPr="006D52A9">
        <w:t xml:space="preserve">benefits </w:t>
      </w:r>
      <w:r w:rsidR="00425335" w:rsidRPr="006D52A9">
        <w:t xml:space="preserve">is restricted </w:t>
      </w:r>
      <w:r w:rsidRPr="006D52A9">
        <w:t>to persons who are receiving treatment by medical practitioners and authorised nurse practitioners.</w:t>
      </w:r>
    </w:p>
    <w:p w14:paraId="50AC5F06" w14:textId="77777777" w:rsidR="002252C3" w:rsidRPr="006D52A9" w:rsidRDefault="00361CE9" w:rsidP="00ED19EC">
      <w:pPr>
        <w:pStyle w:val="SOText"/>
      </w:pPr>
      <w:r w:rsidRPr="006D52A9">
        <w:t>The</w:t>
      </w:r>
      <w:r w:rsidR="00425335" w:rsidRPr="006D52A9">
        <w:t>s</w:t>
      </w:r>
      <w:r w:rsidRPr="006D52A9">
        <w:t xml:space="preserve">e </w:t>
      </w:r>
      <w:r w:rsidR="002252C3" w:rsidRPr="006D52A9">
        <w:t>benefits will be supplied by</w:t>
      </w:r>
      <w:r w:rsidR="003F5224" w:rsidRPr="006D52A9">
        <w:t xml:space="preserve"> approved suppliers (</w:t>
      </w:r>
      <w:r w:rsidR="002252C3" w:rsidRPr="006D52A9">
        <w:t>public and private hospitals</w:t>
      </w:r>
      <w:r w:rsidR="003F5224" w:rsidRPr="006D52A9">
        <w:t xml:space="preserve">, </w:t>
      </w:r>
      <w:r w:rsidR="002252C3" w:rsidRPr="006D52A9">
        <w:t>community pharmacies</w:t>
      </w:r>
      <w:r w:rsidR="003F5224" w:rsidRPr="006D52A9">
        <w:t xml:space="preserve"> and certain medical practitioners</w:t>
      </w:r>
      <w:r w:rsidR="002252C3" w:rsidRPr="006D52A9">
        <w:t>).</w:t>
      </w:r>
    </w:p>
    <w:p w14:paraId="7FC653CD" w14:textId="77777777" w:rsidR="00842518" w:rsidRPr="006D52A9" w:rsidRDefault="00842518" w:rsidP="00ED19EC">
      <w:pPr>
        <w:pStyle w:val="SOText"/>
      </w:pPr>
      <w:r w:rsidRPr="006D52A9">
        <w:t xml:space="preserve">This instrument also deals with </w:t>
      </w:r>
      <w:r w:rsidR="00E27547" w:rsidRPr="006D52A9">
        <w:t xml:space="preserve">payments for supplies of </w:t>
      </w:r>
      <w:r w:rsidR="00A05587" w:rsidRPr="006D52A9">
        <w:t xml:space="preserve">these </w:t>
      </w:r>
      <w:r w:rsidR="00E27547" w:rsidRPr="006D52A9">
        <w:t>pharmaceutical benefits.</w:t>
      </w:r>
    </w:p>
    <w:p w14:paraId="7689CB84" w14:textId="77777777" w:rsidR="00ED19EC" w:rsidRPr="006D52A9" w:rsidRDefault="00ED19EC" w:rsidP="00ED19EC">
      <w:pPr>
        <w:pStyle w:val="notetext"/>
      </w:pPr>
      <w:r w:rsidRPr="006D52A9">
        <w:t>Note:</w:t>
      </w:r>
      <w:r w:rsidRPr="006D52A9">
        <w:tab/>
      </w:r>
      <w:r w:rsidR="000B6A22" w:rsidRPr="006D52A9">
        <w:t>Part V</w:t>
      </w:r>
      <w:r w:rsidRPr="006D52A9">
        <w:t xml:space="preserve">II of the Act, and regulations or other instruments made for the purposes of that Part, have effect subject to this instrument (see </w:t>
      </w:r>
      <w:r w:rsidR="006D52A9">
        <w:t>sub</w:t>
      </w:r>
      <w:r w:rsidR="00D66D59">
        <w:t>section 1</w:t>
      </w:r>
      <w:r w:rsidRPr="006D52A9">
        <w:t>00(3) of the Act).</w:t>
      </w:r>
    </w:p>
    <w:p w14:paraId="1F518476" w14:textId="77777777" w:rsidR="006B0D76" w:rsidRPr="006D52A9" w:rsidRDefault="005F407C" w:rsidP="006B0D76">
      <w:pPr>
        <w:pStyle w:val="ActHead5"/>
      </w:pPr>
      <w:bookmarkStart w:id="8" w:name="_Toc66968100"/>
      <w:r w:rsidRPr="00A757E4">
        <w:rPr>
          <w:rStyle w:val="CharSectno"/>
        </w:rPr>
        <w:t>6</w:t>
      </w:r>
      <w:r w:rsidR="006B0D76" w:rsidRPr="006D52A9">
        <w:t xml:space="preserve">  Definitions</w:t>
      </w:r>
      <w:bookmarkEnd w:id="8"/>
    </w:p>
    <w:p w14:paraId="15535FF0" w14:textId="77777777" w:rsidR="00ED19EC" w:rsidRPr="006D52A9" w:rsidRDefault="00ED19EC" w:rsidP="00ED19EC">
      <w:pPr>
        <w:pStyle w:val="notetext"/>
      </w:pPr>
      <w:r w:rsidRPr="006D52A9">
        <w:t>Note</w:t>
      </w:r>
      <w:r w:rsidR="00D72F83" w:rsidRPr="006D52A9">
        <w:t xml:space="preserve"> 1</w:t>
      </w:r>
      <w:r w:rsidRPr="006D52A9">
        <w:t>:</w:t>
      </w:r>
      <w:r w:rsidRPr="006D52A9">
        <w:tab/>
        <w:t>A number of expressions used in this instrument are defined in the Act, including the following:</w:t>
      </w:r>
    </w:p>
    <w:p w14:paraId="3A942F16" w14:textId="77777777" w:rsidR="005E6CB2" w:rsidRPr="006D52A9" w:rsidRDefault="00ED19EC" w:rsidP="00ED19EC">
      <w:pPr>
        <w:pStyle w:val="notepara"/>
      </w:pPr>
      <w:r w:rsidRPr="006D52A9">
        <w:t>(a)</w:t>
      </w:r>
      <w:r w:rsidRPr="006D52A9">
        <w:tab/>
      </w:r>
      <w:r w:rsidR="005E6CB2" w:rsidRPr="006D52A9">
        <w:t>Chief Executive Medicare;</w:t>
      </w:r>
    </w:p>
    <w:p w14:paraId="61DF41F9" w14:textId="77777777" w:rsidR="00ED19EC" w:rsidRPr="006D52A9" w:rsidRDefault="005E6CB2" w:rsidP="00ED19EC">
      <w:pPr>
        <w:pStyle w:val="notepara"/>
      </w:pPr>
      <w:r w:rsidRPr="006D52A9">
        <w:t>(b)</w:t>
      </w:r>
      <w:r w:rsidRPr="006D52A9">
        <w:tab/>
      </w:r>
      <w:r w:rsidR="00ED19EC" w:rsidRPr="006D52A9">
        <w:t>hospital;</w:t>
      </w:r>
    </w:p>
    <w:p w14:paraId="4CF2C546" w14:textId="77777777" w:rsidR="005E6CB2" w:rsidRPr="006D52A9" w:rsidRDefault="00127DD5" w:rsidP="00ED19EC">
      <w:pPr>
        <w:pStyle w:val="notepara"/>
      </w:pPr>
      <w:r w:rsidRPr="006D52A9">
        <w:t>(c)</w:t>
      </w:r>
      <w:r w:rsidRPr="006D52A9">
        <w:tab/>
        <w:t>public hospital.</w:t>
      </w:r>
    </w:p>
    <w:p w14:paraId="1886E3C7" w14:textId="77777777" w:rsidR="00D72F83" w:rsidRPr="006D52A9" w:rsidRDefault="00D72F83" w:rsidP="00D72F83">
      <w:pPr>
        <w:pStyle w:val="notetext"/>
      </w:pPr>
      <w:r w:rsidRPr="006D52A9">
        <w:t>Note 2:</w:t>
      </w:r>
      <w:r w:rsidRPr="006D52A9">
        <w:tab/>
        <w:t xml:space="preserve">Under </w:t>
      </w:r>
      <w:r w:rsidR="000B6A22" w:rsidRPr="006D52A9">
        <w:t>subsection 4</w:t>
      </w:r>
      <w:r w:rsidRPr="006D52A9">
        <w:t xml:space="preserve">(1A) of the Act, a word or phrase defined for the purposes of the </w:t>
      </w:r>
      <w:r w:rsidRPr="006D52A9">
        <w:rPr>
          <w:i/>
        </w:rPr>
        <w:t>Health Insurance Act 1973</w:t>
      </w:r>
      <w:r w:rsidRPr="006D52A9">
        <w:t xml:space="preserve"> has the meaning that it would have if used in that Act. Expressions used in this instrument that are defined in that Act include the following:</w:t>
      </w:r>
    </w:p>
    <w:p w14:paraId="09DCF880" w14:textId="77777777" w:rsidR="000B0A11" w:rsidRPr="006D52A9" w:rsidRDefault="00D72F83" w:rsidP="00D72F83">
      <w:pPr>
        <w:pStyle w:val="notepara"/>
      </w:pPr>
      <w:r w:rsidRPr="006D52A9">
        <w:t>(a)</w:t>
      </w:r>
      <w:r w:rsidRPr="006D52A9">
        <w:tab/>
      </w:r>
      <w:r w:rsidR="000B0A11" w:rsidRPr="006D52A9">
        <w:t>eligible person;</w:t>
      </w:r>
    </w:p>
    <w:p w14:paraId="7D360A9B" w14:textId="77777777" w:rsidR="00D72F83" w:rsidRPr="006D52A9" w:rsidRDefault="000B0A11" w:rsidP="00D72F83">
      <w:pPr>
        <w:pStyle w:val="notepara"/>
      </w:pPr>
      <w:r w:rsidRPr="006D52A9">
        <w:t>(b)</w:t>
      </w:r>
      <w:r w:rsidRPr="006D52A9">
        <w:tab/>
      </w:r>
      <w:r w:rsidR="00D72F83" w:rsidRPr="006D52A9">
        <w:t>medical practitioner;</w:t>
      </w:r>
    </w:p>
    <w:p w14:paraId="1D41E0C9" w14:textId="77777777" w:rsidR="00BA4FC4" w:rsidRPr="006D52A9" w:rsidRDefault="00D72F83" w:rsidP="00D72F83">
      <w:pPr>
        <w:pStyle w:val="notepara"/>
      </w:pPr>
      <w:r w:rsidRPr="006D52A9">
        <w:t>(</w:t>
      </w:r>
      <w:r w:rsidR="000B0A11" w:rsidRPr="006D52A9">
        <w:t>c</w:t>
      </w:r>
      <w:r w:rsidRPr="006D52A9">
        <w:t>)</w:t>
      </w:r>
      <w:r w:rsidRPr="006D52A9">
        <w:tab/>
        <w:t>private hospital</w:t>
      </w:r>
      <w:r w:rsidR="00127DD5" w:rsidRPr="006D52A9">
        <w:t>;</w:t>
      </w:r>
    </w:p>
    <w:p w14:paraId="035937E5" w14:textId="77777777" w:rsidR="00D72F83" w:rsidRPr="006D52A9" w:rsidRDefault="00BA4FC4" w:rsidP="00D72F83">
      <w:pPr>
        <w:pStyle w:val="notepara"/>
      </w:pPr>
      <w:r w:rsidRPr="006D52A9">
        <w:t>(d)</w:t>
      </w:r>
      <w:r w:rsidRPr="006D52A9">
        <w:tab/>
        <w:t>specialist</w:t>
      </w:r>
      <w:r w:rsidR="00D72F83" w:rsidRPr="006D52A9">
        <w:t>.</w:t>
      </w:r>
    </w:p>
    <w:p w14:paraId="10C1FA80" w14:textId="77777777" w:rsidR="00ED19EC" w:rsidRPr="006D52A9" w:rsidRDefault="005E6CB2" w:rsidP="00ED19EC">
      <w:pPr>
        <w:pStyle w:val="subsection"/>
      </w:pPr>
      <w:r w:rsidRPr="006D52A9">
        <w:tab/>
      </w:r>
      <w:r w:rsidR="00ED19EC" w:rsidRPr="006D52A9">
        <w:tab/>
        <w:t>In this instrument:</w:t>
      </w:r>
    </w:p>
    <w:p w14:paraId="7CB3BDB7" w14:textId="77777777" w:rsidR="006B0D76" w:rsidRPr="006D52A9" w:rsidRDefault="006B0D76" w:rsidP="006B0D76">
      <w:pPr>
        <w:pStyle w:val="Definition"/>
      </w:pPr>
      <w:r w:rsidRPr="006D52A9">
        <w:rPr>
          <w:b/>
          <w:bCs/>
          <w:i/>
          <w:iCs/>
        </w:rPr>
        <w:t>accredited prescriber of medication for the treatment of hepatitis B</w:t>
      </w:r>
      <w:r w:rsidRPr="006D52A9">
        <w:t xml:space="preserve"> means a medical practitioner, or an authorised nurse practitioner, approved by a State or Territory to prescribe medication for the treatment of hepatitis B </w:t>
      </w:r>
      <w:r w:rsidR="00F54F0A" w:rsidRPr="006D52A9">
        <w:t>in accordance with</w:t>
      </w:r>
      <w:r w:rsidRPr="006D52A9">
        <w:t xml:space="preserve"> this </w:t>
      </w:r>
      <w:r w:rsidR="00B61C90" w:rsidRPr="006D52A9">
        <w:t>instrument</w:t>
      </w:r>
      <w:r w:rsidRPr="006D52A9">
        <w:t>.</w:t>
      </w:r>
    </w:p>
    <w:p w14:paraId="1681FEAF" w14:textId="77777777" w:rsidR="006B0D76" w:rsidRPr="006D52A9" w:rsidRDefault="006B0D76" w:rsidP="006B0D76">
      <w:pPr>
        <w:pStyle w:val="Definition"/>
      </w:pPr>
      <w:r w:rsidRPr="006D52A9">
        <w:rPr>
          <w:b/>
          <w:bCs/>
          <w:i/>
          <w:iCs/>
        </w:rPr>
        <w:t>accredited prescriber of medication for the treatment of hepatitis C</w:t>
      </w:r>
      <w:r w:rsidRPr="006D52A9">
        <w:t xml:space="preserve"> means a medical practitioner, or an authorised nurse practitioner, approved by a State or Territory to prescribe medication for the treatment of hepatitis C </w:t>
      </w:r>
      <w:r w:rsidR="00F54F0A" w:rsidRPr="006D52A9">
        <w:t xml:space="preserve">in accordance with </w:t>
      </w:r>
      <w:r w:rsidRPr="006D52A9">
        <w:t xml:space="preserve">this </w:t>
      </w:r>
      <w:r w:rsidR="00B61C90" w:rsidRPr="006D52A9">
        <w:t>instrument</w:t>
      </w:r>
      <w:r w:rsidRPr="006D52A9">
        <w:t>.</w:t>
      </w:r>
    </w:p>
    <w:p w14:paraId="141433F4" w14:textId="77777777" w:rsidR="006B0D76" w:rsidRPr="006D52A9" w:rsidRDefault="006B0D76" w:rsidP="006B0D76">
      <w:pPr>
        <w:pStyle w:val="Definition"/>
      </w:pPr>
      <w:r w:rsidRPr="006D52A9">
        <w:rPr>
          <w:b/>
          <w:bCs/>
          <w:i/>
          <w:iCs/>
        </w:rPr>
        <w:t>accredited prescriber of medication for the treatment of HIV or AIDS</w:t>
      </w:r>
      <w:r w:rsidRPr="006D52A9">
        <w:t xml:space="preserve"> means a medical practitioner, or an authorised nurse practitioner, approved by a State or Territory to prescribe medication for the treatment of HIV or AIDS </w:t>
      </w:r>
      <w:r w:rsidR="00F54F0A" w:rsidRPr="006D52A9">
        <w:t xml:space="preserve">in accordance with </w:t>
      </w:r>
      <w:r w:rsidRPr="006D52A9">
        <w:t xml:space="preserve">this </w:t>
      </w:r>
      <w:r w:rsidR="00B61C90" w:rsidRPr="006D52A9">
        <w:t>instrument</w:t>
      </w:r>
      <w:r w:rsidRPr="006D52A9">
        <w:t>.</w:t>
      </w:r>
    </w:p>
    <w:p w14:paraId="6619C9D7" w14:textId="77777777" w:rsidR="006B0D76" w:rsidRPr="006D52A9" w:rsidRDefault="006B0D76" w:rsidP="006B0D76">
      <w:pPr>
        <w:pStyle w:val="Definition"/>
      </w:pPr>
      <w:r w:rsidRPr="006D52A9">
        <w:rPr>
          <w:b/>
          <w:bCs/>
          <w:i/>
          <w:iCs/>
        </w:rPr>
        <w:t>accredited prescriber of medication for the treatment of</w:t>
      </w:r>
      <w:r w:rsidRPr="006D52A9">
        <w:rPr>
          <w:b/>
          <w:i/>
        </w:rPr>
        <w:t xml:space="preserve"> schizophrenia</w:t>
      </w:r>
      <w:r w:rsidRPr="006D52A9">
        <w:t xml:space="preserve"> means a medical practitioner approved by a State or Territory to prescribe medication for the treatment of schizophrenia </w:t>
      </w:r>
      <w:r w:rsidR="00F54F0A" w:rsidRPr="006D52A9">
        <w:t xml:space="preserve">in accordance with </w:t>
      </w:r>
      <w:r w:rsidRPr="006D52A9">
        <w:t xml:space="preserve">this </w:t>
      </w:r>
      <w:r w:rsidR="00B61C90" w:rsidRPr="006D52A9">
        <w:t>instrument</w:t>
      </w:r>
      <w:r w:rsidRPr="006D52A9">
        <w:t>.</w:t>
      </w:r>
    </w:p>
    <w:p w14:paraId="066131C6" w14:textId="77777777" w:rsidR="006B0D76" w:rsidRPr="006D52A9" w:rsidRDefault="006B0D76" w:rsidP="006B0D76">
      <w:pPr>
        <w:pStyle w:val="Definition"/>
        <w:rPr>
          <w:b/>
          <w:i/>
          <w:color w:val="000000"/>
        </w:rPr>
      </w:pPr>
      <w:r w:rsidRPr="006D52A9">
        <w:rPr>
          <w:b/>
          <w:bCs/>
          <w:i/>
          <w:iCs/>
          <w:color w:val="000000"/>
        </w:rPr>
        <w:t>Act</w:t>
      </w:r>
      <w:r w:rsidRPr="006D52A9">
        <w:rPr>
          <w:color w:val="000000"/>
        </w:rPr>
        <w:t xml:space="preserve"> means the </w:t>
      </w:r>
      <w:r w:rsidRPr="006D52A9">
        <w:rPr>
          <w:i/>
          <w:iCs/>
          <w:color w:val="000000"/>
        </w:rPr>
        <w:t>National Health Act 1953</w:t>
      </w:r>
      <w:r w:rsidRPr="006D52A9">
        <w:rPr>
          <w:color w:val="000000"/>
        </w:rPr>
        <w:t>.</w:t>
      </w:r>
    </w:p>
    <w:p w14:paraId="59BF2549" w14:textId="77777777" w:rsidR="008858E4" w:rsidRPr="006D52A9" w:rsidRDefault="008858E4" w:rsidP="008858E4">
      <w:pPr>
        <w:pStyle w:val="Definition"/>
      </w:pPr>
      <w:r w:rsidRPr="006D52A9">
        <w:rPr>
          <w:b/>
          <w:i/>
        </w:rPr>
        <w:t>affiliated</w:t>
      </w:r>
      <w:r w:rsidRPr="00A91628">
        <w:t>:</w:t>
      </w:r>
      <w:r w:rsidRPr="006D52A9">
        <w:t xml:space="preserve"> a specialist is </w:t>
      </w:r>
      <w:r w:rsidRPr="006D52A9">
        <w:rPr>
          <w:b/>
          <w:i/>
        </w:rPr>
        <w:t>affiliated</w:t>
      </w:r>
      <w:r w:rsidRPr="006D52A9">
        <w:t xml:space="preserve"> with a hospital if the specialist is:</w:t>
      </w:r>
    </w:p>
    <w:p w14:paraId="15064FBE" w14:textId="77777777" w:rsidR="008858E4" w:rsidRPr="006D52A9" w:rsidRDefault="008858E4" w:rsidP="008858E4">
      <w:pPr>
        <w:pStyle w:val="paragraph"/>
      </w:pPr>
      <w:r w:rsidRPr="006D52A9">
        <w:lastRenderedPageBreak/>
        <w:tab/>
        <w:t>(a)</w:t>
      </w:r>
      <w:r w:rsidRPr="006D52A9">
        <w:tab/>
        <w:t>a staff specialist of the hospital; or</w:t>
      </w:r>
    </w:p>
    <w:p w14:paraId="2E2DE6EB" w14:textId="77777777" w:rsidR="008858E4" w:rsidRPr="006D52A9" w:rsidRDefault="008858E4" w:rsidP="008858E4">
      <w:pPr>
        <w:pStyle w:val="paragraph"/>
      </w:pPr>
      <w:r w:rsidRPr="006D52A9">
        <w:tab/>
        <w:t>(b)</w:t>
      </w:r>
      <w:r w:rsidRPr="006D52A9">
        <w:tab/>
        <w:t>a visiting or consulting specialist of the hospital.</w:t>
      </w:r>
    </w:p>
    <w:p w14:paraId="3200965F" w14:textId="77777777" w:rsidR="00404364" w:rsidRPr="006D52A9" w:rsidRDefault="00404364" w:rsidP="00404364">
      <w:pPr>
        <w:pStyle w:val="Definition"/>
      </w:pPr>
      <w:r w:rsidRPr="006D52A9">
        <w:rPr>
          <w:b/>
          <w:i/>
        </w:rPr>
        <w:t>approved ex</w:t>
      </w:r>
      <w:r w:rsidR="0026100E">
        <w:rPr>
          <w:b/>
          <w:i/>
        </w:rPr>
        <w:noBreakHyphen/>
      </w:r>
      <w:r w:rsidRPr="006D52A9">
        <w:rPr>
          <w:b/>
          <w:i/>
        </w:rPr>
        <w:t>manufacturer price</w:t>
      </w:r>
      <w:r w:rsidRPr="006D52A9">
        <w:t xml:space="preserve"> of a listed brand of a pharmaceutical item has the same meaning as in </w:t>
      </w:r>
      <w:r w:rsidR="000B6A22" w:rsidRPr="006D52A9">
        <w:t>Part V</w:t>
      </w:r>
      <w:r w:rsidRPr="006D52A9">
        <w:t>II of the Act.</w:t>
      </w:r>
    </w:p>
    <w:p w14:paraId="5B957B8C" w14:textId="77777777" w:rsidR="00100D3B" w:rsidRPr="006D52A9" w:rsidRDefault="00404364" w:rsidP="00100D3B">
      <w:pPr>
        <w:pStyle w:val="Definition"/>
      </w:pPr>
      <w:r w:rsidRPr="006D52A9">
        <w:rPr>
          <w:b/>
          <w:bCs/>
          <w:i/>
          <w:iCs/>
          <w:color w:val="000000"/>
          <w:szCs w:val="24"/>
        </w:rPr>
        <w:t>approved hospital authority</w:t>
      </w:r>
      <w:r w:rsidRPr="006D52A9">
        <w:rPr>
          <w:bCs/>
          <w:iCs/>
          <w:color w:val="000000"/>
          <w:szCs w:val="24"/>
        </w:rPr>
        <w:t xml:space="preserve"> </w:t>
      </w:r>
      <w:r w:rsidR="00100D3B" w:rsidRPr="006D52A9">
        <w:rPr>
          <w:bCs/>
          <w:iCs/>
          <w:color w:val="000000"/>
          <w:szCs w:val="24"/>
        </w:rPr>
        <w:t xml:space="preserve">has the same meaning as in </w:t>
      </w:r>
      <w:r w:rsidR="000B6A22" w:rsidRPr="006D52A9">
        <w:t>Part V</w:t>
      </w:r>
      <w:r w:rsidRPr="006D52A9">
        <w:t>II of the Act</w:t>
      </w:r>
      <w:r w:rsidR="00100D3B" w:rsidRPr="006D52A9">
        <w:t xml:space="preserve">, as affected by </w:t>
      </w:r>
      <w:r w:rsidR="00D66D59">
        <w:t>section 1</w:t>
      </w:r>
      <w:r w:rsidR="005F407C" w:rsidRPr="006D52A9">
        <w:t>1</w:t>
      </w:r>
      <w:r w:rsidR="006C3A6B" w:rsidRPr="006D52A9">
        <w:t xml:space="preserve"> of this instrument</w:t>
      </w:r>
      <w:r w:rsidR="00100D3B" w:rsidRPr="006D52A9">
        <w:t>.</w:t>
      </w:r>
    </w:p>
    <w:p w14:paraId="10B19D2D" w14:textId="77777777" w:rsidR="00404364" w:rsidRPr="006D52A9" w:rsidRDefault="00404364" w:rsidP="00404364">
      <w:pPr>
        <w:pStyle w:val="Definition"/>
      </w:pPr>
      <w:r w:rsidRPr="006D52A9">
        <w:rPr>
          <w:b/>
          <w:i/>
        </w:rPr>
        <w:t>approved medical practitioner</w:t>
      </w:r>
      <w:r w:rsidRPr="006D52A9">
        <w:t xml:space="preserve"> has the same meaning as in </w:t>
      </w:r>
      <w:r w:rsidR="000B6A22" w:rsidRPr="006D52A9">
        <w:t>Part V</w:t>
      </w:r>
      <w:r w:rsidRPr="006D52A9">
        <w:t>II of the Act.</w:t>
      </w:r>
    </w:p>
    <w:p w14:paraId="08E78FBB" w14:textId="77777777" w:rsidR="00404364" w:rsidRPr="006D52A9" w:rsidRDefault="00404364" w:rsidP="00404364">
      <w:pPr>
        <w:pStyle w:val="Definition"/>
      </w:pPr>
      <w:r w:rsidRPr="006D52A9">
        <w:rPr>
          <w:b/>
          <w:i/>
        </w:rPr>
        <w:t>approved pharmacist</w:t>
      </w:r>
      <w:r w:rsidRPr="006D52A9">
        <w:t xml:space="preserve"> has the same meaning as in </w:t>
      </w:r>
      <w:r w:rsidR="000B6A22" w:rsidRPr="006D52A9">
        <w:t>Part V</w:t>
      </w:r>
      <w:r w:rsidRPr="006D52A9">
        <w:t>II of the Act.</w:t>
      </w:r>
    </w:p>
    <w:p w14:paraId="3681BE3E" w14:textId="77777777" w:rsidR="00553B5F" w:rsidRPr="006D52A9" w:rsidRDefault="00553B5F" w:rsidP="004B46D4">
      <w:pPr>
        <w:pStyle w:val="Definition"/>
        <w:rPr>
          <w:b/>
          <w:i/>
        </w:rPr>
      </w:pPr>
      <w:r w:rsidRPr="006D52A9">
        <w:rPr>
          <w:b/>
          <w:i/>
        </w:rPr>
        <w:t xml:space="preserve">approved supplier </w:t>
      </w:r>
      <w:r w:rsidRPr="006D52A9">
        <w:t xml:space="preserve">has the same meaning as in </w:t>
      </w:r>
      <w:r w:rsidR="000B6A22" w:rsidRPr="006D52A9">
        <w:t>Part V</w:t>
      </w:r>
      <w:r w:rsidRPr="006D52A9">
        <w:t>II of the Act</w:t>
      </w:r>
      <w:r w:rsidR="00100D3B" w:rsidRPr="006D52A9">
        <w:t xml:space="preserve">, as affected by </w:t>
      </w:r>
      <w:r w:rsidR="00D66D59">
        <w:t>section 1</w:t>
      </w:r>
      <w:r w:rsidR="005F407C" w:rsidRPr="006D52A9">
        <w:t>1</w:t>
      </w:r>
      <w:r w:rsidR="006C3A6B" w:rsidRPr="006D52A9">
        <w:t xml:space="preserve"> of this instrument</w:t>
      </w:r>
      <w:r w:rsidR="00100D3B" w:rsidRPr="006D52A9">
        <w:t>.</w:t>
      </w:r>
    </w:p>
    <w:p w14:paraId="2A6C2B0A" w14:textId="77777777" w:rsidR="006B0D76" w:rsidRPr="006D52A9" w:rsidRDefault="006B0D76" w:rsidP="006B0D76">
      <w:pPr>
        <w:pStyle w:val="Definition"/>
      </w:pPr>
      <w:r w:rsidRPr="006D52A9">
        <w:rPr>
          <w:b/>
          <w:i/>
        </w:rPr>
        <w:t>authorised nurse practitioner</w:t>
      </w:r>
      <w:r w:rsidRPr="006D52A9">
        <w:t xml:space="preserve"> has the same meaning as in </w:t>
      </w:r>
      <w:r w:rsidR="000B6A22" w:rsidRPr="006D52A9">
        <w:t>Part V</w:t>
      </w:r>
      <w:r w:rsidRPr="006D52A9">
        <w:t>II of the Act.</w:t>
      </w:r>
    </w:p>
    <w:p w14:paraId="12BBE24C" w14:textId="77777777" w:rsidR="006B0D76" w:rsidRPr="006D52A9" w:rsidRDefault="006B0D76" w:rsidP="006B0D76">
      <w:pPr>
        <w:pStyle w:val="Definition"/>
      </w:pPr>
      <w:r w:rsidRPr="006D52A9">
        <w:rPr>
          <w:b/>
          <w:i/>
        </w:rPr>
        <w:t>authorised prescriber</w:t>
      </w:r>
      <w:r w:rsidRPr="006D52A9">
        <w:t xml:space="preserve"> has the meaning given by section </w:t>
      </w:r>
      <w:r w:rsidR="005F407C" w:rsidRPr="006D52A9">
        <w:t>7</w:t>
      </w:r>
      <w:r w:rsidRPr="006D52A9">
        <w:t>.</w:t>
      </w:r>
    </w:p>
    <w:p w14:paraId="4CE531E9" w14:textId="77777777" w:rsidR="006B0D76" w:rsidRPr="006D52A9" w:rsidRDefault="006B0D76" w:rsidP="004E3385">
      <w:pPr>
        <w:pStyle w:val="Definition"/>
      </w:pPr>
      <w:r w:rsidRPr="006D52A9">
        <w:rPr>
          <w:b/>
          <w:bCs/>
          <w:i/>
          <w:iCs/>
        </w:rPr>
        <w:t>CAR drug</w:t>
      </w:r>
      <w:r w:rsidR="006C5899" w:rsidRPr="006D52A9">
        <w:t xml:space="preserve"> </w:t>
      </w:r>
      <w:r w:rsidRPr="006D52A9">
        <w:t>(</w:t>
      </w:r>
      <w:r w:rsidR="004E3385" w:rsidRPr="006D52A9">
        <w:t xml:space="preserve">short for </w:t>
      </w:r>
      <w:r w:rsidRPr="006D52A9">
        <w:t>Complex Authority Required drug) means any of the following highly specialised drugs:</w:t>
      </w:r>
    </w:p>
    <w:p w14:paraId="0FB8893F" w14:textId="77777777" w:rsidR="006B0D76" w:rsidRPr="006D52A9" w:rsidRDefault="004E3385" w:rsidP="004E3385">
      <w:pPr>
        <w:pStyle w:val="paragraph"/>
      </w:pPr>
      <w:r w:rsidRPr="006D52A9">
        <w:tab/>
        <w:t>(a)</w:t>
      </w:r>
      <w:r w:rsidRPr="006D52A9">
        <w:tab/>
      </w:r>
      <w:r w:rsidR="006B0D76" w:rsidRPr="006D52A9">
        <w:t>abatacept</w:t>
      </w:r>
      <w:r w:rsidRPr="006D52A9">
        <w:t>;</w:t>
      </w:r>
    </w:p>
    <w:p w14:paraId="3575E1F2" w14:textId="77777777" w:rsidR="006B0D76" w:rsidRPr="006D52A9" w:rsidRDefault="004E3385" w:rsidP="004E3385">
      <w:pPr>
        <w:pStyle w:val="paragraph"/>
      </w:pPr>
      <w:r w:rsidRPr="006D52A9">
        <w:tab/>
      </w:r>
      <w:r w:rsidR="006B0D76" w:rsidRPr="006D52A9">
        <w:t>(b)</w:t>
      </w:r>
      <w:r w:rsidRPr="006D52A9">
        <w:tab/>
      </w:r>
      <w:r w:rsidR="006B0D76" w:rsidRPr="006D52A9">
        <w:t>adalimumab</w:t>
      </w:r>
      <w:r w:rsidRPr="006D52A9">
        <w:t>;</w:t>
      </w:r>
    </w:p>
    <w:p w14:paraId="0669D344" w14:textId="77777777" w:rsidR="006B0D76" w:rsidRPr="006D52A9" w:rsidRDefault="004E3385" w:rsidP="004E3385">
      <w:pPr>
        <w:pStyle w:val="paragraph"/>
      </w:pPr>
      <w:r w:rsidRPr="006D52A9">
        <w:tab/>
      </w:r>
      <w:r w:rsidR="006B0D76" w:rsidRPr="006D52A9">
        <w:t>(c)</w:t>
      </w:r>
      <w:r w:rsidRPr="006D52A9">
        <w:tab/>
      </w:r>
      <w:r w:rsidR="006B0D76" w:rsidRPr="006D52A9">
        <w:t>ambrisentan</w:t>
      </w:r>
      <w:r w:rsidRPr="006D52A9">
        <w:t>;</w:t>
      </w:r>
    </w:p>
    <w:p w14:paraId="24DA7CB8" w14:textId="77777777" w:rsidR="006B0D76" w:rsidRPr="006D52A9" w:rsidRDefault="004E3385" w:rsidP="004E3385">
      <w:pPr>
        <w:pStyle w:val="paragraph"/>
      </w:pPr>
      <w:r w:rsidRPr="006D52A9">
        <w:tab/>
      </w:r>
      <w:r w:rsidR="006B0D76" w:rsidRPr="006D52A9">
        <w:t>(d)</w:t>
      </w:r>
      <w:r w:rsidRPr="006D52A9">
        <w:tab/>
      </w:r>
      <w:r w:rsidR="006B0D76" w:rsidRPr="006D52A9">
        <w:t>azacitidine</w:t>
      </w:r>
      <w:r w:rsidRPr="006D52A9">
        <w:t>;</w:t>
      </w:r>
    </w:p>
    <w:p w14:paraId="6CEF6E57" w14:textId="77777777" w:rsidR="006B0D76" w:rsidRPr="006D52A9" w:rsidRDefault="004E3385" w:rsidP="004E3385">
      <w:pPr>
        <w:pStyle w:val="paragraph"/>
      </w:pPr>
      <w:r w:rsidRPr="006D52A9">
        <w:tab/>
      </w:r>
      <w:r w:rsidR="006B0D76" w:rsidRPr="006D52A9">
        <w:t>(e)</w:t>
      </w:r>
      <w:r w:rsidRPr="006D52A9">
        <w:tab/>
      </w:r>
      <w:r w:rsidR="006B0D76" w:rsidRPr="006D52A9">
        <w:t>benralizumab</w:t>
      </w:r>
      <w:r w:rsidRPr="006D52A9">
        <w:t>;</w:t>
      </w:r>
    </w:p>
    <w:p w14:paraId="3868F518" w14:textId="77777777" w:rsidR="006B0D76" w:rsidRPr="006D52A9" w:rsidRDefault="004E3385" w:rsidP="004E3385">
      <w:pPr>
        <w:pStyle w:val="paragraph"/>
      </w:pPr>
      <w:r w:rsidRPr="006D52A9">
        <w:tab/>
      </w:r>
      <w:r w:rsidR="006B0D76" w:rsidRPr="006D52A9">
        <w:t>(f)</w:t>
      </w:r>
      <w:r w:rsidRPr="006D52A9">
        <w:tab/>
      </w:r>
      <w:r w:rsidR="006B0D76" w:rsidRPr="006D52A9">
        <w:t>bosentan</w:t>
      </w:r>
      <w:r w:rsidRPr="006D52A9">
        <w:t>;</w:t>
      </w:r>
    </w:p>
    <w:p w14:paraId="2D8F6C5E" w14:textId="77777777" w:rsidR="006B0D76" w:rsidRPr="006D52A9" w:rsidRDefault="004E3385" w:rsidP="004E3385">
      <w:pPr>
        <w:pStyle w:val="paragraph"/>
      </w:pPr>
      <w:r w:rsidRPr="006D52A9">
        <w:tab/>
      </w:r>
      <w:r w:rsidR="006B0D76" w:rsidRPr="006D52A9">
        <w:t>(g)</w:t>
      </w:r>
      <w:r w:rsidRPr="006D52A9">
        <w:tab/>
      </w:r>
      <w:r w:rsidR="006B0D76" w:rsidRPr="006D52A9">
        <w:t>eculizumab</w:t>
      </w:r>
      <w:r w:rsidRPr="006D52A9">
        <w:t>;</w:t>
      </w:r>
    </w:p>
    <w:p w14:paraId="723D1309" w14:textId="77777777" w:rsidR="006B0D76" w:rsidRPr="006D52A9" w:rsidRDefault="004E3385" w:rsidP="004E3385">
      <w:pPr>
        <w:pStyle w:val="paragraph"/>
      </w:pPr>
      <w:r w:rsidRPr="006D52A9">
        <w:tab/>
      </w:r>
      <w:r w:rsidR="006B0D76" w:rsidRPr="006D52A9">
        <w:t>(h)</w:t>
      </w:r>
      <w:r w:rsidRPr="006D52A9">
        <w:tab/>
      </w:r>
      <w:r w:rsidR="006B0D76" w:rsidRPr="006D52A9">
        <w:t>eltrombopag</w:t>
      </w:r>
      <w:r w:rsidRPr="006D52A9">
        <w:t>;</w:t>
      </w:r>
    </w:p>
    <w:p w14:paraId="2C1025A6" w14:textId="77777777" w:rsidR="006B0D76" w:rsidRPr="006D52A9" w:rsidRDefault="004E3385" w:rsidP="004E3385">
      <w:pPr>
        <w:pStyle w:val="paragraph"/>
      </w:pPr>
      <w:r w:rsidRPr="006D52A9">
        <w:tab/>
      </w:r>
      <w:r w:rsidR="006B0D76" w:rsidRPr="006D52A9">
        <w:t>(i)</w:t>
      </w:r>
      <w:r w:rsidRPr="006D52A9">
        <w:tab/>
      </w:r>
      <w:r w:rsidR="006B0D76" w:rsidRPr="006D52A9">
        <w:t>epoprostenol</w:t>
      </w:r>
      <w:r w:rsidRPr="006D52A9">
        <w:t>;</w:t>
      </w:r>
    </w:p>
    <w:p w14:paraId="02812202" w14:textId="77777777" w:rsidR="006B0D76" w:rsidRPr="006D52A9" w:rsidRDefault="004E3385" w:rsidP="004E3385">
      <w:pPr>
        <w:pStyle w:val="paragraph"/>
      </w:pPr>
      <w:r w:rsidRPr="006D52A9">
        <w:tab/>
      </w:r>
      <w:r w:rsidR="006B0D76" w:rsidRPr="006D52A9">
        <w:t>(j)</w:t>
      </w:r>
      <w:r w:rsidRPr="006D52A9">
        <w:tab/>
      </w:r>
      <w:r w:rsidR="006B0D76" w:rsidRPr="006D52A9">
        <w:t>etanercept</w:t>
      </w:r>
      <w:r w:rsidRPr="006D52A9">
        <w:t>;</w:t>
      </w:r>
    </w:p>
    <w:p w14:paraId="2F024BE4" w14:textId="77777777" w:rsidR="006B0D76" w:rsidRPr="006D52A9" w:rsidRDefault="004E3385" w:rsidP="004E3385">
      <w:pPr>
        <w:pStyle w:val="paragraph"/>
      </w:pPr>
      <w:r w:rsidRPr="006D52A9">
        <w:tab/>
      </w:r>
      <w:r w:rsidR="006B0D76" w:rsidRPr="006D52A9">
        <w:t>(k)</w:t>
      </w:r>
      <w:r w:rsidRPr="006D52A9">
        <w:tab/>
      </w:r>
      <w:r w:rsidR="006B0D76" w:rsidRPr="006D52A9">
        <w:t>iloprost</w:t>
      </w:r>
      <w:r w:rsidRPr="006D52A9">
        <w:t>;</w:t>
      </w:r>
    </w:p>
    <w:p w14:paraId="06264745" w14:textId="77777777" w:rsidR="006B0D76" w:rsidRPr="006D52A9" w:rsidRDefault="004E3385" w:rsidP="004E3385">
      <w:pPr>
        <w:pStyle w:val="paragraph"/>
      </w:pPr>
      <w:r w:rsidRPr="006D52A9">
        <w:tab/>
      </w:r>
      <w:r w:rsidR="006B0D76" w:rsidRPr="006D52A9">
        <w:t>(l)</w:t>
      </w:r>
      <w:r w:rsidRPr="006D52A9">
        <w:tab/>
      </w:r>
      <w:r w:rsidR="006B0D76" w:rsidRPr="006D52A9">
        <w:t>infliximab</w:t>
      </w:r>
      <w:r w:rsidRPr="006D52A9">
        <w:t>;</w:t>
      </w:r>
    </w:p>
    <w:p w14:paraId="0588D998" w14:textId="77777777" w:rsidR="006B0D76" w:rsidRPr="006D52A9" w:rsidRDefault="004E3385" w:rsidP="004E3385">
      <w:pPr>
        <w:pStyle w:val="paragraph"/>
      </w:pPr>
      <w:r w:rsidRPr="006D52A9">
        <w:tab/>
      </w:r>
      <w:r w:rsidR="006B0D76" w:rsidRPr="006D52A9">
        <w:t>(m)</w:t>
      </w:r>
      <w:r w:rsidRPr="006D52A9">
        <w:tab/>
      </w:r>
      <w:r w:rsidR="006B0D76" w:rsidRPr="006D52A9">
        <w:t>ivacaftor</w:t>
      </w:r>
      <w:r w:rsidRPr="006D52A9">
        <w:t>;</w:t>
      </w:r>
    </w:p>
    <w:p w14:paraId="6E10402F" w14:textId="77777777" w:rsidR="006B0D76" w:rsidRPr="006D52A9" w:rsidRDefault="004E3385" w:rsidP="004E3385">
      <w:pPr>
        <w:pStyle w:val="paragraph"/>
      </w:pPr>
      <w:r w:rsidRPr="006D52A9">
        <w:tab/>
      </w:r>
      <w:r w:rsidR="006B0D76" w:rsidRPr="006D52A9">
        <w:t>(n)</w:t>
      </w:r>
      <w:r w:rsidRPr="006D52A9">
        <w:tab/>
      </w:r>
      <w:r w:rsidR="006B0D76" w:rsidRPr="006D52A9">
        <w:t>lenalidomide</w:t>
      </w:r>
      <w:r w:rsidRPr="006D52A9">
        <w:t>;</w:t>
      </w:r>
    </w:p>
    <w:p w14:paraId="007B2C1C" w14:textId="77777777" w:rsidR="006B0D76" w:rsidRPr="006D52A9" w:rsidRDefault="004E3385" w:rsidP="004E3385">
      <w:pPr>
        <w:pStyle w:val="paragraph"/>
      </w:pPr>
      <w:r w:rsidRPr="006D52A9">
        <w:tab/>
      </w:r>
      <w:r w:rsidR="006B0D76" w:rsidRPr="006D52A9">
        <w:t>(o)</w:t>
      </w:r>
      <w:r w:rsidRPr="006D52A9">
        <w:tab/>
      </w:r>
      <w:r w:rsidR="006B0D76" w:rsidRPr="006D52A9">
        <w:t>lumacaftor with ivacaftor</w:t>
      </w:r>
      <w:r w:rsidRPr="006D52A9">
        <w:t>;</w:t>
      </w:r>
    </w:p>
    <w:p w14:paraId="1057EA58" w14:textId="77777777" w:rsidR="006B0D76" w:rsidRPr="006D52A9" w:rsidRDefault="004E3385" w:rsidP="004E3385">
      <w:pPr>
        <w:pStyle w:val="paragraph"/>
      </w:pPr>
      <w:r w:rsidRPr="006D52A9">
        <w:tab/>
      </w:r>
      <w:r w:rsidR="006B0D76" w:rsidRPr="006D52A9">
        <w:t>(p)</w:t>
      </w:r>
      <w:r w:rsidRPr="006D52A9">
        <w:tab/>
      </w:r>
      <w:r w:rsidR="006B0D76" w:rsidRPr="006D52A9">
        <w:t>macitentan</w:t>
      </w:r>
      <w:r w:rsidRPr="006D52A9">
        <w:t>;</w:t>
      </w:r>
    </w:p>
    <w:p w14:paraId="17C5DFFB" w14:textId="77777777" w:rsidR="006B0D76" w:rsidRPr="006D52A9" w:rsidRDefault="004E3385" w:rsidP="004E3385">
      <w:pPr>
        <w:pStyle w:val="paragraph"/>
      </w:pPr>
      <w:r w:rsidRPr="006D52A9">
        <w:tab/>
      </w:r>
      <w:r w:rsidR="006B0D76" w:rsidRPr="006D52A9">
        <w:t>(q)</w:t>
      </w:r>
      <w:r w:rsidRPr="006D52A9">
        <w:tab/>
      </w:r>
      <w:r w:rsidR="006B0D76" w:rsidRPr="006D52A9">
        <w:t>mepolizumab</w:t>
      </w:r>
      <w:r w:rsidRPr="006D52A9">
        <w:t>;</w:t>
      </w:r>
    </w:p>
    <w:p w14:paraId="1D2E4D08" w14:textId="77777777" w:rsidR="006B0D76" w:rsidRPr="006D52A9" w:rsidRDefault="004E3385" w:rsidP="004E3385">
      <w:pPr>
        <w:pStyle w:val="paragraph"/>
      </w:pPr>
      <w:r w:rsidRPr="006D52A9">
        <w:tab/>
      </w:r>
      <w:r w:rsidR="006B0D76" w:rsidRPr="006D52A9">
        <w:t>(r)</w:t>
      </w:r>
      <w:r w:rsidRPr="006D52A9">
        <w:tab/>
      </w:r>
      <w:r w:rsidR="006B0D76" w:rsidRPr="006D52A9">
        <w:t>midostaurin</w:t>
      </w:r>
      <w:r w:rsidRPr="006D52A9">
        <w:t>;</w:t>
      </w:r>
    </w:p>
    <w:p w14:paraId="144DE784" w14:textId="77777777" w:rsidR="006B0D76" w:rsidRPr="006D52A9" w:rsidRDefault="004E3385" w:rsidP="004E3385">
      <w:pPr>
        <w:pStyle w:val="paragraph"/>
      </w:pPr>
      <w:r w:rsidRPr="006D52A9">
        <w:tab/>
      </w:r>
      <w:r w:rsidR="006B0D76" w:rsidRPr="006D52A9">
        <w:t>(s)</w:t>
      </w:r>
      <w:r w:rsidRPr="006D52A9">
        <w:tab/>
      </w:r>
      <w:r w:rsidR="006B0D76" w:rsidRPr="006D52A9">
        <w:t>nusinersen</w:t>
      </w:r>
      <w:r w:rsidRPr="006D52A9">
        <w:t>;</w:t>
      </w:r>
    </w:p>
    <w:p w14:paraId="0BB7663F" w14:textId="77777777" w:rsidR="006B0D76" w:rsidRPr="006D52A9" w:rsidRDefault="004E3385" w:rsidP="004E3385">
      <w:pPr>
        <w:pStyle w:val="paragraph"/>
      </w:pPr>
      <w:r w:rsidRPr="006D52A9">
        <w:tab/>
      </w:r>
      <w:r w:rsidR="006B0D76" w:rsidRPr="006D52A9">
        <w:t>(t)</w:t>
      </w:r>
      <w:r w:rsidRPr="006D52A9">
        <w:tab/>
      </w:r>
      <w:r w:rsidR="006B0D76" w:rsidRPr="006D52A9">
        <w:t>omalizumab</w:t>
      </w:r>
      <w:r w:rsidRPr="006D52A9">
        <w:t>;</w:t>
      </w:r>
    </w:p>
    <w:p w14:paraId="15DA2BF6" w14:textId="77777777" w:rsidR="006B0D76" w:rsidRPr="006D52A9" w:rsidRDefault="004E3385" w:rsidP="004E3385">
      <w:pPr>
        <w:pStyle w:val="paragraph"/>
      </w:pPr>
      <w:r w:rsidRPr="006D52A9">
        <w:tab/>
      </w:r>
      <w:r w:rsidR="006B0D76" w:rsidRPr="006D52A9">
        <w:t>(u)</w:t>
      </w:r>
      <w:r w:rsidRPr="006D52A9">
        <w:tab/>
      </w:r>
      <w:r w:rsidR="006B0D76" w:rsidRPr="006D52A9">
        <w:t>pasireotide</w:t>
      </w:r>
      <w:r w:rsidRPr="006D52A9">
        <w:t>;</w:t>
      </w:r>
    </w:p>
    <w:p w14:paraId="6DD52683" w14:textId="77777777" w:rsidR="006B0D76" w:rsidRPr="006D52A9" w:rsidRDefault="004E3385" w:rsidP="004E3385">
      <w:pPr>
        <w:pStyle w:val="paragraph"/>
      </w:pPr>
      <w:r w:rsidRPr="006D52A9">
        <w:tab/>
      </w:r>
      <w:r w:rsidR="006B0D76" w:rsidRPr="006D52A9">
        <w:t>(v)</w:t>
      </w:r>
      <w:r w:rsidRPr="006D52A9">
        <w:tab/>
      </w:r>
      <w:r w:rsidR="006B0D76" w:rsidRPr="006D52A9">
        <w:t>pegvisomant</w:t>
      </w:r>
      <w:r w:rsidRPr="006D52A9">
        <w:t>;</w:t>
      </w:r>
    </w:p>
    <w:p w14:paraId="2533633E" w14:textId="77777777" w:rsidR="006B0D76" w:rsidRPr="006D52A9" w:rsidRDefault="004E3385" w:rsidP="004E3385">
      <w:pPr>
        <w:pStyle w:val="paragraph"/>
      </w:pPr>
      <w:r w:rsidRPr="006D52A9">
        <w:tab/>
      </w:r>
      <w:r w:rsidR="006B0D76" w:rsidRPr="006D52A9">
        <w:t>(w)</w:t>
      </w:r>
      <w:r w:rsidRPr="006D52A9">
        <w:tab/>
      </w:r>
      <w:r w:rsidR="006B0D76" w:rsidRPr="006D52A9">
        <w:t>pomalidomide</w:t>
      </w:r>
      <w:r w:rsidRPr="006D52A9">
        <w:t>;</w:t>
      </w:r>
    </w:p>
    <w:p w14:paraId="3F73161E" w14:textId="77777777" w:rsidR="006B0D76" w:rsidRPr="006D52A9" w:rsidRDefault="004E3385" w:rsidP="004E3385">
      <w:pPr>
        <w:pStyle w:val="paragraph"/>
      </w:pPr>
      <w:r w:rsidRPr="006D52A9">
        <w:tab/>
      </w:r>
      <w:r w:rsidR="006B0D76" w:rsidRPr="006D52A9">
        <w:t>(x)</w:t>
      </w:r>
      <w:r w:rsidRPr="006D52A9">
        <w:tab/>
      </w:r>
      <w:r w:rsidR="006B0D76" w:rsidRPr="006D52A9">
        <w:t>riociguat</w:t>
      </w:r>
      <w:r w:rsidRPr="006D52A9">
        <w:t>;</w:t>
      </w:r>
    </w:p>
    <w:p w14:paraId="3D245983" w14:textId="77777777" w:rsidR="006B0D76" w:rsidRPr="006D52A9" w:rsidRDefault="004E3385" w:rsidP="004E3385">
      <w:pPr>
        <w:pStyle w:val="paragraph"/>
      </w:pPr>
      <w:r w:rsidRPr="006D52A9">
        <w:tab/>
      </w:r>
      <w:r w:rsidR="006B0D76" w:rsidRPr="006D52A9">
        <w:t>(y)</w:t>
      </w:r>
      <w:r w:rsidRPr="006D52A9">
        <w:tab/>
      </w:r>
      <w:r w:rsidR="006B0D76" w:rsidRPr="006D52A9">
        <w:t>rituximab</w:t>
      </w:r>
      <w:r w:rsidRPr="006D52A9">
        <w:t>;</w:t>
      </w:r>
    </w:p>
    <w:p w14:paraId="368ABD8C" w14:textId="77777777" w:rsidR="006B0D76" w:rsidRPr="006D52A9" w:rsidRDefault="004E3385" w:rsidP="004E3385">
      <w:pPr>
        <w:pStyle w:val="paragraph"/>
      </w:pPr>
      <w:r w:rsidRPr="006D52A9">
        <w:tab/>
      </w:r>
      <w:r w:rsidR="006B0D76" w:rsidRPr="006D52A9">
        <w:t>(z)</w:t>
      </w:r>
      <w:r w:rsidRPr="006D52A9">
        <w:tab/>
      </w:r>
      <w:r w:rsidR="006B0D76" w:rsidRPr="006D52A9">
        <w:t>romiplostim</w:t>
      </w:r>
      <w:r w:rsidRPr="006D52A9">
        <w:t>;</w:t>
      </w:r>
    </w:p>
    <w:p w14:paraId="03967E3A" w14:textId="77777777" w:rsidR="006B0D76" w:rsidRPr="006D52A9" w:rsidRDefault="004E3385" w:rsidP="004E3385">
      <w:pPr>
        <w:pStyle w:val="paragraph"/>
      </w:pPr>
      <w:r w:rsidRPr="006D52A9">
        <w:tab/>
      </w:r>
      <w:r w:rsidR="006B0D76" w:rsidRPr="006D52A9">
        <w:t>(</w:t>
      </w:r>
      <w:r w:rsidRPr="006D52A9">
        <w:t>z</w:t>
      </w:r>
      <w:r w:rsidR="006B0D76" w:rsidRPr="006D52A9">
        <w:t>a)</w:t>
      </w:r>
      <w:r w:rsidRPr="006D52A9">
        <w:tab/>
      </w:r>
      <w:r w:rsidR="006B0D76" w:rsidRPr="006D52A9">
        <w:t>sildenafil</w:t>
      </w:r>
      <w:r w:rsidRPr="006D52A9">
        <w:t>;</w:t>
      </w:r>
    </w:p>
    <w:p w14:paraId="3F752CCB" w14:textId="77777777" w:rsidR="006B0D76" w:rsidRPr="006D52A9" w:rsidRDefault="004E3385" w:rsidP="004E3385">
      <w:pPr>
        <w:pStyle w:val="paragraph"/>
      </w:pPr>
      <w:r w:rsidRPr="006D52A9">
        <w:lastRenderedPageBreak/>
        <w:tab/>
        <w:t>(z</w:t>
      </w:r>
      <w:r w:rsidR="006B0D76" w:rsidRPr="006D52A9">
        <w:t>b)</w:t>
      </w:r>
      <w:r w:rsidRPr="006D52A9">
        <w:tab/>
      </w:r>
      <w:r w:rsidR="006B0D76" w:rsidRPr="006D52A9">
        <w:t>tadalafil</w:t>
      </w:r>
      <w:r w:rsidRPr="006D52A9">
        <w:t>;</w:t>
      </w:r>
    </w:p>
    <w:p w14:paraId="0D444AA8" w14:textId="77777777" w:rsidR="006B0D76" w:rsidRPr="006D52A9" w:rsidRDefault="004E3385" w:rsidP="004E3385">
      <w:pPr>
        <w:pStyle w:val="paragraph"/>
      </w:pPr>
      <w:r w:rsidRPr="006D52A9">
        <w:tab/>
        <w:t>(z</w:t>
      </w:r>
      <w:r w:rsidR="006B0D76" w:rsidRPr="006D52A9">
        <w:t>c)</w:t>
      </w:r>
      <w:r w:rsidRPr="006D52A9">
        <w:tab/>
      </w:r>
      <w:r w:rsidR="006B0D76" w:rsidRPr="006D52A9">
        <w:t>teduglutide</w:t>
      </w:r>
      <w:r w:rsidRPr="006D52A9">
        <w:t>;</w:t>
      </w:r>
    </w:p>
    <w:p w14:paraId="0FF0B985" w14:textId="77777777" w:rsidR="006B0D76" w:rsidRPr="006D52A9" w:rsidRDefault="004E3385" w:rsidP="004E3385">
      <w:pPr>
        <w:pStyle w:val="paragraph"/>
      </w:pPr>
      <w:r w:rsidRPr="006D52A9">
        <w:tab/>
        <w:t>(z</w:t>
      </w:r>
      <w:r w:rsidR="006B0D76" w:rsidRPr="006D52A9">
        <w:t>d)</w:t>
      </w:r>
      <w:r w:rsidRPr="006D52A9">
        <w:tab/>
      </w:r>
      <w:r w:rsidR="006B0D76" w:rsidRPr="006D52A9">
        <w:t>tezacaftor with ivacaftor and ivacaftor</w:t>
      </w:r>
      <w:r w:rsidRPr="006D52A9">
        <w:t>;</w:t>
      </w:r>
    </w:p>
    <w:p w14:paraId="2109D66B" w14:textId="77777777" w:rsidR="006B0D76" w:rsidRPr="006D52A9" w:rsidRDefault="004E3385" w:rsidP="004E3385">
      <w:pPr>
        <w:pStyle w:val="paragraph"/>
      </w:pPr>
      <w:r w:rsidRPr="006D52A9">
        <w:tab/>
        <w:t>(z</w:t>
      </w:r>
      <w:r w:rsidR="006B0D76" w:rsidRPr="006D52A9">
        <w:t>e)</w:t>
      </w:r>
      <w:r w:rsidRPr="006D52A9">
        <w:tab/>
      </w:r>
      <w:r w:rsidR="006B0D76" w:rsidRPr="006D52A9">
        <w:t>tocilizumab</w:t>
      </w:r>
      <w:r w:rsidRPr="006D52A9">
        <w:t>;</w:t>
      </w:r>
    </w:p>
    <w:p w14:paraId="11739C11" w14:textId="77777777" w:rsidR="006B0D76" w:rsidRPr="006D52A9" w:rsidRDefault="004E3385" w:rsidP="004E3385">
      <w:pPr>
        <w:pStyle w:val="paragraph"/>
      </w:pPr>
      <w:r w:rsidRPr="006D52A9">
        <w:tab/>
        <w:t>(z</w:t>
      </w:r>
      <w:r w:rsidR="006B0D76" w:rsidRPr="006D52A9">
        <w:t>f)</w:t>
      </w:r>
      <w:r w:rsidRPr="006D52A9">
        <w:tab/>
      </w:r>
      <w:r w:rsidR="006B0D76" w:rsidRPr="006D52A9">
        <w:t>ustekinumab</w:t>
      </w:r>
      <w:r w:rsidRPr="006D52A9">
        <w:t>;</w:t>
      </w:r>
    </w:p>
    <w:p w14:paraId="1B36FFCF" w14:textId="77777777" w:rsidR="006B0D76" w:rsidRPr="006D52A9" w:rsidRDefault="004E3385" w:rsidP="004E3385">
      <w:pPr>
        <w:pStyle w:val="paragraph"/>
      </w:pPr>
      <w:r w:rsidRPr="006D52A9">
        <w:tab/>
        <w:t>(z</w:t>
      </w:r>
      <w:r w:rsidR="006B0D76" w:rsidRPr="006D52A9">
        <w:t>g)</w:t>
      </w:r>
      <w:r w:rsidRPr="006D52A9">
        <w:tab/>
      </w:r>
      <w:r w:rsidR="006B0D76" w:rsidRPr="006D52A9">
        <w:t>vedolizumab</w:t>
      </w:r>
      <w:r w:rsidRPr="006D52A9">
        <w:t>.</w:t>
      </w:r>
    </w:p>
    <w:p w14:paraId="2800748E" w14:textId="77777777" w:rsidR="006B0D76" w:rsidRPr="006D52A9" w:rsidRDefault="006B0D76" w:rsidP="006B0D76">
      <w:pPr>
        <w:pStyle w:val="Definition"/>
      </w:pPr>
      <w:r w:rsidRPr="006D52A9">
        <w:rPr>
          <w:b/>
          <w:i/>
          <w:szCs w:val="24"/>
        </w:rPr>
        <w:t>circumstances code</w:t>
      </w:r>
      <w:r w:rsidRPr="006D52A9">
        <w:rPr>
          <w:b/>
          <w:szCs w:val="24"/>
        </w:rPr>
        <w:t xml:space="preserve"> </w:t>
      </w:r>
      <w:r w:rsidRPr="006D52A9">
        <w:rPr>
          <w:szCs w:val="24"/>
        </w:rPr>
        <w:t xml:space="preserve">means the letter </w:t>
      </w:r>
      <w:r w:rsidR="00251313" w:rsidRPr="006D52A9">
        <w:rPr>
          <w:szCs w:val="24"/>
        </w:rPr>
        <w:t>“C”</w:t>
      </w:r>
      <w:r w:rsidRPr="006D52A9">
        <w:rPr>
          <w:szCs w:val="24"/>
        </w:rPr>
        <w:t xml:space="preserve"> followed by a number.</w:t>
      </w:r>
    </w:p>
    <w:p w14:paraId="34842296" w14:textId="77777777" w:rsidR="00EB4C3A" w:rsidRPr="006D52A9" w:rsidRDefault="00EB4C3A" w:rsidP="00EB4C3A">
      <w:pPr>
        <w:pStyle w:val="Definition"/>
      </w:pPr>
      <w:r w:rsidRPr="006D52A9">
        <w:rPr>
          <w:b/>
          <w:i/>
        </w:rPr>
        <w:t>community access medication</w:t>
      </w:r>
      <w:r w:rsidRPr="006D52A9">
        <w:t xml:space="preserve"> means</w:t>
      </w:r>
      <w:r w:rsidR="00127792" w:rsidRPr="006D52A9">
        <w:t xml:space="preserve"> any of the following</w:t>
      </w:r>
      <w:r w:rsidRPr="006D52A9">
        <w:t>:</w:t>
      </w:r>
    </w:p>
    <w:p w14:paraId="4C2F9468" w14:textId="77777777" w:rsidR="00EB4C3A" w:rsidRPr="006D52A9" w:rsidRDefault="00EB4C3A" w:rsidP="00EB4C3A">
      <w:pPr>
        <w:pStyle w:val="paragraph"/>
      </w:pPr>
      <w:r w:rsidRPr="006D52A9">
        <w:tab/>
        <w:t>(a)</w:t>
      </w:r>
      <w:r w:rsidRPr="006D52A9">
        <w:tab/>
        <w:t>medication for the treatment of hepatitis B;</w:t>
      </w:r>
    </w:p>
    <w:p w14:paraId="585D314C" w14:textId="77777777" w:rsidR="00F50F2A" w:rsidRPr="006D52A9" w:rsidRDefault="00EB4C3A" w:rsidP="00EB4C3A">
      <w:pPr>
        <w:pStyle w:val="paragraph"/>
      </w:pPr>
      <w:r w:rsidRPr="006D52A9">
        <w:tab/>
        <w:t>(b)</w:t>
      </w:r>
      <w:r w:rsidRPr="006D52A9">
        <w:tab/>
        <w:t>medication for the treatment of HIV or AIDS, other than a pharmaceutical benefit that has the drug</w:t>
      </w:r>
      <w:r w:rsidR="00F50F2A" w:rsidRPr="006D52A9">
        <w:t>:</w:t>
      </w:r>
    </w:p>
    <w:p w14:paraId="0A391072" w14:textId="77777777" w:rsidR="00F50F2A" w:rsidRPr="006D52A9" w:rsidRDefault="00F50F2A" w:rsidP="00F50F2A">
      <w:pPr>
        <w:pStyle w:val="paragraphsub"/>
      </w:pPr>
      <w:r w:rsidRPr="006D52A9">
        <w:tab/>
        <w:t>(i)</w:t>
      </w:r>
      <w:r w:rsidRPr="006D52A9">
        <w:tab/>
        <w:t>azithromycin; or</w:t>
      </w:r>
    </w:p>
    <w:p w14:paraId="4A38A51A" w14:textId="77777777" w:rsidR="00F50F2A" w:rsidRPr="006D52A9" w:rsidRDefault="00F50F2A" w:rsidP="00F50F2A">
      <w:pPr>
        <w:pStyle w:val="paragraphsub"/>
      </w:pPr>
      <w:r w:rsidRPr="006D52A9">
        <w:tab/>
        <w:t>(ii)</w:t>
      </w:r>
      <w:r w:rsidRPr="006D52A9">
        <w:tab/>
      </w:r>
      <w:r w:rsidR="00EB4C3A" w:rsidRPr="006D52A9">
        <w:t>doxorubicin </w:t>
      </w:r>
      <w:r w:rsidR="0026100E">
        <w:noBreakHyphen/>
      </w:r>
      <w:r w:rsidR="00EB4C3A" w:rsidRPr="006D52A9">
        <w:t xml:space="preserve"> pegylated liposomal</w:t>
      </w:r>
      <w:r w:rsidRPr="006D52A9">
        <w:t>; or</w:t>
      </w:r>
    </w:p>
    <w:p w14:paraId="7A22BF6B" w14:textId="77777777" w:rsidR="00EB4C3A" w:rsidRPr="006D52A9" w:rsidRDefault="00F50F2A" w:rsidP="00F50F2A">
      <w:pPr>
        <w:pStyle w:val="paragraphsub"/>
      </w:pPr>
      <w:r w:rsidRPr="006D52A9">
        <w:tab/>
        <w:t>(iii)</w:t>
      </w:r>
      <w:r w:rsidRPr="006D52A9">
        <w:tab/>
      </w:r>
      <w:r w:rsidR="00EB4C3A" w:rsidRPr="006D52A9">
        <w:t>rifabutin;</w:t>
      </w:r>
    </w:p>
    <w:p w14:paraId="22165812" w14:textId="77777777" w:rsidR="00EB4C3A" w:rsidRPr="006D52A9" w:rsidRDefault="00EB4C3A" w:rsidP="00EB4C3A">
      <w:pPr>
        <w:pStyle w:val="paragraph"/>
      </w:pPr>
      <w:r w:rsidRPr="006D52A9">
        <w:tab/>
        <w:t>(c)</w:t>
      </w:r>
      <w:r w:rsidRPr="006D52A9">
        <w:tab/>
        <w:t>medication for continuing treatment of schizophrenia;</w:t>
      </w:r>
    </w:p>
    <w:p w14:paraId="4E3D691B" w14:textId="77777777" w:rsidR="006C3A6B" w:rsidRPr="006D52A9" w:rsidRDefault="006C3A6B" w:rsidP="006C3A6B">
      <w:pPr>
        <w:pStyle w:val="paragraph"/>
      </w:pPr>
      <w:r w:rsidRPr="006D52A9">
        <w:tab/>
        <w:t>(d)</w:t>
      </w:r>
      <w:r w:rsidRPr="006D52A9">
        <w:tab/>
        <w:t>lanreotide, if:</w:t>
      </w:r>
    </w:p>
    <w:p w14:paraId="24F5FDFD" w14:textId="77777777" w:rsidR="006C3A6B" w:rsidRPr="006D52A9" w:rsidRDefault="006C3A6B" w:rsidP="006C3A6B">
      <w:pPr>
        <w:pStyle w:val="paragraphsub"/>
      </w:pPr>
      <w:r w:rsidRPr="006D52A9">
        <w:tab/>
        <w:t>(i)</w:t>
      </w:r>
      <w:r w:rsidRPr="006D52A9">
        <w:tab/>
        <w:t>the description of its form does not include “Powder for suspension for injection”; and</w:t>
      </w:r>
    </w:p>
    <w:p w14:paraId="0C1D89D6" w14:textId="77777777" w:rsidR="006C3A6B" w:rsidRPr="006D52A9" w:rsidRDefault="006C3A6B" w:rsidP="006C3A6B">
      <w:pPr>
        <w:pStyle w:val="paragraphsub"/>
      </w:pPr>
      <w:r w:rsidRPr="006D52A9">
        <w:tab/>
        <w:t>(ii)</w:t>
      </w:r>
      <w:r w:rsidRPr="006D52A9">
        <w:tab/>
        <w:t>it is for continuing treatment;</w:t>
      </w:r>
    </w:p>
    <w:p w14:paraId="643D8FB0" w14:textId="77777777" w:rsidR="00A92441" w:rsidRPr="006D52A9" w:rsidRDefault="006C3A6B" w:rsidP="00A92441">
      <w:pPr>
        <w:pStyle w:val="paragraph"/>
      </w:pPr>
      <w:r w:rsidRPr="006D52A9">
        <w:tab/>
        <w:t>(e</w:t>
      </w:r>
      <w:r w:rsidR="00EB4C3A" w:rsidRPr="006D52A9">
        <w:t>)</w:t>
      </w:r>
      <w:r w:rsidR="00EB4C3A" w:rsidRPr="006D52A9">
        <w:tab/>
        <w:t>octreotide</w:t>
      </w:r>
      <w:r w:rsidR="00A92441" w:rsidRPr="006D52A9">
        <w:t>, if:</w:t>
      </w:r>
    </w:p>
    <w:p w14:paraId="28BE2E94" w14:textId="77777777" w:rsidR="004E5D92" w:rsidRPr="006D52A9" w:rsidRDefault="00A92441" w:rsidP="00A92441">
      <w:pPr>
        <w:pStyle w:val="paragraphsub"/>
      </w:pPr>
      <w:r w:rsidRPr="006D52A9">
        <w:tab/>
        <w:t>(i)</w:t>
      </w:r>
      <w:r w:rsidRPr="006D52A9">
        <w:tab/>
        <w:t xml:space="preserve">the description of its </w:t>
      </w:r>
      <w:r w:rsidR="004E5D92" w:rsidRPr="006D52A9">
        <w:t>form includes “Injection (modified release)”;</w:t>
      </w:r>
      <w:r w:rsidRPr="006D52A9">
        <w:t xml:space="preserve"> and</w:t>
      </w:r>
    </w:p>
    <w:p w14:paraId="230D9CDD" w14:textId="77777777" w:rsidR="00A92441" w:rsidRPr="006D52A9" w:rsidRDefault="00A92441" w:rsidP="00A92441">
      <w:pPr>
        <w:pStyle w:val="paragraphsub"/>
      </w:pPr>
      <w:r w:rsidRPr="006D52A9">
        <w:tab/>
        <w:t>(ii)</w:t>
      </w:r>
      <w:r w:rsidR="006C3A6B" w:rsidRPr="006D52A9">
        <w:tab/>
        <w:t>it is for continuing treatment</w:t>
      </w:r>
      <w:r w:rsidR="00BA1F8C" w:rsidRPr="006D52A9">
        <w:t>.</w:t>
      </w:r>
    </w:p>
    <w:p w14:paraId="5C478D7F" w14:textId="77777777" w:rsidR="000B0A11" w:rsidRPr="006D52A9" w:rsidRDefault="000B0A11" w:rsidP="000B0A11">
      <w:pPr>
        <w:pStyle w:val="Definition"/>
      </w:pPr>
      <w:r w:rsidRPr="006D52A9">
        <w:rPr>
          <w:b/>
          <w:i/>
        </w:rPr>
        <w:t>day admitted patient</w:t>
      </w:r>
      <w:r w:rsidRPr="006D52A9">
        <w:t xml:space="preserve">: a person is a </w:t>
      </w:r>
      <w:r w:rsidRPr="006D52A9">
        <w:rPr>
          <w:b/>
          <w:i/>
        </w:rPr>
        <w:t>day admitted patient</w:t>
      </w:r>
      <w:r w:rsidRPr="006D52A9">
        <w:t xml:space="preserve"> of a hospital on a day if, on that day, the person:</w:t>
      </w:r>
    </w:p>
    <w:p w14:paraId="400C185B" w14:textId="77777777" w:rsidR="000B0A11" w:rsidRPr="006D52A9" w:rsidRDefault="000B0A11" w:rsidP="000B0A11">
      <w:pPr>
        <w:pStyle w:val="paragraph"/>
      </w:pPr>
      <w:r w:rsidRPr="006D52A9">
        <w:tab/>
        <w:t>(a)</w:t>
      </w:r>
      <w:r w:rsidRPr="006D52A9">
        <w:tab/>
        <w:t>is admitted to the hospital (other than through the hospital’s emergency department); and</w:t>
      </w:r>
    </w:p>
    <w:p w14:paraId="2B0F1F05" w14:textId="77777777" w:rsidR="000B0A11" w:rsidRPr="006D52A9" w:rsidRDefault="000B0A11" w:rsidP="000B0A11">
      <w:pPr>
        <w:pStyle w:val="paragraph"/>
      </w:pPr>
      <w:r w:rsidRPr="006D52A9">
        <w:tab/>
        <w:t>(b)</w:t>
      </w:r>
      <w:r w:rsidRPr="006D52A9">
        <w:tab/>
        <w:t>receives treatment; and</w:t>
      </w:r>
    </w:p>
    <w:p w14:paraId="7E25D2FC" w14:textId="77777777" w:rsidR="000B0A11" w:rsidRPr="006D52A9" w:rsidRDefault="000B0A11" w:rsidP="000B0A11">
      <w:pPr>
        <w:pStyle w:val="paragraph"/>
      </w:pPr>
      <w:r w:rsidRPr="006D52A9">
        <w:tab/>
        <w:t>(c)</w:t>
      </w:r>
      <w:r w:rsidRPr="006D52A9">
        <w:tab/>
        <w:t>is discharged from the hospital;</w:t>
      </w:r>
    </w:p>
    <w:p w14:paraId="0C1C1B64" w14:textId="77777777" w:rsidR="000B0A11" w:rsidRPr="006D52A9" w:rsidRDefault="000B0A11" w:rsidP="000B0A11">
      <w:pPr>
        <w:pStyle w:val="subsection2"/>
      </w:pPr>
      <w:r w:rsidRPr="006D52A9">
        <w:t>in accordance with a pre</w:t>
      </w:r>
      <w:r w:rsidR="0026100E">
        <w:noBreakHyphen/>
      </w:r>
      <w:r w:rsidRPr="006D52A9">
        <w:t>existing plan for the person’s treatment.</w:t>
      </w:r>
    </w:p>
    <w:p w14:paraId="2D5378F6" w14:textId="77777777" w:rsidR="006B0D76" w:rsidRPr="006D52A9" w:rsidRDefault="006B0D76" w:rsidP="006B0D76">
      <w:pPr>
        <w:pStyle w:val="Definition"/>
      </w:pPr>
      <w:r w:rsidRPr="006D52A9">
        <w:rPr>
          <w:b/>
          <w:i/>
          <w:szCs w:val="24"/>
        </w:rPr>
        <w:t>dispensed price</w:t>
      </w:r>
      <w:r w:rsidRPr="006D52A9">
        <w:rPr>
          <w:szCs w:val="24"/>
        </w:rPr>
        <w:t>:</w:t>
      </w:r>
    </w:p>
    <w:p w14:paraId="76544098" w14:textId="77777777" w:rsidR="006B0D76" w:rsidRPr="006D52A9" w:rsidRDefault="006B0D76" w:rsidP="006B0D76">
      <w:pPr>
        <w:pStyle w:val="paragraph"/>
      </w:pPr>
      <w:r w:rsidRPr="006D52A9">
        <w:rPr>
          <w:szCs w:val="24"/>
        </w:rPr>
        <w:tab/>
        <w:t>(a)</w:t>
      </w:r>
      <w:r w:rsidRPr="006D52A9">
        <w:rPr>
          <w:szCs w:val="24"/>
        </w:rPr>
        <w:tab/>
        <w:t xml:space="preserve">for </w:t>
      </w:r>
      <w:r w:rsidR="007E765E" w:rsidRPr="006D52A9">
        <w:rPr>
          <w:szCs w:val="24"/>
        </w:rPr>
        <w:t>a special arrangement</w:t>
      </w:r>
      <w:r w:rsidRPr="006D52A9">
        <w:rPr>
          <w:szCs w:val="24"/>
        </w:rPr>
        <w:t xml:space="preserve"> supply of an HSD pharmaceutical benefit by</w:t>
      </w:r>
      <w:r w:rsidR="00DD0DAD" w:rsidRPr="006D52A9">
        <w:rPr>
          <w:szCs w:val="24"/>
        </w:rPr>
        <w:t xml:space="preserve"> an approved hospital authority for a public hospital</w:t>
      </w:r>
      <w:r w:rsidR="007E765E" w:rsidRPr="006D52A9">
        <w:rPr>
          <w:szCs w:val="24"/>
        </w:rPr>
        <w:t>—</w:t>
      </w:r>
      <w:r w:rsidR="00377845" w:rsidRPr="006D52A9">
        <w:t xml:space="preserve">has the meaning given by </w:t>
      </w:r>
      <w:r w:rsidR="00D66D59">
        <w:rPr>
          <w:szCs w:val="24"/>
        </w:rPr>
        <w:t>section 2</w:t>
      </w:r>
      <w:r w:rsidR="005F407C" w:rsidRPr="006D52A9">
        <w:rPr>
          <w:szCs w:val="24"/>
        </w:rPr>
        <w:t>9</w:t>
      </w:r>
      <w:r w:rsidRPr="006D52A9">
        <w:rPr>
          <w:szCs w:val="24"/>
        </w:rPr>
        <w:t>; and</w:t>
      </w:r>
    </w:p>
    <w:p w14:paraId="193EEF26" w14:textId="77777777" w:rsidR="00DD0DAD" w:rsidRPr="006D52A9" w:rsidRDefault="006B0D76" w:rsidP="006B0D76">
      <w:pPr>
        <w:pStyle w:val="paragraph"/>
      </w:pPr>
      <w:r w:rsidRPr="006D52A9">
        <w:tab/>
        <w:t>(b)</w:t>
      </w:r>
      <w:r w:rsidRPr="006D52A9">
        <w:tab/>
      </w:r>
      <w:r w:rsidR="007E765E" w:rsidRPr="006D52A9">
        <w:rPr>
          <w:szCs w:val="24"/>
        </w:rPr>
        <w:t xml:space="preserve">for a special arrangement supply of </w:t>
      </w:r>
      <w:r w:rsidRPr="006D52A9">
        <w:t xml:space="preserve">an </w:t>
      </w:r>
      <w:r w:rsidR="00A546EE" w:rsidRPr="006D52A9">
        <w:t>HSD pharmaceutical benefit by</w:t>
      </w:r>
      <w:r w:rsidR="007E765E" w:rsidRPr="006D52A9">
        <w:t xml:space="preserve"> an approved supplier other than </w:t>
      </w:r>
      <w:r w:rsidR="007E765E" w:rsidRPr="006D52A9">
        <w:rPr>
          <w:szCs w:val="24"/>
        </w:rPr>
        <w:t>an approved hospital authority for a public hospital—</w:t>
      </w:r>
      <w:r w:rsidR="00377845" w:rsidRPr="006D52A9">
        <w:t xml:space="preserve">has the meaning given by </w:t>
      </w:r>
      <w:r w:rsidR="00D66D59">
        <w:rPr>
          <w:szCs w:val="24"/>
        </w:rPr>
        <w:t>section 3</w:t>
      </w:r>
      <w:r w:rsidR="005F407C" w:rsidRPr="006D52A9">
        <w:rPr>
          <w:szCs w:val="24"/>
        </w:rPr>
        <w:t>2</w:t>
      </w:r>
      <w:r w:rsidR="00FB5CF5" w:rsidRPr="006D52A9">
        <w:t>.</w:t>
      </w:r>
    </w:p>
    <w:p w14:paraId="1E6935E3" w14:textId="77777777" w:rsidR="008C7EEA" w:rsidRPr="006D52A9" w:rsidRDefault="008C7EEA" w:rsidP="006B0D76">
      <w:pPr>
        <w:pStyle w:val="Definition"/>
        <w:rPr>
          <w:szCs w:val="24"/>
        </w:rPr>
      </w:pPr>
      <w:r w:rsidRPr="006D52A9">
        <w:rPr>
          <w:b/>
          <w:i/>
          <w:szCs w:val="24"/>
        </w:rPr>
        <w:t>eligible patient</w:t>
      </w:r>
      <w:r w:rsidRPr="006D52A9">
        <w:rPr>
          <w:szCs w:val="24"/>
        </w:rPr>
        <w:t xml:space="preserve"> </w:t>
      </w:r>
      <w:r w:rsidRPr="006D52A9">
        <w:t>has the meaning given by section </w:t>
      </w:r>
      <w:r w:rsidR="005F407C" w:rsidRPr="006D52A9">
        <w:t>8</w:t>
      </w:r>
      <w:r w:rsidRPr="006D52A9">
        <w:t>.</w:t>
      </w:r>
    </w:p>
    <w:p w14:paraId="4544F7F7" w14:textId="77777777" w:rsidR="00BE77C3" w:rsidRPr="006D52A9" w:rsidRDefault="00BE77C3" w:rsidP="00BE77C3">
      <w:pPr>
        <w:pStyle w:val="Definition"/>
      </w:pPr>
      <w:r w:rsidRPr="006D52A9">
        <w:rPr>
          <w:b/>
          <w:bCs/>
          <w:i/>
          <w:iCs/>
          <w:szCs w:val="24"/>
        </w:rPr>
        <w:t>highly specialised drug</w:t>
      </w:r>
      <w:r w:rsidRPr="006D52A9">
        <w:rPr>
          <w:szCs w:val="24"/>
        </w:rPr>
        <w:t xml:space="preserve"> means a listed drug mentioned in </w:t>
      </w:r>
      <w:r w:rsidR="00942996" w:rsidRPr="006D52A9">
        <w:rPr>
          <w:szCs w:val="24"/>
        </w:rPr>
        <w:t>Schedule 1</w:t>
      </w:r>
      <w:r w:rsidRPr="006D52A9">
        <w:rPr>
          <w:szCs w:val="24"/>
        </w:rPr>
        <w:t>.</w:t>
      </w:r>
    </w:p>
    <w:p w14:paraId="01E9A8E8" w14:textId="77777777" w:rsidR="006B0D76" w:rsidRPr="006D52A9" w:rsidRDefault="006B0D76" w:rsidP="006B0D76">
      <w:pPr>
        <w:pStyle w:val="Definition"/>
      </w:pPr>
      <w:r w:rsidRPr="006D52A9">
        <w:rPr>
          <w:b/>
          <w:bCs/>
          <w:i/>
          <w:iCs/>
          <w:color w:val="000000"/>
          <w:szCs w:val="24"/>
        </w:rPr>
        <w:t>hospital authority</w:t>
      </w:r>
      <w:r w:rsidRPr="006D52A9">
        <w:rPr>
          <w:color w:val="000000"/>
          <w:szCs w:val="24"/>
        </w:rPr>
        <w:t xml:space="preserve"> </w:t>
      </w:r>
      <w:r w:rsidR="00580C3F" w:rsidRPr="006D52A9">
        <w:t xml:space="preserve">has the same meaning as in </w:t>
      </w:r>
      <w:r w:rsidR="000B6A22" w:rsidRPr="006D52A9">
        <w:t>Part V</w:t>
      </w:r>
      <w:r w:rsidR="00580C3F" w:rsidRPr="006D52A9">
        <w:t>II of the Act</w:t>
      </w:r>
      <w:r w:rsidR="00580C3F" w:rsidRPr="006D52A9">
        <w:rPr>
          <w:color w:val="000000"/>
          <w:szCs w:val="24"/>
        </w:rPr>
        <w:t>.</w:t>
      </w:r>
    </w:p>
    <w:p w14:paraId="7C018E84" w14:textId="77777777" w:rsidR="005A3572" w:rsidRPr="006D52A9" w:rsidRDefault="005A3572" w:rsidP="00AB39D6">
      <w:pPr>
        <w:pStyle w:val="Definition"/>
      </w:pPr>
      <w:r w:rsidRPr="006D52A9">
        <w:rPr>
          <w:b/>
          <w:bCs/>
          <w:i/>
          <w:iCs/>
          <w:color w:val="000000"/>
          <w:szCs w:val="24"/>
        </w:rPr>
        <w:t>HSD</w:t>
      </w:r>
      <w:r w:rsidRPr="006D52A9">
        <w:rPr>
          <w:b/>
          <w:bCs/>
          <w:iCs/>
          <w:color w:val="000000"/>
          <w:szCs w:val="24"/>
        </w:rPr>
        <w:t xml:space="preserve"> </w:t>
      </w:r>
      <w:r w:rsidRPr="006D52A9">
        <w:rPr>
          <w:b/>
          <w:bCs/>
          <w:i/>
          <w:iCs/>
          <w:color w:val="000000"/>
          <w:szCs w:val="24"/>
        </w:rPr>
        <w:t>hospital authority</w:t>
      </w:r>
      <w:r w:rsidRPr="006D52A9">
        <w:rPr>
          <w:szCs w:val="24"/>
        </w:rPr>
        <w:t xml:space="preserve"> means a</w:t>
      </w:r>
      <w:r w:rsidR="004A62D6" w:rsidRPr="006D52A9">
        <w:rPr>
          <w:szCs w:val="24"/>
        </w:rPr>
        <w:t xml:space="preserve"> hospital authority</w:t>
      </w:r>
      <w:r w:rsidR="00AB39D6" w:rsidRPr="006D52A9">
        <w:rPr>
          <w:szCs w:val="24"/>
        </w:rPr>
        <w:t xml:space="preserve"> </w:t>
      </w:r>
      <w:r w:rsidRPr="006D52A9">
        <w:t>for which:</w:t>
      </w:r>
    </w:p>
    <w:p w14:paraId="62C54DAC" w14:textId="77777777" w:rsidR="005A3572" w:rsidRPr="006D52A9" w:rsidRDefault="005A3572" w:rsidP="00AB39D6">
      <w:pPr>
        <w:pStyle w:val="paragraph"/>
      </w:pPr>
      <w:r w:rsidRPr="006D52A9">
        <w:tab/>
        <w:t>(</w:t>
      </w:r>
      <w:r w:rsidR="00AB39D6" w:rsidRPr="006D52A9">
        <w:t>a</w:t>
      </w:r>
      <w:r w:rsidRPr="006D52A9">
        <w:t>)</w:t>
      </w:r>
      <w:r w:rsidRPr="006D52A9">
        <w:tab/>
      </w:r>
      <w:r w:rsidR="00AB39D6" w:rsidRPr="006D52A9">
        <w:t xml:space="preserve">an approval </w:t>
      </w:r>
      <w:r w:rsidR="00334D26" w:rsidRPr="006D52A9">
        <w:t xml:space="preserve">under </w:t>
      </w:r>
      <w:r w:rsidR="00D66D59">
        <w:t>section 9</w:t>
      </w:r>
      <w:r w:rsidR="00AB39D6" w:rsidRPr="006D52A9">
        <w:t>4 of the Act</w:t>
      </w:r>
      <w:r w:rsidR="00334D26" w:rsidRPr="006D52A9">
        <w:t xml:space="preserve">, as modified by </w:t>
      </w:r>
      <w:r w:rsidR="00D66D59">
        <w:t>section 1</w:t>
      </w:r>
      <w:r w:rsidR="005F407C" w:rsidRPr="006D52A9">
        <w:t>0</w:t>
      </w:r>
      <w:r w:rsidR="00334D26" w:rsidRPr="006D52A9">
        <w:t xml:space="preserve"> </w:t>
      </w:r>
      <w:r w:rsidR="00AB39D6" w:rsidRPr="006D52A9">
        <w:t>of this instrument</w:t>
      </w:r>
      <w:r w:rsidR="00334D26" w:rsidRPr="006D52A9">
        <w:t>,</w:t>
      </w:r>
      <w:r w:rsidR="00AB39D6" w:rsidRPr="006D52A9">
        <w:t xml:space="preserve"> is in force</w:t>
      </w:r>
      <w:r w:rsidR="00466505" w:rsidRPr="006D52A9">
        <w:t>;</w:t>
      </w:r>
      <w:r w:rsidR="000142F1" w:rsidRPr="006D52A9">
        <w:t xml:space="preserve"> or</w:t>
      </w:r>
    </w:p>
    <w:p w14:paraId="4641A9A8" w14:textId="77777777" w:rsidR="00AB39D6" w:rsidRPr="006D52A9" w:rsidRDefault="00AB39D6" w:rsidP="00AB39D6">
      <w:pPr>
        <w:pStyle w:val="paragraph"/>
      </w:pPr>
      <w:r w:rsidRPr="006D52A9">
        <w:lastRenderedPageBreak/>
        <w:tab/>
        <w:t>(b</w:t>
      </w:r>
      <w:r w:rsidR="005A3572" w:rsidRPr="006D52A9">
        <w:t>)</w:t>
      </w:r>
      <w:r w:rsidR="005A3572" w:rsidRPr="006D52A9">
        <w:tab/>
      </w:r>
      <w:r w:rsidRPr="006D52A9">
        <w:t xml:space="preserve">an approval mentioned in </w:t>
      </w:r>
      <w:r w:rsidR="00D66D59">
        <w:t>section 3</w:t>
      </w:r>
      <w:r w:rsidR="005F407C" w:rsidRPr="006D52A9">
        <w:t>8</w:t>
      </w:r>
      <w:r w:rsidRPr="006D52A9">
        <w:t xml:space="preserve"> of this instrument is in force.</w:t>
      </w:r>
    </w:p>
    <w:p w14:paraId="60167AA1" w14:textId="77777777" w:rsidR="006B0D76" w:rsidRPr="006D52A9" w:rsidRDefault="006B0D76" w:rsidP="006B0D76">
      <w:pPr>
        <w:pStyle w:val="Definition"/>
      </w:pPr>
      <w:r w:rsidRPr="006D52A9">
        <w:rPr>
          <w:b/>
          <w:i/>
        </w:rPr>
        <w:t>HSD pharmaceutical benefit</w:t>
      </w:r>
      <w:r w:rsidRPr="006D52A9">
        <w:rPr>
          <w:b/>
        </w:rPr>
        <w:t xml:space="preserve"> </w:t>
      </w:r>
      <w:r w:rsidRPr="006D52A9">
        <w:t xml:space="preserve">means a pharmaceutical benefit mentioned in </w:t>
      </w:r>
      <w:r w:rsidR="00942996" w:rsidRPr="006D52A9">
        <w:t>Schedule 1</w:t>
      </w:r>
      <w:r w:rsidRPr="006D52A9">
        <w:t>.</w:t>
      </w:r>
    </w:p>
    <w:p w14:paraId="596B6235" w14:textId="77777777" w:rsidR="0043091C" w:rsidRPr="006D52A9" w:rsidRDefault="0043091C" w:rsidP="0043091C">
      <w:pPr>
        <w:pStyle w:val="Definition"/>
      </w:pPr>
      <w:r w:rsidRPr="006D52A9">
        <w:rPr>
          <w:b/>
          <w:i/>
        </w:rPr>
        <w:t>listed drug</w:t>
      </w:r>
      <w:r w:rsidRPr="006D52A9">
        <w:t xml:space="preserve"> has the same meaning as in </w:t>
      </w:r>
      <w:r w:rsidR="000B6A22" w:rsidRPr="006D52A9">
        <w:t>Part V</w:t>
      </w:r>
      <w:r w:rsidRPr="006D52A9">
        <w:t>II of the Act.</w:t>
      </w:r>
    </w:p>
    <w:p w14:paraId="07A35E6E" w14:textId="77777777" w:rsidR="008C4C24" w:rsidRPr="006D52A9" w:rsidRDefault="008C4C24" w:rsidP="006B0D76">
      <w:pPr>
        <w:pStyle w:val="Definition"/>
        <w:spacing w:before="120"/>
      </w:pPr>
      <w:r w:rsidRPr="006D52A9">
        <w:rPr>
          <w:b/>
          <w:i/>
        </w:rPr>
        <w:t xml:space="preserve">Listing Instrument </w:t>
      </w:r>
      <w:r w:rsidRPr="006D52A9">
        <w:t xml:space="preserve">means the </w:t>
      </w:r>
      <w:r w:rsidRPr="006D52A9">
        <w:rPr>
          <w:i/>
        </w:rPr>
        <w:t>National Health (Listing of Pharmaceutical Benefits) Instrument 2012</w:t>
      </w:r>
      <w:r w:rsidRPr="006D52A9">
        <w:t xml:space="preserve"> (PB 71 of 2012).</w:t>
      </w:r>
    </w:p>
    <w:p w14:paraId="216A46E7" w14:textId="77777777" w:rsidR="00FE29F2" w:rsidRPr="006D52A9" w:rsidRDefault="006B0D76" w:rsidP="006B0D76">
      <w:pPr>
        <w:pStyle w:val="Definition"/>
        <w:spacing w:before="120"/>
      </w:pPr>
      <w:r w:rsidRPr="006D52A9">
        <w:rPr>
          <w:b/>
          <w:i/>
        </w:rPr>
        <w:t xml:space="preserve">medication chart prescription </w:t>
      </w:r>
      <w:r w:rsidR="00292668" w:rsidRPr="006D52A9">
        <w:t xml:space="preserve">has the same meaning as in </w:t>
      </w:r>
      <w:r w:rsidRPr="006D52A9">
        <w:t>the Regulations</w:t>
      </w:r>
      <w:r w:rsidR="00FE29F2" w:rsidRPr="006D52A9">
        <w:t>.</w:t>
      </w:r>
    </w:p>
    <w:p w14:paraId="052ED474" w14:textId="77777777" w:rsidR="006B0D76" w:rsidRPr="006D52A9" w:rsidRDefault="006B0D76" w:rsidP="006B0D76">
      <w:pPr>
        <w:pStyle w:val="Definition"/>
      </w:pPr>
      <w:r w:rsidRPr="006D52A9">
        <w:rPr>
          <w:b/>
          <w:bCs/>
          <w:i/>
          <w:iCs/>
          <w:color w:val="000000"/>
        </w:rPr>
        <w:t>medication for the treatment of hepatitis B</w:t>
      </w:r>
      <w:r w:rsidRPr="006D52A9">
        <w:t xml:space="preserve"> means any of the following:</w:t>
      </w:r>
    </w:p>
    <w:p w14:paraId="70991305" w14:textId="77777777" w:rsidR="006B0D76" w:rsidRPr="006D52A9" w:rsidRDefault="006B0D76" w:rsidP="006B0D76">
      <w:pPr>
        <w:pStyle w:val="paragraph"/>
      </w:pPr>
      <w:r w:rsidRPr="006D52A9">
        <w:tab/>
        <w:t>(a)</w:t>
      </w:r>
      <w:r w:rsidRPr="006D52A9">
        <w:tab/>
        <w:t>adefovir</w:t>
      </w:r>
      <w:r w:rsidR="00374CD3" w:rsidRPr="006D52A9">
        <w:t>;</w:t>
      </w:r>
    </w:p>
    <w:p w14:paraId="3B7B9F74" w14:textId="77777777" w:rsidR="006B0D76" w:rsidRPr="006D52A9" w:rsidRDefault="006B0D76" w:rsidP="006B0D76">
      <w:pPr>
        <w:pStyle w:val="paragraph"/>
        <w:rPr>
          <w:szCs w:val="22"/>
        </w:rPr>
      </w:pPr>
      <w:r w:rsidRPr="006D52A9">
        <w:rPr>
          <w:szCs w:val="22"/>
        </w:rPr>
        <w:tab/>
        <w:t>(b)</w:t>
      </w:r>
      <w:r w:rsidRPr="006D52A9">
        <w:rPr>
          <w:szCs w:val="22"/>
        </w:rPr>
        <w:tab/>
        <w:t>entecavir</w:t>
      </w:r>
      <w:r w:rsidR="00374CD3" w:rsidRPr="006D52A9">
        <w:rPr>
          <w:szCs w:val="22"/>
        </w:rPr>
        <w:t>;</w:t>
      </w:r>
    </w:p>
    <w:p w14:paraId="10A0E9B4" w14:textId="77777777" w:rsidR="006B0D76" w:rsidRPr="006D52A9" w:rsidRDefault="006B0D76" w:rsidP="006B0D76">
      <w:pPr>
        <w:pStyle w:val="paragraph"/>
      </w:pPr>
      <w:r w:rsidRPr="006D52A9">
        <w:tab/>
        <w:t>(c)</w:t>
      </w:r>
      <w:r w:rsidRPr="006D52A9">
        <w:tab/>
        <w:t>interferon alfa</w:t>
      </w:r>
      <w:r w:rsidR="0026100E">
        <w:noBreakHyphen/>
      </w:r>
      <w:r w:rsidRPr="006D52A9">
        <w:t>2a</w:t>
      </w:r>
      <w:r w:rsidR="00374CD3" w:rsidRPr="006D52A9">
        <w:t>;</w:t>
      </w:r>
    </w:p>
    <w:p w14:paraId="08325996" w14:textId="77777777" w:rsidR="006B0D76" w:rsidRPr="006D52A9" w:rsidRDefault="00374CD3" w:rsidP="006B0D76">
      <w:pPr>
        <w:pStyle w:val="paragraph"/>
      </w:pPr>
      <w:r w:rsidRPr="006D52A9">
        <w:tab/>
        <w:t>(d</w:t>
      </w:r>
      <w:r w:rsidR="006B0D76" w:rsidRPr="006D52A9">
        <w:t>)</w:t>
      </w:r>
      <w:r w:rsidR="006B0D76" w:rsidRPr="006D52A9">
        <w:tab/>
        <w:t>lamivudine</w:t>
      </w:r>
      <w:r w:rsidRPr="006D52A9">
        <w:t>;</w:t>
      </w:r>
    </w:p>
    <w:p w14:paraId="0EA39601" w14:textId="77777777" w:rsidR="006B0D76" w:rsidRPr="006D52A9" w:rsidRDefault="00374CD3" w:rsidP="006B0D76">
      <w:pPr>
        <w:pStyle w:val="paragraph"/>
      </w:pPr>
      <w:r w:rsidRPr="006D52A9">
        <w:tab/>
        <w:t>(e</w:t>
      </w:r>
      <w:r w:rsidR="006B0D76" w:rsidRPr="006D52A9">
        <w:t>)</w:t>
      </w:r>
      <w:r w:rsidR="006B0D76" w:rsidRPr="006D52A9">
        <w:tab/>
        <w:t>tenofovir</w:t>
      </w:r>
      <w:r w:rsidRPr="006D52A9">
        <w:t>.</w:t>
      </w:r>
    </w:p>
    <w:p w14:paraId="34BE54EB" w14:textId="77777777" w:rsidR="006B0D76" w:rsidRPr="006D52A9" w:rsidRDefault="006B0D76" w:rsidP="006B0D76">
      <w:pPr>
        <w:pStyle w:val="Definition"/>
      </w:pPr>
      <w:r w:rsidRPr="006D52A9">
        <w:rPr>
          <w:b/>
          <w:i/>
        </w:rPr>
        <w:t>medication for the treatment of hepatitis C</w:t>
      </w:r>
      <w:r w:rsidRPr="006D52A9">
        <w:t xml:space="preserve"> means medication mentioned in the table in paragraph 3 of the General Statement for drugs for the treatment of hepatitis C</w:t>
      </w:r>
      <w:r w:rsidR="00EA2A11" w:rsidRPr="006D52A9">
        <w:t xml:space="preserve"> set out in Part 3 of Schedule 4 to the Listing Instrument</w:t>
      </w:r>
      <w:r w:rsidRPr="006D52A9">
        <w:t>.</w:t>
      </w:r>
    </w:p>
    <w:p w14:paraId="04CC89D3" w14:textId="77777777" w:rsidR="006B0D76" w:rsidRPr="006D52A9" w:rsidRDefault="006B0D76" w:rsidP="006B0D76">
      <w:pPr>
        <w:pStyle w:val="Definition"/>
        <w:rPr>
          <w:iCs/>
          <w:color w:val="000000"/>
        </w:rPr>
      </w:pPr>
      <w:r w:rsidRPr="006D52A9">
        <w:rPr>
          <w:b/>
          <w:bCs/>
          <w:i/>
          <w:iCs/>
          <w:color w:val="000000"/>
        </w:rPr>
        <w:t>medication for the treatment of HIV or AIDS</w:t>
      </w:r>
      <w:r w:rsidRPr="006D52A9">
        <w:rPr>
          <w:bCs/>
          <w:iCs/>
          <w:color w:val="000000"/>
        </w:rPr>
        <w:t xml:space="preserve"> means any of the following:</w:t>
      </w:r>
    </w:p>
    <w:p w14:paraId="35D01DF3" w14:textId="77777777" w:rsidR="006B0D76" w:rsidRPr="006D52A9" w:rsidRDefault="006B0D76" w:rsidP="006B0D76">
      <w:pPr>
        <w:pStyle w:val="paragraph"/>
      </w:pPr>
      <w:r w:rsidRPr="006D52A9">
        <w:tab/>
        <w:t>(a)</w:t>
      </w:r>
      <w:r w:rsidRPr="006D52A9">
        <w:tab/>
        <w:t>abacavir</w:t>
      </w:r>
      <w:r w:rsidR="00374CD3" w:rsidRPr="006D52A9">
        <w:t>;</w:t>
      </w:r>
    </w:p>
    <w:p w14:paraId="0C19B2E5" w14:textId="77777777" w:rsidR="006B0D76" w:rsidRPr="006D52A9" w:rsidRDefault="006B0D76" w:rsidP="006B0D76">
      <w:pPr>
        <w:pStyle w:val="paragraph"/>
      </w:pPr>
      <w:r w:rsidRPr="006D52A9">
        <w:tab/>
        <w:t>(b)</w:t>
      </w:r>
      <w:r w:rsidRPr="006D52A9">
        <w:tab/>
        <w:t>abacavir with lamivudine</w:t>
      </w:r>
      <w:r w:rsidR="00374CD3" w:rsidRPr="006D52A9">
        <w:t>;</w:t>
      </w:r>
    </w:p>
    <w:p w14:paraId="50F0B6D5" w14:textId="77777777" w:rsidR="006B0D76" w:rsidRPr="006D52A9" w:rsidRDefault="006B0D76" w:rsidP="006B0D76">
      <w:pPr>
        <w:pStyle w:val="paragraph"/>
      </w:pPr>
      <w:r w:rsidRPr="006D52A9">
        <w:tab/>
        <w:t>(c)</w:t>
      </w:r>
      <w:r w:rsidRPr="006D52A9">
        <w:tab/>
        <w:t>abacavir with lamivudine and zidovudine</w:t>
      </w:r>
      <w:r w:rsidR="00374CD3" w:rsidRPr="006D52A9">
        <w:t>;</w:t>
      </w:r>
    </w:p>
    <w:p w14:paraId="3DA2F9B2" w14:textId="77777777" w:rsidR="006B0D76" w:rsidRPr="006D52A9" w:rsidRDefault="006B0D76" w:rsidP="006B0D76">
      <w:pPr>
        <w:pStyle w:val="paragraph"/>
      </w:pPr>
      <w:r w:rsidRPr="006D52A9">
        <w:tab/>
        <w:t>(d)</w:t>
      </w:r>
      <w:r w:rsidRPr="006D52A9">
        <w:tab/>
        <w:t>atazanavir</w:t>
      </w:r>
      <w:r w:rsidR="00374CD3" w:rsidRPr="006D52A9">
        <w:t>;</w:t>
      </w:r>
    </w:p>
    <w:p w14:paraId="30520638" w14:textId="77777777" w:rsidR="006B0D76" w:rsidRPr="006D52A9" w:rsidRDefault="006B0D76" w:rsidP="006B0D76">
      <w:pPr>
        <w:pStyle w:val="paragraph"/>
      </w:pPr>
      <w:r w:rsidRPr="006D52A9">
        <w:tab/>
        <w:t>(e)</w:t>
      </w:r>
      <w:r w:rsidRPr="006D52A9">
        <w:tab/>
        <w:t>atazanavir with cobicistat</w:t>
      </w:r>
      <w:r w:rsidR="00374CD3" w:rsidRPr="006D52A9">
        <w:t>;</w:t>
      </w:r>
    </w:p>
    <w:p w14:paraId="55C5630A" w14:textId="77777777" w:rsidR="006B0D76" w:rsidRPr="006D52A9" w:rsidRDefault="006B0D76" w:rsidP="006B0D76">
      <w:pPr>
        <w:pStyle w:val="paragraph"/>
      </w:pPr>
      <w:r w:rsidRPr="006D52A9">
        <w:tab/>
        <w:t>(f)</w:t>
      </w:r>
      <w:r w:rsidRPr="006D52A9">
        <w:tab/>
        <w:t>azithromycin</w:t>
      </w:r>
      <w:r w:rsidR="00374CD3" w:rsidRPr="006D52A9">
        <w:t>;</w:t>
      </w:r>
    </w:p>
    <w:p w14:paraId="10756887" w14:textId="77777777" w:rsidR="006B0D76" w:rsidRPr="006D52A9" w:rsidRDefault="006B0D76" w:rsidP="006B0D76">
      <w:pPr>
        <w:pStyle w:val="paragraph"/>
      </w:pPr>
      <w:r w:rsidRPr="006D52A9">
        <w:tab/>
        <w:t>(g)</w:t>
      </w:r>
      <w:r w:rsidRPr="006D52A9">
        <w:tab/>
        <w:t>bictegravir with emtricitabine with tenofovir alafenamide</w:t>
      </w:r>
      <w:r w:rsidR="00374CD3" w:rsidRPr="006D52A9">
        <w:t>;</w:t>
      </w:r>
    </w:p>
    <w:p w14:paraId="0337BA1F" w14:textId="77777777" w:rsidR="006B0D76" w:rsidRPr="006D52A9" w:rsidRDefault="006B0D76" w:rsidP="006B0D76">
      <w:pPr>
        <w:pStyle w:val="paragraph"/>
      </w:pPr>
      <w:r w:rsidRPr="006D52A9">
        <w:tab/>
        <w:t>(h)</w:t>
      </w:r>
      <w:r w:rsidRPr="006D52A9">
        <w:tab/>
        <w:t>darunavir</w:t>
      </w:r>
      <w:r w:rsidR="00374CD3" w:rsidRPr="006D52A9">
        <w:t>;</w:t>
      </w:r>
    </w:p>
    <w:p w14:paraId="0BEBD7C9" w14:textId="77777777" w:rsidR="006B0D76" w:rsidRPr="006D52A9" w:rsidRDefault="006B0D76" w:rsidP="006B0D76">
      <w:pPr>
        <w:pStyle w:val="paragraph"/>
      </w:pPr>
      <w:r w:rsidRPr="006D52A9">
        <w:tab/>
        <w:t>(i)</w:t>
      </w:r>
      <w:r w:rsidRPr="006D52A9">
        <w:tab/>
        <w:t>darunavir with cobicistat</w:t>
      </w:r>
      <w:r w:rsidR="00374CD3" w:rsidRPr="006D52A9">
        <w:t>;</w:t>
      </w:r>
    </w:p>
    <w:p w14:paraId="71C1E70D" w14:textId="77777777" w:rsidR="006B0D76" w:rsidRPr="006D52A9" w:rsidRDefault="006B0D76" w:rsidP="006B0D76">
      <w:pPr>
        <w:pStyle w:val="paragraph"/>
      </w:pPr>
      <w:r w:rsidRPr="006D52A9">
        <w:tab/>
        <w:t>(j)</w:t>
      </w:r>
      <w:r w:rsidRPr="006D52A9">
        <w:tab/>
        <w:t>dolutegravir</w:t>
      </w:r>
      <w:r w:rsidR="00374CD3" w:rsidRPr="006D52A9">
        <w:t>;</w:t>
      </w:r>
    </w:p>
    <w:p w14:paraId="36C9D4ED" w14:textId="77777777" w:rsidR="006B0D76" w:rsidRPr="006D52A9" w:rsidRDefault="006B0D76" w:rsidP="006B0D76">
      <w:pPr>
        <w:pStyle w:val="paragraph"/>
      </w:pPr>
      <w:r w:rsidRPr="006D52A9">
        <w:tab/>
        <w:t>(k)</w:t>
      </w:r>
      <w:r w:rsidRPr="006D52A9">
        <w:tab/>
        <w:t>dolutegravir with abacavir and lamivudine</w:t>
      </w:r>
      <w:r w:rsidR="00374CD3" w:rsidRPr="006D52A9">
        <w:t>;</w:t>
      </w:r>
    </w:p>
    <w:p w14:paraId="77FA5259" w14:textId="77777777" w:rsidR="006B0D76" w:rsidRPr="006D52A9" w:rsidRDefault="006B0D76" w:rsidP="006B0D76">
      <w:pPr>
        <w:pStyle w:val="paragraph"/>
      </w:pPr>
      <w:r w:rsidRPr="006D52A9">
        <w:tab/>
        <w:t>(l)</w:t>
      </w:r>
      <w:r w:rsidRPr="006D52A9">
        <w:tab/>
        <w:t>dolutegravir with lamivudine</w:t>
      </w:r>
      <w:r w:rsidR="00374CD3" w:rsidRPr="006D52A9">
        <w:t>;</w:t>
      </w:r>
    </w:p>
    <w:p w14:paraId="593620C2" w14:textId="77777777" w:rsidR="006B0D76" w:rsidRPr="006D52A9" w:rsidRDefault="006B0D76" w:rsidP="006B0D76">
      <w:pPr>
        <w:pStyle w:val="paragraph"/>
      </w:pPr>
      <w:r w:rsidRPr="006D52A9">
        <w:tab/>
        <w:t>(m)</w:t>
      </w:r>
      <w:r w:rsidRPr="006D52A9">
        <w:tab/>
        <w:t>dolutegravir with rilpivirine</w:t>
      </w:r>
      <w:r w:rsidR="00374CD3" w:rsidRPr="006D52A9">
        <w:t>;</w:t>
      </w:r>
    </w:p>
    <w:p w14:paraId="0C939935" w14:textId="77777777" w:rsidR="006B0D76" w:rsidRPr="006D52A9" w:rsidRDefault="006B0D76" w:rsidP="006B0D76">
      <w:pPr>
        <w:pStyle w:val="paragraph"/>
      </w:pPr>
      <w:r w:rsidRPr="006D52A9">
        <w:tab/>
        <w:t>(n)</w:t>
      </w:r>
      <w:r w:rsidRPr="006D52A9">
        <w:tab/>
        <w:t xml:space="preserve">doxorubicin </w:t>
      </w:r>
      <w:r w:rsidR="0026100E">
        <w:noBreakHyphen/>
      </w:r>
      <w:r w:rsidRPr="006D52A9">
        <w:t xml:space="preserve"> pegylated liposomal</w:t>
      </w:r>
      <w:r w:rsidR="00374CD3" w:rsidRPr="006D52A9">
        <w:t>;</w:t>
      </w:r>
    </w:p>
    <w:p w14:paraId="15693ADB" w14:textId="77777777" w:rsidR="006B0D76" w:rsidRPr="006D52A9" w:rsidRDefault="006B0D76" w:rsidP="006B0D76">
      <w:pPr>
        <w:pStyle w:val="paragraph"/>
      </w:pPr>
      <w:r w:rsidRPr="006D52A9">
        <w:tab/>
        <w:t>(o)</w:t>
      </w:r>
      <w:r w:rsidRPr="006D52A9">
        <w:tab/>
        <w:t>efavirenz</w:t>
      </w:r>
      <w:r w:rsidR="00374CD3" w:rsidRPr="006D52A9">
        <w:t>;</w:t>
      </w:r>
    </w:p>
    <w:p w14:paraId="0103AAAB" w14:textId="77777777" w:rsidR="006B0D76" w:rsidRPr="006D52A9" w:rsidRDefault="006B0D76" w:rsidP="006B0D76">
      <w:pPr>
        <w:pStyle w:val="paragraph"/>
      </w:pPr>
      <w:r w:rsidRPr="006D52A9">
        <w:tab/>
        <w:t>(p)</w:t>
      </w:r>
      <w:r w:rsidRPr="006D52A9">
        <w:tab/>
        <w:t>emtricitabine with rilpivirine with tenofovir alafenamide</w:t>
      </w:r>
      <w:r w:rsidR="00374CD3" w:rsidRPr="006D52A9">
        <w:t>;</w:t>
      </w:r>
    </w:p>
    <w:p w14:paraId="04B72410" w14:textId="77777777" w:rsidR="006B0D76" w:rsidRPr="006D52A9" w:rsidRDefault="006B0D76" w:rsidP="006B0D76">
      <w:pPr>
        <w:pStyle w:val="paragraph"/>
      </w:pPr>
      <w:r w:rsidRPr="006D52A9">
        <w:tab/>
        <w:t>(q)</w:t>
      </w:r>
      <w:r w:rsidRPr="006D52A9">
        <w:tab/>
        <w:t>emtricitabine with tenofovir alafenamide</w:t>
      </w:r>
      <w:r w:rsidR="00374CD3" w:rsidRPr="006D52A9">
        <w:t>;</w:t>
      </w:r>
    </w:p>
    <w:p w14:paraId="00EF274D" w14:textId="77777777" w:rsidR="006B0D76" w:rsidRPr="006D52A9" w:rsidRDefault="006B0D76" w:rsidP="006B0D76">
      <w:pPr>
        <w:pStyle w:val="paragraph"/>
      </w:pPr>
      <w:r w:rsidRPr="006D52A9">
        <w:tab/>
        <w:t>(r)</w:t>
      </w:r>
      <w:r w:rsidRPr="006D52A9">
        <w:tab/>
        <w:t>enfuvirtide</w:t>
      </w:r>
      <w:r w:rsidR="00374CD3" w:rsidRPr="006D52A9">
        <w:t>;</w:t>
      </w:r>
    </w:p>
    <w:p w14:paraId="71C35765" w14:textId="77777777" w:rsidR="006B0D76" w:rsidRPr="006D52A9" w:rsidRDefault="006B0D76" w:rsidP="006B0D76">
      <w:pPr>
        <w:pStyle w:val="paragraph"/>
      </w:pPr>
      <w:r w:rsidRPr="006D52A9">
        <w:tab/>
        <w:t>(s)</w:t>
      </w:r>
      <w:r w:rsidRPr="006D52A9">
        <w:tab/>
        <w:t>etravirine</w:t>
      </w:r>
      <w:r w:rsidR="00374CD3" w:rsidRPr="006D52A9">
        <w:t>;</w:t>
      </w:r>
    </w:p>
    <w:p w14:paraId="6DFCB4E1" w14:textId="77777777" w:rsidR="006B0D76" w:rsidRPr="006D52A9" w:rsidRDefault="006B0D76" w:rsidP="006B0D76">
      <w:pPr>
        <w:pStyle w:val="paragraph"/>
      </w:pPr>
      <w:r w:rsidRPr="006D52A9">
        <w:tab/>
        <w:t>(t)</w:t>
      </w:r>
      <w:r w:rsidRPr="006D52A9">
        <w:tab/>
        <w:t>fosamprenavir</w:t>
      </w:r>
      <w:r w:rsidR="00374CD3" w:rsidRPr="006D52A9">
        <w:t>;</w:t>
      </w:r>
    </w:p>
    <w:p w14:paraId="12B400F8" w14:textId="77777777" w:rsidR="006B0D76" w:rsidRPr="006D52A9" w:rsidRDefault="006B0D76" w:rsidP="006B0D76">
      <w:pPr>
        <w:pStyle w:val="paragraph"/>
      </w:pPr>
      <w:r w:rsidRPr="006D52A9">
        <w:tab/>
        <w:t>(u)</w:t>
      </w:r>
      <w:r w:rsidRPr="006D52A9">
        <w:tab/>
        <w:t>ganciclovir</w:t>
      </w:r>
      <w:r w:rsidR="00374CD3" w:rsidRPr="006D52A9">
        <w:t>;</w:t>
      </w:r>
    </w:p>
    <w:p w14:paraId="1E95ECDB" w14:textId="77777777" w:rsidR="006B0D76" w:rsidRPr="006D52A9" w:rsidRDefault="006B0D76" w:rsidP="006B0D76">
      <w:pPr>
        <w:pStyle w:val="paragraph"/>
      </w:pPr>
      <w:r w:rsidRPr="006D52A9">
        <w:tab/>
        <w:t>(v)</w:t>
      </w:r>
      <w:r w:rsidRPr="006D52A9">
        <w:tab/>
        <w:t>lamivudine</w:t>
      </w:r>
      <w:r w:rsidR="00374CD3" w:rsidRPr="006D52A9">
        <w:t>;</w:t>
      </w:r>
    </w:p>
    <w:p w14:paraId="78AC6153" w14:textId="77777777" w:rsidR="006B0D76" w:rsidRPr="006D52A9" w:rsidRDefault="006B0D76" w:rsidP="006B0D76">
      <w:pPr>
        <w:pStyle w:val="paragraph"/>
      </w:pPr>
      <w:r w:rsidRPr="006D52A9">
        <w:tab/>
        <w:t>(w)</w:t>
      </w:r>
      <w:r w:rsidRPr="006D52A9">
        <w:tab/>
        <w:t>lamivudine with zidovudine</w:t>
      </w:r>
      <w:r w:rsidR="00374CD3" w:rsidRPr="006D52A9">
        <w:t>;</w:t>
      </w:r>
    </w:p>
    <w:p w14:paraId="081EB035" w14:textId="77777777" w:rsidR="006B0D76" w:rsidRPr="006D52A9" w:rsidRDefault="006B0D76" w:rsidP="006B0D76">
      <w:pPr>
        <w:pStyle w:val="paragraph"/>
      </w:pPr>
      <w:r w:rsidRPr="006D52A9">
        <w:tab/>
        <w:t>(x)</w:t>
      </w:r>
      <w:r w:rsidRPr="006D52A9">
        <w:tab/>
        <w:t>lopinavir with ritonavir</w:t>
      </w:r>
      <w:r w:rsidR="00374CD3" w:rsidRPr="006D52A9">
        <w:t>;</w:t>
      </w:r>
    </w:p>
    <w:p w14:paraId="1C5A88E5" w14:textId="77777777" w:rsidR="006B0D76" w:rsidRPr="006D52A9" w:rsidRDefault="006B0D76" w:rsidP="006B0D76">
      <w:pPr>
        <w:pStyle w:val="paragraph"/>
      </w:pPr>
      <w:r w:rsidRPr="006D52A9">
        <w:tab/>
        <w:t>(y)</w:t>
      </w:r>
      <w:r w:rsidRPr="006D52A9">
        <w:tab/>
        <w:t>maraviroc</w:t>
      </w:r>
      <w:r w:rsidR="00374CD3" w:rsidRPr="006D52A9">
        <w:t>;</w:t>
      </w:r>
    </w:p>
    <w:p w14:paraId="5842700A" w14:textId="77777777" w:rsidR="006B0D76" w:rsidRPr="006D52A9" w:rsidRDefault="006B0D76" w:rsidP="006B0D76">
      <w:pPr>
        <w:pStyle w:val="paragraph"/>
      </w:pPr>
      <w:r w:rsidRPr="006D52A9">
        <w:lastRenderedPageBreak/>
        <w:tab/>
        <w:t>(z)</w:t>
      </w:r>
      <w:r w:rsidRPr="006D52A9">
        <w:tab/>
        <w:t>nevirapine</w:t>
      </w:r>
      <w:r w:rsidR="00374CD3" w:rsidRPr="006D52A9">
        <w:t>;</w:t>
      </w:r>
    </w:p>
    <w:p w14:paraId="07D107FA" w14:textId="77777777" w:rsidR="006B0D76" w:rsidRPr="006D52A9" w:rsidRDefault="0055757A" w:rsidP="006B0D76">
      <w:pPr>
        <w:pStyle w:val="paragraph"/>
      </w:pPr>
      <w:r w:rsidRPr="006D52A9">
        <w:tab/>
        <w:t>(z</w:t>
      </w:r>
      <w:r w:rsidR="006B0D76" w:rsidRPr="006D52A9">
        <w:t>a)</w:t>
      </w:r>
      <w:r w:rsidR="006B0D76" w:rsidRPr="006D52A9">
        <w:tab/>
        <w:t>raltegravir</w:t>
      </w:r>
      <w:r w:rsidR="00374CD3" w:rsidRPr="006D52A9">
        <w:t>;</w:t>
      </w:r>
    </w:p>
    <w:p w14:paraId="792BBB36" w14:textId="77777777" w:rsidR="006B0D76" w:rsidRPr="006D52A9" w:rsidRDefault="0055757A" w:rsidP="006B0D76">
      <w:pPr>
        <w:pStyle w:val="paragraph"/>
      </w:pPr>
      <w:r w:rsidRPr="006D52A9">
        <w:tab/>
        <w:t>(z</w:t>
      </w:r>
      <w:r w:rsidR="006B0D76" w:rsidRPr="006D52A9">
        <w:t>b)</w:t>
      </w:r>
      <w:r w:rsidR="006B0D76" w:rsidRPr="006D52A9">
        <w:tab/>
        <w:t>rifabutin</w:t>
      </w:r>
      <w:r w:rsidR="00374CD3" w:rsidRPr="006D52A9">
        <w:t>;</w:t>
      </w:r>
    </w:p>
    <w:p w14:paraId="1DBA0C11" w14:textId="77777777" w:rsidR="006B0D76" w:rsidRPr="006D52A9" w:rsidRDefault="0055757A" w:rsidP="006B0D76">
      <w:pPr>
        <w:pStyle w:val="paragraph"/>
      </w:pPr>
      <w:r w:rsidRPr="006D52A9">
        <w:tab/>
        <w:t>(z</w:t>
      </w:r>
      <w:r w:rsidR="006B0D76" w:rsidRPr="006D52A9">
        <w:t>c)</w:t>
      </w:r>
      <w:r w:rsidR="006B0D76" w:rsidRPr="006D52A9">
        <w:tab/>
        <w:t>rilpivirine</w:t>
      </w:r>
      <w:r w:rsidR="00374CD3" w:rsidRPr="006D52A9">
        <w:t>;</w:t>
      </w:r>
    </w:p>
    <w:p w14:paraId="056DAEFD" w14:textId="77777777" w:rsidR="006B0D76" w:rsidRPr="006D52A9" w:rsidRDefault="0055757A" w:rsidP="006B0D76">
      <w:pPr>
        <w:pStyle w:val="paragraph"/>
      </w:pPr>
      <w:r w:rsidRPr="006D52A9">
        <w:tab/>
        <w:t>(z</w:t>
      </w:r>
      <w:r w:rsidR="006B0D76" w:rsidRPr="006D52A9">
        <w:t>d)</w:t>
      </w:r>
      <w:r w:rsidR="006B0D76" w:rsidRPr="006D52A9">
        <w:tab/>
        <w:t>ritonavir</w:t>
      </w:r>
      <w:r w:rsidR="00374CD3" w:rsidRPr="006D52A9">
        <w:t>;</w:t>
      </w:r>
    </w:p>
    <w:p w14:paraId="5BDEC5F9" w14:textId="77777777" w:rsidR="006B0D76" w:rsidRPr="006D52A9" w:rsidRDefault="0055757A" w:rsidP="006B0D76">
      <w:pPr>
        <w:pStyle w:val="paragraph"/>
      </w:pPr>
      <w:r w:rsidRPr="006D52A9">
        <w:tab/>
        <w:t>(z</w:t>
      </w:r>
      <w:r w:rsidR="006B0D76" w:rsidRPr="006D52A9">
        <w:t>e)</w:t>
      </w:r>
      <w:r w:rsidR="006B0D76" w:rsidRPr="006D52A9">
        <w:tab/>
        <w:t>saquinavir</w:t>
      </w:r>
      <w:r w:rsidR="00374CD3" w:rsidRPr="006D52A9">
        <w:t>;</w:t>
      </w:r>
    </w:p>
    <w:p w14:paraId="0C5DC5CA" w14:textId="77777777" w:rsidR="006B0D76" w:rsidRPr="006D52A9" w:rsidRDefault="0055757A" w:rsidP="006B0D76">
      <w:pPr>
        <w:pStyle w:val="paragraph"/>
      </w:pPr>
      <w:r w:rsidRPr="006D52A9">
        <w:tab/>
        <w:t>(z</w:t>
      </w:r>
      <w:r w:rsidR="006B0D76" w:rsidRPr="006D52A9">
        <w:t>f)</w:t>
      </w:r>
      <w:r w:rsidR="006B0D76" w:rsidRPr="006D52A9">
        <w:tab/>
        <w:t>tenofovir</w:t>
      </w:r>
      <w:r w:rsidR="00374CD3" w:rsidRPr="006D52A9">
        <w:t>;</w:t>
      </w:r>
    </w:p>
    <w:p w14:paraId="0479922E" w14:textId="77777777" w:rsidR="006B0D76" w:rsidRPr="006D52A9" w:rsidRDefault="0055757A" w:rsidP="006B0D76">
      <w:pPr>
        <w:pStyle w:val="paragraph"/>
      </w:pPr>
      <w:r w:rsidRPr="006D52A9">
        <w:tab/>
        <w:t>(z</w:t>
      </w:r>
      <w:r w:rsidR="006B0D76" w:rsidRPr="006D52A9">
        <w:t>g)</w:t>
      </w:r>
      <w:r w:rsidR="006B0D76" w:rsidRPr="006D52A9">
        <w:tab/>
        <w:t>tenofovir alafenamide with emtricitabine, elvitegravir and cobicistat</w:t>
      </w:r>
      <w:r w:rsidR="00374CD3" w:rsidRPr="006D52A9">
        <w:t>;</w:t>
      </w:r>
    </w:p>
    <w:p w14:paraId="46E9A03D" w14:textId="77777777" w:rsidR="006B0D76" w:rsidRPr="006D52A9" w:rsidRDefault="006B0D76" w:rsidP="006B0D76">
      <w:pPr>
        <w:pStyle w:val="paragraph"/>
      </w:pPr>
      <w:r w:rsidRPr="006D52A9">
        <w:tab/>
        <w:t>(</w:t>
      </w:r>
      <w:r w:rsidR="0055757A" w:rsidRPr="006D52A9">
        <w:t>z</w:t>
      </w:r>
      <w:r w:rsidRPr="006D52A9">
        <w:t>h)</w:t>
      </w:r>
      <w:r w:rsidRPr="006D52A9">
        <w:tab/>
        <w:t>tenofovir with emtricitabine</w:t>
      </w:r>
      <w:r w:rsidR="00374CD3" w:rsidRPr="006D52A9">
        <w:t>;</w:t>
      </w:r>
    </w:p>
    <w:p w14:paraId="0BB5207A" w14:textId="77777777" w:rsidR="006B0D76" w:rsidRPr="006D52A9" w:rsidRDefault="006B0D76" w:rsidP="006B0D76">
      <w:pPr>
        <w:pStyle w:val="paragraph"/>
      </w:pPr>
      <w:r w:rsidRPr="006D52A9">
        <w:tab/>
        <w:t>(</w:t>
      </w:r>
      <w:r w:rsidR="0055757A" w:rsidRPr="006D52A9">
        <w:t>z</w:t>
      </w:r>
      <w:r w:rsidRPr="006D52A9">
        <w:t>i)</w:t>
      </w:r>
      <w:r w:rsidRPr="006D52A9">
        <w:tab/>
        <w:t>tenofovir with emtricitabine and efavirenz</w:t>
      </w:r>
      <w:r w:rsidR="00374CD3" w:rsidRPr="006D52A9">
        <w:t>;</w:t>
      </w:r>
    </w:p>
    <w:p w14:paraId="3EAB9368" w14:textId="77777777" w:rsidR="006B0D76" w:rsidRPr="006D52A9" w:rsidRDefault="006B0D76" w:rsidP="006B0D76">
      <w:pPr>
        <w:pStyle w:val="paragraph"/>
      </w:pPr>
      <w:r w:rsidRPr="006D52A9">
        <w:tab/>
        <w:t>(</w:t>
      </w:r>
      <w:r w:rsidR="0055757A" w:rsidRPr="006D52A9">
        <w:t>z</w:t>
      </w:r>
      <w:r w:rsidRPr="006D52A9">
        <w:t>j)</w:t>
      </w:r>
      <w:r w:rsidRPr="006D52A9">
        <w:tab/>
        <w:t>tipranavir</w:t>
      </w:r>
      <w:r w:rsidR="00374CD3" w:rsidRPr="006D52A9">
        <w:t>;</w:t>
      </w:r>
    </w:p>
    <w:p w14:paraId="5742C144" w14:textId="77777777" w:rsidR="006B0D76" w:rsidRPr="006D52A9" w:rsidRDefault="0055757A" w:rsidP="006B0D76">
      <w:pPr>
        <w:pStyle w:val="paragraph"/>
      </w:pPr>
      <w:r w:rsidRPr="006D52A9">
        <w:tab/>
        <w:t>(z</w:t>
      </w:r>
      <w:r w:rsidR="006B0D76" w:rsidRPr="006D52A9">
        <w:t>k)</w:t>
      </w:r>
      <w:r w:rsidR="006B0D76" w:rsidRPr="006D52A9">
        <w:tab/>
        <w:t>valganciclovir</w:t>
      </w:r>
      <w:r w:rsidR="00374CD3" w:rsidRPr="006D52A9">
        <w:t>;</w:t>
      </w:r>
    </w:p>
    <w:p w14:paraId="36FD284B" w14:textId="77777777" w:rsidR="006B0D76" w:rsidRPr="006D52A9" w:rsidRDefault="0055757A" w:rsidP="006B0D76">
      <w:pPr>
        <w:pStyle w:val="paragraph"/>
      </w:pPr>
      <w:r w:rsidRPr="006D52A9">
        <w:tab/>
        <w:t>(z</w:t>
      </w:r>
      <w:r w:rsidR="006B0D76" w:rsidRPr="006D52A9">
        <w:t>l)</w:t>
      </w:r>
      <w:r w:rsidR="006B0D76" w:rsidRPr="006D52A9">
        <w:tab/>
        <w:t>zidovudine</w:t>
      </w:r>
      <w:r w:rsidRPr="006D52A9">
        <w:t>.</w:t>
      </w:r>
    </w:p>
    <w:p w14:paraId="28FF8FE0" w14:textId="77777777" w:rsidR="006B0D76" w:rsidRPr="006D52A9" w:rsidRDefault="006B0D76" w:rsidP="006B0D76">
      <w:pPr>
        <w:pStyle w:val="Definition"/>
      </w:pPr>
      <w:r w:rsidRPr="006D52A9">
        <w:rPr>
          <w:b/>
          <w:bCs/>
          <w:i/>
          <w:iCs/>
          <w:color w:val="000000"/>
          <w:szCs w:val="24"/>
        </w:rPr>
        <w:t>medication for the treatment of schizophrenia</w:t>
      </w:r>
      <w:r w:rsidRPr="006D52A9">
        <w:rPr>
          <w:szCs w:val="24"/>
        </w:rPr>
        <w:t xml:space="preserve"> means </w:t>
      </w:r>
      <w:r w:rsidRPr="006D52A9">
        <w:t>clozapine.</w:t>
      </w:r>
    </w:p>
    <w:p w14:paraId="6F3F5AEA" w14:textId="77777777" w:rsidR="006B0D76" w:rsidRPr="006D52A9" w:rsidRDefault="006C5899" w:rsidP="006B0D76">
      <w:pPr>
        <w:pStyle w:val="Definition"/>
      </w:pPr>
      <w:r w:rsidRPr="006D52A9">
        <w:rPr>
          <w:b/>
          <w:bCs/>
          <w:i/>
          <w:iCs/>
          <w:color w:val="000000"/>
          <w:szCs w:val="24"/>
        </w:rPr>
        <w:t>n</w:t>
      </w:r>
      <w:r w:rsidR="006B0D76" w:rsidRPr="006D52A9">
        <w:rPr>
          <w:b/>
          <w:bCs/>
          <w:i/>
          <w:iCs/>
          <w:color w:val="000000"/>
          <w:szCs w:val="24"/>
        </w:rPr>
        <w:t>on</w:t>
      </w:r>
      <w:r w:rsidR="0026100E">
        <w:rPr>
          <w:b/>
          <w:bCs/>
          <w:i/>
          <w:iCs/>
          <w:color w:val="000000"/>
          <w:szCs w:val="24"/>
        </w:rPr>
        <w:noBreakHyphen/>
      </w:r>
      <w:r w:rsidR="006B0D76" w:rsidRPr="006D52A9">
        <w:rPr>
          <w:b/>
          <w:bCs/>
          <w:i/>
          <w:iCs/>
          <w:color w:val="000000"/>
          <w:szCs w:val="24"/>
        </w:rPr>
        <w:t>CAR drug</w:t>
      </w:r>
      <w:r w:rsidR="006B0D76" w:rsidRPr="006D52A9">
        <w:rPr>
          <w:color w:val="000000"/>
          <w:szCs w:val="24"/>
        </w:rPr>
        <w:t xml:space="preserve"> means a highly specialised drug that is not a </w:t>
      </w:r>
      <w:r w:rsidRPr="006D52A9">
        <w:rPr>
          <w:color w:val="000000"/>
          <w:szCs w:val="24"/>
        </w:rPr>
        <w:t xml:space="preserve">CAR </w:t>
      </w:r>
      <w:r w:rsidR="006B0D76" w:rsidRPr="006D52A9">
        <w:rPr>
          <w:color w:val="000000"/>
          <w:szCs w:val="24"/>
        </w:rPr>
        <w:t>drug.</w:t>
      </w:r>
    </w:p>
    <w:p w14:paraId="6C8FBB57" w14:textId="77777777" w:rsidR="00814720" w:rsidRPr="006D52A9" w:rsidRDefault="00814720" w:rsidP="00814720">
      <w:pPr>
        <w:pStyle w:val="Definition"/>
      </w:pPr>
      <w:r w:rsidRPr="006D52A9">
        <w:rPr>
          <w:b/>
          <w:i/>
        </w:rPr>
        <w:t>pack quantity</w:t>
      </w:r>
      <w:r w:rsidRPr="006D52A9">
        <w:t xml:space="preserve"> has the same meaning as in </w:t>
      </w:r>
      <w:r w:rsidR="000B6A22" w:rsidRPr="006D52A9">
        <w:t>Part V</w:t>
      </w:r>
      <w:r w:rsidRPr="006D52A9">
        <w:t>II of the Act.</w:t>
      </w:r>
    </w:p>
    <w:p w14:paraId="6112EE04" w14:textId="77777777" w:rsidR="00814720" w:rsidRPr="006D52A9" w:rsidRDefault="00814720" w:rsidP="00814720">
      <w:pPr>
        <w:pStyle w:val="Definition"/>
        <w:rPr>
          <w:b/>
          <w:i/>
        </w:rPr>
      </w:pPr>
      <w:r w:rsidRPr="006D52A9">
        <w:rPr>
          <w:b/>
          <w:i/>
        </w:rPr>
        <w:t xml:space="preserve">pharmaceutical benefit </w:t>
      </w:r>
      <w:r w:rsidRPr="006D52A9">
        <w:t xml:space="preserve">has the same meaning as in </w:t>
      </w:r>
      <w:r w:rsidR="000B6A22" w:rsidRPr="006D52A9">
        <w:t>Part V</w:t>
      </w:r>
      <w:r w:rsidRPr="006D52A9">
        <w:t>II of the Act.</w:t>
      </w:r>
    </w:p>
    <w:p w14:paraId="2E420192" w14:textId="77777777" w:rsidR="00814720" w:rsidRPr="006D52A9" w:rsidRDefault="00814720" w:rsidP="00814720">
      <w:pPr>
        <w:pStyle w:val="Definition"/>
        <w:rPr>
          <w:b/>
          <w:i/>
        </w:rPr>
      </w:pPr>
      <w:r w:rsidRPr="006D52A9">
        <w:rPr>
          <w:b/>
          <w:i/>
        </w:rPr>
        <w:t xml:space="preserve">pharmaceutical item </w:t>
      </w:r>
      <w:r w:rsidRPr="006D52A9">
        <w:t xml:space="preserve">has the same meaning as in </w:t>
      </w:r>
      <w:r w:rsidR="000B6A22" w:rsidRPr="006D52A9">
        <w:t>Part V</w:t>
      </w:r>
      <w:r w:rsidRPr="006D52A9">
        <w:t>II of the Act.</w:t>
      </w:r>
    </w:p>
    <w:p w14:paraId="35430A04" w14:textId="77777777" w:rsidR="00814720" w:rsidRPr="006D52A9" w:rsidRDefault="00814720" w:rsidP="00814720">
      <w:pPr>
        <w:pStyle w:val="Definition"/>
      </w:pPr>
      <w:r w:rsidRPr="006D52A9">
        <w:rPr>
          <w:b/>
          <w:i/>
        </w:rPr>
        <w:t>proportional ex</w:t>
      </w:r>
      <w:r w:rsidR="0026100E">
        <w:rPr>
          <w:b/>
          <w:i/>
        </w:rPr>
        <w:noBreakHyphen/>
      </w:r>
      <w:r w:rsidRPr="006D52A9">
        <w:rPr>
          <w:b/>
          <w:i/>
        </w:rPr>
        <w:t>manufacturer price</w:t>
      </w:r>
      <w:r w:rsidRPr="006D52A9">
        <w:t xml:space="preserve"> of a listed brand of a pharmaceutical item has the same meaning as in </w:t>
      </w:r>
      <w:r w:rsidR="000B6A22" w:rsidRPr="006D52A9">
        <w:t>Part V</w:t>
      </w:r>
      <w:r w:rsidRPr="006D52A9">
        <w:t>II of the Act</w:t>
      </w:r>
      <w:r w:rsidR="00466505" w:rsidRPr="006D52A9">
        <w:t>.</w:t>
      </w:r>
    </w:p>
    <w:p w14:paraId="67E41C55" w14:textId="77777777" w:rsidR="009B39F2" w:rsidRPr="006D52A9" w:rsidRDefault="009B39F2" w:rsidP="009B39F2">
      <w:pPr>
        <w:pStyle w:val="Definition"/>
      </w:pPr>
      <w:r w:rsidRPr="006D52A9">
        <w:rPr>
          <w:b/>
          <w:i/>
        </w:rPr>
        <w:t>purposes code</w:t>
      </w:r>
      <w:r w:rsidRPr="006D52A9">
        <w:rPr>
          <w:b/>
        </w:rPr>
        <w:t xml:space="preserve"> </w:t>
      </w:r>
      <w:r w:rsidRPr="006D52A9">
        <w:t xml:space="preserve">means the letter </w:t>
      </w:r>
      <w:r w:rsidR="00251313" w:rsidRPr="006D52A9">
        <w:t>“P”</w:t>
      </w:r>
      <w:r w:rsidRPr="006D52A9">
        <w:t xml:space="preserve"> followed by a number.</w:t>
      </w:r>
    </w:p>
    <w:p w14:paraId="351FE3C3" w14:textId="77777777" w:rsidR="006B0D76" w:rsidRPr="006D52A9" w:rsidRDefault="006B0D76" w:rsidP="006B0D76">
      <w:pPr>
        <w:pStyle w:val="Definition"/>
      </w:pPr>
      <w:r w:rsidRPr="006D52A9">
        <w:rPr>
          <w:b/>
          <w:bCs/>
          <w:i/>
          <w:iCs/>
        </w:rPr>
        <w:t>Regulations</w:t>
      </w:r>
      <w:r w:rsidRPr="006D52A9">
        <w:t xml:space="preserve"> means the </w:t>
      </w:r>
      <w:r w:rsidRPr="006D52A9">
        <w:rPr>
          <w:i/>
          <w:iCs/>
        </w:rPr>
        <w:t>National Health (Pharmaceutical Benefit) Regulations 2017</w:t>
      </w:r>
      <w:r w:rsidRPr="006D52A9">
        <w:t>.</w:t>
      </w:r>
    </w:p>
    <w:p w14:paraId="2371857C" w14:textId="77777777" w:rsidR="00492219" w:rsidRPr="006D52A9" w:rsidRDefault="00492219" w:rsidP="00492219">
      <w:pPr>
        <w:pStyle w:val="Definition"/>
        <w:spacing w:before="120"/>
      </w:pPr>
      <w:r w:rsidRPr="006D52A9">
        <w:rPr>
          <w:b/>
          <w:i/>
        </w:rPr>
        <w:t>residential care service</w:t>
      </w:r>
      <w:r w:rsidRPr="006D52A9">
        <w:t xml:space="preserve"> </w:t>
      </w:r>
      <w:r w:rsidR="00292668" w:rsidRPr="006D52A9">
        <w:t xml:space="preserve">has the same meaning as in </w:t>
      </w:r>
      <w:r w:rsidRPr="006D52A9">
        <w:t>the Regulations.</w:t>
      </w:r>
    </w:p>
    <w:p w14:paraId="551AB120" w14:textId="77777777" w:rsidR="00895AA3" w:rsidRPr="006D52A9" w:rsidRDefault="00895AA3" w:rsidP="006B0D76">
      <w:pPr>
        <w:pStyle w:val="Definition"/>
        <w:rPr>
          <w:b/>
          <w:i/>
        </w:rPr>
      </w:pPr>
      <w:r w:rsidRPr="006D52A9">
        <w:rPr>
          <w:b/>
          <w:i/>
        </w:rPr>
        <w:t>shelf life</w:t>
      </w:r>
      <w:r w:rsidRPr="006D52A9">
        <w:t xml:space="preserve">, of a medicine, means the period of time that </w:t>
      </w:r>
      <w:r w:rsidR="00292668" w:rsidRPr="006D52A9">
        <w:t>the</w:t>
      </w:r>
      <w:r w:rsidRPr="006D52A9">
        <w:t xml:space="preserve"> medicine can be stored and still be considered safe and effective for use.</w:t>
      </w:r>
    </w:p>
    <w:p w14:paraId="7C09F29C" w14:textId="77777777" w:rsidR="004D099D" w:rsidRPr="006D52A9" w:rsidRDefault="004D099D" w:rsidP="006B0D76">
      <w:pPr>
        <w:pStyle w:val="Definition"/>
      </w:pPr>
      <w:r w:rsidRPr="006D52A9">
        <w:rPr>
          <w:b/>
          <w:i/>
        </w:rPr>
        <w:t>special arrangement supply</w:t>
      </w:r>
      <w:r w:rsidRPr="006D52A9">
        <w:t xml:space="preserve"> ha</w:t>
      </w:r>
      <w:r w:rsidR="00906AFC" w:rsidRPr="006D52A9">
        <w:t xml:space="preserve">s the meaning given by </w:t>
      </w:r>
      <w:r w:rsidR="00D66D59">
        <w:t>section 1</w:t>
      </w:r>
      <w:r w:rsidR="005F407C" w:rsidRPr="006D52A9">
        <w:t>3</w:t>
      </w:r>
      <w:r w:rsidRPr="006D52A9">
        <w:t>.</w:t>
      </w:r>
    </w:p>
    <w:p w14:paraId="24AD50A5" w14:textId="77777777" w:rsidR="006B0D76" w:rsidRPr="006D52A9" w:rsidRDefault="005F407C" w:rsidP="006B0D76">
      <w:pPr>
        <w:pStyle w:val="ActHead5"/>
      </w:pPr>
      <w:bookmarkStart w:id="9" w:name="_Toc66968101"/>
      <w:r w:rsidRPr="00A757E4">
        <w:rPr>
          <w:rStyle w:val="CharSectno"/>
        </w:rPr>
        <w:t>7</w:t>
      </w:r>
      <w:r w:rsidR="006B0D76" w:rsidRPr="006D52A9">
        <w:t xml:space="preserve">  Definition of </w:t>
      </w:r>
      <w:r w:rsidR="006B0D76" w:rsidRPr="006D52A9">
        <w:rPr>
          <w:i/>
        </w:rPr>
        <w:t>authorised prescriber</w:t>
      </w:r>
      <w:bookmarkEnd w:id="9"/>
    </w:p>
    <w:p w14:paraId="27FB9B17" w14:textId="77777777" w:rsidR="00BA4FC4" w:rsidRPr="006D52A9" w:rsidRDefault="004E1DAA" w:rsidP="00BA4FC4">
      <w:pPr>
        <w:pStyle w:val="SubsectionHead"/>
      </w:pPr>
      <w:r w:rsidRPr="006D52A9">
        <w:t>S</w:t>
      </w:r>
      <w:r w:rsidR="009743BB" w:rsidRPr="006D52A9">
        <w:t>pecialists</w:t>
      </w:r>
      <w:r w:rsidR="00073AD0" w:rsidRPr="006D52A9">
        <w:t xml:space="preserve"> </w:t>
      </w:r>
      <w:r w:rsidRPr="006D52A9">
        <w:t>affiliated with</w:t>
      </w:r>
      <w:r w:rsidR="00073AD0" w:rsidRPr="006D52A9">
        <w:t xml:space="preserve"> hospitals</w:t>
      </w:r>
    </w:p>
    <w:p w14:paraId="7A799054" w14:textId="77777777" w:rsidR="008858E4" w:rsidRPr="006D52A9" w:rsidRDefault="00687BE5" w:rsidP="008858E4">
      <w:pPr>
        <w:pStyle w:val="subsection"/>
      </w:pPr>
      <w:r w:rsidRPr="006D52A9">
        <w:tab/>
        <w:t>(1)</w:t>
      </w:r>
      <w:r w:rsidRPr="006D52A9">
        <w:tab/>
        <w:t xml:space="preserve">A </w:t>
      </w:r>
      <w:r w:rsidR="005D5E0D" w:rsidRPr="006D52A9">
        <w:t xml:space="preserve">specialist </w:t>
      </w:r>
      <w:r w:rsidR="008F411F" w:rsidRPr="006D52A9">
        <w:t xml:space="preserve">is an </w:t>
      </w:r>
      <w:r w:rsidR="008F411F" w:rsidRPr="006D52A9">
        <w:rPr>
          <w:b/>
          <w:i/>
        </w:rPr>
        <w:t>authorised prescriber</w:t>
      </w:r>
      <w:r w:rsidR="008F411F" w:rsidRPr="006D52A9">
        <w:t xml:space="preserve"> for an HSD pharmaceutical benefit for </w:t>
      </w:r>
      <w:r w:rsidR="004E1DAA" w:rsidRPr="006D52A9">
        <w:t xml:space="preserve">a </w:t>
      </w:r>
      <w:r w:rsidR="008F411F" w:rsidRPr="006D52A9">
        <w:t xml:space="preserve">patient </w:t>
      </w:r>
      <w:r w:rsidR="008F411F" w:rsidRPr="006D52A9">
        <w:rPr>
          <w:color w:val="000000"/>
        </w:rPr>
        <w:t>receiving treatment</w:t>
      </w:r>
      <w:r w:rsidR="005D5E0D" w:rsidRPr="006D52A9">
        <w:rPr>
          <w:color w:val="000000"/>
        </w:rPr>
        <w:t xml:space="preserve"> </w:t>
      </w:r>
      <w:r w:rsidR="00F722B0" w:rsidRPr="006D52A9">
        <w:rPr>
          <w:color w:val="000000"/>
        </w:rPr>
        <w:t>in</w:t>
      </w:r>
      <w:r w:rsidR="009715B0" w:rsidRPr="006D52A9">
        <w:rPr>
          <w:color w:val="000000"/>
        </w:rPr>
        <w:t>,</w:t>
      </w:r>
      <w:r w:rsidR="00F722B0" w:rsidRPr="006D52A9">
        <w:rPr>
          <w:color w:val="000000"/>
        </w:rPr>
        <w:t xml:space="preserve"> </w:t>
      </w:r>
      <w:r w:rsidR="008F411F" w:rsidRPr="006D52A9">
        <w:rPr>
          <w:color w:val="000000"/>
        </w:rPr>
        <w:t xml:space="preserve">at or from </w:t>
      </w:r>
      <w:r w:rsidR="00BA4FC4" w:rsidRPr="006D52A9">
        <w:rPr>
          <w:color w:val="000000"/>
        </w:rPr>
        <w:t xml:space="preserve">a hospital if the </w:t>
      </w:r>
      <w:r w:rsidR="005D5E0D" w:rsidRPr="006D52A9">
        <w:rPr>
          <w:color w:val="000000"/>
        </w:rPr>
        <w:t xml:space="preserve">specialist </w:t>
      </w:r>
      <w:r w:rsidR="004E1DAA" w:rsidRPr="006D52A9">
        <w:rPr>
          <w:color w:val="000000"/>
        </w:rPr>
        <w:t>is</w:t>
      </w:r>
      <w:r w:rsidR="008858E4" w:rsidRPr="006D52A9">
        <w:rPr>
          <w:color w:val="000000"/>
        </w:rPr>
        <w:t xml:space="preserve"> </w:t>
      </w:r>
      <w:r w:rsidR="008858E4" w:rsidRPr="006D52A9">
        <w:t>affiliated with the hospital.</w:t>
      </w:r>
    </w:p>
    <w:p w14:paraId="24A2D197" w14:textId="77777777" w:rsidR="000F2240" w:rsidRPr="006D52A9" w:rsidRDefault="009743BB" w:rsidP="000F2240">
      <w:pPr>
        <w:pStyle w:val="SubsectionHead"/>
      </w:pPr>
      <w:r w:rsidRPr="006D52A9">
        <w:t>Medical practitioners</w:t>
      </w:r>
      <w:r w:rsidR="00E114E6" w:rsidRPr="006D52A9">
        <w:t>—</w:t>
      </w:r>
      <w:r w:rsidRPr="006D52A9">
        <w:t>with the agreement of specialists</w:t>
      </w:r>
    </w:p>
    <w:p w14:paraId="154F5710" w14:textId="77777777" w:rsidR="008F411F" w:rsidRPr="006D52A9" w:rsidRDefault="00945F11" w:rsidP="008F411F">
      <w:pPr>
        <w:pStyle w:val="subsection"/>
      </w:pPr>
      <w:r w:rsidRPr="006D52A9">
        <w:tab/>
        <w:t>(2</w:t>
      </w:r>
      <w:r w:rsidR="008F411F" w:rsidRPr="006D52A9">
        <w:t>)</w:t>
      </w:r>
      <w:r w:rsidR="008F411F" w:rsidRPr="006D52A9">
        <w:tab/>
        <w:t xml:space="preserve">A medical practitioner is an </w:t>
      </w:r>
      <w:r w:rsidR="008F411F" w:rsidRPr="006D52A9">
        <w:rPr>
          <w:b/>
          <w:i/>
        </w:rPr>
        <w:t>authorised prescriber</w:t>
      </w:r>
      <w:r w:rsidR="008F411F" w:rsidRPr="006D52A9">
        <w:t xml:space="preserve"> for an HSD pharmaceutical benefit for a patient </w:t>
      </w:r>
      <w:r w:rsidR="008F411F" w:rsidRPr="006D52A9">
        <w:rPr>
          <w:color w:val="000000"/>
        </w:rPr>
        <w:t xml:space="preserve">receiving treatment </w:t>
      </w:r>
      <w:r w:rsidR="00F722B0" w:rsidRPr="006D52A9">
        <w:rPr>
          <w:color w:val="000000"/>
        </w:rPr>
        <w:t>in</w:t>
      </w:r>
      <w:r w:rsidR="009715B0" w:rsidRPr="006D52A9">
        <w:rPr>
          <w:color w:val="000000"/>
        </w:rPr>
        <w:t>,</w:t>
      </w:r>
      <w:r w:rsidR="00F722B0" w:rsidRPr="006D52A9">
        <w:rPr>
          <w:color w:val="000000"/>
        </w:rPr>
        <w:t xml:space="preserve"> </w:t>
      </w:r>
      <w:r w:rsidR="008F411F" w:rsidRPr="006D52A9">
        <w:rPr>
          <w:color w:val="000000"/>
        </w:rPr>
        <w:t>at or from a hospital if</w:t>
      </w:r>
      <w:r w:rsidR="00774A9A" w:rsidRPr="006D52A9">
        <w:t xml:space="preserve"> all of the following apply:</w:t>
      </w:r>
    </w:p>
    <w:p w14:paraId="1FCBC60C" w14:textId="77777777" w:rsidR="008F411F" w:rsidRPr="006D52A9" w:rsidRDefault="000568D6" w:rsidP="000568D6">
      <w:pPr>
        <w:pStyle w:val="paragraph"/>
        <w:rPr>
          <w:color w:val="000000"/>
        </w:rPr>
      </w:pPr>
      <w:r w:rsidRPr="006D52A9">
        <w:tab/>
        <w:t>(</w:t>
      </w:r>
      <w:r w:rsidR="008F411F" w:rsidRPr="006D52A9">
        <w:t>a</w:t>
      </w:r>
      <w:r w:rsidRPr="006D52A9">
        <w:t>)</w:t>
      </w:r>
      <w:r w:rsidRPr="006D52A9">
        <w:tab/>
        <w:t xml:space="preserve">the </w:t>
      </w:r>
      <w:r w:rsidRPr="006D52A9">
        <w:rPr>
          <w:szCs w:val="24"/>
        </w:rPr>
        <w:t xml:space="preserve">benefit is </w:t>
      </w:r>
      <w:r w:rsidRPr="006D52A9">
        <w:rPr>
          <w:color w:val="000000"/>
        </w:rPr>
        <w:t xml:space="preserve">for </w:t>
      </w:r>
      <w:r w:rsidR="00F82323" w:rsidRPr="006D52A9">
        <w:rPr>
          <w:color w:val="000000"/>
        </w:rPr>
        <w:t xml:space="preserve">continuing treatment </w:t>
      </w:r>
      <w:r w:rsidRPr="006D52A9">
        <w:rPr>
          <w:color w:val="000000"/>
        </w:rPr>
        <w:t>for the patient</w:t>
      </w:r>
      <w:r w:rsidR="00774A9A" w:rsidRPr="006D52A9">
        <w:rPr>
          <w:color w:val="000000"/>
        </w:rPr>
        <w:t>;</w:t>
      </w:r>
    </w:p>
    <w:p w14:paraId="67798DE7" w14:textId="77777777" w:rsidR="0001057D" w:rsidRPr="006D52A9" w:rsidRDefault="008F411F" w:rsidP="004E1DAA">
      <w:pPr>
        <w:pStyle w:val="paragraph"/>
      </w:pPr>
      <w:r w:rsidRPr="006D52A9">
        <w:rPr>
          <w:color w:val="000000"/>
        </w:rPr>
        <w:lastRenderedPageBreak/>
        <w:tab/>
        <w:t>(b)</w:t>
      </w:r>
      <w:r w:rsidRPr="006D52A9">
        <w:rPr>
          <w:color w:val="000000"/>
        </w:rPr>
        <w:tab/>
      </w:r>
      <w:r w:rsidR="00A133E1" w:rsidRPr="006D52A9">
        <w:rPr>
          <w:color w:val="000000"/>
        </w:rPr>
        <w:t xml:space="preserve">the </w:t>
      </w:r>
      <w:r w:rsidR="005D5E0D" w:rsidRPr="006D52A9">
        <w:rPr>
          <w:color w:val="000000"/>
        </w:rPr>
        <w:t>patient</w:t>
      </w:r>
      <w:r w:rsidR="009743BB" w:rsidRPr="006D52A9">
        <w:rPr>
          <w:color w:val="000000"/>
        </w:rPr>
        <w:t xml:space="preserve">’s treatment is being managed </w:t>
      </w:r>
      <w:r w:rsidR="005D5E0D" w:rsidRPr="006D52A9">
        <w:rPr>
          <w:color w:val="000000"/>
        </w:rPr>
        <w:t xml:space="preserve">by a </w:t>
      </w:r>
      <w:r w:rsidR="003963FF" w:rsidRPr="006D52A9">
        <w:t>specialist</w:t>
      </w:r>
      <w:r w:rsidR="00774A9A" w:rsidRPr="006D52A9">
        <w:t>;</w:t>
      </w:r>
    </w:p>
    <w:p w14:paraId="3D45C510" w14:textId="77777777" w:rsidR="002C130E" w:rsidRPr="006D52A9" w:rsidRDefault="008F411F" w:rsidP="000568D6">
      <w:pPr>
        <w:pStyle w:val="paragraph"/>
      </w:pPr>
      <w:r w:rsidRPr="006D52A9">
        <w:tab/>
        <w:t>(c)</w:t>
      </w:r>
      <w:r w:rsidRPr="006D52A9">
        <w:tab/>
      </w:r>
      <w:r w:rsidR="002C130E" w:rsidRPr="006D52A9">
        <w:rPr>
          <w:color w:val="000000"/>
        </w:rPr>
        <w:t xml:space="preserve">it is impractical for the patient to </w:t>
      </w:r>
      <w:r w:rsidR="002C130E" w:rsidRPr="006D52A9">
        <w:t>obtain a prescription for t</w:t>
      </w:r>
      <w:r w:rsidR="00774A9A" w:rsidRPr="006D52A9">
        <w:t>he benefit from the specialist;</w:t>
      </w:r>
    </w:p>
    <w:p w14:paraId="38A5D11A" w14:textId="77777777" w:rsidR="000568D6" w:rsidRPr="006D52A9" w:rsidRDefault="002C130E" w:rsidP="000568D6">
      <w:pPr>
        <w:pStyle w:val="paragraph"/>
      </w:pPr>
      <w:r w:rsidRPr="006D52A9">
        <w:tab/>
        <w:t>(d)</w:t>
      </w:r>
      <w:r w:rsidRPr="006D52A9">
        <w:tab/>
      </w:r>
      <w:r w:rsidR="000568D6" w:rsidRPr="006D52A9">
        <w:t>the</w:t>
      </w:r>
      <w:r w:rsidR="00945F11" w:rsidRPr="006D52A9">
        <w:t xml:space="preserve"> </w:t>
      </w:r>
      <w:r w:rsidR="003963FF" w:rsidRPr="006D52A9">
        <w:t xml:space="preserve">specialist </w:t>
      </w:r>
      <w:r w:rsidR="000568D6" w:rsidRPr="006D52A9">
        <w:t xml:space="preserve">has agreed to the </w:t>
      </w:r>
      <w:r w:rsidR="003963FF" w:rsidRPr="006D52A9">
        <w:t>prescribing of the benefit for the patient</w:t>
      </w:r>
      <w:r w:rsidR="005F5DA2" w:rsidRPr="006D52A9">
        <w:t xml:space="preserve"> by the medical practitioner</w:t>
      </w:r>
      <w:r w:rsidR="008F411F" w:rsidRPr="006D52A9">
        <w:t>.</w:t>
      </w:r>
    </w:p>
    <w:p w14:paraId="4C53A790" w14:textId="77777777" w:rsidR="005F5DA2" w:rsidRPr="006D52A9" w:rsidRDefault="005F5DA2" w:rsidP="005F5DA2">
      <w:pPr>
        <w:pStyle w:val="SubsectionHead"/>
      </w:pPr>
      <w:r w:rsidRPr="006D52A9">
        <w:t>Medical practitioners</w:t>
      </w:r>
      <w:r w:rsidR="00E114E6" w:rsidRPr="006D52A9">
        <w:t xml:space="preserve">—if </w:t>
      </w:r>
      <w:r w:rsidRPr="006D52A9">
        <w:t>authorised by Commonwealth and State authorities</w:t>
      </w:r>
    </w:p>
    <w:p w14:paraId="40502657" w14:textId="77777777" w:rsidR="008F411F" w:rsidRPr="006D52A9" w:rsidRDefault="008F411F" w:rsidP="008F411F">
      <w:pPr>
        <w:pStyle w:val="subsection"/>
      </w:pPr>
      <w:r w:rsidRPr="006D52A9">
        <w:tab/>
        <w:t>(</w:t>
      </w:r>
      <w:r w:rsidR="00945F11" w:rsidRPr="006D52A9">
        <w:t>3</w:t>
      </w:r>
      <w:r w:rsidRPr="006D52A9">
        <w:t>)</w:t>
      </w:r>
      <w:r w:rsidRPr="006D52A9">
        <w:tab/>
        <w:t xml:space="preserve">A medical practitioner is an </w:t>
      </w:r>
      <w:r w:rsidRPr="006D52A9">
        <w:rPr>
          <w:b/>
          <w:i/>
        </w:rPr>
        <w:t>authorised prescriber</w:t>
      </w:r>
      <w:r w:rsidRPr="006D52A9">
        <w:t xml:space="preserve"> for an HSD pharmaceutical benefit for a</w:t>
      </w:r>
      <w:r w:rsidR="004E1DAA" w:rsidRPr="006D52A9">
        <w:t xml:space="preserve"> </w:t>
      </w:r>
      <w:r w:rsidRPr="006D52A9">
        <w:t>patient</w:t>
      </w:r>
      <w:r w:rsidRPr="006D52A9">
        <w:rPr>
          <w:color w:val="000000"/>
        </w:rPr>
        <w:t xml:space="preserve"> if</w:t>
      </w:r>
      <w:r w:rsidR="00774A9A" w:rsidRPr="006D52A9">
        <w:rPr>
          <w:color w:val="000000"/>
        </w:rPr>
        <w:t xml:space="preserve"> all of the following apply</w:t>
      </w:r>
      <w:r w:rsidRPr="006D52A9">
        <w:t>:</w:t>
      </w:r>
    </w:p>
    <w:p w14:paraId="5DDBA814" w14:textId="77777777" w:rsidR="008F411F" w:rsidRPr="006D52A9" w:rsidRDefault="000568D6" w:rsidP="000568D6">
      <w:pPr>
        <w:pStyle w:val="paragraph"/>
        <w:rPr>
          <w:color w:val="000000"/>
        </w:rPr>
      </w:pPr>
      <w:r w:rsidRPr="006D52A9">
        <w:tab/>
      </w:r>
      <w:r w:rsidR="00945F11" w:rsidRPr="006D52A9">
        <w:t>(a</w:t>
      </w:r>
      <w:r w:rsidRPr="006D52A9">
        <w:t>)</w:t>
      </w:r>
      <w:r w:rsidRPr="006D52A9">
        <w:tab/>
        <w:t xml:space="preserve">the </w:t>
      </w:r>
      <w:r w:rsidRPr="006D52A9">
        <w:rPr>
          <w:szCs w:val="24"/>
        </w:rPr>
        <w:t xml:space="preserve">HSD pharmaceutical benefit is </w:t>
      </w:r>
      <w:r w:rsidRPr="006D52A9">
        <w:rPr>
          <w:color w:val="000000"/>
        </w:rPr>
        <w:t xml:space="preserve">for </w:t>
      </w:r>
      <w:r w:rsidR="00F82323" w:rsidRPr="006D52A9">
        <w:rPr>
          <w:color w:val="000000"/>
        </w:rPr>
        <w:t xml:space="preserve">continuing treatment </w:t>
      </w:r>
      <w:r w:rsidRPr="006D52A9">
        <w:rPr>
          <w:color w:val="000000"/>
        </w:rPr>
        <w:t>for the patient</w:t>
      </w:r>
      <w:r w:rsidR="008F411F" w:rsidRPr="006D52A9">
        <w:rPr>
          <w:color w:val="000000"/>
        </w:rPr>
        <w:t>;</w:t>
      </w:r>
    </w:p>
    <w:p w14:paraId="4ECBE440" w14:textId="77777777" w:rsidR="00945F11" w:rsidRPr="006D52A9" w:rsidRDefault="008F411F" w:rsidP="000568D6">
      <w:pPr>
        <w:pStyle w:val="paragraph"/>
      </w:pPr>
      <w:r w:rsidRPr="006D52A9">
        <w:rPr>
          <w:color w:val="000000"/>
        </w:rPr>
        <w:tab/>
        <w:t>(b)</w:t>
      </w:r>
      <w:r w:rsidRPr="006D52A9">
        <w:rPr>
          <w:color w:val="000000"/>
        </w:rPr>
        <w:tab/>
      </w:r>
      <w:r w:rsidR="000568D6" w:rsidRPr="006D52A9">
        <w:t xml:space="preserve">the </w:t>
      </w:r>
      <w:r w:rsidR="00945F11" w:rsidRPr="006D52A9">
        <w:t>medical practitioner is authorised (however described) by</w:t>
      </w:r>
      <w:r w:rsidR="008E10C0" w:rsidRPr="006D52A9">
        <w:t xml:space="preserve"> an authority of</w:t>
      </w:r>
      <w:r w:rsidR="00945F11" w:rsidRPr="006D52A9">
        <w:t xml:space="preserve"> the </w:t>
      </w:r>
      <w:r w:rsidR="000568D6" w:rsidRPr="006D52A9">
        <w:t>Commonwealth</w:t>
      </w:r>
      <w:r w:rsidR="00945F11" w:rsidRPr="006D52A9">
        <w:t xml:space="preserve"> for the purposes of this provis</w:t>
      </w:r>
      <w:r w:rsidR="00774A9A" w:rsidRPr="006D52A9">
        <w:t>ion;</w:t>
      </w:r>
    </w:p>
    <w:p w14:paraId="7F00550C" w14:textId="77777777" w:rsidR="000568D6" w:rsidRPr="006D52A9" w:rsidRDefault="00945F11" w:rsidP="000568D6">
      <w:pPr>
        <w:pStyle w:val="paragraph"/>
      </w:pPr>
      <w:r w:rsidRPr="006D52A9">
        <w:tab/>
        <w:t>(c)</w:t>
      </w:r>
      <w:r w:rsidRPr="006D52A9">
        <w:tab/>
        <w:t>the medical practitioner is authorised (however described) by an authority of t</w:t>
      </w:r>
      <w:r w:rsidR="000568D6" w:rsidRPr="006D52A9">
        <w:t>he State or Territory</w:t>
      </w:r>
      <w:r w:rsidRPr="006D52A9">
        <w:t xml:space="preserve"> in which the hospital is located</w:t>
      </w:r>
      <w:r w:rsidR="000568D6" w:rsidRPr="006D52A9">
        <w:t xml:space="preserve"> </w:t>
      </w:r>
      <w:r w:rsidRPr="006D52A9">
        <w:t>for the purposes of this provision.</w:t>
      </w:r>
    </w:p>
    <w:p w14:paraId="4ACB997B" w14:textId="77777777" w:rsidR="000F2240" w:rsidRPr="006D52A9" w:rsidRDefault="00975395" w:rsidP="000F2240">
      <w:pPr>
        <w:pStyle w:val="SubsectionHead"/>
      </w:pPr>
      <w:r w:rsidRPr="006D52A9">
        <w:t>Medical practitioners—</w:t>
      </w:r>
      <w:r w:rsidR="0047359F" w:rsidRPr="006D52A9">
        <w:t>medication for</w:t>
      </w:r>
      <w:r w:rsidR="000F2240" w:rsidRPr="006D52A9">
        <w:t xml:space="preserve"> the treatment of hepatitis C</w:t>
      </w:r>
      <w:r w:rsidR="0047359F" w:rsidRPr="006D52A9">
        <w:t xml:space="preserve">, </w:t>
      </w:r>
      <w:r w:rsidR="00BC5430" w:rsidRPr="006D52A9">
        <w:t xml:space="preserve">lanreotide </w:t>
      </w:r>
      <w:r w:rsidR="0047359F" w:rsidRPr="006D52A9">
        <w:t xml:space="preserve">and </w:t>
      </w:r>
      <w:r w:rsidR="00BC5430" w:rsidRPr="006D52A9">
        <w:t>octreotide</w:t>
      </w:r>
    </w:p>
    <w:p w14:paraId="7FCBE1B7" w14:textId="77777777" w:rsidR="00577C12" w:rsidRPr="006D52A9" w:rsidRDefault="006B0D76" w:rsidP="006B0D76">
      <w:pPr>
        <w:pStyle w:val="subsection"/>
      </w:pPr>
      <w:r w:rsidRPr="006D52A9">
        <w:tab/>
        <w:t>(</w:t>
      </w:r>
      <w:r w:rsidR="00945F11" w:rsidRPr="006D52A9">
        <w:t>4</w:t>
      </w:r>
      <w:r w:rsidRPr="006D52A9">
        <w:t>)</w:t>
      </w:r>
      <w:r w:rsidRPr="006D52A9">
        <w:tab/>
        <w:t xml:space="preserve">A medical practitioner is an </w:t>
      </w:r>
      <w:r w:rsidRPr="006D52A9">
        <w:rPr>
          <w:b/>
          <w:i/>
        </w:rPr>
        <w:t>authorised prescriber</w:t>
      </w:r>
      <w:r w:rsidRPr="006D52A9">
        <w:t xml:space="preserve"> for </w:t>
      </w:r>
      <w:r w:rsidR="00D12C32" w:rsidRPr="006D52A9">
        <w:t>the following</w:t>
      </w:r>
      <w:r w:rsidR="00DB708C" w:rsidRPr="006D52A9">
        <w:t xml:space="preserve"> </w:t>
      </w:r>
      <w:r w:rsidR="0001057D" w:rsidRPr="006D52A9">
        <w:t>HSD pharmaceutical benefit</w:t>
      </w:r>
      <w:r w:rsidR="00D12C32" w:rsidRPr="006D52A9">
        <w:t>s</w:t>
      </w:r>
      <w:r w:rsidR="00577C12" w:rsidRPr="006D52A9">
        <w:t>:</w:t>
      </w:r>
    </w:p>
    <w:p w14:paraId="4B9F281C" w14:textId="77777777" w:rsidR="006B0D76" w:rsidRPr="006D52A9" w:rsidRDefault="00577C12" w:rsidP="00577C12">
      <w:pPr>
        <w:pStyle w:val="paragraph"/>
      </w:pPr>
      <w:r w:rsidRPr="006D52A9">
        <w:tab/>
        <w:t>(a)</w:t>
      </w:r>
      <w:r w:rsidRPr="006D52A9">
        <w:tab/>
      </w:r>
      <w:r w:rsidR="0000206D" w:rsidRPr="006D52A9">
        <w:t>a medication for the treatment of hepatitis C</w:t>
      </w:r>
      <w:r w:rsidR="00AE788B" w:rsidRPr="006D52A9">
        <w:t>;</w:t>
      </w:r>
    </w:p>
    <w:p w14:paraId="33D2931D" w14:textId="77777777" w:rsidR="00BC5430" w:rsidRPr="006D52A9" w:rsidRDefault="00BC5430" w:rsidP="00BC5430">
      <w:pPr>
        <w:pStyle w:val="paragraph"/>
      </w:pPr>
      <w:r w:rsidRPr="006D52A9">
        <w:tab/>
        <w:t>(b)</w:t>
      </w:r>
      <w:r w:rsidRPr="006D52A9">
        <w:tab/>
        <w:t>lanreotide, if:</w:t>
      </w:r>
    </w:p>
    <w:p w14:paraId="30628A51" w14:textId="77777777" w:rsidR="00BC5430" w:rsidRPr="006D52A9" w:rsidRDefault="00BC5430" w:rsidP="00BC5430">
      <w:pPr>
        <w:pStyle w:val="paragraphsub"/>
      </w:pPr>
      <w:r w:rsidRPr="006D52A9">
        <w:tab/>
        <w:t>(i)</w:t>
      </w:r>
      <w:r w:rsidRPr="006D52A9">
        <w:tab/>
        <w:t>the description of its form does not include “Powder for suspension for injection”; and</w:t>
      </w:r>
    </w:p>
    <w:p w14:paraId="4F61038A" w14:textId="77777777" w:rsidR="00BC5430" w:rsidRPr="006D52A9" w:rsidRDefault="00BC5430" w:rsidP="00BC5430">
      <w:pPr>
        <w:pStyle w:val="paragraphsub"/>
      </w:pPr>
      <w:r w:rsidRPr="006D52A9">
        <w:tab/>
        <w:t>(ii)</w:t>
      </w:r>
      <w:r w:rsidRPr="006D52A9">
        <w:tab/>
        <w:t>it is for continuing treatment;</w:t>
      </w:r>
    </w:p>
    <w:p w14:paraId="57D1B539" w14:textId="77777777" w:rsidR="00577C12" w:rsidRPr="006D52A9" w:rsidRDefault="00BC5430" w:rsidP="00577C12">
      <w:pPr>
        <w:pStyle w:val="paragraph"/>
      </w:pPr>
      <w:r w:rsidRPr="006D52A9">
        <w:tab/>
        <w:t>(c</w:t>
      </w:r>
      <w:r w:rsidR="00577C12" w:rsidRPr="006D52A9">
        <w:t>)</w:t>
      </w:r>
      <w:r w:rsidR="00577C12" w:rsidRPr="006D52A9">
        <w:tab/>
        <w:t>octreotide, if:</w:t>
      </w:r>
    </w:p>
    <w:p w14:paraId="232241B9" w14:textId="77777777" w:rsidR="00577C12" w:rsidRPr="006D52A9" w:rsidRDefault="00577C12" w:rsidP="00577C12">
      <w:pPr>
        <w:pStyle w:val="paragraphsub"/>
      </w:pPr>
      <w:r w:rsidRPr="006D52A9">
        <w:tab/>
        <w:t>(i)</w:t>
      </w:r>
      <w:r w:rsidRPr="006D52A9">
        <w:tab/>
        <w:t>the description of its form includes “Injection (modified release)”; and</w:t>
      </w:r>
    </w:p>
    <w:p w14:paraId="74400CE7" w14:textId="77777777" w:rsidR="00577C12" w:rsidRPr="006D52A9" w:rsidRDefault="00577C12" w:rsidP="00577C12">
      <w:pPr>
        <w:pStyle w:val="paragraphsub"/>
      </w:pPr>
      <w:r w:rsidRPr="006D52A9">
        <w:tab/>
        <w:t>(ii)</w:t>
      </w:r>
      <w:r w:rsidR="00BC5430" w:rsidRPr="006D52A9">
        <w:tab/>
        <w:t>it is for continuing treatment.</w:t>
      </w:r>
    </w:p>
    <w:p w14:paraId="583BEAAF" w14:textId="77777777" w:rsidR="000F2240" w:rsidRPr="006D52A9" w:rsidRDefault="00975395" w:rsidP="000F2240">
      <w:pPr>
        <w:pStyle w:val="SubsectionHead"/>
      </w:pPr>
      <w:r w:rsidRPr="006D52A9">
        <w:t xml:space="preserve">Accredited prescribers—for </w:t>
      </w:r>
      <w:r w:rsidR="000F2240" w:rsidRPr="006D52A9">
        <w:t xml:space="preserve">HSD pharmaceutical benefits for the treatment of hepatitis </w:t>
      </w:r>
      <w:r w:rsidR="00273BB1" w:rsidRPr="006D52A9">
        <w:t>B</w:t>
      </w:r>
      <w:r w:rsidR="000F2240" w:rsidRPr="006D52A9">
        <w:t>, hepatitis C, HIV or AIDS</w:t>
      </w:r>
      <w:r w:rsidR="005B71FA" w:rsidRPr="006D52A9">
        <w:t>,</w:t>
      </w:r>
      <w:r w:rsidR="000F2240" w:rsidRPr="006D52A9">
        <w:t xml:space="preserve"> and schizophrenia</w:t>
      </w:r>
    </w:p>
    <w:p w14:paraId="0DA723A7" w14:textId="77777777" w:rsidR="006B0D76" w:rsidRPr="006D52A9" w:rsidRDefault="00811690" w:rsidP="006B0D76">
      <w:pPr>
        <w:pStyle w:val="subsection"/>
      </w:pPr>
      <w:r w:rsidRPr="006D52A9">
        <w:tab/>
        <w:t>(5</w:t>
      </w:r>
      <w:r w:rsidR="006B0D76" w:rsidRPr="006D52A9">
        <w:t>)</w:t>
      </w:r>
      <w:r w:rsidR="006B0D76" w:rsidRPr="006D52A9">
        <w:tab/>
        <w:t xml:space="preserve">A person mentioned in column 1 of an item of the following table is an </w:t>
      </w:r>
      <w:r w:rsidR="006B0D76" w:rsidRPr="006D52A9">
        <w:rPr>
          <w:b/>
          <w:i/>
        </w:rPr>
        <w:t>authorised prescriber</w:t>
      </w:r>
      <w:r w:rsidR="006B0D76" w:rsidRPr="006D52A9">
        <w:t xml:space="preserve"> for an HSD pharmaceutical benefit mentioned in column 2 of the item.</w:t>
      </w:r>
    </w:p>
    <w:p w14:paraId="600F7C9B" w14:textId="77777777" w:rsidR="006B0D76" w:rsidRPr="006D52A9" w:rsidRDefault="006B0D76" w:rsidP="006B0D7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B0D76" w:rsidRPr="006D52A9" w14:paraId="342CFD32" w14:textId="77777777" w:rsidTr="00BE5990">
        <w:trPr>
          <w:tblHeader/>
        </w:trPr>
        <w:tc>
          <w:tcPr>
            <w:tcW w:w="5000" w:type="pct"/>
            <w:gridSpan w:val="3"/>
            <w:tcBorders>
              <w:top w:val="single" w:sz="12" w:space="0" w:color="auto"/>
              <w:bottom w:val="single" w:sz="6" w:space="0" w:color="auto"/>
            </w:tcBorders>
            <w:shd w:val="clear" w:color="auto" w:fill="auto"/>
          </w:tcPr>
          <w:p w14:paraId="4D2C3653" w14:textId="77777777" w:rsidR="006B0D76" w:rsidRPr="006D52A9" w:rsidRDefault="006B0D76" w:rsidP="00DC35C8">
            <w:pPr>
              <w:pStyle w:val="TableHeading"/>
            </w:pPr>
            <w:r w:rsidRPr="006D52A9">
              <w:t>Authorised prescribers for certain HSD pharmaceutical benefits</w:t>
            </w:r>
          </w:p>
        </w:tc>
      </w:tr>
      <w:tr w:rsidR="006B0D76" w:rsidRPr="006D52A9" w14:paraId="6CE2FC7D" w14:textId="77777777" w:rsidTr="00BE5990">
        <w:trPr>
          <w:tblHeader/>
        </w:trPr>
        <w:tc>
          <w:tcPr>
            <w:tcW w:w="429" w:type="pct"/>
            <w:tcBorders>
              <w:top w:val="single" w:sz="6" w:space="0" w:color="auto"/>
              <w:bottom w:val="single" w:sz="12" w:space="0" w:color="auto"/>
            </w:tcBorders>
            <w:shd w:val="clear" w:color="auto" w:fill="auto"/>
          </w:tcPr>
          <w:p w14:paraId="3CFA4859" w14:textId="77777777" w:rsidR="006B0D76" w:rsidRPr="006D52A9" w:rsidRDefault="006B0D76" w:rsidP="00DC35C8">
            <w:pPr>
              <w:pStyle w:val="TableHeading"/>
            </w:pPr>
            <w:r w:rsidRPr="006D52A9">
              <w:t>Item</w:t>
            </w:r>
          </w:p>
        </w:tc>
        <w:tc>
          <w:tcPr>
            <w:tcW w:w="2211" w:type="pct"/>
            <w:tcBorders>
              <w:top w:val="single" w:sz="6" w:space="0" w:color="auto"/>
              <w:bottom w:val="single" w:sz="12" w:space="0" w:color="auto"/>
            </w:tcBorders>
            <w:shd w:val="clear" w:color="auto" w:fill="auto"/>
          </w:tcPr>
          <w:p w14:paraId="68B6485C" w14:textId="77777777" w:rsidR="006B0D76" w:rsidRPr="006D52A9" w:rsidRDefault="006B0D76" w:rsidP="00854DD9">
            <w:pPr>
              <w:pStyle w:val="TableHeading"/>
            </w:pPr>
            <w:r w:rsidRPr="006D52A9">
              <w:t>Column 1</w:t>
            </w:r>
            <w:r w:rsidR="00854DD9" w:rsidRPr="006D52A9">
              <w:br/>
            </w:r>
            <w:r w:rsidRPr="006D52A9">
              <w:t>Person</w:t>
            </w:r>
          </w:p>
        </w:tc>
        <w:tc>
          <w:tcPr>
            <w:tcW w:w="2359" w:type="pct"/>
            <w:tcBorders>
              <w:top w:val="single" w:sz="6" w:space="0" w:color="auto"/>
              <w:bottom w:val="single" w:sz="12" w:space="0" w:color="auto"/>
            </w:tcBorders>
            <w:shd w:val="clear" w:color="auto" w:fill="auto"/>
          </w:tcPr>
          <w:p w14:paraId="3402DCF2" w14:textId="77777777" w:rsidR="006B0D76" w:rsidRPr="006D52A9" w:rsidRDefault="006B0D76" w:rsidP="00854DD9">
            <w:pPr>
              <w:pStyle w:val="TableHeading"/>
            </w:pPr>
            <w:r w:rsidRPr="006D52A9">
              <w:t>Column 2</w:t>
            </w:r>
            <w:r w:rsidR="00854DD9" w:rsidRPr="006D52A9">
              <w:br/>
            </w:r>
            <w:r w:rsidRPr="006D52A9">
              <w:t>HSD pharmaceutical benefit</w:t>
            </w:r>
          </w:p>
        </w:tc>
      </w:tr>
      <w:tr w:rsidR="006B0D76" w:rsidRPr="006D52A9" w14:paraId="684D6DD7" w14:textId="77777777" w:rsidTr="00BE5990">
        <w:tc>
          <w:tcPr>
            <w:tcW w:w="429" w:type="pct"/>
            <w:tcBorders>
              <w:top w:val="single" w:sz="12" w:space="0" w:color="auto"/>
            </w:tcBorders>
            <w:shd w:val="clear" w:color="auto" w:fill="auto"/>
          </w:tcPr>
          <w:p w14:paraId="5AFD39AD" w14:textId="77777777" w:rsidR="006B0D76" w:rsidRPr="006D52A9" w:rsidRDefault="006B0D76" w:rsidP="00DC35C8">
            <w:pPr>
              <w:pStyle w:val="Tabletext"/>
            </w:pPr>
            <w:r w:rsidRPr="006D52A9">
              <w:t>1</w:t>
            </w:r>
          </w:p>
        </w:tc>
        <w:tc>
          <w:tcPr>
            <w:tcW w:w="2211" w:type="pct"/>
            <w:tcBorders>
              <w:top w:val="single" w:sz="12" w:space="0" w:color="auto"/>
            </w:tcBorders>
            <w:shd w:val="clear" w:color="auto" w:fill="auto"/>
          </w:tcPr>
          <w:p w14:paraId="3F9A7BD6" w14:textId="77777777" w:rsidR="006B0D76" w:rsidRPr="006D52A9" w:rsidRDefault="006B0D76" w:rsidP="00DC35C8">
            <w:pPr>
              <w:pStyle w:val="Tabletext"/>
            </w:pPr>
            <w:r w:rsidRPr="006D52A9">
              <w:t>An accredited prescriber of medication for the treatment of hepatitis B</w:t>
            </w:r>
          </w:p>
        </w:tc>
        <w:tc>
          <w:tcPr>
            <w:tcW w:w="2359" w:type="pct"/>
            <w:tcBorders>
              <w:top w:val="single" w:sz="12" w:space="0" w:color="auto"/>
            </w:tcBorders>
            <w:shd w:val="clear" w:color="auto" w:fill="auto"/>
          </w:tcPr>
          <w:p w14:paraId="248DA05A" w14:textId="77777777" w:rsidR="006B0D76" w:rsidRPr="006D52A9" w:rsidRDefault="006B0D76" w:rsidP="00DC35C8">
            <w:pPr>
              <w:pStyle w:val="Tabletext"/>
            </w:pPr>
            <w:r w:rsidRPr="006D52A9">
              <w:t>A medication for the treatment of hepatitis B</w:t>
            </w:r>
          </w:p>
        </w:tc>
      </w:tr>
      <w:tr w:rsidR="006B0D76" w:rsidRPr="006D52A9" w14:paraId="5F047C9C" w14:textId="77777777" w:rsidTr="00BE5990">
        <w:tc>
          <w:tcPr>
            <w:tcW w:w="429" w:type="pct"/>
            <w:shd w:val="clear" w:color="auto" w:fill="auto"/>
          </w:tcPr>
          <w:p w14:paraId="7D7BC671" w14:textId="77777777" w:rsidR="006B0D76" w:rsidRPr="006D52A9" w:rsidRDefault="006B0D76" w:rsidP="00DC35C8">
            <w:pPr>
              <w:pStyle w:val="Tabletext"/>
            </w:pPr>
            <w:r w:rsidRPr="006D52A9">
              <w:t>2</w:t>
            </w:r>
          </w:p>
        </w:tc>
        <w:tc>
          <w:tcPr>
            <w:tcW w:w="2211" w:type="pct"/>
            <w:shd w:val="clear" w:color="auto" w:fill="auto"/>
          </w:tcPr>
          <w:p w14:paraId="1078C820" w14:textId="77777777" w:rsidR="006B0D76" w:rsidRPr="006D52A9" w:rsidRDefault="006B0D76" w:rsidP="00DB708C">
            <w:pPr>
              <w:pStyle w:val="Tabletext"/>
            </w:pPr>
            <w:r w:rsidRPr="006D52A9">
              <w:t>An accredited prescriber of medication for the treatment of hepatitis C</w:t>
            </w:r>
          </w:p>
        </w:tc>
        <w:tc>
          <w:tcPr>
            <w:tcW w:w="2359" w:type="pct"/>
            <w:shd w:val="clear" w:color="auto" w:fill="auto"/>
          </w:tcPr>
          <w:p w14:paraId="04A23CD5" w14:textId="77777777" w:rsidR="006B0D76" w:rsidRPr="006D52A9" w:rsidRDefault="006B0D76" w:rsidP="00DC35C8">
            <w:pPr>
              <w:pStyle w:val="Tabletext"/>
            </w:pPr>
            <w:r w:rsidRPr="006D52A9">
              <w:t>A medication for the treatment of hepatitis C</w:t>
            </w:r>
          </w:p>
        </w:tc>
      </w:tr>
      <w:tr w:rsidR="006B0D76" w:rsidRPr="006D52A9" w14:paraId="6DB50AF1" w14:textId="77777777" w:rsidTr="00BE5990">
        <w:tc>
          <w:tcPr>
            <w:tcW w:w="429" w:type="pct"/>
            <w:tcBorders>
              <w:top w:val="single" w:sz="2" w:space="0" w:color="auto"/>
              <w:bottom w:val="single" w:sz="2" w:space="0" w:color="auto"/>
            </w:tcBorders>
            <w:shd w:val="clear" w:color="auto" w:fill="auto"/>
          </w:tcPr>
          <w:p w14:paraId="4A2D6694" w14:textId="77777777" w:rsidR="006B0D76" w:rsidRPr="006D52A9" w:rsidRDefault="006B0D76" w:rsidP="00DC35C8">
            <w:pPr>
              <w:pStyle w:val="Tabletext"/>
            </w:pPr>
            <w:r w:rsidRPr="006D52A9">
              <w:t>3</w:t>
            </w:r>
          </w:p>
        </w:tc>
        <w:tc>
          <w:tcPr>
            <w:tcW w:w="2211" w:type="pct"/>
            <w:tcBorders>
              <w:top w:val="single" w:sz="2" w:space="0" w:color="auto"/>
              <w:bottom w:val="single" w:sz="2" w:space="0" w:color="auto"/>
            </w:tcBorders>
            <w:shd w:val="clear" w:color="auto" w:fill="auto"/>
          </w:tcPr>
          <w:p w14:paraId="4AC529E9" w14:textId="77777777" w:rsidR="006B0D76" w:rsidRPr="006D52A9" w:rsidRDefault="006B0D76" w:rsidP="00DC35C8">
            <w:pPr>
              <w:pStyle w:val="Tabletext"/>
            </w:pPr>
            <w:r w:rsidRPr="006D52A9">
              <w:t>An accredited prescriber of medication for the treatment of HIV or AIDS</w:t>
            </w:r>
          </w:p>
        </w:tc>
        <w:tc>
          <w:tcPr>
            <w:tcW w:w="2359" w:type="pct"/>
            <w:tcBorders>
              <w:top w:val="single" w:sz="2" w:space="0" w:color="auto"/>
              <w:bottom w:val="single" w:sz="2" w:space="0" w:color="auto"/>
            </w:tcBorders>
            <w:shd w:val="clear" w:color="auto" w:fill="auto"/>
          </w:tcPr>
          <w:p w14:paraId="08E5A9F0" w14:textId="77777777" w:rsidR="006B0D76" w:rsidRPr="006D52A9" w:rsidRDefault="006B0D76" w:rsidP="00DC35C8">
            <w:pPr>
              <w:pStyle w:val="Tabletext"/>
            </w:pPr>
            <w:r w:rsidRPr="006D52A9">
              <w:t>A medication for the treatment of HIV or AIDS</w:t>
            </w:r>
          </w:p>
        </w:tc>
      </w:tr>
      <w:tr w:rsidR="00B13E05" w:rsidRPr="006D52A9" w14:paraId="1164E822" w14:textId="77777777" w:rsidTr="00BE5990">
        <w:tc>
          <w:tcPr>
            <w:tcW w:w="429" w:type="pct"/>
            <w:tcBorders>
              <w:top w:val="single" w:sz="2" w:space="0" w:color="auto"/>
              <w:bottom w:val="single" w:sz="12" w:space="0" w:color="auto"/>
            </w:tcBorders>
            <w:shd w:val="clear" w:color="auto" w:fill="auto"/>
          </w:tcPr>
          <w:p w14:paraId="5571A694" w14:textId="77777777" w:rsidR="00B13E05" w:rsidRPr="006D52A9" w:rsidRDefault="00B13E05" w:rsidP="00DC35C8">
            <w:pPr>
              <w:pStyle w:val="Tabletext"/>
            </w:pPr>
            <w:r w:rsidRPr="006D52A9">
              <w:t>4</w:t>
            </w:r>
          </w:p>
        </w:tc>
        <w:tc>
          <w:tcPr>
            <w:tcW w:w="2211" w:type="pct"/>
            <w:tcBorders>
              <w:top w:val="single" w:sz="2" w:space="0" w:color="auto"/>
              <w:bottom w:val="single" w:sz="12" w:space="0" w:color="auto"/>
            </w:tcBorders>
            <w:shd w:val="clear" w:color="auto" w:fill="auto"/>
          </w:tcPr>
          <w:p w14:paraId="04104C51" w14:textId="77777777" w:rsidR="00B13E05" w:rsidRPr="006D52A9" w:rsidRDefault="00B13E05" w:rsidP="00DC35C8">
            <w:pPr>
              <w:pStyle w:val="Tabletext"/>
            </w:pPr>
            <w:r w:rsidRPr="006D52A9">
              <w:t>An accredited prescriber of medication for the treatment of schizophrenia</w:t>
            </w:r>
          </w:p>
        </w:tc>
        <w:tc>
          <w:tcPr>
            <w:tcW w:w="2359" w:type="pct"/>
            <w:tcBorders>
              <w:top w:val="single" w:sz="2" w:space="0" w:color="auto"/>
              <w:bottom w:val="single" w:sz="12" w:space="0" w:color="auto"/>
            </w:tcBorders>
            <w:shd w:val="clear" w:color="auto" w:fill="auto"/>
          </w:tcPr>
          <w:p w14:paraId="004C7D05" w14:textId="77777777" w:rsidR="00B13E05" w:rsidRPr="006D52A9" w:rsidRDefault="00B13E05" w:rsidP="00DC35C8">
            <w:pPr>
              <w:pStyle w:val="Tabletext"/>
            </w:pPr>
            <w:r w:rsidRPr="006D52A9">
              <w:t>A medication for the treatment of schizophrenia</w:t>
            </w:r>
          </w:p>
        </w:tc>
      </w:tr>
    </w:tbl>
    <w:p w14:paraId="672A267C" w14:textId="77777777" w:rsidR="008C7EEA" w:rsidRPr="006D52A9" w:rsidRDefault="005F407C" w:rsidP="008C7EEA">
      <w:pPr>
        <w:pStyle w:val="ActHead5"/>
      </w:pPr>
      <w:bookmarkStart w:id="10" w:name="_Toc66968102"/>
      <w:r w:rsidRPr="00A757E4">
        <w:rPr>
          <w:rStyle w:val="CharSectno"/>
        </w:rPr>
        <w:lastRenderedPageBreak/>
        <w:t>8</w:t>
      </w:r>
      <w:r w:rsidR="008C7EEA" w:rsidRPr="006D52A9">
        <w:t xml:space="preserve">  Definition of </w:t>
      </w:r>
      <w:r w:rsidR="008C7EEA" w:rsidRPr="006D52A9">
        <w:rPr>
          <w:i/>
        </w:rPr>
        <w:t>eligible patient</w:t>
      </w:r>
      <w:bookmarkEnd w:id="10"/>
    </w:p>
    <w:p w14:paraId="57134BDA" w14:textId="77777777" w:rsidR="00EC5B03" w:rsidRPr="006D52A9" w:rsidRDefault="004C31FB" w:rsidP="00EC5B03">
      <w:pPr>
        <w:pStyle w:val="SubsectionHead"/>
      </w:pPr>
      <w:r w:rsidRPr="006D52A9">
        <w:t>Persons</w:t>
      </w:r>
      <w:r w:rsidR="00EC5B03" w:rsidRPr="006D52A9">
        <w:t xml:space="preserve"> receiving treatment</w:t>
      </w:r>
      <w:r w:rsidR="00D51A41" w:rsidRPr="006D52A9">
        <w:t xml:space="preserve"> by medical practitioners</w:t>
      </w:r>
      <w:r w:rsidR="00566E0C" w:rsidRPr="006D52A9">
        <w:t xml:space="preserve"> </w:t>
      </w:r>
      <w:r w:rsidR="00EC5B03" w:rsidRPr="006D52A9">
        <w:t>at or from public hospitals</w:t>
      </w:r>
      <w:r w:rsidR="009342DB" w:rsidRPr="006D52A9">
        <w:t xml:space="preserve"> other than as admitted patients</w:t>
      </w:r>
    </w:p>
    <w:p w14:paraId="1A51D053" w14:textId="77777777" w:rsidR="00EC5B03" w:rsidRPr="006D52A9" w:rsidRDefault="00EC5B03" w:rsidP="00EC5B03">
      <w:pPr>
        <w:pStyle w:val="subsection"/>
      </w:pPr>
      <w:r w:rsidRPr="006D52A9">
        <w:tab/>
        <w:t>(1)</w:t>
      </w:r>
      <w:r w:rsidRPr="006D52A9">
        <w:tab/>
        <w:t xml:space="preserve">A person is an </w:t>
      </w:r>
      <w:r w:rsidRPr="006D52A9">
        <w:rPr>
          <w:b/>
          <w:i/>
        </w:rPr>
        <w:t>eligible patient</w:t>
      </w:r>
      <w:r w:rsidRPr="006D52A9">
        <w:t xml:space="preserve"> for an HSD pharmaceutical benefit if the person:</w:t>
      </w:r>
    </w:p>
    <w:p w14:paraId="4FB1C9BB" w14:textId="77777777" w:rsidR="00EC5B03" w:rsidRPr="006D52A9" w:rsidRDefault="00EC5B03" w:rsidP="00EC5B03">
      <w:pPr>
        <w:pStyle w:val="paragraph"/>
      </w:pPr>
      <w:r w:rsidRPr="006D52A9">
        <w:tab/>
        <w:t>(a)</w:t>
      </w:r>
      <w:r w:rsidRPr="006D52A9">
        <w:tab/>
        <w:t>is, or is to be treated as, an eligible person; and</w:t>
      </w:r>
    </w:p>
    <w:p w14:paraId="7294F302" w14:textId="77777777" w:rsidR="00EC5B03" w:rsidRPr="006D52A9" w:rsidRDefault="00EC5B03" w:rsidP="00EC5B03">
      <w:pPr>
        <w:pStyle w:val="paragraph"/>
      </w:pPr>
      <w:r w:rsidRPr="006D52A9">
        <w:tab/>
        <w:t>(b)</w:t>
      </w:r>
      <w:r w:rsidRPr="006D52A9">
        <w:tab/>
        <w:t>is receiving medical treatment by a medical practitioner at or from a public hospital; and</w:t>
      </w:r>
    </w:p>
    <w:p w14:paraId="573B7907" w14:textId="77777777" w:rsidR="00EC5B03" w:rsidRPr="006D52A9" w:rsidRDefault="00EC5B03" w:rsidP="00EC5B03">
      <w:pPr>
        <w:pStyle w:val="paragraph"/>
      </w:pPr>
      <w:r w:rsidRPr="006D52A9">
        <w:tab/>
        <w:t>(c)</w:t>
      </w:r>
      <w:r w:rsidRPr="006D52A9">
        <w:tab/>
        <w:t>is receiving that treatment as:</w:t>
      </w:r>
    </w:p>
    <w:p w14:paraId="1F9EF190" w14:textId="77777777" w:rsidR="00EC5B03" w:rsidRPr="006D52A9" w:rsidRDefault="00EC5B03" w:rsidP="00EC5B03">
      <w:pPr>
        <w:pStyle w:val="paragraphsub"/>
      </w:pPr>
      <w:r w:rsidRPr="006D52A9">
        <w:tab/>
        <w:t>(i)</w:t>
      </w:r>
      <w:r w:rsidRPr="006D52A9">
        <w:tab/>
        <w:t>a non</w:t>
      </w:r>
      <w:r w:rsidR="0026100E">
        <w:noBreakHyphen/>
      </w:r>
      <w:r w:rsidRPr="006D52A9">
        <w:t>admitted patient of the hospital; or</w:t>
      </w:r>
    </w:p>
    <w:p w14:paraId="2FA5E9FF" w14:textId="77777777" w:rsidR="00EC5B03" w:rsidRPr="006D52A9" w:rsidRDefault="00EC5B03" w:rsidP="00EC5B03">
      <w:pPr>
        <w:pStyle w:val="paragraphsub"/>
      </w:pPr>
      <w:r w:rsidRPr="006D52A9">
        <w:tab/>
        <w:t>(ii)</w:t>
      </w:r>
      <w:r w:rsidRPr="006D52A9">
        <w:tab/>
        <w:t>a day admitted patient of the hospital; or</w:t>
      </w:r>
    </w:p>
    <w:p w14:paraId="0B0E9676" w14:textId="77777777" w:rsidR="00EC5B03" w:rsidRPr="006D52A9" w:rsidRDefault="00EC5B03" w:rsidP="00EC5B03">
      <w:pPr>
        <w:pStyle w:val="paragraphsub"/>
      </w:pPr>
      <w:r w:rsidRPr="006D52A9">
        <w:tab/>
        <w:t>(iii)</w:t>
      </w:r>
      <w:r w:rsidRPr="006D52A9">
        <w:tab/>
        <w:t>a patient on discharge from the hospital.</w:t>
      </w:r>
    </w:p>
    <w:p w14:paraId="49AED088" w14:textId="77777777" w:rsidR="00D51A41" w:rsidRPr="006D52A9" w:rsidRDefault="00D51A41" w:rsidP="00D51A41">
      <w:pPr>
        <w:pStyle w:val="SubsectionHead"/>
      </w:pPr>
      <w:r w:rsidRPr="006D52A9">
        <w:t>Persons receiving treatment by authorised nurse practitioners at or from public hospitals other than as admitted patients—medication for the treatment of hepatitis C</w:t>
      </w:r>
    </w:p>
    <w:p w14:paraId="5282DCED" w14:textId="77777777" w:rsidR="00D51A41" w:rsidRPr="006D52A9" w:rsidRDefault="00B81263" w:rsidP="00D51A41">
      <w:pPr>
        <w:pStyle w:val="subsection"/>
      </w:pPr>
      <w:r w:rsidRPr="006D52A9">
        <w:tab/>
        <w:t>(2</w:t>
      </w:r>
      <w:r w:rsidR="00D51A41" w:rsidRPr="006D52A9">
        <w:t>)</w:t>
      </w:r>
      <w:r w:rsidR="00D51A41" w:rsidRPr="006D52A9">
        <w:tab/>
        <w:t xml:space="preserve">A person is an </w:t>
      </w:r>
      <w:r w:rsidR="00D51A41" w:rsidRPr="006D52A9">
        <w:rPr>
          <w:b/>
          <w:i/>
        </w:rPr>
        <w:t>eligible patient</w:t>
      </w:r>
      <w:r w:rsidR="00D51A41" w:rsidRPr="006D52A9">
        <w:t xml:space="preserve"> for an HSD pharmaceutical benefit that is a medication for the treatment of hepatitis C if the person:</w:t>
      </w:r>
    </w:p>
    <w:p w14:paraId="0162630B" w14:textId="77777777" w:rsidR="00D51A41" w:rsidRPr="006D52A9" w:rsidRDefault="00D51A41" w:rsidP="00D51A41">
      <w:pPr>
        <w:pStyle w:val="paragraph"/>
      </w:pPr>
      <w:r w:rsidRPr="006D52A9">
        <w:tab/>
        <w:t>(a)</w:t>
      </w:r>
      <w:r w:rsidRPr="006D52A9">
        <w:tab/>
        <w:t>is, or is to be treated as, an eligible person; and</w:t>
      </w:r>
    </w:p>
    <w:p w14:paraId="367E4289" w14:textId="77777777" w:rsidR="00D51A41" w:rsidRPr="006D52A9" w:rsidRDefault="00D51A41" w:rsidP="00D51A41">
      <w:pPr>
        <w:pStyle w:val="paragraph"/>
      </w:pPr>
      <w:r w:rsidRPr="006D52A9">
        <w:tab/>
        <w:t>(b)</w:t>
      </w:r>
      <w:r w:rsidRPr="006D52A9">
        <w:tab/>
        <w:t xml:space="preserve">is receiving medical treatment by an authorised nurse practitioner at </w:t>
      </w:r>
      <w:r w:rsidR="005A2B82" w:rsidRPr="006D52A9">
        <w:t>or from</w:t>
      </w:r>
      <w:r w:rsidRPr="006D52A9">
        <w:t xml:space="preserve"> a public hospital; and</w:t>
      </w:r>
    </w:p>
    <w:p w14:paraId="24CB5BB0" w14:textId="77777777" w:rsidR="00D51A41" w:rsidRPr="006D52A9" w:rsidRDefault="00D51A41" w:rsidP="00D51A41">
      <w:pPr>
        <w:pStyle w:val="paragraph"/>
      </w:pPr>
      <w:r w:rsidRPr="006D52A9">
        <w:tab/>
        <w:t>(c)</w:t>
      </w:r>
      <w:r w:rsidRPr="006D52A9">
        <w:tab/>
        <w:t>is receiving that treatment as:</w:t>
      </w:r>
    </w:p>
    <w:p w14:paraId="28892CAE" w14:textId="77777777" w:rsidR="00D51A41" w:rsidRPr="006D52A9" w:rsidRDefault="00D51A41" w:rsidP="00D51A41">
      <w:pPr>
        <w:pStyle w:val="paragraphsub"/>
      </w:pPr>
      <w:r w:rsidRPr="006D52A9">
        <w:tab/>
        <w:t>(i)</w:t>
      </w:r>
      <w:r w:rsidRPr="006D52A9">
        <w:tab/>
        <w:t>a non</w:t>
      </w:r>
      <w:r w:rsidR="0026100E">
        <w:noBreakHyphen/>
      </w:r>
      <w:r w:rsidRPr="006D52A9">
        <w:t>admitted patient of the hospital; or</w:t>
      </w:r>
    </w:p>
    <w:p w14:paraId="3183DC77" w14:textId="77777777" w:rsidR="00D51A41" w:rsidRPr="006D52A9" w:rsidRDefault="00D51A41" w:rsidP="00D51A41">
      <w:pPr>
        <w:pStyle w:val="paragraphsub"/>
      </w:pPr>
      <w:r w:rsidRPr="006D52A9">
        <w:tab/>
        <w:t>(ii)</w:t>
      </w:r>
      <w:r w:rsidRPr="006D52A9">
        <w:tab/>
        <w:t>a day admitted patient of the hospital; or</w:t>
      </w:r>
    </w:p>
    <w:p w14:paraId="2AAD7F1F" w14:textId="77777777" w:rsidR="00D51A41" w:rsidRPr="006D52A9" w:rsidRDefault="00D51A41" w:rsidP="00D51A41">
      <w:pPr>
        <w:pStyle w:val="paragraphsub"/>
      </w:pPr>
      <w:r w:rsidRPr="006D52A9">
        <w:tab/>
        <w:t>(iii)</w:t>
      </w:r>
      <w:r w:rsidRPr="006D52A9">
        <w:tab/>
        <w:t>a patient on discharge from the hospital.</w:t>
      </w:r>
    </w:p>
    <w:p w14:paraId="5CF2A373" w14:textId="77777777" w:rsidR="009342DB" w:rsidRPr="006D52A9" w:rsidRDefault="004C31FB" w:rsidP="009342DB">
      <w:pPr>
        <w:pStyle w:val="SubsectionHead"/>
      </w:pPr>
      <w:r w:rsidRPr="006D52A9">
        <w:t>Persons</w:t>
      </w:r>
      <w:r w:rsidR="009342DB" w:rsidRPr="006D52A9">
        <w:t xml:space="preserve"> receiving treatment</w:t>
      </w:r>
      <w:r w:rsidR="00566E0C" w:rsidRPr="006D52A9">
        <w:t xml:space="preserve"> </w:t>
      </w:r>
      <w:r w:rsidR="00524CEC" w:rsidRPr="006D52A9">
        <w:t xml:space="preserve">by medical practitioners </w:t>
      </w:r>
      <w:r w:rsidR="00566E0C" w:rsidRPr="006D52A9">
        <w:t xml:space="preserve">in </w:t>
      </w:r>
      <w:r w:rsidR="009342DB" w:rsidRPr="006D52A9">
        <w:t xml:space="preserve">public hospitals as admitted patients—HSD pharmaceutical benefits that contain </w:t>
      </w:r>
      <w:r w:rsidR="009342DB" w:rsidRPr="006D52A9">
        <w:rPr>
          <w:rFonts w:eastAsia="Calibri"/>
          <w:lang w:eastAsia="en-US"/>
        </w:rPr>
        <w:t>eculizumab</w:t>
      </w:r>
    </w:p>
    <w:p w14:paraId="63754ECA" w14:textId="77777777" w:rsidR="009342DB" w:rsidRPr="006D52A9" w:rsidRDefault="00B81263" w:rsidP="009342DB">
      <w:pPr>
        <w:pStyle w:val="subsection"/>
      </w:pPr>
      <w:r w:rsidRPr="006D52A9">
        <w:tab/>
        <w:t>(3</w:t>
      </w:r>
      <w:r w:rsidR="009342DB" w:rsidRPr="006D52A9">
        <w:t>)</w:t>
      </w:r>
      <w:r w:rsidR="009342DB" w:rsidRPr="006D52A9">
        <w:tab/>
        <w:t xml:space="preserve">A person is an </w:t>
      </w:r>
      <w:r w:rsidR="009342DB" w:rsidRPr="006D52A9">
        <w:rPr>
          <w:b/>
          <w:i/>
        </w:rPr>
        <w:t>eligible patient</w:t>
      </w:r>
      <w:r w:rsidR="009342DB" w:rsidRPr="006D52A9">
        <w:t xml:space="preserve"> for an HSD pharmaceutical benefit that contains </w:t>
      </w:r>
      <w:r w:rsidR="009342DB" w:rsidRPr="006D52A9">
        <w:rPr>
          <w:rFonts w:eastAsia="Calibri"/>
          <w:lang w:eastAsia="en-US"/>
        </w:rPr>
        <w:t xml:space="preserve">eculizumab </w:t>
      </w:r>
      <w:r w:rsidR="009342DB" w:rsidRPr="006D52A9">
        <w:t>if the person:</w:t>
      </w:r>
    </w:p>
    <w:p w14:paraId="265C7752" w14:textId="77777777" w:rsidR="009342DB" w:rsidRPr="006D52A9" w:rsidRDefault="009342DB" w:rsidP="009342DB">
      <w:pPr>
        <w:pStyle w:val="paragraph"/>
      </w:pPr>
      <w:r w:rsidRPr="006D52A9">
        <w:tab/>
        <w:t>(a)</w:t>
      </w:r>
      <w:r w:rsidRPr="006D52A9">
        <w:tab/>
        <w:t>is, or is to be treated as, an eligible person; and</w:t>
      </w:r>
    </w:p>
    <w:p w14:paraId="445A59C2" w14:textId="77777777" w:rsidR="009342DB" w:rsidRPr="006D52A9" w:rsidRDefault="009342DB" w:rsidP="009342DB">
      <w:pPr>
        <w:pStyle w:val="paragraph"/>
      </w:pPr>
      <w:r w:rsidRPr="006D52A9">
        <w:tab/>
        <w:t>(b)</w:t>
      </w:r>
      <w:r w:rsidRPr="006D52A9">
        <w:tab/>
        <w:t xml:space="preserve">is receiving medical treatment by a medical practitioner </w:t>
      </w:r>
      <w:r w:rsidR="00463672" w:rsidRPr="006D52A9">
        <w:rPr>
          <w:color w:val="000000"/>
        </w:rPr>
        <w:t xml:space="preserve">in </w:t>
      </w:r>
      <w:r w:rsidRPr="006D52A9">
        <w:t>a public hospital;</w:t>
      </w:r>
    </w:p>
    <w:p w14:paraId="59324091" w14:textId="77777777" w:rsidR="009342DB" w:rsidRPr="006D52A9" w:rsidRDefault="009342DB" w:rsidP="009342DB">
      <w:pPr>
        <w:pStyle w:val="paragraph"/>
      </w:pPr>
      <w:r w:rsidRPr="006D52A9">
        <w:tab/>
        <w:t>(c)</w:t>
      </w:r>
      <w:r w:rsidRPr="006D52A9">
        <w:tab/>
        <w:t>is receiving that treatment as an admitted patient (other than a day admitted patient) of the hospital.</w:t>
      </w:r>
    </w:p>
    <w:p w14:paraId="77E3D363" w14:textId="77777777" w:rsidR="00EC5B03" w:rsidRPr="006D52A9" w:rsidRDefault="004C31FB" w:rsidP="00EC5B03">
      <w:pPr>
        <w:pStyle w:val="SubsectionHead"/>
      </w:pPr>
      <w:r w:rsidRPr="006D52A9">
        <w:t>Persons</w:t>
      </w:r>
      <w:r w:rsidR="00EC5B03" w:rsidRPr="006D52A9">
        <w:t xml:space="preserve"> receiving treatment </w:t>
      </w:r>
      <w:r w:rsidR="00D51A41" w:rsidRPr="006D52A9">
        <w:t xml:space="preserve">by medical practitioners </w:t>
      </w:r>
      <w:r w:rsidR="005A2B82" w:rsidRPr="006D52A9">
        <w:t>i</w:t>
      </w:r>
      <w:r w:rsidR="00566E0C" w:rsidRPr="006D52A9">
        <w:t>n</w:t>
      </w:r>
      <w:r w:rsidR="009715B0" w:rsidRPr="006D52A9">
        <w:t>,</w:t>
      </w:r>
      <w:r w:rsidR="00566E0C" w:rsidRPr="006D52A9">
        <w:t xml:space="preserve"> </w:t>
      </w:r>
      <w:r w:rsidR="00EC5B03" w:rsidRPr="006D52A9">
        <w:t>at or from private hospitals</w:t>
      </w:r>
    </w:p>
    <w:p w14:paraId="7A317F90" w14:textId="77777777" w:rsidR="008C7EEA" w:rsidRPr="006D52A9" w:rsidRDefault="008C7EEA" w:rsidP="008C7EEA">
      <w:pPr>
        <w:pStyle w:val="subsection"/>
      </w:pPr>
      <w:r w:rsidRPr="006D52A9">
        <w:tab/>
      </w:r>
      <w:r w:rsidR="00B81263" w:rsidRPr="006D52A9">
        <w:t>(4</w:t>
      </w:r>
      <w:r w:rsidR="007A2423" w:rsidRPr="006D52A9">
        <w:t>)</w:t>
      </w:r>
      <w:r w:rsidRPr="006D52A9">
        <w:tab/>
        <w:t xml:space="preserve">A person is an </w:t>
      </w:r>
      <w:r w:rsidRPr="006D52A9">
        <w:rPr>
          <w:b/>
          <w:i/>
        </w:rPr>
        <w:t>eligible patient</w:t>
      </w:r>
      <w:r w:rsidRPr="006D52A9">
        <w:t xml:space="preserve"> </w:t>
      </w:r>
      <w:r w:rsidR="002A7B2E" w:rsidRPr="006D52A9">
        <w:t xml:space="preserve">for an HSD pharmaceutical benefit </w:t>
      </w:r>
      <w:r w:rsidRPr="006D52A9">
        <w:t>if the person:</w:t>
      </w:r>
    </w:p>
    <w:p w14:paraId="57F7A83A" w14:textId="77777777" w:rsidR="008C7EEA" w:rsidRPr="006D52A9" w:rsidRDefault="008C7EEA" w:rsidP="008C7EEA">
      <w:pPr>
        <w:pStyle w:val="paragraph"/>
      </w:pPr>
      <w:r w:rsidRPr="006D52A9">
        <w:tab/>
        <w:t>(a)</w:t>
      </w:r>
      <w:r w:rsidRPr="006D52A9">
        <w:tab/>
        <w:t xml:space="preserve">is, or </w:t>
      </w:r>
      <w:r w:rsidR="001F4ECF" w:rsidRPr="006D52A9">
        <w:t>is to be treated as,</w:t>
      </w:r>
      <w:r w:rsidRPr="006D52A9">
        <w:t xml:space="preserve"> an eligible person; and</w:t>
      </w:r>
    </w:p>
    <w:p w14:paraId="52FDAF15" w14:textId="77777777" w:rsidR="007A2423" w:rsidRPr="006D52A9" w:rsidRDefault="007A2423" w:rsidP="008C7EEA">
      <w:pPr>
        <w:pStyle w:val="paragraph"/>
      </w:pPr>
      <w:r w:rsidRPr="006D52A9">
        <w:tab/>
        <w:t>(b)</w:t>
      </w:r>
      <w:r w:rsidRPr="006D52A9">
        <w:tab/>
      </w:r>
      <w:r w:rsidR="00EC5B03" w:rsidRPr="006D52A9">
        <w:t xml:space="preserve">is receiving medical treatment by a medical practitioner </w:t>
      </w:r>
      <w:r w:rsidR="00463672" w:rsidRPr="006D52A9">
        <w:rPr>
          <w:color w:val="000000"/>
        </w:rPr>
        <w:t>in</w:t>
      </w:r>
      <w:r w:rsidR="009715B0" w:rsidRPr="006D52A9">
        <w:rPr>
          <w:color w:val="000000"/>
        </w:rPr>
        <w:t>,</w:t>
      </w:r>
      <w:r w:rsidR="00463672" w:rsidRPr="006D52A9">
        <w:rPr>
          <w:color w:val="000000"/>
        </w:rPr>
        <w:t xml:space="preserve"> </w:t>
      </w:r>
      <w:r w:rsidR="00EC5B03" w:rsidRPr="006D52A9">
        <w:t>at or from a private hospital</w:t>
      </w:r>
      <w:r w:rsidRPr="006D52A9">
        <w:t>.</w:t>
      </w:r>
    </w:p>
    <w:p w14:paraId="693295B0" w14:textId="77777777" w:rsidR="00FD04F7" w:rsidRPr="006D52A9" w:rsidRDefault="00FD04F7" w:rsidP="00FD04F7">
      <w:pPr>
        <w:pStyle w:val="SubsectionHead"/>
      </w:pPr>
      <w:r w:rsidRPr="006D52A9">
        <w:lastRenderedPageBreak/>
        <w:t xml:space="preserve">Persons receiving treatment by authorised nurse practitioners </w:t>
      </w:r>
      <w:r w:rsidR="005A2B82" w:rsidRPr="006D52A9">
        <w:t>in</w:t>
      </w:r>
      <w:r w:rsidR="009715B0" w:rsidRPr="006D52A9">
        <w:t xml:space="preserve">, </w:t>
      </w:r>
      <w:r w:rsidR="005A2B82" w:rsidRPr="006D52A9">
        <w:t>at or from</w:t>
      </w:r>
      <w:r w:rsidRPr="006D52A9">
        <w:t xml:space="preserve"> private hospitals—medication for the treatment of hepatitis C</w:t>
      </w:r>
    </w:p>
    <w:p w14:paraId="54A571B4" w14:textId="77777777" w:rsidR="00FD04F7" w:rsidRPr="006D52A9" w:rsidRDefault="00B81263" w:rsidP="00FD04F7">
      <w:pPr>
        <w:pStyle w:val="subsection"/>
      </w:pPr>
      <w:r w:rsidRPr="006D52A9">
        <w:tab/>
        <w:t>(5</w:t>
      </w:r>
      <w:r w:rsidR="00FD04F7" w:rsidRPr="006D52A9">
        <w:t>)</w:t>
      </w:r>
      <w:r w:rsidR="00FD04F7" w:rsidRPr="006D52A9">
        <w:tab/>
        <w:t xml:space="preserve">A person is an </w:t>
      </w:r>
      <w:r w:rsidR="00FD04F7" w:rsidRPr="006D52A9">
        <w:rPr>
          <w:b/>
          <w:i/>
        </w:rPr>
        <w:t>eligible patient</w:t>
      </w:r>
      <w:r w:rsidR="00FD04F7" w:rsidRPr="006D52A9">
        <w:t xml:space="preserve"> for an HSD pharmaceutical benefit that is a medication for the treatment of hepatitis C if the person:</w:t>
      </w:r>
    </w:p>
    <w:p w14:paraId="6A07EE64" w14:textId="77777777" w:rsidR="00FD04F7" w:rsidRPr="006D52A9" w:rsidRDefault="00FD04F7" w:rsidP="00FD04F7">
      <w:pPr>
        <w:pStyle w:val="paragraph"/>
      </w:pPr>
      <w:r w:rsidRPr="006D52A9">
        <w:tab/>
        <w:t>(a)</w:t>
      </w:r>
      <w:r w:rsidRPr="006D52A9">
        <w:tab/>
        <w:t>is, or is to be treated as, an eligible person; and</w:t>
      </w:r>
    </w:p>
    <w:p w14:paraId="4D5150AA" w14:textId="77777777" w:rsidR="00FD04F7" w:rsidRPr="006D52A9" w:rsidRDefault="00FD04F7" w:rsidP="00FD04F7">
      <w:pPr>
        <w:pStyle w:val="paragraph"/>
      </w:pPr>
      <w:r w:rsidRPr="006D52A9">
        <w:tab/>
        <w:t>(b)</w:t>
      </w:r>
      <w:r w:rsidRPr="006D52A9">
        <w:tab/>
        <w:t xml:space="preserve">is receiving medical treatment by an authorised nurse practitioner </w:t>
      </w:r>
      <w:r w:rsidRPr="006D52A9">
        <w:rPr>
          <w:color w:val="000000"/>
        </w:rPr>
        <w:t>in</w:t>
      </w:r>
      <w:r w:rsidR="009715B0" w:rsidRPr="006D52A9">
        <w:rPr>
          <w:color w:val="000000"/>
        </w:rPr>
        <w:t xml:space="preserve">, </w:t>
      </w:r>
      <w:r w:rsidRPr="006D52A9">
        <w:t xml:space="preserve">at </w:t>
      </w:r>
      <w:r w:rsidR="005A2B82" w:rsidRPr="006D52A9">
        <w:t>or from</w:t>
      </w:r>
      <w:r w:rsidRPr="006D52A9">
        <w:t xml:space="preserve"> a private hospital.</w:t>
      </w:r>
    </w:p>
    <w:p w14:paraId="43905789" w14:textId="77777777" w:rsidR="00D12684" w:rsidRPr="006D52A9" w:rsidRDefault="004C31FB" w:rsidP="00D12684">
      <w:pPr>
        <w:pStyle w:val="SubsectionHead"/>
      </w:pPr>
      <w:r w:rsidRPr="006D52A9">
        <w:t>Persons</w:t>
      </w:r>
      <w:r w:rsidR="00D12684" w:rsidRPr="006D52A9">
        <w:t xml:space="preserve"> receiving </w:t>
      </w:r>
      <w:r w:rsidR="007E3A67" w:rsidRPr="006D52A9">
        <w:t xml:space="preserve">HSD pharmaceutical benefits that are </w:t>
      </w:r>
      <w:r w:rsidR="00D12684" w:rsidRPr="006D52A9">
        <w:t xml:space="preserve">community access </w:t>
      </w:r>
      <w:r w:rsidR="00F50F2A" w:rsidRPr="006D52A9">
        <w:t>medication</w:t>
      </w:r>
      <w:r w:rsidR="007E3A67" w:rsidRPr="006D52A9">
        <w:t>s</w:t>
      </w:r>
    </w:p>
    <w:p w14:paraId="137AEB14" w14:textId="77777777" w:rsidR="00D12684" w:rsidRPr="006D52A9" w:rsidRDefault="00B81263" w:rsidP="00D12684">
      <w:pPr>
        <w:pStyle w:val="subsection"/>
      </w:pPr>
      <w:r w:rsidRPr="006D52A9">
        <w:tab/>
        <w:t>(6</w:t>
      </w:r>
      <w:r w:rsidR="00D12684" w:rsidRPr="006D52A9">
        <w:t>)</w:t>
      </w:r>
      <w:r w:rsidR="00D12684" w:rsidRPr="006D52A9">
        <w:tab/>
        <w:t xml:space="preserve">A person is an </w:t>
      </w:r>
      <w:r w:rsidR="00D12684" w:rsidRPr="006D52A9">
        <w:rPr>
          <w:b/>
          <w:i/>
        </w:rPr>
        <w:t>eligible patient</w:t>
      </w:r>
      <w:r w:rsidR="00D12684" w:rsidRPr="006D52A9">
        <w:t xml:space="preserve"> for </w:t>
      </w:r>
      <w:r w:rsidR="00BD7BBF" w:rsidRPr="006D52A9">
        <w:t xml:space="preserve">an HSD pharmaceutical benefit </w:t>
      </w:r>
      <w:r w:rsidR="00274472" w:rsidRPr="006D52A9">
        <w:t>if</w:t>
      </w:r>
      <w:r w:rsidR="00D12684" w:rsidRPr="006D52A9">
        <w:t>:</w:t>
      </w:r>
    </w:p>
    <w:p w14:paraId="6D991C9A" w14:textId="77777777" w:rsidR="00777EBF" w:rsidRPr="006D52A9" w:rsidRDefault="00777EBF" w:rsidP="00777EBF">
      <w:pPr>
        <w:pStyle w:val="paragraph"/>
      </w:pPr>
      <w:r w:rsidRPr="006D52A9">
        <w:tab/>
        <w:t>(a)</w:t>
      </w:r>
      <w:r w:rsidRPr="006D52A9">
        <w:tab/>
        <w:t>the benefit is a community access medication; and</w:t>
      </w:r>
    </w:p>
    <w:p w14:paraId="25EB44F2" w14:textId="77777777" w:rsidR="00D12684" w:rsidRPr="006D52A9" w:rsidRDefault="00777EBF" w:rsidP="00D12684">
      <w:pPr>
        <w:pStyle w:val="paragraph"/>
      </w:pPr>
      <w:r w:rsidRPr="006D52A9">
        <w:tab/>
        <w:t>(b</w:t>
      </w:r>
      <w:r w:rsidR="00D12684" w:rsidRPr="006D52A9">
        <w:t>)</w:t>
      </w:r>
      <w:r w:rsidR="00D12684" w:rsidRPr="006D52A9">
        <w:tab/>
      </w:r>
      <w:r w:rsidR="00274472" w:rsidRPr="006D52A9">
        <w:t xml:space="preserve">the person </w:t>
      </w:r>
      <w:r w:rsidR="00D12684" w:rsidRPr="006D52A9">
        <w:t>is, or is to be tre</w:t>
      </w:r>
      <w:r w:rsidR="00F4199A" w:rsidRPr="006D52A9">
        <w:t>ated as, an eligible person.</w:t>
      </w:r>
    </w:p>
    <w:p w14:paraId="4DC0BB46" w14:textId="77777777" w:rsidR="000C3639" w:rsidRPr="006D52A9" w:rsidRDefault="008A3D12" w:rsidP="000C3639">
      <w:pPr>
        <w:pStyle w:val="ActHead3"/>
        <w:pageBreakBefore/>
      </w:pPr>
      <w:bookmarkStart w:id="11" w:name="_Toc66968103"/>
      <w:r w:rsidRPr="00A757E4">
        <w:rPr>
          <w:rStyle w:val="CharDivNo"/>
        </w:rPr>
        <w:lastRenderedPageBreak/>
        <w:t>Division 2</w:t>
      </w:r>
      <w:r w:rsidR="000C3639" w:rsidRPr="006D52A9">
        <w:t>—</w:t>
      </w:r>
      <w:r w:rsidR="00F30046" w:rsidRPr="00A757E4">
        <w:rPr>
          <w:rStyle w:val="CharDivText"/>
        </w:rPr>
        <w:t>Supplies</w:t>
      </w:r>
      <w:r w:rsidR="00A90751" w:rsidRPr="00A757E4">
        <w:rPr>
          <w:rStyle w:val="CharDivText"/>
        </w:rPr>
        <w:t xml:space="preserve"> of </w:t>
      </w:r>
      <w:r w:rsidR="00D06DF4" w:rsidRPr="00A757E4">
        <w:rPr>
          <w:rStyle w:val="CharDivText"/>
        </w:rPr>
        <w:t xml:space="preserve">HSD </w:t>
      </w:r>
      <w:r w:rsidR="00A90751" w:rsidRPr="00A757E4">
        <w:rPr>
          <w:rStyle w:val="CharDivText"/>
        </w:rPr>
        <w:t>pharmaceutical benefits</w:t>
      </w:r>
      <w:r w:rsidR="00F30046" w:rsidRPr="00A757E4">
        <w:rPr>
          <w:rStyle w:val="CharDivText"/>
        </w:rPr>
        <w:t xml:space="preserve"> from hospitals</w:t>
      </w:r>
      <w:bookmarkEnd w:id="11"/>
    </w:p>
    <w:p w14:paraId="75DD5194" w14:textId="77777777" w:rsidR="00F30046" w:rsidRPr="006D52A9" w:rsidRDefault="005F407C" w:rsidP="00F30046">
      <w:pPr>
        <w:pStyle w:val="ActHead5"/>
      </w:pPr>
      <w:bookmarkStart w:id="12" w:name="_Toc66968104"/>
      <w:r w:rsidRPr="00A757E4">
        <w:rPr>
          <w:rStyle w:val="CharSectno"/>
        </w:rPr>
        <w:t>9</w:t>
      </w:r>
      <w:r w:rsidR="00F30046" w:rsidRPr="006D52A9">
        <w:t xml:space="preserve">  Supplies of </w:t>
      </w:r>
      <w:r w:rsidR="00193169" w:rsidRPr="006D52A9">
        <w:t xml:space="preserve">HSD </w:t>
      </w:r>
      <w:r w:rsidR="00F30046" w:rsidRPr="006D52A9">
        <w:t>pharmaceutical benefits by approved hospital authorities to patients receiving treatment from hospitals</w:t>
      </w:r>
      <w:bookmarkEnd w:id="12"/>
    </w:p>
    <w:p w14:paraId="468FA336" w14:textId="77777777" w:rsidR="00F30046" w:rsidRPr="006D52A9" w:rsidRDefault="00F30046" w:rsidP="00F30046">
      <w:pPr>
        <w:pStyle w:val="subsection"/>
      </w:pPr>
      <w:r w:rsidRPr="006D52A9">
        <w:tab/>
        <w:t>(1)</w:t>
      </w:r>
      <w:r w:rsidRPr="006D52A9">
        <w:tab/>
        <w:t xml:space="preserve">In this instrument, and in </w:t>
      </w:r>
      <w:r w:rsidRPr="006D52A9">
        <w:rPr>
          <w:szCs w:val="24"/>
        </w:rPr>
        <w:t xml:space="preserve">Part VII of the Act </w:t>
      </w:r>
      <w:r w:rsidRPr="006D52A9">
        <w:t xml:space="preserve">and regulations or other instruments made for the purposes of that Part, a reference to an approved hospital authority supplying pharmaceutical benefits to patients receiving treatment in or at the hospital of which it is the governing body or proprietor includes a reference to the hospital authority supplying </w:t>
      </w:r>
      <w:r w:rsidR="00A808F7" w:rsidRPr="006D52A9">
        <w:t xml:space="preserve">HSD </w:t>
      </w:r>
      <w:r w:rsidRPr="006D52A9">
        <w:t>pharmaceutical benefits to patients receiving treatment from the hospital.</w:t>
      </w:r>
    </w:p>
    <w:p w14:paraId="0F751F9E" w14:textId="77777777" w:rsidR="00F30046" w:rsidRPr="006D52A9" w:rsidRDefault="00F30046" w:rsidP="00F30046">
      <w:pPr>
        <w:pStyle w:val="subsection"/>
      </w:pPr>
      <w:r w:rsidRPr="006D52A9">
        <w:tab/>
        <w:t>(2)</w:t>
      </w:r>
      <w:r w:rsidRPr="006D52A9">
        <w:tab/>
        <w:t xml:space="preserve">This section applies in addition to </w:t>
      </w:r>
      <w:r w:rsidR="00D66D59">
        <w:t>section 9</w:t>
      </w:r>
      <w:r w:rsidRPr="006D52A9">
        <w:t>4 of the Act.</w:t>
      </w:r>
    </w:p>
    <w:p w14:paraId="1B4AB170" w14:textId="77777777" w:rsidR="00F30046" w:rsidRPr="006D52A9" w:rsidRDefault="00F30046" w:rsidP="00F30046">
      <w:pPr>
        <w:pStyle w:val="ActHead3"/>
        <w:pageBreakBefore/>
      </w:pPr>
      <w:bookmarkStart w:id="13" w:name="_Toc66968105"/>
      <w:r w:rsidRPr="00A757E4">
        <w:rPr>
          <w:rStyle w:val="CharDivNo"/>
        </w:rPr>
        <w:lastRenderedPageBreak/>
        <w:t>Division 3</w:t>
      </w:r>
      <w:r w:rsidRPr="006D52A9">
        <w:t>—</w:t>
      </w:r>
      <w:r w:rsidRPr="00A757E4">
        <w:rPr>
          <w:rStyle w:val="CharDivText"/>
        </w:rPr>
        <w:t>HSD hospital authorities</w:t>
      </w:r>
      <w:bookmarkEnd w:id="13"/>
    </w:p>
    <w:p w14:paraId="1B85E2A4" w14:textId="77777777" w:rsidR="000C3639" w:rsidRPr="006D52A9" w:rsidRDefault="005F407C" w:rsidP="000C3639">
      <w:pPr>
        <w:pStyle w:val="ActHead5"/>
      </w:pPr>
      <w:bookmarkStart w:id="14" w:name="_Toc66968106"/>
      <w:r w:rsidRPr="00A757E4">
        <w:rPr>
          <w:rStyle w:val="CharSectno"/>
        </w:rPr>
        <w:t>10</w:t>
      </w:r>
      <w:r w:rsidR="000C3639" w:rsidRPr="006D52A9">
        <w:t xml:space="preserve">  </w:t>
      </w:r>
      <w:r w:rsidR="00D963CD" w:rsidRPr="006D52A9">
        <w:t>HSD hospital authorities</w:t>
      </w:r>
      <w:bookmarkEnd w:id="14"/>
    </w:p>
    <w:p w14:paraId="7A5475F5" w14:textId="77777777" w:rsidR="00A90751" w:rsidRPr="006D52A9" w:rsidRDefault="00A90751" w:rsidP="00A90751">
      <w:pPr>
        <w:pStyle w:val="subsection"/>
      </w:pPr>
      <w:r w:rsidRPr="006D52A9">
        <w:tab/>
      </w:r>
      <w:r w:rsidR="006347C7" w:rsidRPr="006D52A9">
        <w:t>(1)</w:t>
      </w:r>
      <w:r w:rsidRPr="006D52A9">
        <w:tab/>
      </w:r>
      <w:r w:rsidR="00FD29E6" w:rsidRPr="006D52A9">
        <w:t>Section 9</w:t>
      </w:r>
      <w:r w:rsidRPr="006D52A9">
        <w:t>4 of the Act applies as if</w:t>
      </w:r>
      <w:r w:rsidR="00725BD7" w:rsidRPr="006D52A9">
        <w:t xml:space="preserve"> </w:t>
      </w:r>
      <w:r w:rsidR="00D963CD" w:rsidRPr="006D52A9">
        <w:t xml:space="preserve">that section </w:t>
      </w:r>
      <w:r w:rsidR="00725BD7" w:rsidRPr="006D52A9">
        <w:t xml:space="preserve">permitted the Minister to approve </w:t>
      </w:r>
      <w:r w:rsidRPr="006D52A9">
        <w:t xml:space="preserve">a hospital authority </w:t>
      </w:r>
      <w:r w:rsidR="00E52732" w:rsidRPr="006D52A9">
        <w:t>for the purpose of its supplying HSD pharmaceutical benefits</w:t>
      </w:r>
      <w:r w:rsidRPr="006D52A9">
        <w:t xml:space="preserve"> </w:t>
      </w:r>
      <w:r w:rsidR="00E52732" w:rsidRPr="006D52A9">
        <w:t xml:space="preserve">to patients receiving treatment in, at or from </w:t>
      </w:r>
      <w:r w:rsidR="00D963CD" w:rsidRPr="006D52A9">
        <w:t xml:space="preserve">the hospital of which it is the governing body or proprietor </w:t>
      </w:r>
      <w:r w:rsidRPr="006D52A9">
        <w:t xml:space="preserve">if the dispensing of </w:t>
      </w:r>
      <w:r w:rsidR="00E52732" w:rsidRPr="006D52A9">
        <w:t xml:space="preserve">those benefits </w:t>
      </w:r>
      <w:r w:rsidRPr="006D52A9">
        <w:t>is performed:</w:t>
      </w:r>
    </w:p>
    <w:p w14:paraId="153E23AE" w14:textId="77777777" w:rsidR="00A90751" w:rsidRPr="006D52A9" w:rsidRDefault="00A90751" w:rsidP="00A90751">
      <w:pPr>
        <w:pStyle w:val="paragraph"/>
      </w:pPr>
      <w:r w:rsidRPr="006D52A9">
        <w:tab/>
        <w:t>(a)</w:t>
      </w:r>
      <w:r w:rsidRPr="006D52A9">
        <w:tab/>
        <w:t>other than at the hospital; and</w:t>
      </w:r>
    </w:p>
    <w:p w14:paraId="0BEB7E71" w14:textId="77777777" w:rsidR="00A90751" w:rsidRPr="006D52A9" w:rsidRDefault="00A90751" w:rsidP="00A90751">
      <w:pPr>
        <w:pStyle w:val="paragraph"/>
      </w:pPr>
      <w:r w:rsidRPr="006D52A9">
        <w:tab/>
        <w:t>(b)</w:t>
      </w:r>
      <w:r w:rsidRPr="006D52A9">
        <w:tab/>
        <w:t>by or under the direct supervision of a medical practitioner or pharmacist.</w:t>
      </w:r>
    </w:p>
    <w:p w14:paraId="645E5950" w14:textId="77777777" w:rsidR="00CF74DB" w:rsidRPr="006D52A9" w:rsidRDefault="00CF74DB" w:rsidP="00CF74DB">
      <w:pPr>
        <w:pStyle w:val="subsection"/>
      </w:pPr>
      <w:r w:rsidRPr="006D52A9">
        <w:tab/>
        <w:t>(2)</w:t>
      </w:r>
      <w:r w:rsidRPr="006D52A9">
        <w:tab/>
      </w:r>
      <w:r w:rsidR="000E2607" w:rsidRPr="006D52A9">
        <w:t>Subsection (</w:t>
      </w:r>
      <w:r w:rsidRPr="006D52A9">
        <w:t xml:space="preserve">1) applies despite </w:t>
      </w:r>
      <w:r w:rsidR="000E2607" w:rsidRPr="006D52A9">
        <w:t>sub</w:t>
      </w:r>
      <w:r w:rsidR="00D66D59">
        <w:t>section 9</w:t>
      </w:r>
      <w:r w:rsidRPr="006D52A9">
        <w:t>4(5) of the Act.</w:t>
      </w:r>
    </w:p>
    <w:p w14:paraId="12954EF9" w14:textId="77777777" w:rsidR="00DD0FEA" w:rsidRPr="006D52A9" w:rsidRDefault="005F407C" w:rsidP="00DD0FEA">
      <w:pPr>
        <w:pStyle w:val="ActHead5"/>
      </w:pPr>
      <w:bookmarkStart w:id="15" w:name="_Toc66968107"/>
      <w:r w:rsidRPr="00A757E4">
        <w:rPr>
          <w:rStyle w:val="CharSectno"/>
        </w:rPr>
        <w:t>11</w:t>
      </w:r>
      <w:r w:rsidR="00DD0FEA" w:rsidRPr="006D52A9">
        <w:t xml:space="preserve">  References to approved suppliers and approved hospital authorities</w:t>
      </w:r>
      <w:bookmarkEnd w:id="15"/>
    </w:p>
    <w:p w14:paraId="05035212" w14:textId="77777777" w:rsidR="00DD0FEA" w:rsidRPr="006D52A9" w:rsidRDefault="00DD0FEA" w:rsidP="00BF2535">
      <w:pPr>
        <w:pStyle w:val="subsection"/>
      </w:pPr>
      <w:r w:rsidRPr="006D52A9">
        <w:tab/>
      </w:r>
      <w:r w:rsidRPr="006D52A9">
        <w:tab/>
        <w:t xml:space="preserve">In this instrument, and in </w:t>
      </w:r>
      <w:r w:rsidR="000B6A22" w:rsidRPr="006D52A9">
        <w:rPr>
          <w:szCs w:val="24"/>
        </w:rPr>
        <w:t>Part V</w:t>
      </w:r>
      <w:r w:rsidRPr="006D52A9">
        <w:rPr>
          <w:szCs w:val="24"/>
        </w:rPr>
        <w:t xml:space="preserve">II of the Act </w:t>
      </w:r>
      <w:r w:rsidRPr="006D52A9">
        <w:t>and regulations or other instruments made for the purposes of that Part</w:t>
      </w:r>
      <w:r w:rsidR="00BF2535" w:rsidRPr="006D52A9">
        <w:t xml:space="preserve">, </w:t>
      </w:r>
      <w:r w:rsidRPr="006D52A9">
        <w:t xml:space="preserve">a reference to an approved supplier or an approved hospital authority includes a reference to an </w:t>
      </w:r>
      <w:r w:rsidR="00BF2535" w:rsidRPr="006D52A9">
        <w:t>HSD hospital authority.</w:t>
      </w:r>
    </w:p>
    <w:p w14:paraId="6B702513" w14:textId="77777777" w:rsidR="00954771" w:rsidRPr="006D52A9" w:rsidRDefault="005F407C" w:rsidP="00954771">
      <w:pPr>
        <w:pStyle w:val="ActHead5"/>
      </w:pPr>
      <w:bookmarkStart w:id="16" w:name="_Toc66968108"/>
      <w:r w:rsidRPr="00A757E4">
        <w:rPr>
          <w:rStyle w:val="CharSectno"/>
        </w:rPr>
        <w:t>12</w:t>
      </w:r>
      <w:r w:rsidR="00954771" w:rsidRPr="006D52A9">
        <w:t xml:space="preserve">  Numbers allotted to</w:t>
      </w:r>
      <w:r w:rsidR="00A13966" w:rsidRPr="006D52A9">
        <w:t xml:space="preserve"> HSD</w:t>
      </w:r>
      <w:r w:rsidR="00954771" w:rsidRPr="006D52A9">
        <w:t xml:space="preserve"> hospital authorities</w:t>
      </w:r>
      <w:bookmarkEnd w:id="16"/>
    </w:p>
    <w:p w14:paraId="484B2E02" w14:textId="77777777" w:rsidR="00954771" w:rsidRPr="006D52A9" w:rsidRDefault="00954771" w:rsidP="00954771">
      <w:pPr>
        <w:pStyle w:val="subsection"/>
      </w:pPr>
      <w:r w:rsidRPr="006D52A9">
        <w:tab/>
      </w:r>
      <w:r w:rsidRPr="006D52A9">
        <w:tab/>
      </w:r>
      <w:r w:rsidR="00A13966" w:rsidRPr="006D52A9">
        <w:t xml:space="preserve">For the purposes of </w:t>
      </w:r>
      <w:r w:rsidR="00A13966" w:rsidRPr="006D52A9">
        <w:rPr>
          <w:szCs w:val="24"/>
        </w:rPr>
        <w:t xml:space="preserve">Part VII of the Act </w:t>
      </w:r>
      <w:r w:rsidR="00A13966" w:rsidRPr="006D52A9">
        <w:t>and regulations or other instruments made for the purposes of that Part, a</w:t>
      </w:r>
      <w:r w:rsidRPr="006D52A9">
        <w:t xml:space="preserve"> number allotted to a</w:t>
      </w:r>
      <w:r w:rsidR="00A13966" w:rsidRPr="006D52A9">
        <w:t>n HSD</w:t>
      </w:r>
      <w:r w:rsidRPr="006D52A9">
        <w:t xml:space="preserve"> hospital authority under either of the following provisions is taken to have been allotted by the </w:t>
      </w:r>
      <w:r w:rsidR="00A13966" w:rsidRPr="006D52A9">
        <w:t>Minister</w:t>
      </w:r>
      <w:r w:rsidRPr="006D52A9">
        <w:t xml:space="preserve"> under </w:t>
      </w:r>
      <w:r w:rsidR="006D52A9">
        <w:t>sub</w:t>
      </w:r>
      <w:r w:rsidR="00D66D59">
        <w:t>section 1</w:t>
      </w:r>
      <w:r w:rsidRPr="006D52A9">
        <w:t>6(4) of the Regulations:</w:t>
      </w:r>
    </w:p>
    <w:p w14:paraId="0730CFFB" w14:textId="77777777" w:rsidR="00954771" w:rsidRPr="006D52A9" w:rsidRDefault="00954771" w:rsidP="00403CB1">
      <w:pPr>
        <w:pStyle w:val="paragraph"/>
      </w:pPr>
      <w:r w:rsidRPr="006D52A9">
        <w:tab/>
        <w:t>(a)</w:t>
      </w:r>
      <w:r w:rsidRPr="006D52A9">
        <w:tab/>
      </w:r>
      <w:r w:rsidR="008A3D12" w:rsidRPr="006D52A9">
        <w:t>sub</w:t>
      </w:r>
      <w:r w:rsidR="00FD29E6" w:rsidRPr="006D52A9">
        <w:t>section 5</w:t>
      </w:r>
      <w:r w:rsidRPr="006D52A9">
        <w:t xml:space="preserve">2(3) of </w:t>
      </w:r>
      <w:r w:rsidRPr="006D52A9">
        <w:rPr>
          <w:szCs w:val="24"/>
        </w:rPr>
        <w:t xml:space="preserve">the </w:t>
      </w:r>
      <w:r w:rsidRPr="006D52A9">
        <w:rPr>
          <w:i/>
          <w:szCs w:val="24"/>
        </w:rPr>
        <w:t>National Health (Highly specialised drugs program) Special Arrangement 2010</w:t>
      </w:r>
      <w:r w:rsidRPr="006D52A9">
        <w:rPr>
          <w:szCs w:val="24"/>
        </w:rPr>
        <w:t xml:space="preserve"> (PB 116 of 2010)</w:t>
      </w:r>
      <w:r w:rsidRPr="006D52A9">
        <w:t>;</w:t>
      </w:r>
    </w:p>
    <w:p w14:paraId="76A78E12" w14:textId="77777777" w:rsidR="00954771" w:rsidRPr="006D52A9" w:rsidRDefault="0042736C" w:rsidP="00954771">
      <w:pPr>
        <w:pStyle w:val="paragraph"/>
      </w:pPr>
      <w:r w:rsidRPr="006D52A9">
        <w:tab/>
        <w:t>(</w:t>
      </w:r>
      <w:r w:rsidR="00403CB1" w:rsidRPr="006D52A9">
        <w:t>b</w:t>
      </w:r>
      <w:r w:rsidR="00954771" w:rsidRPr="006D52A9">
        <w:t>)</w:t>
      </w:r>
      <w:r w:rsidR="00954771" w:rsidRPr="006D52A9">
        <w:tab/>
      </w:r>
      <w:r w:rsidR="008A3D12" w:rsidRPr="006D52A9">
        <w:t>sub</w:t>
      </w:r>
      <w:r w:rsidR="00FD29E6" w:rsidRPr="006D52A9">
        <w:t>section 5</w:t>
      </w:r>
      <w:r w:rsidR="00954771" w:rsidRPr="006D52A9">
        <w:t xml:space="preserve">2(3) of the </w:t>
      </w:r>
      <w:r w:rsidR="00954771" w:rsidRPr="006D52A9">
        <w:rPr>
          <w:i/>
        </w:rPr>
        <w:t xml:space="preserve">National Health (Highly specialised drugs program for public hospitals) Special Arrangements Instrument 2010 </w:t>
      </w:r>
      <w:r w:rsidR="00954771" w:rsidRPr="006D52A9">
        <w:t>(PB 63 of 2010).</w:t>
      </w:r>
    </w:p>
    <w:p w14:paraId="15024A18" w14:textId="77777777" w:rsidR="004D099D" w:rsidRPr="006D52A9" w:rsidRDefault="000B6A22" w:rsidP="00EA6100">
      <w:pPr>
        <w:pStyle w:val="ActHead2"/>
        <w:pageBreakBefore/>
      </w:pPr>
      <w:bookmarkStart w:id="17" w:name="_Toc66968109"/>
      <w:r w:rsidRPr="00A757E4">
        <w:rPr>
          <w:rStyle w:val="CharPartNo"/>
        </w:rPr>
        <w:lastRenderedPageBreak/>
        <w:t>Part 2</w:t>
      </w:r>
      <w:r w:rsidR="004D099D" w:rsidRPr="006D52A9">
        <w:t>—</w:t>
      </w:r>
      <w:r w:rsidR="004D099D" w:rsidRPr="00A757E4">
        <w:rPr>
          <w:rStyle w:val="CharPartText"/>
        </w:rPr>
        <w:t>Special arrangement supplies of HSD pharmaceutical benefits</w:t>
      </w:r>
      <w:bookmarkEnd w:id="17"/>
    </w:p>
    <w:p w14:paraId="13E13072" w14:textId="77777777" w:rsidR="004D099D" w:rsidRPr="006D52A9" w:rsidRDefault="008A3D12" w:rsidP="004D099D">
      <w:pPr>
        <w:pStyle w:val="ActHead3"/>
      </w:pPr>
      <w:bookmarkStart w:id="18" w:name="_Toc66968110"/>
      <w:r w:rsidRPr="00A757E4">
        <w:rPr>
          <w:rStyle w:val="CharDivNo"/>
        </w:rPr>
        <w:t>Division 1</w:t>
      </w:r>
      <w:r w:rsidR="004D099D" w:rsidRPr="006D52A9">
        <w:t>—</w:t>
      </w:r>
      <w:r w:rsidR="004D099D" w:rsidRPr="00A757E4">
        <w:rPr>
          <w:rStyle w:val="CharDivText"/>
        </w:rPr>
        <w:t>Preliminary</w:t>
      </w:r>
      <w:bookmarkEnd w:id="18"/>
    </w:p>
    <w:p w14:paraId="410C41F5" w14:textId="77777777" w:rsidR="004D099D" w:rsidRPr="006D52A9" w:rsidRDefault="005F407C" w:rsidP="000A7DB2">
      <w:pPr>
        <w:pStyle w:val="ActHead5"/>
      </w:pPr>
      <w:bookmarkStart w:id="19" w:name="_Toc66968111"/>
      <w:r w:rsidRPr="00A757E4">
        <w:rPr>
          <w:rStyle w:val="CharSectno"/>
        </w:rPr>
        <w:t>13</w:t>
      </w:r>
      <w:r w:rsidR="004D099D" w:rsidRPr="006D52A9">
        <w:t xml:space="preserve">  Definition of </w:t>
      </w:r>
      <w:r w:rsidR="004D099D" w:rsidRPr="006D52A9">
        <w:rPr>
          <w:i/>
        </w:rPr>
        <w:t>special arrangement supply</w:t>
      </w:r>
      <w:bookmarkEnd w:id="19"/>
    </w:p>
    <w:p w14:paraId="0E4B24DB" w14:textId="77777777" w:rsidR="004D099D" w:rsidRPr="006D52A9" w:rsidRDefault="00E64888" w:rsidP="004D099D">
      <w:pPr>
        <w:pStyle w:val="SubsectionHead"/>
      </w:pPr>
      <w:r w:rsidRPr="006D52A9">
        <w:t xml:space="preserve">Prescriptions written for </w:t>
      </w:r>
      <w:r w:rsidR="00A15DDC" w:rsidRPr="006D52A9">
        <w:t>public hospital patients</w:t>
      </w:r>
    </w:p>
    <w:p w14:paraId="73D198A8" w14:textId="77777777" w:rsidR="00B33E34" w:rsidRPr="006D52A9" w:rsidRDefault="00B33E34" w:rsidP="00B33E34">
      <w:pPr>
        <w:pStyle w:val="subsection"/>
      </w:pPr>
      <w:r w:rsidRPr="006D52A9">
        <w:tab/>
        <w:t>(1)</w:t>
      </w:r>
      <w:r w:rsidRPr="006D52A9">
        <w:tab/>
        <w:t>A supply of an HSD pharmaceutical benefit</w:t>
      </w:r>
      <w:r w:rsidR="002F6709" w:rsidRPr="006D52A9">
        <w:t xml:space="preserve"> to a </w:t>
      </w:r>
      <w:r w:rsidR="006C17AC" w:rsidRPr="006D52A9">
        <w:t xml:space="preserve">person </w:t>
      </w:r>
      <w:r w:rsidRPr="006D52A9">
        <w:t xml:space="preserve">is a </w:t>
      </w:r>
      <w:r w:rsidRPr="006D52A9">
        <w:rPr>
          <w:b/>
          <w:i/>
        </w:rPr>
        <w:t>special arrangement supply</w:t>
      </w:r>
      <w:r w:rsidRPr="006D52A9">
        <w:t xml:space="preserve"> of the benefit if:</w:t>
      </w:r>
    </w:p>
    <w:p w14:paraId="4ADA6096" w14:textId="77777777" w:rsidR="00B33E34" w:rsidRPr="006D52A9" w:rsidRDefault="00B33E34" w:rsidP="00B33E34">
      <w:pPr>
        <w:pStyle w:val="paragraph"/>
      </w:pPr>
      <w:r w:rsidRPr="006D52A9">
        <w:tab/>
        <w:t>(a)</w:t>
      </w:r>
      <w:r w:rsidRPr="006D52A9">
        <w:tab/>
      </w:r>
      <w:r w:rsidR="002F6709" w:rsidRPr="006D52A9">
        <w:t xml:space="preserve">the </w:t>
      </w:r>
      <w:r w:rsidR="006C17AC" w:rsidRPr="006D52A9">
        <w:t xml:space="preserve">person </w:t>
      </w:r>
      <w:r w:rsidR="002F6709" w:rsidRPr="006D52A9">
        <w:t>is</w:t>
      </w:r>
      <w:r w:rsidRPr="006D52A9">
        <w:t xml:space="preserve"> an eligible patient for the benefit; and</w:t>
      </w:r>
    </w:p>
    <w:p w14:paraId="36B84890" w14:textId="77777777" w:rsidR="00B456DC" w:rsidRPr="006D52A9" w:rsidRDefault="00B33E34" w:rsidP="00B33E34">
      <w:pPr>
        <w:pStyle w:val="paragraph"/>
      </w:pPr>
      <w:r w:rsidRPr="006D52A9">
        <w:tab/>
      </w:r>
      <w:r w:rsidR="002F6709" w:rsidRPr="006D52A9">
        <w:t>(b)</w:t>
      </w:r>
      <w:r w:rsidR="002F6709" w:rsidRPr="006D52A9">
        <w:tab/>
        <w:t xml:space="preserve">the benefit is supplied </w:t>
      </w:r>
      <w:r w:rsidRPr="006D52A9">
        <w:t>by</w:t>
      </w:r>
      <w:r w:rsidR="00B456DC" w:rsidRPr="006D52A9">
        <w:t>:</w:t>
      </w:r>
    </w:p>
    <w:p w14:paraId="56C48FA2" w14:textId="77777777" w:rsidR="00B33E34" w:rsidRPr="006D52A9" w:rsidRDefault="00B456DC" w:rsidP="00B456DC">
      <w:pPr>
        <w:pStyle w:val="paragraphsub"/>
      </w:pPr>
      <w:r w:rsidRPr="006D52A9">
        <w:tab/>
        <w:t>(i)</w:t>
      </w:r>
      <w:r w:rsidRPr="006D52A9">
        <w:tab/>
      </w:r>
      <w:r w:rsidR="001A6F31" w:rsidRPr="006D52A9">
        <w:t>for any benefit—</w:t>
      </w:r>
      <w:r w:rsidRPr="006D52A9">
        <w:t xml:space="preserve">an </w:t>
      </w:r>
      <w:r w:rsidR="00B33E34" w:rsidRPr="006D52A9">
        <w:t>approved hospital authority</w:t>
      </w:r>
      <w:r w:rsidR="006C17AC" w:rsidRPr="006D52A9">
        <w:t xml:space="preserve"> for a public hospital</w:t>
      </w:r>
      <w:r w:rsidRPr="006D52A9">
        <w:t>; or</w:t>
      </w:r>
    </w:p>
    <w:p w14:paraId="4DC71317" w14:textId="77777777" w:rsidR="00B456DC" w:rsidRPr="006D52A9" w:rsidRDefault="00B456DC" w:rsidP="00B456DC">
      <w:pPr>
        <w:pStyle w:val="paragraphsub"/>
      </w:pPr>
      <w:r w:rsidRPr="006D52A9">
        <w:tab/>
        <w:t>(ii)</w:t>
      </w:r>
      <w:r w:rsidRPr="006D52A9">
        <w:tab/>
        <w:t>for a benefit that has a CAR drug—an approved pharmacist; and</w:t>
      </w:r>
    </w:p>
    <w:p w14:paraId="69344001" w14:textId="77777777" w:rsidR="006C17AC" w:rsidRPr="006D52A9" w:rsidRDefault="000E4B5B" w:rsidP="00B456DC">
      <w:pPr>
        <w:pStyle w:val="paragraph"/>
      </w:pPr>
      <w:r w:rsidRPr="006D52A9">
        <w:tab/>
        <w:t>(c)</w:t>
      </w:r>
      <w:r w:rsidRPr="006D52A9">
        <w:tab/>
      </w:r>
      <w:r w:rsidR="00E441BD" w:rsidRPr="006D52A9">
        <w:t xml:space="preserve">the benefit is supplied </w:t>
      </w:r>
      <w:r w:rsidR="00B456DC" w:rsidRPr="006D52A9">
        <w:t>on the basis of a prescription written</w:t>
      </w:r>
      <w:r w:rsidR="006C17AC" w:rsidRPr="006D52A9">
        <w:t>:</w:t>
      </w:r>
    </w:p>
    <w:p w14:paraId="148860B9" w14:textId="77777777" w:rsidR="006C17AC" w:rsidRPr="006D52A9" w:rsidRDefault="006C17AC" w:rsidP="006C17AC">
      <w:pPr>
        <w:pStyle w:val="paragraphsub"/>
      </w:pPr>
      <w:r w:rsidRPr="006D52A9">
        <w:tab/>
        <w:t>(i)</w:t>
      </w:r>
      <w:r w:rsidRPr="006D52A9">
        <w:tab/>
        <w:t xml:space="preserve">when the </w:t>
      </w:r>
      <w:r w:rsidR="00055B8A" w:rsidRPr="006D52A9">
        <w:t>person</w:t>
      </w:r>
      <w:r w:rsidRPr="006D52A9">
        <w:t xml:space="preserve"> was receiving medical treatment </w:t>
      </w:r>
      <w:r w:rsidR="00566E0C" w:rsidRPr="006D52A9">
        <w:t>in</w:t>
      </w:r>
      <w:r w:rsidR="009715B0" w:rsidRPr="006D52A9">
        <w:t>,</w:t>
      </w:r>
      <w:r w:rsidR="00566E0C" w:rsidRPr="006D52A9">
        <w:t xml:space="preserve"> at </w:t>
      </w:r>
      <w:r w:rsidR="00A15DDC" w:rsidRPr="006D52A9">
        <w:t>or from</w:t>
      </w:r>
      <w:r w:rsidRPr="006D52A9">
        <w:t xml:space="preserve"> a public hospital; and</w:t>
      </w:r>
    </w:p>
    <w:p w14:paraId="4EF3646F" w14:textId="77777777" w:rsidR="006C17AC" w:rsidRPr="006D52A9" w:rsidRDefault="006C17AC" w:rsidP="006C17AC">
      <w:pPr>
        <w:pStyle w:val="paragraphsub"/>
      </w:pPr>
      <w:r w:rsidRPr="006D52A9">
        <w:tab/>
        <w:t>(ii)</w:t>
      </w:r>
      <w:r w:rsidRPr="006D52A9">
        <w:tab/>
        <w:t xml:space="preserve">by </w:t>
      </w:r>
      <w:r w:rsidR="00CF6F83" w:rsidRPr="006D52A9">
        <w:t>an authorised prescriber for the benefit</w:t>
      </w:r>
      <w:r w:rsidRPr="006D52A9">
        <w:t>;</w:t>
      </w:r>
      <w:r w:rsidR="00735276" w:rsidRPr="006D52A9">
        <w:t xml:space="preserve"> and</w:t>
      </w:r>
    </w:p>
    <w:p w14:paraId="6A60DE3F" w14:textId="77777777" w:rsidR="009C3BEF" w:rsidRPr="006D52A9" w:rsidRDefault="006C17AC" w:rsidP="006C17AC">
      <w:pPr>
        <w:pStyle w:val="paragraphsub"/>
      </w:pPr>
      <w:r w:rsidRPr="006D52A9">
        <w:tab/>
        <w:t>(i</w:t>
      </w:r>
      <w:r w:rsidR="00735276" w:rsidRPr="006D52A9">
        <w:t>i</w:t>
      </w:r>
      <w:r w:rsidRPr="006D52A9">
        <w:t>i)</w:t>
      </w:r>
      <w:r w:rsidRPr="006D52A9">
        <w:tab/>
      </w:r>
      <w:r w:rsidR="00B456DC" w:rsidRPr="006D52A9">
        <w:t xml:space="preserve">in circumstances mentioned in </w:t>
      </w:r>
      <w:r w:rsidR="006D52A9">
        <w:t>Schedule 3</w:t>
      </w:r>
      <w:r w:rsidR="00B456DC" w:rsidRPr="006D52A9">
        <w:t xml:space="preserve"> </w:t>
      </w:r>
      <w:r w:rsidR="00EE4D96" w:rsidRPr="006D52A9">
        <w:t xml:space="preserve">for </w:t>
      </w:r>
      <w:r w:rsidR="009C3BEF" w:rsidRPr="006D52A9">
        <w:t xml:space="preserve">a circumstances code mentioned in the column </w:t>
      </w:r>
      <w:r w:rsidR="00C9293F" w:rsidRPr="006D52A9">
        <w:t xml:space="preserve">headed “Circumstances” </w:t>
      </w:r>
      <w:r w:rsidR="009C3BEF" w:rsidRPr="006D52A9">
        <w:t xml:space="preserve">in </w:t>
      </w:r>
      <w:r w:rsidR="00942996" w:rsidRPr="006D52A9">
        <w:t>Schedule 1</w:t>
      </w:r>
      <w:r w:rsidR="009C3BEF" w:rsidRPr="006D52A9">
        <w:t xml:space="preserve"> for </w:t>
      </w:r>
      <w:r w:rsidR="00EE4D96" w:rsidRPr="006D52A9">
        <w:t>the</w:t>
      </w:r>
      <w:r w:rsidR="009C3BEF" w:rsidRPr="006D52A9">
        <w:t xml:space="preserve"> benefit.</w:t>
      </w:r>
    </w:p>
    <w:p w14:paraId="213B149E" w14:textId="77777777" w:rsidR="00B64E42" w:rsidRPr="006D52A9" w:rsidRDefault="00E64888" w:rsidP="00B64E42">
      <w:pPr>
        <w:pStyle w:val="SubsectionHead"/>
      </w:pPr>
      <w:r w:rsidRPr="006D52A9">
        <w:t xml:space="preserve">Prescriptions written for </w:t>
      </w:r>
      <w:r w:rsidR="00A15DDC" w:rsidRPr="006D52A9">
        <w:t>private hospital patients</w:t>
      </w:r>
    </w:p>
    <w:p w14:paraId="7292C34B" w14:textId="77777777" w:rsidR="00D63E51" w:rsidRPr="006D52A9" w:rsidRDefault="002A3C3C" w:rsidP="00D63E51">
      <w:pPr>
        <w:pStyle w:val="subsection"/>
      </w:pPr>
      <w:r w:rsidRPr="006D52A9">
        <w:tab/>
        <w:t>(2</w:t>
      </w:r>
      <w:r w:rsidR="00D63E51" w:rsidRPr="006D52A9">
        <w:t>)</w:t>
      </w:r>
      <w:r w:rsidR="00D63E51" w:rsidRPr="006D52A9">
        <w:tab/>
        <w:t xml:space="preserve">A supply of an HSD pharmaceutical benefit to a </w:t>
      </w:r>
      <w:r w:rsidR="005E559F" w:rsidRPr="006D52A9">
        <w:t>person</w:t>
      </w:r>
      <w:r w:rsidR="00D63E51" w:rsidRPr="006D52A9">
        <w:t xml:space="preserve"> is a </w:t>
      </w:r>
      <w:r w:rsidR="00D63E51" w:rsidRPr="006D52A9">
        <w:rPr>
          <w:b/>
          <w:i/>
        </w:rPr>
        <w:t>special arrangement supply</w:t>
      </w:r>
      <w:r w:rsidR="00D63E51" w:rsidRPr="006D52A9">
        <w:t xml:space="preserve"> of the benefit if:</w:t>
      </w:r>
    </w:p>
    <w:p w14:paraId="035B028B" w14:textId="77777777" w:rsidR="00D63E51" w:rsidRPr="006D52A9" w:rsidRDefault="00D63E51" w:rsidP="00D63E51">
      <w:pPr>
        <w:pStyle w:val="paragraph"/>
      </w:pPr>
      <w:r w:rsidRPr="006D52A9">
        <w:tab/>
        <w:t>(a)</w:t>
      </w:r>
      <w:r w:rsidRPr="006D52A9">
        <w:tab/>
        <w:t xml:space="preserve">the </w:t>
      </w:r>
      <w:r w:rsidR="002A7E61" w:rsidRPr="006D52A9">
        <w:t>person</w:t>
      </w:r>
      <w:r w:rsidRPr="006D52A9">
        <w:t xml:space="preserve"> is an eligible patient for the benefit; and</w:t>
      </w:r>
    </w:p>
    <w:p w14:paraId="557D505B" w14:textId="77777777" w:rsidR="00D63E51" w:rsidRPr="006D52A9" w:rsidRDefault="00D63E51" w:rsidP="00D63E51">
      <w:pPr>
        <w:pStyle w:val="paragraph"/>
      </w:pPr>
      <w:r w:rsidRPr="006D52A9">
        <w:tab/>
        <w:t>(b)</w:t>
      </w:r>
      <w:r w:rsidRPr="006D52A9">
        <w:tab/>
        <w:t>the benefit is supplied by:</w:t>
      </w:r>
    </w:p>
    <w:p w14:paraId="4380A64C" w14:textId="77777777" w:rsidR="00D63E51" w:rsidRPr="006D52A9" w:rsidRDefault="00D63E51" w:rsidP="00D63E51">
      <w:pPr>
        <w:pStyle w:val="paragraphsub"/>
      </w:pPr>
      <w:r w:rsidRPr="006D52A9">
        <w:tab/>
        <w:t>(i)</w:t>
      </w:r>
      <w:r w:rsidRPr="006D52A9">
        <w:tab/>
        <w:t>an approved hospital authority</w:t>
      </w:r>
      <w:r w:rsidR="00D75AE9" w:rsidRPr="006D52A9">
        <w:t xml:space="preserve"> for a private hospital</w:t>
      </w:r>
      <w:r w:rsidRPr="006D52A9">
        <w:t>; or</w:t>
      </w:r>
    </w:p>
    <w:p w14:paraId="39789963" w14:textId="77777777" w:rsidR="00D63E51" w:rsidRPr="006D52A9" w:rsidRDefault="00D63E51" w:rsidP="00D63E51">
      <w:pPr>
        <w:pStyle w:val="paragraphsub"/>
      </w:pPr>
      <w:r w:rsidRPr="006D52A9">
        <w:tab/>
        <w:t>(ii)</w:t>
      </w:r>
      <w:r w:rsidRPr="006D52A9">
        <w:tab/>
        <w:t>an approved pharmacist; and</w:t>
      </w:r>
    </w:p>
    <w:p w14:paraId="62A13465" w14:textId="77777777" w:rsidR="00B64E42" w:rsidRPr="006D52A9" w:rsidRDefault="00B64E42" w:rsidP="00B64E42">
      <w:pPr>
        <w:pStyle w:val="paragraph"/>
      </w:pPr>
      <w:r w:rsidRPr="006D52A9">
        <w:tab/>
        <w:t>(c)</w:t>
      </w:r>
      <w:r w:rsidRPr="006D52A9">
        <w:tab/>
        <w:t>the benefit is supplied on the basis of a prescription written:</w:t>
      </w:r>
    </w:p>
    <w:p w14:paraId="5D63E0D4" w14:textId="77777777" w:rsidR="00B64E42" w:rsidRPr="006D52A9" w:rsidRDefault="00B64E42" w:rsidP="00B64E42">
      <w:pPr>
        <w:pStyle w:val="paragraphsub"/>
      </w:pPr>
      <w:r w:rsidRPr="006D52A9">
        <w:tab/>
        <w:t>(i)</w:t>
      </w:r>
      <w:r w:rsidRPr="006D52A9">
        <w:tab/>
        <w:t xml:space="preserve">when the </w:t>
      </w:r>
      <w:r w:rsidR="00055B8A" w:rsidRPr="006D52A9">
        <w:t xml:space="preserve">person </w:t>
      </w:r>
      <w:r w:rsidRPr="006D52A9">
        <w:t xml:space="preserve">was receiving medical treatment </w:t>
      </w:r>
      <w:r w:rsidR="00566E0C" w:rsidRPr="006D52A9">
        <w:t>in</w:t>
      </w:r>
      <w:r w:rsidR="009715B0" w:rsidRPr="006D52A9">
        <w:t>,</w:t>
      </w:r>
      <w:r w:rsidR="00566E0C" w:rsidRPr="006D52A9">
        <w:t xml:space="preserve"> </w:t>
      </w:r>
      <w:r w:rsidR="006338E5" w:rsidRPr="006D52A9">
        <w:t xml:space="preserve">at </w:t>
      </w:r>
      <w:r w:rsidR="00566E0C" w:rsidRPr="006D52A9">
        <w:t xml:space="preserve">or from </w:t>
      </w:r>
      <w:r w:rsidRPr="006D52A9">
        <w:t>a private hospital; and</w:t>
      </w:r>
    </w:p>
    <w:p w14:paraId="5BB5128F" w14:textId="77777777" w:rsidR="00B64E42" w:rsidRPr="006D52A9" w:rsidRDefault="00B64E42" w:rsidP="00B64E42">
      <w:pPr>
        <w:pStyle w:val="paragraphsub"/>
      </w:pPr>
      <w:r w:rsidRPr="006D52A9">
        <w:tab/>
        <w:t>(ii)</w:t>
      </w:r>
      <w:r w:rsidRPr="006D52A9">
        <w:tab/>
      </w:r>
      <w:r w:rsidR="00CF6F83" w:rsidRPr="006D52A9">
        <w:t>by an authorised prescriber for the benefit</w:t>
      </w:r>
      <w:r w:rsidRPr="006D52A9">
        <w:t>; and</w:t>
      </w:r>
    </w:p>
    <w:p w14:paraId="4C95E738" w14:textId="77777777" w:rsidR="00C9293F" w:rsidRPr="006D52A9" w:rsidRDefault="00C9293F" w:rsidP="00C9293F">
      <w:pPr>
        <w:pStyle w:val="paragraphsub"/>
      </w:pPr>
      <w:r w:rsidRPr="006D52A9">
        <w:tab/>
        <w:t>(iii)</w:t>
      </w:r>
      <w:r w:rsidRPr="006D52A9">
        <w:tab/>
        <w:t xml:space="preserve">in circumstances mentioned in </w:t>
      </w:r>
      <w:r w:rsidR="006D52A9">
        <w:t>Schedule 3</w:t>
      </w:r>
      <w:r w:rsidRPr="006D52A9">
        <w:t xml:space="preserve"> for a circumstances code mentioned in the column headed “Circumstances” in Schedule 1 for the benefit.</w:t>
      </w:r>
    </w:p>
    <w:p w14:paraId="2DD41F12" w14:textId="77777777" w:rsidR="004D099D" w:rsidRPr="006D52A9" w:rsidRDefault="00E64888" w:rsidP="004D099D">
      <w:pPr>
        <w:pStyle w:val="SubsectionHead"/>
      </w:pPr>
      <w:r w:rsidRPr="006D52A9">
        <w:t>C</w:t>
      </w:r>
      <w:r w:rsidR="00C81484" w:rsidRPr="006D52A9">
        <w:t>ommunity access arrangements</w:t>
      </w:r>
    </w:p>
    <w:p w14:paraId="3DB8B335" w14:textId="77777777" w:rsidR="004D099D" w:rsidRPr="006D52A9" w:rsidRDefault="003F152C" w:rsidP="004D099D">
      <w:pPr>
        <w:pStyle w:val="subsection"/>
      </w:pPr>
      <w:r w:rsidRPr="006D52A9">
        <w:tab/>
        <w:t>(3</w:t>
      </w:r>
      <w:r w:rsidR="004D099D" w:rsidRPr="006D52A9">
        <w:t>)</w:t>
      </w:r>
      <w:r w:rsidR="004D099D" w:rsidRPr="006D52A9">
        <w:tab/>
        <w:t>A supply of an HSD pharmaceutical benefit</w:t>
      </w:r>
      <w:r w:rsidR="00E82D8A" w:rsidRPr="006D52A9">
        <w:t xml:space="preserve"> to a </w:t>
      </w:r>
      <w:r w:rsidR="008667E6" w:rsidRPr="006D52A9">
        <w:t>person</w:t>
      </w:r>
      <w:r w:rsidR="00E82D8A" w:rsidRPr="006D52A9">
        <w:t xml:space="preserve"> </w:t>
      </w:r>
      <w:r w:rsidR="004D099D" w:rsidRPr="006D52A9">
        <w:t xml:space="preserve">is a </w:t>
      </w:r>
      <w:r w:rsidR="004D099D" w:rsidRPr="006D52A9">
        <w:rPr>
          <w:b/>
          <w:i/>
        </w:rPr>
        <w:t>special arrangement supply</w:t>
      </w:r>
      <w:r w:rsidR="004D099D" w:rsidRPr="006D52A9">
        <w:t xml:space="preserve"> of the benefit if:</w:t>
      </w:r>
    </w:p>
    <w:p w14:paraId="71BFBE89" w14:textId="77777777" w:rsidR="00777EBF" w:rsidRPr="006D52A9" w:rsidRDefault="00777EBF" w:rsidP="00777EBF">
      <w:pPr>
        <w:pStyle w:val="paragraph"/>
      </w:pPr>
      <w:r w:rsidRPr="006D52A9">
        <w:tab/>
        <w:t>(a)</w:t>
      </w:r>
      <w:r w:rsidRPr="006D52A9">
        <w:tab/>
        <w:t>the benefit is a community access medication; and</w:t>
      </w:r>
    </w:p>
    <w:p w14:paraId="63FD7625" w14:textId="77777777" w:rsidR="00777EBF" w:rsidRPr="006D52A9" w:rsidRDefault="00777EBF" w:rsidP="00777EBF">
      <w:pPr>
        <w:pStyle w:val="paragraph"/>
      </w:pPr>
      <w:r w:rsidRPr="006D52A9">
        <w:tab/>
        <w:t>(b)</w:t>
      </w:r>
      <w:r w:rsidRPr="006D52A9">
        <w:tab/>
        <w:t>the person is an eligible patient for the benefit; and</w:t>
      </w:r>
    </w:p>
    <w:p w14:paraId="0DAA4455" w14:textId="77777777" w:rsidR="004D099D" w:rsidRPr="006D52A9" w:rsidRDefault="00E82D8A" w:rsidP="004D099D">
      <w:pPr>
        <w:pStyle w:val="paragraph"/>
      </w:pPr>
      <w:r w:rsidRPr="006D52A9">
        <w:tab/>
        <w:t>(c</w:t>
      </w:r>
      <w:r w:rsidR="004D099D" w:rsidRPr="006D52A9">
        <w:t>)</w:t>
      </w:r>
      <w:r w:rsidR="004D099D" w:rsidRPr="006D52A9">
        <w:tab/>
        <w:t>the benefit is suppl</w:t>
      </w:r>
      <w:r w:rsidRPr="006D52A9">
        <w:t>ied by an approved supplier</w:t>
      </w:r>
      <w:r w:rsidR="00115D2E" w:rsidRPr="006D52A9">
        <w:t>; and</w:t>
      </w:r>
    </w:p>
    <w:p w14:paraId="580C3104" w14:textId="77777777" w:rsidR="009569AA" w:rsidRPr="006D52A9" w:rsidRDefault="005E2D24" w:rsidP="005E2D24">
      <w:pPr>
        <w:pStyle w:val="paragraph"/>
      </w:pPr>
      <w:r w:rsidRPr="006D52A9">
        <w:lastRenderedPageBreak/>
        <w:tab/>
        <w:t>(d)</w:t>
      </w:r>
      <w:r w:rsidRPr="006D52A9">
        <w:tab/>
        <w:t>the benefit is supplied on the basis of a prescription written</w:t>
      </w:r>
      <w:r w:rsidR="009569AA" w:rsidRPr="006D52A9">
        <w:t>:</w:t>
      </w:r>
    </w:p>
    <w:p w14:paraId="66C152DF" w14:textId="77777777" w:rsidR="009569AA" w:rsidRPr="006D52A9" w:rsidRDefault="009569AA" w:rsidP="009569AA">
      <w:pPr>
        <w:pStyle w:val="paragraphsub"/>
      </w:pPr>
      <w:r w:rsidRPr="006D52A9">
        <w:tab/>
        <w:t>(i)</w:t>
      </w:r>
      <w:r w:rsidRPr="006D52A9">
        <w:tab/>
        <w:t>by an authorised prescriber for the benefit; and</w:t>
      </w:r>
    </w:p>
    <w:p w14:paraId="21952ED9" w14:textId="77777777" w:rsidR="00C9293F" w:rsidRPr="006D52A9" w:rsidRDefault="00C9293F" w:rsidP="00C9293F">
      <w:pPr>
        <w:pStyle w:val="paragraphsub"/>
      </w:pPr>
      <w:r w:rsidRPr="006D52A9">
        <w:tab/>
        <w:t>(ii)</w:t>
      </w:r>
      <w:r w:rsidRPr="006D52A9">
        <w:tab/>
        <w:t xml:space="preserve">in circumstances mentioned in </w:t>
      </w:r>
      <w:r w:rsidR="006D52A9">
        <w:t>Schedule 3</w:t>
      </w:r>
      <w:r w:rsidRPr="006D52A9">
        <w:t xml:space="preserve"> for a circumstances code mentioned in the column headed “Circumstances” in Schedule 1 for the benefit.</w:t>
      </w:r>
    </w:p>
    <w:p w14:paraId="7332FBA4" w14:textId="77777777" w:rsidR="00635AD8" w:rsidRPr="006D52A9" w:rsidRDefault="008A3D12" w:rsidP="00E840CC">
      <w:pPr>
        <w:pStyle w:val="ActHead3"/>
        <w:pageBreakBefore/>
      </w:pPr>
      <w:bookmarkStart w:id="20" w:name="_Toc66968112"/>
      <w:r w:rsidRPr="00A757E4">
        <w:rPr>
          <w:rStyle w:val="CharDivNo"/>
        </w:rPr>
        <w:lastRenderedPageBreak/>
        <w:t>Division 2</w:t>
      </w:r>
      <w:r w:rsidR="00635AD8" w:rsidRPr="006D52A9">
        <w:t>—</w:t>
      </w:r>
      <w:r w:rsidR="00635AD8" w:rsidRPr="00A757E4">
        <w:rPr>
          <w:rStyle w:val="CharDivText"/>
        </w:rPr>
        <w:t xml:space="preserve">Prescribing </w:t>
      </w:r>
      <w:r w:rsidR="00824536" w:rsidRPr="00A757E4">
        <w:rPr>
          <w:rStyle w:val="CharDivText"/>
        </w:rPr>
        <w:t xml:space="preserve">of </w:t>
      </w:r>
      <w:r w:rsidR="00635AD8" w:rsidRPr="00A757E4">
        <w:rPr>
          <w:rStyle w:val="CharDivText"/>
        </w:rPr>
        <w:t>HSD pharmaceutical benefits</w:t>
      </w:r>
      <w:bookmarkEnd w:id="20"/>
    </w:p>
    <w:p w14:paraId="05ECC75B" w14:textId="77777777" w:rsidR="008D38CD" w:rsidRPr="006D52A9" w:rsidRDefault="005F407C" w:rsidP="008D38CD">
      <w:pPr>
        <w:pStyle w:val="ActHead5"/>
      </w:pPr>
      <w:bookmarkStart w:id="21" w:name="_Toc66968113"/>
      <w:r w:rsidRPr="00A757E4">
        <w:rPr>
          <w:rStyle w:val="CharSectno"/>
        </w:rPr>
        <w:t>14</w:t>
      </w:r>
      <w:r w:rsidR="008D38CD" w:rsidRPr="006D52A9">
        <w:t xml:space="preserve">  </w:t>
      </w:r>
      <w:r w:rsidR="004E7EA3" w:rsidRPr="006D52A9">
        <w:t>Prescribing of HSD pharmaceutical benefits—authorised prescribers</w:t>
      </w:r>
      <w:r w:rsidR="008D38CD" w:rsidRPr="006D52A9">
        <w:t xml:space="preserve"> (Act s 88</w:t>
      </w:r>
      <w:r w:rsidR="00292668" w:rsidRPr="006D52A9">
        <w:t>(1) and (1E)</w:t>
      </w:r>
      <w:r w:rsidR="008D38CD" w:rsidRPr="006D52A9">
        <w:t>)</w:t>
      </w:r>
      <w:bookmarkEnd w:id="21"/>
    </w:p>
    <w:p w14:paraId="67A89C70" w14:textId="77777777" w:rsidR="00936A9B" w:rsidRPr="006D52A9" w:rsidRDefault="00936A9B" w:rsidP="00936A9B">
      <w:pPr>
        <w:pStyle w:val="SubsectionHead"/>
      </w:pPr>
      <w:r w:rsidRPr="006D52A9">
        <w:t>Medical practitioners</w:t>
      </w:r>
    </w:p>
    <w:p w14:paraId="4A865F3C" w14:textId="77777777" w:rsidR="008D38CD" w:rsidRPr="006D52A9" w:rsidRDefault="008D38CD" w:rsidP="008D38CD">
      <w:pPr>
        <w:pStyle w:val="subsection"/>
      </w:pPr>
      <w:r w:rsidRPr="006D52A9">
        <w:tab/>
        <w:t>(1)</w:t>
      </w:r>
      <w:r w:rsidRPr="006D52A9">
        <w:tab/>
        <w:t xml:space="preserve">For the purposes of </w:t>
      </w:r>
      <w:r w:rsidR="000E2607" w:rsidRPr="006D52A9">
        <w:t>subsection 8</w:t>
      </w:r>
      <w:r w:rsidRPr="006D52A9">
        <w:t>8(1) of the Act applying to a medical practitioner who is an authorised prescriber for an HSD pharmaceutical benefit, the benefit is determined.</w:t>
      </w:r>
    </w:p>
    <w:p w14:paraId="200065E1" w14:textId="77777777" w:rsidR="00CF2479" w:rsidRPr="006D52A9" w:rsidRDefault="00CF2479" w:rsidP="00CF2479">
      <w:pPr>
        <w:pStyle w:val="subsection"/>
      </w:pPr>
      <w:r w:rsidRPr="006D52A9">
        <w:tab/>
        <w:t>(</w:t>
      </w:r>
      <w:r w:rsidR="0043096E" w:rsidRPr="006D52A9">
        <w:t>2</w:t>
      </w:r>
      <w:r w:rsidRPr="006D52A9">
        <w:t>)</w:t>
      </w:r>
      <w:r w:rsidRPr="006D52A9">
        <w:tab/>
        <w:t>Sub</w:t>
      </w:r>
      <w:r w:rsidR="00D66D59">
        <w:t>section 9</w:t>
      </w:r>
      <w:r w:rsidRPr="006D52A9">
        <w:t>(1A) of the Listing Instrument (which provides for the pharmaceutical benefits for which medical practitioners are authorised to write prescriptions) does not apply to an HSD pharmaceutical benefit other than a medication for the treatment of hepatitis C.</w:t>
      </w:r>
    </w:p>
    <w:p w14:paraId="4A511D7D" w14:textId="77777777" w:rsidR="00936A9B" w:rsidRPr="006D52A9" w:rsidRDefault="00936A9B" w:rsidP="00936A9B">
      <w:pPr>
        <w:pStyle w:val="SubsectionHead"/>
      </w:pPr>
      <w:r w:rsidRPr="006D52A9">
        <w:t>Authorised nurse practitioners</w:t>
      </w:r>
    </w:p>
    <w:p w14:paraId="24E51975" w14:textId="77777777" w:rsidR="008D38CD" w:rsidRPr="006D52A9" w:rsidRDefault="008D38CD" w:rsidP="008D38CD">
      <w:pPr>
        <w:pStyle w:val="subsection"/>
      </w:pPr>
      <w:r w:rsidRPr="006D52A9">
        <w:tab/>
        <w:t>(</w:t>
      </w:r>
      <w:r w:rsidR="0043096E" w:rsidRPr="006D52A9">
        <w:t>3</w:t>
      </w:r>
      <w:r w:rsidRPr="006D52A9">
        <w:t>)</w:t>
      </w:r>
      <w:r w:rsidRPr="006D52A9">
        <w:tab/>
        <w:t xml:space="preserve">For the purposes of </w:t>
      </w:r>
      <w:r w:rsidR="000E2607" w:rsidRPr="006D52A9">
        <w:t>subsection 8</w:t>
      </w:r>
      <w:r w:rsidRPr="006D52A9">
        <w:t>8(1E) of the Act applying to an authorised nurse practitioner who is an authorised prescriber for an HSD pharmaceutical benefit, the benefit is determined.</w:t>
      </w:r>
    </w:p>
    <w:p w14:paraId="040E5734" w14:textId="77777777" w:rsidR="0043096E" w:rsidRPr="006D52A9" w:rsidRDefault="0043096E" w:rsidP="0043096E">
      <w:pPr>
        <w:pStyle w:val="SubsectionHead"/>
      </w:pPr>
      <w:r w:rsidRPr="006D52A9">
        <w:t>“Supply only” pharmaceutical benefits</w:t>
      </w:r>
    </w:p>
    <w:p w14:paraId="3534141F" w14:textId="77777777" w:rsidR="0043096E" w:rsidRPr="006D52A9" w:rsidRDefault="0043096E" w:rsidP="0043096E">
      <w:pPr>
        <w:pStyle w:val="subsection"/>
      </w:pPr>
      <w:r w:rsidRPr="006D52A9">
        <w:tab/>
        <w:t>(4)</w:t>
      </w:r>
      <w:r w:rsidRPr="006D52A9">
        <w:tab/>
        <w:t xml:space="preserve">Subsections (1) and (3) do not apply to an HSD pharmaceutical benefit mentioned in Part 2 of </w:t>
      </w:r>
      <w:r w:rsidR="00942996" w:rsidRPr="006D52A9">
        <w:t>Schedule 1</w:t>
      </w:r>
      <w:r w:rsidRPr="006D52A9">
        <w:t xml:space="preserve"> to the Listing Instrument (ready</w:t>
      </w:r>
      <w:r w:rsidR="0026100E">
        <w:noBreakHyphen/>
      </w:r>
      <w:r w:rsidRPr="006D52A9">
        <w:t>prepared pharmaceutical benefits for supply only).</w:t>
      </w:r>
    </w:p>
    <w:p w14:paraId="29F4C5E0" w14:textId="77777777" w:rsidR="002E6E77" w:rsidRPr="006D52A9" w:rsidRDefault="005F407C" w:rsidP="002E6E77">
      <w:pPr>
        <w:pStyle w:val="ActHead5"/>
      </w:pPr>
      <w:bookmarkStart w:id="22" w:name="_Toc66968114"/>
      <w:r w:rsidRPr="00A757E4">
        <w:rPr>
          <w:rStyle w:val="CharSectno"/>
        </w:rPr>
        <w:t>15</w:t>
      </w:r>
      <w:r w:rsidR="002E6E77" w:rsidRPr="006D52A9">
        <w:t xml:space="preserve">  Prescription circumstances</w:t>
      </w:r>
      <w:r w:rsidR="00305234" w:rsidRPr="006D52A9">
        <w:t>—general</w:t>
      </w:r>
      <w:r w:rsidR="002E6E77" w:rsidRPr="006D52A9">
        <w:t xml:space="preserve"> (Act s</w:t>
      </w:r>
      <w:r w:rsidR="00024CED" w:rsidRPr="006D52A9">
        <w:t xml:space="preserve"> </w:t>
      </w:r>
      <w:r w:rsidR="002E6E77" w:rsidRPr="006D52A9">
        <w:t>85(7)</w:t>
      </w:r>
      <w:r w:rsidR="00292668" w:rsidRPr="006D52A9">
        <w:t>(a) and (b)</w:t>
      </w:r>
      <w:r w:rsidR="002E6E77" w:rsidRPr="006D52A9">
        <w:t>)</w:t>
      </w:r>
      <w:bookmarkEnd w:id="22"/>
    </w:p>
    <w:p w14:paraId="2E57E955" w14:textId="77777777" w:rsidR="009D5061" w:rsidRPr="006D52A9" w:rsidRDefault="00C336A8" w:rsidP="002E6E77">
      <w:pPr>
        <w:pStyle w:val="subsection"/>
      </w:pPr>
      <w:r w:rsidRPr="006D52A9">
        <w:tab/>
        <w:t>(1</w:t>
      </w:r>
      <w:r w:rsidR="002E6E77" w:rsidRPr="006D52A9">
        <w:t>)</w:t>
      </w:r>
      <w:r w:rsidR="002E6E77" w:rsidRPr="006D52A9">
        <w:tab/>
      </w:r>
      <w:r w:rsidR="009D5061" w:rsidRPr="006D52A9">
        <w:t xml:space="preserve">For the purposes of paragraph 85(7)(a) of the Act, an HSD pharmaceutical benefit is a relevant pharmaceutical benefit for the purposes of </w:t>
      </w:r>
      <w:r w:rsidR="000E2607" w:rsidRPr="006D52A9">
        <w:t>section 8</w:t>
      </w:r>
      <w:r w:rsidR="009D5061" w:rsidRPr="006D52A9">
        <w:t>8A of the Act.</w:t>
      </w:r>
    </w:p>
    <w:p w14:paraId="7D9F3C3D" w14:textId="77777777" w:rsidR="002E6E77" w:rsidRPr="006D52A9" w:rsidRDefault="009D5061" w:rsidP="002E6E77">
      <w:pPr>
        <w:pStyle w:val="subsection"/>
      </w:pPr>
      <w:r w:rsidRPr="006D52A9">
        <w:tab/>
        <w:t>(2)</w:t>
      </w:r>
      <w:r w:rsidRPr="006D52A9">
        <w:tab/>
      </w:r>
      <w:r w:rsidR="002E6E77" w:rsidRPr="006D52A9">
        <w:t xml:space="preserve">For the purposes of paragraph 85(7)(b) of the Act, </w:t>
      </w:r>
      <w:r w:rsidR="00C63623" w:rsidRPr="006D52A9">
        <w:t xml:space="preserve">the circumstances in which </w:t>
      </w:r>
      <w:r w:rsidR="00BF3EBC" w:rsidRPr="006D52A9">
        <w:t xml:space="preserve">a prescription for a special arrangement supply of </w:t>
      </w:r>
      <w:r w:rsidR="00401B8F" w:rsidRPr="006D52A9">
        <w:t xml:space="preserve">an HSD pharmaceutical </w:t>
      </w:r>
      <w:r w:rsidR="00BF3EBC" w:rsidRPr="006D52A9">
        <w:t>benefit may be written</w:t>
      </w:r>
      <w:r w:rsidR="00C63623" w:rsidRPr="006D52A9">
        <w:t xml:space="preserve"> are </w:t>
      </w:r>
      <w:r w:rsidR="00BF3EBC" w:rsidRPr="006D52A9">
        <w:t xml:space="preserve">the circumstances mentioned in </w:t>
      </w:r>
      <w:r w:rsidR="006D52A9">
        <w:t>Schedule 3</w:t>
      </w:r>
      <w:r w:rsidR="00024CED" w:rsidRPr="006D52A9">
        <w:t xml:space="preserve"> </w:t>
      </w:r>
      <w:r w:rsidR="006E17AD" w:rsidRPr="006D52A9">
        <w:t>to</w:t>
      </w:r>
      <w:r w:rsidR="00024CED" w:rsidRPr="006D52A9">
        <w:t xml:space="preserve"> this instrument</w:t>
      </w:r>
      <w:r w:rsidR="00BF3EBC" w:rsidRPr="006D52A9">
        <w:t xml:space="preserve"> for a circumstances code </w:t>
      </w:r>
      <w:r w:rsidR="00BB21E1" w:rsidRPr="006D52A9">
        <w:t xml:space="preserve">mentioned in the column </w:t>
      </w:r>
      <w:r w:rsidR="00024CED" w:rsidRPr="006D52A9">
        <w:t xml:space="preserve">headed “Circumstances” </w:t>
      </w:r>
      <w:r w:rsidR="00BB21E1" w:rsidRPr="006D52A9">
        <w:t xml:space="preserve">in </w:t>
      </w:r>
      <w:r w:rsidR="00942996" w:rsidRPr="006D52A9">
        <w:t>Schedule 1</w:t>
      </w:r>
      <w:r w:rsidR="00024CED" w:rsidRPr="006D52A9">
        <w:t xml:space="preserve"> </w:t>
      </w:r>
      <w:r w:rsidR="006E17AD" w:rsidRPr="006D52A9">
        <w:t>to</w:t>
      </w:r>
      <w:r w:rsidR="00024CED" w:rsidRPr="006D52A9">
        <w:t xml:space="preserve"> this instrument</w:t>
      </w:r>
      <w:r w:rsidR="00BB21E1" w:rsidRPr="006D52A9">
        <w:t xml:space="preserve"> for</w:t>
      </w:r>
      <w:r w:rsidR="00401B8F" w:rsidRPr="006D52A9">
        <w:t xml:space="preserve"> the </w:t>
      </w:r>
      <w:r w:rsidR="00BF3EBC" w:rsidRPr="006D52A9">
        <w:t>benefit</w:t>
      </w:r>
      <w:r w:rsidR="00DE25A7" w:rsidRPr="006D52A9">
        <w:t>.</w:t>
      </w:r>
    </w:p>
    <w:p w14:paraId="60D6F29C" w14:textId="77777777" w:rsidR="00C336A8" w:rsidRPr="006D52A9" w:rsidRDefault="00C336A8" w:rsidP="002E6E77">
      <w:pPr>
        <w:pStyle w:val="subsection"/>
      </w:pPr>
      <w:r w:rsidRPr="006D52A9">
        <w:tab/>
        <w:t>(</w:t>
      </w:r>
      <w:r w:rsidR="009D5061" w:rsidRPr="006D52A9">
        <w:t>3</w:t>
      </w:r>
      <w:r w:rsidRPr="006D52A9">
        <w:t>)</w:t>
      </w:r>
      <w:r w:rsidRPr="006D52A9">
        <w:tab/>
      </w:r>
      <w:r w:rsidR="00CA40E6" w:rsidRPr="006D52A9">
        <w:t xml:space="preserve">This section applies in addition to </w:t>
      </w:r>
      <w:r w:rsidR="00D66D59">
        <w:t>section 1</w:t>
      </w:r>
      <w:r w:rsidR="00CA40E6" w:rsidRPr="006D52A9">
        <w:t>0 of the Listing Instrument.</w:t>
      </w:r>
    </w:p>
    <w:p w14:paraId="31262DA7" w14:textId="77777777" w:rsidR="002E6E77" w:rsidRPr="006D52A9" w:rsidRDefault="00F342EA" w:rsidP="002E6E77">
      <w:pPr>
        <w:pStyle w:val="subsection"/>
      </w:pPr>
      <w:r w:rsidRPr="006D52A9">
        <w:tab/>
        <w:t>(4</w:t>
      </w:r>
      <w:r w:rsidR="002E6E77" w:rsidRPr="006D52A9">
        <w:t>)</w:t>
      </w:r>
      <w:r w:rsidR="002E6E77" w:rsidRPr="006D52A9">
        <w:tab/>
        <w:t xml:space="preserve">This section has effect subject to </w:t>
      </w:r>
      <w:r w:rsidR="00D66D59">
        <w:t>section 1</w:t>
      </w:r>
      <w:r w:rsidR="005F407C" w:rsidRPr="006D52A9">
        <w:t>7</w:t>
      </w:r>
      <w:r w:rsidR="002E6E77" w:rsidRPr="006D52A9">
        <w:t xml:space="preserve"> (which temporarily modifies the circu</w:t>
      </w:r>
      <w:r w:rsidR="0077514D" w:rsidRPr="006D52A9">
        <w:t xml:space="preserve">mstances mentioned in </w:t>
      </w:r>
      <w:r w:rsidR="006D52A9">
        <w:t>Schedule 3</w:t>
      </w:r>
      <w:r w:rsidR="002E6E77" w:rsidRPr="006D52A9">
        <w:t xml:space="preserve"> for circumstances codes for HSD pharmaceutical benefits that are pharmaceutical items described in </w:t>
      </w:r>
      <w:r w:rsidR="007008C3" w:rsidRPr="006D52A9">
        <w:t>Schedule 4</w:t>
      </w:r>
      <w:r w:rsidR="002E6E77" w:rsidRPr="006D52A9">
        <w:t>).</w:t>
      </w:r>
    </w:p>
    <w:p w14:paraId="20B2377C" w14:textId="77777777" w:rsidR="00C14EA1" w:rsidRPr="006D52A9" w:rsidRDefault="005F407C" w:rsidP="00C14EA1">
      <w:pPr>
        <w:pStyle w:val="ActHead5"/>
      </w:pPr>
      <w:bookmarkStart w:id="23" w:name="_Toc66968115"/>
      <w:r w:rsidRPr="00A757E4">
        <w:rPr>
          <w:rStyle w:val="CharSectno"/>
        </w:rPr>
        <w:t>16</w:t>
      </w:r>
      <w:r w:rsidR="00C14EA1" w:rsidRPr="006D52A9">
        <w:t xml:space="preserve">  </w:t>
      </w:r>
      <w:r w:rsidR="00305234" w:rsidRPr="006D52A9">
        <w:t>Prescription circumstances—authority r</w:t>
      </w:r>
      <w:r w:rsidR="00C14EA1" w:rsidRPr="006D52A9">
        <w:t>equired procedures</w:t>
      </w:r>
      <w:bookmarkEnd w:id="23"/>
    </w:p>
    <w:p w14:paraId="70076563" w14:textId="77777777" w:rsidR="00C14EA1" w:rsidRPr="006D52A9" w:rsidRDefault="00C14EA1" w:rsidP="00C14EA1">
      <w:pPr>
        <w:pStyle w:val="subsection"/>
      </w:pPr>
      <w:r w:rsidRPr="006D52A9">
        <w:rPr>
          <w:szCs w:val="24"/>
        </w:rPr>
        <w:tab/>
      </w:r>
      <w:r w:rsidR="00305234" w:rsidRPr="006D52A9">
        <w:rPr>
          <w:szCs w:val="24"/>
        </w:rPr>
        <w:t>(1)</w:t>
      </w:r>
      <w:r w:rsidRPr="006D52A9">
        <w:rPr>
          <w:szCs w:val="24"/>
        </w:rPr>
        <w:tab/>
      </w:r>
      <w:r w:rsidR="00305234" w:rsidRPr="006D52A9">
        <w:rPr>
          <w:szCs w:val="24"/>
        </w:rPr>
        <w:t>This section applies</w:t>
      </w:r>
      <w:r w:rsidR="00D5394B" w:rsidRPr="006D52A9">
        <w:t xml:space="preserve"> </w:t>
      </w:r>
      <w:r w:rsidRPr="006D52A9">
        <w:t>to</w:t>
      </w:r>
      <w:r w:rsidR="008D551D" w:rsidRPr="006D52A9">
        <w:t xml:space="preserve"> </w:t>
      </w:r>
      <w:r w:rsidR="0010581E" w:rsidRPr="006D52A9">
        <w:t>a</w:t>
      </w:r>
      <w:r w:rsidR="008D551D" w:rsidRPr="006D52A9">
        <w:t xml:space="preserve"> prescription for a special arrangement supply of</w:t>
      </w:r>
      <w:r w:rsidRPr="006D52A9">
        <w:t xml:space="preserve"> an HSD pharmaceutical benefit if the circumstances mentioned in </w:t>
      </w:r>
      <w:r w:rsidR="006D52A9">
        <w:t>Schedule 3</w:t>
      </w:r>
      <w:r w:rsidR="00033CD5" w:rsidRPr="006D52A9">
        <w:t xml:space="preserve"> </w:t>
      </w:r>
      <w:r w:rsidR="00B555CD" w:rsidRPr="006D52A9">
        <w:t xml:space="preserve">in which the </w:t>
      </w:r>
      <w:r w:rsidR="00033CD5" w:rsidRPr="006D52A9">
        <w:t>prescription</w:t>
      </w:r>
      <w:r w:rsidR="00B555CD" w:rsidRPr="006D52A9">
        <w:t xml:space="preserve"> is written</w:t>
      </w:r>
      <w:r w:rsidR="00033CD5" w:rsidRPr="006D52A9">
        <w:t xml:space="preserve"> </w:t>
      </w:r>
      <w:r w:rsidRPr="006D52A9">
        <w:t>include:</w:t>
      </w:r>
    </w:p>
    <w:p w14:paraId="66C982E5" w14:textId="77777777" w:rsidR="00C14EA1" w:rsidRPr="006D52A9" w:rsidRDefault="00C14EA1" w:rsidP="00C14EA1">
      <w:pPr>
        <w:pStyle w:val="paragraph"/>
      </w:pPr>
      <w:r w:rsidRPr="006D52A9">
        <w:tab/>
        <w:t>(a)</w:t>
      </w:r>
      <w:r w:rsidRPr="006D52A9">
        <w:tab/>
        <w:t>Compliance with Authority Required procedures;</w:t>
      </w:r>
      <w:r w:rsidR="00604421" w:rsidRPr="006D52A9">
        <w:t xml:space="preserve"> or</w:t>
      </w:r>
    </w:p>
    <w:p w14:paraId="5BAF75D0" w14:textId="77777777" w:rsidR="00C14EA1" w:rsidRPr="006D52A9" w:rsidRDefault="00C14EA1" w:rsidP="00C14EA1">
      <w:pPr>
        <w:pStyle w:val="paragraph"/>
      </w:pPr>
      <w:r w:rsidRPr="006D52A9">
        <w:lastRenderedPageBreak/>
        <w:tab/>
        <w:t>(b)</w:t>
      </w:r>
      <w:r w:rsidRPr="006D52A9">
        <w:tab/>
        <w:t>Compliance with Writte</w:t>
      </w:r>
      <w:r w:rsidR="005A4943" w:rsidRPr="006D52A9">
        <w:t>n Authority Required procedures.</w:t>
      </w:r>
    </w:p>
    <w:p w14:paraId="7547989B" w14:textId="77777777" w:rsidR="00087D47" w:rsidRPr="006D52A9" w:rsidRDefault="00305234" w:rsidP="00305234">
      <w:pPr>
        <w:pStyle w:val="subsection"/>
      </w:pPr>
      <w:r w:rsidRPr="006D52A9">
        <w:tab/>
        <w:t>(2)</w:t>
      </w:r>
      <w:r w:rsidRPr="006D52A9">
        <w:tab/>
      </w:r>
      <w:r w:rsidR="007008C3" w:rsidRPr="006D52A9">
        <w:t>Sections 1</w:t>
      </w:r>
      <w:r w:rsidR="000645BB" w:rsidRPr="006D52A9">
        <w:t>1</w:t>
      </w:r>
      <w:r w:rsidR="00FC7C88" w:rsidRPr="006D52A9">
        <w:t xml:space="preserve"> </w:t>
      </w:r>
      <w:r w:rsidR="00554842" w:rsidRPr="006D52A9">
        <w:t xml:space="preserve">to 14 of the Listing Instrument apply to the </w:t>
      </w:r>
      <w:r w:rsidR="0077212B" w:rsidRPr="006D52A9">
        <w:t>prescription</w:t>
      </w:r>
      <w:r w:rsidR="00554842" w:rsidRPr="006D52A9">
        <w:t xml:space="preserve"> as if</w:t>
      </w:r>
      <w:r w:rsidR="00087D47" w:rsidRPr="006D52A9">
        <w:t>:</w:t>
      </w:r>
    </w:p>
    <w:p w14:paraId="56B66FAA" w14:textId="77777777" w:rsidR="00305234" w:rsidRPr="006D52A9" w:rsidRDefault="00087D47" w:rsidP="00087D47">
      <w:pPr>
        <w:pStyle w:val="paragraph"/>
      </w:pPr>
      <w:r w:rsidRPr="006D52A9">
        <w:tab/>
        <w:t>(a)</w:t>
      </w:r>
      <w:r w:rsidRPr="006D52A9">
        <w:tab/>
      </w:r>
      <w:r w:rsidR="00554842" w:rsidRPr="006D52A9">
        <w:t xml:space="preserve">a reference in those </w:t>
      </w:r>
      <w:r w:rsidR="00FC7C88" w:rsidRPr="006D52A9">
        <w:t xml:space="preserve">provisions </w:t>
      </w:r>
      <w:r w:rsidR="00554842" w:rsidRPr="006D52A9">
        <w:t>to “</w:t>
      </w:r>
      <w:r w:rsidR="007008C3" w:rsidRPr="006D52A9">
        <w:t>Part 1</w:t>
      </w:r>
      <w:r w:rsidR="00554842" w:rsidRPr="006D52A9">
        <w:t xml:space="preserve"> of </w:t>
      </w:r>
      <w:r w:rsidR="007008C3" w:rsidRPr="006D52A9">
        <w:t>Schedule 4</w:t>
      </w:r>
      <w:r w:rsidR="00554842" w:rsidRPr="006D52A9">
        <w:t>” or “</w:t>
      </w:r>
      <w:r w:rsidR="007008C3" w:rsidRPr="006D52A9">
        <w:t>Schedule 4</w:t>
      </w:r>
      <w:r w:rsidR="00554842" w:rsidRPr="006D52A9">
        <w:t>” were a reference t</w:t>
      </w:r>
      <w:r w:rsidRPr="006D52A9">
        <w:t xml:space="preserve">o </w:t>
      </w:r>
      <w:r w:rsidR="006D52A9">
        <w:t>Schedule 3</w:t>
      </w:r>
      <w:r w:rsidRPr="006D52A9">
        <w:t xml:space="preserve"> to this instrument; and</w:t>
      </w:r>
    </w:p>
    <w:p w14:paraId="2FE6A241" w14:textId="77777777" w:rsidR="00087D47" w:rsidRPr="006D52A9" w:rsidRDefault="00087D47" w:rsidP="00087D47">
      <w:pPr>
        <w:pStyle w:val="paragraph"/>
      </w:pPr>
      <w:r w:rsidRPr="006D52A9">
        <w:tab/>
        <w:t>(b)</w:t>
      </w:r>
      <w:r w:rsidRPr="006D52A9">
        <w:tab/>
        <w:t>a reference in those provisions to an “authorised prescriber” were a reference to an authorised prescriber within the meaning of this instrument.</w:t>
      </w:r>
    </w:p>
    <w:p w14:paraId="3DEB54C1" w14:textId="77777777" w:rsidR="009F253C" w:rsidRPr="006D52A9" w:rsidRDefault="005F407C" w:rsidP="009F253C">
      <w:pPr>
        <w:pStyle w:val="ActHead5"/>
      </w:pPr>
      <w:bookmarkStart w:id="24" w:name="_Toc66968116"/>
      <w:r w:rsidRPr="00A757E4">
        <w:rPr>
          <w:rStyle w:val="CharSectno"/>
        </w:rPr>
        <w:t>17</w:t>
      </w:r>
      <w:r w:rsidR="009F253C" w:rsidRPr="006D52A9">
        <w:t xml:space="preserve">  </w:t>
      </w:r>
      <w:r w:rsidR="00D41A1E" w:rsidRPr="006D52A9">
        <w:t>P</w:t>
      </w:r>
      <w:r w:rsidR="009F253C" w:rsidRPr="006D52A9">
        <w:t>rescription circumstances</w:t>
      </w:r>
      <w:r w:rsidR="00D41A1E" w:rsidRPr="006D52A9">
        <w:t>—modifications</w:t>
      </w:r>
      <w:r w:rsidR="009F253C" w:rsidRPr="006D52A9">
        <w:t xml:space="preserve"> during COVID</w:t>
      </w:r>
      <w:r w:rsidR="0026100E">
        <w:noBreakHyphen/>
      </w:r>
      <w:r w:rsidR="009F253C" w:rsidRPr="006D52A9">
        <w:t>19 pandemi</w:t>
      </w:r>
      <w:r w:rsidR="00A93621" w:rsidRPr="006D52A9">
        <w:t>c</w:t>
      </w:r>
      <w:r w:rsidR="009F253C" w:rsidRPr="006D52A9">
        <w:t xml:space="preserve"> (Act s 85(7)(a) and (b))</w:t>
      </w:r>
      <w:bookmarkEnd w:id="24"/>
    </w:p>
    <w:p w14:paraId="081F5259" w14:textId="77777777" w:rsidR="009F253C" w:rsidRPr="006D52A9" w:rsidRDefault="009F253C" w:rsidP="009F253C">
      <w:pPr>
        <w:pStyle w:val="subsection"/>
      </w:pPr>
      <w:r w:rsidRPr="006D52A9">
        <w:tab/>
        <w:t>(1)</w:t>
      </w:r>
      <w:r w:rsidRPr="006D52A9">
        <w:tab/>
        <w:t xml:space="preserve">This section affects the circumstances in which a prescription may be written by an authorised prescriber for the supply of an HSD pharmaceutical benefit that is a listed brand of a pharmaceutical item described in </w:t>
      </w:r>
      <w:r w:rsidR="007008C3" w:rsidRPr="006D52A9">
        <w:t>Schedule 4</w:t>
      </w:r>
      <w:r w:rsidRPr="006D52A9">
        <w:t xml:space="preserve"> to a person (the </w:t>
      </w:r>
      <w:r w:rsidRPr="006D52A9">
        <w:rPr>
          <w:b/>
          <w:i/>
        </w:rPr>
        <w:t>patient</w:t>
      </w:r>
      <w:r w:rsidRPr="006D52A9">
        <w:t>) if the authorised prescriber is satisfied the patient has, in accordance with this instrument, already been supplied with the benefit on the basis of a prescription:</w:t>
      </w:r>
    </w:p>
    <w:p w14:paraId="34A6D8D4" w14:textId="77777777" w:rsidR="009F253C" w:rsidRPr="006D52A9" w:rsidRDefault="009F253C" w:rsidP="009F253C">
      <w:pPr>
        <w:pStyle w:val="paragraph"/>
      </w:pPr>
      <w:r w:rsidRPr="006D52A9">
        <w:tab/>
        <w:t>(a)</w:t>
      </w:r>
      <w:r w:rsidRPr="006D52A9">
        <w:tab/>
        <w:t xml:space="preserve">written, on or after </w:t>
      </w:r>
      <w:r w:rsidR="008A3D12" w:rsidRPr="006D52A9">
        <w:t>1 April</w:t>
      </w:r>
      <w:r w:rsidRPr="006D52A9">
        <w:t xml:space="preserve"> 2021, in circumstances determined by </w:t>
      </w:r>
      <w:r w:rsidR="006D52A9">
        <w:t>sub</w:t>
      </w:r>
      <w:r w:rsidR="00D66D59">
        <w:t>section 1</w:t>
      </w:r>
      <w:r w:rsidRPr="006D52A9">
        <w:t>0(1) of the Listing Instrument unaffected by this section; or</w:t>
      </w:r>
    </w:p>
    <w:p w14:paraId="7FD91534" w14:textId="77777777" w:rsidR="009F253C" w:rsidRPr="006D52A9" w:rsidRDefault="009F253C" w:rsidP="009F253C">
      <w:pPr>
        <w:pStyle w:val="paragraph"/>
      </w:pPr>
      <w:r w:rsidRPr="006D52A9">
        <w:tab/>
        <w:t>(b)</w:t>
      </w:r>
      <w:r w:rsidRPr="006D52A9">
        <w:tab/>
        <w:t xml:space="preserve">written, before </w:t>
      </w:r>
      <w:r w:rsidR="008A3D12" w:rsidRPr="006D52A9">
        <w:t>1 April</w:t>
      </w:r>
      <w:r w:rsidRPr="006D52A9">
        <w:t xml:space="preserve"> 2021, in circumstances determined by </w:t>
      </w:r>
      <w:r w:rsidR="000E2607" w:rsidRPr="006D52A9">
        <w:t>sub</w:t>
      </w:r>
      <w:r w:rsidR="00D66D59">
        <w:t>section 9</w:t>
      </w:r>
      <w:r w:rsidRPr="006D52A9">
        <w:t xml:space="preserve">(1) of the </w:t>
      </w:r>
      <w:r w:rsidRPr="006D52A9">
        <w:rPr>
          <w:i/>
        </w:rPr>
        <w:t>National Health (Highly specialised drugs program) Special Arrangement 2010</w:t>
      </w:r>
      <w:r w:rsidRPr="006D52A9">
        <w:t xml:space="preserve"> </w:t>
      </w:r>
      <w:r w:rsidR="00E54778" w:rsidRPr="006D52A9">
        <w:t xml:space="preserve">(PB 116 of 2010) </w:t>
      </w:r>
      <w:r w:rsidRPr="006D52A9">
        <w:t xml:space="preserve">unaffected by </w:t>
      </w:r>
      <w:r w:rsidR="00D66D59">
        <w:t>section 9</w:t>
      </w:r>
      <w:r w:rsidRPr="006D52A9">
        <w:t>AA of that instrument.</w:t>
      </w:r>
    </w:p>
    <w:p w14:paraId="460F6413" w14:textId="77777777" w:rsidR="009F253C" w:rsidRPr="006D52A9" w:rsidRDefault="009F253C" w:rsidP="009F253C">
      <w:pPr>
        <w:pStyle w:val="subsection"/>
      </w:pPr>
      <w:r w:rsidRPr="006D52A9">
        <w:tab/>
        <w:t>(2)</w:t>
      </w:r>
      <w:r w:rsidRPr="006D52A9">
        <w:tab/>
        <w:t xml:space="preserve">For the purposes of </w:t>
      </w:r>
      <w:r w:rsidR="006D52A9">
        <w:t>sub</w:t>
      </w:r>
      <w:r w:rsidR="00D66D59">
        <w:t>section 1</w:t>
      </w:r>
      <w:r w:rsidRPr="006D52A9">
        <w:t>0(1) of the Listing Instrument</w:t>
      </w:r>
      <w:r w:rsidR="00AA0360" w:rsidRPr="006D52A9">
        <w:t xml:space="preserve"> and </w:t>
      </w:r>
      <w:r w:rsidR="006D52A9">
        <w:t>sub</w:t>
      </w:r>
      <w:r w:rsidR="00D66D59">
        <w:t>section 1</w:t>
      </w:r>
      <w:r w:rsidR="00AA0360" w:rsidRPr="006D52A9">
        <w:t>5(2) of this instrument</w:t>
      </w:r>
      <w:r w:rsidRPr="006D52A9">
        <w:t xml:space="preserve">, </w:t>
      </w:r>
      <w:r w:rsidR="007008C3" w:rsidRPr="006D52A9">
        <w:t>Part 1</w:t>
      </w:r>
      <w:r w:rsidRPr="006D52A9">
        <w:t xml:space="preserve"> of </w:t>
      </w:r>
      <w:r w:rsidR="007008C3" w:rsidRPr="006D52A9">
        <w:t>Schedule 4</w:t>
      </w:r>
      <w:r w:rsidRPr="006D52A9">
        <w:t xml:space="preserve"> to the Listing Instrument</w:t>
      </w:r>
      <w:r w:rsidR="00AA0360" w:rsidRPr="006D52A9">
        <w:t xml:space="preserve"> and </w:t>
      </w:r>
      <w:r w:rsidR="006D52A9">
        <w:t>Schedule 3</w:t>
      </w:r>
      <w:r w:rsidR="00AA0360" w:rsidRPr="006D52A9">
        <w:t xml:space="preserve"> to this instrument</w:t>
      </w:r>
      <w:r w:rsidRPr="006D52A9">
        <w:t xml:space="preserve"> </w:t>
      </w:r>
      <w:r w:rsidR="00AA0360" w:rsidRPr="006D52A9">
        <w:t xml:space="preserve">have </w:t>
      </w:r>
      <w:r w:rsidRPr="006D52A9">
        <w:t>effect as if each circumstances code for the HSD pharmaceutical benefit:</w:t>
      </w:r>
    </w:p>
    <w:p w14:paraId="577F143A" w14:textId="77777777" w:rsidR="009F253C" w:rsidRPr="006D52A9" w:rsidRDefault="009F253C" w:rsidP="009F253C">
      <w:pPr>
        <w:pStyle w:val="paragraph"/>
      </w:pPr>
      <w:r w:rsidRPr="006D52A9">
        <w:tab/>
        <w:t>(a)</w:t>
      </w:r>
      <w:r w:rsidRPr="006D52A9">
        <w:tab/>
        <w:t>did not mention any circumstance that, having regard to the patient’s situation and the state of affairs associated with precautions against the spread of the coronavirus known as COVID</w:t>
      </w:r>
      <w:r w:rsidR="0026100E">
        <w:noBreakHyphen/>
      </w:r>
      <w:r w:rsidRPr="006D52A9">
        <w:t>19, it is not reasonably practicable to establish in relation to the patient; and</w:t>
      </w:r>
    </w:p>
    <w:p w14:paraId="4137E16B" w14:textId="77777777" w:rsidR="009F253C" w:rsidRPr="006D52A9" w:rsidRDefault="009F253C" w:rsidP="009F253C">
      <w:pPr>
        <w:pStyle w:val="paragraph"/>
      </w:pPr>
      <w:r w:rsidRPr="006D52A9">
        <w:tab/>
        <w:t>(b)</w:t>
      </w:r>
      <w:r w:rsidRPr="006D52A9">
        <w:tab/>
        <w:t xml:space="preserve">mentioned the circumstance that the authorised prescriber keeps a written record of the reason it is not practicable to establish the circumstance described in </w:t>
      </w:r>
      <w:r w:rsidR="007008C3" w:rsidRPr="006D52A9">
        <w:t>paragraph (</w:t>
      </w:r>
      <w:r w:rsidRPr="006D52A9">
        <w:t>a).</w:t>
      </w:r>
    </w:p>
    <w:p w14:paraId="17CF9260" w14:textId="77777777" w:rsidR="009F253C" w:rsidRPr="006D52A9" w:rsidRDefault="009F253C" w:rsidP="009F253C">
      <w:pPr>
        <w:pStyle w:val="subsection"/>
      </w:pPr>
      <w:r w:rsidRPr="006D52A9">
        <w:tab/>
        <w:t>(3)</w:t>
      </w:r>
      <w:r w:rsidRPr="006D52A9">
        <w:tab/>
        <w:t>This section</w:t>
      </w:r>
      <w:r w:rsidR="00261428" w:rsidRPr="006D52A9">
        <w:t xml:space="preserve">, </w:t>
      </w:r>
      <w:r w:rsidR="006D52A9">
        <w:t>sub</w:t>
      </w:r>
      <w:r w:rsidR="00D66D59">
        <w:t>section 1</w:t>
      </w:r>
      <w:r w:rsidR="00261428" w:rsidRPr="006D52A9">
        <w:t>5(4)</w:t>
      </w:r>
      <w:r w:rsidRPr="006D52A9">
        <w:t xml:space="preserve"> and </w:t>
      </w:r>
      <w:r w:rsidR="007008C3" w:rsidRPr="006D52A9">
        <w:t>Schedule 4</w:t>
      </w:r>
      <w:r w:rsidR="00024CED" w:rsidRPr="006D52A9">
        <w:t xml:space="preserve"> </w:t>
      </w:r>
      <w:r w:rsidR="006E17AD" w:rsidRPr="006D52A9">
        <w:t>to</w:t>
      </w:r>
      <w:r w:rsidR="00024CED" w:rsidRPr="006D52A9">
        <w:t xml:space="preserve"> this instrument</w:t>
      </w:r>
      <w:r w:rsidRPr="006D52A9">
        <w:t xml:space="preserve"> are repealed at the start of </w:t>
      </w:r>
      <w:r w:rsidR="003E082A" w:rsidRPr="006D52A9">
        <w:t>1 January</w:t>
      </w:r>
      <w:r w:rsidR="0026774A" w:rsidRPr="006D52A9">
        <w:t xml:space="preserve"> 2022</w:t>
      </w:r>
      <w:r w:rsidRPr="006D52A9">
        <w:t>.</w:t>
      </w:r>
    </w:p>
    <w:p w14:paraId="112F31D0" w14:textId="77777777" w:rsidR="00C6161E" w:rsidRPr="006D52A9" w:rsidRDefault="005F407C" w:rsidP="0032007B">
      <w:pPr>
        <w:pStyle w:val="ActHead5"/>
      </w:pPr>
      <w:bookmarkStart w:id="25" w:name="_Toc66968117"/>
      <w:r w:rsidRPr="00A757E4">
        <w:rPr>
          <w:rStyle w:val="CharSectno"/>
        </w:rPr>
        <w:t>18</w:t>
      </w:r>
      <w:r w:rsidR="0032007B" w:rsidRPr="006D52A9">
        <w:t xml:space="preserve">  </w:t>
      </w:r>
      <w:r w:rsidR="00C6161E" w:rsidRPr="006D52A9">
        <w:t>W</w:t>
      </w:r>
      <w:r w:rsidR="005068B5" w:rsidRPr="006D52A9">
        <w:t xml:space="preserve">hen medication chart </w:t>
      </w:r>
      <w:r w:rsidR="0032007B" w:rsidRPr="006D52A9">
        <w:t>prescriptions</w:t>
      </w:r>
      <w:r w:rsidR="005068B5" w:rsidRPr="006D52A9">
        <w:t xml:space="preserve"> not to be written</w:t>
      </w:r>
      <w:bookmarkEnd w:id="25"/>
    </w:p>
    <w:p w14:paraId="5A96B03C" w14:textId="77777777" w:rsidR="00C6161E" w:rsidRPr="006D52A9" w:rsidRDefault="00C6161E" w:rsidP="00C6161E">
      <w:pPr>
        <w:pStyle w:val="SubsectionHead"/>
      </w:pPr>
      <w:r w:rsidRPr="006D52A9">
        <w:rPr>
          <w:szCs w:val="24"/>
        </w:rPr>
        <w:t>HSD pharmaceutical benefits that have CAR drugs</w:t>
      </w:r>
    </w:p>
    <w:p w14:paraId="61F3C610" w14:textId="77777777" w:rsidR="00C6161E" w:rsidRPr="006D52A9" w:rsidRDefault="00C6161E" w:rsidP="00C6161E">
      <w:pPr>
        <w:pStyle w:val="subsection"/>
      </w:pPr>
      <w:r w:rsidRPr="006D52A9">
        <w:rPr>
          <w:szCs w:val="24"/>
        </w:rPr>
        <w:tab/>
        <w:t>(1)</w:t>
      </w:r>
      <w:r w:rsidRPr="006D52A9">
        <w:rPr>
          <w:szCs w:val="24"/>
        </w:rPr>
        <w:tab/>
      </w:r>
      <w:r w:rsidR="000B6A22" w:rsidRPr="006D52A9">
        <w:rPr>
          <w:szCs w:val="24"/>
        </w:rPr>
        <w:t>Subparagraph 3</w:t>
      </w:r>
      <w:r w:rsidRPr="006D52A9">
        <w:rPr>
          <w:szCs w:val="24"/>
        </w:rPr>
        <w:t xml:space="preserve">9(a)(ii) of the Regulations does not apply to a prescription for </w:t>
      </w:r>
      <w:r w:rsidR="00116192" w:rsidRPr="006D52A9">
        <w:rPr>
          <w:szCs w:val="24"/>
        </w:rPr>
        <w:t>a special arrangement</w:t>
      </w:r>
      <w:r w:rsidRPr="006D52A9">
        <w:rPr>
          <w:szCs w:val="24"/>
        </w:rPr>
        <w:t xml:space="preserve"> supply of an HSD </w:t>
      </w:r>
      <w:r w:rsidRPr="006D52A9">
        <w:t xml:space="preserve">pharmaceutical benefit </w:t>
      </w:r>
      <w:r w:rsidRPr="006D52A9">
        <w:rPr>
          <w:szCs w:val="24"/>
        </w:rPr>
        <w:t>that has a CAR drug</w:t>
      </w:r>
      <w:r w:rsidRPr="006D52A9">
        <w:t>.</w:t>
      </w:r>
    </w:p>
    <w:p w14:paraId="60022C9A" w14:textId="77777777" w:rsidR="0032007B" w:rsidRPr="006D52A9" w:rsidRDefault="00AF57C5" w:rsidP="00C6161E">
      <w:pPr>
        <w:pStyle w:val="SubsectionHead"/>
      </w:pPr>
      <w:r w:rsidRPr="006D52A9">
        <w:t>P</w:t>
      </w:r>
      <w:r w:rsidR="0032007B" w:rsidRPr="006D52A9">
        <w:t>ersons receiving treatment in residential care services</w:t>
      </w:r>
    </w:p>
    <w:p w14:paraId="4E75F326" w14:textId="77777777" w:rsidR="0032007B" w:rsidRPr="006D52A9" w:rsidRDefault="0032007B" w:rsidP="0032007B">
      <w:pPr>
        <w:pStyle w:val="subsection"/>
      </w:pPr>
      <w:r w:rsidRPr="006D52A9">
        <w:rPr>
          <w:szCs w:val="24"/>
        </w:rPr>
        <w:tab/>
      </w:r>
      <w:r w:rsidR="00C6161E" w:rsidRPr="006D52A9">
        <w:rPr>
          <w:szCs w:val="24"/>
        </w:rPr>
        <w:t>(2)</w:t>
      </w:r>
      <w:r w:rsidRPr="006D52A9">
        <w:rPr>
          <w:szCs w:val="24"/>
        </w:rPr>
        <w:tab/>
      </w:r>
      <w:r w:rsidR="000B6A22" w:rsidRPr="006D52A9">
        <w:rPr>
          <w:szCs w:val="24"/>
        </w:rPr>
        <w:t>Subparagraph 4</w:t>
      </w:r>
      <w:r w:rsidRPr="006D52A9">
        <w:rPr>
          <w:szCs w:val="24"/>
        </w:rPr>
        <w:t xml:space="preserve">1(1)(a)(i) of the Regulations does not apply to a prescription for </w:t>
      </w:r>
      <w:r w:rsidR="00116192" w:rsidRPr="006D52A9">
        <w:rPr>
          <w:szCs w:val="24"/>
        </w:rPr>
        <w:t>a special arrangement</w:t>
      </w:r>
      <w:r w:rsidRPr="006D52A9">
        <w:rPr>
          <w:szCs w:val="24"/>
        </w:rPr>
        <w:t xml:space="preserve"> supply of an HSD </w:t>
      </w:r>
      <w:r w:rsidRPr="006D52A9">
        <w:t>pharmaceutical benefit.</w:t>
      </w:r>
    </w:p>
    <w:p w14:paraId="1DFDE587" w14:textId="77777777" w:rsidR="00705AD8" w:rsidRPr="006D52A9" w:rsidRDefault="005F407C" w:rsidP="00705AD8">
      <w:pPr>
        <w:pStyle w:val="ActHead5"/>
      </w:pPr>
      <w:bookmarkStart w:id="26" w:name="_Toc66968118"/>
      <w:r w:rsidRPr="00A757E4">
        <w:rPr>
          <w:rStyle w:val="CharSectno"/>
        </w:rPr>
        <w:lastRenderedPageBreak/>
        <w:t>19</w:t>
      </w:r>
      <w:r w:rsidR="00705AD8" w:rsidRPr="006D52A9">
        <w:t xml:space="preserve">  </w:t>
      </w:r>
      <w:r w:rsidR="00CA1C83" w:rsidRPr="006D52A9">
        <w:t>P</w:t>
      </w:r>
      <w:r w:rsidR="00705AD8" w:rsidRPr="006D52A9">
        <w:t>rescriptions</w:t>
      </w:r>
      <w:r w:rsidR="00CA1C83" w:rsidRPr="006D52A9">
        <w:t xml:space="preserve"> not to</w:t>
      </w:r>
      <w:r w:rsidR="00705AD8" w:rsidRPr="006D52A9">
        <w:t xml:space="preserve"> </w:t>
      </w:r>
      <w:r w:rsidR="00CA1C83" w:rsidRPr="006D52A9">
        <w:t>direct</w:t>
      </w:r>
      <w:r w:rsidR="00705AD8" w:rsidRPr="006D52A9">
        <w:t xml:space="preserve"> repeated supplies for visitors to Australia</w:t>
      </w:r>
      <w:bookmarkEnd w:id="26"/>
    </w:p>
    <w:p w14:paraId="305B3506" w14:textId="77777777" w:rsidR="00705AD8" w:rsidRPr="006D52A9" w:rsidRDefault="00705AD8" w:rsidP="00705AD8">
      <w:pPr>
        <w:pStyle w:val="subsection"/>
        <w:rPr>
          <w:szCs w:val="24"/>
        </w:rPr>
      </w:pPr>
      <w:r w:rsidRPr="006D52A9">
        <w:rPr>
          <w:szCs w:val="24"/>
        </w:rPr>
        <w:tab/>
        <w:t>(1)</w:t>
      </w:r>
      <w:r w:rsidRPr="006D52A9">
        <w:rPr>
          <w:szCs w:val="24"/>
        </w:rPr>
        <w:tab/>
        <w:t xml:space="preserve">An authorised prescriber for an HSD pharmaceutical benefit must not write a prescription directing a repeated supply of an HSD pharmaceutical benefit to a person who is a visitor to Australia even if the person is, in accordance with section 7 of the </w:t>
      </w:r>
      <w:r w:rsidRPr="006D52A9">
        <w:rPr>
          <w:i/>
          <w:iCs/>
          <w:szCs w:val="24"/>
        </w:rPr>
        <w:t>Health Insurance Act 1973</w:t>
      </w:r>
      <w:r w:rsidRPr="006D52A9">
        <w:rPr>
          <w:szCs w:val="24"/>
        </w:rPr>
        <w:t>, to be treated as an eligible person within the meaning of that Act.</w:t>
      </w:r>
    </w:p>
    <w:p w14:paraId="360DFDDF" w14:textId="77777777" w:rsidR="00705AD8" w:rsidRPr="006D52A9" w:rsidRDefault="00705AD8" w:rsidP="00705AD8">
      <w:pPr>
        <w:pStyle w:val="subsection"/>
      </w:pPr>
      <w:r w:rsidRPr="006D52A9">
        <w:rPr>
          <w:szCs w:val="24"/>
        </w:rPr>
        <w:tab/>
        <w:t>(2)</w:t>
      </w:r>
      <w:r w:rsidRPr="006D52A9">
        <w:rPr>
          <w:szCs w:val="24"/>
        </w:rPr>
        <w:tab/>
        <w:t xml:space="preserve">This section applies despite </w:t>
      </w:r>
      <w:r w:rsidR="000E2607" w:rsidRPr="006D52A9">
        <w:rPr>
          <w:szCs w:val="24"/>
        </w:rPr>
        <w:t>section 8</w:t>
      </w:r>
      <w:r w:rsidRPr="006D52A9">
        <w:rPr>
          <w:szCs w:val="24"/>
        </w:rPr>
        <w:t>5A of the Act.</w:t>
      </w:r>
    </w:p>
    <w:p w14:paraId="51D133EB" w14:textId="77777777" w:rsidR="00BA78D4" w:rsidRPr="006D52A9" w:rsidRDefault="005F407C" w:rsidP="00BA78D4">
      <w:pPr>
        <w:pStyle w:val="ActHead5"/>
      </w:pPr>
      <w:bookmarkStart w:id="27" w:name="_Toc66968119"/>
      <w:r w:rsidRPr="00A757E4">
        <w:rPr>
          <w:rStyle w:val="CharSectno"/>
        </w:rPr>
        <w:t>20</w:t>
      </w:r>
      <w:r w:rsidR="006B0D76" w:rsidRPr="006D52A9">
        <w:t xml:space="preserve">  Maximum quantity</w:t>
      </w:r>
      <w:r w:rsidR="00971C2F" w:rsidRPr="006D52A9">
        <w:t xml:space="preserve"> or number of units</w:t>
      </w:r>
      <w:r w:rsidR="00ED7A4B" w:rsidRPr="006D52A9">
        <w:rPr>
          <w:szCs w:val="24"/>
        </w:rPr>
        <w:t xml:space="preserve"> </w:t>
      </w:r>
      <w:r w:rsidR="002006D0" w:rsidRPr="006D52A9">
        <w:t xml:space="preserve">(Act s </w:t>
      </w:r>
      <w:r w:rsidR="00F4373B" w:rsidRPr="006D52A9">
        <w:t>85A(2)(a))</w:t>
      </w:r>
      <w:bookmarkEnd w:id="27"/>
    </w:p>
    <w:p w14:paraId="61C1AB64" w14:textId="77777777" w:rsidR="00027341" w:rsidRPr="006D52A9" w:rsidRDefault="00DA2857" w:rsidP="004A2982">
      <w:pPr>
        <w:pStyle w:val="subsection"/>
      </w:pPr>
      <w:r w:rsidRPr="006D52A9">
        <w:tab/>
      </w:r>
      <w:r w:rsidR="004A2982" w:rsidRPr="006D52A9">
        <w:t>(1)</w:t>
      </w:r>
      <w:r w:rsidR="004A2982" w:rsidRPr="006D52A9">
        <w:tab/>
      </w:r>
      <w:r w:rsidRPr="006D52A9">
        <w:t>F</w:t>
      </w:r>
      <w:r w:rsidR="00D14BAF" w:rsidRPr="006D52A9">
        <w:t>or the</w:t>
      </w:r>
      <w:r w:rsidR="004D7146" w:rsidRPr="006D52A9">
        <w:t xml:space="preserve"> purposes of</w:t>
      </w:r>
      <w:r w:rsidRPr="006D52A9">
        <w:t xml:space="preserve"> paragraph 85A(2)(a) of the Act, </w:t>
      </w:r>
      <w:r w:rsidR="00000211" w:rsidRPr="006D52A9">
        <w:t xml:space="preserve">this section sets out </w:t>
      </w:r>
      <w:r w:rsidRPr="006D52A9">
        <w:t>t</w:t>
      </w:r>
      <w:r w:rsidR="004A2982" w:rsidRPr="006D52A9">
        <w:t>he maximum quantity or number of units of the pharmaceutical item in a</w:t>
      </w:r>
      <w:r w:rsidR="004D7146" w:rsidRPr="006D52A9">
        <w:t>n HSD pharmaceutical benefit</w:t>
      </w:r>
      <w:r w:rsidR="00950F96" w:rsidRPr="006D52A9">
        <w:t xml:space="preserve"> that may, in one</w:t>
      </w:r>
      <w:r w:rsidR="004A2982" w:rsidRPr="006D52A9">
        <w:t xml:space="preserve"> prescription for </w:t>
      </w:r>
      <w:r w:rsidR="00E10778" w:rsidRPr="006D52A9">
        <w:t>a special arrangement</w:t>
      </w:r>
      <w:r w:rsidR="004A2982" w:rsidRPr="006D52A9">
        <w:t xml:space="preserve"> supply of the benefit, be directed by an authorised pr</w:t>
      </w:r>
      <w:r w:rsidR="00950F96" w:rsidRPr="006D52A9">
        <w:t>escriber to be supplied on any one</w:t>
      </w:r>
      <w:r w:rsidR="00000211" w:rsidRPr="006D52A9">
        <w:t xml:space="preserve"> occasion.</w:t>
      </w:r>
    </w:p>
    <w:p w14:paraId="5DD9002E" w14:textId="77777777" w:rsidR="00000211" w:rsidRPr="006D52A9" w:rsidRDefault="00000211" w:rsidP="00000211">
      <w:pPr>
        <w:pStyle w:val="SubsectionHead"/>
      </w:pPr>
      <w:r w:rsidRPr="006D52A9">
        <w:t>Supply for particular purposes</w:t>
      </w:r>
    </w:p>
    <w:p w14:paraId="68E8D148" w14:textId="77777777" w:rsidR="00000211" w:rsidRPr="006D52A9" w:rsidRDefault="00000211" w:rsidP="00000211">
      <w:pPr>
        <w:pStyle w:val="subsection"/>
      </w:pPr>
      <w:r w:rsidRPr="006D52A9">
        <w:tab/>
        <w:t>(2)</w:t>
      </w:r>
      <w:r w:rsidRPr="006D52A9">
        <w:tab/>
        <w:t>I</w:t>
      </w:r>
      <w:r w:rsidR="00767336" w:rsidRPr="006D52A9">
        <w:t>f</w:t>
      </w:r>
      <w:r w:rsidRPr="006D52A9">
        <w:t>:</w:t>
      </w:r>
    </w:p>
    <w:p w14:paraId="46B19890" w14:textId="77777777" w:rsidR="00000211" w:rsidRPr="006D52A9" w:rsidRDefault="00000211" w:rsidP="00000211">
      <w:pPr>
        <w:pStyle w:val="paragraph"/>
      </w:pPr>
      <w:r w:rsidRPr="006D52A9">
        <w:tab/>
        <w:t>(a)</w:t>
      </w:r>
      <w:r w:rsidRPr="006D52A9">
        <w:tab/>
      </w:r>
      <w:r w:rsidR="00767336" w:rsidRPr="006D52A9">
        <w:t xml:space="preserve">a </w:t>
      </w:r>
      <w:r w:rsidR="0045522D" w:rsidRPr="006D52A9">
        <w:t xml:space="preserve">purposes </w:t>
      </w:r>
      <w:r w:rsidR="001F1908" w:rsidRPr="006D52A9">
        <w:t>code</w:t>
      </w:r>
      <w:r w:rsidRPr="006D52A9">
        <w:t xml:space="preserve"> is</w:t>
      </w:r>
      <w:r w:rsidR="001F1908" w:rsidRPr="006D52A9">
        <w:t xml:space="preserve"> mentioned in the column </w:t>
      </w:r>
      <w:r w:rsidR="00827CA6" w:rsidRPr="006D52A9">
        <w:t xml:space="preserve">headed “Purposes” </w:t>
      </w:r>
      <w:r w:rsidR="001F1908" w:rsidRPr="006D52A9">
        <w:t xml:space="preserve">in </w:t>
      </w:r>
      <w:r w:rsidR="00942996" w:rsidRPr="006D52A9">
        <w:t>Schedule 1</w:t>
      </w:r>
      <w:r w:rsidR="00E023C9" w:rsidRPr="006D52A9">
        <w:t xml:space="preserve"> </w:t>
      </w:r>
      <w:r w:rsidR="006E17AD" w:rsidRPr="006D52A9">
        <w:t>to</w:t>
      </w:r>
      <w:r w:rsidR="00E023C9" w:rsidRPr="006D52A9">
        <w:t xml:space="preserve"> this instrument</w:t>
      </w:r>
      <w:r w:rsidR="001F1908" w:rsidRPr="006D52A9">
        <w:t xml:space="preserve"> for the benefit</w:t>
      </w:r>
      <w:r w:rsidRPr="006D52A9">
        <w:t>; and</w:t>
      </w:r>
    </w:p>
    <w:p w14:paraId="2636AB40" w14:textId="77777777" w:rsidR="00000211" w:rsidRPr="006D52A9" w:rsidRDefault="00000211" w:rsidP="00000211">
      <w:pPr>
        <w:pStyle w:val="paragraph"/>
      </w:pPr>
      <w:r w:rsidRPr="006D52A9">
        <w:tab/>
        <w:t>(b)</w:t>
      </w:r>
      <w:r w:rsidRPr="006D52A9">
        <w:tab/>
        <w:t>the supply</w:t>
      </w:r>
      <w:r w:rsidR="0047016E" w:rsidRPr="006D52A9">
        <w:t xml:space="preserve"> of the benefit</w:t>
      </w:r>
      <w:r w:rsidRPr="006D52A9">
        <w:t xml:space="preserve"> is for purposes mentioned in </w:t>
      </w:r>
      <w:r w:rsidR="006D52A9">
        <w:t>Schedule 3</w:t>
      </w:r>
      <w:r w:rsidRPr="006D52A9">
        <w:t xml:space="preserve"> </w:t>
      </w:r>
      <w:r w:rsidR="006E17AD" w:rsidRPr="006D52A9">
        <w:t>to</w:t>
      </w:r>
      <w:r w:rsidRPr="006D52A9">
        <w:t xml:space="preserve"> this instrument for</w:t>
      </w:r>
      <w:r w:rsidR="00DF1D21" w:rsidRPr="006D52A9">
        <w:t xml:space="preserve"> the purposes code;</w:t>
      </w:r>
    </w:p>
    <w:p w14:paraId="1A546F0C" w14:textId="77777777" w:rsidR="00000211" w:rsidRPr="006D52A9" w:rsidRDefault="00DF1D21" w:rsidP="00DF1D21">
      <w:pPr>
        <w:pStyle w:val="subsection2"/>
      </w:pPr>
      <w:r w:rsidRPr="006D52A9">
        <w:t>the maximum quantity or number of units is the</w:t>
      </w:r>
      <w:r w:rsidR="001F1908" w:rsidRPr="006D52A9">
        <w:t xml:space="preserve"> quantity or number of units </w:t>
      </w:r>
      <w:r w:rsidR="00435A5C" w:rsidRPr="006D52A9">
        <w:t xml:space="preserve">is </w:t>
      </w:r>
      <w:r w:rsidR="001F1908" w:rsidRPr="006D52A9">
        <w:t>mentioned in the column</w:t>
      </w:r>
      <w:r w:rsidR="00435A5C" w:rsidRPr="006D52A9">
        <w:t xml:space="preserve"> </w:t>
      </w:r>
      <w:r w:rsidR="00827CA6" w:rsidRPr="006D52A9">
        <w:t xml:space="preserve">headed “Maximum quantity” </w:t>
      </w:r>
      <w:r w:rsidR="00435A5C" w:rsidRPr="006D52A9">
        <w:t xml:space="preserve">in </w:t>
      </w:r>
      <w:r w:rsidR="00942996" w:rsidRPr="006D52A9">
        <w:t>Schedule 1</w:t>
      </w:r>
      <w:r w:rsidR="00E023C9" w:rsidRPr="006D52A9">
        <w:t xml:space="preserve"> </w:t>
      </w:r>
      <w:r w:rsidR="006E17AD" w:rsidRPr="006D52A9">
        <w:t>to</w:t>
      </w:r>
      <w:r w:rsidR="000B7004" w:rsidRPr="006D52A9">
        <w:t xml:space="preserve"> this instrument </w:t>
      </w:r>
      <w:r w:rsidR="00767336" w:rsidRPr="006D52A9">
        <w:t xml:space="preserve">for </w:t>
      </w:r>
      <w:r w:rsidR="007F5D17" w:rsidRPr="006D52A9">
        <w:t>the</w:t>
      </w:r>
      <w:r w:rsidR="00827CA6" w:rsidRPr="006D52A9">
        <w:t xml:space="preserve"> benefit and the</w:t>
      </w:r>
      <w:r w:rsidR="001F1908" w:rsidRPr="006D52A9">
        <w:t xml:space="preserve"> </w:t>
      </w:r>
      <w:r w:rsidR="0045522D" w:rsidRPr="006D52A9">
        <w:t xml:space="preserve">purposes </w:t>
      </w:r>
      <w:r w:rsidR="001F1908" w:rsidRPr="006D52A9">
        <w:t>code</w:t>
      </w:r>
      <w:r w:rsidRPr="006D52A9">
        <w:t>.</w:t>
      </w:r>
    </w:p>
    <w:p w14:paraId="3434ED10" w14:textId="77777777" w:rsidR="007F5D17" w:rsidRPr="006D52A9" w:rsidRDefault="007F5D17" w:rsidP="007F5D17">
      <w:pPr>
        <w:pStyle w:val="SubsectionHead"/>
      </w:pPr>
      <w:r w:rsidRPr="006D52A9">
        <w:t>Supply for all purposes</w:t>
      </w:r>
      <w:r w:rsidR="006E17AD" w:rsidRPr="006D52A9">
        <w:t xml:space="preserve">—HSD pharmaceutical benefits not in </w:t>
      </w:r>
      <w:r w:rsidR="003E082A" w:rsidRPr="006D52A9">
        <w:t>Schedule 2</w:t>
      </w:r>
    </w:p>
    <w:p w14:paraId="6D774026" w14:textId="77777777" w:rsidR="006E17AD" w:rsidRPr="006D52A9" w:rsidRDefault="007F5D17" w:rsidP="0080796F">
      <w:pPr>
        <w:pStyle w:val="subsection"/>
      </w:pPr>
      <w:r w:rsidRPr="006D52A9">
        <w:tab/>
        <w:t>(</w:t>
      </w:r>
      <w:r w:rsidR="00827CA6" w:rsidRPr="006D52A9">
        <w:t>3</w:t>
      </w:r>
      <w:r w:rsidRPr="006D52A9">
        <w:t>)</w:t>
      </w:r>
      <w:r w:rsidRPr="006D52A9">
        <w:tab/>
        <w:t>If</w:t>
      </w:r>
      <w:r w:rsidR="006E17AD" w:rsidRPr="006D52A9">
        <w:t>:</w:t>
      </w:r>
    </w:p>
    <w:p w14:paraId="12E4DAA2" w14:textId="77777777" w:rsidR="006E17AD" w:rsidRPr="006D52A9" w:rsidRDefault="006E17AD" w:rsidP="006E17AD">
      <w:pPr>
        <w:pStyle w:val="paragraph"/>
      </w:pPr>
      <w:r w:rsidRPr="006D52A9">
        <w:tab/>
        <w:t>(a)</w:t>
      </w:r>
      <w:r w:rsidRPr="006D52A9">
        <w:tab/>
      </w:r>
      <w:r w:rsidR="0080796F" w:rsidRPr="006D52A9">
        <w:t>a</w:t>
      </w:r>
      <w:r w:rsidR="007F5D17" w:rsidRPr="006D52A9">
        <w:t xml:space="preserve"> purposes code is not mentioned in the column </w:t>
      </w:r>
      <w:r w:rsidR="00827CA6" w:rsidRPr="006D52A9">
        <w:t xml:space="preserve">headed “Purposes” </w:t>
      </w:r>
      <w:r w:rsidR="007F5D17" w:rsidRPr="006D52A9">
        <w:t xml:space="preserve">in Schedule 1 </w:t>
      </w:r>
      <w:r w:rsidRPr="006D52A9">
        <w:t>to</w:t>
      </w:r>
      <w:r w:rsidR="007F5D17" w:rsidRPr="006D52A9">
        <w:t xml:space="preserve"> this instrument for the benefit</w:t>
      </w:r>
      <w:r w:rsidRPr="006D52A9">
        <w:t>; and</w:t>
      </w:r>
    </w:p>
    <w:p w14:paraId="70A430D2" w14:textId="77777777" w:rsidR="007F5D17" w:rsidRPr="006D52A9" w:rsidRDefault="007F5D17" w:rsidP="0080796F">
      <w:pPr>
        <w:pStyle w:val="paragraph"/>
      </w:pPr>
      <w:r w:rsidRPr="006D52A9">
        <w:tab/>
        <w:t>(</w:t>
      </w:r>
      <w:r w:rsidR="0080796F" w:rsidRPr="006D52A9">
        <w:t>a</w:t>
      </w:r>
      <w:r w:rsidRPr="006D52A9">
        <w:t>)</w:t>
      </w:r>
      <w:r w:rsidRPr="006D52A9">
        <w:tab/>
        <w:t xml:space="preserve">a quantity or number of units is mentioned in the column </w:t>
      </w:r>
      <w:r w:rsidR="00827CA6" w:rsidRPr="006D52A9">
        <w:t xml:space="preserve">headed “Maximum quantity” </w:t>
      </w:r>
      <w:r w:rsidRPr="006D52A9">
        <w:t>in Schedule 1</w:t>
      </w:r>
      <w:r w:rsidR="000B7004" w:rsidRPr="006D52A9">
        <w:t xml:space="preserve"> </w:t>
      </w:r>
      <w:r w:rsidR="006E17AD" w:rsidRPr="006D52A9">
        <w:t>to</w:t>
      </w:r>
      <w:r w:rsidR="000B7004" w:rsidRPr="006D52A9">
        <w:t xml:space="preserve"> this instrument</w:t>
      </w:r>
      <w:r w:rsidRPr="006D52A9">
        <w:t xml:space="preserve"> for the </w:t>
      </w:r>
      <w:r w:rsidR="006E17AD" w:rsidRPr="006D52A9">
        <w:t>benefit;</w:t>
      </w:r>
    </w:p>
    <w:p w14:paraId="65F1DC6D" w14:textId="77777777" w:rsidR="006E17AD" w:rsidRPr="006D52A9" w:rsidRDefault="006E17AD" w:rsidP="006E17AD">
      <w:pPr>
        <w:pStyle w:val="subsection2"/>
      </w:pPr>
      <w:r w:rsidRPr="006D52A9">
        <w:t>the maximum quantity or number of units is that quantity or number of units.</w:t>
      </w:r>
    </w:p>
    <w:p w14:paraId="0AA2306C" w14:textId="77777777" w:rsidR="006E17AD" w:rsidRPr="006D52A9" w:rsidRDefault="006E17AD" w:rsidP="006E17AD">
      <w:pPr>
        <w:pStyle w:val="SubsectionHead"/>
      </w:pPr>
      <w:r w:rsidRPr="006D52A9">
        <w:t xml:space="preserve">Supply for all purposes—HSD pharmaceutical benefits in </w:t>
      </w:r>
      <w:r w:rsidR="003E082A" w:rsidRPr="006D52A9">
        <w:t>Schedule 2</w:t>
      </w:r>
    </w:p>
    <w:p w14:paraId="0B284527" w14:textId="77777777" w:rsidR="006E17AD" w:rsidRPr="006D52A9" w:rsidRDefault="006E17AD" w:rsidP="006E17AD">
      <w:pPr>
        <w:pStyle w:val="subsection"/>
      </w:pPr>
      <w:r w:rsidRPr="006D52A9">
        <w:tab/>
        <w:t>(4)</w:t>
      </w:r>
      <w:r w:rsidRPr="006D52A9">
        <w:tab/>
        <w:t>If:</w:t>
      </w:r>
    </w:p>
    <w:p w14:paraId="22F19933" w14:textId="77777777" w:rsidR="006E17AD" w:rsidRPr="006D52A9" w:rsidRDefault="006E17AD" w:rsidP="006E17AD">
      <w:pPr>
        <w:pStyle w:val="paragraph"/>
      </w:pPr>
      <w:r w:rsidRPr="006D52A9">
        <w:tab/>
        <w:t>(a)</w:t>
      </w:r>
      <w:r w:rsidRPr="006D52A9">
        <w:tab/>
        <w:t>a purposes code is not mentioned in the column headed “Purposes” in Schedule 1 to this instrument for the benefit; and</w:t>
      </w:r>
    </w:p>
    <w:p w14:paraId="298EFD90" w14:textId="77777777" w:rsidR="006E17AD" w:rsidRPr="006D52A9" w:rsidRDefault="0080796F" w:rsidP="006E17AD">
      <w:pPr>
        <w:pStyle w:val="paragraph"/>
      </w:pPr>
      <w:r w:rsidRPr="006D52A9">
        <w:tab/>
        <w:t>(b)</w:t>
      </w:r>
      <w:r w:rsidRPr="006D52A9">
        <w:tab/>
      </w:r>
      <w:r w:rsidR="007F5D17" w:rsidRPr="006D52A9">
        <w:t xml:space="preserve">the words “See </w:t>
      </w:r>
      <w:r w:rsidR="003E082A" w:rsidRPr="006D52A9">
        <w:t>Schedule 2</w:t>
      </w:r>
      <w:r w:rsidR="007F5D17" w:rsidRPr="006D52A9">
        <w:t xml:space="preserve">” appear in the column </w:t>
      </w:r>
      <w:r w:rsidR="00827CA6" w:rsidRPr="006D52A9">
        <w:t xml:space="preserve">headed “Maximum quantity” </w:t>
      </w:r>
      <w:r w:rsidR="007F5D17" w:rsidRPr="006D52A9">
        <w:t xml:space="preserve">in Schedule 1 </w:t>
      </w:r>
      <w:r w:rsidR="006E17AD" w:rsidRPr="006D52A9">
        <w:t>to</w:t>
      </w:r>
      <w:r w:rsidR="000B7004" w:rsidRPr="006D52A9">
        <w:t xml:space="preserve"> this instrument </w:t>
      </w:r>
      <w:r w:rsidR="007F5D17" w:rsidRPr="006D52A9">
        <w:t>for the benefit</w:t>
      </w:r>
      <w:r w:rsidR="006E17AD" w:rsidRPr="006D52A9">
        <w:t>; and</w:t>
      </w:r>
    </w:p>
    <w:p w14:paraId="6DA25474" w14:textId="77777777" w:rsidR="006E17AD" w:rsidRPr="006D52A9" w:rsidRDefault="006E17AD" w:rsidP="006E17AD">
      <w:pPr>
        <w:pStyle w:val="paragraph"/>
      </w:pPr>
      <w:r w:rsidRPr="006D52A9">
        <w:tab/>
        <w:t>(c)</w:t>
      </w:r>
      <w:r w:rsidRPr="006D52A9">
        <w:tab/>
        <w:t xml:space="preserve">the prescription is written in circumstances mentioned in </w:t>
      </w:r>
      <w:r w:rsidR="006D52A9">
        <w:t>Schedule 3</w:t>
      </w:r>
      <w:r w:rsidRPr="006D52A9">
        <w:t xml:space="preserve"> for a circumstances code mentioned in the column headed “Circumstances” in </w:t>
      </w:r>
      <w:r w:rsidR="003E082A" w:rsidRPr="006D52A9">
        <w:t>Schedule 2</w:t>
      </w:r>
      <w:r w:rsidRPr="006D52A9">
        <w:t xml:space="preserve"> to this instrument for the benefit;</w:t>
      </w:r>
    </w:p>
    <w:p w14:paraId="078EC980" w14:textId="77777777" w:rsidR="007F5D17" w:rsidRPr="006D52A9" w:rsidRDefault="006E17AD" w:rsidP="006E17AD">
      <w:pPr>
        <w:pStyle w:val="subsection2"/>
      </w:pPr>
      <w:r w:rsidRPr="006D52A9">
        <w:t xml:space="preserve">the maximum quantity or number of units is the quantity or number of units </w:t>
      </w:r>
      <w:r w:rsidR="007F5D17" w:rsidRPr="006D52A9">
        <w:t>that is applicable</w:t>
      </w:r>
      <w:r w:rsidR="00B4102B" w:rsidRPr="006D52A9">
        <w:t xml:space="preserve"> under </w:t>
      </w:r>
      <w:r w:rsidR="003E082A" w:rsidRPr="006D52A9">
        <w:t>Schedule 2</w:t>
      </w:r>
      <w:r w:rsidR="00B4102B" w:rsidRPr="006D52A9">
        <w:t xml:space="preserve"> </w:t>
      </w:r>
      <w:r w:rsidRPr="006D52A9">
        <w:t>to</w:t>
      </w:r>
      <w:r w:rsidR="00B4102B" w:rsidRPr="006D52A9">
        <w:t xml:space="preserve"> this instrument</w:t>
      </w:r>
      <w:r w:rsidR="007F5D17" w:rsidRPr="006D52A9">
        <w:t xml:space="preserve"> for</w:t>
      </w:r>
      <w:r w:rsidRPr="006D52A9">
        <w:t xml:space="preserve"> t</w:t>
      </w:r>
      <w:r w:rsidR="007F5D17" w:rsidRPr="006D52A9">
        <w:t>he benefit</w:t>
      </w:r>
      <w:r w:rsidRPr="006D52A9">
        <w:t xml:space="preserve"> and the circumstances</w:t>
      </w:r>
      <w:r w:rsidR="003F7E50" w:rsidRPr="006D52A9">
        <w:t xml:space="preserve"> code</w:t>
      </w:r>
      <w:r w:rsidR="007F5D17" w:rsidRPr="006D52A9">
        <w:t>.</w:t>
      </w:r>
    </w:p>
    <w:p w14:paraId="0BD4E196" w14:textId="77777777" w:rsidR="00944D6C" w:rsidRPr="006D52A9" w:rsidRDefault="00087113" w:rsidP="00944D6C">
      <w:pPr>
        <w:pStyle w:val="subsection"/>
      </w:pPr>
      <w:r w:rsidRPr="006D52A9">
        <w:lastRenderedPageBreak/>
        <w:tab/>
        <w:t>(5</w:t>
      </w:r>
      <w:r w:rsidR="00944D6C" w:rsidRPr="006D52A9">
        <w:t>)</w:t>
      </w:r>
      <w:r w:rsidR="00944D6C" w:rsidRPr="006D52A9">
        <w:tab/>
      </w:r>
      <w:r w:rsidR="00E10778" w:rsidRPr="006D52A9">
        <w:t>To the extent that this section provides for a matter not provided for in the Listing Instrument, t</w:t>
      </w:r>
      <w:r w:rsidR="00944D6C" w:rsidRPr="006D52A9">
        <w:t xml:space="preserve">his section applies </w:t>
      </w:r>
      <w:r w:rsidR="004D7146" w:rsidRPr="006D52A9">
        <w:t xml:space="preserve">in addition to </w:t>
      </w:r>
      <w:r w:rsidR="00944D6C" w:rsidRPr="006D52A9">
        <w:t>the Listing Instrument.</w:t>
      </w:r>
    </w:p>
    <w:p w14:paraId="00DEDFCF" w14:textId="77777777" w:rsidR="00E10778" w:rsidRPr="006D52A9" w:rsidRDefault="00087113" w:rsidP="00944D6C">
      <w:pPr>
        <w:pStyle w:val="subsection"/>
      </w:pPr>
      <w:r w:rsidRPr="006D52A9">
        <w:tab/>
        <w:t>(6</w:t>
      </w:r>
      <w:r w:rsidR="00E10778" w:rsidRPr="006D52A9">
        <w:t>)</w:t>
      </w:r>
      <w:r w:rsidR="00E10778" w:rsidRPr="006D52A9">
        <w:tab/>
        <w:t>To the extent that this section makes a different provision for a matter provided for in the Listing Instrument, th</w:t>
      </w:r>
      <w:r w:rsidR="002F3E66" w:rsidRPr="006D52A9">
        <w:t>is section applies despite the L</w:t>
      </w:r>
      <w:r w:rsidR="00E10778" w:rsidRPr="006D52A9">
        <w:t>isting Instrument.</w:t>
      </w:r>
    </w:p>
    <w:p w14:paraId="013CB10A" w14:textId="77777777" w:rsidR="00115647" w:rsidRPr="006D52A9" w:rsidRDefault="005F407C" w:rsidP="00115647">
      <w:pPr>
        <w:pStyle w:val="ActHead5"/>
      </w:pPr>
      <w:bookmarkStart w:id="28" w:name="_Toc66968120"/>
      <w:r w:rsidRPr="00A757E4">
        <w:rPr>
          <w:rStyle w:val="CharSectno"/>
        </w:rPr>
        <w:t>21</w:t>
      </w:r>
      <w:r w:rsidR="00115647" w:rsidRPr="006D52A9">
        <w:t xml:space="preserve">  Maximum number of repeats</w:t>
      </w:r>
      <w:r w:rsidR="009E4C3B" w:rsidRPr="006D52A9">
        <w:t xml:space="preserve"> (Act s 85A(2)(b))</w:t>
      </w:r>
      <w:bookmarkEnd w:id="28"/>
    </w:p>
    <w:p w14:paraId="10607FE3" w14:textId="77777777" w:rsidR="007B6B52" w:rsidRPr="006D52A9" w:rsidRDefault="00273883" w:rsidP="00273883">
      <w:pPr>
        <w:pStyle w:val="subsection"/>
      </w:pPr>
      <w:r w:rsidRPr="006D52A9">
        <w:tab/>
        <w:t>(1)</w:t>
      </w:r>
      <w:r w:rsidRPr="006D52A9">
        <w:tab/>
        <w:t xml:space="preserve">For the purposes of paragraph 85A(2)(b) of the Act, </w:t>
      </w:r>
      <w:r w:rsidR="00CF321B" w:rsidRPr="006D52A9">
        <w:t xml:space="preserve">this section sets out </w:t>
      </w:r>
      <w:r w:rsidRPr="006D52A9">
        <w:t>the maximum number of occasions an</w:t>
      </w:r>
      <w:r w:rsidR="004F3A61" w:rsidRPr="006D52A9">
        <w:t xml:space="preserve"> authorised prescriber may, in one</w:t>
      </w:r>
      <w:r w:rsidRPr="006D52A9">
        <w:t xml:space="preserve"> prescription, direct that a special arrangement supply of an HSD pharm</w:t>
      </w:r>
      <w:r w:rsidR="00CF321B" w:rsidRPr="006D52A9">
        <w:t>aceutical benefit be repeated.</w:t>
      </w:r>
    </w:p>
    <w:p w14:paraId="6116EFBB" w14:textId="77777777" w:rsidR="00CF321B" w:rsidRPr="006D52A9" w:rsidRDefault="00CF321B" w:rsidP="00CF321B">
      <w:pPr>
        <w:pStyle w:val="SubsectionHead"/>
      </w:pPr>
      <w:r w:rsidRPr="006D52A9">
        <w:t>Supply for particular purposes</w:t>
      </w:r>
    </w:p>
    <w:p w14:paraId="47F7B655" w14:textId="77777777" w:rsidR="00CF321B" w:rsidRPr="006D52A9" w:rsidRDefault="00CF321B" w:rsidP="00CF321B">
      <w:pPr>
        <w:pStyle w:val="subsection"/>
      </w:pPr>
      <w:r w:rsidRPr="006D52A9">
        <w:tab/>
        <w:t>(2)</w:t>
      </w:r>
      <w:r w:rsidRPr="006D52A9">
        <w:tab/>
        <w:t>If:</w:t>
      </w:r>
    </w:p>
    <w:p w14:paraId="051AB180" w14:textId="77777777" w:rsidR="00CF321B" w:rsidRPr="006D52A9" w:rsidRDefault="00CF321B" w:rsidP="00CF321B">
      <w:pPr>
        <w:pStyle w:val="paragraph"/>
      </w:pPr>
      <w:r w:rsidRPr="006D52A9">
        <w:tab/>
        <w:t>(a)</w:t>
      </w:r>
      <w:r w:rsidRPr="006D52A9">
        <w:tab/>
        <w:t xml:space="preserve">a purposes code is mentioned in the column headed “Purposes” in Schedule 1 </w:t>
      </w:r>
      <w:r w:rsidR="008F69CE" w:rsidRPr="006D52A9">
        <w:t>to</w:t>
      </w:r>
      <w:r w:rsidRPr="006D52A9">
        <w:t xml:space="preserve"> this instrument for the benefit; and</w:t>
      </w:r>
    </w:p>
    <w:p w14:paraId="6C182E13" w14:textId="77777777" w:rsidR="00CF321B" w:rsidRPr="006D52A9" w:rsidRDefault="00CF321B" w:rsidP="00CF321B">
      <w:pPr>
        <w:pStyle w:val="paragraph"/>
      </w:pPr>
      <w:r w:rsidRPr="006D52A9">
        <w:tab/>
        <w:t>(b)</w:t>
      </w:r>
      <w:r w:rsidRPr="006D52A9">
        <w:tab/>
        <w:t xml:space="preserve">the supply is for purposes mentioned in </w:t>
      </w:r>
      <w:r w:rsidR="006D52A9">
        <w:t>Schedule 3</w:t>
      </w:r>
      <w:r w:rsidRPr="006D52A9">
        <w:t xml:space="preserve"> </w:t>
      </w:r>
      <w:r w:rsidR="008F69CE" w:rsidRPr="006D52A9">
        <w:t>to</w:t>
      </w:r>
      <w:r w:rsidRPr="006D52A9">
        <w:t xml:space="preserve"> this instrument for</w:t>
      </w:r>
      <w:r w:rsidR="005D796E" w:rsidRPr="006D52A9">
        <w:t xml:space="preserve"> the purposes code;</w:t>
      </w:r>
    </w:p>
    <w:p w14:paraId="76AC800B" w14:textId="77777777" w:rsidR="00CF321B" w:rsidRPr="006D52A9" w:rsidRDefault="005D796E" w:rsidP="005D796E">
      <w:pPr>
        <w:pStyle w:val="subsection2"/>
      </w:pPr>
      <w:r w:rsidRPr="006D52A9">
        <w:t xml:space="preserve">the maximum number is the </w:t>
      </w:r>
      <w:r w:rsidR="00CF321B" w:rsidRPr="006D52A9">
        <w:t>number mentioned in the column headed “Maximum repeats” in Schedule 1</w:t>
      </w:r>
      <w:r w:rsidRPr="006D52A9">
        <w:t xml:space="preserve"> </w:t>
      </w:r>
      <w:r w:rsidR="008F69CE" w:rsidRPr="006D52A9">
        <w:t>to</w:t>
      </w:r>
      <w:r w:rsidRPr="006D52A9">
        <w:t xml:space="preserve"> this instrument</w:t>
      </w:r>
      <w:r w:rsidR="00CF321B" w:rsidRPr="006D52A9">
        <w:t xml:space="preserve"> for </w:t>
      </w:r>
      <w:r w:rsidRPr="006D52A9">
        <w:t>the benefit and the</w:t>
      </w:r>
      <w:r w:rsidR="00CF321B" w:rsidRPr="006D52A9">
        <w:t xml:space="preserve"> purposes code</w:t>
      </w:r>
      <w:r w:rsidRPr="006D52A9">
        <w:t>.</w:t>
      </w:r>
    </w:p>
    <w:p w14:paraId="52B90AA0" w14:textId="77777777" w:rsidR="00CF321B" w:rsidRPr="006D52A9" w:rsidRDefault="00CF321B" w:rsidP="00CF321B">
      <w:pPr>
        <w:pStyle w:val="SubsectionHead"/>
      </w:pPr>
      <w:r w:rsidRPr="006D52A9">
        <w:t>Supply for all purposes</w:t>
      </w:r>
      <w:r w:rsidR="00087113" w:rsidRPr="006D52A9">
        <w:t xml:space="preserve">—HSD pharmaceutical benefits not in </w:t>
      </w:r>
      <w:r w:rsidR="003E082A" w:rsidRPr="006D52A9">
        <w:t>Schedule 2</w:t>
      </w:r>
    </w:p>
    <w:p w14:paraId="1FD973DE" w14:textId="77777777" w:rsidR="00087113" w:rsidRPr="006D52A9" w:rsidRDefault="00CF321B" w:rsidP="005F7B84">
      <w:pPr>
        <w:pStyle w:val="subsection"/>
      </w:pPr>
      <w:r w:rsidRPr="006D52A9">
        <w:tab/>
        <w:t>(3)</w:t>
      </w:r>
      <w:r w:rsidRPr="006D52A9">
        <w:tab/>
        <w:t>If</w:t>
      </w:r>
      <w:r w:rsidR="00087113" w:rsidRPr="006D52A9">
        <w:t>:</w:t>
      </w:r>
    </w:p>
    <w:p w14:paraId="743EDA05" w14:textId="77777777" w:rsidR="00087113" w:rsidRPr="006D52A9" w:rsidRDefault="00087113" w:rsidP="00087113">
      <w:pPr>
        <w:pStyle w:val="paragraph"/>
      </w:pPr>
      <w:r w:rsidRPr="006D52A9">
        <w:tab/>
        <w:t>(a)</w:t>
      </w:r>
      <w:r w:rsidRPr="006D52A9">
        <w:tab/>
      </w:r>
      <w:r w:rsidR="00CF321B" w:rsidRPr="006D52A9">
        <w:t xml:space="preserve">a purposes code is not mentioned in the column headed “Purposes” in Schedule 1 </w:t>
      </w:r>
      <w:r w:rsidR="008F69CE" w:rsidRPr="006D52A9">
        <w:t>to</w:t>
      </w:r>
      <w:r w:rsidR="00CF321B" w:rsidRPr="006D52A9">
        <w:t xml:space="preserve"> this instrument for the benefit</w:t>
      </w:r>
      <w:r w:rsidRPr="006D52A9">
        <w:t>; and</w:t>
      </w:r>
    </w:p>
    <w:p w14:paraId="2A3EF1DF" w14:textId="77777777" w:rsidR="00087113" w:rsidRPr="006D52A9" w:rsidRDefault="00087113" w:rsidP="00CF321B">
      <w:pPr>
        <w:pStyle w:val="paragraph"/>
      </w:pPr>
      <w:r w:rsidRPr="006D52A9">
        <w:tab/>
      </w:r>
      <w:r w:rsidR="00CF321B" w:rsidRPr="006D52A9">
        <w:t>(</w:t>
      </w:r>
      <w:r w:rsidRPr="006D52A9">
        <w:t>b</w:t>
      </w:r>
      <w:r w:rsidR="00CF321B" w:rsidRPr="006D52A9">
        <w:t>)</w:t>
      </w:r>
      <w:r w:rsidR="00CF321B" w:rsidRPr="006D52A9">
        <w:tab/>
      </w:r>
      <w:r w:rsidR="00977918" w:rsidRPr="006D52A9">
        <w:t>a number</w:t>
      </w:r>
      <w:r w:rsidR="00CF321B" w:rsidRPr="006D52A9">
        <w:t xml:space="preserve"> is mentioned in the column headed “Maximum </w:t>
      </w:r>
      <w:r w:rsidR="00CD1BEF" w:rsidRPr="006D52A9">
        <w:t>repeats</w:t>
      </w:r>
      <w:r w:rsidR="00CF321B" w:rsidRPr="006D52A9">
        <w:t xml:space="preserve">” in Schedule 1 </w:t>
      </w:r>
      <w:r w:rsidR="008F69CE" w:rsidRPr="006D52A9">
        <w:t xml:space="preserve">to this instrument </w:t>
      </w:r>
      <w:r w:rsidR="00CF321B" w:rsidRPr="006D52A9">
        <w:t>for the benefit</w:t>
      </w:r>
      <w:r w:rsidRPr="006D52A9">
        <w:t>;</w:t>
      </w:r>
    </w:p>
    <w:p w14:paraId="4BD1BBD2" w14:textId="77777777" w:rsidR="00CF321B" w:rsidRPr="006D52A9" w:rsidRDefault="00087113" w:rsidP="00087113">
      <w:pPr>
        <w:pStyle w:val="subsection2"/>
      </w:pPr>
      <w:r w:rsidRPr="006D52A9">
        <w:t xml:space="preserve">the maximum number is </w:t>
      </w:r>
      <w:r w:rsidR="005F7B84" w:rsidRPr="006D52A9">
        <w:t xml:space="preserve">that </w:t>
      </w:r>
      <w:r w:rsidR="00977918" w:rsidRPr="006D52A9">
        <w:t>number</w:t>
      </w:r>
      <w:r w:rsidRPr="006D52A9">
        <w:t>.</w:t>
      </w:r>
    </w:p>
    <w:p w14:paraId="481F4FE4" w14:textId="77777777" w:rsidR="00FC487B" w:rsidRPr="006D52A9" w:rsidRDefault="00FC487B" w:rsidP="00FC487B">
      <w:pPr>
        <w:pStyle w:val="SubsectionHead"/>
      </w:pPr>
      <w:r w:rsidRPr="006D52A9">
        <w:t xml:space="preserve">Supply for all purposes—HSD pharmaceutical benefits in </w:t>
      </w:r>
      <w:r w:rsidR="003E082A" w:rsidRPr="006D52A9">
        <w:t>Schedule 2</w:t>
      </w:r>
    </w:p>
    <w:p w14:paraId="7448A72E" w14:textId="77777777" w:rsidR="00087113" w:rsidRPr="006D52A9" w:rsidRDefault="00087113" w:rsidP="00087113">
      <w:pPr>
        <w:pStyle w:val="subsection"/>
      </w:pPr>
      <w:r w:rsidRPr="006D52A9">
        <w:tab/>
        <w:t>(4)</w:t>
      </w:r>
      <w:r w:rsidRPr="006D52A9">
        <w:tab/>
        <w:t>If:</w:t>
      </w:r>
    </w:p>
    <w:p w14:paraId="2242893F" w14:textId="77777777" w:rsidR="00087113" w:rsidRPr="006D52A9" w:rsidRDefault="00087113" w:rsidP="00087113">
      <w:pPr>
        <w:pStyle w:val="paragraph"/>
      </w:pPr>
      <w:r w:rsidRPr="006D52A9">
        <w:tab/>
        <w:t>(a)</w:t>
      </w:r>
      <w:r w:rsidRPr="006D52A9">
        <w:tab/>
        <w:t xml:space="preserve">a purposes code is not mentioned in the column headed “Purposes” in Schedule 1 </w:t>
      </w:r>
      <w:r w:rsidR="008F69CE" w:rsidRPr="006D52A9">
        <w:t>to</w:t>
      </w:r>
      <w:r w:rsidRPr="006D52A9">
        <w:t xml:space="preserve"> this instrument for the benefit; and</w:t>
      </w:r>
    </w:p>
    <w:p w14:paraId="6D980156" w14:textId="77777777" w:rsidR="00087113" w:rsidRPr="006D52A9" w:rsidRDefault="005F7B84" w:rsidP="005F7B84">
      <w:pPr>
        <w:pStyle w:val="paragraph"/>
      </w:pPr>
      <w:r w:rsidRPr="006D52A9">
        <w:tab/>
        <w:t>(b)</w:t>
      </w:r>
      <w:r w:rsidRPr="006D52A9">
        <w:tab/>
      </w:r>
      <w:r w:rsidR="00CF321B" w:rsidRPr="006D52A9">
        <w:t xml:space="preserve">the words “See </w:t>
      </w:r>
      <w:r w:rsidR="003E082A" w:rsidRPr="006D52A9">
        <w:t>Schedule 2</w:t>
      </w:r>
      <w:r w:rsidR="00CF321B" w:rsidRPr="006D52A9">
        <w:t>” appear in the column headed “Maximum repeats” in Schedule 1 for the benefit</w:t>
      </w:r>
      <w:r w:rsidR="00087113" w:rsidRPr="006D52A9">
        <w:t>; and</w:t>
      </w:r>
    </w:p>
    <w:p w14:paraId="7B783D12" w14:textId="77777777" w:rsidR="00087113" w:rsidRPr="006D52A9" w:rsidRDefault="00087113" w:rsidP="00087113">
      <w:pPr>
        <w:pStyle w:val="paragraph"/>
      </w:pPr>
      <w:r w:rsidRPr="006D52A9">
        <w:tab/>
        <w:t>(c)</w:t>
      </w:r>
      <w:r w:rsidRPr="006D52A9">
        <w:tab/>
        <w:t xml:space="preserve">the prescription is written in circumstances mentioned in </w:t>
      </w:r>
      <w:r w:rsidR="006D52A9">
        <w:t>Schedule 3</w:t>
      </w:r>
      <w:r w:rsidRPr="006D52A9">
        <w:t xml:space="preserve"> for a circumstances code mentioned in the column headed “Circumstances” in </w:t>
      </w:r>
      <w:r w:rsidR="003E082A" w:rsidRPr="006D52A9">
        <w:t>Schedule 2</w:t>
      </w:r>
      <w:r w:rsidRPr="006D52A9">
        <w:t xml:space="preserve"> to this instrument for the benefit;</w:t>
      </w:r>
    </w:p>
    <w:p w14:paraId="4ECBCD0E" w14:textId="77777777" w:rsidR="00087113" w:rsidRPr="006D52A9" w:rsidRDefault="00FC487B" w:rsidP="00087113">
      <w:pPr>
        <w:pStyle w:val="subsection2"/>
      </w:pPr>
      <w:r w:rsidRPr="006D52A9">
        <w:t>t</w:t>
      </w:r>
      <w:r w:rsidR="00CF321B" w:rsidRPr="006D52A9">
        <w:t>he</w:t>
      </w:r>
      <w:r w:rsidRPr="006D52A9">
        <w:t xml:space="preserve"> maximum</w:t>
      </w:r>
      <w:r w:rsidR="00CF321B" w:rsidRPr="006D52A9">
        <w:t xml:space="preserve"> number is </w:t>
      </w:r>
      <w:r w:rsidR="00087113" w:rsidRPr="006D52A9">
        <w:t xml:space="preserve">the number that is applicable under </w:t>
      </w:r>
      <w:r w:rsidR="003E082A" w:rsidRPr="006D52A9">
        <w:t>Schedule 2</w:t>
      </w:r>
      <w:r w:rsidR="00087113" w:rsidRPr="006D52A9">
        <w:t xml:space="preserve"> to this instrument for the benefit and the circumstances</w:t>
      </w:r>
      <w:r w:rsidR="003F7E50" w:rsidRPr="006D52A9">
        <w:t xml:space="preserve"> code</w:t>
      </w:r>
      <w:r w:rsidR="00087113" w:rsidRPr="006D52A9">
        <w:t>.</w:t>
      </w:r>
    </w:p>
    <w:p w14:paraId="7B86731D" w14:textId="77777777" w:rsidR="00273883" w:rsidRPr="006D52A9" w:rsidRDefault="0025030D" w:rsidP="00273883">
      <w:pPr>
        <w:pStyle w:val="subsection"/>
      </w:pPr>
      <w:r w:rsidRPr="006D52A9">
        <w:tab/>
      </w:r>
      <w:r w:rsidR="007B6B52" w:rsidRPr="006D52A9">
        <w:t>(</w:t>
      </w:r>
      <w:r w:rsidR="008F69CE" w:rsidRPr="006D52A9">
        <w:t>5</w:t>
      </w:r>
      <w:r w:rsidR="00273883" w:rsidRPr="006D52A9">
        <w:t>)</w:t>
      </w:r>
      <w:r w:rsidR="00273883" w:rsidRPr="006D52A9">
        <w:tab/>
        <w:t>To the extent that this section provides for a matter not provided for in the Listing Instrument, this section applies in addition to the Listing Instrument.</w:t>
      </w:r>
    </w:p>
    <w:p w14:paraId="6FFB285A" w14:textId="77777777" w:rsidR="00273883" w:rsidRPr="006D52A9" w:rsidRDefault="008F69CE" w:rsidP="00273883">
      <w:pPr>
        <w:pStyle w:val="subsection"/>
      </w:pPr>
      <w:r w:rsidRPr="006D52A9">
        <w:tab/>
        <w:t>(6</w:t>
      </w:r>
      <w:r w:rsidR="00273883" w:rsidRPr="006D52A9">
        <w:t>)</w:t>
      </w:r>
      <w:r w:rsidR="00273883" w:rsidRPr="006D52A9">
        <w:tab/>
        <w:t>To the extent that this section makes a different provision for a matter provided for in the Listing Instrument, th</w:t>
      </w:r>
      <w:r w:rsidR="002F3E66" w:rsidRPr="006D52A9">
        <w:t>is section applies despite the L</w:t>
      </w:r>
      <w:r w:rsidR="00273883" w:rsidRPr="006D52A9">
        <w:t>isting Instrument.</w:t>
      </w:r>
    </w:p>
    <w:p w14:paraId="1147F89D" w14:textId="77777777" w:rsidR="00254945" w:rsidRPr="006D52A9" w:rsidRDefault="005F407C" w:rsidP="00254945">
      <w:pPr>
        <w:pStyle w:val="ActHead5"/>
      </w:pPr>
      <w:bookmarkStart w:id="29" w:name="_Toc66968121"/>
      <w:r w:rsidRPr="00A757E4">
        <w:rPr>
          <w:rStyle w:val="CharSectno"/>
        </w:rPr>
        <w:lastRenderedPageBreak/>
        <w:t>22</w:t>
      </w:r>
      <w:r w:rsidR="00254945" w:rsidRPr="006D52A9">
        <w:t xml:space="preserve">  No variation of application of determination of maximum number of repeats or maximum number or quantity of units</w:t>
      </w:r>
      <w:r w:rsidR="00863C00" w:rsidRPr="006D52A9">
        <w:t>—HSD pharmaceutical benefits that have CAR drugs</w:t>
      </w:r>
      <w:bookmarkEnd w:id="29"/>
    </w:p>
    <w:p w14:paraId="11195284" w14:textId="77777777" w:rsidR="00254945" w:rsidRPr="006D52A9" w:rsidRDefault="00254945" w:rsidP="00254945">
      <w:pPr>
        <w:pStyle w:val="subsection"/>
      </w:pPr>
      <w:r w:rsidRPr="006D52A9">
        <w:rPr>
          <w:szCs w:val="24"/>
        </w:rPr>
        <w:tab/>
      </w:r>
      <w:r w:rsidRPr="006D52A9">
        <w:rPr>
          <w:szCs w:val="24"/>
        </w:rPr>
        <w:tab/>
      </w:r>
      <w:r w:rsidR="000B6A22" w:rsidRPr="006D52A9">
        <w:t>Section 3</w:t>
      </w:r>
      <w:r w:rsidRPr="006D52A9">
        <w:t xml:space="preserve">0 of the Regulations does not apply in relation to a practitioner (within the meaning of </w:t>
      </w:r>
      <w:r w:rsidR="00D66D59">
        <w:t>section 2</w:t>
      </w:r>
      <w:r w:rsidRPr="006D52A9">
        <w:t xml:space="preserve">9 of the Regulations) who has written a prescription for </w:t>
      </w:r>
      <w:r w:rsidR="007938FE" w:rsidRPr="006D52A9">
        <w:t xml:space="preserve">a special arrangement supply of </w:t>
      </w:r>
      <w:r w:rsidRPr="006D52A9">
        <w:t>an HSD pharmaceuti</w:t>
      </w:r>
      <w:r w:rsidR="007938FE" w:rsidRPr="006D52A9">
        <w:t>cal benefit that has a CAR drug</w:t>
      </w:r>
      <w:r w:rsidRPr="006D52A9">
        <w:t>.</w:t>
      </w:r>
    </w:p>
    <w:p w14:paraId="137F3D44" w14:textId="77777777" w:rsidR="00254945" w:rsidRPr="006D52A9" w:rsidRDefault="00254945" w:rsidP="00254945">
      <w:pPr>
        <w:pStyle w:val="notetext"/>
      </w:pPr>
      <w:r w:rsidRPr="006D52A9">
        <w:t>Note:</w:t>
      </w:r>
      <w:r w:rsidRPr="006D52A9">
        <w:tab/>
      </w:r>
      <w:r w:rsidR="000B6A22" w:rsidRPr="006D52A9">
        <w:t>Section 3</w:t>
      </w:r>
      <w:r w:rsidRPr="006D52A9">
        <w:t xml:space="preserve">0 of the Regulations allows the Minister </w:t>
      </w:r>
      <w:r w:rsidR="00CA231E" w:rsidRPr="006D52A9">
        <w:t>to</w:t>
      </w:r>
      <w:r w:rsidRPr="006D52A9">
        <w:t xml:space="preserve"> vary the application of a determination under paragraph 85A(2)(a) or (b) of the Act in certain circumstances.</w:t>
      </w:r>
    </w:p>
    <w:p w14:paraId="135E0CBB" w14:textId="77777777" w:rsidR="0032007B" w:rsidRPr="006D52A9" w:rsidRDefault="005F407C" w:rsidP="0032007B">
      <w:pPr>
        <w:pStyle w:val="ActHead5"/>
      </w:pPr>
      <w:bookmarkStart w:id="30" w:name="_Toc66968122"/>
      <w:r w:rsidRPr="00A757E4">
        <w:rPr>
          <w:rStyle w:val="CharSectno"/>
        </w:rPr>
        <w:t>23</w:t>
      </w:r>
      <w:r w:rsidR="0032007B" w:rsidRPr="006D52A9">
        <w:t xml:space="preserve">  </w:t>
      </w:r>
      <w:r w:rsidR="00863C00" w:rsidRPr="006D52A9">
        <w:t>Records</w:t>
      </w:r>
      <w:r w:rsidR="0032007B" w:rsidRPr="006D52A9">
        <w:t xml:space="preserve"> to be kept</w:t>
      </w:r>
      <w:r w:rsidR="00863C00" w:rsidRPr="006D52A9">
        <w:t xml:space="preserve">—prescriptions for </w:t>
      </w:r>
      <w:r w:rsidR="0032007B" w:rsidRPr="006D52A9">
        <w:t xml:space="preserve">HSD pharmaceutical benefits that contain </w:t>
      </w:r>
      <w:r w:rsidR="0032007B" w:rsidRPr="006D52A9">
        <w:rPr>
          <w:color w:val="000000"/>
          <w:szCs w:val="22"/>
        </w:rPr>
        <w:t>eculizumab</w:t>
      </w:r>
      <w:bookmarkEnd w:id="30"/>
    </w:p>
    <w:p w14:paraId="1A1B3029" w14:textId="77777777" w:rsidR="0032007B" w:rsidRPr="006D52A9" w:rsidRDefault="0032007B" w:rsidP="0032007B">
      <w:pPr>
        <w:pStyle w:val="subsection"/>
      </w:pPr>
      <w:r w:rsidRPr="006D52A9">
        <w:tab/>
        <w:t>(1)</w:t>
      </w:r>
      <w:r w:rsidRPr="006D52A9">
        <w:tab/>
        <w:t xml:space="preserve">If an authorised prescriber for an HSD pharmaceutical benefit that contains </w:t>
      </w:r>
      <w:r w:rsidRPr="006D52A9">
        <w:rPr>
          <w:color w:val="000000"/>
          <w:szCs w:val="22"/>
        </w:rPr>
        <w:t>eculizumab</w:t>
      </w:r>
      <w:r w:rsidRPr="006D52A9">
        <w:t xml:space="preserve"> </w:t>
      </w:r>
      <w:r w:rsidR="001B7602" w:rsidRPr="006D52A9">
        <w:t>writes a prescription for a special arrangement supply of</w:t>
      </w:r>
      <w:r w:rsidR="00E94A81" w:rsidRPr="006D52A9">
        <w:t xml:space="preserve"> the benefit</w:t>
      </w:r>
      <w:r w:rsidR="00B0544E" w:rsidRPr="006D52A9">
        <w:t xml:space="preserve">, a copy of any clinical records relating to the prescription, including records required to demonstrate that the prescription was written in compliance with the circumstances and purposes determined in relation to the benefit under </w:t>
      </w:r>
      <w:r w:rsidR="000E2607" w:rsidRPr="006D52A9">
        <w:t>subsection 8</w:t>
      </w:r>
      <w:r w:rsidR="00B0544E" w:rsidRPr="006D52A9">
        <w:t>5(7) of the Act, must be kept by:</w:t>
      </w:r>
    </w:p>
    <w:p w14:paraId="201360A6" w14:textId="77777777" w:rsidR="0032007B" w:rsidRPr="006D52A9" w:rsidRDefault="0032007B" w:rsidP="0032007B">
      <w:pPr>
        <w:pStyle w:val="paragraph"/>
      </w:pPr>
      <w:r w:rsidRPr="006D52A9">
        <w:tab/>
        <w:t>(</w:t>
      </w:r>
      <w:r w:rsidR="00B0544E" w:rsidRPr="006D52A9">
        <w:t>a</w:t>
      </w:r>
      <w:r w:rsidRPr="006D52A9">
        <w:t>)</w:t>
      </w:r>
      <w:r w:rsidRPr="006D52A9">
        <w:tab/>
      </w:r>
      <w:r w:rsidR="00B0544E" w:rsidRPr="006D52A9">
        <w:t xml:space="preserve">the </w:t>
      </w:r>
      <w:r w:rsidRPr="006D52A9">
        <w:t>approved hospital authority for the hospital in</w:t>
      </w:r>
      <w:r w:rsidR="009715B0" w:rsidRPr="006D52A9">
        <w:t>,</w:t>
      </w:r>
      <w:r w:rsidRPr="006D52A9">
        <w:t xml:space="preserve"> at</w:t>
      </w:r>
      <w:r w:rsidR="00BC1699" w:rsidRPr="006D52A9">
        <w:t xml:space="preserve"> or from</w:t>
      </w:r>
      <w:r w:rsidRPr="006D52A9">
        <w:t xml:space="preserve"> which the eligible patient is receiving treatment;</w:t>
      </w:r>
      <w:r w:rsidR="00B0544E" w:rsidRPr="006D52A9">
        <w:t xml:space="preserve"> or</w:t>
      </w:r>
    </w:p>
    <w:p w14:paraId="226F8C49" w14:textId="77777777" w:rsidR="00B0544E" w:rsidRPr="006D52A9" w:rsidRDefault="00B0544E" w:rsidP="00B0544E">
      <w:pPr>
        <w:pStyle w:val="paragraph"/>
      </w:pPr>
      <w:r w:rsidRPr="006D52A9">
        <w:tab/>
        <w:t>(b)</w:t>
      </w:r>
      <w:r w:rsidRPr="006D52A9">
        <w:tab/>
        <w:t>if the approved hospital authority is not able to keep the records—the authorised prescriber.</w:t>
      </w:r>
    </w:p>
    <w:p w14:paraId="2C65870A" w14:textId="77777777" w:rsidR="0032007B" w:rsidRPr="006D52A9" w:rsidRDefault="0032007B" w:rsidP="0032007B">
      <w:pPr>
        <w:pStyle w:val="subsection"/>
      </w:pPr>
      <w:r w:rsidRPr="006D52A9">
        <w:tab/>
        <w:t>(2)</w:t>
      </w:r>
      <w:r w:rsidRPr="006D52A9">
        <w:tab/>
        <w:t>The records must be kept for 2 years after the date the prescription to which the records relate is written.</w:t>
      </w:r>
    </w:p>
    <w:p w14:paraId="4DFA5F27" w14:textId="77777777" w:rsidR="0032007B" w:rsidRPr="006D52A9" w:rsidRDefault="000B6A22" w:rsidP="0032007B">
      <w:pPr>
        <w:pStyle w:val="ActHead3"/>
        <w:pageBreakBefore/>
      </w:pPr>
      <w:bookmarkStart w:id="31" w:name="_Toc66968123"/>
      <w:r w:rsidRPr="00A757E4">
        <w:rPr>
          <w:rStyle w:val="CharDivNo"/>
        </w:rPr>
        <w:lastRenderedPageBreak/>
        <w:t>Division 3</w:t>
      </w:r>
      <w:r w:rsidR="0032007B" w:rsidRPr="006D52A9">
        <w:t>—</w:t>
      </w:r>
      <w:r w:rsidR="0032007B" w:rsidRPr="00A757E4">
        <w:rPr>
          <w:rStyle w:val="CharDivText"/>
        </w:rPr>
        <w:t>Supply</w:t>
      </w:r>
      <w:r w:rsidR="00871FBF" w:rsidRPr="00A757E4">
        <w:rPr>
          <w:rStyle w:val="CharDivText"/>
        </w:rPr>
        <w:t>ing</w:t>
      </w:r>
      <w:r w:rsidR="0032007B" w:rsidRPr="00A757E4">
        <w:rPr>
          <w:rStyle w:val="CharDivText"/>
        </w:rPr>
        <w:t xml:space="preserve"> HSD pharmaceutical benefits</w:t>
      </w:r>
      <w:bookmarkEnd w:id="31"/>
    </w:p>
    <w:p w14:paraId="192130D0" w14:textId="77777777" w:rsidR="009670B2" w:rsidRPr="006D52A9" w:rsidRDefault="005F407C" w:rsidP="009670B2">
      <w:pPr>
        <w:pStyle w:val="ActHead5"/>
      </w:pPr>
      <w:bookmarkStart w:id="32" w:name="_Toc66968124"/>
      <w:r w:rsidRPr="00A757E4">
        <w:rPr>
          <w:rStyle w:val="CharSectno"/>
        </w:rPr>
        <w:t>24</w:t>
      </w:r>
      <w:r w:rsidR="009670B2" w:rsidRPr="006D52A9">
        <w:t xml:space="preserve">  Special patient contribution for certain HSD pharmaceutical benefits</w:t>
      </w:r>
      <w:bookmarkEnd w:id="32"/>
    </w:p>
    <w:p w14:paraId="295A66A4" w14:textId="77777777" w:rsidR="003825DE" w:rsidRPr="006D52A9" w:rsidRDefault="003825DE" w:rsidP="003825DE">
      <w:pPr>
        <w:pStyle w:val="subsection"/>
      </w:pPr>
      <w:r w:rsidRPr="006D52A9">
        <w:tab/>
        <w:t>(1)</w:t>
      </w:r>
      <w:r w:rsidRPr="006D52A9">
        <w:tab/>
        <w:t>This section applies to a special arrangement supply of an HSD pharmaceutical benefit mentioned in the following table.</w:t>
      </w:r>
    </w:p>
    <w:p w14:paraId="0C207B92" w14:textId="77777777" w:rsidR="002B5D68" w:rsidRPr="006D52A9" w:rsidRDefault="002B5D68" w:rsidP="002B5D6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4"/>
        <w:gridCol w:w="1310"/>
        <w:gridCol w:w="1745"/>
        <w:gridCol w:w="1600"/>
        <w:gridCol w:w="1018"/>
        <w:gridCol w:w="1018"/>
        <w:gridCol w:w="1114"/>
      </w:tblGrid>
      <w:tr w:rsidR="006F339D" w:rsidRPr="006D52A9" w14:paraId="5ED546AA" w14:textId="77777777" w:rsidTr="00BE5990">
        <w:trPr>
          <w:tblHeader/>
        </w:trPr>
        <w:tc>
          <w:tcPr>
            <w:tcW w:w="5000" w:type="pct"/>
            <w:gridSpan w:val="7"/>
            <w:tcBorders>
              <w:top w:val="single" w:sz="12" w:space="0" w:color="auto"/>
              <w:bottom w:val="single" w:sz="6" w:space="0" w:color="auto"/>
            </w:tcBorders>
            <w:shd w:val="clear" w:color="auto" w:fill="auto"/>
          </w:tcPr>
          <w:p w14:paraId="55314949" w14:textId="77777777" w:rsidR="006F339D" w:rsidRPr="006D52A9" w:rsidRDefault="006F339D" w:rsidP="002B5D68">
            <w:pPr>
              <w:pStyle w:val="TableHeading"/>
            </w:pPr>
            <w:r w:rsidRPr="006D52A9">
              <w:t>Special patient contribution for certain HSD pharmaceutical benefits</w:t>
            </w:r>
          </w:p>
        </w:tc>
      </w:tr>
      <w:tr w:rsidR="006F339D" w:rsidRPr="006D52A9" w14:paraId="3E0B2CBC" w14:textId="77777777" w:rsidTr="00BE5990">
        <w:trPr>
          <w:tblHeader/>
        </w:trPr>
        <w:tc>
          <w:tcPr>
            <w:tcW w:w="424" w:type="pct"/>
            <w:tcBorders>
              <w:top w:val="single" w:sz="6" w:space="0" w:color="auto"/>
              <w:bottom w:val="single" w:sz="12" w:space="0" w:color="auto"/>
            </w:tcBorders>
            <w:shd w:val="clear" w:color="auto" w:fill="auto"/>
          </w:tcPr>
          <w:p w14:paraId="3704DD19" w14:textId="77777777" w:rsidR="006F339D" w:rsidRPr="006D52A9" w:rsidRDefault="006F339D" w:rsidP="002B5D68">
            <w:pPr>
              <w:pStyle w:val="TableHeading"/>
            </w:pPr>
            <w:r w:rsidRPr="006D52A9">
              <w:t>Item</w:t>
            </w:r>
          </w:p>
        </w:tc>
        <w:tc>
          <w:tcPr>
            <w:tcW w:w="768" w:type="pct"/>
            <w:tcBorders>
              <w:top w:val="single" w:sz="6" w:space="0" w:color="auto"/>
              <w:bottom w:val="single" w:sz="12" w:space="0" w:color="auto"/>
            </w:tcBorders>
            <w:shd w:val="clear" w:color="auto" w:fill="auto"/>
          </w:tcPr>
          <w:p w14:paraId="50A2CCCA" w14:textId="77777777" w:rsidR="006F339D" w:rsidRPr="006D52A9" w:rsidRDefault="006F339D" w:rsidP="002B5D68">
            <w:pPr>
              <w:pStyle w:val="TableHeading"/>
            </w:pPr>
            <w:r w:rsidRPr="006D52A9">
              <w:t>Drug</w:t>
            </w:r>
          </w:p>
        </w:tc>
        <w:tc>
          <w:tcPr>
            <w:tcW w:w="1023" w:type="pct"/>
            <w:tcBorders>
              <w:top w:val="single" w:sz="6" w:space="0" w:color="auto"/>
              <w:bottom w:val="single" w:sz="12" w:space="0" w:color="auto"/>
            </w:tcBorders>
            <w:shd w:val="clear" w:color="auto" w:fill="auto"/>
          </w:tcPr>
          <w:p w14:paraId="109750E1" w14:textId="77777777" w:rsidR="006F339D" w:rsidRPr="006D52A9" w:rsidRDefault="006F339D" w:rsidP="002B5D68">
            <w:pPr>
              <w:pStyle w:val="TableHeading"/>
            </w:pPr>
            <w:r w:rsidRPr="006D52A9">
              <w:t>Form</w:t>
            </w:r>
          </w:p>
        </w:tc>
        <w:tc>
          <w:tcPr>
            <w:tcW w:w="938" w:type="pct"/>
            <w:tcBorders>
              <w:top w:val="single" w:sz="6" w:space="0" w:color="auto"/>
              <w:bottom w:val="single" w:sz="12" w:space="0" w:color="auto"/>
            </w:tcBorders>
            <w:shd w:val="clear" w:color="auto" w:fill="auto"/>
          </w:tcPr>
          <w:p w14:paraId="18068602" w14:textId="77777777" w:rsidR="006F339D" w:rsidRPr="006D52A9" w:rsidRDefault="006F339D" w:rsidP="002B5D68">
            <w:pPr>
              <w:pStyle w:val="TableHeading"/>
            </w:pPr>
            <w:r w:rsidRPr="006D52A9">
              <w:t>Manner of administration</w:t>
            </w:r>
          </w:p>
        </w:tc>
        <w:tc>
          <w:tcPr>
            <w:tcW w:w="597" w:type="pct"/>
            <w:tcBorders>
              <w:top w:val="single" w:sz="6" w:space="0" w:color="auto"/>
              <w:bottom w:val="single" w:sz="12" w:space="0" w:color="auto"/>
            </w:tcBorders>
            <w:shd w:val="clear" w:color="auto" w:fill="auto"/>
          </w:tcPr>
          <w:p w14:paraId="4D4FAC07" w14:textId="77777777" w:rsidR="006F339D" w:rsidRPr="006D52A9" w:rsidRDefault="006F339D" w:rsidP="002B5D68">
            <w:pPr>
              <w:pStyle w:val="TableHeading"/>
            </w:pPr>
            <w:r w:rsidRPr="006D52A9">
              <w:t>Brand</w:t>
            </w:r>
          </w:p>
        </w:tc>
        <w:tc>
          <w:tcPr>
            <w:tcW w:w="597" w:type="pct"/>
            <w:tcBorders>
              <w:top w:val="single" w:sz="6" w:space="0" w:color="auto"/>
              <w:bottom w:val="single" w:sz="12" w:space="0" w:color="auto"/>
            </w:tcBorders>
            <w:shd w:val="clear" w:color="auto" w:fill="auto"/>
          </w:tcPr>
          <w:p w14:paraId="04877651" w14:textId="77777777" w:rsidR="006F339D" w:rsidRPr="006D52A9" w:rsidRDefault="006F339D" w:rsidP="002B5D68">
            <w:pPr>
              <w:pStyle w:val="TableHeading"/>
            </w:pPr>
            <w:r w:rsidRPr="006D52A9">
              <w:t>Pack quantity</w:t>
            </w:r>
          </w:p>
        </w:tc>
        <w:tc>
          <w:tcPr>
            <w:tcW w:w="653" w:type="pct"/>
            <w:tcBorders>
              <w:top w:val="single" w:sz="6" w:space="0" w:color="auto"/>
              <w:bottom w:val="single" w:sz="12" w:space="0" w:color="auto"/>
            </w:tcBorders>
            <w:shd w:val="clear" w:color="auto" w:fill="auto"/>
          </w:tcPr>
          <w:p w14:paraId="5BD2B8DF" w14:textId="77777777" w:rsidR="006F339D" w:rsidRPr="006D52A9" w:rsidRDefault="006F339D" w:rsidP="002B5D68">
            <w:pPr>
              <w:pStyle w:val="TableHeading"/>
            </w:pPr>
            <w:r w:rsidRPr="006D52A9">
              <w:t>Claimed price ($)</w:t>
            </w:r>
          </w:p>
        </w:tc>
      </w:tr>
      <w:tr w:rsidR="006F339D" w:rsidRPr="006D52A9" w14:paraId="716476DE" w14:textId="77777777" w:rsidTr="00BE5990">
        <w:tc>
          <w:tcPr>
            <w:tcW w:w="424" w:type="pct"/>
            <w:tcBorders>
              <w:top w:val="single" w:sz="12" w:space="0" w:color="auto"/>
              <w:bottom w:val="single" w:sz="2" w:space="0" w:color="auto"/>
            </w:tcBorders>
            <w:shd w:val="clear" w:color="auto" w:fill="auto"/>
          </w:tcPr>
          <w:p w14:paraId="4DC00D73" w14:textId="77777777" w:rsidR="006F339D" w:rsidRPr="006D52A9" w:rsidRDefault="006F339D" w:rsidP="002B5D68">
            <w:pPr>
              <w:pStyle w:val="Tabletext"/>
            </w:pPr>
            <w:r w:rsidRPr="006D52A9">
              <w:t>1</w:t>
            </w:r>
          </w:p>
        </w:tc>
        <w:tc>
          <w:tcPr>
            <w:tcW w:w="768" w:type="pct"/>
            <w:tcBorders>
              <w:top w:val="single" w:sz="12" w:space="0" w:color="auto"/>
              <w:bottom w:val="single" w:sz="2" w:space="0" w:color="auto"/>
            </w:tcBorders>
            <w:shd w:val="clear" w:color="auto" w:fill="auto"/>
          </w:tcPr>
          <w:p w14:paraId="5BD0D6DB" w14:textId="77777777" w:rsidR="006F339D" w:rsidRPr="006D52A9" w:rsidRDefault="006F339D" w:rsidP="002B5D68">
            <w:pPr>
              <w:pStyle w:val="Tabletext"/>
            </w:pPr>
            <w:r w:rsidRPr="006D52A9">
              <w:t>Lamivudine</w:t>
            </w:r>
          </w:p>
        </w:tc>
        <w:tc>
          <w:tcPr>
            <w:tcW w:w="1023" w:type="pct"/>
            <w:tcBorders>
              <w:top w:val="single" w:sz="12" w:space="0" w:color="auto"/>
              <w:bottom w:val="single" w:sz="2" w:space="0" w:color="auto"/>
            </w:tcBorders>
            <w:shd w:val="clear" w:color="auto" w:fill="auto"/>
          </w:tcPr>
          <w:p w14:paraId="75CF86D7" w14:textId="77777777" w:rsidR="006F339D" w:rsidRPr="006D52A9" w:rsidRDefault="006F339D" w:rsidP="002B5D68">
            <w:pPr>
              <w:pStyle w:val="Tabletext"/>
            </w:pPr>
            <w:r w:rsidRPr="006D52A9">
              <w:t>Tablet 100 mg</w:t>
            </w:r>
          </w:p>
        </w:tc>
        <w:tc>
          <w:tcPr>
            <w:tcW w:w="938" w:type="pct"/>
            <w:tcBorders>
              <w:top w:val="single" w:sz="12" w:space="0" w:color="auto"/>
              <w:bottom w:val="single" w:sz="2" w:space="0" w:color="auto"/>
            </w:tcBorders>
            <w:shd w:val="clear" w:color="auto" w:fill="auto"/>
          </w:tcPr>
          <w:p w14:paraId="3574ECE7" w14:textId="77777777" w:rsidR="006F339D" w:rsidRPr="006D52A9" w:rsidRDefault="006F339D" w:rsidP="002B5D68">
            <w:pPr>
              <w:pStyle w:val="Tabletext"/>
            </w:pPr>
            <w:r w:rsidRPr="006D52A9">
              <w:t>Oral</w:t>
            </w:r>
          </w:p>
        </w:tc>
        <w:tc>
          <w:tcPr>
            <w:tcW w:w="597" w:type="pct"/>
            <w:tcBorders>
              <w:top w:val="single" w:sz="12" w:space="0" w:color="auto"/>
              <w:bottom w:val="single" w:sz="2" w:space="0" w:color="auto"/>
            </w:tcBorders>
            <w:shd w:val="clear" w:color="auto" w:fill="auto"/>
          </w:tcPr>
          <w:p w14:paraId="61B12B10" w14:textId="77777777" w:rsidR="006F339D" w:rsidRPr="006D52A9" w:rsidRDefault="006F339D" w:rsidP="002B5D68">
            <w:pPr>
              <w:pStyle w:val="Tabletext"/>
            </w:pPr>
            <w:r w:rsidRPr="006D52A9">
              <w:t>Zeffix</w:t>
            </w:r>
          </w:p>
        </w:tc>
        <w:tc>
          <w:tcPr>
            <w:tcW w:w="597" w:type="pct"/>
            <w:tcBorders>
              <w:top w:val="single" w:sz="12" w:space="0" w:color="auto"/>
              <w:bottom w:val="single" w:sz="2" w:space="0" w:color="auto"/>
            </w:tcBorders>
            <w:shd w:val="clear" w:color="auto" w:fill="auto"/>
          </w:tcPr>
          <w:p w14:paraId="64CDFA26" w14:textId="77777777" w:rsidR="006F339D" w:rsidRPr="006D52A9" w:rsidRDefault="006F339D" w:rsidP="002B5D68">
            <w:pPr>
              <w:pStyle w:val="Tabletext"/>
            </w:pPr>
            <w:r w:rsidRPr="006D52A9">
              <w:t>28</w:t>
            </w:r>
          </w:p>
        </w:tc>
        <w:tc>
          <w:tcPr>
            <w:tcW w:w="653" w:type="pct"/>
            <w:tcBorders>
              <w:top w:val="single" w:sz="12" w:space="0" w:color="auto"/>
              <w:bottom w:val="single" w:sz="2" w:space="0" w:color="auto"/>
            </w:tcBorders>
            <w:shd w:val="clear" w:color="auto" w:fill="auto"/>
            <w:vAlign w:val="center"/>
          </w:tcPr>
          <w:p w14:paraId="4D026EE0" w14:textId="77777777" w:rsidR="006F339D" w:rsidRPr="006D52A9" w:rsidRDefault="006F339D" w:rsidP="00B15918">
            <w:pPr>
              <w:pStyle w:val="Tabletext"/>
            </w:pPr>
            <w:r w:rsidRPr="006D52A9">
              <w:t>35.30</w:t>
            </w:r>
          </w:p>
        </w:tc>
      </w:tr>
      <w:tr w:rsidR="006F339D" w:rsidRPr="006D52A9" w14:paraId="61457BBD" w14:textId="77777777" w:rsidTr="00BE5990">
        <w:tc>
          <w:tcPr>
            <w:tcW w:w="424" w:type="pct"/>
            <w:tcBorders>
              <w:top w:val="single" w:sz="2" w:space="0" w:color="auto"/>
              <w:bottom w:val="single" w:sz="12" w:space="0" w:color="auto"/>
            </w:tcBorders>
            <w:shd w:val="clear" w:color="auto" w:fill="auto"/>
          </w:tcPr>
          <w:p w14:paraId="36310747" w14:textId="77777777" w:rsidR="006F339D" w:rsidRPr="006D52A9" w:rsidRDefault="006F339D" w:rsidP="002B5D68">
            <w:pPr>
              <w:pStyle w:val="Tabletext"/>
            </w:pPr>
            <w:r w:rsidRPr="006D52A9">
              <w:t>2</w:t>
            </w:r>
          </w:p>
        </w:tc>
        <w:tc>
          <w:tcPr>
            <w:tcW w:w="768" w:type="pct"/>
            <w:tcBorders>
              <w:top w:val="single" w:sz="2" w:space="0" w:color="auto"/>
              <w:bottom w:val="single" w:sz="12" w:space="0" w:color="auto"/>
            </w:tcBorders>
            <w:shd w:val="clear" w:color="auto" w:fill="auto"/>
          </w:tcPr>
          <w:p w14:paraId="11F1068A" w14:textId="77777777" w:rsidR="006F339D" w:rsidRPr="006D52A9" w:rsidRDefault="006F339D" w:rsidP="002B5D68">
            <w:pPr>
              <w:pStyle w:val="Tabletext"/>
            </w:pPr>
            <w:r w:rsidRPr="006D52A9">
              <w:t>Valaciclovir</w:t>
            </w:r>
          </w:p>
        </w:tc>
        <w:tc>
          <w:tcPr>
            <w:tcW w:w="1023" w:type="pct"/>
            <w:tcBorders>
              <w:top w:val="single" w:sz="2" w:space="0" w:color="auto"/>
              <w:bottom w:val="single" w:sz="12" w:space="0" w:color="auto"/>
            </w:tcBorders>
            <w:shd w:val="clear" w:color="auto" w:fill="auto"/>
          </w:tcPr>
          <w:p w14:paraId="66948424" w14:textId="77777777" w:rsidR="006F339D" w:rsidRPr="006D52A9" w:rsidRDefault="006F339D" w:rsidP="002B5D68">
            <w:pPr>
              <w:pStyle w:val="Tabletext"/>
            </w:pPr>
            <w:r w:rsidRPr="006D52A9">
              <w:t>Tablet 500 mg (as hydrochloride)</w:t>
            </w:r>
          </w:p>
        </w:tc>
        <w:tc>
          <w:tcPr>
            <w:tcW w:w="938" w:type="pct"/>
            <w:tcBorders>
              <w:top w:val="single" w:sz="2" w:space="0" w:color="auto"/>
              <w:bottom w:val="single" w:sz="12" w:space="0" w:color="auto"/>
            </w:tcBorders>
            <w:shd w:val="clear" w:color="auto" w:fill="auto"/>
          </w:tcPr>
          <w:p w14:paraId="6A9E5921" w14:textId="77777777" w:rsidR="006F339D" w:rsidRPr="006D52A9" w:rsidRDefault="006F339D" w:rsidP="002B5D68">
            <w:pPr>
              <w:pStyle w:val="Tabletext"/>
            </w:pPr>
            <w:r w:rsidRPr="006D52A9">
              <w:t>Oral</w:t>
            </w:r>
          </w:p>
        </w:tc>
        <w:tc>
          <w:tcPr>
            <w:tcW w:w="597" w:type="pct"/>
            <w:tcBorders>
              <w:top w:val="single" w:sz="2" w:space="0" w:color="auto"/>
              <w:bottom w:val="single" w:sz="12" w:space="0" w:color="auto"/>
            </w:tcBorders>
            <w:shd w:val="clear" w:color="auto" w:fill="auto"/>
          </w:tcPr>
          <w:p w14:paraId="57CE3116" w14:textId="77777777" w:rsidR="006F339D" w:rsidRPr="006D52A9" w:rsidRDefault="006F339D" w:rsidP="002B5D68">
            <w:pPr>
              <w:pStyle w:val="Tabletext"/>
            </w:pPr>
            <w:r w:rsidRPr="006D52A9">
              <w:t>Valtrex</w:t>
            </w:r>
          </w:p>
        </w:tc>
        <w:tc>
          <w:tcPr>
            <w:tcW w:w="597" w:type="pct"/>
            <w:tcBorders>
              <w:top w:val="single" w:sz="2" w:space="0" w:color="auto"/>
              <w:bottom w:val="single" w:sz="12" w:space="0" w:color="auto"/>
            </w:tcBorders>
            <w:shd w:val="clear" w:color="auto" w:fill="auto"/>
          </w:tcPr>
          <w:p w14:paraId="1C3DFAA0" w14:textId="77777777" w:rsidR="006F339D" w:rsidRPr="006D52A9" w:rsidRDefault="006F339D" w:rsidP="002B5D68">
            <w:pPr>
              <w:pStyle w:val="Tabletext"/>
            </w:pPr>
            <w:r w:rsidRPr="006D52A9">
              <w:t>100</w:t>
            </w:r>
          </w:p>
        </w:tc>
        <w:tc>
          <w:tcPr>
            <w:tcW w:w="653" w:type="pct"/>
            <w:tcBorders>
              <w:top w:val="single" w:sz="2" w:space="0" w:color="auto"/>
              <w:bottom w:val="single" w:sz="12" w:space="0" w:color="auto"/>
            </w:tcBorders>
            <w:shd w:val="clear" w:color="auto" w:fill="auto"/>
            <w:vAlign w:val="center"/>
          </w:tcPr>
          <w:p w14:paraId="10C4999B" w14:textId="77777777" w:rsidR="006F339D" w:rsidRPr="006D52A9" w:rsidRDefault="006F339D" w:rsidP="00B15918">
            <w:pPr>
              <w:pStyle w:val="Tabletext"/>
            </w:pPr>
            <w:r w:rsidRPr="006D52A9">
              <w:t>44.64</w:t>
            </w:r>
          </w:p>
        </w:tc>
      </w:tr>
    </w:tbl>
    <w:p w14:paraId="41A8F6D9" w14:textId="77777777" w:rsidR="003825DE" w:rsidRPr="006D52A9" w:rsidRDefault="003825DE" w:rsidP="003825DE">
      <w:pPr>
        <w:pStyle w:val="subsection"/>
      </w:pPr>
      <w:r w:rsidRPr="006D52A9">
        <w:tab/>
        <w:t>(2)</w:t>
      </w:r>
      <w:r w:rsidRPr="006D52A9">
        <w:tab/>
        <w:t xml:space="preserve">The </w:t>
      </w:r>
      <w:r w:rsidRPr="006D52A9">
        <w:rPr>
          <w:b/>
          <w:i/>
        </w:rPr>
        <w:t>special patient contribution</w:t>
      </w:r>
      <w:r w:rsidRPr="006D52A9">
        <w:t xml:space="preserve"> for a pack quantity of a listed brand of a pharmaceutical item mentioned in the table is the amount that is the difference between:</w:t>
      </w:r>
    </w:p>
    <w:p w14:paraId="0A12BFF9" w14:textId="77777777" w:rsidR="003825DE" w:rsidRPr="006D52A9" w:rsidRDefault="003825DE" w:rsidP="003825DE">
      <w:pPr>
        <w:pStyle w:val="paragraph"/>
      </w:pPr>
      <w:r w:rsidRPr="006D52A9">
        <w:tab/>
        <w:t>(a)</w:t>
      </w:r>
      <w:r w:rsidRPr="006D52A9">
        <w:tab/>
        <w:t xml:space="preserve">the price that would have been the </w:t>
      </w:r>
      <w:r w:rsidRPr="006D52A9">
        <w:rPr>
          <w:szCs w:val="24"/>
        </w:rPr>
        <w:t xml:space="preserve">dispensed </w:t>
      </w:r>
      <w:r w:rsidRPr="006D52A9">
        <w:t xml:space="preserve">price for that quantity of the brand of the pharmaceutical item if that </w:t>
      </w:r>
      <w:r w:rsidRPr="006D52A9">
        <w:rPr>
          <w:szCs w:val="24"/>
        </w:rPr>
        <w:t xml:space="preserve">dispensed </w:t>
      </w:r>
      <w:r w:rsidRPr="006D52A9">
        <w:t>price had been based on the claimed price</w:t>
      </w:r>
      <w:r w:rsidR="007E7DA0" w:rsidRPr="006D52A9">
        <w:t xml:space="preserve"> (within the meaning of Part VII of the Act)</w:t>
      </w:r>
      <w:r w:rsidRPr="006D52A9">
        <w:t xml:space="preserve"> mentioned in the table for that quantity; and</w:t>
      </w:r>
    </w:p>
    <w:p w14:paraId="0C5B5E78" w14:textId="77777777" w:rsidR="003825DE" w:rsidRPr="006D52A9" w:rsidRDefault="003825DE" w:rsidP="003825DE">
      <w:pPr>
        <w:pStyle w:val="paragraph"/>
      </w:pPr>
      <w:r w:rsidRPr="006D52A9">
        <w:tab/>
        <w:t>(b)</w:t>
      </w:r>
      <w:r w:rsidRPr="006D52A9">
        <w:tab/>
        <w:t>the dispensed price for that quantity of the brand of the pharmaceutical item.</w:t>
      </w:r>
    </w:p>
    <w:p w14:paraId="2843DF1D" w14:textId="77777777" w:rsidR="009670B2" w:rsidRPr="006D52A9" w:rsidRDefault="009670B2" w:rsidP="009670B2">
      <w:pPr>
        <w:pStyle w:val="subsection"/>
      </w:pPr>
      <w:r w:rsidRPr="006D52A9">
        <w:tab/>
        <w:t>(3)</w:t>
      </w:r>
      <w:r w:rsidRPr="006D52A9">
        <w:tab/>
        <w:t xml:space="preserve">This section applies despite </w:t>
      </w:r>
      <w:r w:rsidR="000E2607" w:rsidRPr="006D52A9">
        <w:t>subsection 8</w:t>
      </w:r>
      <w:r w:rsidRPr="006D52A9">
        <w:t>5B(5) of the Act.</w:t>
      </w:r>
    </w:p>
    <w:p w14:paraId="4ED313E1" w14:textId="77777777" w:rsidR="006B0D76" w:rsidRPr="006D52A9" w:rsidRDefault="005F407C" w:rsidP="006B0D76">
      <w:pPr>
        <w:pStyle w:val="ActHead5"/>
      </w:pPr>
      <w:bookmarkStart w:id="33" w:name="_Toc66968125"/>
      <w:r w:rsidRPr="00A757E4">
        <w:rPr>
          <w:rStyle w:val="CharSectno"/>
        </w:rPr>
        <w:t>25</w:t>
      </w:r>
      <w:r w:rsidR="006B0D76" w:rsidRPr="006D52A9">
        <w:t xml:space="preserve">  Modified application of conditions of approval</w:t>
      </w:r>
      <w:r w:rsidR="007C7747" w:rsidRPr="006D52A9">
        <w:t xml:space="preserve"> of approved pharmacists</w:t>
      </w:r>
      <w:bookmarkEnd w:id="33"/>
    </w:p>
    <w:p w14:paraId="12AE8F5C" w14:textId="77777777" w:rsidR="006B0D76" w:rsidRPr="006D52A9" w:rsidRDefault="00C11F62" w:rsidP="006B0D76">
      <w:pPr>
        <w:pStyle w:val="subsection"/>
      </w:pPr>
      <w:r w:rsidRPr="006D52A9">
        <w:rPr>
          <w:szCs w:val="24"/>
        </w:rPr>
        <w:tab/>
      </w:r>
      <w:r w:rsidRPr="006D52A9">
        <w:rPr>
          <w:szCs w:val="24"/>
        </w:rPr>
        <w:tab/>
        <w:t>Section 8</w:t>
      </w:r>
      <w:r w:rsidR="006B0D76" w:rsidRPr="006D52A9">
        <w:rPr>
          <w:szCs w:val="24"/>
        </w:rPr>
        <w:t xml:space="preserve"> of the </w:t>
      </w:r>
      <w:r w:rsidR="007C7747" w:rsidRPr="006D52A9">
        <w:rPr>
          <w:i/>
          <w:iCs/>
          <w:color w:val="000000"/>
          <w:shd w:val="clear" w:color="auto" w:fill="FFFFFF"/>
        </w:rPr>
        <w:t xml:space="preserve">National Health (Pharmaceutical Benefits) (Conditions of approval for approved pharmacists) </w:t>
      </w:r>
      <w:r w:rsidR="007008C3" w:rsidRPr="006D52A9">
        <w:rPr>
          <w:i/>
          <w:iCs/>
          <w:color w:val="000000"/>
          <w:shd w:val="clear" w:color="auto" w:fill="FFFFFF"/>
        </w:rPr>
        <w:t>Determination 2</w:t>
      </w:r>
      <w:r w:rsidR="007C7747" w:rsidRPr="006D52A9">
        <w:rPr>
          <w:i/>
          <w:iCs/>
          <w:color w:val="000000"/>
          <w:shd w:val="clear" w:color="auto" w:fill="FFFFFF"/>
        </w:rPr>
        <w:t>017</w:t>
      </w:r>
      <w:r w:rsidR="007C7747" w:rsidRPr="006D52A9">
        <w:rPr>
          <w:iCs/>
          <w:color w:val="000000"/>
          <w:shd w:val="clear" w:color="auto" w:fill="FFFFFF"/>
        </w:rPr>
        <w:t xml:space="preserve"> (PB 70 of 2017)</w:t>
      </w:r>
      <w:r w:rsidR="006B0D76" w:rsidRPr="006D52A9">
        <w:rPr>
          <w:szCs w:val="24"/>
        </w:rPr>
        <w:t xml:space="preserve"> does not apply to </w:t>
      </w:r>
      <w:r w:rsidR="006E5AC1" w:rsidRPr="006D52A9">
        <w:rPr>
          <w:szCs w:val="24"/>
        </w:rPr>
        <w:t>a special arrangement</w:t>
      </w:r>
      <w:r w:rsidR="006B0D76" w:rsidRPr="006D52A9">
        <w:rPr>
          <w:szCs w:val="24"/>
        </w:rPr>
        <w:t xml:space="preserve"> supply of a</w:t>
      </w:r>
      <w:r w:rsidR="00EB0FE9" w:rsidRPr="006D52A9">
        <w:rPr>
          <w:szCs w:val="24"/>
        </w:rPr>
        <w:t>n</w:t>
      </w:r>
      <w:r w:rsidR="006B0D76" w:rsidRPr="006D52A9">
        <w:rPr>
          <w:szCs w:val="24"/>
        </w:rPr>
        <w:t xml:space="preserve"> HSD pharmaceutical benefit, once prepared as a final product ready for infusion to a person, </w:t>
      </w:r>
      <w:r w:rsidR="006E5AC1" w:rsidRPr="006D52A9">
        <w:rPr>
          <w:szCs w:val="24"/>
        </w:rPr>
        <w:t xml:space="preserve">if </w:t>
      </w:r>
      <w:r w:rsidR="006B0D76" w:rsidRPr="006D52A9">
        <w:rPr>
          <w:szCs w:val="24"/>
        </w:rPr>
        <w:t>the benefit has a physical, chemical or biological stability restricting its clinically effective shelf life to 8 hours or less.</w:t>
      </w:r>
    </w:p>
    <w:p w14:paraId="4DBE701F" w14:textId="77777777" w:rsidR="005008B3" w:rsidRPr="006D52A9" w:rsidRDefault="005F407C" w:rsidP="005008B3">
      <w:pPr>
        <w:pStyle w:val="ActHead5"/>
      </w:pPr>
      <w:bookmarkStart w:id="34" w:name="_Toc66968126"/>
      <w:r w:rsidRPr="00A757E4">
        <w:rPr>
          <w:rStyle w:val="CharSectno"/>
        </w:rPr>
        <w:t>26</w:t>
      </w:r>
      <w:r w:rsidR="005008B3" w:rsidRPr="006D52A9">
        <w:t xml:space="preserve">  Supplies </w:t>
      </w:r>
      <w:r w:rsidR="00BA1F2D" w:rsidRPr="006D52A9">
        <w:t xml:space="preserve">by </w:t>
      </w:r>
      <w:r w:rsidR="009821AB" w:rsidRPr="006D52A9">
        <w:t xml:space="preserve">HSD </w:t>
      </w:r>
      <w:r w:rsidR="00BA1F2D" w:rsidRPr="006D52A9">
        <w:t>hospital authori</w:t>
      </w:r>
      <w:r w:rsidR="009821AB" w:rsidRPr="006D52A9">
        <w:t xml:space="preserve">ties </w:t>
      </w:r>
      <w:r w:rsidR="00B15918" w:rsidRPr="006D52A9">
        <w:t xml:space="preserve">need not be directly to </w:t>
      </w:r>
      <w:r w:rsidR="00B37A13" w:rsidRPr="006D52A9">
        <w:t>persons</w:t>
      </w:r>
      <w:bookmarkEnd w:id="34"/>
    </w:p>
    <w:p w14:paraId="1DE03BD7" w14:textId="77777777" w:rsidR="005008B3" w:rsidRPr="006D52A9" w:rsidRDefault="005008B3" w:rsidP="005008B3">
      <w:pPr>
        <w:pStyle w:val="subsection"/>
      </w:pPr>
      <w:r w:rsidRPr="006D52A9">
        <w:tab/>
        <w:t>(1)</w:t>
      </w:r>
      <w:r w:rsidRPr="006D52A9">
        <w:tab/>
        <w:t xml:space="preserve">An </w:t>
      </w:r>
      <w:r w:rsidR="00D431FB" w:rsidRPr="006D52A9">
        <w:t xml:space="preserve">HSD </w:t>
      </w:r>
      <w:r w:rsidR="00BA1F2D" w:rsidRPr="006D52A9">
        <w:t xml:space="preserve">hospital authority </w:t>
      </w:r>
      <w:r w:rsidRPr="006D52A9">
        <w:t xml:space="preserve">may make a special arrangement supply of an HSD pharmaceutical benefit to a </w:t>
      </w:r>
      <w:r w:rsidR="001023C3" w:rsidRPr="006D52A9">
        <w:t>person</w:t>
      </w:r>
      <w:r w:rsidRPr="006D52A9">
        <w:t>:</w:t>
      </w:r>
    </w:p>
    <w:p w14:paraId="3E647422" w14:textId="77777777" w:rsidR="005008B3" w:rsidRPr="006D52A9" w:rsidRDefault="005008B3" w:rsidP="005008B3">
      <w:pPr>
        <w:pStyle w:val="paragraph"/>
      </w:pPr>
      <w:r w:rsidRPr="006D52A9">
        <w:tab/>
        <w:t>(a)</w:t>
      </w:r>
      <w:r w:rsidRPr="006D52A9">
        <w:tab/>
        <w:t xml:space="preserve">other than directly to the </w:t>
      </w:r>
      <w:r w:rsidR="001023C3" w:rsidRPr="006D52A9">
        <w:t>person</w:t>
      </w:r>
      <w:r w:rsidRPr="006D52A9">
        <w:t>; or</w:t>
      </w:r>
    </w:p>
    <w:p w14:paraId="2EC80BB4" w14:textId="77777777" w:rsidR="005008B3" w:rsidRPr="006D52A9" w:rsidRDefault="005008B3" w:rsidP="005008B3">
      <w:pPr>
        <w:pStyle w:val="paragraph"/>
      </w:pPr>
      <w:r w:rsidRPr="006D52A9">
        <w:tab/>
        <w:t>(b)</w:t>
      </w:r>
      <w:r w:rsidRPr="006D52A9">
        <w:tab/>
        <w:t>through an agent.</w:t>
      </w:r>
    </w:p>
    <w:p w14:paraId="4B75B994" w14:textId="77777777" w:rsidR="005008B3" w:rsidRPr="006D52A9" w:rsidRDefault="005008B3" w:rsidP="005008B3">
      <w:pPr>
        <w:pStyle w:val="subsection"/>
      </w:pPr>
      <w:r w:rsidRPr="006D52A9">
        <w:tab/>
        <w:t>(2)</w:t>
      </w:r>
      <w:r w:rsidRPr="006D52A9">
        <w:tab/>
        <w:t xml:space="preserve">This section applies in addition to </w:t>
      </w:r>
      <w:r w:rsidR="00D66D59">
        <w:t>section 9</w:t>
      </w:r>
      <w:r w:rsidRPr="006D52A9">
        <w:t>4 of the Act.</w:t>
      </w:r>
    </w:p>
    <w:p w14:paraId="7E5D3DA6" w14:textId="77777777" w:rsidR="006B0D76" w:rsidRPr="006D52A9" w:rsidRDefault="005F407C" w:rsidP="006B0D76">
      <w:pPr>
        <w:pStyle w:val="ActHead5"/>
      </w:pPr>
      <w:bookmarkStart w:id="35" w:name="_Toc66968127"/>
      <w:r w:rsidRPr="00A757E4">
        <w:rPr>
          <w:rStyle w:val="CharSectno"/>
        </w:rPr>
        <w:t>27</w:t>
      </w:r>
      <w:r w:rsidR="006B0D76" w:rsidRPr="006D52A9">
        <w:t xml:space="preserve">  </w:t>
      </w:r>
      <w:r w:rsidR="00706833" w:rsidRPr="006D52A9">
        <w:t>Repeated supplies of pharmaceutical benefits</w:t>
      </w:r>
      <w:bookmarkEnd w:id="35"/>
    </w:p>
    <w:p w14:paraId="5A13162B" w14:textId="77777777" w:rsidR="006B0D76" w:rsidRPr="006D52A9" w:rsidRDefault="006B0D76" w:rsidP="006B0D76">
      <w:pPr>
        <w:pStyle w:val="subsection"/>
      </w:pPr>
      <w:r w:rsidRPr="006D52A9">
        <w:tab/>
      </w:r>
      <w:r w:rsidRPr="006D52A9">
        <w:tab/>
      </w:r>
      <w:r w:rsidR="00FD29E6" w:rsidRPr="006D52A9">
        <w:t>Section 5</w:t>
      </w:r>
      <w:r w:rsidR="00EB2FF1" w:rsidRPr="006D52A9">
        <w:t>1</w:t>
      </w:r>
      <w:r w:rsidR="006105AF" w:rsidRPr="006D52A9">
        <w:t xml:space="preserve"> of the Regulations do</w:t>
      </w:r>
      <w:r w:rsidR="00EB2FF1" w:rsidRPr="006D52A9">
        <w:t>es</w:t>
      </w:r>
      <w:r w:rsidRPr="006D52A9">
        <w:t xml:space="preserve"> not apply to </w:t>
      </w:r>
      <w:r w:rsidR="00AC3CCD" w:rsidRPr="006D52A9">
        <w:t xml:space="preserve">a special arrangement </w:t>
      </w:r>
      <w:r w:rsidRPr="006D52A9">
        <w:t>supply of HSD pharmaceutical benefits.</w:t>
      </w:r>
    </w:p>
    <w:p w14:paraId="29465C0B" w14:textId="77777777" w:rsidR="006B0D76" w:rsidRPr="006D52A9" w:rsidRDefault="000B6A22" w:rsidP="005F0118">
      <w:pPr>
        <w:pStyle w:val="ActHead2"/>
        <w:pageBreakBefore/>
      </w:pPr>
      <w:bookmarkStart w:id="36" w:name="_Toc66968128"/>
      <w:r w:rsidRPr="00A757E4">
        <w:rPr>
          <w:rStyle w:val="CharPartNo"/>
        </w:rPr>
        <w:lastRenderedPageBreak/>
        <w:t>Part 3</w:t>
      </w:r>
      <w:r w:rsidR="006B0D76" w:rsidRPr="006D52A9">
        <w:t>—</w:t>
      </w:r>
      <w:r w:rsidR="00637F56" w:rsidRPr="00A757E4">
        <w:rPr>
          <w:rStyle w:val="CharPartText"/>
        </w:rPr>
        <w:t xml:space="preserve">Payment for </w:t>
      </w:r>
      <w:r w:rsidR="00871FBF" w:rsidRPr="00A757E4">
        <w:rPr>
          <w:rStyle w:val="CharPartText"/>
        </w:rPr>
        <w:t>special arrangement supplies</w:t>
      </w:r>
      <w:r w:rsidR="00637F56" w:rsidRPr="00A757E4">
        <w:rPr>
          <w:rStyle w:val="CharPartText"/>
        </w:rPr>
        <w:t xml:space="preserve"> of HSD pharmaceutical benefits</w:t>
      </w:r>
      <w:bookmarkEnd w:id="36"/>
    </w:p>
    <w:p w14:paraId="0B45E578" w14:textId="77777777" w:rsidR="006B0D76" w:rsidRPr="006D52A9" w:rsidRDefault="008A3D12" w:rsidP="006B0D76">
      <w:pPr>
        <w:pStyle w:val="ActHead3"/>
      </w:pPr>
      <w:bookmarkStart w:id="37" w:name="_Toc66968129"/>
      <w:r w:rsidRPr="00A757E4">
        <w:rPr>
          <w:rStyle w:val="CharDivNo"/>
        </w:rPr>
        <w:t>Division 1</w:t>
      </w:r>
      <w:r w:rsidR="006B0D76" w:rsidRPr="006D52A9">
        <w:t>—</w:t>
      </w:r>
      <w:r w:rsidR="00382CE1" w:rsidRPr="00A757E4">
        <w:rPr>
          <w:rStyle w:val="CharDivText"/>
        </w:rPr>
        <w:t>S</w:t>
      </w:r>
      <w:r w:rsidR="00142832" w:rsidRPr="00A757E4">
        <w:rPr>
          <w:rStyle w:val="CharDivText"/>
        </w:rPr>
        <w:t xml:space="preserve">upplies </w:t>
      </w:r>
      <w:r w:rsidR="006B0D76" w:rsidRPr="00A757E4">
        <w:rPr>
          <w:rStyle w:val="CharDivText"/>
        </w:rPr>
        <w:t>by approved</w:t>
      </w:r>
      <w:r w:rsidR="00276936" w:rsidRPr="00A757E4">
        <w:rPr>
          <w:rStyle w:val="CharDivText"/>
        </w:rPr>
        <w:t xml:space="preserve"> hospital authorities for</w:t>
      </w:r>
      <w:r w:rsidR="006B0D76" w:rsidRPr="00A757E4">
        <w:rPr>
          <w:rStyle w:val="CharDivText"/>
        </w:rPr>
        <w:t xml:space="preserve"> public hospitals</w:t>
      </w:r>
      <w:bookmarkEnd w:id="37"/>
    </w:p>
    <w:p w14:paraId="1380ED69" w14:textId="77777777" w:rsidR="006B0D76" w:rsidRPr="006D52A9" w:rsidRDefault="005F407C" w:rsidP="006B0D76">
      <w:pPr>
        <w:pStyle w:val="ActHead5"/>
      </w:pPr>
      <w:bookmarkStart w:id="38" w:name="_Toc66968130"/>
      <w:r w:rsidRPr="00A757E4">
        <w:rPr>
          <w:rStyle w:val="CharSectno"/>
        </w:rPr>
        <w:t>28</w:t>
      </w:r>
      <w:r w:rsidR="006B0D76" w:rsidRPr="006D52A9">
        <w:t xml:space="preserve">  </w:t>
      </w:r>
      <w:r w:rsidR="00222A0E" w:rsidRPr="006D52A9">
        <w:t>Rates of payment</w:t>
      </w:r>
      <w:r w:rsidR="00AA63BB" w:rsidRPr="006D52A9">
        <w:t xml:space="preserve"> </w:t>
      </w:r>
      <w:r w:rsidR="003C0A3D" w:rsidRPr="006D52A9">
        <w:t>for approved hospital authorities for public hospitals</w:t>
      </w:r>
      <w:r w:rsidR="00A66117" w:rsidRPr="006D52A9">
        <w:t xml:space="preserve"> (Act s</w:t>
      </w:r>
      <w:r w:rsidR="00BA734E" w:rsidRPr="006D52A9">
        <w:t xml:space="preserve"> </w:t>
      </w:r>
      <w:r w:rsidR="00A66117" w:rsidRPr="006D52A9">
        <w:t>99(4))</w:t>
      </w:r>
      <w:bookmarkEnd w:id="38"/>
    </w:p>
    <w:p w14:paraId="54208D31" w14:textId="77777777" w:rsidR="006B0D76" w:rsidRPr="006D52A9" w:rsidRDefault="00DE0C2D" w:rsidP="006B0D76">
      <w:pPr>
        <w:pStyle w:val="subsection"/>
      </w:pPr>
      <w:r w:rsidRPr="006D52A9">
        <w:rPr>
          <w:color w:val="000000"/>
          <w:szCs w:val="24"/>
        </w:rPr>
        <w:tab/>
        <w:t>(1)</w:t>
      </w:r>
      <w:r w:rsidRPr="006D52A9">
        <w:rPr>
          <w:color w:val="000000"/>
          <w:szCs w:val="24"/>
        </w:rPr>
        <w:tab/>
      </w:r>
      <w:r w:rsidR="006C3E2D" w:rsidRPr="006D52A9">
        <w:rPr>
          <w:color w:val="000000"/>
          <w:szCs w:val="24"/>
        </w:rPr>
        <w:t>F</w:t>
      </w:r>
      <w:r w:rsidRPr="006D52A9">
        <w:rPr>
          <w:color w:val="000000"/>
          <w:szCs w:val="24"/>
        </w:rPr>
        <w:t xml:space="preserve">or the purposes of </w:t>
      </w:r>
      <w:r w:rsidR="000E2607" w:rsidRPr="006D52A9">
        <w:rPr>
          <w:color w:val="000000"/>
          <w:szCs w:val="24"/>
        </w:rPr>
        <w:t>sub</w:t>
      </w:r>
      <w:r w:rsidR="00D66D59">
        <w:rPr>
          <w:color w:val="000000"/>
          <w:szCs w:val="24"/>
        </w:rPr>
        <w:t>section 9</w:t>
      </w:r>
      <w:r w:rsidR="004276DB" w:rsidRPr="006D52A9">
        <w:rPr>
          <w:color w:val="000000"/>
          <w:szCs w:val="24"/>
        </w:rPr>
        <w:t>9(4) of the Act</w:t>
      </w:r>
      <w:r w:rsidR="00FD619A" w:rsidRPr="006D52A9">
        <w:rPr>
          <w:color w:val="000000"/>
          <w:szCs w:val="24"/>
        </w:rPr>
        <w:t>,</w:t>
      </w:r>
      <w:r w:rsidR="006C3E2D" w:rsidRPr="006D52A9">
        <w:rPr>
          <w:color w:val="000000"/>
          <w:szCs w:val="24"/>
        </w:rPr>
        <w:t xml:space="preserve"> t</w:t>
      </w:r>
      <w:r w:rsidR="00C31538" w:rsidRPr="006D52A9">
        <w:rPr>
          <w:color w:val="000000"/>
          <w:szCs w:val="24"/>
        </w:rPr>
        <w:t>he amount payable to a</w:t>
      </w:r>
      <w:r w:rsidR="006B0D76" w:rsidRPr="006D52A9">
        <w:rPr>
          <w:color w:val="000000"/>
          <w:szCs w:val="24"/>
        </w:rPr>
        <w:t>n approved hospital authority</w:t>
      </w:r>
      <w:r w:rsidR="00BE56D1" w:rsidRPr="006D52A9">
        <w:rPr>
          <w:color w:val="000000"/>
          <w:szCs w:val="24"/>
        </w:rPr>
        <w:t xml:space="preserve"> </w:t>
      </w:r>
      <w:r w:rsidR="006B0D76" w:rsidRPr="006D52A9">
        <w:rPr>
          <w:color w:val="000000"/>
          <w:szCs w:val="24"/>
        </w:rPr>
        <w:t>for a public hospital</w:t>
      </w:r>
      <w:r w:rsidR="00C31538" w:rsidRPr="006D52A9">
        <w:rPr>
          <w:color w:val="000000"/>
          <w:szCs w:val="24"/>
        </w:rPr>
        <w:t xml:space="preserve"> </w:t>
      </w:r>
      <w:r w:rsidR="00C31538" w:rsidRPr="006D52A9">
        <w:t>in respect of a special arrangement supply of an HSD pharmaceutical benefit by the authority</w:t>
      </w:r>
      <w:r w:rsidR="007C66C3" w:rsidRPr="006D52A9">
        <w:t xml:space="preserve"> </w:t>
      </w:r>
      <w:r w:rsidR="006B0D76" w:rsidRPr="006D52A9">
        <w:rPr>
          <w:color w:val="000000"/>
          <w:szCs w:val="24"/>
        </w:rPr>
        <w:t xml:space="preserve">is the amount, if any, by which the dispensed price for the supply of the benefit exceeds the amount that the hospital authority was entitled to charge under </w:t>
      </w:r>
      <w:r w:rsidR="000E2607" w:rsidRPr="006D52A9">
        <w:rPr>
          <w:color w:val="000000"/>
          <w:szCs w:val="24"/>
        </w:rPr>
        <w:t>section 8</w:t>
      </w:r>
      <w:r w:rsidR="00C31538" w:rsidRPr="006D52A9">
        <w:rPr>
          <w:color w:val="000000"/>
          <w:szCs w:val="24"/>
        </w:rPr>
        <w:t>7 of the Act in respect of the supply</w:t>
      </w:r>
      <w:r w:rsidR="006B0D76" w:rsidRPr="006D52A9">
        <w:rPr>
          <w:color w:val="000000"/>
          <w:szCs w:val="24"/>
        </w:rPr>
        <w:t>.</w:t>
      </w:r>
    </w:p>
    <w:p w14:paraId="7FD5658B" w14:textId="77777777" w:rsidR="002C3EFA" w:rsidRPr="006D52A9" w:rsidRDefault="002C3EFA" w:rsidP="002C3EFA">
      <w:pPr>
        <w:pStyle w:val="subsection"/>
      </w:pPr>
      <w:r w:rsidRPr="006D52A9">
        <w:tab/>
        <w:t>(</w:t>
      </w:r>
      <w:r w:rsidR="006C3E2D" w:rsidRPr="006D52A9">
        <w:t>2</w:t>
      </w:r>
      <w:r w:rsidRPr="006D52A9">
        <w:t>)</w:t>
      </w:r>
      <w:r w:rsidRPr="006D52A9">
        <w:tab/>
        <w:t xml:space="preserve">This section applies despite the </w:t>
      </w:r>
      <w:r w:rsidRPr="006D52A9">
        <w:rPr>
          <w:i/>
        </w:rPr>
        <w:t xml:space="preserve">National Health (Commonwealth Price—Pharmaceutical Benefits Supplied By Public Hospitals) </w:t>
      </w:r>
      <w:r w:rsidR="007008C3" w:rsidRPr="006D52A9">
        <w:rPr>
          <w:i/>
        </w:rPr>
        <w:t>Determination 2</w:t>
      </w:r>
      <w:r w:rsidRPr="006D52A9">
        <w:rPr>
          <w:i/>
        </w:rPr>
        <w:t>017</w:t>
      </w:r>
      <w:r w:rsidRPr="006D52A9">
        <w:t xml:space="preserve"> (PB 25 of 2017).</w:t>
      </w:r>
    </w:p>
    <w:p w14:paraId="38A5700B" w14:textId="77777777" w:rsidR="00DD3A20" w:rsidRPr="006D52A9" w:rsidRDefault="00DD3A20" w:rsidP="00DD3A20">
      <w:pPr>
        <w:pStyle w:val="notetext"/>
      </w:pPr>
      <w:r w:rsidRPr="006D52A9">
        <w:t>Note:</w:t>
      </w:r>
      <w:r w:rsidRPr="006D52A9">
        <w:tab/>
        <w:t xml:space="preserve">See </w:t>
      </w:r>
      <w:r w:rsidR="000E2607" w:rsidRPr="006D52A9">
        <w:t>sub</w:t>
      </w:r>
      <w:r w:rsidR="00D66D59">
        <w:t>section 9</w:t>
      </w:r>
      <w:r w:rsidRPr="006D52A9">
        <w:t>9(4) of the Act</w:t>
      </w:r>
      <w:r w:rsidR="006F7FE0" w:rsidRPr="006D52A9">
        <w:t xml:space="preserve"> (read with </w:t>
      </w:r>
      <w:r w:rsidR="00D66D59">
        <w:t>section 9</w:t>
      </w:r>
      <w:r w:rsidR="006F7FE0" w:rsidRPr="006D52A9">
        <w:t xml:space="preserve"> of this instrument)</w:t>
      </w:r>
      <w:r w:rsidRPr="006D52A9">
        <w:t xml:space="preserve"> for the entitlement of an approved hospital authority to payment for the supply of pharmaceutical benefits to patients receiving treatment </w:t>
      </w:r>
      <w:r w:rsidR="006F7FE0" w:rsidRPr="006D52A9">
        <w:t>in</w:t>
      </w:r>
      <w:r w:rsidR="009715B0" w:rsidRPr="006D52A9">
        <w:t>,</w:t>
      </w:r>
      <w:r w:rsidR="006F7FE0" w:rsidRPr="006D52A9">
        <w:t xml:space="preserve"> </w:t>
      </w:r>
      <w:r w:rsidR="00566E0C" w:rsidRPr="006D52A9">
        <w:t xml:space="preserve">at </w:t>
      </w:r>
      <w:r w:rsidR="006F7FE0" w:rsidRPr="006D52A9">
        <w:t>or from</w:t>
      </w:r>
      <w:r w:rsidRPr="006D52A9">
        <w:t xml:space="preserve"> a hospital in respect of which the authority is approved.</w:t>
      </w:r>
    </w:p>
    <w:p w14:paraId="3DC83B3A" w14:textId="77777777" w:rsidR="0021272A" w:rsidRPr="006D52A9" w:rsidRDefault="005F407C" w:rsidP="0021272A">
      <w:pPr>
        <w:pStyle w:val="ActHead5"/>
      </w:pPr>
      <w:bookmarkStart w:id="39" w:name="_Toc66968131"/>
      <w:r w:rsidRPr="00A757E4">
        <w:rPr>
          <w:rStyle w:val="CharSectno"/>
        </w:rPr>
        <w:t>29</w:t>
      </w:r>
      <w:r w:rsidR="0021272A" w:rsidRPr="006D52A9">
        <w:t xml:space="preserve">  </w:t>
      </w:r>
      <w:r w:rsidR="00DE0C2D" w:rsidRPr="006D52A9">
        <w:t>D</w:t>
      </w:r>
      <w:r w:rsidR="0021272A" w:rsidRPr="006D52A9">
        <w:t>ispensed price</w:t>
      </w:r>
      <w:r w:rsidR="003C0A3D" w:rsidRPr="006D52A9">
        <w:t xml:space="preserve"> for approved hospital authorities for public hospitals</w:t>
      </w:r>
      <w:bookmarkEnd w:id="39"/>
    </w:p>
    <w:p w14:paraId="4594E2C2" w14:textId="77777777" w:rsidR="0021272A" w:rsidRPr="006D52A9" w:rsidRDefault="0021272A" w:rsidP="0021272A">
      <w:pPr>
        <w:pStyle w:val="subsection"/>
      </w:pPr>
      <w:r w:rsidRPr="006D52A9">
        <w:rPr>
          <w:szCs w:val="24"/>
        </w:rPr>
        <w:tab/>
      </w:r>
      <w:r w:rsidR="00DF1346" w:rsidRPr="006D52A9">
        <w:rPr>
          <w:szCs w:val="24"/>
        </w:rPr>
        <w:t>(1)</w:t>
      </w:r>
      <w:r w:rsidRPr="006D52A9">
        <w:rPr>
          <w:szCs w:val="24"/>
        </w:rPr>
        <w:tab/>
      </w:r>
      <w:r w:rsidR="002D3819" w:rsidRPr="006D52A9">
        <w:rPr>
          <w:szCs w:val="24"/>
        </w:rPr>
        <w:t>T</w:t>
      </w:r>
      <w:r w:rsidRPr="006D52A9">
        <w:rPr>
          <w:szCs w:val="24"/>
        </w:rPr>
        <w:t xml:space="preserve">he </w:t>
      </w:r>
      <w:r w:rsidRPr="006D52A9">
        <w:rPr>
          <w:b/>
          <w:i/>
          <w:szCs w:val="24"/>
        </w:rPr>
        <w:t>dispensed price</w:t>
      </w:r>
      <w:r w:rsidR="00B121BA" w:rsidRPr="006D52A9">
        <w:rPr>
          <w:szCs w:val="24"/>
        </w:rPr>
        <w:t xml:space="preserve"> for a special arrangement</w:t>
      </w:r>
      <w:r w:rsidRPr="006D52A9">
        <w:rPr>
          <w:szCs w:val="24"/>
        </w:rPr>
        <w:t xml:space="preserve"> supply o</w:t>
      </w:r>
      <w:r w:rsidR="00B121BA" w:rsidRPr="006D52A9">
        <w:rPr>
          <w:szCs w:val="24"/>
        </w:rPr>
        <w:t>f an HSD pharmaceutical benefit</w:t>
      </w:r>
      <w:r w:rsidRPr="006D52A9">
        <w:rPr>
          <w:szCs w:val="24"/>
        </w:rPr>
        <w:t xml:space="preserve"> by a</w:t>
      </w:r>
      <w:r w:rsidR="00B121BA" w:rsidRPr="006D52A9">
        <w:rPr>
          <w:szCs w:val="24"/>
        </w:rPr>
        <w:t>n approved</w:t>
      </w:r>
      <w:r w:rsidRPr="006D52A9">
        <w:rPr>
          <w:szCs w:val="24"/>
        </w:rPr>
        <w:t xml:space="preserve"> hospital </w:t>
      </w:r>
      <w:r w:rsidR="00D27966" w:rsidRPr="006D52A9">
        <w:rPr>
          <w:szCs w:val="24"/>
        </w:rPr>
        <w:t>authority for a public hospital</w:t>
      </w:r>
      <w:r w:rsidRPr="006D52A9">
        <w:rPr>
          <w:szCs w:val="24"/>
        </w:rPr>
        <w:t xml:space="preserve"> is as follows:</w:t>
      </w:r>
    </w:p>
    <w:p w14:paraId="7BCBF946" w14:textId="77777777" w:rsidR="0021272A" w:rsidRPr="006D52A9" w:rsidRDefault="0021272A" w:rsidP="0021272A">
      <w:pPr>
        <w:pStyle w:val="paragraph"/>
      </w:pPr>
      <w:r w:rsidRPr="006D52A9">
        <w:rPr>
          <w:szCs w:val="24"/>
        </w:rPr>
        <w:tab/>
        <w:t>(a)</w:t>
      </w:r>
      <w:r w:rsidRPr="006D52A9">
        <w:rPr>
          <w:szCs w:val="24"/>
        </w:rPr>
        <w:tab/>
        <w:t xml:space="preserve">if the quantity of the benefit </w:t>
      </w:r>
      <w:r w:rsidR="003E047E" w:rsidRPr="006D52A9">
        <w:rPr>
          <w:szCs w:val="24"/>
        </w:rPr>
        <w:t xml:space="preserve">supplied </w:t>
      </w:r>
      <w:r w:rsidRPr="006D52A9">
        <w:rPr>
          <w:szCs w:val="24"/>
        </w:rPr>
        <w:t>is equal to a multiple of a pack quantity of the benefit—the sum of the approved ex</w:t>
      </w:r>
      <w:r w:rsidR="0026100E">
        <w:rPr>
          <w:szCs w:val="24"/>
        </w:rPr>
        <w:noBreakHyphen/>
      </w:r>
      <w:r w:rsidRPr="006D52A9">
        <w:rPr>
          <w:szCs w:val="24"/>
        </w:rPr>
        <w:t>manufacturer price or the proportional ex</w:t>
      </w:r>
      <w:r w:rsidR="0026100E">
        <w:rPr>
          <w:szCs w:val="24"/>
        </w:rPr>
        <w:noBreakHyphen/>
      </w:r>
      <w:r w:rsidRPr="006D52A9">
        <w:rPr>
          <w:szCs w:val="24"/>
        </w:rPr>
        <w:t>manufacturer price</w:t>
      </w:r>
      <w:r w:rsidR="003E047E" w:rsidRPr="006D52A9">
        <w:rPr>
          <w:szCs w:val="24"/>
        </w:rPr>
        <w:t xml:space="preserve"> (as applicable)</w:t>
      </w:r>
      <w:r w:rsidRPr="006D52A9">
        <w:rPr>
          <w:szCs w:val="24"/>
        </w:rPr>
        <w:t xml:space="preserve"> for each pack quantity;</w:t>
      </w:r>
    </w:p>
    <w:p w14:paraId="5B26F999" w14:textId="77777777" w:rsidR="0021272A" w:rsidRPr="006D52A9" w:rsidRDefault="0021272A" w:rsidP="0021272A">
      <w:pPr>
        <w:pStyle w:val="paragraph"/>
      </w:pPr>
      <w:r w:rsidRPr="006D52A9">
        <w:tab/>
        <w:t>(b)</w:t>
      </w:r>
      <w:r w:rsidRPr="006D52A9">
        <w:tab/>
        <w:t>if the quantity of the benefit supplied is less than a pack quantity of the benefit</w:t>
      </w:r>
      <w:r w:rsidR="006E0E36" w:rsidRPr="006D52A9">
        <w:rPr>
          <w:szCs w:val="24"/>
        </w:rPr>
        <w:t xml:space="preserve"> (a </w:t>
      </w:r>
      <w:r w:rsidR="006E0E36" w:rsidRPr="006D52A9">
        <w:rPr>
          <w:b/>
          <w:i/>
          <w:szCs w:val="24"/>
        </w:rPr>
        <w:t>broken quantity</w:t>
      </w:r>
      <w:r w:rsidR="006E0E36" w:rsidRPr="006D52A9">
        <w:rPr>
          <w:szCs w:val="24"/>
        </w:rPr>
        <w:t>)</w:t>
      </w:r>
      <w:r w:rsidRPr="006D52A9">
        <w:t xml:space="preserve">—the amount </w:t>
      </w:r>
      <w:r w:rsidR="003E047E" w:rsidRPr="006D52A9">
        <w:t xml:space="preserve">worked out </w:t>
      </w:r>
      <w:r w:rsidRPr="006D52A9">
        <w:t xml:space="preserve">in accordance with </w:t>
      </w:r>
      <w:r w:rsidR="00942996" w:rsidRPr="006D52A9">
        <w:t>subsection (</w:t>
      </w:r>
      <w:r w:rsidR="00DF1346" w:rsidRPr="006D52A9">
        <w:t>2)</w:t>
      </w:r>
      <w:r w:rsidRPr="006D52A9">
        <w:t>;</w:t>
      </w:r>
    </w:p>
    <w:p w14:paraId="01425680" w14:textId="77777777" w:rsidR="0021272A" w:rsidRPr="006D52A9" w:rsidRDefault="0021272A" w:rsidP="0021272A">
      <w:pPr>
        <w:pStyle w:val="paragraph"/>
      </w:pPr>
      <w:r w:rsidRPr="006D52A9">
        <w:tab/>
        <w:t>(c)</w:t>
      </w:r>
      <w:r w:rsidRPr="006D52A9">
        <w:tab/>
        <w:t>if the quantity of the benefit supplied is more than a multiple of a pack quantity of the benefit—the sum of:</w:t>
      </w:r>
    </w:p>
    <w:p w14:paraId="68FD1FE6" w14:textId="77777777" w:rsidR="0021272A" w:rsidRPr="006D52A9" w:rsidRDefault="0021272A" w:rsidP="0021272A">
      <w:pPr>
        <w:pStyle w:val="paragraphsub"/>
      </w:pPr>
      <w:r w:rsidRPr="006D52A9">
        <w:rPr>
          <w:color w:val="000000"/>
          <w:szCs w:val="24"/>
        </w:rPr>
        <w:tab/>
        <w:t>(i)</w:t>
      </w:r>
      <w:r w:rsidRPr="006D52A9">
        <w:rPr>
          <w:color w:val="000000"/>
          <w:szCs w:val="24"/>
        </w:rPr>
        <w:tab/>
        <w:t>the approved ex</w:t>
      </w:r>
      <w:r w:rsidR="0026100E">
        <w:rPr>
          <w:color w:val="000000"/>
          <w:szCs w:val="24"/>
        </w:rPr>
        <w:noBreakHyphen/>
      </w:r>
      <w:r w:rsidRPr="006D52A9">
        <w:rPr>
          <w:color w:val="000000"/>
          <w:szCs w:val="24"/>
        </w:rPr>
        <w:t>manufacturer price or the proportional ex</w:t>
      </w:r>
      <w:r w:rsidR="0026100E">
        <w:rPr>
          <w:color w:val="000000"/>
          <w:szCs w:val="24"/>
        </w:rPr>
        <w:noBreakHyphen/>
      </w:r>
      <w:r w:rsidRPr="006D52A9">
        <w:rPr>
          <w:color w:val="000000"/>
          <w:szCs w:val="24"/>
        </w:rPr>
        <w:t>manufacturer price</w:t>
      </w:r>
      <w:r w:rsidR="003E047E" w:rsidRPr="006D52A9">
        <w:rPr>
          <w:color w:val="000000"/>
          <w:szCs w:val="24"/>
        </w:rPr>
        <w:t xml:space="preserve"> (as applicable)</w:t>
      </w:r>
      <w:r w:rsidRPr="006D52A9">
        <w:rPr>
          <w:color w:val="000000"/>
          <w:szCs w:val="24"/>
        </w:rPr>
        <w:t xml:space="preserve"> for each pack quantity; and</w:t>
      </w:r>
    </w:p>
    <w:p w14:paraId="51BDAB9F" w14:textId="77777777" w:rsidR="0021272A" w:rsidRPr="006D52A9" w:rsidRDefault="0021272A" w:rsidP="0021272A">
      <w:pPr>
        <w:pStyle w:val="paragraphsub"/>
      </w:pPr>
      <w:r w:rsidRPr="006D52A9">
        <w:tab/>
        <w:t>(ii)</w:t>
      </w:r>
      <w:r w:rsidRPr="006D52A9">
        <w:tab/>
        <w:t xml:space="preserve">the amount calculated in accordance with </w:t>
      </w:r>
      <w:r w:rsidR="00942996" w:rsidRPr="006D52A9">
        <w:t>subsection (</w:t>
      </w:r>
      <w:r w:rsidR="00DF1346" w:rsidRPr="006D52A9">
        <w:t>2)</w:t>
      </w:r>
      <w:r w:rsidRPr="006D52A9">
        <w:t xml:space="preserve"> for the remainder of the quantity that is </w:t>
      </w:r>
      <w:r w:rsidR="006E0E36" w:rsidRPr="006D52A9">
        <w:t>a broken</w:t>
      </w:r>
      <w:r w:rsidRPr="006D52A9">
        <w:t xml:space="preserve"> quantity.</w:t>
      </w:r>
    </w:p>
    <w:p w14:paraId="746DDBBC" w14:textId="77777777" w:rsidR="004A7628" w:rsidRPr="006D52A9" w:rsidRDefault="004A7628" w:rsidP="004A7628">
      <w:pPr>
        <w:pStyle w:val="SubsectionHead"/>
      </w:pPr>
      <w:r w:rsidRPr="006D52A9">
        <w:t>Broken quantities</w:t>
      </w:r>
    </w:p>
    <w:p w14:paraId="3593A77F" w14:textId="77777777" w:rsidR="0021272A" w:rsidRPr="006D52A9" w:rsidRDefault="0021272A" w:rsidP="0021272A">
      <w:pPr>
        <w:pStyle w:val="subsection"/>
      </w:pPr>
      <w:r w:rsidRPr="006D52A9">
        <w:rPr>
          <w:szCs w:val="24"/>
        </w:rPr>
        <w:tab/>
      </w:r>
      <w:r w:rsidR="00DF1346" w:rsidRPr="006D52A9">
        <w:rPr>
          <w:szCs w:val="24"/>
        </w:rPr>
        <w:t>(2)</w:t>
      </w:r>
      <w:r w:rsidRPr="006D52A9">
        <w:rPr>
          <w:szCs w:val="24"/>
        </w:rPr>
        <w:tab/>
      </w:r>
      <w:r w:rsidR="00DF1346" w:rsidRPr="006D52A9">
        <w:rPr>
          <w:szCs w:val="24"/>
        </w:rPr>
        <w:t xml:space="preserve">For the purposes of </w:t>
      </w:r>
      <w:r w:rsidR="007008C3" w:rsidRPr="006D52A9">
        <w:rPr>
          <w:szCs w:val="24"/>
        </w:rPr>
        <w:t>paragraph (</w:t>
      </w:r>
      <w:r w:rsidR="00DF1346" w:rsidRPr="006D52A9">
        <w:rPr>
          <w:szCs w:val="24"/>
        </w:rPr>
        <w:t xml:space="preserve">1)(b) and </w:t>
      </w:r>
      <w:r w:rsidR="007008C3" w:rsidRPr="006D52A9">
        <w:rPr>
          <w:szCs w:val="24"/>
        </w:rPr>
        <w:t>subparagraph (</w:t>
      </w:r>
      <w:r w:rsidR="00DF1346" w:rsidRPr="006D52A9">
        <w:rPr>
          <w:szCs w:val="24"/>
        </w:rPr>
        <w:t>1)(c)(ii), the amount for</w:t>
      </w:r>
      <w:r w:rsidRPr="006D52A9">
        <w:rPr>
          <w:szCs w:val="24"/>
        </w:rPr>
        <w:t xml:space="preserve"> </w:t>
      </w:r>
      <w:r w:rsidR="006E0E36" w:rsidRPr="006D52A9">
        <w:rPr>
          <w:szCs w:val="24"/>
        </w:rPr>
        <w:t>a broken</w:t>
      </w:r>
      <w:r w:rsidRPr="006D52A9">
        <w:rPr>
          <w:szCs w:val="24"/>
        </w:rPr>
        <w:t xml:space="preserve"> quantity is </w:t>
      </w:r>
      <w:r w:rsidR="00EC2F8A" w:rsidRPr="006D52A9">
        <w:rPr>
          <w:szCs w:val="24"/>
        </w:rPr>
        <w:t>worked out</w:t>
      </w:r>
      <w:r w:rsidRPr="006D52A9">
        <w:rPr>
          <w:szCs w:val="24"/>
        </w:rPr>
        <w:t xml:space="preserve"> by:</w:t>
      </w:r>
    </w:p>
    <w:p w14:paraId="7C8D71B3" w14:textId="77777777" w:rsidR="0021272A" w:rsidRPr="006D52A9" w:rsidRDefault="0021272A" w:rsidP="0021272A">
      <w:pPr>
        <w:pStyle w:val="paragraph"/>
      </w:pPr>
      <w:r w:rsidRPr="006D52A9">
        <w:rPr>
          <w:szCs w:val="24"/>
        </w:rPr>
        <w:tab/>
        <w:t>(a)</w:t>
      </w:r>
      <w:r w:rsidRPr="006D52A9">
        <w:rPr>
          <w:szCs w:val="24"/>
        </w:rPr>
        <w:tab/>
        <w:t>dividing the quantity or number of units in the broken quantity by the pack quantity, expressed as a percentage to 2 decimal places; and</w:t>
      </w:r>
    </w:p>
    <w:p w14:paraId="594FD391" w14:textId="77777777" w:rsidR="0021272A" w:rsidRPr="006D52A9" w:rsidRDefault="0021272A" w:rsidP="0021272A">
      <w:pPr>
        <w:pStyle w:val="paragraph"/>
        <w:rPr>
          <w:color w:val="000000"/>
        </w:rPr>
      </w:pPr>
      <w:r w:rsidRPr="006D52A9">
        <w:rPr>
          <w:color w:val="000000"/>
        </w:rPr>
        <w:lastRenderedPageBreak/>
        <w:tab/>
        <w:t>(b)</w:t>
      </w:r>
      <w:r w:rsidRPr="006D52A9">
        <w:rPr>
          <w:color w:val="000000"/>
        </w:rPr>
        <w:tab/>
        <w:t>applying that percentage to the approved ex</w:t>
      </w:r>
      <w:r w:rsidR="0026100E">
        <w:rPr>
          <w:color w:val="000000"/>
        </w:rPr>
        <w:noBreakHyphen/>
      </w:r>
      <w:r w:rsidRPr="006D52A9">
        <w:rPr>
          <w:color w:val="000000"/>
        </w:rPr>
        <w:t>manufacturer price or proportional ex</w:t>
      </w:r>
      <w:r w:rsidR="0026100E">
        <w:rPr>
          <w:color w:val="000000"/>
        </w:rPr>
        <w:noBreakHyphen/>
      </w:r>
      <w:r w:rsidRPr="006D52A9">
        <w:rPr>
          <w:color w:val="000000"/>
        </w:rPr>
        <w:t xml:space="preserve">manufacturer price </w:t>
      </w:r>
      <w:r w:rsidR="00EC2F8A" w:rsidRPr="006D52A9">
        <w:rPr>
          <w:color w:val="000000"/>
        </w:rPr>
        <w:t xml:space="preserve">(as applicable) </w:t>
      </w:r>
      <w:r w:rsidRPr="006D52A9">
        <w:rPr>
          <w:color w:val="000000"/>
        </w:rPr>
        <w:t>for the pack quantity.</w:t>
      </w:r>
    </w:p>
    <w:p w14:paraId="66743F1C" w14:textId="77777777" w:rsidR="001071FD" w:rsidRPr="006D52A9" w:rsidRDefault="001071FD" w:rsidP="001071FD">
      <w:pPr>
        <w:pStyle w:val="SubsectionHead"/>
      </w:pPr>
      <w:r w:rsidRPr="006D52A9">
        <w:t>Rounding</w:t>
      </w:r>
    </w:p>
    <w:p w14:paraId="14A6026C" w14:textId="77777777" w:rsidR="001071FD" w:rsidRPr="006D52A9" w:rsidRDefault="001071FD" w:rsidP="001071FD">
      <w:pPr>
        <w:pStyle w:val="subsection"/>
        <w:rPr>
          <w:szCs w:val="24"/>
          <w:lang w:eastAsia="en-US"/>
        </w:rPr>
      </w:pPr>
      <w:r w:rsidRPr="006D52A9">
        <w:rPr>
          <w:szCs w:val="24"/>
          <w:lang w:eastAsia="en-US"/>
        </w:rPr>
        <w:tab/>
        <w:t>(3)</w:t>
      </w:r>
      <w:r w:rsidRPr="006D52A9">
        <w:rPr>
          <w:szCs w:val="24"/>
          <w:lang w:eastAsia="en-US"/>
        </w:rPr>
        <w:tab/>
        <w:t xml:space="preserve">The dispensed price under </w:t>
      </w:r>
      <w:r w:rsidR="00942996" w:rsidRPr="006D52A9">
        <w:rPr>
          <w:szCs w:val="24"/>
          <w:lang w:eastAsia="en-US"/>
        </w:rPr>
        <w:t>subsection (</w:t>
      </w:r>
      <w:r w:rsidRPr="006D52A9">
        <w:rPr>
          <w:szCs w:val="24"/>
          <w:lang w:eastAsia="en-US"/>
        </w:rPr>
        <w:t>1) is rounded to the nearest cent</w:t>
      </w:r>
      <w:r w:rsidR="00365C1A" w:rsidRPr="006D52A9">
        <w:rPr>
          <w:szCs w:val="24"/>
          <w:lang w:eastAsia="en-US"/>
        </w:rPr>
        <w:t xml:space="preserve"> (rounding 0.5 cents upwards)</w:t>
      </w:r>
      <w:r w:rsidRPr="006D52A9">
        <w:rPr>
          <w:szCs w:val="24"/>
          <w:lang w:eastAsia="en-US"/>
        </w:rPr>
        <w:t>.</w:t>
      </w:r>
    </w:p>
    <w:p w14:paraId="3FB79644" w14:textId="77777777" w:rsidR="00142832" w:rsidRPr="006D52A9" w:rsidRDefault="008A3D12" w:rsidP="00E840CC">
      <w:pPr>
        <w:pStyle w:val="ActHead3"/>
        <w:pageBreakBefore/>
      </w:pPr>
      <w:bookmarkStart w:id="40" w:name="_Toc66968132"/>
      <w:r w:rsidRPr="00A757E4">
        <w:rPr>
          <w:rStyle w:val="CharDivNo"/>
        </w:rPr>
        <w:lastRenderedPageBreak/>
        <w:t>Division 2</w:t>
      </w:r>
      <w:r w:rsidR="00142832" w:rsidRPr="006D52A9">
        <w:t>—</w:t>
      </w:r>
      <w:r w:rsidR="0021272A" w:rsidRPr="00A757E4">
        <w:rPr>
          <w:rStyle w:val="CharDivText"/>
        </w:rPr>
        <w:t>S</w:t>
      </w:r>
      <w:r w:rsidR="00142832" w:rsidRPr="00A757E4">
        <w:rPr>
          <w:rStyle w:val="CharDivText"/>
        </w:rPr>
        <w:t>upplies by other approved suppliers</w:t>
      </w:r>
      <w:bookmarkEnd w:id="40"/>
    </w:p>
    <w:p w14:paraId="010C8EEA" w14:textId="77777777" w:rsidR="00075A07" w:rsidRPr="006D52A9" w:rsidRDefault="005F407C" w:rsidP="00075A07">
      <w:pPr>
        <w:pStyle w:val="ActHead5"/>
      </w:pPr>
      <w:bookmarkStart w:id="41" w:name="_Toc66968133"/>
      <w:r w:rsidRPr="00A757E4">
        <w:rPr>
          <w:rStyle w:val="CharSectno"/>
        </w:rPr>
        <w:t>30</w:t>
      </w:r>
      <w:r w:rsidR="00075A07" w:rsidRPr="006D52A9">
        <w:t xml:space="preserve">  </w:t>
      </w:r>
      <w:r w:rsidR="00842518" w:rsidRPr="006D52A9">
        <w:t xml:space="preserve">Entitlement to, and amount of, </w:t>
      </w:r>
      <w:r w:rsidR="00075A07" w:rsidRPr="006D52A9">
        <w:t>payment</w:t>
      </w:r>
      <w:r w:rsidR="008B1437" w:rsidRPr="006D52A9">
        <w:t xml:space="preserve"> for </w:t>
      </w:r>
      <w:r w:rsidR="00075A07" w:rsidRPr="006D52A9">
        <w:t>approved pharmacists</w:t>
      </w:r>
      <w:r w:rsidR="001D0EFF" w:rsidRPr="006D52A9">
        <w:t xml:space="preserve"> and approved medical practitioners</w:t>
      </w:r>
      <w:bookmarkEnd w:id="41"/>
    </w:p>
    <w:p w14:paraId="59D3632D" w14:textId="77777777" w:rsidR="00A43422" w:rsidRPr="006D52A9" w:rsidRDefault="00075A07" w:rsidP="00075A07">
      <w:pPr>
        <w:pStyle w:val="subsection"/>
      </w:pPr>
      <w:r w:rsidRPr="006D52A9">
        <w:tab/>
        <w:t>(1)</w:t>
      </w:r>
      <w:r w:rsidRPr="006D52A9">
        <w:tab/>
      </w:r>
      <w:r w:rsidR="00A43422" w:rsidRPr="006D52A9">
        <w:t>This section applies if:</w:t>
      </w:r>
    </w:p>
    <w:p w14:paraId="1D9089B8" w14:textId="77777777" w:rsidR="00A43422" w:rsidRPr="006D52A9" w:rsidRDefault="00A43422" w:rsidP="00A43422">
      <w:pPr>
        <w:pStyle w:val="paragraph"/>
      </w:pPr>
      <w:r w:rsidRPr="006D52A9">
        <w:tab/>
        <w:t>(a)</w:t>
      </w:r>
      <w:r w:rsidRPr="006D52A9">
        <w:tab/>
        <w:t>a</w:t>
      </w:r>
      <w:r w:rsidR="001D0EFF" w:rsidRPr="006D52A9">
        <w:t xml:space="preserve">n approved pharmacist or approved medical practitioner </w:t>
      </w:r>
      <w:r w:rsidRPr="006D52A9">
        <w:t>has supplied an HSD pharmaceutical benefit; and</w:t>
      </w:r>
    </w:p>
    <w:p w14:paraId="4D002B04" w14:textId="77777777" w:rsidR="00A43422" w:rsidRPr="006D52A9" w:rsidRDefault="00A43422" w:rsidP="00A43422">
      <w:pPr>
        <w:pStyle w:val="paragraph"/>
      </w:pPr>
      <w:r w:rsidRPr="006D52A9">
        <w:tab/>
        <w:t>(b)</w:t>
      </w:r>
      <w:r w:rsidRPr="006D52A9">
        <w:tab/>
        <w:t xml:space="preserve">the supply is </w:t>
      </w:r>
      <w:r w:rsidR="001D0EFF" w:rsidRPr="006D52A9">
        <w:t>a special arrangement supply of</w:t>
      </w:r>
      <w:r w:rsidRPr="006D52A9">
        <w:t xml:space="preserve"> the benefit.</w:t>
      </w:r>
    </w:p>
    <w:p w14:paraId="1A7F03C2" w14:textId="77777777" w:rsidR="001D0EFF" w:rsidRPr="006D52A9" w:rsidRDefault="00A43422" w:rsidP="00A43422">
      <w:pPr>
        <w:pStyle w:val="subsection"/>
      </w:pPr>
      <w:r w:rsidRPr="006D52A9">
        <w:tab/>
        <w:t>(2)</w:t>
      </w:r>
      <w:r w:rsidRPr="006D52A9">
        <w:tab/>
        <w:t>The approved pharmacist or approved medical practitioner</w:t>
      </w:r>
      <w:r w:rsidR="001D0EFF" w:rsidRPr="006D52A9">
        <w:t xml:space="preserve"> is, subject to </w:t>
      </w:r>
      <w:r w:rsidR="00D66D59">
        <w:t>section 9</w:t>
      </w:r>
      <w:r w:rsidR="001D0EFF" w:rsidRPr="006D52A9">
        <w:t xml:space="preserve">9AAA of the Act and the conditions determined under </w:t>
      </w:r>
      <w:r w:rsidR="00D66D59">
        <w:t>section 9</w:t>
      </w:r>
      <w:r w:rsidR="001D0EFF" w:rsidRPr="006D52A9">
        <w:t>8C</w:t>
      </w:r>
      <w:r w:rsidR="00595FED" w:rsidRPr="006D52A9">
        <w:t xml:space="preserve"> o</w:t>
      </w:r>
      <w:r w:rsidR="001D0EFF" w:rsidRPr="006D52A9">
        <w:t xml:space="preserve">f the Act that are applicable at the time of the supply, entitled to be paid by the Commonwealth </w:t>
      </w:r>
      <w:r w:rsidR="001D0EFF" w:rsidRPr="006D52A9">
        <w:rPr>
          <w:color w:val="000000"/>
          <w:szCs w:val="24"/>
        </w:rPr>
        <w:t xml:space="preserve">the amount, if any, by which the dispensed price for the supply of the benefit exceeds the amount that the </w:t>
      </w:r>
      <w:r w:rsidR="00715101" w:rsidRPr="006D52A9">
        <w:t xml:space="preserve">approved pharmacist or approved medical practitioner </w:t>
      </w:r>
      <w:r w:rsidR="001D0EFF" w:rsidRPr="006D52A9">
        <w:rPr>
          <w:color w:val="000000"/>
          <w:szCs w:val="24"/>
        </w:rPr>
        <w:t xml:space="preserve">was entitled to charge under </w:t>
      </w:r>
      <w:r w:rsidR="000E2607" w:rsidRPr="006D52A9">
        <w:rPr>
          <w:color w:val="000000"/>
          <w:szCs w:val="24"/>
        </w:rPr>
        <w:t>section 8</w:t>
      </w:r>
      <w:r w:rsidR="001D0EFF" w:rsidRPr="006D52A9">
        <w:rPr>
          <w:color w:val="000000"/>
          <w:szCs w:val="24"/>
        </w:rPr>
        <w:t>7 of the Act in respect of the supply.</w:t>
      </w:r>
    </w:p>
    <w:p w14:paraId="15BFF203" w14:textId="77777777" w:rsidR="00075A07" w:rsidRPr="006D52A9" w:rsidRDefault="00075A07" w:rsidP="00075A07">
      <w:pPr>
        <w:pStyle w:val="subsection"/>
      </w:pPr>
      <w:r w:rsidRPr="006D52A9">
        <w:tab/>
        <w:t>(</w:t>
      </w:r>
      <w:r w:rsidR="00A43422" w:rsidRPr="006D52A9">
        <w:t>3</w:t>
      </w:r>
      <w:r w:rsidRPr="006D52A9">
        <w:t>)</w:t>
      </w:r>
      <w:r w:rsidRPr="006D52A9">
        <w:tab/>
        <w:t>This section applies despite</w:t>
      </w:r>
      <w:r w:rsidR="001D0EFF" w:rsidRPr="006D52A9">
        <w:t xml:space="preserve"> </w:t>
      </w:r>
      <w:r w:rsidR="00FD29E6" w:rsidRPr="006D52A9">
        <w:t>subsections 9</w:t>
      </w:r>
      <w:r w:rsidR="001D0EFF" w:rsidRPr="006D52A9">
        <w:t>9(2) and (2AA) of the Act.</w:t>
      </w:r>
    </w:p>
    <w:p w14:paraId="7FB409F8" w14:textId="77777777" w:rsidR="00A311B6" w:rsidRPr="006D52A9" w:rsidRDefault="005F407C" w:rsidP="00A311B6">
      <w:pPr>
        <w:pStyle w:val="ActHead5"/>
      </w:pPr>
      <w:bookmarkStart w:id="42" w:name="_Toc66968134"/>
      <w:r w:rsidRPr="00A757E4">
        <w:rPr>
          <w:rStyle w:val="CharSectno"/>
        </w:rPr>
        <w:t>31</w:t>
      </w:r>
      <w:r w:rsidR="00A311B6" w:rsidRPr="006D52A9">
        <w:t xml:space="preserve">  </w:t>
      </w:r>
      <w:r w:rsidR="008B1437" w:rsidRPr="006D52A9">
        <w:t xml:space="preserve">Rates of payment for </w:t>
      </w:r>
      <w:r w:rsidR="00A311B6" w:rsidRPr="006D52A9">
        <w:t xml:space="preserve">approved </w:t>
      </w:r>
      <w:r w:rsidR="00026A35" w:rsidRPr="006D52A9">
        <w:t xml:space="preserve">hospital authorities for </w:t>
      </w:r>
      <w:r w:rsidR="00A311B6" w:rsidRPr="006D52A9">
        <w:t>private hospitals (Act s</w:t>
      </w:r>
      <w:r w:rsidR="00214258" w:rsidRPr="006D52A9">
        <w:t xml:space="preserve"> </w:t>
      </w:r>
      <w:r w:rsidR="00A311B6" w:rsidRPr="006D52A9">
        <w:t>99(4))</w:t>
      </w:r>
      <w:bookmarkEnd w:id="42"/>
    </w:p>
    <w:p w14:paraId="38EF67BB" w14:textId="77777777" w:rsidR="00A311B6" w:rsidRPr="006D52A9" w:rsidRDefault="00A311B6" w:rsidP="00A311B6">
      <w:pPr>
        <w:pStyle w:val="subsection"/>
      </w:pPr>
      <w:r w:rsidRPr="006D52A9">
        <w:rPr>
          <w:color w:val="000000"/>
          <w:szCs w:val="24"/>
        </w:rPr>
        <w:tab/>
        <w:t>(1)</w:t>
      </w:r>
      <w:r w:rsidRPr="006D52A9">
        <w:rPr>
          <w:color w:val="000000"/>
          <w:szCs w:val="24"/>
        </w:rPr>
        <w:tab/>
      </w:r>
      <w:r w:rsidR="00435D90" w:rsidRPr="006D52A9">
        <w:rPr>
          <w:color w:val="000000"/>
          <w:szCs w:val="24"/>
        </w:rPr>
        <w:t>F</w:t>
      </w:r>
      <w:r w:rsidRPr="006D52A9">
        <w:rPr>
          <w:color w:val="000000"/>
          <w:szCs w:val="24"/>
        </w:rPr>
        <w:t xml:space="preserve">or the purposes of </w:t>
      </w:r>
      <w:r w:rsidR="008E0E2B" w:rsidRPr="006D52A9">
        <w:rPr>
          <w:color w:val="000000"/>
          <w:szCs w:val="24"/>
        </w:rPr>
        <w:t>sub</w:t>
      </w:r>
      <w:r w:rsidR="00D66D59">
        <w:rPr>
          <w:color w:val="000000"/>
          <w:szCs w:val="24"/>
        </w:rPr>
        <w:t>section 9</w:t>
      </w:r>
      <w:r w:rsidR="00435D90" w:rsidRPr="006D52A9">
        <w:rPr>
          <w:color w:val="000000"/>
          <w:szCs w:val="24"/>
        </w:rPr>
        <w:t>9(4) of the Act, t</w:t>
      </w:r>
      <w:r w:rsidRPr="006D52A9">
        <w:rPr>
          <w:color w:val="000000"/>
          <w:szCs w:val="24"/>
        </w:rPr>
        <w:t xml:space="preserve">he amount payable to </w:t>
      </w:r>
      <w:r w:rsidRPr="006D52A9">
        <w:t>an approved hospital authority for a private hospital</w:t>
      </w:r>
      <w:r w:rsidRPr="006D52A9">
        <w:rPr>
          <w:color w:val="000000"/>
          <w:szCs w:val="24"/>
        </w:rPr>
        <w:t xml:space="preserve"> </w:t>
      </w:r>
      <w:r w:rsidRPr="006D52A9">
        <w:t>in respect of a special arrangement supply of an HSD pharmaceutical benefit by the authority</w:t>
      </w:r>
      <w:r w:rsidRPr="006D52A9">
        <w:rPr>
          <w:color w:val="000000"/>
          <w:szCs w:val="24"/>
        </w:rPr>
        <w:t xml:space="preserve"> is the amount, if any, by which the dispensed price for the supply of the benefit exceeds the amount that the authority was entitled to charge under </w:t>
      </w:r>
      <w:r w:rsidR="000E2607" w:rsidRPr="006D52A9">
        <w:rPr>
          <w:color w:val="000000"/>
          <w:szCs w:val="24"/>
        </w:rPr>
        <w:t>section 8</w:t>
      </w:r>
      <w:r w:rsidRPr="006D52A9">
        <w:rPr>
          <w:color w:val="000000"/>
          <w:szCs w:val="24"/>
        </w:rPr>
        <w:t>7 of the Act in respect of the supply.</w:t>
      </w:r>
    </w:p>
    <w:p w14:paraId="536B357E" w14:textId="77777777" w:rsidR="00684A58" w:rsidRPr="006D52A9" w:rsidRDefault="00435D90" w:rsidP="00684A58">
      <w:pPr>
        <w:pStyle w:val="subsection"/>
      </w:pPr>
      <w:r w:rsidRPr="006D52A9">
        <w:tab/>
        <w:t>(2</w:t>
      </w:r>
      <w:r w:rsidR="00684A58" w:rsidRPr="006D52A9">
        <w:t>)</w:t>
      </w:r>
      <w:r w:rsidR="00684A58" w:rsidRPr="006D52A9">
        <w:tab/>
        <w:t xml:space="preserve">This section applies despite the </w:t>
      </w:r>
      <w:r w:rsidR="00684A58" w:rsidRPr="006D52A9">
        <w:rPr>
          <w:i/>
        </w:rPr>
        <w:t xml:space="preserve">National Health (Commonwealth Price </w:t>
      </w:r>
      <w:r w:rsidR="0026100E">
        <w:rPr>
          <w:i/>
        </w:rPr>
        <w:noBreakHyphen/>
      </w:r>
      <w:r w:rsidR="00684A58" w:rsidRPr="006D52A9">
        <w:rPr>
          <w:i/>
        </w:rPr>
        <w:t xml:space="preserve"> Pharmaceutical benefits supplied by private hospitals) </w:t>
      </w:r>
      <w:r w:rsidR="007008C3" w:rsidRPr="006D52A9">
        <w:rPr>
          <w:i/>
        </w:rPr>
        <w:t>Determination 2</w:t>
      </w:r>
      <w:r w:rsidR="00684A58" w:rsidRPr="006D52A9">
        <w:rPr>
          <w:i/>
        </w:rPr>
        <w:t>020</w:t>
      </w:r>
      <w:r w:rsidR="00684A58" w:rsidRPr="006D52A9">
        <w:t xml:space="preserve"> (PB 99 of 2020).</w:t>
      </w:r>
    </w:p>
    <w:p w14:paraId="52F00454" w14:textId="77777777" w:rsidR="00DD3A20" w:rsidRPr="006D52A9" w:rsidRDefault="00DD3A20" w:rsidP="00DD3A20">
      <w:pPr>
        <w:pStyle w:val="notetext"/>
      </w:pPr>
      <w:r w:rsidRPr="006D52A9">
        <w:t>Note:</w:t>
      </w:r>
      <w:r w:rsidRPr="006D52A9">
        <w:tab/>
        <w:t xml:space="preserve">See </w:t>
      </w:r>
      <w:r w:rsidR="000E2607" w:rsidRPr="006D52A9">
        <w:t>sub</w:t>
      </w:r>
      <w:r w:rsidR="00D66D59">
        <w:t>section 9</w:t>
      </w:r>
      <w:r w:rsidRPr="006D52A9">
        <w:t>9(4) of the Act</w:t>
      </w:r>
      <w:r w:rsidR="00143204" w:rsidRPr="006D52A9">
        <w:t xml:space="preserve"> (read with </w:t>
      </w:r>
      <w:r w:rsidR="00D66D59">
        <w:t>section 9</w:t>
      </w:r>
      <w:r w:rsidR="00143204" w:rsidRPr="006D52A9">
        <w:t xml:space="preserve"> of this instrument)</w:t>
      </w:r>
      <w:r w:rsidRPr="006D52A9">
        <w:t xml:space="preserve"> for the entitlement of an approved hospital authority to payment for the supply of pharmaceutical benefits to patients receiving treatment </w:t>
      </w:r>
      <w:r w:rsidR="00143204" w:rsidRPr="006D52A9">
        <w:t>in</w:t>
      </w:r>
      <w:r w:rsidR="009715B0" w:rsidRPr="006D52A9">
        <w:t xml:space="preserve">, </w:t>
      </w:r>
      <w:r w:rsidR="00143204" w:rsidRPr="006D52A9">
        <w:t>at or from</w:t>
      </w:r>
      <w:r w:rsidRPr="006D52A9">
        <w:t xml:space="preserve"> a hospital in respect of which the authority is approved.</w:t>
      </w:r>
    </w:p>
    <w:p w14:paraId="5CE2F763" w14:textId="77777777" w:rsidR="006B0D76" w:rsidRPr="006D52A9" w:rsidRDefault="005F407C" w:rsidP="006B0D76">
      <w:pPr>
        <w:pStyle w:val="ActHead5"/>
      </w:pPr>
      <w:bookmarkStart w:id="43" w:name="_Toc66968135"/>
      <w:r w:rsidRPr="00A757E4">
        <w:rPr>
          <w:rStyle w:val="CharSectno"/>
        </w:rPr>
        <w:t>32</w:t>
      </w:r>
      <w:r w:rsidR="006B0D76" w:rsidRPr="006D52A9">
        <w:t xml:space="preserve">  </w:t>
      </w:r>
      <w:r w:rsidR="00EE5C1E" w:rsidRPr="006D52A9">
        <w:t>D</w:t>
      </w:r>
      <w:r w:rsidR="006B0D76" w:rsidRPr="006D52A9">
        <w:t>ispensed price</w:t>
      </w:r>
      <w:r w:rsidR="0018419E" w:rsidRPr="006D52A9">
        <w:t xml:space="preserve"> for approved suppliers other than approved hospital authorities for public hospitals</w:t>
      </w:r>
      <w:bookmarkEnd w:id="43"/>
    </w:p>
    <w:p w14:paraId="0A3967E3" w14:textId="77777777" w:rsidR="006B0D76" w:rsidRPr="006D52A9" w:rsidRDefault="006B0D76" w:rsidP="006B0D76">
      <w:pPr>
        <w:pStyle w:val="subsection"/>
      </w:pPr>
      <w:r w:rsidRPr="006D52A9">
        <w:rPr>
          <w:szCs w:val="24"/>
          <w:lang w:eastAsia="en-US"/>
        </w:rPr>
        <w:tab/>
        <w:t>(1)</w:t>
      </w:r>
      <w:r w:rsidRPr="006D52A9">
        <w:rPr>
          <w:szCs w:val="24"/>
          <w:lang w:eastAsia="en-US"/>
        </w:rPr>
        <w:tab/>
        <w:t>The</w:t>
      </w:r>
      <w:r w:rsidRPr="006D52A9">
        <w:rPr>
          <w:b/>
          <w:i/>
          <w:szCs w:val="24"/>
          <w:lang w:eastAsia="en-US"/>
        </w:rPr>
        <w:t xml:space="preserve"> dispensed price</w:t>
      </w:r>
      <w:r w:rsidRPr="006D52A9">
        <w:rPr>
          <w:szCs w:val="24"/>
          <w:lang w:eastAsia="en-US"/>
        </w:rPr>
        <w:t xml:space="preserve"> for </w:t>
      </w:r>
      <w:r w:rsidR="00D0758B" w:rsidRPr="006D52A9">
        <w:rPr>
          <w:szCs w:val="24"/>
          <w:lang w:eastAsia="en-US"/>
        </w:rPr>
        <w:t>a special arrangement</w:t>
      </w:r>
      <w:r w:rsidRPr="006D52A9">
        <w:rPr>
          <w:szCs w:val="24"/>
          <w:lang w:eastAsia="en-US"/>
        </w:rPr>
        <w:t xml:space="preserve"> supply of an HSD pharmaceutical benefit by </w:t>
      </w:r>
      <w:r w:rsidR="00D0758B" w:rsidRPr="006D52A9">
        <w:t xml:space="preserve">an approved supplier other than an approved hospital authority for a public hospital </w:t>
      </w:r>
      <w:r w:rsidR="008E568E" w:rsidRPr="006D52A9">
        <w:rPr>
          <w:szCs w:val="24"/>
          <w:lang w:eastAsia="en-US"/>
        </w:rPr>
        <w:t>is as follows</w:t>
      </w:r>
      <w:r w:rsidRPr="006D52A9">
        <w:rPr>
          <w:szCs w:val="24"/>
          <w:lang w:eastAsia="en-US"/>
        </w:rPr>
        <w:t>:</w:t>
      </w:r>
    </w:p>
    <w:p w14:paraId="5753178D" w14:textId="77777777" w:rsidR="006B0D76" w:rsidRPr="006D52A9" w:rsidRDefault="006B0D76" w:rsidP="006B0D76">
      <w:pPr>
        <w:pStyle w:val="paragraph"/>
      </w:pPr>
      <w:r w:rsidRPr="006D52A9">
        <w:rPr>
          <w:szCs w:val="24"/>
          <w:lang w:eastAsia="en-US"/>
        </w:rPr>
        <w:tab/>
        <w:t>(a)</w:t>
      </w:r>
      <w:r w:rsidRPr="006D52A9">
        <w:rPr>
          <w:szCs w:val="24"/>
          <w:lang w:eastAsia="en-US"/>
        </w:rPr>
        <w:tab/>
        <w:t>if the quantity of the benefit supplied is equal to a multiple of a pack quantity</w:t>
      </w:r>
      <w:r w:rsidR="00715101" w:rsidRPr="006D52A9">
        <w:rPr>
          <w:szCs w:val="24"/>
          <w:lang w:eastAsia="en-US"/>
        </w:rPr>
        <w:t xml:space="preserve"> of the benefit—</w:t>
      </w:r>
      <w:r w:rsidRPr="006D52A9">
        <w:rPr>
          <w:szCs w:val="24"/>
          <w:lang w:eastAsia="en-US"/>
        </w:rPr>
        <w:t>the sum of:</w:t>
      </w:r>
    </w:p>
    <w:p w14:paraId="29BB5CE2" w14:textId="77777777" w:rsidR="00305DB4" w:rsidRPr="006D52A9" w:rsidRDefault="006B0D76" w:rsidP="006B0D76">
      <w:pPr>
        <w:pStyle w:val="paragraphsub"/>
        <w:rPr>
          <w:szCs w:val="24"/>
        </w:rPr>
      </w:pPr>
      <w:r w:rsidRPr="006D52A9">
        <w:rPr>
          <w:szCs w:val="24"/>
        </w:rPr>
        <w:tab/>
      </w:r>
      <w:r w:rsidRPr="006D52A9">
        <w:rPr>
          <w:szCs w:val="24"/>
          <w:lang w:eastAsia="en-US"/>
        </w:rPr>
        <w:t>(i)</w:t>
      </w:r>
      <w:r w:rsidRPr="006D52A9">
        <w:rPr>
          <w:szCs w:val="24"/>
          <w:lang w:eastAsia="en-US"/>
        </w:rPr>
        <w:tab/>
      </w:r>
      <w:r w:rsidRPr="006D52A9">
        <w:rPr>
          <w:szCs w:val="24"/>
        </w:rPr>
        <w:t>the approved ex</w:t>
      </w:r>
      <w:r w:rsidR="0026100E">
        <w:rPr>
          <w:szCs w:val="24"/>
        </w:rPr>
        <w:noBreakHyphen/>
      </w:r>
      <w:r w:rsidRPr="006D52A9">
        <w:rPr>
          <w:szCs w:val="24"/>
        </w:rPr>
        <w:t>manufacturer price or the proportional ex</w:t>
      </w:r>
      <w:r w:rsidR="0026100E">
        <w:rPr>
          <w:szCs w:val="24"/>
        </w:rPr>
        <w:noBreakHyphen/>
      </w:r>
      <w:r w:rsidRPr="006D52A9">
        <w:rPr>
          <w:szCs w:val="24"/>
        </w:rPr>
        <w:t>manufacturer price</w:t>
      </w:r>
      <w:r w:rsidR="00715101" w:rsidRPr="006D52A9">
        <w:rPr>
          <w:szCs w:val="24"/>
        </w:rPr>
        <w:t xml:space="preserve"> (as applicable)</w:t>
      </w:r>
      <w:r w:rsidR="00305DB4" w:rsidRPr="006D52A9">
        <w:rPr>
          <w:szCs w:val="24"/>
        </w:rPr>
        <w:t xml:space="preserve"> for each pack quantity;</w:t>
      </w:r>
      <w:r w:rsidRPr="006D52A9">
        <w:rPr>
          <w:szCs w:val="24"/>
        </w:rPr>
        <w:t xml:space="preserve"> </w:t>
      </w:r>
      <w:r w:rsidR="00305DB4" w:rsidRPr="006D52A9">
        <w:rPr>
          <w:szCs w:val="24"/>
        </w:rPr>
        <w:t>and</w:t>
      </w:r>
    </w:p>
    <w:p w14:paraId="13E709B8" w14:textId="77777777" w:rsidR="006B0D76" w:rsidRPr="006D52A9" w:rsidRDefault="00305DB4" w:rsidP="006B0D76">
      <w:pPr>
        <w:pStyle w:val="paragraphsub"/>
        <w:rPr>
          <w:szCs w:val="24"/>
        </w:rPr>
      </w:pPr>
      <w:r w:rsidRPr="006D52A9">
        <w:rPr>
          <w:szCs w:val="24"/>
        </w:rPr>
        <w:lastRenderedPageBreak/>
        <w:tab/>
        <w:t>(ii)</w:t>
      </w:r>
      <w:r w:rsidRPr="006D52A9">
        <w:rPr>
          <w:szCs w:val="24"/>
        </w:rPr>
        <w:tab/>
      </w:r>
      <w:r w:rsidR="0044450D" w:rsidRPr="006D52A9">
        <w:rPr>
          <w:szCs w:val="24"/>
        </w:rPr>
        <w:t xml:space="preserve">if the </w:t>
      </w:r>
      <w:r w:rsidR="0044450D" w:rsidRPr="006D52A9">
        <w:t>benefit is a ready</w:t>
      </w:r>
      <w:r w:rsidR="0026100E">
        <w:noBreakHyphen/>
      </w:r>
      <w:r w:rsidR="0044450D" w:rsidRPr="006D52A9">
        <w:t>prepared pharmaceutical benefit—</w:t>
      </w:r>
      <w:r w:rsidR="006B0D76" w:rsidRPr="006D52A9">
        <w:rPr>
          <w:szCs w:val="24"/>
        </w:rPr>
        <w:t>the mark</w:t>
      </w:r>
      <w:r w:rsidR="0026100E">
        <w:rPr>
          <w:szCs w:val="24"/>
        </w:rPr>
        <w:noBreakHyphen/>
      </w:r>
      <w:r w:rsidR="006B0D76" w:rsidRPr="006D52A9">
        <w:rPr>
          <w:szCs w:val="24"/>
        </w:rPr>
        <w:t xml:space="preserve">up mentioned in </w:t>
      </w:r>
      <w:r w:rsidR="00D66D59">
        <w:rPr>
          <w:szCs w:val="24"/>
        </w:rPr>
        <w:t>section 3</w:t>
      </w:r>
      <w:r w:rsidR="005F407C" w:rsidRPr="006D52A9">
        <w:rPr>
          <w:szCs w:val="24"/>
        </w:rPr>
        <w:t>3</w:t>
      </w:r>
      <w:r w:rsidR="009B2068" w:rsidRPr="006D52A9">
        <w:rPr>
          <w:szCs w:val="24"/>
        </w:rPr>
        <w:t xml:space="preserve"> for each pack quantity</w:t>
      </w:r>
      <w:r w:rsidR="0044450D" w:rsidRPr="006D52A9">
        <w:rPr>
          <w:szCs w:val="24"/>
        </w:rPr>
        <w:t xml:space="preserve">, </w:t>
      </w:r>
      <w:r w:rsidR="0093702D" w:rsidRPr="006D52A9">
        <w:rPr>
          <w:szCs w:val="24"/>
          <w:lang w:eastAsia="en-US"/>
        </w:rPr>
        <w:t xml:space="preserve">rounded </w:t>
      </w:r>
      <w:r w:rsidR="006B0D76" w:rsidRPr="006D52A9">
        <w:rPr>
          <w:szCs w:val="24"/>
        </w:rPr>
        <w:t>to the nearest cent</w:t>
      </w:r>
      <w:r w:rsidR="00365C1A" w:rsidRPr="006D52A9">
        <w:rPr>
          <w:szCs w:val="24"/>
        </w:rPr>
        <w:t xml:space="preserve"> (rounding 0.5 cents upwards)</w:t>
      </w:r>
      <w:r w:rsidR="006B0D76" w:rsidRPr="006D52A9">
        <w:rPr>
          <w:szCs w:val="24"/>
        </w:rPr>
        <w:t>; and</w:t>
      </w:r>
    </w:p>
    <w:p w14:paraId="216C937D" w14:textId="77777777" w:rsidR="00223BF5" w:rsidRPr="006D52A9" w:rsidRDefault="00223BF5" w:rsidP="006B0D76">
      <w:pPr>
        <w:pStyle w:val="paragraphsub"/>
        <w:rPr>
          <w:szCs w:val="24"/>
        </w:rPr>
      </w:pPr>
      <w:r w:rsidRPr="006D52A9">
        <w:rPr>
          <w:szCs w:val="24"/>
        </w:rPr>
        <w:tab/>
        <w:t>(ii</w:t>
      </w:r>
      <w:r w:rsidR="00305DB4" w:rsidRPr="006D52A9">
        <w:rPr>
          <w:szCs w:val="24"/>
        </w:rPr>
        <w:t>i</w:t>
      </w:r>
      <w:r w:rsidRPr="006D52A9">
        <w:rPr>
          <w:szCs w:val="24"/>
        </w:rPr>
        <w:t>)</w:t>
      </w:r>
      <w:r w:rsidRPr="006D52A9">
        <w:rPr>
          <w:szCs w:val="24"/>
        </w:rPr>
        <w:tab/>
        <w:t>the dispensing fee for the benefit</w:t>
      </w:r>
      <w:r w:rsidR="00F53D86" w:rsidRPr="006D52A9">
        <w:rPr>
          <w:szCs w:val="24"/>
        </w:rPr>
        <w:t xml:space="preserve"> in accordance with </w:t>
      </w:r>
      <w:r w:rsidR="00D66D59">
        <w:rPr>
          <w:szCs w:val="24"/>
        </w:rPr>
        <w:t>section 3</w:t>
      </w:r>
      <w:r w:rsidR="005F407C" w:rsidRPr="006D52A9">
        <w:rPr>
          <w:szCs w:val="24"/>
        </w:rPr>
        <w:t>4</w:t>
      </w:r>
      <w:r w:rsidRPr="006D52A9">
        <w:rPr>
          <w:szCs w:val="24"/>
        </w:rPr>
        <w:t>;</w:t>
      </w:r>
    </w:p>
    <w:p w14:paraId="5D62EC5D" w14:textId="77777777" w:rsidR="006B0D76" w:rsidRPr="006D52A9" w:rsidRDefault="006B0D76" w:rsidP="006B0D76">
      <w:pPr>
        <w:pStyle w:val="paragraph"/>
      </w:pPr>
      <w:r w:rsidRPr="006D52A9">
        <w:rPr>
          <w:szCs w:val="24"/>
          <w:lang w:eastAsia="en-US"/>
        </w:rPr>
        <w:tab/>
        <w:t>(b)</w:t>
      </w:r>
      <w:r w:rsidRPr="006D52A9">
        <w:rPr>
          <w:szCs w:val="24"/>
          <w:lang w:eastAsia="en-US"/>
        </w:rPr>
        <w:tab/>
        <w:t xml:space="preserve">if </w:t>
      </w:r>
      <w:r w:rsidR="00715101" w:rsidRPr="006D52A9">
        <w:rPr>
          <w:szCs w:val="24"/>
          <w:lang w:eastAsia="en-US"/>
        </w:rPr>
        <w:t>the</w:t>
      </w:r>
      <w:r w:rsidRPr="006D52A9">
        <w:rPr>
          <w:szCs w:val="24"/>
          <w:lang w:eastAsia="en-US"/>
        </w:rPr>
        <w:t xml:space="preserve"> quantity of the benefit supplied is less than a pack quantity</w:t>
      </w:r>
      <w:r w:rsidR="00715101" w:rsidRPr="006D52A9">
        <w:rPr>
          <w:szCs w:val="24"/>
          <w:lang w:eastAsia="en-US"/>
        </w:rPr>
        <w:t xml:space="preserve"> of the benefit</w:t>
      </w:r>
      <w:r w:rsidR="0035342A" w:rsidRPr="006D52A9">
        <w:rPr>
          <w:szCs w:val="24"/>
          <w:lang w:eastAsia="en-US"/>
        </w:rPr>
        <w:t xml:space="preserve"> (a </w:t>
      </w:r>
      <w:r w:rsidR="0035342A" w:rsidRPr="006D52A9">
        <w:rPr>
          <w:b/>
          <w:i/>
          <w:szCs w:val="24"/>
          <w:lang w:eastAsia="en-US"/>
        </w:rPr>
        <w:t>broken quantity</w:t>
      </w:r>
      <w:r w:rsidR="0035342A" w:rsidRPr="006D52A9">
        <w:rPr>
          <w:szCs w:val="24"/>
          <w:lang w:eastAsia="en-US"/>
        </w:rPr>
        <w:t>)</w:t>
      </w:r>
      <w:r w:rsidR="00715101" w:rsidRPr="006D52A9">
        <w:rPr>
          <w:szCs w:val="24"/>
          <w:lang w:eastAsia="en-US"/>
        </w:rPr>
        <w:t>—</w:t>
      </w:r>
      <w:r w:rsidRPr="006D52A9">
        <w:rPr>
          <w:szCs w:val="24"/>
          <w:lang w:eastAsia="en-US"/>
        </w:rPr>
        <w:t>the sum of:</w:t>
      </w:r>
    </w:p>
    <w:p w14:paraId="37129057" w14:textId="77777777" w:rsidR="006B0D76" w:rsidRPr="006D52A9" w:rsidRDefault="006B0D76" w:rsidP="006B0D76">
      <w:pPr>
        <w:pStyle w:val="paragraphsub"/>
      </w:pPr>
      <w:r w:rsidRPr="006D52A9">
        <w:rPr>
          <w:szCs w:val="24"/>
          <w:lang w:eastAsia="en-US"/>
        </w:rPr>
        <w:tab/>
        <w:t>(i)</w:t>
      </w:r>
      <w:r w:rsidRPr="006D52A9">
        <w:rPr>
          <w:szCs w:val="24"/>
          <w:lang w:eastAsia="en-US"/>
        </w:rPr>
        <w:tab/>
      </w:r>
      <w:r w:rsidRPr="006D52A9">
        <w:rPr>
          <w:szCs w:val="24"/>
        </w:rPr>
        <w:t xml:space="preserve">the amount </w:t>
      </w:r>
      <w:r w:rsidR="00715101" w:rsidRPr="006D52A9">
        <w:rPr>
          <w:szCs w:val="24"/>
        </w:rPr>
        <w:t>worked out</w:t>
      </w:r>
      <w:r w:rsidRPr="006D52A9">
        <w:rPr>
          <w:szCs w:val="24"/>
        </w:rPr>
        <w:t xml:space="preserve"> in accordance with </w:t>
      </w:r>
      <w:r w:rsidR="00942996" w:rsidRPr="006D52A9">
        <w:rPr>
          <w:szCs w:val="24"/>
        </w:rPr>
        <w:t>subsection (</w:t>
      </w:r>
      <w:r w:rsidR="00F20D45" w:rsidRPr="006D52A9">
        <w:rPr>
          <w:szCs w:val="24"/>
        </w:rPr>
        <w:t>2</w:t>
      </w:r>
      <w:r w:rsidR="00010BED" w:rsidRPr="006D52A9">
        <w:rPr>
          <w:szCs w:val="24"/>
        </w:rPr>
        <w:t>)</w:t>
      </w:r>
      <w:r w:rsidRPr="006D52A9">
        <w:rPr>
          <w:szCs w:val="24"/>
        </w:rPr>
        <w:t>; and</w:t>
      </w:r>
    </w:p>
    <w:p w14:paraId="5E382A4D" w14:textId="77777777" w:rsidR="00223BF5" w:rsidRPr="006D52A9" w:rsidRDefault="00223BF5" w:rsidP="00223BF5">
      <w:pPr>
        <w:pStyle w:val="paragraphsub"/>
        <w:rPr>
          <w:szCs w:val="24"/>
        </w:rPr>
      </w:pPr>
      <w:r w:rsidRPr="006D52A9">
        <w:rPr>
          <w:szCs w:val="24"/>
        </w:rPr>
        <w:tab/>
        <w:t>(ii)</w:t>
      </w:r>
      <w:r w:rsidRPr="006D52A9">
        <w:rPr>
          <w:szCs w:val="24"/>
        </w:rPr>
        <w:tab/>
        <w:t>the dispensing fee for the benefit</w:t>
      </w:r>
      <w:r w:rsidR="00F53D86" w:rsidRPr="006D52A9">
        <w:rPr>
          <w:szCs w:val="24"/>
        </w:rPr>
        <w:t xml:space="preserve"> in accordance with </w:t>
      </w:r>
      <w:r w:rsidR="00D66D59">
        <w:rPr>
          <w:szCs w:val="24"/>
        </w:rPr>
        <w:t>section 3</w:t>
      </w:r>
      <w:r w:rsidR="005F407C" w:rsidRPr="006D52A9">
        <w:rPr>
          <w:szCs w:val="24"/>
        </w:rPr>
        <w:t>4</w:t>
      </w:r>
      <w:r w:rsidRPr="006D52A9">
        <w:rPr>
          <w:szCs w:val="24"/>
        </w:rPr>
        <w:t>;</w:t>
      </w:r>
    </w:p>
    <w:p w14:paraId="2BBBBDDD" w14:textId="77777777" w:rsidR="006B0D76" w:rsidRPr="006D52A9" w:rsidRDefault="006B0D76" w:rsidP="006B0D76">
      <w:pPr>
        <w:pStyle w:val="paragraph"/>
      </w:pPr>
      <w:r w:rsidRPr="006D52A9">
        <w:rPr>
          <w:szCs w:val="24"/>
          <w:lang w:eastAsia="en-US"/>
        </w:rPr>
        <w:tab/>
        <w:t>(c)</w:t>
      </w:r>
      <w:r w:rsidRPr="006D52A9">
        <w:rPr>
          <w:szCs w:val="24"/>
          <w:lang w:eastAsia="en-US"/>
        </w:rPr>
        <w:tab/>
        <w:t xml:space="preserve">if </w:t>
      </w:r>
      <w:r w:rsidR="00715101" w:rsidRPr="006D52A9">
        <w:rPr>
          <w:szCs w:val="24"/>
          <w:lang w:eastAsia="en-US"/>
        </w:rPr>
        <w:t>the</w:t>
      </w:r>
      <w:r w:rsidRPr="006D52A9">
        <w:rPr>
          <w:szCs w:val="24"/>
          <w:lang w:eastAsia="en-US"/>
        </w:rPr>
        <w:t xml:space="preserve"> quantity of the benefit supplied is more than a multiple of a pack quantity</w:t>
      </w:r>
      <w:r w:rsidR="00715101" w:rsidRPr="006D52A9">
        <w:rPr>
          <w:szCs w:val="24"/>
          <w:lang w:eastAsia="en-US"/>
        </w:rPr>
        <w:t xml:space="preserve"> of the benefit—</w:t>
      </w:r>
      <w:r w:rsidRPr="006D52A9">
        <w:rPr>
          <w:szCs w:val="24"/>
          <w:lang w:eastAsia="en-US"/>
        </w:rPr>
        <w:t>the sum of:</w:t>
      </w:r>
    </w:p>
    <w:p w14:paraId="5C6FA4B8" w14:textId="77777777" w:rsidR="00417B9F" w:rsidRPr="006D52A9" w:rsidRDefault="00417B9F" w:rsidP="00417B9F">
      <w:pPr>
        <w:pStyle w:val="paragraphsub"/>
      </w:pPr>
      <w:r w:rsidRPr="006D52A9">
        <w:rPr>
          <w:color w:val="000000"/>
          <w:szCs w:val="24"/>
        </w:rPr>
        <w:tab/>
        <w:t>(i)</w:t>
      </w:r>
      <w:r w:rsidRPr="006D52A9">
        <w:rPr>
          <w:color w:val="000000"/>
          <w:szCs w:val="24"/>
        </w:rPr>
        <w:tab/>
        <w:t>the approved ex</w:t>
      </w:r>
      <w:r w:rsidR="0026100E">
        <w:rPr>
          <w:color w:val="000000"/>
          <w:szCs w:val="24"/>
        </w:rPr>
        <w:noBreakHyphen/>
      </w:r>
      <w:r w:rsidRPr="006D52A9">
        <w:rPr>
          <w:color w:val="000000"/>
          <w:szCs w:val="24"/>
        </w:rPr>
        <w:t>manufacturer price or the proportional ex</w:t>
      </w:r>
      <w:r w:rsidR="0026100E">
        <w:rPr>
          <w:color w:val="000000"/>
          <w:szCs w:val="24"/>
        </w:rPr>
        <w:noBreakHyphen/>
      </w:r>
      <w:r w:rsidRPr="006D52A9">
        <w:rPr>
          <w:color w:val="000000"/>
          <w:szCs w:val="24"/>
        </w:rPr>
        <w:t>manufacturer price (as applicable) for each pack quantity; and</w:t>
      </w:r>
    </w:p>
    <w:p w14:paraId="420F1417" w14:textId="77777777" w:rsidR="006B0D76" w:rsidRPr="006D52A9" w:rsidRDefault="00305DB4" w:rsidP="006B0D76">
      <w:pPr>
        <w:pStyle w:val="paragraphsub"/>
      </w:pPr>
      <w:r w:rsidRPr="006D52A9">
        <w:rPr>
          <w:szCs w:val="24"/>
          <w:lang w:eastAsia="en-US"/>
        </w:rPr>
        <w:tab/>
        <w:t>(ii)</w:t>
      </w:r>
      <w:r w:rsidRPr="006D52A9">
        <w:rPr>
          <w:szCs w:val="24"/>
          <w:lang w:eastAsia="en-US"/>
        </w:rPr>
        <w:tab/>
      </w:r>
      <w:r w:rsidR="0044450D" w:rsidRPr="006D52A9">
        <w:rPr>
          <w:szCs w:val="24"/>
        </w:rPr>
        <w:t xml:space="preserve">if the </w:t>
      </w:r>
      <w:r w:rsidR="0044450D" w:rsidRPr="006D52A9">
        <w:t>benefit is a ready</w:t>
      </w:r>
      <w:r w:rsidR="0026100E">
        <w:noBreakHyphen/>
      </w:r>
      <w:r w:rsidR="0044450D" w:rsidRPr="006D52A9">
        <w:t>prepared pharmaceutical benefit—</w:t>
      </w:r>
      <w:r w:rsidR="006B0D76" w:rsidRPr="006D52A9">
        <w:rPr>
          <w:szCs w:val="24"/>
          <w:lang w:eastAsia="en-US"/>
        </w:rPr>
        <w:t>the mark</w:t>
      </w:r>
      <w:r w:rsidR="0026100E">
        <w:rPr>
          <w:szCs w:val="24"/>
          <w:lang w:eastAsia="en-US"/>
        </w:rPr>
        <w:noBreakHyphen/>
      </w:r>
      <w:r w:rsidR="006B0D76" w:rsidRPr="006D52A9">
        <w:rPr>
          <w:szCs w:val="24"/>
          <w:lang w:eastAsia="en-US"/>
        </w:rPr>
        <w:t xml:space="preserve">up mentioned in </w:t>
      </w:r>
      <w:r w:rsidR="00D66D59">
        <w:rPr>
          <w:szCs w:val="24"/>
          <w:lang w:eastAsia="en-US"/>
        </w:rPr>
        <w:t>section 3</w:t>
      </w:r>
      <w:r w:rsidR="005F407C" w:rsidRPr="006D52A9">
        <w:rPr>
          <w:szCs w:val="24"/>
        </w:rPr>
        <w:t>3</w:t>
      </w:r>
      <w:r w:rsidR="009B2068" w:rsidRPr="006D52A9">
        <w:rPr>
          <w:szCs w:val="24"/>
        </w:rPr>
        <w:t xml:space="preserve"> for each pack quantity</w:t>
      </w:r>
      <w:r w:rsidR="0044450D" w:rsidRPr="006D52A9">
        <w:rPr>
          <w:szCs w:val="24"/>
          <w:lang w:eastAsia="en-US"/>
        </w:rPr>
        <w:t xml:space="preserve">, </w:t>
      </w:r>
      <w:r w:rsidR="0093702D" w:rsidRPr="006D52A9">
        <w:rPr>
          <w:szCs w:val="24"/>
          <w:lang w:eastAsia="en-US"/>
        </w:rPr>
        <w:t>rounded</w:t>
      </w:r>
      <w:r w:rsidR="006B0D76" w:rsidRPr="006D52A9">
        <w:rPr>
          <w:szCs w:val="24"/>
          <w:lang w:eastAsia="en-US"/>
        </w:rPr>
        <w:t xml:space="preserve"> to the nearest cent</w:t>
      </w:r>
      <w:r w:rsidR="00365C1A" w:rsidRPr="006D52A9">
        <w:rPr>
          <w:szCs w:val="24"/>
          <w:lang w:eastAsia="en-US"/>
        </w:rPr>
        <w:t xml:space="preserve"> (rounding 0.5 cents upwards)</w:t>
      </w:r>
      <w:r w:rsidR="006B0D76" w:rsidRPr="006D52A9">
        <w:rPr>
          <w:szCs w:val="24"/>
          <w:lang w:eastAsia="en-US"/>
        </w:rPr>
        <w:t>; and</w:t>
      </w:r>
    </w:p>
    <w:p w14:paraId="578289C0" w14:textId="77777777" w:rsidR="006B0D76" w:rsidRPr="006D52A9" w:rsidRDefault="006B0D76" w:rsidP="006B0D76">
      <w:pPr>
        <w:pStyle w:val="paragraphsub"/>
      </w:pPr>
      <w:r w:rsidRPr="006D52A9">
        <w:tab/>
        <w:t>(i</w:t>
      </w:r>
      <w:r w:rsidR="00305DB4" w:rsidRPr="006D52A9">
        <w:t>i</w:t>
      </w:r>
      <w:r w:rsidRPr="006D52A9">
        <w:t>i)</w:t>
      </w:r>
      <w:r w:rsidRPr="006D52A9">
        <w:tab/>
        <w:t xml:space="preserve">the amount </w:t>
      </w:r>
      <w:r w:rsidR="00715101" w:rsidRPr="006D52A9">
        <w:t>worked out</w:t>
      </w:r>
      <w:r w:rsidRPr="006D52A9">
        <w:t xml:space="preserve"> in accordance with </w:t>
      </w:r>
      <w:r w:rsidR="00942996" w:rsidRPr="006D52A9">
        <w:t>subsection (</w:t>
      </w:r>
      <w:r w:rsidR="00F20D45" w:rsidRPr="006D52A9">
        <w:t>2</w:t>
      </w:r>
      <w:r w:rsidR="00715101" w:rsidRPr="006D52A9">
        <w:t>)</w:t>
      </w:r>
      <w:r w:rsidRPr="006D52A9">
        <w:t xml:space="preserve"> for the remainder of the quantity that is </w:t>
      </w:r>
      <w:r w:rsidR="0035342A" w:rsidRPr="006D52A9">
        <w:t xml:space="preserve">a broken </w:t>
      </w:r>
      <w:r w:rsidRPr="006D52A9">
        <w:t>quantity; and</w:t>
      </w:r>
    </w:p>
    <w:p w14:paraId="45EB6AF5" w14:textId="77777777" w:rsidR="00223BF5" w:rsidRPr="006D52A9" w:rsidRDefault="00305DB4" w:rsidP="00223BF5">
      <w:pPr>
        <w:pStyle w:val="paragraphsub"/>
        <w:rPr>
          <w:szCs w:val="24"/>
        </w:rPr>
      </w:pPr>
      <w:r w:rsidRPr="006D52A9">
        <w:rPr>
          <w:szCs w:val="24"/>
        </w:rPr>
        <w:tab/>
        <w:t>(iv</w:t>
      </w:r>
      <w:r w:rsidR="00223BF5" w:rsidRPr="006D52A9">
        <w:rPr>
          <w:szCs w:val="24"/>
        </w:rPr>
        <w:t>)</w:t>
      </w:r>
      <w:r w:rsidR="00223BF5" w:rsidRPr="006D52A9">
        <w:rPr>
          <w:szCs w:val="24"/>
        </w:rPr>
        <w:tab/>
        <w:t xml:space="preserve">the dispensing fee for the </w:t>
      </w:r>
      <w:r w:rsidR="007465ED" w:rsidRPr="006D52A9">
        <w:rPr>
          <w:szCs w:val="24"/>
        </w:rPr>
        <w:t>benefit</w:t>
      </w:r>
      <w:r w:rsidR="00F53D86" w:rsidRPr="006D52A9">
        <w:rPr>
          <w:szCs w:val="24"/>
        </w:rPr>
        <w:t xml:space="preserve"> in accordance with </w:t>
      </w:r>
      <w:r w:rsidR="00D66D59">
        <w:rPr>
          <w:szCs w:val="24"/>
        </w:rPr>
        <w:t>section 3</w:t>
      </w:r>
      <w:r w:rsidR="005F407C" w:rsidRPr="006D52A9">
        <w:rPr>
          <w:szCs w:val="24"/>
        </w:rPr>
        <w:t>4</w:t>
      </w:r>
      <w:r w:rsidR="007465ED" w:rsidRPr="006D52A9">
        <w:rPr>
          <w:szCs w:val="24"/>
        </w:rPr>
        <w:t>.</w:t>
      </w:r>
    </w:p>
    <w:p w14:paraId="73731B88" w14:textId="77777777" w:rsidR="00B64FF7" w:rsidRPr="006D52A9" w:rsidRDefault="00B64FF7" w:rsidP="00B64FF7">
      <w:pPr>
        <w:pStyle w:val="SubsectionHead"/>
      </w:pPr>
      <w:r w:rsidRPr="006D52A9">
        <w:t>Broken quantities</w:t>
      </w:r>
    </w:p>
    <w:p w14:paraId="21F42B24" w14:textId="77777777" w:rsidR="00F117BC" w:rsidRPr="006D52A9" w:rsidRDefault="00F117BC" w:rsidP="00F117BC">
      <w:pPr>
        <w:pStyle w:val="subsection"/>
      </w:pPr>
      <w:r w:rsidRPr="006D52A9">
        <w:rPr>
          <w:szCs w:val="24"/>
          <w:lang w:eastAsia="en-US"/>
        </w:rPr>
        <w:tab/>
        <w:t>(</w:t>
      </w:r>
      <w:r w:rsidR="00BF7AD4" w:rsidRPr="006D52A9">
        <w:rPr>
          <w:szCs w:val="24"/>
          <w:lang w:eastAsia="en-US"/>
        </w:rPr>
        <w:t>2</w:t>
      </w:r>
      <w:r w:rsidRPr="006D52A9">
        <w:rPr>
          <w:szCs w:val="24"/>
          <w:lang w:eastAsia="en-US"/>
        </w:rPr>
        <w:t>)</w:t>
      </w:r>
      <w:r w:rsidRPr="006D52A9">
        <w:rPr>
          <w:szCs w:val="24"/>
          <w:lang w:eastAsia="en-US"/>
        </w:rPr>
        <w:tab/>
        <w:t xml:space="preserve">For the purposes of </w:t>
      </w:r>
      <w:r w:rsidR="00942996" w:rsidRPr="006D52A9">
        <w:rPr>
          <w:szCs w:val="24"/>
          <w:lang w:eastAsia="en-US"/>
        </w:rPr>
        <w:t>subparagraphs (</w:t>
      </w:r>
      <w:r w:rsidRPr="006D52A9">
        <w:rPr>
          <w:szCs w:val="24"/>
          <w:lang w:eastAsia="en-US"/>
        </w:rPr>
        <w:t>1)(b)(i) and (c)(ii</w:t>
      </w:r>
      <w:r w:rsidR="0080663A" w:rsidRPr="006D52A9">
        <w:rPr>
          <w:szCs w:val="24"/>
          <w:lang w:eastAsia="en-US"/>
        </w:rPr>
        <w:t>i</w:t>
      </w:r>
      <w:r w:rsidRPr="006D52A9">
        <w:rPr>
          <w:szCs w:val="24"/>
          <w:lang w:eastAsia="en-US"/>
        </w:rPr>
        <w:t xml:space="preserve">), the amount for a broken quantity is </w:t>
      </w:r>
      <w:r w:rsidR="00715101" w:rsidRPr="006D52A9">
        <w:rPr>
          <w:szCs w:val="24"/>
          <w:lang w:eastAsia="en-US"/>
        </w:rPr>
        <w:t xml:space="preserve">worked out </w:t>
      </w:r>
      <w:r w:rsidRPr="006D52A9">
        <w:rPr>
          <w:szCs w:val="24"/>
          <w:lang w:eastAsia="en-US"/>
        </w:rPr>
        <w:t>by:</w:t>
      </w:r>
    </w:p>
    <w:p w14:paraId="2F27CBF0" w14:textId="77777777" w:rsidR="0044450D" w:rsidRPr="006D52A9" w:rsidRDefault="0044450D" w:rsidP="0044450D">
      <w:pPr>
        <w:pStyle w:val="paragraph"/>
      </w:pPr>
      <w:r w:rsidRPr="006D52A9">
        <w:tab/>
        <w:t>(a)</w:t>
      </w:r>
      <w:r w:rsidRPr="006D52A9">
        <w:tab/>
        <w:t>dividing the quantity or number of units in the broken quantity by the pack quantity, expressed as a percentage to 2 decimal places; and</w:t>
      </w:r>
    </w:p>
    <w:p w14:paraId="24C77115" w14:textId="77777777" w:rsidR="0044450D" w:rsidRPr="006D52A9" w:rsidRDefault="0044450D" w:rsidP="0044450D">
      <w:pPr>
        <w:pStyle w:val="paragraph"/>
      </w:pPr>
      <w:r w:rsidRPr="006D52A9">
        <w:tab/>
        <w:t>(b)</w:t>
      </w:r>
      <w:r w:rsidRPr="006D52A9">
        <w:tab/>
        <w:t>applying that percentage to the sum of:</w:t>
      </w:r>
    </w:p>
    <w:p w14:paraId="124A03A1" w14:textId="77777777" w:rsidR="0044450D" w:rsidRPr="006D52A9" w:rsidRDefault="0044450D" w:rsidP="0044450D">
      <w:pPr>
        <w:pStyle w:val="paragraphsub"/>
      </w:pPr>
      <w:r w:rsidRPr="006D52A9">
        <w:tab/>
        <w:t>(i</w:t>
      </w:r>
      <w:r w:rsidR="00F117BC" w:rsidRPr="006D52A9">
        <w:t>)</w:t>
      </w:r>
      <w:r w:rsidR="00F117BC" w:rsidRPr="006D52A9">
        <w:tab/>
      </w:r>
      <w:r w:rsidRPr="006D52A9">
        <w:t>the approved ex</w:t>
      </w:r>
      <w:r w:rsidR="0026100E">
        <w:noBreakHyphen/>
      </w:r>
      <w:r w:rsidRPr="006D52A9">
        <w:t>manufacturer price or the proportional ex</w:t>
      </w:r>
      <w:r w:rsidR="0026100E">
        <w:noBreakHyphen/>
      </w:r>
      <w:r w:rsidRPr="006D52A9">
        <w:t>manufacturer price (as applicable) for the pack quantity; and</w:t>
      </w:r>
    </w:p>
    <w:p w14:paraId="3C79F887" w14:textId="77777777" w:rsidR="00F117BC" w:rsidRPr="006D52A9" w:rsidRDefault="0044450D" w:rsidP="0044450D">
      <w:pPr>
        <w:pStyle w:val="paragraphsub"/>
      </w:pPr>
      <w:r w:rsidRPr="006D52A9">
        <w:tab/>
        <w:t>(ii)</w:t>
      </w:r>
      <w:r w:rsidRPr="006D52A9">
        <w:tab/>
      </w:r>
      <w:r w:rsidRPr="006D52A9">
        <w:rPr>
          <w:szCs w:val="24"/>
        </w:rPr>
        <w:t xml:space="preserve">if the </w:t>
      </w:r>
      <w:r w:rsidRPr="006D52A9">
        <w:t>benefit is a ready</w:t>
      </w:r>
      <w:r w:rsidR="0026100E">
        <w:noBreakHyphen/>
      </w:r>
      <w:r w:rsidRPr="006D52A9">
        <w:t>prepared pharmaceutical benefit—</w:t>
      </w:r>
      <w:r w:rsidR="00F117BC" w:rsidRPr="006D52A9">
        <w:t>the mark</w:t>
      </w:r>
      <w:r w:rsidR="0026100E">
        <w:noBreakHyphen/>
      </w:r>
      <w:r w:rsidR="00F117BC" w:rsidRPr="006D52A9">
        <w:t xml:space="preserve">up mentioned in </w:t>
      </w:r>
      <w:r w:rsidR="00D66D59">
        <w:t>section 3</w:t>
      </w:r>
      <w:r w:rsidR="005F407C" w:rsidRPr="006D52A9">
        <w:t>3</w:t>
      </w:r>
      <w:r w:rsidR="009B2068" w:rsidRPr="006D52A9">
        <w:t xml:space="preserve"> for the pack quantity</w:t>
      </w:r>
      <w:r w:rsidRPr="006D52A9">
        <w:t xml:space="preserve">, </w:t>
      </w:r>
      <w:r w:rsidR="0093702D" w:rsidRPr="006D52A9">
        <w:t>rounded</w:t>
      </w:r>
      <w:r w:rsidR="00F117BC" w:rsidRPr="006D52A9">
        <w:t xml:space="preserve"> to the nearest cent</w:t>
      </w:r>
      <w:r w:rsidR="00365C1A" w:rsidRPr="006D52A9">
        <w:t xml:space="preserve"> (rounding 0.5 cents upwards)</w:t>
      </w:r>
      <w:r w:rsidRPr="006D52A9">
        <w:t>.</w:t>
      </w:r>
    </w:p>
    <w:p w14:paraId="2E401FFF" w14:textId="77777777" w:rsidR="00071A14" w:rsidRPr="006D52A9" w:rsidRDefault="00071A14" w:rsidP="00071A14">
      <w:pPr>
        <w:pStyle w:val="SubsectionHead"/>
      </w:pPr>
      <w:r w:rsidRPr="006D52A9">
        <w:t>Rounding</w:t>
      </w:r>
    </w:p>
    <w:p w14:paraId="6D184204" w14:textId="77777777" w:rsidR="00071A14" w:rsidRPr="006D52A9" w:rsidRDefault="00071A14" w:rsidP="00071A14">
      <w:pPr>
        <w:pStyle w:val="subsection"/>
        <w:rPr>
          <w:szCs w:val="24"/>
          <w:lang w:eastAsia="en-US"/>
        </w:rPr>
      </w:pPr>
      <w:r w:rsidRPr="006D52A9">
        <w:rPr>
          <w:szCs w:val="24"/>
          <w:lang w:eastAsia="en-US"/>
        </w:rPr>
        <w:tab/>
        <w:t>(3)</w:t>
      </w:r>
      <w:r w:rsidRPr="006D52A9">
        <w:rPr>
          <w:szCs w:val="24"/>
          <w:lang w:eastAsia="en-US"/>
        </w:rPr>
        <w:tab/>
        <w:t xml:space="preserve">The dispensed price </w:t>
      </w:r>
      <w:r w:rsidR="008E568E" w:rsidRPr="006D52A9">
        <w:rPr>
          <w:szCs w:val="24"/>
          <w:lang w:eastAsia="en-US"/>
        </w:rPr>
        <w:t xml:space="preserve">under </w:t>
      </w:r>
      <w:r w:rsidR="00942996" w:rsidRPr="006D52A9">
        <w:rPr>
          <w:szCs w:val="24"/>
          <w:lang w:eastAsia="en-US"/>
        </w:rPr>
        <w:t>subsection (</w:t>
      </w:r>
      <w:r w:rsidR="008E568E" w:rsidRPr="006D52A9">
        <w:rPr>
          <w:szCs w:val="24"/>
          <w:lang w:eastAsia="en-US"/>
        </w:rPr>
        <w:t xml:space="preserve">1) is </w:t>
      </w:r>
      <w:r w:rsidR="009A31D4" w:rsidRPr="006D52A9">
        <w:rPr>
          <w:szCs w:val="24"/>
          <w:lang w:eastAsia="en-US"/>
        </w:rPr>
        <w:t>rounded</w:t>
      </w:r>
      <w:r w:rsidRPr="006D52A9">
        <w:rPr>
          <w:szCs w:val="24"/>
          <w:lang w:eastAsia="en-US"/>
        </w:rPr>
        <w:t xml:space="preserve"> to the nearest cent</w:t>
      </w:r>
      <w:r w:rsidR="00365C1A" w:rsidRPr="006D52A9">
        <w:rPr>
          <w:szCs w:val="24"/>
          <w:lang w:eastAsia="en-US"/>
        </w:rPr>
        <w:t xml:space="preserve"> (rounding 0.5 cents upwards)</w:t>
      </w:r>
      <w:r w:rsidRPr="006D52A9">
        <w:rPr>
          <w:szCs w:val="24"/>
          <w:lang w:eastAsia="en-US"/>
        </w:rPr>
        <w:t>.</w:t>
      </w:r>
    </w:p>
    <w:p w14:paraId="56A97F20" w14:textId="77777777" w:rsidR="006B0D76" w:rsidRPr="006D52A9" w:rsidRDefault="005F407C" w:rsidP="006B0D76">
      <w:pPr>
        <w:pStyle w:val="ActHead5"/>
      </w:pPr>
      <w:bookmarkStart w:id="44" w:name="_Toc66968136"/>
      <w:r w:rsidRPr="00A757E4">
        <w:rPr>
          <w:rStyle w:val="CharSectno"/>
        </w:rPr>
        <w:t>33</w:t>
      </w:r>
      <w:r w:rsidR="006B0D76" w:rsidRPr="006D52A9">
        <w:t xml:space="preserve">  Mark</w:t>
      </w:r>
      <w:r w:rsidR="0026100E">
        <w:noBreakHyphen/>
      </w:r>
      <w:r w:rsidR="006B0D76" w:rsidRPr="006D52A9">
        <w:t>up</w:t>
      </w:r>
      <w:r w:rsidR="0044450D" w:rsidRPr="006D52A9">
        <w:t xml:space="preserve"> for ready</w:t>
      </w:r>
      <w:r w:rsidR="0026100E">
        <w:noBreakHyphen/>
      </w:r>
      <w:r w:rsidR="0044450D" w:rsidRPr="006D52A9">
        <w:t>prepared pharmaceutical benefits</w:t>
      </w:r>
      <w:bookmarkEnd w:id="44"/>
    </w:p>
    <w:p w14:paraId="3F7EC937" w14:textId="77777777" w:rsidR="006B0D76" w:rsidRPr="006D52A9" w:rsidRDefault="006B0D76" w:rsidP="006B0D76">
      <w:pPr>
        <w:pStyle w:val="subsection"/>
      </w:pPr>
      <w:r w:rsidRPr="006D52A9">
        <w:tab/>
      </w:r>
      <w:r w:rsidRPr="006D52A9">
        <w:tab/>
        <w:t xml:space="preserve">For </w:t>
      </w:r>
      <w:r w:rsidR="001B0D5B" w:rsidRPr="006D52A9">
        <w:t xml:space="preserve">the purposes of </w:t>
      </w:r>
      <w:r w:rsidR="00D66D59">
        <w:t>subparagraphs 3</w:t>
      </w:r>
      <w:r w:rsidR="005F407C" w:rsidRPr="006D52A9">
        <w:t>2</w:t>
      </w:r>
      <w:r w:rsidRPr="006D52A9">
        <w:t>(1)(a)(</w:t>
      </w:r>
      <w:r w:rsidR="0044450D" w:rsidRPr="006D52A9">
        <w:t>ii</w:t>
      </w:r>
      <w:r w:rsidRPr="006D52A9">
        <w:t>)</w:t>
      </w:r>
      <w:r w:rsidR="00F20D45" w:rsidRPr="006D52A9">
        <w:t>,</w:t>
      </w:r>
      <w:r w:rsidRPr="006D52A9">
        <w:t xml:space="preserve"> (c)(</w:t>
      </w:r>
      <w:r w:rsidR="0044450D" w:rsidRPr="006D52A9">
        <w:t>i</w:t>
      </w:r>
      <w:r w:rsidRPr="006D52A9">
        <w:t xml:space="preserve">i) and </w:t>
      </w:r>
      <w:r w:rsidR="00BF7AD4" w:rsidRPr="006D52A9">
        <w:t>(2</w:t>
      </w:r>
      <w:r w:rsidR="007B77FA" w:rsidRPr="006D52A9">
        <w:t>)</w:t>
      </w:r>
      <w:r w:rsidRPr="006D52A9">
        <w:t>(</w:t>
      </w:r>
      <w:r w:rsidR="00F01725" w:rsidRPr="006D52A9">
        <w:t>b</w:t>
      </w:r>
      <w:r w:rsidRPr="006D52A9">
        <w:t>)</w:t>
      </w:r>
      <w:r w:rsidR="00F01725" w:rsidRPr="006D52A9">
        <w:t>(ii)</w:t>
      </w:r>
      <w:r w:rsidRPr="006D52A9">
        <w:t>, the mark</w:t>
      </w:r>
      <w:r w:rsidR="0026100E">
        <w:noBreakHyphen/>
      </w:r>
      <w:r w:rsidRPr="006D52A9">
        <w:t>up for a pack quantity of a</w:t>
      </w:r>
      <w:r w:rsidR="00371DB5" w:rsidRPr="006D52A9">
        <w:t>n HSD pharmaceutical benefit that is a</w:t>
      </w:r>
      <w:r w:rsidRPr="006D52A9">
        <w:t xml:space="preserve"> ready</w:t>
      </w:r>
      <w:r w:rsidR="0026100E">
        <w:noBreakHyphen/>
      </w:r>
      <w:r w:rsidRPr="006D52A9">
        <w:t>prepared pharmaceutical benefit is:</w:t>
      </w:r>
    </w:p>
    <w:p w14:paraId="7DFA0D9B" w14:textId="77777777" w:rsidR="006B0D76" w:rsidRPr="006D52A9" w:rsidRDefault="006B0D76" w:rsidP="006B0D76">
      <w:pPr>
        <w:pStyle w:val="paragraph"/>
      </w:pPr>
      <w:r w:rsidRPr="006D52A9">
        <w:tab/>
        <w:t>(a)</w:t>
      </w:r>
      <w:r w:rsidRPr="006D52A9">
        <w:tab/>
        <w:t>if the pack quantity</w:t>
      </w:r>
      <w:r w:rsidR="004A7D7D" w:rsidRPr="006D52A9">
        <w:t xml:space="preserve"> of the benefit</w:t>
      </w:r>
      <w:r w:rsidRPr="006D52A9">
        <w:t xml:space="preserve"> is equal to </w:t>
      </w:r>
      <w:r w:rsidR="00901F03" w:rsidRPr="006D52A9">
        <w:t>the</w:t>
      </w:r>
      <w:r w:rsidRPr="006D52A9">
        <w:t xml:space="preserve"> maximum quantity of the benefit</w:t>
      </w:r>
      <w:r w:rsidR="00901F03" w:rsidRPr="006D52A9">
        <w:t xml:space="preserve"> </w:t>
      </w:r>
      <w:r w:rsidR="00F01725" w:rsidRPr="006D52A9">
        <w:t>mentioned in</w:t>
      </w:r>
      <w:r w:rsidR="00901F03" w:rsidRPr="006D52A9">
        <w:t xml:space="preserve"> </w:t>
      </w:r>
      <w:r w:rsidR="00D66D59">
        <w:t>section 2</w:t>
      </w:r>
      <w:r w:rsidR="005F407C" w:rsidRPr="006D52A9">
        <w:t>0</w:t>
      </w:r>
      <w:r w:rsidR="00572D56" w:rsidRPr="006D52A9">
        <w:t>—</w:t>
      </w:r>
      <w:r w:rsidRPr="006D52A9">
        <w:t>the amount mentioned in the</w:t>
      </w:r>
      <w:r w:rsidR="00371DB5" w:rsidRPr="006D52A9">
        <w:t xml:space="preserve"> following</w:t>
      </w:r>
      <w:r w:rsidRPr="006D52A9">
        <w:t xml:space="preserve"> table for the approved ex</w:t>
      </w:r>
      <w:r w:rsidR="0026100E">
        <w:noBreakHyphen/>
      </w:r>
      <w:r w:rsidRPr="006D52A9">
        <w:t>manufacturer price (</w:t>
      </w:r>
      <w:r w:rsidRPr="006D52A9">
        <w:rPr>
          <w:b/>
          <w:i/>
        </w:rPr>
        <w:t>AEMP</w:t>
      </w:r>
      <w:r w:rsidRPr="006D52A9">
        <w:t>) or proportional ex</w:t>
      </w:r>
      <w:r w:rsidR="0026100E">
        <w:noBreakHyphen/>
      </w:r>
      <w:r w:rsidRPr="006D52A9">
        <w:t>manufacturer</w:t>
      </w:r>
      <w:r w:rsidR="00371DB5" w:rsidRPr="006D52A9">
        <w:t xml:space="preserve"> price (</w:t>
      </w:r>
      <w:r w:rsidR="00371DB5" w:rsidRPr="006D52A9">
        <w:rPr>
          <w:b/>
          <w:i/>
        </w:rPr>
        <w:t>PEMP</w:t>
      </w:r>
      <w:r w:rsidR="00371DB5" w:rsidRPr="006D52A9">
        <w:t xml:space="preserve">) </w:t>
      </w:r>
      <w:r w:rsidR="0026055A" w:rsidRPr="006D52A9">
        <w:t xml:space="preserve">(as applicable) </w:t>
      </w:r>
      <w:r w:rsidR="00565765" w:rsidRPr="006D52A9">
        <w:t>for that quantity;</w:t>
      </w:r>
      <w:r w:rsidR="001C7C14" w:rsidRPr="006D52A9">
        <w:t xml:space="preserve"> or</w:t>
      </w:r>
    </w:p>
    <w:p w14:paraId="7CE8F036" w14:textId="77777777" w:rsidR="00231612" w:rsidRPr="006D52A9" w:rsidRDefault="00371DB5" w:rsidP="00FA20E0">
      <w:pPr>
        <w:pStyle w:val="paragraph"/>
        <w:rPr>
          <w:lang w:eastAsia="en-US"/>
        </w:rPr>
      </w:pPr>
      <w:r w:rsidRPr="006D52A9">
        <w:rPr>
          <w:lang w:eastAsia="en-US"/>
        </w:rPr>
        <w:tab/>
        <w:t>(b)</w:t>
      </w:r>
      <w:r w:rsidRPr="006D52A9">
        <w:rPr>
          <w:lang w:eastAsia="en-US"/>
        </w:rPr>
        <w:tab/>
        <w:t xml:space="preserve">if the pack quantity </w:t>
      </w:r>
      <w:r w:rsidR="004A7D7D" w:rsidRPr="006D52A9">
        <w:rPr>
          <w:lang w:eastAsia="en-US"/>
        </w:rPr>
        <w:t xml:space="preserve">of the benefit </w:t>
      </w:r>
      <w:r w:rsidRPr="006D52A9">
        <w:rPr>
          <w:lang w:eastAsia="en-US"/>
        </w:rPr>
        <w:t xml:space="preserve">is </w:t>
      </w:r>
      <w:r w:rsidR="00231612" w:rsidRPr="006D52A9">
        <w:rPr>
          <w:lang w:eastAsia="en-US"/>
        </w:rPr>
        <w:t xml:space="preserve">less than </w:t>
      </w:r>
      <w:r w:rsidR="00901F03" w:rsidRPr="006D52A9">
        <w:rPr>
          <w:lang w:eastAsia="en-US"/>
        </w:rPr>
        <w:t>the</w:t>
      </w:r>
      <w:r w:rsidRPr="006D52A9">
        <w:rPr>
          <w:lang w:eastAsia="en-US"/>
        </w:rPr>
        <w:t xml:space="preserve"> maximum quantity of the benefit</w:t>
      </w:r>
      <w:r w:rsidR="00901F03" w:rsidRPr="006D52A9">
        <w:rPr>
          <w:lang w:eastAsia="en-US"/>
        </w:rPr>
        <w:t xml:space="preserve"> </w:t>
      </w:r>
      <w:r w:rsidR="00F01725" w:rsidRPr="006D52A9">
        <w:rPr>
          <w:lang w:eastAsia="en-US"/>
        </w:rPr>
        <w:t>mentioned in</w:t>
      </w:r>
      <w:r w:rsidR="00901F03" w:rsidRPr="006D52A9">
        <w:rPr>
          <w:lang w:eastAsia="en-US"/>
        </w:rPr>
        <w:t xml:space="preserve"> </w:t>
      </w:r>
      <w:r w:rsidR="00D66D59">
        <w:rPr>
          <w:lang w:eastAsia="en-US"/>
        </w:rPr>
        <w:t>section 2</w:t>
      </w:r>
      <w:r w:rsidR="005F407C" w:rsidRPr="006D52A9">
        <w:rPr>
          <w:lang w:eastAsia="en-US"/>
        </w:rPr>
        <w:t>0</w:t>
      </w:r>
      <w:r w:rsidR="00231612" w:rsidRPr="006D52A9">
        <w:rPr>
          <w:lang w:eastAsia="en-US"/>
        </w:rPr>
        <w:t>:</w:t>
      </w:r>
    </w:p>
    <w:p w14:paraId="0F544008" w14:textId="77777777" w:rsidR="00371DB5" w:rsidRPr="006D52A9" w:rsidRDefault="00231612" w:rsidP="00231612">
      <w:pPr>
        <w:pStyle w:val="paragraphsub"/>
      </w:pPr>
      <w:r w:rsidRPr="006D52A9">
        <w:rPr>
          <w:lang w:eastAsia="en-US"/>
        </w:rPr>
        <w:lastRenderedPageBreak/>
        <w:tab/>
        <w:t>(i)</w:t>
      </w:r>
      <w:r w:rsidRPr="006D52A9">
        <w:rPr>
          <w:lang w:eastAsia="en-US"/>
        </w:rPr>
        <w:tab/>
        <w:t>if</w:t>
      </w:r>
      <w:r w:rsidR="00FA20E0" w:rsidRPr="006D52A9">
        <w:rPr>
          <w:lang w:eastAsia="en-US"/>
        </w:rPr>
        <w:t xml:space="preserve"> </w:t>
      </w:r>
      <w:r w:rsidR="00371DB5" w:rsidRPr="006D52A9">
        <w:t>the mark</w:t>
      </w:r>
      <w:r w:rsidR="0026100E">
        <w:noBreakHyphen/>
      </w:r>
      <w:r w:rsidR="00371DB5" w:rsidRPr="006D52A9">
        <w:t xml:space="preserve">up </w:t>
      </w:r>
      <w:r w:rsidR="004A7D7D" w:rsidRPr="006D52A9">
        <w:t xml:space="preserve">mentioned in the following table for </w:t>
      </w:r>
      <w:r w:rsidR="00371DB5" w:rsidRPr="006D52A9">
        <w:t xml:space="preserve">the maximum quantity </w:t>
      </w:r>
      <w:r w:rsidR="004A7D7D" w:rsidRPr="006D52A9">
        <w:t xml:space="preserve">is </w:t>
      </w:r>
      <w:r w:rsidR="00371DB5" w:rsidRPr="006D52A9">
        <w:t xml:space="preserve">a monetary amount—that monetary amount reduced proportionately </w:t>
      </w:r>
      <w:r w:rsidR="00FA20E0" w:rsidRPr="006D52A9">
        <w:t>for the relative quantities;</w:t>
      </w:r>
      <w:r w:rsidR="001C7C14" w:rsidRPr="006D52A9">
        <w:t xml:space="preserve"> or</w:t>
      </w:r>
    </w:p>
    <w:p w14:paraId="2E29227D" w14:textId="77777777" w:rsidR="00371DB5" w:rsidRPr="006D52A9" w:rsidRDefault="00231612" w:rsidP="00231612">
      <w:pPr>
        <w:pStyle w:val="paragraphsub"/>
      </w:pPr>
      <w:r w:rsidRPr="006D52A9">
        <w:tab/>
        <w:t>(ii)</w:t>
      </w:r>
      <w:r w:rsidRPr="006D52A9">
        <w:tab/>
        <w:t xml:space="preserve">if </w:t>
      </w:r>
      <w:r w:rsidR="00371DB5" w:rsidRPr="006D52A9">
        <w:t>the mark</w:t>
      </w:r>
      <w:r w:rsidR="0026100E">
        <w:noBreakHyphen/>
      </w:r>
      <w:r w:rsidR="00371DB5" w:rsidRPr="006D52A9">
        <w:t xml:space="preserve">up </w:t>
      </w:r>
      <w:r w:rsidR="004A7D7D" w:rsidRPr="006D52A9">
        <w:t xml:space="preserve">mentioned in the following table for </w:t>
      </w:r>
      <w:r w:rsidR="00371DB5" w:rsidRPr="006D52A9">
        <w:t>the maximum quantity is a percentage of</w:t>
      </w:r>
      <w:r w:rsidR="0011143B" w:rsidRPr="006D52A9">
        <w:t xml:space="preserve"> the</w:t>
      </w:r>
      <w:r w:rsidR="00371DB5" w:rsidRPr="006D52A9">
        <w:t xml:space="preserve"> AEMP or PEMP</w:t>
      </w:r>
      <w:r w:rsidR="00F01725" w:rsidRPr="006D52A9">
        <w:t xml:space="preserve"> (as applicable)</w:t>
      </w:r>
      <w:r w:rsidR="00371DB5" w:rsidRPr="006D52A9">
        <w:t>—that percentage of the AEMP or PEMP for the pack quantity.</w:t>
      </w:r>
    </w:p>
    <w:p w14:paraId="7B1CD5FF" w14:textId="77777777" w:rsidR="00371DB5" w:rsidRPr="006D52A9" w:rsidRDefault="00371DB5" w:rsidP="00371DB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790"/>
        <w:gridCol w:w="3007"/>
      </w:tblGrid>
      <w:tr w:rsidR="00371DB5" w:rsidRPr="006D52A9" w14:paraId="723D410B" w14:textId="77777777" w:rsidTr="00BE5990">
        <w:trPr>
          <w:tblHeader/>
        </w:trPr>
        <w:tc>
          <w:tcPr>
            <w:tcW w:w="5000" w:type="pct"/>
            <w:gridSpan w:val="3"/>
            <w:tcBorders>
              <w:top w:val="single" w:sz="12" w:space="0" w:color="auto"/>
              <w:bottom w:val="single" w:sz="6" w:space="0" w:color="auto"/>
            </w:tcBorders>
            <w:shd w:val="clear" w:color="auto" w:fill="auto"/>
          </w:tcPr>
          <w:p w14:paraId="1C4A8782" w14:textId="77777777" w:rsidR="00371DB5" w:rsidRPr="006D52A9" w:rsidRDefault="007A2C61" w:rsidP="00371DB5">
            <w:pPr>
              <w:pStyle w:val="TableHeading"/>
            </w:pPr>
            <w:r w:rsidRPr="006D52A9">
              <w:t>Mark</w:t>
            </w:r>
            <w:r w:rsidR="0026100E">
              <w:noBreakHyphen/>
            </w:r>
            <w:r w:rsidRPr="006D52A9">
              <w:t>up for ready</w:t>
            </w:r>
            <w:r w:rsidR="0026100E">
              <w:noBreakHyphen/>
            </w:r>
            <w:r w:rsidRPr="006D52A9">
              <w:t>prepared pharmaceutical benefits</w:t>
            </w:r>
          </w:p>
        </w:tc>
      </w:tr>
      <w:tr w:rsidR="00371DB5" w:rsidRPr="006D52A9" w14:paraId="009A48D1" w14:textId="77777777" w:rsidTr="00BE5990">
        <w:trPr>
          <w:tblHeader/>
        </w:trPr>
        <w:tc>
          <w:tcPr>
            <w:tcW w:w="429" w:type="pct"/>
            <w:tcBorders>
              <w:top w:val="single" w:sz="6" w:space="0" w:color="auto"/>
              <w:bottom w:val="single" w:sz="12" w:space="0" w:color="auto"/>
            </w:tcBorders>
            <w:shd w:val="clear" w:color="auto" w:fill="auto"/>
          </w:tcPr>
          <w:p w14:paraId="32F53364" w14:textId="77777777" w:rsidR="00371DB5" w:rsidRPr="006D52A9" w:rsidRDefault="00371DB5" w:rsidP="00371DB5">
            <w:pPr>
              <w:pStyle w:val="TableHeading"/>
            </w:pPr>
            <w:r w:rsidRPr="006D52A9">
              <w:t>Item</w:t>
            </w:r>
          </w:p>
        </w:tc>
        <w:tc>
          <w:tcPr>
            <w:tcW w:w="2808" w:type="pct"/>
            <w:tcBorders>
              <w:top w:val="single" w:sz="6" w:space="0" w:color="auto"/>
              <w:bottom w:val="single" w:sz="12" w:space="0" w:color="auto"/>
            </w:tcBorders>
            <w:shd w:val="clear" w:color="auto" w:fill="auto"/>
          </w:tcPr>
          <w:p w14:paraId="03C1487E" w14:textId="77777777" w:rsidR="00371DB5" w:rsidRPr="006D52A9" w:rsidRDefault="00572D56" w:rsidP="00371DB5">
            <w:pPr>
              <w:pStyle w:val="TableHeading"/>
            </w:pPr>
            <w:r w:rsidRPr="006D52A9">
              <w:rPr>
                <w:rFonts w:eastAsia="Calibri"/>
                <w:lang w:eastAsia="en-US"/>
              </w:rPr>
              <w:t xml:space="preserve">If the </w:t>
            </w:r>
            <w:r w:rsidR="0005048E" w:rsidRPr="006D52A9">
              <w:rPr>
                <w:rFonts w:eastAsia="Calibri"/>
                <w:lang w:eastAsia="en-US"/>
              </w:rPr>
              <w:t xml:space="preserve">AEMP or PEMP </w:t>
            </w:r>
            <w:r w:rsidR="00F01725" w:rsidRPr="006D52A9">
              <w:t xml:space="preserve">(as applicable) </w:t>
            </w:r>
            <w:r w:rsidR="0005048E" w:rsidRPr="006D52A9">
              <w:rPr>
                <w:rFonts w:eastAsia="Calibri"/>
                <w:lang w:eastAsia="en-US"/>
              </w:rPr>
              <w:t>for</w:t>
            </w:r>
            <w:r w:rsidR="007A2C61" w:rsidRPr="006D52A9">
              <w:rPr>
                <w:rFonts w:eastAsia="Calibri"/>
                <w:lang w:eastAsia="en-US"/>
              </w:rPr>
              <w:t xml:space="preserve"> the</w:t>
            </w:r>
            <w:r w:rsidR="0005048E" w:rsidRPr="006D52A9">
              <w:rPr>
                <w:rFonts w:eastAsia="Calibri"/>
                <w:lang w:eastAsia="en-US"/>
              </w:rPr>
              <w:t xml:space="preserve"> maximum q</w:t>
            </w:r>
            <w:r w:rsidR="00371DB5" w:rsidRPr="006D52A9">
              <w:rPr>
                <w:rFonts w:eastAsia="Calibri"/>
                <w:lang w:eastAsia="en-US"/>
              </w:rPr>
              <w:t>uantity</w:t>
            </w:r>
            <w:r w:rsidRPr="006D52A9">
              <w:rPr>
                <w:rFonts w:eastAsia="Calibri"/>
                <w:lang w:eastAsia="en-US"/>
              </w:rPr>
              <w:t xml:space="preserve"> is …</w:t>
            </w:r>
          </w:p>
        </w:tc>
        <w:tc>
          <w:tcPr>
            <w:tcW w:w="1763" w:type="pct"/>
            <w:tcBorders>
              <w:top w:val="single" w:sz="6" w:space="0" w:color="auto"/>
              <w:bottom w:val="single" w:sz="12" w:space="0" w:color="auto"/>
            </w:tcBorders>
            <w:shd w:val="clear" w:color="auto" w:fill="auto"/>
          </w:tcPr>
          <w:p w14:paraId="2906AFFD" w14:textId="77777777" w:rsidR="00371DB5" w:rsidRPr="006D52A9" w:rsidRDefault="0085209E" w:rsidP="00572D56">
            <w:pPr>
              <w:pStyle w:val="TableHeading"/>
            </w:pPr>
            <w:r w:rsidRPr="006D52A9">
              <w:rPr>
                <w:rFonts w:eastAsia="Calibri"/>
                <w:lang w:eastAsia="en-US"/>
              </w:rPr>
              <w:t>t</w:t>
            </w:r>
            <w:r w:rsidR="00572D56" w:rsidRPr="006D52A9">
              <w:rPr>
                <w:rFonts w:eastAsia="Calibri"/>
                <w:lang w:eastAsia="en-US"/>
              </w:rPr>
              <w:t>he m</w:t>
            </w:r>
            <w:r w:rsidR="00371DB5" w:rsidRPr="006D52A9">
              <w:rPr>
                <w:rFonts w:eastAsia="Calibri"/>
                <w:lang w:eastAsia="en-US"/>
              </w:rPr>
              <w:t>ark</w:t>
            </w:r>
            <w:r w:rsidR="0026100E">
              <w:rPr>
                <w:rFonts w:eastAsia="Calibri"/>
                <w:lang w:eastAsia="en-US"/>
              </w:rPr>
              <w:noBreakHyphen/>
            </w:r>
            <w:r w:rsidR="0005048E" w:rsidRPr="006D52A9">
              <w:rPr>
                <w:rFonts w:eastAsia="Calibri"/>
                <w:lang w:eastAsia="en-US"/>
              </w:rPr>
              <w:t xml:space="preserve">up for </w:t>
            </w:r>
            <w:r w:rsidR="007966EC" w:rsidRPr="006D52A9">
              <w:rPr>
                <w:rFonts w:eastAsia="Calibri"/>
                <w:lang w:eastAsia="en-US"/>
              </w:rPr>
              <w:t xml:space="preserve">the </w:t>
            </w:r>
            <w:r w:rsidR="0005048E" w:rsidRPr="006D52A9">
              <w:rPr>
                <w:rFonts w:eastAsia="Calibri"/>
                <w:lang w:eastAsia="en-US"/>
              </w:rPr>
              <w:t>maximum q</w:t>
            </w:r>
            <w:r w:rsidR="00371DB5" w:rsidRPr="006D52A9">
              <w:rPr>
                <w:rFonts w:eastAsia="Calibri"/>
                <w:lang w:eastAsia="en-US"/>
              </w:rPr>
              <w:t>uantity</w:t>
            </w:r>
            <w:r w:rsidR="00572D56" w:rsidRPr="006D52A9">
              <w:rPr>
                <w:rFonts w:eastAsia="Calibri"/>
                <w:lang w:eastAsia="en-US"/>
              </w:rPr>
              <w:t xml:space="preserve"> is …</w:t>
            </w:r>
          </w:p>
        </w:tc>
      </w:tr>
      <w:tr w:rsidR="00371DB5" w:rsidRPr="006D52A9" w14:paraId="2017B308" w14:textId="77777777" w:rsidTr="00BE5990">
        <w:tc>
          <w:tcPr>
            <w:tcW w:w="429" w:type="pct"/>
            <w:tcBorders>
              <w:top w:val="single" w:sz="12" w:space="0" w:color="auto"/>
            </w:tcBorders>
            <w:shd w:val="clear" w:color="auto" w:fill="auto"/>
          </w:tcPr>
          <w:p w14:paraId="39E82D7A" w14:textId="77777777" w:rsidR="00371DB5" w:rsidRPr="006D52A9" w:rsidRDefault="00371DB5" w:rsidP="00371DB5">
            <w:pPr>
              <w:pStyle w:val="Tabletext"/>
            </w:pPr>
            <w:r w:rsidRPr="006D52A9">
              <w:t>1</w:t>
            </w:r>
          </w:p>
        </w:tc>
        <w:tc>
          <w:tcPr>
            <w:tcW w:w="2808" w:type="pct"/>
            <w:tcBorders>
              <w:top w:val="single" w:sz="12" w:space="0" w:color="auto"/>
            </w:tcBorders>
            <w:shd w:val="clear" w:color="auto" w:fill="auto"/>
            <w:vAlign w:val="center"/>
          </w:tcPr>
          <w:p w14:paraId="1B2579F7" w14:textId="77777777" w:rsidR="00371DB5" w:rsidRPr="006D52A9" w:rsidRDefault="007966EC" w:rsidP="003B34D1">
            <w:pPr>
              <w:pStyle w:val="Tabletext"/>
              <w:rPr>
                <w:rFonts w:eastAsia="Calibri"/>
                <w:lang w:eastAsia="en-US"/>
              </w:rPr>
            </w:pPr>
            <w:r w:rsidRPr="006D52A9">
              <w:rPr>
                <w:rFonts w:eastAsia="Calibri"/>
                <w:lang w:eastAsia="en-US"/>
              </w:rPr>
              <w:t xml:space="preserve">less than </w:t>
            </w:r>
            <w:r w:rsidR="00371DB5" w:rsidRPr="006D52A9">
              <w:rPr>
                <w:rFonts w:eastAsia="Calibri"/>
                <w:lang w:eastAsia="en-US"/>
              </w:rPr>
              <w:t>$40</w:t>
            </w:r>
          </w:p>
        </w:tc>
        <w:tc>
          <w:tcPr>
            <w:tcW w:w="1763" w:type="pct"/>
            <w:tcBorders>
              <w:top w:val="single" w:sz="12" w:space="0" w:color="auto"/>
            </w:tcBorders>
            <w:shd w:val="clear" w:color="auto" w:fill="auto"/>
            <w:vAlign w:val="center"/>
          </w:tcPr>
          <w:p w14:paraId="07C4B31A" w14:textId="77777777" w:rsidR="00371DB5" w:rsidRPr="006D52A9" w:rsidRDefault="00371DB5" w:rsidP="003B34D1">
            <w:pPr>
              <w:pStyle w:val="Tabletext"/>
              <w:rPr>
                <w:rFonts w:eastAsia="Calibri"/>
                <w:lang w:eastAsia="en-US"/>
              </w:rPr>
            </w:pPr>
            <w:r w:rsidRPr="006D52A9">
              <w:rPr>
                <w:rFonts w:eastAsia="Calibri"/>
                <w:lang w:eastAsia="en-US"/>
              </w:rPr>
              <w:t xml:space="preserve">10% of </w:t>
            </w:r>
            <w:r w:rsidR="007966EC" w:rsidRPr="006D52A9">
              <w:rPr>
                <w:rFonts w:eastAsia="Calibri"/>
                <w:lang w:eastAsia="en-US"/>
              </w:rPr>
              <w:t xml:space="preserve">the </w:t>
            </w:r>
            <w:r w:rsidRPr="006D52A9">
              <w:rPr>
                <w:rFonts w:eastAsia="Calibri"/>
                <w:lang w:eastAsia="en-US"/>
              </w:rPr>
              <w:t>AEMP or PEMP</w:t>
            </w:r>
          </w:p>
        </w:tc>
      </w:tr>
      <w:tr w:rsidR="00371DB5" w:rsidRPr="006D52A9" w14:paraId="02AC5978" w14:textId="77777777" w:rsidTr="00BE5990">
        <w:tc>
          <w:tcPr>
            <w:tcW w:w="429" w:type="pct"/>
            <w:shd w:val="clear" w:color="auto" w:fill="auto"/>
          </w:tcPr>
          <w:p w14:paraId="483BF16E" w14:textId="77777777" w:rsidR="00371DB5" w:rsidRPr="006D52A9" w:rsidRDefault="00371DB5" w:rsidP="00371DB5">
            <w:pPr>
              <w:pStyle w:val="Tabletext"/>
            </w:pPr>
            <w:r w:rsidRPr="006D52A9">
              <w:t>2</w:t>
            </w:r>
          </w:p>
        </w:tc>
        <w:tc>
          <w:tcPr>
            <w:tcW w:w="2808" w:type="pct"/>
            <w:shd w:val="clear" w:color="auto" w:fill="auto"/>
            <w:vAlign w:val="center"/>
          </w:tcPr>
          <w:p w14:paraId="3EA9D34A" w14:textId="77777777" w:rsidR="00371DB5" w:rsidRPr="006D52A9" w:rsidRDefault="007966EC" w:rsidP="007966EC">
            <w:pPr>
              <w:pStyle w:val="Tabletext"/>
              <w:rPr>
                <w:rFonts w:eastAsia="Calibri"/>
                <w:lang w:eastAsia="en-US"/>
              </w:rPr>
            </w:pPr>
            <w:r w:rsidRPr="006D52A9">
              <w:rPr>
                <w:rFonts w:eastAsia="Calibri"/>
                <w:lang w:eastAsia="en-US"/>
              </w:rPr>
              <w:t xml:space="preserve">at least </w:t>
            </w:r>
            <w:r w:rsidR="00371DB5" w:rsidRPr="006D52A9">
              <w:rPr>
                <w:rFonts w:eastAsia="Calibri"/>
                <w:lang w:eastAsia="en-US"/>
              </w:rPr>
              <w:t>$40</w:t>
            </w:r>
            <w:r w:rsidRPr="006D52A9">
              <w:rPr>
                <w:rFonts w:eastAsia="Calibri"/>
                <w:lang w:eastAsia="en-US"/>
              </w:rPr>
              <w:t xml:space="preserve"> but not more than</w:t>
            </w:r>
            <w:r w:rsidR="00371DB5" w:rsidRPr="006D52A9">
              <w:rPr>
                <w:rFonts w:eastAsia="Calibri"/>
                <w:lang w:eastAsia="en-US"/>
              </w:rPr>
              <w:t xml:space="preserve"> $100</w:t>
            </w:r>
          </w:p>
        </w:tc>
        <w:tc>
          <w:tcPr>
            <w:tcW w:w="1763" w:type="pct"/>
            <w:shd w:val="clear" w:color="auto" w:fill="auto"/>
            <w:vAlign w:val="center"/>
          </w:tcPr>
          <w:p w14:paraId="141B9EEB" w14:textId="77777777" w:rsidR="00371DB5" w:rsidRPr="006D52A9" w:rsidRDefault="007966EC" w:rsidP="003B34D1">
            <w:pPr>
              <w:pStyle w:val="Tabletext"/>
              <w:rPr>
                <w:rFonts w:eastAsia="Calibri"/>
                <w:lang w:eastAsia="en-US"/>
              </w:rPr>
            </w:pPr>
            <w:r w:rsidRPr="006D52A9">
              <w:rPr>
                <w:rFonts w:eastAsia="Calibri"/>
                <w:lang w:eastAsia="en-US"/>
              </w:rPr>
              <w:t>$4</w:t>
            </w:r>
          </w:p>
        </w:tc>
      </w:tr>
      <w:tr w:rsidR="00371DB5" w:rsidRPr="006D52A9" w14:paraId="00DCD698" w14:textId="77777777" w:rsidTr="00BE5990">
        <w:tc>
          <w:tcPr>
            <w:tcW w:w="429" w:type="pct"/>
            <w:tcBorders>
              <w:bottom w:val="single" w:sz="2" w:space="0" w:color="auto"/>
            </w:tcBorders>
            <w:shd w:val="clear" w:color="auto" w:fill="auto"/>
          </w:tcPr>
          <w:p w14:paraId="28F0F7A2" w14:textId="77777777" w:rsidR="00371DB5" w:rsidRPr="006D52A9" w:rsidRDefault="00371DB5" w:rsidP="00371DB5">
            <w:pPr>
              <w:pStyle w:val="Tabletext"/>
            </w:pPr>
            <w:r w:rsidRPr="006D52A9">
              <w:t>3</w:t>
            </w:r>
          </w:p>
        </w:tc>
        <w:tc>
          <w:tcPr>
            <w:tcW w:w="2808" w:type="pct"/>
            <w:tcBorders>
              <w:bottom w:val="single" w:sz="2" w:space="0" w:color="auto"/>
            </w:tcBorders>
            <w:shd w:val="clear" w:color="auto" w:fill="auto"/>
            <w:vAlign w:val="center"/>
          </w:tcPr>
          <w:p w14:paraId="3F58CDAF" w14:textId="77777777" w:rsidR="00371DB5" w:rsidRPr="006D52A9" w:rsidRDefault="007966EC" w:rsidP="007966EC">
            <w:pPr>
              <w:pStyle w:val="Tabletext"/>
              <w:rPr>
                <w:rFonts w:eastAsia="Calibri"/>
                <w:lang w:eastAsia="en-US"/>
              </w:rPr>
            </w:pPr>
            <w:r w:rsidRPr="006D52A9">
              <w:rPr>
                <w:rFonts w:eastAsia="Calibri"/>
                <w:lang w:eastAsia="en-US"/>
              </w:rPr>
              <w:t>more than</w:t>
            </w:r>
            <w:r w:rsidR="00371DB5" w:rsidRPr="006D52A9">
              <w:rPr>
                <w:rFonts w:eastAsia="Calibri"/>
                <w:lang w:eastAsia="en-US"/>
              </w:rPr>
              <w:t xml:space="preserve"> $100</w:t>
            </w:r>
            <w:r w:rsidRPr="006D52A9">
              <w:rPr>
                <w:rFonts w:eastAsia="Calibri"/>
                <w:lang w:eastAsia="en-US"/>
              </w:rPr>
              <w:t xml:space="preserve"> but not more than</w:t>
            </w:r>
            <w:r w:rsidR="00371DB5" w:rsidRPr="006D52A9">
              <w:rPr>
                <w:rFonts w:eastAsia="Calibri"/>
                <w:lang w:eastAsia="en-US"/>
              </w:rPr>
              <w:t xml:space="preserve"> $1,000</w:t>
            </w:r>
          </w:p>
        </w:tc>
        <w:tc>
          <w:tcPr>
            <w:tcW w:w="1763" w:type="pct"/>
            <w:tcBorders>
              <w:bottom w:val="single" w:sz="2" w:space="0" w:color="auto"/>
            </w:tcBorders>
            <w:shd w:val="clear" w:color="auto" w:fill="auto"/>
            <w:vAlign w:val="center"/>
          </w:tcPr>
          <w:p w14:paraId="4CD77629" w14:textId="77777777" w:rsidR="00371DB5" w:rsidRPr="006D52A9" w:rsidRDefault="00371DB5" w:rsidP="003B34D1">
            <w:pPr>
              <w:pStyle w:val="Tabletext"/>
              <w:rPr>
                <w:rFonts w:eastAsia="Calibri"/>
                <w:lang w:eastAsia="en-US"/>
              </w:rPr>
            </w:pPr>
            <w:r w:rsidRPr="006D52A9">
              <w:rPr>
                <w:rFonts w:eastAsia="Calibri"/>
                <w:lang w:eastAsia="en-US"/>
              </w:rPr>
              <w:t>4% of</w:t>
            </w:r>
            <w:r w:rsidR="007966EC" w:rsidRPr="006D52A9">
              <w:rPr>
                <w:rFonts w:eastAsia="Calibri"/>
                <w:lang w:eastAsia="en-US"/>
              </w:rPr>
              <w:t xml:space="preserve"> the</w:t>
            </w:r>
            <w:r w:rsidRPr="006D52A9">
              <w:rPr>
                <w:rFonts w:eastAsia="Calibri"/>
                <w:lang w:eastAsia="en-US"/>
              </w:rPr>
              <w:t xml:space="preserve"> AEMP or PEMP</w:t>
            </w:r>
          </w:p>
        </w:tc>
      </w:tr>
      <w:tr w:rsidR="00371DB5" w:rsidRPr="006D52A9" w14:paraId="29286813" w14:textId="77777777" w:rsidTr="00BE5990">
        <w:tc>
          <w:tcPr>
            <w:tcW w:w="429" w:type="pct"/>
            <w:tcBorders>
              <w:top w:val="single" w:sz="2" w:space="0" w:color="auto"/>
              <w:bottom w:val="single" w:sz="12" w:space="0" w:color="auto"/>
            </w:tcBorders>
            <w:shd w:val="clear" w:color="auto" w:fill="auto"/>
          </w:tcPr>
          <w:p w14:paraId="33213493" w14:textId="77777777" w:rsidR="00371DB5" w:rsidRPr="006D52A9" w:rsidRDefault="00371DB5" w:rsidP="00371DB5">
            <w:pPr>
              <w:pStyle w:val="Tabletext"/>
            </w:pPr>
            <w:r w:rsidRPr="006D52A9">
              <w:t>4</w:t>
            </w:r>
          </w:p>
        </w:tc>
        <w:tc>
          <w:tcPr>
            <w:tcW w:w="2808" w:type="pct"/>
            <w:tcBorders>
              <w:top w:val="single" w:sz="2" w:space="0" w:color="auto"/>
              <w:bottom w:val="single" w:sz="12" w:space="0" w:color="auto"/>
            </w:tcBorders>
            <w:shd w:val="clear" w:color="auto" w:fill="auto"/>
            <w:vAlign w:val="center"/>
          </w:tcPr>
          <w:p w14:paraId="1BEABD74" w14:textId="77777777" w:rsidR="00371DB5" w:rsidRPr="006D52A9" w:rsidRDefault="007966EC" w:rsidP="003B34D1">
            <w:pPr>
              <w:pStyle w:val="Tabletext"/>
              <w:rPr>
                <w:rFonts w:eastAsia="Calibri"/>
                <w:lang w:eastAsia="en-US"/>
              </w:rPr>
            </w:pPr>
            <w:r w:rsidRPr="006D52A9">
              <w:rPr>
                <w:rFonts w:eastAsia="Calibri"/>
                <w:lang w:eastAsia="en-US"/>
              </w:rPr>
              <w:t xml:space="preserve">more than </w:t>
            </w:r>
            <w:r w:rsidR="00371DB5" w:rsidRPr="006D52A9">
              <w:rPr>
                <w:rFonts w:eastAsia="Calibri"/>
                <w:lang w:eastAsia="en-US"/>
              </w:rPr>
              <w:t>$1,000</w:t>
            </w:r>
          </w:p>
        </w:tc>
        <w:tc>
          <w:tcPr>
            <w:tcW w:w="1763" w:type="pct"/>
            <w:tcBorders>
              <w:top w:val="single" w:sz="2" w:space="0" w:color="auto"/>
              <w:bottom w:val="single" w:sz="12" w:space="0" w:color="auto"/>
            </w:tcBorders>
            <w:shd w:val="clear" w:color="auto" w:fill="auto"/>
            <w:vAlign w:val="center"/>
          </w:tcPr>
          <w:p w14:paraId="1772C626" w14:textId="77777777" w:rsidR="00371DB5" w:rsidRPr="006D52A9" w:rsidRDefault="007966EC" w:rsidP="003B34D1">
            <w:pPr>
              <w:pStyle w:val="Tabletext"/>
              <w:rPr>
                <w:rFonts w:eastAsia="Calibri"/>
                <w:lang w:eastAsia="en-US"/>
              </w:rPr>
            </w:pPr>
            <w:r w:rsidRPr="006D52A9">
              <w:rPr>
                <w:rFonts w:eastAsia="Calibri"/>
                <w:lang w:eastAsia="en-US"/>
              </w:rPr>
              <w:t>$40</w:t>
            </w:r>
          </w:p>
        </w:tc>
      </w:tr>
    </w:tbl>
    <w:p w14:paraId="0E2D6EF2" w14:textId="77777777" w:rsidR="006B0D76" w:rsidRPr="006D52A9" w:rsidRDefault="005F407C" w:rsidP="006B0D76">
      <w:pPr>
        <w:pStyle w:val="ActHead5"/>
      </w:pPr>
      <w:bookmarkStart w:id="45" w:name="_Toc66968137"/>
      <w:r w:rsidRPr="00A757E4">
        <w:rPr>
          <w:rStyle w:val="CharSectno"/>
        </w:rPr>
        <w:t>34</w:t>
      </w:r>
      <w:r w:rsidR="006B0D76" w:rsidRPr="006D52A9">
        <w:t xml:space="preserve">  </w:t>
      </w:r>
      <w:r w:rsidR="00223BF5" w:rsidRPr="006D52A9">
        <w:t>D</w:t>
      </w:r>
      <w:r w:rsidR="006B0D76" w:rsidRPr="006D52A9">
        <w:t>ispensing fee</w:t>
      </w:r>
      <w:bookmarkEnd w:id="45"/>
    </w:p>
    <w:p w14:paraId="0005E111" w14:textId="77777777" w:rsidR="007465ED" w:rsidRPr="006D52A9" w:rsidRDefault="00223BF5" w:rsidP="00223BF5">
      <w:pPr>
        <w:pStyle w:val="subsection"/>
      </w:pPr>
      <w:r w:rsidRPr="006D52A9">
        <w:rPr>
          <w:b/>
          <w:i/>
        </w:rPr>
        <w:tab/>
      </w:r>
      <w:r w:rsidRPr="006D52A9">
        <w:t>(1)</w:t>
      </w:r>
      <w:r w:rsidRPr="006D52A9">
        <w:tab/>
      </w:r>
      <w:r w:rsidR="007465ED" w:rsidRPr="006D52A9">
        <w:t xml:space="preserve">For the purposes of </w:t>
      </w:r>
      <w:r w:rsidR="00D66D59">
        <w:t>subparagraphs 3</w:t>
      </w:r>
      <w:r w:rsidR="005F407C" w:rsidRPr="006D52A9">
        <w:t>2</w:t>
      </w:r>
      <w:r w:rsidR="007465ED" w:rsidRPr="006D52A9">
        <w:t>(1)(a)(i</w:t>
      </w:r>
      <w:r w:rsidR="00300FAA" w:rsidRPr="006D52A9">
        <w:t>i</w:t>
      </w:r>
      <w:r w:rsidR="007465ED" w:rsidRPr="006D52A9">
        <w:t>i), (b)(ii)</w:t>
      </w:r>
      <w:r w:rsidR="00300FAA" w:rsidRPr="006D52A9">
        <w:t xml:space="preserve"> and (c)(iv</w:t>
      </w:r>
      <w:r w:rsidR="007465ED" w:rsidRPr="006D52A9">
        <w:t>):</w:t>
      </w:r>
    </w:p>
    <w:p w14:paraId="7C980C45" w14:textId="77777777" w:rsidR="00223BF5" w:rsidRPr="006D52A9" w:rsidRDefault="007465ED" w:rsidP="007465ED">
      <w:pPr>
        <w:pStyle w:val="paragraph"/>
      </w:pPr>
      <w:r w:rsidRPr="006D52A9">
        <w:tab/>
        <w:t>(a)</w:t>
      </w:r>
      <w:r w:rsidRPr="006D52A9">
        <w:tab/>
        <w:t>t</w:t>
      </w:r>
      <w:r w:rsidR="00223BF5" w:rsidRPr="006D52A9">
        <w:t>he dispensing fee for</w:t>
      </w:r>
      <w:r w:rsidR="00AA24F9" w:rsidRPr="006D52A9">
        <w:t xml:space="preserve"> the supply of</w:t>
      </w:r>
      <w:r w:rsidR="00223BF5" w:rsidRPr="006D52A9">
        <w:t xml:space="preserve"> an HSD pharmaceutical benefit </w:t>
      </w:r>
      <w:r w:rsidRPr="006D52A9">
        <w:t>is</w:t>
      </w:r>
      <w:r w:rsidR="00223BF5" w:rsidRPr="006D52A9">
        <w:t>:</w:t>
      </w:r>
    </w:p>
    <w:p w14:paraId="701BB960" w14:textId="77777777" w:rsidR="00223BF5" w:rsidRPr="006D52A9" w:rsidRDefault="00223BF5" w:rsidP="007465ED">
      <w:pPr>
        <w:pStyle w:val="paragraphsub"/>
      </w:pPr>
      <w:r w:rsidRPr="006D52A9">
        <w:tab/>
        <w:t>(</w:t>
      </w:r>
      <w:r w:rsidR="007465ED" w:rsidRPr="006D52A9">
        <w:t>i</w:t>
      </w:r>
      <w:r w:rsidRPr="006D52A9">
        <w:t>)</w:t>
      </w:r>
      <w:r w:rsidRPr="006D52A9">
        <w:tab/>
        <w:t xml:space="preserve">if the benefit has a drug mentioned in </w:t>
      </w:r>
      <w:r w:rsidR="00942996" w:rsidRPr="006D52A9">
        <w:t>subsection (</w:t>
      </w:r>
      <w:r w:rsidRPr="006D52A9">
        <w:t>2) in the form mentioned in that subsection for the drug—the extemporaneously</w:t>
      </w:r>
      <w:r w:rsidR="0026100E">
        <w:noBreakHyphen/>
      </w:r>
      <w:r w:rsidRPr="006D52A9">
        <w:t>prepared dispensing fee</w:t>
      </w:r>
      <w:r w:rsidR="00701D01" w:rsidRPr="006D52A9">
        <w:t xml:space="preserve"> (within the meaning of the </w:t>
      </w:r>
      <w:r w:rsidR="00701D01" w:rsidRPr="006D52A9">
        <w:rPr>
          <w:i/>
        </w:rPr>
        <w:t>Commonwealth price (Pharmaceutical benefits supplied by approved pharmacists) Determination 2020</w:t>
      </w:r>
      <w:r w:rsidR="00701D01" w:rsidRPr="006D52A9">
        <w:t xml:space="preserve"> (PB 66 of 2020))</w:t>
      </w:r>
      <w:r w:rsidRPr="006D52A9">
        <w:t xml:space="preserve">; </w:t>
      </w:r>
      <w:r w:rsidR="007D465C" w:rsidRPr="006D52A9">
        <w:t>or</w:t>
      </w:r>
    </w:p>
    <w:p w14:paraId="72A38318" w14:textId="77777777" w:rsidR="00223BF5" w:rsidRPr="006D52A9" w:rsidRDefault="00223BF5" w:rsidP="007465ED">
      <w:pPr>
        <w:pStyle w:val="paragraphsub"/>
      </w:pPr>
      <w:r w:rsidRPr="006D52A9">
        <w:tab/>
        <w:t>(</w:t>
      </w:r>
      <w:r w:rsidR="007465ED" w:rsidRPr="006D52A9">
        <w:t>ii</w:t>
      </w:r>
      <w:r w:rsidRPr="006D52A9">
        <w:t>)</w:t>
      </w:r>
      <w:r w:rsidRPr="006D52A9">
        <w:tab/>
        <w:t xml:space="preserve">if </w:t>
      </w:r>
      <w:r w:rsidR="007008C3" w:rsidRPr="006D52A9">
        <w:t>subparagraph (</w:t>
      </w:r>
      <w:r w:rsidR="007465ED" w:rsidRPr="006D52A9">
        <w:t>i</w:t>
      </w:r>
      <w:r w:rsidRPr="006D52A9">
        <w:t>) does not apply—the ready</w:t>
      </w:r>
      <w:r w:rsidR="0026100E">
        <w:noBreakHyphen/>
      </w:r>
      <w:r w:rsidRPr="006D52A9">
        <w:t>prepared dispensing fee</w:t>
      </w:r>
      <w:r w:rsidR="00701D01" w:rsidRPr="006D52A9">
        <w:t xml:space="preserve"> (within the meaning of that determination)</w:t>
      </w:r>
      <w:r w:rsidR="007465ED" w:rsidRPr="006D52A9">
        <w:t>; and</w:t>
      </w:r>
    </w:p>
    <w:p w14:paraId="05E92D3A" w14:textId="77777777" w:rsidR="007465ED" w:rsidRPr="006D52A9" w:rsidRDefault="007465ED" w:rsidP="007465ED">
      <w:pPr>
        <w:pStyle w:val="paragraph"/>
      </w:pPr>
      <w:r w:rsidRPr="006D52A9">
        <w:tab/>
        <w:t>(b)</w:t>
      </w:r>
      <w:r w:rsidRPr="006D52A9">
        <w:tab/>
        <w:t>i</w:t>
      </w:r>
      <w:r w:rsidRPr="006D52A9">
        <w:rPr>
          <w:szCs w:val="24"/>
          <w:lang w:eastAsia="en-US"/>
        </w:rPr>
        <w:t xml:space="preserve">f </w:t>
      </w:r>
      <w:r w:rsidR="00AA24F9" w:rsidRPr="006D52A9">
        <w:rPr>
          <w:szCs w:val="24"/>
          <w:lang w:eastAsia="en-US"/>
        </w:rPr>
        <w:t xml:space="preserve">the </w:t>
      </w:r>
      <w:r w:rsidRPr="006D52A9">
        <w:rPr>
          <w:szCs w:val="24"/>
        </w:rPr>
        <w:t>authorised prescriber</w:t>
      </w:r>
      <w:r w:rsidR="00AA24F9" w:rsidRPr="006D52A9">
        <w:rPr>
          <w:szCs w:val="24"/>
        </w:rPr>
        <w:t xml:space="preserve"> who prescribed the </w:t>
      </w:r>
      <w:r w:rsidRPr="006D52A9">
        <w:rPr>
          <w:szCs w:val="24"/>
        </w:rPr>
        <w:t>benefit</w:t>
      </w:r>
      <w:r w:rsidRPr="006D52A9">
        <w:rPr>
          <w:szCs w:val="24"/>
          <w:lang w:eastAsia="en-US"/>
        </w:rPr>
        <w:t xml:space="preserve">, instead of directing a repeated supply of the </w:t>
      </w:r>
      <w:r w:rsidR="00AA24F9" w:rsidRPr="006D52A9">
        <w:rPr>
          <w:szCs w:val="24"/>
          <w:lang w:eastAsia="en-US"/>
        </w:rPr>
        <w:t>benefit, directed</w:t>
      </w:r>
      <w:r w:rsidRPr="006D52A9">
        <w:rPr>
          <w:szCs w:val="24"/>
          <w:lang w:eastAsia="en-US"/>
        </w:rPr>
        <w:t xml:space="preserve"> the supply on one occasion of a quantity or number of units of the benefit, not exceeding the total quantity or number of units that could be prescribed if the </w:t>
      </w:r>
      <w:r w:rsidRPr="006D52A9">
        <w:rPr>
          <w:szCs w:val="24"/>
        </w:rPr>
        <w:t>authorised prescriber</w:t>
      </w:r>
      <w:r w:rsidRPr="006D52A9">
        <w:rPr>
          <w:szCs w:val="24"/>
          <w:lang w:eastAsia="en-US"/>
        </w:rPr>
        <w:t xml:space="preserve"> directed a repeated supply, </w:t>
      </w:r>
      <w:r w:rsidR="00AA24F9" w:rsidRPr="006D52A9">
        <w:rPr>
          <w:szCs w:val="24"/>
          <w:lang w:eastAsia="en-US"/>
        </w:rPr>
        <w:t xml:space="preserve">only one dispensing fee is included in </w:t>
      </w:r>
      <w:r w:rsidRPr="006D52A9">
        <w:rPr>
          <w:szCs w:val="24"/>
          <w:lang w:eastAsia="en-US"/>
        </w:rPr>
        <w:t>the dispensed price for the supply of the benefit</w:t>
      </w:r>
      <w:r w:rsidR="00AA24F9" w:rsidRPr="006D52A9">
        <w:rPr>
          <w:szCs w:val="24"/>
          <w:lang w:eastAsia="en-US"/>
        </w:rPr>
        <w:t>.</w:t>
      </w:r>
    </w:p>
    <w:p w14:paraId="5D78C723" w14:textId="77777777" w:rsidR="007465ED" w:rsidRPr="006D52A9" w:rsidRDefault="007465ED" w:rsidP="007465ED">
      <w:pPr>
        <w:pStyle w:val="notetext"/>
      </w:pPr>
      <w:r w:rsidRPr="006D52A9">
        <w:t>Note:</w:t>
      </w:r>
      <w:r w:rsidRPr="006D52A9">
        <w:tab/>
        <w:t>See section 49 of the Regulations for the circumstances in which such a supply may be directed.</w:t>
      </w:r>
    </w:p>
    <w:p w14:paraId="7D7C64F9" w14:textId="77777777" w:rsidR="00223BF5" w:rsidRPr="006D52A9" w:rsidRDefault="00223BF5" w:rsidP="00223BF5">
      <w:pPr>
        <w:pStyle w:val="subsection"/>
      </w:pPr>
      <w:r w:rsidRPr="006D52A9">
        <w:rPr>
          <w:szCs w:val="24"/>
          <w:lang w:eastAsia="en-US"/>
        </w:rPr>
        <w:tab/>
        <w:t>(2)</w:t>
      </w:r>
      <w:r w:rsidRPr="006D52A9">
        <w:rPr>
          <w:szCs w:val="24"/>
          <w:lang w:eastAsia="en-US"/>
        </w:rPr>
        <w:tab/>
        <w:t xml:space="preserve">For the purpose of </w:t>
      </w:r>
      <w:r w:rsidR="007008C3" w:rsidRPr="006D52A9">
        <w:rPr>
          <w:szCs w:val="24"/>
          <w:lang w:eastAsia="en-US"/>
        </w:rPr>
        <w:t>subparagraph (</w:t>
      </w:r>
      <w:r w:rsidRPr="006D52A9">
        <w:rPr>
          <w:szCs w:val="24"/>
          <w:lang w:eastAsia="en-US"/>
        </w:rPr>
        <w:t>1)(a)</w:t>
      </w:r>
      <w:r w:rsidR="007465ED" w:rsidRPr="006D52A9">
        <w:rPr>
          <w:szCs w:val="24"/>
          <w:lang w:eastAsia="en-US"/>
        </w:rPr>
        <w:t>(i)</w:t>
      </w:r>
      <w:r w:rsidRPr="006D52A9">
        <w:rPr>
          <w:szCs w:val="24"/>
          <w:lang w:eastAsia="en-US"/>
        </w:rPr>
        <w:t>, the drugs and the forms for the drugs are as follows:</w:t>
      </w:r>
    </w:p>
    <w:p w14:paraId="283AADCD" w14:textId="77777777" w:rsidR="00223BF5" w:rsidRPr="006D52A9" w:rsidRDefault="00223BF5" w:rsidP="00223BF5">
      <w:pPr>
        <w:pStyle w:val="paragraph"/>
      </w:pPr>
      <w:r w:rsidRPr="006D52A9">
        <w:rPr>
          <w:szCs w:val="24"/>
          <w:lang w:eastAsia="en-US"/>
        </w:rPr>
        <w:tab/>
        <w:t>(a)</w:t>
      </w:r>
      <w:r w:rsidRPr="006D52A9">
        <w:rPr>
          <w:szCs w:val="24"/>
          <w:lang w:eastAsia="en-US"/>
        </w:rPr>
        <w:tab/>
        <w:t>mycophenolic acid as a powder for oral suspension containing mycophenolate mofetil 1g per 5 mL, 165mL;</w:t>
      </w:r>
    </w:p>
    <w:p w14:paraId="6E2A695C" w14:textId="77777777" w:rsidR="00223BF5" w:rsidRPr="006D52A9" w:rsidRDefault="00223BF5" w:rsidP="00223BF5">
      <w:pPr>
        <w:pStyle w:val="paragraph"/>
      </w:pPr>
      <w:r w:rsidRPr="006D52A9">
        <w:tab/>
        <w:t>(</w:t>
      </w:r>
      <w:r w:rsidR="002E02BD" w:rsidRPr="006D52A9">
        <w:t>b</w:t>
      </w:r>
      <w:r w:rsidRPr="006D52A9">
        <w:t>)</w:t>
      </w:r>
      <w:r w:rsidRPr="006D52A9">
        <w:tab/>
        <w:t>valganciclovir as a powder for oral solution 50mg (as hydrochloride) per mL, 100 mL.</w:t>
      </w:r>
    </w:p>
    <w:p w14:paraId="6C18F118" w14:textId="77777777" w:rsidR="002B3C88" w:rsidRPr="006D52A9" w:rsidRDefault="002B3C88" w:rsidP="004D1AAE">
      <w:pPr>
        <w:pStyle w:val="ActHead2"/>
        <w:pageBreakBefore/>
      </w:pPr>
      <w:bookmarkStart w:id="46" w:name="_Toc66968138"/>
      <w:r w:rsidRPr="00A757E4">
        <w:rPr>
          <w:rStyle w:val="CharPartNo"/>
        </w:rPr>
        <w:lastRenderedPageBreak/>
        <w:t>Part 4</w:t>
      </w:r>
      <w:r w:rsidR="00541E98" w:rsidRPr="006D52A9">
        <w:t>—</w:t>
      </w:r>
      <w:r w:rsidR="00541E98" w:rsidRPr="00A757E4">
        <w:rPr>
          <w:rStyle w:val="CharPartText"/>
        </w:rPr>
        <w:t>Claims for payment for special arrangement supplies of HSD pharmaceutical benefits</w:t>
      </w:r>
      <w:bookmarkEnd w:id="46"/>
    </w:p>
    <w:p w14:paraId="13E61D88" w14:textId="77777777" w:rsidR="00D91DBD" w:rsidRPr="00A757E4" w:rsidRDefault="00D91DBD" w:rsidP="00D91DBD">
      <w:pPr>
        <w:pStyle w:val="Header"/>
      </w:pPr>
      <w:r w:rsidRPr="00A757E4">
        <w:rPr>
          <w:rStyle w:val="CharDivNo"/>
        </w:rPr>
        <w:t xml:space="preserve"> </w:t>
      </w:r>
      <w:r w:rsidRPr="00A757E4">
        <w:rPr>
          <w:rStyle w:val="CharDivText"/>
        </w:rPr>
        <w:t xml:space="preserve"> </w:t>
      </w:r>
    </w:p>
    <w:p w14:paraId="7E07AEF6" w14:textId="77777777" w:rsidR="00DC08BF" w:rsidRPr="006D52A9" w:rsidRDefault="005F407C" w:rsidP="00DC08BF">
      <w:pPr>
        <w:pStyle w:val="ActHead5"/>
      </w:pPr>
      <w:bookmarkStart w:id="47" w:name="_Toc66968139"/>
      <w:r w:rsidRPr="00A757E4">
        <w:rPr>
          <w:rStyle w:val="CharSectno"/>
        </w:rPr>
        <w:t>35</w:t>
      </w:r>
      <w:r w:rsidR="00DC08BF" w:rsidRPr="006D52A9">
        <w:t xml:space="preserve">  </w:t>
      </w:r>
      <w:r w:rsidR="007C45F1" w:rsidRPr="006D52A9">
        <w:t>R</w:t>
      </w:r>
      <w:r w:rsidR="00DC08BF" w:rsidRPr="006D52A9">
        <w:t xml:space="preserve">ules </w:t>
      </w:r>
      <w:r w:rsidR="007C45F1" w:rsidRPr="006D52A9">
        <w:t xml:space="preserve">for </w:t>
      </w:r>
      <w:r w:rsidR="00DC08BF" w:rsidRPr="006D52A9">
        <w:t>providing information about supplies</w:t>
      </w:r>
      <w:r w:rsidR="002A05DA" w:rsidRPr="006D52A9">
        <w:t xml:space="preserve">—definition of </w:t>
      </w:r>
      <w:r w:rsidR="002A05DA" w:rsidRPr="006D52A9">
        <w:rPr>
          <w:i/>
        </w:rPr>
        <w:t>under co</w:t>
      </w:r>
      <w:r w:rsidR="0026100E">
        <w:rPr>
          <w:i/>
        </w:rPr>
        <w:noBreakHyphen/>
      </w:r>
      <w:r w:rsidR="002A05DA" w:rsidRPr="006D52A9">
        <w:rPr>
          <w:i/>
        </w:rPr>
        <w:t>payment data</w:t>
      </w:r>
      <w:bookmarkEnd w:id="47"/>
    </w:p>
    <w:p w14:paraId="07D01B4A" w14:textId="77777777" w:rsidR="00DC08BF" w:rsidRPr="006D52A9" w:rsidRDefault="00DC08BF" w:rsidP="00DC08BF">
      <w:pPr>
        <w:pStyle w:val="subsection"/>
      </w:pPr>
      <w:r w:rsidRPr="006D52A9">
        <w:rPr>
          <w:szCs w:val="24"/>
        </w:rPr>
        <w:tab/>
      </w:r>
      <w:r w:rsidRPr="006D52A9">
        <w:rPr>
          <w:szCs w:val="24"/>
        </w:rPr>
        <w:tab/>
        <w:t>T</w:t>
      </w:r>
      <w:r w:rsidRPr="006D52A9">
        <w:t xml:space="preserve">he </w:t>
      </w:r>
      <w:r w:rsidRPr="006D52A9">
        <w:rPr>
          <w:i/>
        </w:rPr>
        <w:t>National Health (Claims and under co</w:t>
      </w:r>
      <w:r w:rsidR="0026100E">
        <w:rPr>
          <w:i/>
        </w:rPr>
        <w:noBreakHyphen/>
      </w:r>
      <w:r w:rsidRPr="006D52A9">
        <w:rPr>
          <w:i/>
        </w:rPr>
        <w:t>payment data) Rules 2012</w:t>
      </w:r>
      <w:r w:rsidRPr="006D52A9">
        <w:t xml:space="preserve"> </w:t>
      </w:r>
      <w:r w:rsidR="004F48EC" w:rsidRPr="006D52A9">
        <w:t xml:space="preserve">(PB 19 of 2012) </w:t>
      </w:r>
      <w:r w:rsidRPr="006D52A9">
        <w:t xml:space="preserve">apply to a special arrangement supply of an HSD pharmaceutical benefit by an </w:t>
      </w:r>
      <w:r w:rsidRPr="006D52A9">
        <w:rPr>
          <w:szCs w:val="22"/>
        </w:rPr>
        <w:t>approved supplier</w:t>
      </w:r>
      <w:r w:rsidRPr="006D52A9">
        <w:t xml:space="preserve"> as if the definition of </w:t>
      </w:r>
      <w:r w:rsidRPr="006D52A9">
        <w:rPr>
          <w:b/>
          <w:i/>
        </w:rPr>
        <w:t>under co</w:t>
      </w:r>
      <w:r w:rsidR="0026100E">
        <w:rPr>
          <w:b/>
          <w:i/>
        </w:rPr>
        <w:noBreakHyphen/>
      </w:r>
      <w:r w:rsidRPr="006D52A9">
        <w:rPr>
          <w:b/>
          <w:i/>
        </w:rPr>
        <w:t>payment data</w:t>
      </w:r>
      <w:r w:rsidRPr="006D52A9">
        <w:t xml:space="preserve"> in </w:t>
      </w:r>
      <w:r w:rsidR="00082A66" w:rsidRPr="006D52A9">
        <w:t>that instrument were</w:t>
      </w:r>
      <w:r w:rsidRPr="006D52A9">
        <w:t xml:space="preserve"> replaced with the following definition:</w:t>
      </w:r>
    </w:p>
    <w:p w14:paraId="55B3AC8A" w14:textId="77777777" w:rsidR="00DC08BF" w:rsidRPr="006D52A9" w:rsidRDefault="00DC08BF" w:rsidP="00DC08BF">
      <w:pPr>
        <w:pStyle w:val="Definition"/>
        <w:rPr>
          <w:bCs/>
          <w:iCs/>
        </w:rPr>
      </w:pPr>
      <w:r w:rsidRPr="006D52A9">
        <w:rPr>
          <w:b/>
          <w:bCs/>
          <w:i/>
          <w:iCs/>
        </w:rPr>
        <w:t>under co</w:t>
      </w:r>
      <w:r w:rsidR="0026100E">
        <w:rPr>
          <w:b/>
          <w:bCs/>
          <w:i/>
          <w:iCs/>
        </w:rPr>
        <w:noBreakHyphen/>
      </w:r>
      <w:r w:rsidRPr="006D52A9">
        <w:rPr>
          <w:b/>
          <w:bCs/>
          <w:i/>
          <w:iCs/>
        </w:rPr>
        <w:t>payment data</w:t>
      </w:r>
      <w:r w:rsidRPr="006D52A9">
        <w:rPr>
          <w:bCs/>
          <w:iCs/>
        </w:rPr>
        <w:t xml:space="preserve"> means information relating to a special arrangement supply of a</w:t>
      </w:r>
      <w:r w:rsidR="00EB0FE9" w:rsidRPr="006D52A9">
        <w:rPr>
          <w:bCs/>
          <w:iCs/>
        </w:rPr>
        <w:t>n</w:t>
      </w:r>
      <w:r w:rsidRPr="006D52A9">
        <w:rPr>
          <w:bCs/>
          <w:iCs/>
        </w:rPr>
        <w:t xml:space="preserve"> HSD pharmaceutical benefit by an </w:t>
      </w:r>
      <w:r w:rsidRPr="006D52A9">
        <w:rPr>
          <w:szCs w:val="22"/>
        </w:rPr>
        <w:t>approved supplier</w:t>
      </w:r>
      <w:r w:rsidRPr="006D52A9">
        <w:rPr>
          <w:bCs/>
          <w:iCs/>
        </w:rPr>
        <w:t xml:space="preserve"> where </w:t>
      </w:r>
      <w:r w:rsidR="00B85925" w:rsidRPr="006D52A9">
        <w:rPr>
          <w:bCs/>
          <w:iCs/>
        </w:rPr>
        <w:t xml:space="preserve">the amount payable by the Commonwealth is nil </w:t>
      </w:r>
      <w:r w:rsidR="007C45F1" w:rsidRPr="006D52A9">
        <w:rPr>
          <w:bCs/>
          <w:iCs/>
        </w:rPr>
        <w:t>because</w:t>
      </w:r>
      <w:r w:rsidRPr="006D52A9">
        <w:rPr>
          <w:bCs/>
          <w:iCs/>
        </w:rPr>
        <w:t xml:space="preserve"> the dispensed price for the supply of the benefit does not exceed the amount that the supplier was entitled to charge under </w:t>
      </w:r>
      <w:r w:rsidR="000E2607" w:rsidRPr="006D52A9">
        <w:rPr>
          <w:bCs/>
          <w:iCs/>
        </w:rPr>
        <w:t>section 8</w:t>
      </w:r>
      <w:r w:rsidRPr="006D52A9">
        <w:rPr>
          <w:bCs/>
          <w:iCs/>
        </w:rPr>
        <w:t>7 of the Act</w:t>
      </w:r>
      <w:r w:rsidR="00F01725" w:rsidRPr="006D52A9">
        <w:rPr>
          <w:bCs/>
          <w:iCs/>
        </w:rPr>
        <w:t xml:space="preserve"> in respect of the supply</w:t>
      </w:r>
      <w:r w:rsidRPr="006D52A9">
        <w:rPr>
          <w:bCs/>
          <w:iCs/>
        </w:rPr>
        <w:t>.</w:t>
      </w:r>
    </w:p>
    <w:p w14:paraId="68EF0EFC" w14:textId="77777777" w:rsidR="006B0D76" w:rsidRPr="006D52A9" w:rsidRDefault="00E840CC" w:rsidP="008856C2">
      <w:pPr>
        <w:pStyle w:val="ActHead2"/>
        <w:pageBreakBefore/>
      </w:pPr>
      <w:bookmarkStart w:id="48" w:name="_Toc66968140"/>
      <w:r w:rsidRPr="00A757E4">
        <w:rPr>
          <w:rStyle w:val="CharPartNo"/>
        </w:rPr>
        <w:lastRenderedPageBreak/>
        <w:t>Part 5</w:t>
      </w:r>
      <w:r w:rsidR="006B0D76" w:rsidRPr="006D52A9">
        <w:t>—</w:t>
      </w:r>
      <w:r w:rsidR="006B0D76" w:rsidRPr="00A757E4">
        <w:rPr>
          <w:rStyle w:val="CharPartText"/>
        </w:rPr>
        <w:t>Miscellaneous</w:t>
      </w:r>
      <w:bookmarkEnd w:id="48"/>
    </w:p>
    <w:p w14:paraId="361EC61E" w14:textId="77777777" w:rsidR="006B0D76" w:rsidRPr="00A757E4" w:rsidRDefault="006B0D76" w:rsidP="006B0D76">
      <w:pPr>
        <w:pStyle w:val="Header"/>
        <w:keepNext w:val="0"/>
        <w:keepLines w:val="0"/>
      </w:pPr>
      <w:r w:rsidRPr="00A757E4">
        <w:rPr>
          <w:rStyle w:val="CharDivNo"/>
        </w:rPr>
        <w:t xml:space="preserve"> </w:t>
      </w:r>
      <w:r w:rsidRPr="00A757E4">
        <w:rPr>
          <w:rStyle w:val="CharDivText"/>
        </w:rPr>
        <w:t xml:space="preserve"> </w:t>
      </w:r>
    </w:p>
    <w:p w14:paraId="55A34E4E" w14:textId="77777777" w:rsidR="006B0D76" w:rsidRPr="006D52A9" w:rsidRDefault="005F407C" w:rsidP="006B0D76">
      <w:pPr>
        <w:pStyle w:val="ActHead5"/>
      </w:pPr>
      <w:bookmarkStart w:id="49" w:name="_Toc66968141"/>
      <w:r w:rsidRPr="00A757E4">
        <w:rPr>
          <w:rStyle w:val="CharSectno"/>
        </w:rPr>
        <w:t>36</w:t>
      </w:r>
      <w:r w:rsidR="006B0D76" w:rsidRPr="006D52A9">
        <w:t xml:space="preserve">  Compliance and audit arrangements</w:t>
      </w:r>
      <w:bookmarkEnd w:id="49"/>
    </w:p>
    <w:p w14:paraId="74FFE544" w14:textId="77777777" w:rsidR="006B0D76" w:rsidRPr="006D52A9" w:rsidRDefault="006B0D76" w:rsidP="006B0D76">
      <w:pPr>
        <w:pStyle w:val="subsection"/>
      </w:pPr>
      <w:r w:rsidRPr="006D52A9">
        <w:tab/>
        <w:t>(1)</w:t>
      </w:r>
      <w:r w:rsidRPr="006D52A9">
        <w:tab/>
      </w:r>
      <w:r w:rsidRPr="006D52A9">
        <w:rPr>
          <w:szCs w:val="24"/>
        </w:rPr>
        <w:t xml:space="preserve">If an </w:t>
      </w:r>
      <w:r w:rsidRPr="006D52A9">
        <w:t>approved</w:t>
      </w:r>
      <w:r w:rsidRPr="006D52A9">
        <w:rPr>
          <w:szCs w:val="24"/>
        </w:rPr>
        <w:t xml:space="preserve"> supplier</w:t>
      </w:r>
      <w:r w:rsidR="00367223" w:rsidRPr="006D52A9">
        <w:rPr>
          <w:szCs w:val="24"/>
        </w:rPr>
        <w:t xml:space="preserve"> makes a special arrangement supply of an HSD pharmaceutical benefit</w:t>
      </w:r>
      <w:r w:rsidRPr="006D52A9">
        <w:rPr>
          <w:szCs w:val="24"/>
        </w:rPr>
        <w:t>, the approved supplier must keep adequate, secure and auditable records of all supplied HSD pharmaceutical benefits for which a claim is made.</w:t>
      </w:r>
    </w:p>
    <w:p w14:paraId="180B673A" w14:textId="77777777" w:rsidR="006B0D76" w:rsidRPr="006D52A9" w:rsidRDefault="006B0D76" w:rsidP="006B0D76">
      <w:pPr>
        <w:pStyle w:val="subsection"/>
      </w:pPr>
      <w:r w:rsidRPr="006D52A9">
        <w:tab/>
        <w:t>(2)</w:t>
      </w:r>
      <w:r w:rsidRPr="006D52A9">
        <w:tab/>
        <w:t>The records must be kept in systems that are able to be audited by the Chief Executive Medicare on reasonable notice being given to the approved supplier.</w:t>
      </w:r>
    </w:p>
    <w:p w14:paraId="0883E9ED" w14:textId="77777777" w:rsidR="006B0D76" w:rsidRPr="006D52A9" w:rsidRDefault="005F407C" w:rsidP="006B0D76">
      <w:pPr>
        <w:pStyle w:val="ActHead5"/>
      </w:pPr>
      <w:bookmarkStart w:id="50" w:name="_Toc66968142"/>
      <w:r w:rsidRPr="00A757E4">
        <w:rPr>
          <w:rStyle w:val="CharSectno"/>
        </w:rPr>
        <w:t>37</w:t>
      </w:r>
      <w:r w:rsidR="006B0D76" w:rsidRPr="006D52A9">
        <w:t xml:space="preserve">  </w:t>
      </w:r>
      <w:r w:rsidR="009C2886" w:rsidRPr="006D52A9">
        <w:rPr>
          <w:i/>
        </w:rPr>
        <w:t>V</w:t>
      </w:r>
      <w:r w:rsidR="00CA4D7F" w:rsidRPr="006D52A9">
        <w:rPr>
          <w:i/>
        </w:rPr>
        <w:t>alue for safety net purposes</w:t>
      </w:r>
      <w:r w:rsidR="009C2886" w:rsidRPr="006D52A9">
        <w:t xml:space="preserve"> for supplies</w:t>
      </w:r>
      <w:bookmarkEnd w:id="50"/>
    </w:p>
    <w:p w14:paraId="47B1D202" w14:textId="77777777" w:rsidR="009638C0" w:rsidRPr="006D52A9" w:rsidRDefault="009638C0" w:rsidP="009638C0">
      <w:pPr>
        <w:pStyle w:val="SubsectionHead"/>
      </w:pPr>
      <w:r w:rsidRPr="006D52A9">
        <w:t>Supplies by approved hospital authorities</w:t>
      </w:r>
    </w:p>
    <w:p w14:paraId="0BD27750" w14:textId="77777777" w:rsidR="009C63B0" w:rsidRPr="006D52A9" w:rsidRDefault="009C2886" w:rsidP="006B0D76">
      <w:pPr>
        <w:pStyle w:val="subsection"/>
      </w:pPr>
      <w:r w:rsidRPr="006D52A9">
        <w:tab/>
      </w:r>
      <w:r w:rsidR="00CA4D7F" w:rsidRPr="006D52A9">
        <w:t>(1)</w:t>
      </w:r>
      <w:r w:rsidR="00CA4D7F" w:rsidRPr="006D52A9">
        <w:tab/>
        <w:t xml:space="preserve">The </w:t>
      </w:r>
      <w:r w:rsidR="00CA4D7F" w:rsidRPr="006D52A9">
        <w:rPr>
          <w:b/>
          <w:i/>
        </w:rPr>
        <w:t>value for safety net purposes</w:t>
      </w:r>
      <w:r w:rsidR="00CA4D7F" w:rsidRPr="006D52A9">
        <w:t xml:space="preserve"> for a special arrangement supply of an HSD pharmaceutical benefit</w:t>
      </w:r>
      <w:r w:rsidR="009C6D53" w:rsidRPr="006D52A9">
        <w:t xml:space="preserve"> to a person</w:t>
      </w:r>
      <w:r w:rsidR="00CA4D7F" w:rsidRPr="006D52A9">
        <w:t xml:space="preserve"> </w:t>
      </w:r>
      <w:r w:rsidR="009C63B0" w:rsidRPr="006D52A9">
        <w:t xml:space="preserve">by an approved hospital authority </w:t>
      </w:r>
      <w:r w:rsidR="00CA4D7F" w:rsidRPr="006D52A9">
        <w:t>is</w:t>
      </w:r>
      <w:r w:rsidR="009C6D53" w:rsidRPr="006D52A9">
        <w:t xml:space="preserve"> </w:t>
      </w:r>
      <w:r w:rsidR="00C727C8" w:rsidRPr="006D52A9">
        <w:t xml:space="preserve">the amount </w:t>
      </w:r>
      <w:r w:rsidR="009C6D53" w:rsidRPr="006D52A9">
        <w:t>paid by the person</w:t>
      </w:r>
      <w:r w:rsidR="00602ED7" w:rsidRPr="006D52A9">
        <w:t xml:space="preserve"> for the supply of the benefit</w:t>
      </w:r>
      <w:r w:rsidR="009C6D53" w:rsidRPr="006D52A9">
        <w:t xml:space="preserve"> that is </w:t>
      </w:r>
      <w:r w:rsidR="00602ED7" w:rsidRPr="006D52A9">
        <w:t xml:space="preserve">equivalent </w:t>
      </w:r>
      <w:r w:rsidR="00C727C8" w:rsidRPr="006D52A9">
        <w:t>to</w:t>
      </w:r>
      <w:r w:rsidR="00CA4D7F" w:rsidRPr="006D52A9">
        <w:t xml:space="preserve"> </w:t>
      </w:r>
      <w:r w:rsidR="009C63B0" w:rsidRPr="006D52A9">
        <w:t xml:space="preserve">the </w:t>
      </w:r>
      <w:r w:rsidR="006B0D76" w:rsidRPr="006D52A9">
        <w:t xml:space="preserve">amount </w:t>
      </w:r>
      <w:r w:rsidR="009C6D53" w:rsidRPr="006D52A9">
        <w:t xml:space="preserve">chargeable under </w:t>
      </w:r>
      <w:r w:rsidR="000E2607" w:rsidRPr="006D52A9">
        <w:t>subsection 8</w:t>
      </w:r>
      <w:r w:rsidR="009C6D53" w:rsidRPr="006D52A9">
        <w:t xml:space="preserve">7(5) of the Act for the supply of the benefit less the amount chargeable under that subsection because of </w:t>
      </w:r>
      <w:r w:rsidR="000E2607" w:rsidRPr="006D52A9">
        <w:t>subsection 8</w:t>
      </w:r>
      <w:r w:rsidR="009C6D53" w:rsidRPr="006D52A9">
        <w:t>7(2A) of the Act</w:t>
      </w:r>
      <w:r w:rsidR="006B0D76" w:rsidRPr="006D52A9">
        <w:t>.</w:t>
      </w:r>
    </w:p>
    <w:p w14:paraId="2437F0B6" w14:textId="77777777" w:rsidR="009638C0" w:rsidRPr="006D52A9" w:rsidRDefault="009638C0" w:rsidP="009638C0">
      <w:pPr>
        <w:pStyle w:val="SubsectionHead"/>
      </w:pPr>
      <w:r w:rsidRPr="006D52A9">
        <w:t xml:space="preserve">Supplies by </w:t>
      </w:r>
      <w:r w:rsidRPr="006D52A9">
        <w:rPr>
          <w:szCs w:val="22"/>
        </w:rPr>
        <w:t>approved pharmacists and approved medical practitioner</w:t>
      </w:r>
      <w:r w:rsidRPr="006D52A9">
        <w:t>s</w:t>
      </w:r>
    </w:p>
    <w:p w14:paraId="111A35E2" w14:textId="77777777" w:rsidR="006B0D76" w:rsidRPr="006D52A9" w:rsidRDefault="009C63B0" w:rsidP="006B0D76">
      <w:pPr>
        <w:pStyle w:val="subsection"/>
      </w:pPr>
      <w:r w:rsidRPr="006D52A9">
        <w:tab/>
        <w:t>(2)</w:t>
      </w:r>
      <w:r w:rsidRPr="006D52A9">
        <w:tab/>
        <w:t xml:space="preserve">The </w:t>
      </w:r>
      <w:r w:rsidRPr="006D52A9">
        <w:rPr>
          <w:b/>
          <w:i/>
        </w:rPr>
        <w:t>value for safety net purposes</w:t>
      </w:r>
      <w:r w:rsidRPr="006D52A9">
        <w:t xml:space="preserve"> for a special arrangement supply of an HSD pharmaceutical benefit </w:t>
      </w:r>
      <w:r w:rsidR="009C6D53" w:rsidRPr="006D52A9">
        <w:t xml:space="preserve">to a person </w:t>
      </w:r>
      <w:r w:rsidRPr="006D52A9">
        <w:t xml:space="preserve">by an </w:t>
      </w:r>
      <w:r w:rsidRPr="006D52A9">
        <w:rPr>
          <w:szCs w:val="22"/>
        </w:rPr>
        <w:t>approved pharmacist or approved medical practitioner</w:t>
      </w:r>
      <w:r w:rsidRPr="006D52A9">
        <w:t xml:space="preserve"> is</w:t>
      </w:r>
      <w:r w:rsidR="006D33F4" w:rsidRPr="006D52A9">
        <w:t xml:space="preserve"> </w:t>
      </w:r>
      <w:r w:rsidRPr="006D52A9">
        <w:t>the amount</w:t>
      </w:r>
      <w:r w:rsidR="009C6D53" w:rsidRPr="006D52A9">
        <w:t xml:space="preserve"> paid by the per</w:t>
      </w:r>
      <w:r w:rsidR="002B39B9" w:rsidRPr="006D52A9">
        <w:t xml:space="preserve">son for the supply of the benefit that is </w:t>
      </w:r>
      <w:r w:rsidR="00602ED7" w:rsidRPr="006D52A9">
        <w:t xml:space="preserve">equivalent </w:t>
      </w:r>
      <w:r w:rsidR="002B39B9" w:rsidRPr="006D52A9">
        <w:t>to the amount</w:t>
      </w:r>
      <w:r w:rsidRPr="006D52A9">
        <w:t xml:space="preserve"> </w:t>
      </w:r>
      <w:r w:rsidR="00FD5E09" w:rsidRPr="006D52A9">
        <w:t>chargeable</w:t>
      </w:r>
      <w:r w:rsidRPr="006D52A9">
        <w:t xml:space="preserve"> </w:t>
      </w:r>
      <w:r w:rsidR="00C727C8" w:rsidRPr="006D52A9">
        <w:t>under</w:t>
      </w:r>
      <w:r w:rsidR="006E02F7" w:rsidRPr="006D52A9">
        <w:t xml:space="preserve"> </w:t>
      </w:r>
      <w:r w:rsidR="000E2607" w:rsidRPr="006D52A9">
        <w:t>section 8</w:t>
      </w:r>
      <w:r w:rsidR="006E02F7" w:rsidRPr="006D52A9">
        <w:t xml:space="preserve">7 of the Act </w:t>
      </w:r>
      <w:r w:rsidR="000C190D" w:rsidRPr="006D52A9">
        <w:t xml:space="preserve">for the supply of the benefit </w:t>
      </w:r>
      <w:r w:rsidR="006E02F7" w:rsidRPr="006D52A9">
        <w:t>less the amount chargeable under</w:t>
      </w:r>
      <w:r w:rsidR="00C727C8" w:rsidRPr="006D52A9">
        <w:t xml:space="preserve"> </w:t>
      </w:r>
      <w:r w:rsidR="000E2607" w:rsidRPr="006D52A9">
        <w:t>subsection 8</w:t>
      </w:r>
      <w:r w:rsidRPr="006D52A9">
        <w:t>7(2</w:t>
      </w:r>
      <w:r w:rsidR="006E02F7" w:rsidRPr="006D52A9">
        <w:t>A</w:t>
      </w:r>
      <w:r w:rsidRPr="006D52A9">
        <w:t>)</w:t>
      </w:r>
      <w:r w:rsidR="00C727C8" w:rsidRPr="006D52A9">
        <w:t xml:space="preserve"> </w:t>
      </w:r>
      <w:r w:rsidRPr="006D52A9">
        <w:t>of the Act.</w:t>
      </w:r>
    </w:p>
    <w:p w14:paraId="3591E8AF" w14:textId="77777777" w:rsidR="009F43FD" w:rsidRPr="006D52A9" w:rsidRDefault="00CA4D7F" w:rsidP="006B0D76">
      <w:pPr>
        <w:pStyle w:val="subsection"/>
      </w:pPr>
      <w:r w:rsidRPr="006D52A9">
        <w:tab/>
      </w:r>
      <w:r w:rsidR="009C63B0" w:rsidRPr="006D52A9">
        <w:t>(3</w:t>
      </w:r>
      <w:r w:rsidRPr="006D52A9">
        <w:t>)</w:t>
      </w:r>
      <w:r w:rsidRPr="006D52A9">
        <w:tab/>
        <w:t xml:space="preserve">This section applies despite </w:t>
      </w:r>
      <w:r w:rsidR="00942996" w:rsidRPr="006D52A9">
        <w:t>regulation 1</w:t>
      </w:r>
      <w:r w:rsidR="009C63B0" w:rsidRPr="006D52A9">
        <w:t>7A of the Regulations</w:t>
      </w:r>
      <w:r w:rsidR="006D0448" w:rsidRPr="006D52A9">
        <w:t>.</w:t>
      </w:r>
    </w:p>
    <w:p w14:paraId="39984349" w14:textId="77777777" w:rsidR="006B0D76" w:rsidRPr="006D52A9" w:rsidRDefault="006B0D76" w:rsidP="00CE13EF">
      <w:pPr>
        <w:pStyle w:val="ActHead2"/>
        <w:pageBreakBefore/>
      </w:pPr>
      <w:bookmarkStart w:id="51" w:name="_Toc66968143"/>
      <w:r w:rsidRPr="00A757E4">
        <w:rPr>
          <w:rStyle w:val="CharPartNo"/>
        </w:rPr>
        <w:lastRenderedPageBreak/>
        <w:t>Part </w:t>
      </w:r>
      <w:r w:rsidR="00E840CC" w:rsidRPr="00A757E4">
        <w:rPr>
          <w:rStyle w:val="CharPartNo"/>
        </w:rPr>
        <w:t>6</w:t>
      </w:r>
      <w:r w:rsidRPr="006D52A9">
        <w:t>—</w:t>
      </w:r>
      <w:r w:rsidR="00666A0F" w:rsidRPr="00A757E4">
        <w:rPr>
          <w:rStyle w:val="CharPartText"/>
        </w:rPr>
        <w:t>Application, saving and t</w:t>
      </w:r>
      <w:r w:rsidRPr="00A757E4">
        <w:rPr>
          <w:rStyle w:val="CharPartText"/>
        </w:rPr>
        <w:t xml:space="preserve">ransitional </w:t>
      </w:r>
      <w:r w:rsidR="00666A0F" w:rsidRPr="00A757E4">
        <w:rPr>
          <w:rStyle w:val="CharPartText"/>
        </w:rPr>
        <w:t>provisions</w:t>
      </w:r>
      <w:bookmarkEnd w:id="51"/>
    </w:p>
    <w:p w14:paraId="215A2CD3" w14:textId="77777777" w:rsidR="006B0D76" w:rsidRPr="006D52A9" w:rsidRDefault="008A3D12" w:rsidP="00666A0F">
      <w:pPr>
        <w:pStyle w:val="ActHead3"/>
      </w:pPr>
      <w:bookmarkStart w:id="52" w:name="_Toc66968144"/>
      <w:r w:rsidRPr="00A757E4">
        <w:rPr>
          <w:rStyle w:val="CharDivNo"/>
        </w:rPr>
        <w:t>Division 1</w:t>
      </w:r>
      <w:r w:rsidR="00666A0F" w:rsidRPr="006D52A9">
        <w:t>—</w:t>
      </w:r>
      <w:r w:rsidR="00666A0F" w:rsidRPr="00A757E4">
        <w:rPr>
          <w:rStyle w:val="CharDivText"/>
        </w:rPr>
        <w:t>Provisions relating to this instrument as made</w:t>
      </w:r>
      <w:bookmarkEnd w:id="52"/>
    </w:p>
    <w:p w14:paraId="1B76644F" w14:textId="77777777" w:rsidR="005D6E16" w:rsidRPr="006D52A9" w:rsidRDefault="005F407C" w:rsidP="006B0D76">
      <w:pPr>
        <w:pStyle w:val="ActHead5"/>
      </w:pPr>
      <w:bookmarkStart w:id="53" w:name="_Toc66968145"/>
      <w:r w:rsidRPr="00A757E4">
        <w:rPr>
          <w:rStyle w:val="CharSectno"/>
        </w:rPr>
        <w:t>38</w:t>
      </w:r>
      <w:r w:rsidR="006B0D76" w:rsidRPr="006D52A9">
        <w:t xml:space="preserve">  </w:t>
      </w:r>
      <w:r w:rsidR="00DC4644" w:rsidRPr="006D52A9">
        <w:t>HSD</w:t>
      </w:r>
      <w:r w:rsidR="006B0D76" w:rsidRPr="006D52A9">
        <w:t xml:space="preserve"> hospital authorities</w:t>
      </w:r>
      <w:bookmarkEnd w:id="53"/>
    </w:p>
    <w:p w14:paraId="27F2F362" w14:textId="77777777" w:rsidR="00003428" w:rsidRPr="006D52A9" w:rsidRDefault="00666A0F" w:rsidP="00666A0F">
      <w:pPr>
        <w:pStyle w:val="subsection"/>
        <w:rPr>
          <w:szCs w:val="24"/>
        </w:rPr>
      </w:pPr>
      <w:r w:rsidRPr="006D52A9">
        <w:rPr>
          <w:szCs w:val="24"/>
        </w:rPr>
        <w:tab/>
      </w:r>
      <w:r w:rsidRPr="006D52A9">
        <w:rPr>
          <w:szCs w:val="24"/>
        </w:rPr>
        <w:tab/>
        <w:t xml:space="preserve">Despite the repeal of the </w:t>
      </w:r>
      <w:r w:rsidRPr="006D52A9">
        <w:rPr>
          <w:i/>
          <w:szCs w:val="24"/>
        </w:rPr>
        <w:t>National Health (Highly specialised drugs program) Special Arrangement 2010</w:t>
      </w:r>
      <w:r w:rsidRPr="006D52A9">
        <w:rPr>
          <w:szCs w:val="24"/>
        </w:rPr>
        <w:t xml:space="preserve"> (PB 116 of 2010</w:t>
      </w:r>
      <w:r w:rsidR="00003428" w:rsidRPr="006D52A9">
        <w:rPr>
          <w:szCs w:val="24"/>
        </w:rPr>
        <w:t>):</w:t>
      </w:r>
    </w:p>
    <w:p w14:paraId="2E6FB16C" w14:textId="77777777" w:rsidR="00666A0F" w:rsidRPr="006D52A9" w:rsidRDefault="00003428" w:rsidP="00003428">
      <w:pPr>
        <w:pStyle w:val="paragraph"/>
      </w:pPr>
      <w:r w:rsidRPr="006D52A9">
        <w:tab/>
        <w:t>(a)</w:t>
      </w:r>
      <w:r w:rsidRPr="006D52A9">
        <w:tab/>
      </w:r>
      <w:r w:rsidR="00666A0F" w:rsidRPr="006D52A9">
        <w:t xml:space="preserve">an approval that was in force under </w:t>
      </w:r>
      <w:r w:rsidR="008A3D12" w:rsidRPr="006D52A9">
        <w:t>sub</w:t>
      </w:r>
      <w:r w:rsidR="00FD29E6" w:rsidRPr="006D52A9">
        <w:t>section 5</w:t>
      </w:r>
      <w:r w:rsidR="00666A0F" w:rsidRPr="006D52A9">
        <w:t xml:space="preserve">2(2) of that instrument immediately before </w:t>
      </w:r>
      <w:r w:rsidR="008A3D12" w:rsidRPr="006D52A9">
        <w:t>1 April</w:t>
      </w:r>
      <w:r w:rsidR="00666A0F" w:rsidRPr="006D52A9">
        <w:t xml:space="preserve"> 2021</w:t>
      </w:r>
      <w:r w:rsidRPr="006D52A9">
        <w:t>; and</w:t>
      </w:r>
    </w:p>
    <w:p w14:paraId="0DF64644" w14:textId="77777777" w:rsidR="00003428" w:rsidRPr="006D52A9" w:rsidRDefault="00003428" w:rsidP="00003428">
      <w:pPr>
        <w:pStyle w:val="paragraph"/>
      </w:pPr>
      <w:r w:rsidRPr="006D52A9">
        <w:tab/>
        <w:t>(b)</w:t>
      </w:r>
      <w:r w:rsidRPr="006D52A9">
        <w:tab/>
        <w:t xml:space="preserve">an approval that was continued in force under </w:t>
      </w:r>
      <w:r w:rsidR="00FD29E6" w:rsidRPr="006D52A9">
        <w:t>section 5</w:t>
      </w:r>
      <w:r w:rsidRPr="006D52A9">
        <w:t xml:space="preserve">3 of that instrument as if it were an approval under </w:t>
      </w:r>
      <w:r w:rsidR="008A3D12" w:rsidRPr="006D52A9">
        <w:t>sub</w:t>
      </w:r>
      <w:r w:rsidR="00FD29E6" w:rsidRPr="006D52A9">
        <w:t>section 5</w:t>
      </w:r>
      <w:r w:rsidRPr="006D52A9">
        <w:t>2(2) of that instrument</w:t>
      </w:r>
      <w:r w:rsidR="000142F1" w:rsidRPr="006D52A9">
        <w:t xml:space="preserve">, and was in force immediately before </w:t>
      </w:r>
      <w:r w:rsidR="008A3D12" w:rsidRPr="006D52A9">
        <w:t>1 April</w:t>
      </w:r>
      <w:r w:rsidR="000142F1" w:rsidRPr="006D52A9">
        <w:t xml:space="preserve"> 2021</w:t>
      </w:r>
      <w:r w:rsidRPr="006D52A9">
        <w:t>;</w:t>
      </w:r>
    </w:p>
    <w:p w14:paraId="3BF263DD" w14:textId="77777777" w:rsidR="00666A0F" w:rsidRPr="006D52A9" w:rsidRDefault="00003428" w:rsidP="00375702">
      <w:pPr>
        <w:pStyle w:val="subsection2"/>
      </w:pPr>
      <w:r w:rsidRPr="006D52A9">
        <w:t xml:space="preserve">continues in force as if it were an approval </w:t>
      </w:r>
      <w:r w:rsidR="00B73E68" w:rsidRPr="006D52A9">
        <w:t xml:space="preserve">under </w:t>
      </w:r>
      <w:r w:rsidR="00D66D59">
        <w:t>section 9</w:t>
      </w:r>
      <w:r w:rsidR="00B73E68" w:rsidRPr="006D52A9">
        <w:t xml:space="preserve">4 of the Act, as modified by </w:t>
      </w:r>
      <w:r w:rsidR="00D66D59">
        <w:t>section 1</w:t>
      </w:r>
      <w:r w:rsidR="00B73E68" w:rsidRPr="006D52A9">
        <w:t>0 of this instrument</w:t>
      </w:r>
      <w:r w:rsidRPr="006D52A9">
        <w:t>.</w:t>
      </w:r>
    </w:p>
    <w:p w14:paraId="5CEDE1DC" w14:textId="77777777" w:rsidR="00BE5990" w:rsidRPr="006D52A9" w:rsidRDefault="00BE5990" w:rsidP="004D681E">
      <w:pPr>
        <w:sectPr w:rsidR="00BE5990" w:rsidRPr="006D52A9" w:rsidSect="00C71894">
          <w:headerReference w:type="even" r:id="rId20"/>
          <w:headerReference w:type="default" r:id="rId21"/>
          <w:footerReference w:type="even" r:id="rId22"/>
          <w:footerReference w:type="default" r:id="rId23"/>
          <w:headerReference w:type="first" r:id="rId24"/>
          <w:footerReference w:type="first" r:id="rId25"/>
          <w:pgSz w:w="11907" w:h="16839"/>
          <w:pgMar w:top="2233" w:right="1797" w:bottom="1440" w:left="1797" w:header="720" w:footer="709" w:gutter="0"/>
          <w:pgNumType w:start="1"/>
          <w:cols w:space="708"/>
          <w:docGrid w:linePitch="360"/>
        </w:sectPr>
      </w:pPr>
    </w:p>
    <w:p w14:paraId="2CFEA730" w14:textId="77777777" w:rsidR="00BE5990" w:rsidRPr="006D52A9" w:rsidRDefault="00BE5990" w:rsidP="00BE5990">
      <w:pPr>
        <w:pStyle w:val="ActHead1"/>
      </w:pPr>
      <w:bookmarkStart w:id="54" w:name="_Toc66968146"/>
      <w:r w:rsidRPr="00A757E4">
        <w:rPr>
          <w:rStyle w:val="CharChapNo"/>
        </w:rPr>
        <w:lastRenderedPageBreak/>
        <w:t>Schedule 1</w:t>
      </w:r>
      <w:r w:rsidRPr="006D52A9">
        <w:t>—</w:t>
      </w:r>
      <w:r w:rsidRPr="00A757E4">
        <w:rPr>
          <w:rStyle w:val="CharChapText"/>
        </w:rPr>
        <w:t>HSD pharmaceutical benefits and related information</w:t>
      </w:r>
      <w:bookmarkEnd w:id="54"/>
    </w:p>
    <w:p w14:paraId="4060B65A" w14:textId="77777777" w:rsidR="00BE5990" w:rsidRPr="00A757E4" w:rsidRDefault="00BE5990" w:rsidP="00BE5990">
      <w:pPr>
        <w:pStyle w:val="Header"/>
      </w:pPr>
      <w:r w:rsidRPr="00A757E4">
        <w:rPr>
          <w:rStyle w:val="CharPartNo"/>
        </w:rPr>
        <w:t xml:space="preserve"> </w:t>
      </w:r>
      <w:r w:rsidRPr="00A757E4">
        <w:rPr>
          <w:rStyle w:val="CharPartText"/>
        </w:rPr>
        <w:t xml:space="preserve"> </w:t>
      </w:r>
    </w:p>
    <w:p w14:paraId="59407356" w14:textId="77777777" w:rsidR="00BE5990" w:rsidRPr="00A757E4" w:rsidRDefault="00BE5990" w:rsidP="00BE5990">
      <w:pPr>
        <w:pStyle w:val="Header"/>
      </w:pPr>
      <w:r w:rsidRPr="00A757E4">
        <w:rPr>
          <w:rStyle w:val="CharDivNo"/>
        </w:rPr>
        <w:t xml:space="preserve"> </w:t>
      </w:r>
      <w:r w:rsidRPr="00A757E4">
        <w:rPr>
          <w:rStyle w:val="CharDivText"/>
        </w:rPr>
        <w:t xml:space="preserve"> </w:t>
      </w:r>
    </w:p>
    <w:p w14:paraId="18957F83" w14:textId="77777777" w:rsidR="00BE5990" w:rsidRPr="006D52A9" w:rsidRDefault="00BE5990" w:rsidP="00BE5990">
      <w:pPr>
        <w:pStyle w:val="notemargin"/>
      </w:pPr>
      <w:r w:rsidRPr="006D52A9">
        <w:t>Note:</w:t>
      </w:r>
      <w:r w:rsidRPr="006D52A9">
        <w:tab/>
        <w:t xml:space="preserve">See the definitions of </w:t>
      </w:r>
      <w:r w:rsidRPr="006D52A9">
        <w:rPr>
          <w:b/>
          <w:i/>
        </w:rPr>
        <w:t>highly specialised drug</w:t>
      </w:r>
      <w:r w:rsidRPr="006D52A9">
        <w:t xml:space="preserve"> and </w:t>
      </w:r>
      <w:r w:rsidRPr="006D52A9">
        <w:rPr>
          <w:b/>
          <w:i/>
        </w:rPr>
        <w:t>HSD pharmaceutical benefit</w:t>
      </w:r>
      <w:r w:rsidRPr="006D52A9">
        <w:t xml:space="preserve"> in </w:t>
      </w:r>
      <w:r w:rsidR="00D66D59">
        <w:t>section 6</w:t>
      </w:r>
      <w:r w:rsidRPr="006D52A9">
        <w:t xml:space="preserve">, and </w:t>
      </w:r>
      <w:r w:rsidR="00D66D59">
        <w:t>sections 1</w:t>
      </w:r>
      <w:r w:rsidRPr="006D52A9">
        <w:t>3, 15, 20 and 21.</w:t>
      </w:r>
    </w:p>
    <w:p w14:paraId="3A499331" w14:textId="77777777" w:rsidR="00BE5990" w:rsidRPr="006D52A9" w:rsidRDefault="00BE5990" w:rsidP="00BE5990">
      <w:pPr>
        <w:pStyle w:val="ActHead5"/>
      </w:pPr>
      <w:bookmarkStart w:id="55" w:name="_Toc66968147"/>
      <w:r w:rsidRPr="00A757E4">
        <w:rPr>
          <w:rStyle w:val="CharSectno"/>
        </w:rPr>
        <w:t>1</w:t>
      </w:r>
      <w:r w:rsidRPr="006D52A9">
        <w:t xml:space="preserve">  Highly specialised drugs and HSD pharmaceutical benefits</w:t>
      </w:r>
      <w:bookmarkEnd w:id="55"/>
    </w:p>
    <w:p w14:paraId="33A08708" w14:textId="77777777" w:rsidR="00BE5990" w:rsidRPr="006D52A9" w:rsidRDefault="00BE5990" w:rsidP="00BE5990">
      <w:pPr>
        <w:pStyle w:val="subsection"/>
      </w:pPr>
      <w:r w:rsidRPr="006D52A9">
        <w:tab/>
        <w:t>(1)</w:t>
      </w:r>
      <w:r w:rsidRPr="006D52A9">
        <w:tab/>
        <w:t>Each listed drug specified in the following table is a highly specialised drug.</w:t>
      </w:r>
    </w:p>
    <w:p w14:paraId="30691BA5" w14:textId="77777777" w:rsidR="00BE5990" w:rsidRPr="006D52A9" w:rsidRDefault="00BE5990" w:rsidP="00BE5990">
      <w:pPr>
        <w:pStyle w:val="subsection"/>
      </w:pPr>
      <w:r w:rsidRPr="006D52A9">
        <w:tab/>
        <w:t>(2)</w:t>
      </w:r>
      <w:r w:rsidRPr="006D52A9">
        <w:tab/>
        <w:t>Each pharmaceutical benefit specified in the following table is an HSD pharmaceutical benefit.</w:t>
      </w:r>
    </w:p>
    <w:p w14:paraId="4B564555" w14:textId="77777777" w:rsidR="00BE5990" w:rsidRPr="006D52A9" w:rsidRDefault="00BE5990" w:rsidP="00BE5990">
      <w:pPr>
        <w:pStyle w:val="subsection"/>
      </w:pPr>
      <w:r w:rsidRPr="006D52A9">
        <w:tab/>
        <w:t>(3)</w:t>
      </w:r>
      <w:r w:rsidRPr="006D52A9">
        <w:tab/>
        <w:t>The following table also specifies circumstances, purposes, maximum quantities and maximum repeats for HSD pharmaceutical benefits.</w:t>
      </w:r>
    </w:p>
    <w:p w14:paraId="47AEB727" w14:textId="77777777" w:rsidR="00324288" w:rsidRPr="006D52A9" w:rsidRDefault="00324288" w:rsidP="00324288">
      <w:pPr>
        <w:pStyle w:val="notetext"/>
      </w:pPr>
      <w:r w:rsidRPr="006D52A9">
        <w:t>Note:</w:t>
      </w:r>
      <w:r w:rsidRPr="006D52A9">
        <w:tab/>
        <w:t>The drugs mentioned in the table have been declared by the Minister under subsection 85(2) of the Act. The forms, manners of administration and brands mentioned in the table have been determined by the Minister under subsections 85(3), (5) and (6) of the Act respectively.</w:t>
      </w:r>
    </w:p>
    <w:p w14:paraId="14B534E1" w14:textId="77777777" w:rsidR="00A675AC" w:rsidRPr="006D52A9" w:rsidRDefault="00A675AC" w:rsidP="00A675AC">
      <w:pPr>
        <w:pStyle w:val="Tabletext"/>
      </w:pPr>
    </w:p>
    <w:tbl>
      <w:tblPr>
        <w:tblW w:w="5000" w:type="pct"/>
        <w:tblCellSpacing w:w="22" w:type="dxa"/>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95"/>
        <w:gridCol w:w="2511"/>
        <w:gridCol w:w="1459"/>
        <w:gridCol w:w="1590"/>
        <w:gridCol w:w="2383"/>
        <w:gridCol w:w="1026"/>
        <w:gridCol w:w="1348"/>
        <w:gridCol w:w="1677"/>
      </w:tblGrid>
      <w:tr w:rsidR="001D0B87" w:rsidRPr="006D52A9" w14:paraId="33AECBF7" w14:textId="77777777" w:rsidTr="007523D3">
        <w:trPr>
          <w:cantSplit/>
          <w:trHeight w:val="386"/>
          <w:tblHeader/>
          <w:tblCellSpacing w:w="22" w:type="dxa"/>
        </w:trPr>
        <w:tc>
          <w:tcPr>
            <w:tcW w:w="4967" w:type="pct"/>
            <w:gridSpan w:val="8"/>
            <w:tcBorders>
              <w:top w:val="single" w:sz="12" w:space="0" w:color="auto"/>
              <w:bottom w:val="single" w:sz="12" w:space="0" w:color="auto"/>
            </w:tcBorders>
          </w:tcPr>
          <w:p w14:paraId="06BA49D3" w14:textId="77777777" w:rsidR="001D0B87" w:rsidRPr="006D52A9" w:rsidRDefault="001D0B87" w:rsidP="001D0B87">
            <w:pPr>
              <w:pStyle w:val="TableHeading"/>
            </w:pPr>
            <w:r w:rsidRPr="006D52A9">
              <w:t>HSD pharmaceutical benefits and related information</w:t>
            </w:r>
          </w:p>
        </w:tc>
      </w:tr>
      <w:tr w:rsidR="003D7D16" w:rsidRPr="006D52A9" w14:paraId="13DC37DD" w14:textId="77777777" w:rsidTr="00A91628">
        <w:trPr>
          <w:cantSplit/>
          <w:trHeight w:val="686"/>
          <w:tblHeader/>
          <w:tblCellSpacing w:w="22" w:type="dxa"/>
        </w:trPr>
        <w:tc>
          <w:tcPr>
            <w:tcW w:w="508" w:type="pct"/>
            <w:tcBorders>
              <w:top w:val="single" w:sz="12" w:space="0" w:color="auto"/>
              <w:bottom w:val="single" w:sz="12" w:space="0" w:color="auto"/>
            </w:tcBorders>
          </w:tcPr>
          <w:p w14:paraId="53D391EE" w14:textId="77777777" w:rsidR="003F687C" w:rsidRPr="006D52A9" w:rsidRDefault="003F687C" w:rsidP="001D0B87">
            <w:pPr>
              <w:pStyle w:val="TableHeading"/>
            </w:pPr>
            <w:r w:rsidRPr="006D52A9">
              <w:t xml:space="preserve">Listed </w:t>
            </w:r>
            <w:r w:rsidR="001D0B87" w:rsidRPr="006D52A9">
              <w:t>d</w:t>
            </w:r>
            <w:r w:rsidRPr="006D52A9">
              <w:t>rug</w:t>
            </w:r>
          </w:p>
        </w:tc>
        <w:tc>
          <w:tcPr>
            <w:tcW w:w="943" w:type="pct"/>
            <w:tcBorders>
              <w:top w:val="single" w:sz="12" w:space="0" w:color="auto"/>
              <w:bottom w:val="single" w:sz="12" w:space="0" w:color="auto"/>
            </w:tcBorders>
          </w:tcPr>
          <w:p w14:paraId="76923112" w14:textId="77777777" w:rsidR="003F687C" w:rsidRPr="006D52A9" w:rsidRDefault="003F687C" w:rsidP="001D0B87">
            <w:pPr>
              <w:pStyle w:val="TableHeading"/>
            </w:pPr>
            <w:r w:rsidRPr="006D52A9">
              <w:t>Form</w:t>
            </w:r>
          </w:p>
        </w:tc>
        <w:tc>
          <w:tcPr>
            <w:tcW w:w="540" w:type="pct"/>
            <w:tcBorders>
              <w:top w:val="single" w:sz="12" w:space="0" w:color="auto"/>
              <w:bottom w:val="single" w:sz="12" w:space="0" w:color="auto"/>
            </w:tcBorders>
          </w:tcPr>
          <w:p w14:paraId="61718908" w14:textId="77777777" w:rsidR="003F687C" w:rsidRPr="006D52A9" w:rsidRDefault="003F687C" w:rsidP="001D0B87">
            <w:pPr>
              <w:pStyle w:val="TableHeading"/>
            </w:pPr>
            <w:r w:rsidRPr="006D52A9">
              <w:t xml:space="preserve">Manner of </w:t>
            </w:r>
            <w:r w:rsidR="001D0B87" w:rsidRPr="006D52A9">
              <w:t>a</w:t>
            </w:r>
            <w:r w:rsidRPr="006D52A9">
              <w:t>dministration</w:t>
            </w:r>
          </w:p>
        </w:tc>
        <w:tc>
          <w:tcPr>
            <w:tcW w:w="591" w:type="pct"/>
            <w:tcBorders>
              <w:top w:val="single" w:sz="12" w:space="0" w:color="auto"/>
              <w:bottom w:val="single" w:sz="12" w:space="0" w:color="auto"/>
            </w:tcBorders>
          </w:tcPr>
          <w:p w14:paraId="5BA2DDBC" w14:textId="77777777" w:rsidR="003F687C" w:rsidRPr="006D52A9" w:rsidRDefault="003F687C" w:rsidP="001D0B87">
            <w:pPr>
              <w:pStyle w:val="TableHeading"/>
            </w:pPr>
            <w:r w:rsidRPr="006D52A9">
              <w:t>Brand</w:t>
            </w:r>
          </w:p>
        </w:tc>
        <w:tc>
          <w:tcPr>
            <w:tcW w:w="894" w:type="pct"/>
            <w:tcBorders>
              <w:top w:val="single" w:sz="12" w:space="0" w:color="auto"/>
              <w:bottom w:val="single" w:sz="12" w:space="0" w:color="auto"/>
            </w:tcBorders>
          </w:tcPr>
          <w:p w14:paraId="1221495F" w14:textId="77777777" w:rsidR="003F687C" w:rsidRPr="006D52A9" w:rsidRDefault="003F687C" w:rsidP="001D0B87">
            <w:pPr>
              <w:pStyle w:val="TableHeading"/>
            </w:pPr>
            <w:r w:rsidRPr="006D52A9">
              <w:t>Circumstances</w:t>
            </w:r>
          </w:p>
        </w:tc>
        <w:tc>
          <w:tcPr>
            <w:tcW w:w="376" w:type="pct"/>
            <w:tcBorders>
              <w:top w:val="single" w:sz="12" w:space="0" w:color="auto"/>
              <w:bottom w:val="single" w:sz="12" w:space="0" w:color="auto"/>
            </w:tcBorders>
          </w:tcPr>
          <w:p w14:paraId="22086D59" w14:textId="77777777" w:rsidR="003F687C" w:rsidRPr="006D52A9" w:rsidRDefault="003F687C" w:rsidP="001D0B87">
            <w:pPr>
              <w:pStyle w:val="TableHeading"/>
            </w:pPr>
            <w:r w:rsidRPr="006D52A9">
              <w:t>Purposes</w:t>
            </w:r>
          </w:p>
        </w:tc>
        <w:tc>
          <w:tcPr>
            <w:tcW w:w="499" w:type="pct"/>
            <w:tcBorders>
              <w:top w:val="single" w:sz="12" w:space="0" w:color="auto"/>
              <w:bottom w:val="single" w:sz="12" w:space="0" w:color="auto"/>
            </w:tcBorders>
          </w:tcPr>
          <w:p w14:paraId="3857ACC6" w14:textId="77777777" w:rsidR="003F687C" w:rsidRPr="006D52A9" w:rsidRDefault="003F687C" w:rsidP="001D0B87">
            <w:pPr>
              <w:pStyle w:val="TableHeading"/>
            </w:pPr>
            <w:r w:rsidRPr="006D52A9">
              <w:t xml:space="preserve">Maximum </w:t>
            </w:r>
            <w:r w:rsidR="001D0B87" w:rsidRPr="006D52A9">
              <w:t>q</w:t>
            </w:r>
            <w:r w:rsidRPr="006D52A9">
              <w:t>uantity</w:t>
            </w:r>
          </w:p>
        </w:tc>
        <w:tc>
          <w:tcPr>
            <w:tcW w:w="502" w:type="pct"/>
            <w:tcBorders>
              <w:top w:val="single" w:sz="12" w:space="0" w:color="auto"/>
              <w:bottom w:val="single" w:sz="12" w:space="0" w:color="auto"/>
            </w:tcBorders>
          </w:tcPr>
          <w:p w14:paraId="168BFFAC" w14:textId="77777777" w:rsidR="003F687C" w:rsidRPr="006D52A9" w:rsidRDefault="001D0B87" w:rsidP="001D0B87">
            <w:pPr>
              <w:pStyle w:val="TableHeading"/>
            </w:pPr>
            <w:r w:rsidRPr="006D52A9">
              <w:t>Maximum</w:t>
            </w:r>
            <w:r w:rsidR="003F687C" w:rsidRPr="006D52A9">
              <w:t xml:space="preserve"> </w:t>
            </w:r>
            <w:r w:rsidRPr="006D52A9">
              <w:t>r</w:t>
            </w:r>
            <w:r w:rsidR="003F687C" w:rsidRPr="006D52A9">
              <w:t>epeats</w:t>
            </w:r>
          </w:p>
        </w:tc>
      </w:tr>
      <w:tr w:rsidR="003D7D16" w:rsidRPr="006D52A9" w14:paraId="6ABA83BE" w14:textId="77777777" w:rsidTr="00A91628">
        <w:tblPrEx>
          <w:tblBorders>
            <w:top w:val="single" w:sz="4" w:space="0" w:color="auto"/>
          </w:tblBorders>
        </w:tblPrEx>
        <w:trPr>
          <w:cantSplit/>
          <w:tblCellSpacing w:w="22" w:type="dxa"/>
        </w:trPr>
        <w:tc>
          <w:tcPr>
            <w:tcW w:w="508" w:type="pct"/>
          </w:tcPr>
          <w:p w14:paraId="0257CC9D" w14:textId="77777777" w:rsidR="003F687C" w:rsidRPr="006D52A9" w:rsidRDefault="003F687C" w:rsidP="003D7D16">
            <w:pPr>
              <w:rPr>
                <w:rFonts w:ascii="Arial" w:hAnsi="Arial" w:cs="Arial"/>
                <w:sz w:val="16"/>
                <w:szCs w:val="16"/>
              </w:rPr>
            </w:pPr>
            <w:r w:rsidRPr="006D52A9">
              <w:rPr>
                <w:rFonts w:ascii="Arial" w:hAnsi="Arial" w:cs="Arial"/>
                <w:sz w:val="16"/>
                <w:szCs w:val="16"/>
              </w:rPr>
              <w:t>Abacavir</w:t>
            </w:r>
          </w:p>
        </w:tc>
        <w:tc>
          <w:tcPr>
            <w:tcW w:w="943" w:type="pct"/>
          </w:tcPr>
          <w:p w14:paraId="7D5166C4" w14:textId="77777777" w:rsidR="003F687C" w:rsidRPr="006D52A9" w:rsidRDefault="003F687C" w:rsidP="003D7D16">
            <w:pPr>
              <w:rPr>
                <w:rFonts w:ascii="Arial" w:hAnsi="Arial" w:cs="Arial"/>
                <w:sz w:val="16"/>
                <w:szCs w:val="16"/>
              </w:rPr>
            </w:pPr>
            <w:r w:rsidRPr="006D52A9">
              <w:rPr>
                <w:rFonts w:ascii="Arial" w:hAnsi="Arial" w:cs="Arial"/>
                <w:sz w:val="16"/>
                <w:szCs w:val="16"/>
              </w:rPr>
              <w:t>Tablet 300 mg (as sulfate)</w:t>
            </w:r>
          </w:p>
        </w:tc>
        <w:tc>
          <w:tcPr>
            <w:tcW w:w="540" w:type="pct"/>
          </w:tcPr>
          <w:p w14:paraId="36E07534"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5BFD0A01" w14:textId="77777777" w:rsidR="003F687C" w:rsidRPr="006D52A9" w:rsidRDefault="003F687C" w:rsidP="003D7D16">
            <w:pPr>
              <w:rPr>
                <w:rFonts w:ascii="Arial" w:hAnsi="Arial" w:cs="Arial"/>
                <w:sz w:val="16"/>
                <w:szCs w:val="16"/>
              </w:rPr>
            </w:pPr>
            <w:r w:rsidRPr="006D52A9">
              <w:rPr>
                <w:rFonts w:ascii="Arial" w:hAnsi="Arial" w:cs="Arial"/>
                <w:sz w:val="16"/>
                <w:szCs w:val="16"/>
              </w:rPr>
              <w:t>Ziagen</w:t>
            </w:r>
          </w:p>
        </w:tc>
        <w:tc>
          <w:tcPr>
            <w:tcW w:w="894" w:type="pct"/>
          </w:tcPr>
          <w:p w14:paraId="1575B875" w14:textId="77777777" w:rsidR="003F687C" w:rsidRPr="006D52A9" w:rsidRDefault="003F687C" w:rsidP="003D7D16">
            <w:pPr>
              <w:rPr>
                <w:rFonts w:ascii="Arial" w:hAnsi="Arial" w:cs="Arial"/>
                <w:sz w:val="16"/>
                <w:szCs w:val="16"/>
              </w:rPr>
            </w:pPr>
            <w:r w:rsidRPr="006D52A9">
              <w:rPr>
                <w:rFonts w:ascii="Arial" w:hAnsi="Arial" w:cs="Arial"/>
                <w:sz w:val="16"/>
                <w:szCs w:val="16"/>
              </w:rPr>
              <w:t>C4454 C4512</w:t>
            </w:r>
          </w:p>
        </w:tc>
        <w:tc>
          <w:tcPr>
            <w:tcW w:w="376" w:type="pct"/>
          </w:tcPr>
          <w:p w14:paraId="60323027" w14:textId="77777777" w:rsidR="003F687C" w:rsidRPr="006D52A9" w:rsidRDefault="003F687C" w:rsidP="003D7D16">
            <w:pPr>
              <w:rPr>
                <w:rFonts w:ascii="Arial" w:hAnsi="Arial" w:cs="Arial"/>
                <w:sz w:val="16"/>
                <w:szCs w:val="16"/>
              </w:rPr>
            </w:pPr>
          </w:p>
        </w:tc>
        <w:tc>
          <w:tcPr>
            <w:tcW w:w="499" w:type="pct"/>
          </w:tcPr>
          <w:p w14:paraId="006E253C" w14:textId="77777777" w:rsidR="003F687C" w:rsidRPr="006D52A9" w:rsidRDefault="003F687C" w:rsidP="003D7D16">
            <w:pPr>
              <w:rPr>
                <w:rFonts w:ascii="Arial" w:hAnsi="Arial" w:cs="Arial"/>
                <w:sz w:val="16"/>
                <w:szCs w:val="16"/>
              </w:rPr>
            </w:pPr>
            <w:r w:rsidRPr="006D52A9">
              <w:rPr>
                <w:rFonts w:ascii="Arial" w:hAnsi="Arial" w:cs="Arial"/>
                <w:sz w:val="16"/>
                <w:szCs w:val="16"/>
              </w:rPr>
              <w:t>120</w:t>
            </w:r>
          </w:p>
        </w:tc>
        <w:tc>
          <w:tcPr>
            <w:tcW w:w="502" w:type="pct"/>
          </w:tcPr>
          <w:p w14:paraId="1C9712D7"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65A2CCB5" w14:textId="77777777" w:rsidTr="00A91628">
        <w:tblPrEx>
          <w:tblBorders>
            <w:top w:val="single" w:sz="4" w:space="0" w:color="auto"/>
          </w:tblBorders>
        </w:tblPrEx>
        <w:trPr>
          <w:cantSplit/>
          <w:tblCellSpacing w:w="22" w:type="dxa"/>
        </w:trPr>
        <w:tc>
          <w:tcPr>
            <w:tcW w:w="508" w:type="pct"/>
          </w:tcPr>
          <w:p w14:paraId="105CF9DD" w14:textId="77777777" w:rsidR="003F687C" w:rsidRPr="006D52A9" w:rsidRDefault="003F687C" w:rsidP="003D7D16">
            <w:pPr>
              <w:rPr>
                <w:rFonts w:ascii="Arial" w:hAnsi="Arial" w:cs="Arial"/>
                <w:sz w:val="16"/>
                <w:szCs w:val="16"/>
              </w:rPr>
            </w:pPr>
          </w:p>
        </w:tc>
        <w:tc>
          <w:tcPr>
            <w:tcW w:w="943" w:type="pct"/>
          </w:tcPr>
          <w:p w14:paraId="59EA4962" w14:textId="77777777" w:rsidR="003F687C" w:rsidRPr="006D52A9" w:rsidRDefault="003F687C" w:rsidP="003D7D16">
            <w:pPr>
              <w:rPr>
                <w:rFonts w:ascii="Arial" w:hAnsi="Arial" w:cs="Arial"/>
                <w:sz w:val="16"/>
                <w:szCs w:val="16"/>
              </w:rPr>
            </w:pPr>
            <w:r w:rsidRPr="006D52A9">
              <w:rPr>
                <w:rFonts w:ascii="Arial" w:hAnsi="Arial" w:cs="Arial"/>
                <w:sz w:val="16"/>
                <w:szCs w:val="16"/>
              </w:rPr>
              <w:t>Oral solution 20 mg (as sulfate) per mL, 240 mL</w:t>
            </w:r>
          </w:p>
        </w:tc>
        <w:tc>
          <w:tcPr>
            <w:tcW w:w="540" w:type="pct"/>
          </w:tcPr>
          <w:p w14:paraId="0C0E13FD"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13218D28" w14:textId="77777777" w:rsidR="003F687C" w:rsidRPr="006D52A9" w:rsidRDefault="003F687C" w:rsidP="003D7D16">
            <w:pPr>
              <w:rPr>
                <w:rFonts w:ascii="Arial" w:hAnsi="Arial" w:cs="Arial"/>
                <w:sz w:val="16"/>
                <w:szCs w:val="16"/>
              </w:rPr>
            </w:pPr>
            <w:r w:rsidRPr="006D52A9">
              <w:rPr>
                <w:rFonts w:ascii="Arial" w:hAnsi="Arial" w:cs="Arial"/>
                <w:sz w:val="16"/>
                <w:szCs w:val="16"/>
              </w:rPr>
              <w:t>Ziagen</w:t>
            </w:r>
          </w:p>
        </w:tc>
        <w:tc>
          <w:tcPr>
            <w:tcW w:w="894" w:type="pct"/>
          </w:tcPr>
          <w:p w14:paraId="0930EC82" w14:textId="77777777" w:rsidR="003F687C" w:rsidRPr="006D52A9" w:rsidRDefault="003F687C" w:rsidP="003D7D16">
            <w:pPr>
              <w:rPr>
                <w:rFonts w:ascii="Arial" w:hAnsi="Arial" w:cs="Arial"/>
                <w:sz w:val="16"/>
                <w:szCs w:val="16"/>
              </w:rPr>
            </w:pPr>
            <w:r w:rsidRPr="006D52A9">
              <w:rPr>
                <w:rFonts w:ascii="Arial" w:hAnsi="Arial" w:cs="Arial"/>
                <w:sz w:val="16"/>
                <w:szCs w:val="16"/>
              </w:rPr>
              <w:t>C4454 C4512</w:t>
            </w:r>
          </w:p>
        </w:tc>
        <w:tc>
          <w:tcPr>
            <w:tcW w:w="376" w:type="pct"/>
          </w:tcPr>
          <w:p w14:paraId="34EDFAD0" w14:textId="77777777" w:rsidR="003F687C" w:rsidRPr="006D52A9" w:rsidRDefault="003F687C" w:rsidP="003D7D16">
            <w:pPr>
              <w:rPr>
                <w:rFonts w:ascii="Arial" w:hAnsi="Arial" w:cs="Arial"/>
                <w:sz w:val="16"/>
                <w:szCs w:val="16"/>
              </w:rPr>
            </w:pPr>
          </w:p>
        </w:tc>
        <w:tc>
          <w:tcPr>
            <w:tcW w:w="499" w:type="pct"/>
          </w:tcPr>
          <w:p w14:paraId="28BBD142" w14:textId="77777777" w:rsidR="003F687C" w:rsidRPr="006D52A9" w:rsidRDefault="003F687C" w:rsidP="003D7D16">
            <w:pPr>
              <w:rPr>
                <w:rFonts w:ascii="Arial" w:hAnsi="Arial" w:cs="Arial"/>
                <w:sz w:val="16"/>
                <w:szCs w:val="16"/>
              </w:rPr>
            </w:pPr>
            <w:r w:rsidRPr="006D52A9">
              <w:rPr>
                <w:rFonts w:ascii="Arial" w:hAnsi="Arial" w:cs="Arial"/>
                <w:sz w:val="16"/>
                <w:szCs w:val="16"/>
              </w:rPr>
              <w:t>8</w:t>
            </w:r>
          </w:p>
        </w:tc>
        <w:tc>
          <w:tcPr>
            <w:tcW w:w="502" w:type="pct"/>
          </w:tcPr>
          <w:p w14:paraId="4857A6B2"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26CC9E39" w14:textId="77777777" w:rsidTr="00A91628">
        <w:tblPrEx>
          <w:tblBorders>
            <w:top w:val="single" w:sz="4" w:space="0" w:color="auto"/>
          </w:tblBorders>
        </w:tblPrEx>
        <w:trPr>
          <w:cantSplit/>
          <w:tblCellSpacing w:w="22" w:type="dxa"/>
        </w:trPr>
        <w:tc>
          <w:tcPr>
            <w:tcW w:w="508" w:type="pct"/>
          </w:tcPr>
          <w:p w14:paraId="319437FC" w14:textId="77777777" w:rsidR="003F687C" w:rsidRPr="006D52A9" w:rsidRDefault="003F687C" w:rsidP="003D7D16">
            <w:pPr>
              <w:rPr>
                <w:rFonts w:ascii="Arial" w:hAnsi="Arial" w:cs="Arial"/>
                <w:sz w:val="16"/>
                <w:szCs w:val="16"/>
              </w:rPr>
            </w:pPr>
            <w:r w:rsidRPr="006D52A9">
              <w:rPr>
                <w:rFonts w:ascii="Arial" w:hAnsi="Arial" w:cs="Arial"/>
                <w:sz w:val="16"/>
                <w:szCs w:val="16"/>
              </w:rPr>
              <w:t>Abacavir with Lamivudine</w:t>
            </w:r>
          </w:p>
        </w:tc>
        <w:tc>
          <w:tcPr>
            <w:tcW w:w="943" w:type="pct"/>
          </w:tcPr>
          <w:p w14:paraId="1E349E88" w14:textId="77777777" w:rsidR="003F687C" w:rsidRPr="006D52A9" w:rsidRDefault="003F687C" w:rsidP="003D7D16">
            <w:pPr>
              <w:rPr>
                <w:rFonts w:ascii="Arial" w:hAnsi="Arial" w:cs="Arial"/>
                <w:sz w:val="16"/>
                <w:szCs w:val="16"/>
              </w:rPr>
            </w:pPr>
            <w:r w:rsidRPr="006D52A9">
              <w:rPr>
                <w:rFonts w:ascii="Arial" w:hAnsi="Arial" w:cs="Arial"/>
                <w:sz w:val="16"/>
                <w:szCs w:val="16"/>
              </w:rPr>
              <w:t>Tablet containing abacavir 600 mg (as hydrochloride) with lamivudine 300 mg</w:t>
            </w:r>
          </w:p>
        </w:tc>
        <w:tc>
          <w:tcPr>
            <w:tcW w:w="540" w:type="pct"/>
          </w:tcPr>
          <w:p w14:paraId="63B29508"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550C34A3" w14:textId="77777777" w:rsidR="003F687C" w:rsidRPr="006D52A9" w:rsidRDefault="003F687C" w:rsidP="003D7D16">
            <w:pPr>
              <w:rPr>
                <w:rFonts w:ascii="Arial" w:hAnsi="Arial" w:cs="Arial"/>
                <w:sz w:val="16"/>
                <w:szCs w:val="16"/>
              </w:rPr>
            </w:pPr>
            <w:r w:rsidRPr="006D52A9">
              <w:rPr>
                <w:rFonts w:ascii="Arial" w:hAnsi="Arial" w:cs="Arial"/>
                <w:sz w:val="16"/>
                <w:szCs w:val="16"/>
              </w:rPr>
              <w:t>Abacavir/Lamivudine GH 600/300</w:t>
            </w:r>
          </w:p>
        </w:tc>
        <w:tc>
          <w:tcPr>
            <w:tcW w:w="894" w:type="pct"/>
          </w:tcPr>
          <w:p w14:paraId="504C3E29" w14:textId="77777777" w:rsidR="003F687C" w:rsidRPr="006D52A9" w:rsidRDefault="003F687C" w:rsidP="003D7D16">
            <w:pPr>
              <w:rPr>
                <w:rFonts w:ascii="Arial" w:hAnsi="Arial" w:cs="Arial"/>
                <w:sz w:val="16"/>
                <w:szCs w:val="16"/>
              </w:rPr>
            </w:pPr>
            <w:r w:rsidRPr="006D52A9">
              <w:rPr>
                <w:rFonts w:ascii="Arial" w:hAnsi="Arial" w:cs="Arial"/>
                <w:sz w:val="16"/>
                <w:szCs w:val="16"/>
              </w:rPr>
              <w:t>C4527 C4528</w:t>
            </w:r>
          </w:p>
        </w:tc>
        <w:tc>
          <w:tcPr>
            <w:tcW w:w="376" w:type="pct"/>
          </w:tcPr>
          <w:p w14:paraId="17F988C8" w14:textId="77777777" w:rsidR="003F687C" w:rsidRPr="006D52A9" w:rsidRDefault="003F687C" w:rsidP="003D7D16">
            <w:pPr>
              <w:rPr>
                <w:rFonts w:ascii="Arial" w:hAnsi="Arial" w:cs="Arial"/>
                <w:sz w:val="16"/>
                <w:szCs w:val="16"/>
              </w:rPr>
            </w:pPr>
          </w:p>
        </w:tc>
        <w:tc>
          <w:tcPr>
            <w:tcW w:w="499" w:type="pct"/>
          </w:tcPr>
          <w:p w14:paraId="5B012AFC" w14:textId="77777777" w:rsidR="003F687C" w:rsidRPr="006D52A9" w:rsidRDefault="003F687C" w:rsidP="003D7D16">
            <w:pPr>
              <w:rPr>
                <w:rFonts w:ascii="Arial" w:hAnsi="Arial" w:cs="Arial"/>
                <w:sz w:val="16"/>
                <w:szCs w:val="16"/>
              </w:rPr>
            </w:pPr>
            <w:r w:rsidRPr="006D52A9">
              <w:rPr>
                <w:rFonts w:ascii="Arial" w:hAnsi="Arial" w:cs="Arial"/>
                <w:sz w:val="16"/>
                <w:szCs w:val="16"/>
              </w:rPr>
              <w:t>60</w:t>
            </w:r>
          </w:p>
        </w:tc>
        <w:tc>
          <w:tcPr>
            <w:tcW w:w="502" w:type="pct"/>
          </w:tcPr>
          <w:p w14:paraId="56DAE694"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66BEF2C4" w14:textId="77777777" w:rsidTr="00A91628">
        <w:tblPrEx>
          <w:tblBorders>
            <w:top w:val="single" w:sz="4" w:space="0" w:color="auto"/>
          </w:tblBorders>
        </w:tblPrEx>
        <w:trPr>
          <w:cantSplit/>
          <w:tblCellSpacing w:w="22" w:type="dxa"/>
        </w:trPr>
        <w:tc>
          <w:tcPr>
            <w:tcW w:w="508" w:type="pct"/>
          </w:tcPr>
          <w:p w14:paraId="12DEBE1C" w14:textId="77777777" w:rsidR="003F687C" w:rsidRPr="006D52A9" w:rsidRDefault="003F687C" w:rsidP="003D7D16">
            <w:pPr>
              <w:rPr>
                <w:rFonts w:ascii="Arial" w:hAnsi="Arial" w:cs="Arial"/>
                <w:sz w:val="16"/>
                <w:szCs w:val="16"/>
              </w:rPr>
            </w:pPr>
          </w:p>
        </w:tc>
        <w:tc>
          <w:tcPr>
            <w:tcW w:w="943" w:type="pct"/>
          </w:tcPr>
          <w:p w14:paraId="06300401" w14:textId="77777777" w:rsidR="003F687C" w:rsidRPr="006D52A9" w:rsidRDefault="003F687C" w:rsidP="003D7D16">
            <w:pPr>
              <w:rPr>
                <w:rFonts w:ascii="Arial" w:hAnsi="Arial" w:cs="Arial"/>
                <w:sz w:val="16"/>
                <w:szCs w:val="16"/>
              </w:rPr>
            </w:pPr>
            <w:r w:rsidRPr="006D52A9">
              <w:rPr>
                <w:rFonts w:ascii="Arial" w:hAnsi="Arial" w:cs="Arial"/>
                <w:sz w:val="16"/>
                <w:szCs w:val="16"/>
              </w:rPr>
              <w:t>Tablet containing abacavir 600 mg (as sulfate) with lamivudine 300 mg</w:t>
            </w:r>
          </w:p>
        </w:tc>
        <w:tc>
          <w:tcPr>
            <w:tcW w:w="540" w:type="pct"/>
          </w:tcPr>
          <w:p w14:paraId="7B1646F1"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20AC8EAD" w14:textId="77777777" w:rsidR="003F687C" w:rsidRPr="006D52A9" w:rsidRDefault="003F687C" w:rsidP="003D7D16">
            <w:pPr>
              <w:rPr>
                <w:rFonts w:ascii="Arial" w:hAnsi="Arial" w:cs="Arial"/>
                <w:sz w:val="16"/>
                <w:szCs w:val="16"/>
              </w:rPr>
            </w:pPr>
            <w:r w:rsidRPr="006D52A9">
              <w:rPr>
                <w:rFonts w:ascii="Arial" w:hAnsi="Arial" w:cs="Arial"/>
                <w:sz w:val="16"/>
                <w:szCs w:val="16"/>
              </w:rPr>
              <w:t>ABACAVIR/LAMIVUDINE 600/300 SUN</w:t>
            </w:r>
          </w:p>
        </w:tc>
        <w:tc>
          <w:tcPr>
            <w:tcW w:w="894" w:type="pct"/>
          </w:tcPr>
          <w:p w14:paraId="16EA57E5" w14:textId="77777777" w:rsidR="003F687C" w:rsidRPr="006D52A9" w:rsidRDefault="003F687C" w:rsidP="003D7D16">
            <w:pPr>
              <w:rPr>
                <w:rFonts w:ascii="Arial" w:hAnsi="Arial" w:cs="Arial"/>
                <w:sz w:val="16"/>
                <w:szCs w:val="16"/>
              </w:rPr>
            </w:pPr>
            <w:r w:rsidRPr="006D52A9">
              <w:rPr>
                <w:rFonts w:ascii="Arial" w:hAnsi="Arial" w:cs="Arial"/>
                <w:sz w:val="16"/>
                <w:szCs w:val="16"/>
              </w:rPr>
              <w:t>C4527 C4528</w:t>
            </w:r>
          </w:p>
        </w:tc>
        <w:tc>
          <w:tcPr>
            <w:tcW w:w="376" w:type="pct"/>
          </w:tcPr>
          <w:p w14:paraId="373AA5E3" w14:textId="77777777" w:rsidR="003F687C" w:rsidRPr="006D52A9" w:rsidRDefault="003F687C" w:rsidP="003D7D16">
            <w:pPr>
              <w:rPr>
                <w:rFonts w:ascii="Arial" w:hAnsi="Arial" w:cs="Arial"/>
                <w:sz w:val="16"/>
                <w:szCs w:val="16"/>
              </w:rPr>
            </w:pPr>
          </w:p>
        </w:tc>
        <w:tc>
          <w:tcPr>
            <w:tcW w:w="499" w:type="pct"/>
          </w:tcPr>
          <w:p w14:paraId="5FFACA0F" w14:textId="77777777" w:rsidR="003F687C" w:rsidRPr="006D52A9" w:rsidRDefault="003F687C" w:rsidP="003D7D16">
            <w:pPr>
              <w:rPr>
                <w:rFonts w:ascii="Arial" w:hAnsi="Arial" w:cs="Arial"/>
                <w:sz w:val="16"/>
                <w:szCs w:val="16"/>
              </w:rPr>
            </w:pPr>
            <w:r w:rsidRPr="006D52A9">
              <w:rPr>
                <w:rFonts w:ascii="Arial" w:hAnsi="Arial" w:cs="Arial"/>
                <w:sz w:val="16"/>
                <w:szCs w:val="16"/>
              </w:rPr>
              <w:t>60</w:t>
            </w:r>
          </w:p>
        </w:tc>
        <w:tc>
          <w:tcPr>
            <w:tcW w:w="502" w:type="pct"/>
          </w:tcPr>
          <w:p w14:paraId="33267E10"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22CEF76B" w14:textId="77777777" w:rsidTr="00A91628">
        <w:tblPrEx>
          <w:tblBorders>
            <w:top w:val="single" w:sz="4" w:space="0" w:color="auto"/>
          </w:tblBorders>
        </w:tblPrEx>
        <w:trPr>
          <w:cantSplit/>
          <w:tblCellSpacing w:w="22" w:type="dxa"/>
        </w:trPr>
        <w:tc>
          <w:tcPr>
            <w:tcW w:w="508" w:type="pct"/>
          </w:tcPr>
          <w:p w14:paraId="467449EE" w14:textId="77777777" w:rsidR="003F687C" w:rsidRPr="006D52A9" w:rsidRDefault="003F687C" w:rsidP="003D7D16">
            <w:pPr>
              <w:rPr>
                <w:rFonts w:ascii="Arial" w:hAnsi="Arial" w:cs="Arial"/>
                <w:sz w:val="16"/>
                <w:szCs w:val="16"/>
              </w:rPr>
            </w:pPr>
          </w:p>
        </w:tc>
        <w:tc>
          <w:tcPr>
            <w:tcW w:w="943" w:type="pct"/>
          </w:tcPr>
          <w:p w14:paraId="76450B8B" w14:textId="77777777" w:rsidR="003F687C" w:rsidRPr="006D52A9" w:rsidRDefault="003F687C" w:rsidP="003D7D16">
            <w:pPr>
              <w:rPr>
                <w:rFonts w:ascii="Arial" w:hAnsi="Arial" w:cs="Arial"/>
                <w:sz w:val="16"/>
                <w:szCs w:val="16"/>
              </w:rPr>
            </w:pPr>
          </w:p>
        </w:tc>
        <w:tc>
          <w:tcPr>
            <w:tcW w:w="540" w:type="pct"/>
          </w:tcPr>
          <w:p w14:paraId="51D8DCC4" w14:textId="77777777" w:rsidR="003F687C" w:rsidRPr="006D52A9" w:rsidRDefault="003F687C" w:rsidP="003D7D16">
            <w:pPr>
              <w:rPr>
                <w:rFonts w:ascii="Arial" w:hAnsi="Arial" w:cs="Arial"/>
                <w:sz w:val="16"/>
                <w:szCs w:val="16"/>
              </w:rPr>
            </w:pPr>
          </w:p>
        </w:tc>
        <w:tc>
          <w:tcPr>
            <w:tcW w:w="591" w:type="pct"/>
          </w:tcPr>
          <w:p w14:paraId="079A1C0E" w14:textId="77777777" w:rsidR="003F687C" w:rsidRPr="006D52A9" w:rsidRDefault="003F687C" w:rsidP="003D7D16">
            <w:pPr>
              <w:rPr>
                <w:rFonts w:ascii="Arial" w:hAnsi="Arial" w:cs="Arial"/>
                <w:sz w:val="16"/>
                <w:szCs w:val="16"/>
              </w:rPr>
            </w:pPr>
            <w:r w:rsidRPr="006D52A9">
              <w:rPr>
                <w:rFonts w:ascii="Arial" w:hAnsi="Arial" w:cs="Arial"/>
                <w:sz w:val="16"/>
                <w:szCs w:val="16"/>
              </w:rPr>
              <w:t>Abacavir/</w:t>
            </w:r>
            <w:r w:rsidRPr="006D52A9">
              <w:rPr>
                <w:rFonts w:ascii="Arial" w:hAnsi="Arial" w:cs="Arial"/>
                <w:sz w:val="16"/>
                <w:szCs w:val="16"/>
              </w:rPr>
              <w:br/>
              <w:t>Lamivudine Mylan</w:t>
            </w:r>
          </w:p>
        </w:tc>
        <w:tc>
          <w:tcPr>
            <w:tcW w:w="894" w:type="pct"/>
          </w:tcPr>
          <w:p w14:paraId="3E32F830" w14:textId="77777777" w:rsidR="003F687C" w:rsidRPr="006D52A9" w:rsidRDefault="003F687C" w:rsidP="003D7D16">
            <w:pPr>
              <w:rPr>
                <w:rFonts w:ascii="Arial" w:hAnsi="Arial" w:cs="Arial"/>
                <w:sz w:val="16"/>
                <w:szCs w:val="16"/>
              </w:rPr>
            </w:pPr>
            <w:r w:rsidRPr="006D52A9">
              <w:rPr>
                <w:rFonts w:ascii="Arial" w:hAnsi="Arial" w:cs="Arial"/>
                <w:sz w:val="16"/>
                <w:szCs w:val="16"/>
              </w:rPr>
              <w:t>C4527 C4528</w:t>
            </w:r>
          </w:p>
        </w:tc>
        <w:tc>
          <w:tcPr>
            <w:tcW w:w="376" w:type="pct"/>
          </w:tcPr>
          <w:p w14:paraId="44681EA2" w14:textId="77777777" w:rsidR="003F687C" w:rsidRPr="006D52A9" w:rsidRDefault="003F687C" w:rsidP="003D7D16">
            <w:pPr>
              <w:rPr>
                <w:rFonts w:ascii="Arial" w:hAnsi="Arial" w:cs="Arial"/>
                <w:sz w:val="16"/>
                <w:szCs w:val="16"/>
              </w:rPr>
            </w:pPr>
          </w:p>
        </w:tc>
        <w:tc>
          <w:tcPr>
            <w:tcW w:w="499" w:type="pct"/>
          </w:tcPr>
          <w:p w14:paraId="696BF47B" w14:textId="77777777" w:rsidR="003F687C" w:rsidRPr="006D52A9" w:rsidRDefault="003F687C" w:rsidP="003D7D16">
            <w:pPr>
              <w:rPr>
                <w:rFonts w:ascii="Arial" w:hAnsi="Arial" w:cs="Arial"/>
                <w:sz w:val="16"/>
                <w:szCs w:val="16"/>
              </w:rPr>
            </w:pPr>
            <w:r w:rsidRPr="006D52A9">
              <w:rPr>
                <w:rFonts w:ascii="Arial" w:hAnsi="Arial" w:cs="Arial"/>
                <w:sz w:val="16"/>
                <w:szCs w:val="16"/>
              </w:rPr>
              <w:t>60</w:t>
            </w:r>
          </w:p>
        </w:tc>
        <w:tc>
          <w:tcPr>
            <w:tcW w:w="502" w:type="pct"/>
          </w:tcPr>
          <w:p w14:paraId="6D8F0565"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3E5E38AF" w14:textId="77777777" w:rsidTr="00A91628">
        <w:tblPrEx>
          <w:tblBorders>
            <w:top w:val="single" w:sz="4" w:space="0" w:color="auto"/>
          </w:tblBorders>
        </w:tblPrEx>
        <w:trPr>
          <w:cantSplit/>
          <w:tblCellSpacing w:w="22" w:type="dxa"/>
        </w:trPr>
        <w:tc>
          <w:tcPr>
            <w:tcW w:w="508" w:type="pct"/>
          </w:tcPr>
          <w:p w14:paraId="78F683EE" w14:textId="77777777" w:rsidR="003F687C" w:rsidRPr="006D52A9" w:rsidRDefault="003F687C" w:rsidP="003D7D16">
            <w:pPr>
              <w:rPr>
                <w:rFonts w:ascii="Arial" w:hAnsi="Arial" w:cs="Arial"/>
                <w:sz w:val="16"/>
                <w:szCs w:val="16"/>
              </w:rPr>
            </w:pPr>
          </w:p>
        </w:tc>
        <w:tc>
          <w:tcPr>
            <w:tcW w:w="943" w:type="pct"/>
          </w:tcPr>
          <w:p w14:paraId="24304D47" w14:textId="77777777" w:rsidR="003F687C" w:rsidRPr="006D52A9" w:rsidRDefault="003F687C" w:rsidP="003D7D16">
            <w:pPr>
              <w:rPr>
                <w:rFonts w:ascii="Arial" w:hAnsi="Arial" w:cs="Arial"/>
                <w:sz w:val="16"/>
                <w:szCs w:val="16"/>
              </w:rPr>
            </w:pPr>
          </w:p>
        </w:tc>
        <w:tc>
          <w:tcPr>
            <w:tcW w:w="540" w:type="pct"/>
          </w:tcPr>
          <w:p w14:paraId="6C117488" w14:textId="77777777" w:rsidR="003F687C" w:rsidRPr="006D52A9" w:rsidRDefault="003F687C" w:rsidP="003D7D16">
            <w:pPr>
              <w:rPr>
                <w:rFonts w:ascii="Arial" w:hAnsi="Arial" w:cs="Arial"/>
                <w:sz w:val="16"/>
                <w:szCs w:val="16"/>
              </w:rPr>
            </w:pPr>
          </w:p>
        </w:tc>
        <w:tc>
          <w:tcPr>
            <w:tcW w:w="591" w:type="pct"/>
          </w:tcPr>
          <w:p w14:paraId="74B07A24" w14:textId="77777777" w:rsidR="003F687C" w:rsidRPr="006D52A9" w:rsidRDefault="003F687C" w:rsidP="003D7D16">
            <w:pPr>
              <w:rPr>
                <w:rFonts w:ascii="Arial" w:hAnsi="Arial" w:cs="Arial"/>
                <w:sz w:val="16"/>
                <w:szCs w:val="16"/>
              </w:rPr>
            </w:pPr>
            <w:r w:rsidRPr="006D52A9">
              <w:rPr>
                <w:rFonts w:ascii="Arial" w:hAnsi="Arial" w:cs="Arial"/>
                <w:sz w:val="16"/>
                <w:szCs w:val="16"/>
              </w:rPr>
              <w:t>Kivexa</w:t>
            </w:r>
          </w:p>
        </w:tc>
        <w:tc>
          <w:tcPr>
            <w:tcW w:w="894" w:type="pct"/>
          </w:tcPr>
          <w:p w14:paraId="314AB748" w14:textId="77777777" w:rsidR="003F687C" w:rsidRPr="006D52A9" w:rsidRDefault="003F687C" w:rsidP="003D7D16">
            <w:pPr>
              <w:rPr>
                <w:rFonts w:ascii="Arial" w:hAnsi="Arial" w:cs="Arial"/>
                <w:sz w:val="16"/>
                <w:szCs w:val="16"/>
              </w:rPr>
            </w:pPr>
            <w:r w:rsidRPr="006D52A9">
              <w:rPr>
                <w:rFonts w:ascii="Arial" w:hAnsi="Arial" w:cs="Arial"/>
                <w:sz w:val="16"/>
                <w:szCs w:val="16"/>
              </w:rPr>
              <w:t xml:space="preserve">C4527 C4528 </w:t>
            </w:r>
          </w:p>
        </w:tc>
        <w:tc>
          <w:tcPr>
            <w:tcW w:w="376" w:type="pct"/>
          </w:tcPr>
          <w:p w14:paraId="1A6616E8" w14:textId="77777777" w:rsidR="003F687C" w:rsidRPr="006D52A9" w:rsidRDefault="003F687C" w:rsidP="003D7D16">
            <w:pPr>
              <w:rPr>
                <w:rFonts w:ascii="Arial" w:hAnsi="Arial" w:cs="Arial"/>
                <w:sz w:val="16"/>
                <w:szCs w:val="16"/>
              </w:rPr>
            </w:pPr>
          </w:p>
        </w:tc>
        <w:tc>
          <w:tcPr>
            <w:tcW w:w="499" w:type="pct"/>
          </w:tcPr>
          <w:p w14:paraId="59897C46" w14:textId="77777777" w:rsidR="003F687C" w:rsidRPr="006D52A9" w:rsidRDefault="003F687C" w:rsidP="003D7D16">
            <w:pPr>
              <w:rPr>
                <w:rFonts w:ascii="Arial" w:hAnsi="Arial" w:cs="Arial"/>
                <w:sz w:val="16"/>
                <w:szCs w:val="16"/>
              </w:rPr>
            </w:pPr>
            <w:r w:rsidRPr="006D52A9">
              <w:rPr>
                <w:rFonts w:ascii="Arial" w:hAnsi="Arial" w:cs="Arial"/>
                <w:sz w:val="16"/>
                <w:szCs w:val="16"/>
              </w:rPr>
              <w:t>60</w:t>
            </w:r>
          </w:p>
        </w:tc>
        <w:tc>
          <w:tcPr>
            <w:tcW w:w="502" w:type="pct"/>
          </w:tcPr>
          <w:p w14:paraId="0A7179E7"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48ED60DD" w14:textId="77777777" w:rsidTr="00A91628">
        <w:tblPrEx>
          <w:tblBorders>
            <w:top w:val="single" w:sz="4" w:space="0" w:color="auto"/>
          </w:tblBorders>
        </w:tblPrEx>
        <w:trPr>
          <w:cantSplit/>
          <w:tblCellSpacing w:w="22" w:type="dxa"/>
        </w:trPr>
        <w:tc>
          <w:tcPr>
            <w:tcW w:w="508" w:type="pct"/>
          </w:tcPr>
          <w:p w14:paraId="3FB15A08" w14:textId="77777777" w:rsidR="003F687C" w:rsidRPr="006D52A9" w:rsidRDefault="003F687C" w:rsidP="003D7D16">
            <w:pPr>
              <w:rPr>
                <w:rFonts w:ascii="Arial" w:hAnsi="Arial" w:cs="Arial"/>
                <w:sz w:val="16"/>
                <w:szCs w:val="16"/>
              </w:rPr>
            </w:pPr>
            <w:r w:rsidRPr="006D52A9">
              <w:rPr>
                <w:rFonts w:ascii="Arial" w:hAnsi="Arial" w:cs="Arial"/>
                <w:sz w:val="16"/>
                <w:szCs w:val="16"/>
              </w:rPr>
              <w:t>Abacavir with Lamivudine and Zidovudine</w:t>
            </w:r>
          </w:p>
        </w:tc>
        <w:tc>
          <w:tcPr>
            <w:tcW w:w="943" w:type="pct"/>
          </w:tcPr>
          <w:p w14:paraId="11D7B130" w14:textId="77777777" w:rsidR="003F687C" w:rsidRPr="006D52A9" w:rsidRDefault="003F687C" w:rsidP="003D7D16">
            <w:pPr>
              <w:rPr>
                <w:rFonts w:ascii="Arial" w:hAnsi="Arial" w:cs="Arial"/>
                <w:sz w:val="16"/>
                <w:szCs w:val="16"/>
              </w:rPr>
            </w:pPr>
            <w:r w:rsidRPr="006D52A9">
              <w:rPr>
                <w:rFonts w:ascii="Arial" w:hAnsi="Arial" w:cs="Arial"/>
                <w:sz w:val="16"/>
                <w:szCs w:val="16"/>
              </w:rPr>
              <w:t>Tablet containing abacavir 300 mg (as sulfate) with lamivudine 150 mg and zidovudine 300 mg</w:t>
            </w:r>
          </w:p>
        </w:tc>
        <w:tc>
          <w:tcPr>
            <w:tcW w:w="540" w:type="pct"/>
          </w:tcPr>
          <w:p w14:paraId="1AB52E78"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33C475A1" w14:textId="77777777" w:rsidR="003F687C" w:rsidRPr="006D52A9" w:rsidRDefault="003F687C" w:rsidP="003D7D16">
            <w:pPr>
              <w:rPr>
                <w:rFonts w:ascii="Arial" w:hAnsi="Arial" w:cs="Arial"/>
                <w:sz w:val="16"/>
                <w:szCs w:val="16"/>
              </w:rPr>
            </w:pPr>
            <w:r w:rsidRPr="006D52A9">
              <w:rPr>
                <w:rFonts w:ascii="Arial" w:hAnsi="Arial" w:cs="Arial"/>
                <w:sz w:val="16"/>
                <w:szCs w:val="16"/>
              </w:rPr>
              <w:t>Trizivir</w:t>
            </w:r>
          </w:p>
        </w:tc>
        <w:tc>
          <w:tcPr>
            <w:tcW w:w="894" w:type="pct"/>
          </w:tcPr>
          <w:p w14:paraId="12E178A2" w14:textId="77777777" w:rsidR="003F687C" w:rsidRPr="006D52A9" w:rsidRDefault="003F687C" w:rsidP="003D7D16">
            <w:pPr>
              <w:rPr>
                <w:rFonts w:ascii="Arial" w:hAnsi="Arial" w:cs="Arial"/>
                <w:sz w:val="16"/>
                <w:szCs w:val="16"/>
              </w:rPr>
            </w:pPr>
            <w:r w:rsidRPr="006D52A9">
              <w:rPr>
                <w:rFonts w:ascii="Arial" w:hAnsi="Arial" w:cs="Arial"/>
                <w:sz w:val="16"/>
                <w:szCs w:val="16"/>
              </w:rPr>
              <w:t xml:space="preserve">C4480 C4495 </w:t>
            </w:r>
          </w:p>
        </w:tc>
        <w:tc>
          <w:tcPr>
            <w:tcW w:w="376" w:type="pct"/>
          </w:tcPr>
          <w:p w14:paraId="6EDD9BD7" w14:textId="77777777" w:rsidR="003F687C" w:rsidRPr="006D52A9" w:rsidRDefault="003F687C" w:rsidP="003D7D16">
            <w:pPr>
              <w:rPr>
                <w:rFonts w:ascii="Arial" w:hAnsi="Arial" w:cs="Arial"/>
                <w:sz w:val="16"/>
                <w:szCs w:val="16"/>
              </w:rPr>
            </w:pPr>
          </w:p>
        </w:tc>
        <w:tc>
          <w:tcPr>
            <w:tcW w:w="499" w:type="pct"/>
          </w:tcPr>
          <w:p w14:paraId="46B081C3" w14:textId="77777777" w:rsidR="003F687C" w:rsidRPr="006D52A9" w:rsidRDefault="003F687C" w:rsidP="003D7D16">
            <w:pPr>
              <w:rPr>
                <w:rFonts w:ascii="Arial" w:hAnsi="Arial" w:cs="Arial"/>
                <w:sz w:val="16"/>
                <w:szCs w:val="16"/>
              </w:rPr>
            </w:pPr>
            <w:r w:rsidRPr="006D52A9">
              <w:rPr>
                <w:rFonts w:ascii="Arial" w:hAnsi="Arial" w:cs="Arial"/>
                <w:sz w:val="16"/>
                <w:szCs w:val="16"/>
              </w:rPr>
              <w:t>120</w:t>
            </w:r>
          </w:p>
        </w:tc>
        <w:tc>
          <w:tcPr>
            <w:tcW w:w="502" w:type="pct"/>
          </w:tcPr>
          <w:p w14:paraId="7C6EFD03"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14:paraId="6F0FE933" w14:textId="77777777" w:rsidTr="00A91628">
        <w:tblPrEx>
          <w:tblBorders>
            <w:top w:val="single" w:sz="4" w:space="0" w:color="auto"/>
          </w:tblBorders>
        </w:tblPrEx>
        <w:trPr>
          <w:cantSplit/>
          <w:tblCellSpacing w:w="22" w:type="dxa"/>
        </w:trPr>
        <w:tc>
          <w:tcPr>
            <w:tcW w:w="508" w:type="pct"/>
          </w:tcPr>
          <w:p w14:paraId="55A9D307" w14:textId="77777777" w:rsidR="00182472" w:rsidRPr="006D52A9" w:rsidRDefault="00182472" w:rsidP="00182472">
            <w:pPr>
              <w:rPr>
                <w:rFonts w:ascii="Arial" w:hAnsi="Arial" w:cs="Arial"/>
                <w:sz w:val="16"/>
                <w:szCs w:val="16"/>
              </w:rPr>
            </w:pPr>
            <w:r w:rsidRPr="006D52A9">
              <w:rPr>
                <w:rFonts w:ascii="Arial" w:hAnsi="Arial" w:cs="Arial"/>
                <w:sz w:val="16"/>
                <w:szCs w:val="16"/>
              </w:rPr>
              <w:t>Abatacept</w:t>
            </w:r>
          </w:p>
        </w:tc>
        <w:tc>
          <w:tcPr>
            <w:tcW w:w="943" w:type="pct"/>
          </w:tcPr>
          <w:p w14:paraId="6F119E17" w14:textId="77777777" w:rsidR="00182472" w:rsidRPr="006D52A9" w:rsidRDefault="00182472" w:rsidP="00182472">
            <w:pPr>
              <w:rPr>
                <w:rFonts w:ascii="Arial" w:hAnsi="Arial" w:cs="Arial"/>
                <w:sz w:val="16"/>
                <w:szCs w:val="16"/>
              </w:rPr>
            </w:pPr>
            <w:r w:rsidRPr="006D52A9">
              <w:rPr>
                <w:rFonts w:ascii="Arial" w:hAnsi="Arial" w:cs="Arial"/>
                <w:sz w:val="16"/>
                <w:szCs w:val="16"/>
              </w:rPr>
              <w:t>Powder for I.V. infusion 250 mg</w:t>
            </w:r>
          </w:p>
        </w:tc>
        <w:tc>
          <w:tcPr>
            <w:tcW w:w="540" w:type="pct"/>
          </w:tcPr>
          <w:p w14:paraId="11EABD70" w14:textId="77777777" w:rsidR="00182472" w:rsidRPr="006D52A9" w:rsidRDefault="00182472" w:rsidP="00182472">
            <w:pPr>
              <w:rPr>
                <w:rFonts w:ascii="Arial" w:hAnsi="Arial" w:cs="Arial"/>
                <w:sz w:val="16"/>
                <w:szCs w:val="16"/>
              </w:rPr>
            </w:pPr>
            <w:r w:rsidRPr="006D52A9">
              <w:rPr>
                <w:rFonts w:ascii="Arial" w:hAnsi="Arial" w:cs="Arial"/>
                <w:sz w:val="16"/>
                <w:szCs w:val="16"/>
              </w:rPr>
              <w:t>Injection</w:t>
            </w:r>
          </w:p>
        </w:tc>
        <w:tc>
          <w:tcPr>
            <w:tcW w:w="591" w:type="pct"/>
          </w:tcPr>
          <w:p w14:paraId="75722682" w14:textId="77777777" w:rsidR="00182472" w:rsidRPr="006D52A9" w:rsidRDefault="00182472" w:rsidP="00182472">
            <w:pPr>
              <w:rPr>
                <w:rFonts w:ascii="Arial" w:hAnsi="Arial" w:cs="Arial"/>
                <w:sz w:val="16"/>
                <w:szCs w:val="16"/>
              </w:rPr>
            </w:pPr>
            <w:r w:rsidRPr="006D52A9">
              <w:rPr>
                <w:rFonts w:ascii="Arial" w:hAnsi="Arial" w:cs="Arial"/>
                <w:sz w:val="16"/>
                <w:szCs w:val="16"/>
              </w:rPr>
              <w:t>Orencia</w:t>
            </w:r>
          </w:p>
        </w:tc>
        <w:tc>
          <w:tcPr>
            <w:tcW w:w="894" w:type="pct"/>
          </w:tcPr>
          <w:p w14:paraId="373C4B9A" w14:textId="77777777" w:rsidR="00182472" w:rsidRPr="006D52A9" w:rsidRDefault="00182472" w:rsidP="00182472">
            <w:pPr>
              <w:rPr>
                <w:rFonts w:ascii="Arial" w:hAnsi="Arial" w:cs="Arial"/>
                <w:sz w:val="16"/>
                <w:szCs w:val="16"/>
              </w:rPr>
            </w:pPr>
            <w:r w:rsidRPr="006D52A9">
              <w:rPr>
                <w:rFonts w:ascii="Arial" w:hAnsi="Arial" w:cs="Arial"/>
                <w:sz w:val="16"/>
                <w:szCs w:val="16"/>
              </w:rPr>
              <w:t>C8627 C8638 C8655 C8688 C8748 C8759</w:t>
            </w:r>
          </w:p>
        </w:tc>
        <w:tc>
          <w:tcPr>
            <w:tcW w:w="376" w:type="pct"/>
          </w:tcPr>
          <w:p w14:paraId="1F2D2EE2" w14:textId="77777777" w:rsidR="00182472" w:rsidRPr="006D52A9" w:rsidRDefault="00182472" w:rsidP="00182472">
            <w:pPr>
              <w:rPr>
                <w:rFonts w:ascii="Arial" w:hAnsi="Arial" w:cs="Arial"/>
                <w:sz w:val="16"/>
                <w:szCs w:val="16"/>
              </w:rPr>
            </w:pPr>
          </w:p>
        </w:tc>
        <w:tc>
          <w:tcPr>
            <w:tcW w:w="499" w:type="pct"/>
          </w:tcPr>
          <w:p w14:paraId="236C6913" w14:textId="77777777" w:rsidR="00182472" w:rsidRPr="006D52A9" w:rsidRDefault="00182472" w:rsidP="00182472">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107B0A2" w14:textId="77777777" w:rsidR="00182472" w:rsidRPr="006D52A9" w:rsidRDefault="00182472" w:rsidP="00182472">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1D6113A" w14:textId="77777777" w:rsidTr="00A91628">
        <w:tblPrEx>
          <w:tblBorders>
            <w:top w:val="single" w:sz="4" w:space="0" w:color="auto"/>
          </w:tblBorders>
        </w:tblPrEx>
        <w:trPr>
          <w:cantSplit/>
          <w:tblCellSpacing w:w="22" w:type="dxa"/>
        </w:trPr>
        <w:tc>
          <w:tcPr>
            <w:tcW w:w="508" w:type="pct"/>
          </w:tcPr>
          <w:p w14:paraId="50724C20" w14:textId="77777777" w:rsidR="00D63B70" w:rsidRPr="006D52A9" w:rsidRDefault="00D63B70" w:rsidP="00D63B70">
            <w:pPr>
              <w:rPr>
                <w:rFonts w:ascii="Arial" w:hAnsi="Arial" w:cs="Arial"/>
                <w:sz w:val="16"/>
                <w:szCs w:val="16"/>
              </w:rPr>
            </w:pPr>
            <w:r w:rsidRPr="006D52A9">
              <w:rPr>
                <w:rFonts w:ascii="Arial" w:hAnsi="Arial" w:cs="Arial"/>
                <w:sz w:val="16"/>
                <w:szCs w:val="16"/>
              </w:rPr>
              <w:t>Adalimumab</w:t>
            </w:r>
          </w:p>
        </w:tc>
        <w:tc>
          <w:tcPr>
            <w:tcW w:w="943" w:type="pct"/>
          </w:tcPr>
          <w:p w14:paraId="4BDF588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 mg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2549C1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2F434A2" w14:textId="77777777" w:rsidR="00D63B70" w:rsidRPr="006D52A9" w:rsidRDefault="00D63B70" w:rsidP="00D63B70">
            <w:pPr>
              <w:rPr>
                <w:rFonts w:ascii="Arial" w:hAnsi="Arial" w:cs="Arial"/>
                <w:sz w:val="16"/>
                <w:szCs w:val="16"/>
              </w:rPr>
            </w:pPr>
            <w:r w:rsidRPr="006D52A9">
              <w:rPr>
                <w:rFonts w:ascii="Arial" w:hAnsi="Arial" w:cs="Arial"/>
                <w:sz w:val="16"/>
                <w:szCs w:val="16"/>
              </w:rPr>
              <w:t>Humira</w:t>
            </w:r>
          </w:p>
        </w:tc>
        <w:tc>
          <w:tcPr>
            <w:tcW w:w="894" w:type="pct"/>
          </w:tcPr>
          <w:p w14:paraId="3D93F960" w14:textId="77777777" w:rsidR="00D63B70" w:rsidRPr="006D52A9" w:rsidRDefault="00D63B70" w:rsidP="00D63B70">
            <w:pPr>
              <w:rPr>
                <w:rFonts w:ascii="Arial" w:hAnsi="Arial" w:cs="Arial"/>
                <w:sz w:val="16"/>
                <w:szCs w:val="16"/>
              </w:rPr>
            </w:pPr>
            <w:r w:rsidRPr="006D52A9">
              <w:rPr>
                <w:rFonts w:ascii="Arial" w:hAnsi="Arial" w:cs="Arial"/>
                <w:sz w:val="16"/>
                <w:szCs w:val="16"/>
              </w:rPr>
              <w:t>C9384 C9417 C10582 C10583 C10600 C10619</w:t>
            </w:r>
          </w:p>
        </w:tc>
        <w:tc>
          <w:tcPr>
            <w:tcW w:w="376" w:type="pct"/>
          </w:tcPr>
          <w:p w14:paraId="70D2BF80" w14:textId="77777777" w:rsidR="00D63B70" w:rsidRPr="006D52A9" w:rsidRDefault="00D63B70" w:rsidP="00D63B70">
            <w:pPr>
              <w:rPr>
                <w:rFonts w:ascii="Arial" w:hAnsi="Arial" w:cs="Arial"/>
                <w:sz w:val="16"/>
                <w:szCs w:val="16"/>
              </w:rPr>
            </w:pPr>
          </w:p>
        </w:tc>
        <w:tc>
          <w:tcPr>
            <w:tcW w:w="499" w:type="pct"/>
          </w:tcPr>
          <w:p w14:paraId="6009735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59B4C9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6899CAE2" w14:textId="77777777" w:rsidTr="00A91628">
        <w:tblPrEx>
          <w:tblBorders>
            <w:top w:val="single" w:sz="4" w:space="0" w:color="auto"/>
          </w:tblBorders>
        </w:tblPrEx>
        <w:trPr>
          <w:cantSplit/>
          <w:tblCellSpacing w:w="22" w:type="dxa"/>
        </w:trPr>
        <w:tc>
          <w:tcPr>
            <w:tcW w:w="508" w:type="pct"/>
          </w:tcPr>
          <w:p w14:paraId="5C5FA5C6" w14:textId="77777777" w:rsidR="00D63B70" w:rsidRPr="006D52A9" w:rsidRDefault="00D63B70" w:rsidP="00D63B70">
            <w:pPr>
              <w:keepNext/>
              <w:keepLines/>
              <w:rPr>
                <w:rFonts w:ascii="Arial" w:hAnsi="Arial" w:cs="Arial"/>
                <w:sz w:val="16"/>
                <w:szCs w:val="16"/>
              </w:rPr>
            </w:pPr>
          </w:p>
        </w:tc>
        <w:tc>
          <w:tcPr>
            <w:tcW w:w="943" w:type="pct"/>
          </w:tcPr>
          <w:p w14:paraId="5C67969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 40 mg in 0.8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D09DE47"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w:t>
            </w:r>
          </w:p>
        </w:tc>
        <w:tc>
          <w:tcPr>
            <w:tcW w:w="591" w:type="pct"/>
          </w:tcPr>
          <w:p w14:paraId="4EA10A15"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Humira</w:t>
            </w:r>
          </w:p>
        </w:tc>
        <w:tc>
          <w:tcPr>
            <w:tcW w:w="894" w:type="pct"/>
          </w:tcPr>
          <w:p w14:paraId="130C9BA0"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C9384 C9417 C10582 C10583 C10600 C10619</w:t>
            </w:r>
          </w:p>
        </w:tc>
        <w:tc>
          <w:tcPr>
            <w:tcW w:w="376" w:type="pct"/>
          </w:tcPr>
          <w:p w14:paraId="65BB145A" w14:textId="77777777" w:rsidR="00D63B70" w:rsidRPr="006D52A9" w:rsidRDefault="00D63B70" w:rsidP="00D63B70">
            <w:pPr>
              <w:keepNext/>
              <w:keepLines/>
              <w:rPr>
                <w:rFonts w:ascii="Arial" w:hAnsi="Arial" w:cs="Arial"/>
                <w:sz w:val="16"/>
                <w:szCs w:val="16"/>
              </w:rPr>
            </w:pPr>
          </w:p>
        </w:tc>
        <w:tc>
          <w:tcPr>
            <w:tcW w:w="499" w:type="pct"/>
          </w:tcPr>
          <w:p w14:paraId="5508A89F"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839B321" w14:textId="77777777" w:rsidR="00D63B70" w:rsidRPr="006D52A9" w:rsidRDefault="00D63B70" w:rsidP="00D63B70">
            <w:pPr>
              <w:keepNext/>
              <w:keepLines/>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A963BF4" w14:textId="77777777" w:rsidTr="00A91628">
        <w:tblPrEx>
          <w:tblBorders>
            <w:top w:val="single" w:sz="4" w:space="0" w:color="auto"/>
          </w:tblBorders>
        </w:tblPrEx>
        <w:trPr>
          <w:cantSplit/>
          <w:tblCellSpacing w:w="22" w:type="dxa"/>
        </w:trPr>
        <w:tc>
          <w:tcPr>
            <w:tcW w:w="508" w:type="pct"/>
          </w:tcPr>
          <w:p w14:paraId="6F092E65" w14:textId="77777777" w:rsidR="00D63B70" w:rsidRPr="006D52A9" w:rsidRDefault="00D63B70" w:rsidP="00D63B70">
            <w:pPr>
              <w:rPr>
                <w:rFonts w:ascii="Arial" w:hAnsi="Arial" w:cs="Arial"/>
                <w:sz w:val="16"/>
                <w:szCs w:val="16"/>
              </w:rPr>
            </w:pPr>
          </w:p>
        </w:tc>
        <w:tc>
          <w:tcPr>
            <w:tcW w:w="943" w:type="pct"/>
          </w:tcPr>
          <w:p w14:paraId="4E45C0E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 mg in 0.8 mL pre</w:t>
            </w:r>
            <w:r w:rsidR="0026100E">
              <w:rPr>
                <w:rFonts w:ascii="Arial" w:hAnsi="Arial" w:cs="Arial"/>
                <w:sz w:val="16"/>
                <w:szCs w:val="16"/>
              </w:rPr>
              <w:noBreakHyphen/>
            </w:r>
            <w:r w:rsidRPr="006D52A9">
              <w:rPr>
                <w:rFonts w:ascii="Arial" w:hAnsi="Arial" w:cs="Arial"/>
                <w:sz w:val="16"/>
                <w:szCs w:val="16"/>
              </w:rPr>
              <w:t>filled pen</w:t>
            </w:r>
          </w:p>
        </w:tc>
        <w:tc>
          <w:tcPr>
            <w:tcW w:w="540" w:type="pct"/>
          </w:tcPr>
          <w:p w14:paraId="6506C45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FA66C88" w14:textId="77777777" w:rsidR="00D63B70" w:rsidRPr="006D52A9" w:rsidRDefault="00D63B70" w:rsidP="00D63B70">
            <w:pPr>
              <w:rPr>
                <w:rFonts w:ascii="Arial" w:hAnsi="Arial" w:cs="Arial"/>
                <w:sz w:val="16"/>
                <w:szCs w:val="16"/>
              </w:rPr>
            </w:pPr>
            <w:r w:rsidRPr="006D52A9">
              <w:rPr>
                <w:rFonts w:ascii="Arial" w:hAnsi="Arial" w:cs="Arial"/>
                <w:sz w:val="16"/>
                <w:szCs w:val="16"/>
              </w:rPr>
              <w:t>Humira</w:t>
            </w:r>
          </w:p>
        </w:tc>
        <w:tc>
          <w:tcPr>
            <w:tcW w:w="894" w:type="pct"/>
          </w:tcPr>
          <w:p w14:paraId="3E9E8914" w14:textId="77777777" w:rsidR="00D63B70" w:rsidRPr="006D52A9" w:rsidRDefault="00D63B70" w:rsidP="00D63B70">
            <w:pPr>
              <w:rPr>
                <w:rFonts w:ascii="Arial" w:hAnsi="Arial" w:cs="Arial"/>
                <w:sz w:val="16"/>
                <w:szCs w:val="16"/>
              </w:rPr>
            </w:pPr>
            <w:r w:rsidRPr="006D52A9">
              <w:rPr>
                <w:rFonts w:ascii="Arial" w:hAnsi="Arial" w:cs="Arial"/>
                <w:sz w:val="16"/>
                <w:szCs w:val="16"/>
              </w:rPr>
              <w:t>C9384 C9417 C10582 C10583 C10600 C10619</w:t>
            </w:r>
          </w:p>
        </w:tc>
        <w:tc>
          <w:tcPr>
            <w:tcW w:w="376" w:type="pct"/>
          </w:tcPr>
          <w:p w14:paraId="62FD9EC7" w14:textId="77777777" w:rsidR="00D63B70" w:rsidRPr="006D52A9" w:rsidRDefault="00D63B70" w:rsidP="00D63B70">
            <w:pPr>
              <w:rPr>
                <w:rFonts w:ascii="Arial" w:hAnsi="Arial" w:cs="Arial"/>
                <w:sz w:val="16"/>
                <w:szCs w:val="16"/>
              </w:rPr>
            </w:pPr>
          </w:p>
        </w:tc>
        <w:tc>
          <w:tcPr>
            <w:tcW w:w="499" w:type="pct"/>
          </w:tcPr>
          <w:p w14:paraId="36C1225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A4E581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3D7D16" w:rsidRPr="006D52A9" w14:paraId="2F2F74CC" w14:textId="77777777" w:rsidTr="00A91628">
        <w:tblPrEx>
          <w:tblBorders>
            <w:top w:val="single" w:sz="4" w:space="0" w:color="auto"/>
          </w:tblBorders>
        </w:tblPrEx>
        <w:trPr>
          <w:cantSplit/>
          <w:tblCellSpacing w:w="22" w:type="dxa"/>
        </w:trPr>
        <w:tc>
          <w:tcPr>
            <w:tcW w:w="508" w:type="pct"/>
          </w:tcPr>
          <w:p w14:paraId="1086D211" w14:textId="77777777" w:rsidR="003F687C" w:rsidRPr="006D52A9" w:rsidRDefault="003F687C" w:rsidP="003D7D16">
            <w:pPr>
              <w:rPr>
                <w:rFonts w:ascii="Arial" w:hAnsi="Arial" w:cs="Arial"/>
                <w:sz w:val="16"/>
                <w:szCs w:val="16"/>
              </w:rPr>
            </w:pPr>
            <w:r w:rsidRPr="006D52A9">
              <w:rPr>
                <w:rFonts w:ascii="Arial" w:hAnsi="Arial" w:cs="Arial"/>
                <w:sz w:val="16"/>
                <w:szCs w:val="16"/>
              </w:rPr>
              <w:t>Adefovir</w:t>
            </w:r>
          </w:p>
        </w:tc>
        <w:tc>
          <w:tcPr>
            <w:tcW w:w="943" w:type="pct"/>
          </w:tcPr>
          <w:p w14:paraId="1F358229" w14:textId="77777777" w:rsidR="003F687C" w:rsidRPr="006D52A9" w:rsidRDefault="003F687C" w:rsidP="003D7D16">
            <w:pPr>
              <w:rPr>
                <w:rFonts w:ascii="Arial" w:hAnsi="Arial" w:cs="Arial"/>
                <w:sz w:val="16"/>
                <w:szCs w:val="16"/>
              </w:rPr>
            </w:pPr>
            <w:r w:rsidRPr="006D52A9">
              <w:rPr>
                <w:rFonts w:ascii="Arial" w:hAnsi="Arial" w:cs="Arial"/>
                <w:sz w:val="16"/>
                <w:szCs w:val="16"/>
              </w:rPr>
              <w:t>Tablet containing adefovir dipivoxil 10 mg</w:t>
            </w:r>
          </w:p>
        </w:tc>
        <w:tc>
          <w:tcPr>
            <w:tcW w:w="540" w:type="pct"/>
          </w:tcPr>
          <w:p w14:paraId="62CF2A45" w14:textId="77777777" w:rsidR="003F687C" w:rsidRPr="006D52A9" w:rsidRDefault="003F687C" w:rsidP="003D7D16">
            <w:pPr>
              <w:rPr>
                <w:rFonts w:ascii="Arial" w:hAnsi="Arial" w:cs="Arial"/>
                <w:sz w:val="16"/>
                <w:szCs w:val="16"/>
              </w:rPr>
            </w:pPr>
            <w:r w:rsidRPr="006D52A9">
              <w:rPr>
                <w:rFonts w:ascii="Arial" w:hAnsi="Arial" w:cs="Arial"/>
                <w:sz w:val="16"/>
                <w:szCs w:val="16"/>
              </w:rPr>
              <w:t>Oral</w:t>
            </w:r>
          </w:p>
        </w:tc>
        <w:tc>
          <w:tcPr>
            <w:tcW w:w="591" w:type="pct"/>
          </w:tcPr>
          <w:p w14:paraId="40958EEE" w14:textId="77777777" w:rsidR="003F687C" w:rsidRPr="006D52A9" w:rsidRDefault="003F687C" w:rsidP="003D7D16">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Adefovir</w:t>
            </w:r>
          </w:p>
        </w:tc>
        <w:tc>
          <w:tcPr>
            <w:tcW w:w="894" w:type="pct"/>
          </w:tcPr>
          <w:p w14:paraId="44990F96" w14:textId="77777777" w:rsidR="003F687C" w:rsidRPr="006D52A9" w:rsidRDefault="003F687C" w:rsidP="003D7D16">
            <w:pPr>
              <w:rPr>
                <w:rFonts w:ascii="Arial" w:hAnsi="Arial" w:cs="Arial"/>
                <w:sz w:val="16"/>
                <w:szCs w:val="16"/>
              </w:rPr>
            </w:pPr>
            <w:r w:rsidRPr="006D52A9">
              <w:rPr>
                <w:rFonts w:ascii="Arial" w:hAnsi="Arial" w:cs="Arial"/>
                <w:sz w:val="16"/>
                <w:szCs w:val="16"/>
              </w:rPr>
              <w:t>C4490 C4510</w:t>
            </w:r>
          </w:p>
        </w:tc>
        <w:tc>
          <w:tcPr>
            <w:tcW w:w="376" w:type="pct"/>
          </w:tcPr>
          <w:p w14:paraId="3EF7C023" w14:textId="77777777" w:rsidR="003F687C" w:rsidRPr="006D52A9" w:rsidRDefault="003F687C" w:rsidP="003D7D16">
            <w:pPr>
              <w:rPr>
                <w:rFonts w:ascii="Arial" w:hAnsi="Arial" w:cs="Arial"/>
                <w:sz w:val="16"/>
                <w:szCs w:val="16"/>
              </w:rPr>
            </w:pPr>
          </w:p>
        </w:tc>
        <w:tc>
          <w:tcPr>
            <w:tcW w:w="499" w:type="pct"/>
          </w:tcPr>
          <w:p w14:paraId="4192E5F7" w14:textId="77777777" w:rsidR="003F687C" w:rsidRPr="006D52A9" w:rsidRDefault="003F687C" w:rsidP="003D7D16">
            <w:pPr>
              <w:rPr>
                <w:rFonts w:ascii="Arial" w:hAnsi="Arial" w:cs="Arial"/>
                <w:sz w:val="16"/>
                <w:szCs w:val="16"/>
              </w:rPr>
            </w:pPr>
            <w:r w:rsidRPr="006D52A9">
              <w:rPr>
                <w:rFonts w:ascii="Arial" w:hAnsi="Arial" w:cs="Arial"/>
                <w:sz w:val="16"/>
                <w:szCs w:val="16"/>
              </w:rPr>
              <w:t>60</w:t>
            </w:r>
          </w:p>
        </w:tc>
        <w:tc>
          <w:tcPr>
            <w:tcW w:w="502" w:type="pct"/>
          </w:tcPr>
          <w:p w14:paraId="3B8D1A1C" w14:textId="77777777" w:rsidR="003F687C" w:rsidRPr="006D52A9" w:rsidRDefault="003F687C" w:rsidP="003D7D16">
            <w:pPr>
              <w:rPr>
                <w:rFonts w:ascii="Arial" w:hAnsi="Arial" w:cs="Arial"/>
                <w:sz w:val="16"/>
                <w:szCs w:val="16"/>
              </w:rPr>
            </w:pPr>
            <w:r w:rsidRPr="006D52A9">
              <w:rPr>
                <w:rFonts w:ascii="Arial" w:hAnsi="Arial" w:cs="Arial"/>
                <w:sz w:val="16"/>
                <w:szCs w:val="16"/>
              </w:rPr>
              <w:t>5</w:t>
            </w:r>
          </w:p>
        </w:tc>
      </w:tr>
      <w:tr w:rsidR="003D7D16" w:rsidRPr="006D52A9" w:rsidDel="00CD64E9" w14:paraId="47E665AA" w14:textId="77777777" w:rsidTr="00A91628">
        <w:tblPrEx>
          <w:tblBorders>
            <w:top w:val="single" w:sz="4" w:space="0" w:color="auto"/>
          </w:tblBorders>
        </w:tblPrEx>
        <w:trPr>
          <w:cantSplit/>
          <w:tblCellSpacing w:w="22" w:type="dxa"/>
        </w:trPr>
        <w:tc>
          <w:tcPr>
            <w:tcW w:w="508" w:type="pct"/>
            <w:tcBorders>
              <w:top w:val="nil"/>
              <w:bottom w:val="nil"/>
            </w:tcBorders>
          </w:tcPr>
          <w:p w14:paraId="4AA07AAB"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Alemtuzumab</w:t>
            </w:r>
          </w:p>
        </w:tc>
        <w:tc>
          <w:tcPr>
            <w:tcW w:w="943" w:type="pct"/>
            <w:tcBorders>
              <w:top w:val="nil"/>
              <w:bottom w:val="nil"/>
            </w:tcBorders>
          </w:tcPr>
          <w:p w14:paraId="098ED3AE"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Solution concentrate for I.V. infusion 12 mg in 1.2 mL</w:t>
            </w:r>
          </w:p>
        </w:tc>
        <w:tc>
          <w:tcPr>
            <w:tcW w:w="540" w:type="pct"/>
            <w:tcBorders>
              <w:top w:val="nil"/>
              <w:bottom w:val="nil"/>
            </w:tcBorders>
          </w:tcPr>
          <w:p w14:paraId="475B80B8"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Injection</w:t>
            </w:r>
          </w:p>
        </w:tc>
        <w:tc>
          <w:tcPr>
            <w:tcW w:w="591" w:type="pct"/>
            <w:tcBorders>
              <w:top w:val="nil"/>
              <w:bottom w:val="nil"/>
            </w:tcBorders>
          </w:tcPr>
          <w:p w14:paraId="1C65E9C3"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Lemtrada</w:t>
            </w:r>
          </w:p>
        </w:tc>
        <w:tc>
          <w:tcPr>
            <w:tcW w:w="894" w:type="pct"/>
            <w:tcBorders>
              <w:top w:val="nil"/>
              <w:bottom w:val="nil"/>
            </w:tcBorders>
          </w:tcPr>
          <w:p w14:paraId="0CC5AC4B"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C6847 C7714 C9589 C9636</w:t>
            </w:r>
          </w:p>
        </w:tc>
        <w:tc>
          <w:tcPr>
            <w:tcW w:w="376" w:type="pct"/>
            <w:tcBorders>
              <w:top w:val="nil"/>
              <w:bottom w:val="nil"/>
            </w:tcBorders>
          </w:tcPr>
          <w:p w14:paraId="166F738B"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P6847 P9589</w:t>
            </w:r>
          </w:p>
        </w:tc>
        <w:tc>
          <w:tcPr>
            <w:tcW w:w="499" w:type="pct"/>
            <w:tcBorders>
              <w:top w:val="nil"/>
              <w:bottom w:val="nil"/>
            </w:tcBorders>
          </w:tcPr>
          <w:p w14:paraId="4CB05B1C"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3</w:t>
            </w:r>
          </w:p>
        </w:tc>
        <w:tc>
          <w:tcPr>
            <w:tcW w:w="502" w:type="pct"/>
            <w:tcBorders>
              <w:top w:val="nil"/>
              <w:bottom w:val="nil"/>
            </w:tcBorders>
          </w:tcPr>
          <w:p w14:paraId="24A4232E"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0</w:t>
            </w:r>
          </w:p>
        </w:tc>
      </w:tr>
      <w:tr w:rsidR="003D7D16" w:rsidRPr="006D52A9" w:rsidDel="00CD64E9" w14:paraId="0452BDC4" w14:textId="77777777" w:rsidTr="00A91628">
        <w:tblPrEx>
          <w:tblBorders>
            <w:top w:val="single" w:sz="4" w:space="0" w:color="auto"/>
          </w:tblBorders>
        </w:tblPrEx>
        <w:trPr>
          <w:cantSplit/>
          <w:tblCellSpacing w:w="22" w:type="dxa"/>
        </w:trPr>
        <w:tc>
          <w:tcPr>
            <w:tcW w:w="508" w:type="pct"/>
            <w:tcBorders>
              <w:top w:val="nil"/>
              <w:bottom w:val="nil"/>
            </w:tcBorders>
          </w:tcPr>
          <w:p w14:paraId="6CD70F4F" w14:textId="77777777" w:rsidR="003F687C" w:rsidRPr="006D52A9" w:rsidDel="00CD64E9" w:rsidRDefault="003F687C" w:rsidP="003D7D16">
            <w:pPr>
              <w:rPr>
                <w:rFonts w:ascii="Arial" w:hAnsi="Arial" w:cs="Arial"/>
                <w:sz w:val="16"/>
                <w:szCs w:val="16"/>
              </w:rPr>
            </w:pPr>
          </w:p>
        </w:tc>
        <w:tc>
          <w:tcPr>
            <w:tcW w:w="943" w:type="pct"/>
            <w:tcBorders>
              <w:top w:val="nil"/>
              <w:bottom w:val="nil"/>
            </w:tcBorders>
          </w:tcPr>
          <w:p w14:paraId="117340C3" w14:textId="77777777" w:rsidR="003F687C" w:rsidRPr="006D52A9" w:rsidDel="00CD64E9" w:rsidRDefault="003F687C" w:rsidP="003D7D16">
            <w:pPr>
              <w:rPr>
                <w:rFonts w:ascii="Arial" w:hAnsi="Arial" w:cs="Arial"/>
                <w:sz w:val="16"/>
                <w:szCs w:val="16"/>
              </w:rPr>
            </w:pPr>
          </w:p>
        </w:tc>
        <w:tc>
          <w:tcPr>
            <w:tcW w:w="540" w:type="pct"/>
            <w:tcBorders>
              <w:top w:val="nil"/>
              <w:bottom w:val="nil"/>
            </w:tcBorders>
          </w:tcPr>
          <w:p w14:paraId="0D884472" w14:textId="77777777" w:rsidR="003F687C" w:rsidRPr="006D52A9" w:rsidDel="00CD64E9" w:rsidRDefault="003F687C" w:rsidP="003D7D16">
            <w:pPr>
              <w:rPr>
                <w:rFonts w:ascii="Arial" w:hAnsi="Arial" w:cs="Arial"/>
                <w:sz w:val="16"/>
                <w:szCs w:val="16"/>
              </w:rPr>
            </w:pPr>
          </w:p>
        </w:tc>
        <w:tc>
          <w:tcPr>
            <w:tcW w:w="591" w:type="pct"/>
            <w:tcBorders>
              <w:top w:val="nil"/>
              <w:bottom w:val="nil"/>
            </w:tcBorders>
          </w:tcPr>
          <w:p w14:paraId="3FB68774" w14:textId="77777777" w:rsidR="003F687C" w:rsidRPr="006D52A9" w:rsidDel="00CD64E9" w:rsidRDefault="003F687C" w:rsidP="003D7D16">
            <w:pPr>
              <w:rPr>
                <w:rFonts w:ascii="Arial" w:hAnsi="Arial" w:cs="Arial"/>
                <w:sz w:val="16"/>
                <w:szCs w:val="16"/>
              </w:rPr>
            </w:pPr>
          </w:p>
        </w:tc>
        <w:tc>
          <w:tcPr>
            <w:tcW w:w="894" w:type="pct"/>
            <w:tcBorders>
              <w:top w:val="nil"/>
              <w:bottom w:val="nil"/>
            </w:tcBorders>
          </w:tcPr>
          <w:p w14:paraId="58775644"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C6847 C7714 C9589 C9636</w:t>
            </w:r>
          </w:p>
        </w:tc>
        <w:tc>
          <w:tcPr>
            <w:tcW w:w="376" w:type="pct"/>
            <w:tcBorders>
              <w:top w:val="nil"/>
              <w:bottom w:val="nil"/>
            </w:tcBorders>
          </w:tcPr>
          <w:p w14:paraId="75354278"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P7714 P9636</w:t>
            </w:r>
          </w:p>
        </w:tc>
        <w:tc>
          <w:tcPr>
            <w:tcW w:w="499" w:type="pct"/>
            <w:tcBorders>
              <w:top w:val="nil"/>
              <w:bottom w:val="nil"/>
            </w:tcBorders>
          </w:tcPr>
          <w:p w14:paraId="1743F8A5"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5</w:t>
            </w:r>
          </w:p>
        </w:tc>
        <w:tc>
          <w:tcPr>
            <w:tcW w:w="502" w:type="pct"/>
            <w:tcBorders>
              <w:top w:val="nil"/>
              <w:bottom w:val="nil"/>
            </w:tcBorders>
          </w:tcPr>
          <w:p w14:paraId="25A69FF2" w14:textId="77777777" w:rsidR="003F687C" w:rsidRPr="006D52A9" w:rsidDel="00CD64E9" w:rsidRDefault="003F687C" w:rsidP="003D7D16">
            <w:pPr>
              <w:rPr>
                <w:rFonts w:ascii="Arial" w:hAnsi="Arial" w:cs="Arial"/>
                <w:sz w:val="16"/>
                <w:szCs w:val="16"/>
              </w:rPr>
            </w:pPr>
            <w:r w:rsidRPr="006D52A9">
              <w:rPr>
                <w:rFonts w:ascii="Arial" w:hAnsi="Arial" w:cs="Arial"/>
                <w:sz w:val="16"/>
                <w:szCs w:val="16"/>
              </w:rPr>
              <w:t>0</w:t>
            </w:r>
          </w:p>
        </w:tc>
      </w:tr>
      <w:tr w:rsidR="00D63B70" w:rsidRPr="006D52A9" w:rsidDel="00CD64E9" w14:paraId="4EDAE7E3" w14:textId="77777777" w:rsidTr="00A91628">
        <w:tblPrEx>
          <w:tblBorders>
            <w:top w:val="single" w:sz="4" w:space="0" w:color="auto"/>
          </w:tblBorders>
        </w:tblPrEx>
        <w:trPr>
          <w:cantSplit/>
          <w:tblCellSpacing w:w="22" w:type="dxa"/>
        </w:trPr>
        <w:tc>
          <w:tcPr>
            <w:tcW w:w="508" w:type="pct"/>
            <w:tcBorders>
              <w:top w:val="nil"/>
              <w:bottom w:val="nil"/>
            </w:tcBorders>
          </w:tcPr>
          <w:p w14:paraId="7546BA2D" w14:textId="77777777" w:rsidR="00D63B70" w:rsidRPr="006D52A9" w:rsidDel="00CD64E9" w:rsidRDefault="00D63B70" w:rsidP="00D63B70">
            <w:pPr>
              <w:rPr>
                <w:rFonts w:ascii="Arial" w:hAnsi="Arial" w:cs="Arial"/>
                <w:sz w:val="16"/>
                <w:szCs w:val="16"/>
              </w:rPr>
            </w:pPr>
            <w:r w:rsidRPr="006D52A9">
              <w:rPr>
                <w:rFonts w:ascii="Arial" w:hAnsi="Arial" w:cs="Arial"/>
                <w:sz w:val="16"/>
                <w:szCs w:val="16"/>
              </w:rPr>
              <w:t>Ambrisentan</w:t>
            </w:r>
          </w:p>
        </w:tc>
        <w:tc>
          <w:tcPr>
            <w:tcW w:w="943" w:type="pct"/>
            <w:tcBorders>
              <w:top w:val="nil"/>
              <w:bottom w:val="nil"/>
            </w:tcBorders>
          </w:tcPr>
          <w:p w14:paraId="35615678" w14:textId="77777777" w:rsidR="00D63B70" w:rsidRPr="006D52A9" w:rsidDel="00CD64E9" w:rsidRDefault="00D63B70" w:rsidP="00D63B70">
            <w:pPr>
              <w:rPr>
                <w:rFonts w:ascii="Arial" w:hAnsi="Arial" w:cs="Arial"/>
                <w:sz w:val="16"/>
                <w:szCs w:val="16"/>
              </w:rPr>
            </w:pPr>
            <w:r w:rsidRPr="006D52A9">
              <w:rPr>
                <w:rFonts w:ascii="Arial" w:hAnsi="Arial" w:cs="Arial"/>
                <w:sz w:val="16"/>
                <w:szCs w:val="16"/>
              </w:rPr>
              <w:t>Tablet 5 mg</w:t>
            </w:r>
          </w:p>
        </w:tc>
        <w:tc>
          <w:tcPr>
            <w:tcW w:w="540" w:type="pct"/>
            <w:tcBorders>
              <w:top w:val="nil"/>
              <w:bottom w:val="nil"/>
            </w:tcBorders>
          </w:tcPr>
          <w:p w14:paraId="723F18D3" w14:textId="77777777" w:rsidR="00D63B70" w:rsidRPr="006D52A9" w:rsidDel="00CD64E9" w:rsidRDefault="00D63B70" w:rsidP="00D63B70">
            <w:pPr>
              <w:rPr>
                <w:rFonts w:ascii="Arial" w:hAnsi="Arial" w:cs="Arial"/>
                <w:sz w:val="16"/>
                <w:szCs w:val="16"/>
              </w:rPr>
            </w:pPr>
            <w:r w:rsidRPr="006D52A9">
              <w:rPr>
                <w:rFonts w:ascii="Arial" w:hAnsi="Arial" w:cs="Arial"/>
                <w:sz w:val="16"/>
                <w:szCs w:val="16"/>
              </w:rPr>
              <w:t>Oral</w:t>
            </w:r>
          </w:p>
        </w:tc>
        <w:tc>
          <w:tcPr>
            <w:tcW w:w="591" w:type="pct"/>
            <w:tcBorders>
              <w:top w:val="nil"/>
              <w:bottom w:val="nil"/>
            </w:tcBorders>
          </w:tcPr>
          <w:p w14:paraId="79A851AE" w14:textId="77777777" w:rsidR="00D63B70" w:rsidRPr="006D52A9" w:rsidDel="00CD64E9" w:rsidRDefault="00D63B70" w:rsidP="00D63B70">
            <w:pPr>
              <w:rPr>
                <w:rFonts w:ascii="Arial" w:hAnsi="Arial" w:cs="Arial"/>
                <w:sz w:val="16"/>
                <w:szCs w:val="16"/>
              </w:rPr>
            </w:pPr>
            <w:r w:rsidRPr="006D52A9">
              <w:rPr>
                <w:rFonts w:ascii="Arial" w:hAnsi="Arial" w:cs="Arial"/>
                <w:sz w:val="16"/>
              </w:rPr>
              <w:t>Ambrisentan Mylan</w:t>
            </w:r>
          </w:p>
        </w:tc>
        <w:tc>
          <w:tcPr>
            <w:tcW w:w="894" w:type="pct"/>
            <w:tcBorders>
              <w:top w:val="nil"/>
              <w:bottom w:val="nil"/>
            </w:tcBorders>
          </w:tcPr>
          <w:p w14:paraId="49528A4E"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Borders>
              <w:top w:val="nil"/>
              <w:bottom w:val="nil"/>
            </w:tcBorders>
          </w:tcPr>
          <w:p w14:paraId="7E90A32E" w14:textId="77777777" w:rsidR="00D63B70" w:rsidRPr="006D52A9" w:rsidRDefault="00D63B70" w:rsidP="00D63B70">
            <w:pPr>
              <w:rPr>
                <w:rFonts w:ascii="Arial" w:hAnsi="Arial" w:cs="Arial"/>
                <w:sz w:val="16"/>
                <w:szCs w:val="16"/>
              </w:rPr>
            </w:pPr>
          </w:p>
        </w:tc>
        <w:tc>
          <w:tcPr>
            <w:tcW w:w="499" w:type="pct"/>
            <w:tcBorders>
              <w:top w:val="nil"/>
              <w:bottom w:val="nil"/>
            </w:tcBorders>
          </w:tcPr>
          <w:p w14:paraId="0DD11B8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Borders>
              <w:top w:val="nil"/>
              <w:bottom w:val="nil"/>
            </w:tcBorders>
          </w:tcPr>
          <w:p w14:paraId="2A1A527A"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CD64E9" w14:paraId="14CE759A" w14:textId="77777777" w:rsidTr="00A91628">
        <w:tblPrEx>
          <w:tblBorders>
            <w:top w:val="single" w:sz="4" w:space="0" w:color="auto"/>
          </w:tblBorders>
        </w:tblPrEx>
        <w:trPr>
          <w:cantSplit/>
          <w:tblCellSpacing w:w="22" w:type="dxa"/>
        </w:trPr>
        <w:tc>
          <w:tcPr>
            <w:tcW w:w="508" w:type="pct"/>
            <w:tcBorders>
              <w:top w:val="nil"/>
              <w:bottom w:val="nil"/>
            </w:tcBorders>
          </w:tcPr>
          <w:p w14:paraId="3EFED9F0" w14:textId="77777777" w:rsidR="00D63B70" w:rsidRPr="006D52A9" w:rsidRDefault="00D63B70" w:rsidP="00D63B70">
            <w:pPr>
              <w:rPr>
                <w:rFonts w:ascii="Arial" w:hAnsi="Arial" w:cs="Arial"/>
                <w:sz w:val="16"/>
                <w:szCs w:val="16"/>
              </w:rPr>
            </w:pPr>
          </w:p>
        </w:tc>
        <w:tc>
          <w:tcPr>
            <w:tcW w:w="943" w:type="pct"/>
            <w:tcBorders>
              <w:top w:val="nil"/>
              <w:bottom w:val="nil"/>
            </w:tcBorders>
          </w:tcPr>
          <w:p w14:paraId="51FBAA4C" w14:textId="77777777" w:rsidR="00D63B70" w:rsidRPr="006D52A9" w:rsidRDefault="00D63B70" w:rsidP="00D63B70">
            <w:pPr>
              <w:rPr>
                <w:rFonts w:ascii="Arial" w:hAnsi="Arial" w:cs="Arial"/>
                <w:sz w:val="16"/>
                <w:szCs w:val="16"/>
              </w:rPr>
            </w:pPr>
          </w:p>
        </w:tc>
        <w:tc>
          <w:tcPr>
            <w:tcW w:w="540" w:type="pct"/>
            <w:tcBorders>
              <w:top w:val="nil"/>
              <w:bottom w:val="nil"/>
            </w:tcBorders>
          </w:tcPr>
          <w:p w14:paraId="3EC104D8" w14:textId="77777777" w:rsidR="00D63B70" w:rsidRPr="006D52A9" w:rsidRDefault="00D63B70" w:rsidP="00D63B70">
            <w:pPr>
              <w:rPr>
                <w:rFonts w:ascii="Arial" w:hAnsi="Arial" w:cs="Arial"/>
                <w:sz w:val="16"/>
                <w:szCs w:val="16"/>
              </w:rPr>
            </w:pPr>
          </w:p>
        </w:tc>
        <w:tc>
          <w:tcPr>
            <w:tcW w:w="591" w:type="pct"/>
            <w:tcBorders>
              <w:top w:val="nil"/>
              <w:bottom w:val="nil"/>
            </w:tcBorders>
          </w:tcPr>
          <w:p w14:paraId="0DE3A724" w14:textId="77777777" w:rsidR="00D63B70" w:rsidRPr="006D52A9" w:rsidRDefault="00D63B70" w:rsidP="00D63B70">
            <w:pPr>
              <w:rPr>
                <w:rFonts w:ascii="Arial" w:hAnsi="Arial" w:cs="Arial"/>
                <w:sz w:val="16"/>
              </w:rPr>
            </w:pPr>
            <w:r w:rsidRPr="006D52A9">
              <w:rPr>
                <w:rFonts w:ascii="Arial" w:hAnsi="Arial" w:cs="Arial"/>
                <w:sz w:val="16"/>
              </w:rPr>
              <w:t>Cipla Ambrisentan</w:t>
            </w:r>
          </w:p>
        </w:tc>
        <w:tc>
          <w:tcPr>
            <w:tcW w:w="894" w:type="pct"/>
            <w:tcBorders>
              <w:top w:val="nil"/>
              <w:bottom w:val="nil"/>
            </w:tcBorders>
          </w:tcPr>
          <w:p w14:paraId="718FCD4B"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Borders>
              <w:top w:val="nil"/>
              <w:bottom w:val="nil"/>
            </w:tcBorders>
          </w:tcPr>
          <w:p w14:paraId="34C39F72" w14:textId="77777777" w:rsidR="00D63B70" w:rsidRPr="006D52A9" w:rsidRDefault="00D63B70" w:rsidP="00D63B70">
            <w:pPr>
              <w:rPr>
                <w:rFonts w:ascii="Arial" w:hAnsi="Arial" w:cs="Arial"/>
                <w:sz w:val="16"/>
                <w:szCs w:val="16"/>
              </w:rPr>
            </w:pPr>
          </w:p>
        </w:tc>
        <w:tc>
          <w:tcPr>
            <w:tcW w:w="499" w:type="pct"/>
            <w:tcBorders>
              <w:top w:val="nil"/>
              <w:bottom w:val="nil"/>
            </w:tcBorders>
          </w:tcPr>
          <w:p w14:paraId="4FC8B32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Borders>
              <w:top w:val="nil"/>
              <w:bottom w:val="nil"/>
            </w:tcBorders>
          </w:tcPr>
          <w:p w14:paraId="618DB7B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CD64E9" w14:paraId="132DE94C" w14:textId="77777777" w:rsidTr="00A91628">
        <w:tblPrEx>
          <w:tblBorders>
            <w:top w:val="single" w:sz="4" w:space="0" w:color="auto"/>
          </w:tblBorders>
        </w:tblPrEx>
        <w:trPr>
          <w:cantSplit/>
          <w:tblCellSpacing w:w="22" w:type="dxa"/>
        </w:trPr>
        <w:tc>
          <w:tcPr>
            <w:tcW w:w="508" w:type="pct"/>
            <w:tcBorders>
              <w:top w:val="nil"/>
              <w:bottom w:val="nil"/>
            </w:tcBorders>
          </w:tcPr>
          <w:p w14:paraId="4F82414D" w14:textId="77777777" w:rsidR="00D63B70" w:rsidRPr="006D52A9" w:rsidRDefault="00D63B70" w:rsidP="00D63B70">
            <w:pPr>
              <w:rPr>
                <w:rFonts w:ascii="Arial" w:hAnsi="Arial" w:cs="Arial"/>
                <w:sz w:val="16"/>
              </w:rPr>
            </w:pPr>
          </w:p>
        </w:tc>
        <w:tc>
          <w:tcPr>
            <w:tcW w:w="943" w:type="pct"/>
            <w:tcBorders>
              <w:top w:val="nil"/>
              <w:bottom w:val="nil"/>
            </w:tcBorders>
          </w:tcPr>
          <w:p w14:paraId="53101531" w14:textId="77777777" w:rsidR="00D63B70" w:rsidRPr="006D52A9" w:rsidRDefault="00D63B70" w:rsidP="00D63B70">
            <w:pPr>
              <w:rPr>
                <w:rFonts w:ascii="Arial" w:hAnsi="Arial" w:cs="Arial"/>
                <w:sz w:val="16"/>
              </w:rPr>
            </w:pPr>
          </w:p>
        </w:tc>
        <w:tc>
          <w:tcPr>
            <w:tcW w:w="540" w:type="pct"/>
            <w:tcBorders>
              <w:top w:val="nil"/>
              <w:bottom w:val="nil"/>
            </w:tcBorders>
          </w:tcPr>
          <w:p w14:paraId="2B09DA0F" w14:textId="77777777" w:rsidR="00D63B70" w:rsidRPr="006D52A9" w:rsidRDefault="00D63B70" w:rsidP="00D63B70">
            <w:pPr>
              <w:rPr>
                <w:rFonts w:ascii="Arial" w:hAnsi="Arial" w:cs="Arial"/>
                <w:sz w:val="16"/>
              </w:rPr>
            </w:pPr>
          </w:p>
        </w:tc>
        <w:tc>
          <w:tcPr>
            <w:tcW w:w="591" w:type="pct"/>
            <w:tcBorders>
              <w:top w:val="nil"/>
              <w:bottom w:val="nil"/>
            </w:tcBorders>
          </w:tcPr>
          <w:p w14:paraId="33FF4273" w14:textId="77777777" w:rsidR="00D63B70" w:rsidRPr="006D52A9" w:rsidRDefault="00D63B70" w:rsidP="00D63B70">
            <w:pPr>
              <w:rPr>
                <w:rFonts w:ascii="Arial" w:hAnsi="Arial" w:cs="Arial"/>
                <w:sz w:val="16"/>
              </w:rPr>
            </w:pPr>
            <w:r w:rsidRPr="006D52A9">
              <w:rPr>
                <w:rFonts w:ascii="Arial" w:hAnsi="Arial" w:cs="Arial"/>
                <w:sz w:val="16"/>
              </w:rPr>
              <w:t>PULMORIS</w:t>
            </w:r>
          </w:p>
        </w:tc>
        <w:tc>
          <w:tcPr>
            <w:tcW w:w="894" w:type="pct"/>
            <w:tcBorders>
              <w:top w:val="nil"/>
              <w:bottom w:val="nil"/>
            </w:tcBorders>
          </w:tcPr>
          <w:p w14:paraId="62A4F6D0"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Borders>
              <w:top w:val="nil"/>
              <w:bottom w:val="nil"/>
            </w:tcBorders>
          </w:tcPr>
          <w:p w14:paraId="6D9D7CE0" w14:textId="77777777" w:rsidR="00D63B70" w:rsidRPr="006D52A9" w:rsidRDefault="00D63B70" w:rsidP="00D63B70">
            <w:pPr>
              <w:rPr>
                <w:rFonts w:ascii="Arial" w:hAnsi="Arial" w:cs="Arial"/>
                <w:sz w:val="16"/>
              </w:rPr>
            </w:pPr>
          </w:p>
        </w:tc>
        <w:tc>
          <w:tcPr>
            <w:tcW w:w="499" w:type="pct"/>
            <w:tcBorders>
              <w:top w:val="nil"/>
              <w:bottom w:val="nil"/>
            </w:tcBorders>
          </w:tcPr>
          <w:p w14:paraId="4DCC8C1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Borders>
              <w:top w:val="nil"/>
              <w:bottom w:val="nil"/>
            </w:tcBorders>
          </w:tcPr>
          <w:p w14:paraId="3B2846B9" w14:textId="77777777" w:rsidR="00D63B70" w:rsidRPr="006D52A9" w:rsidRDefault="00D63B70" w:rsidP="00D63B70">
            <w:pPr>
              <w:rPr>
                <w:rFonts w:ascii="Arial" w:hAnsi="Arial" w:cs="Arial"/>
                <w:sz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063FEBF2" w14:textId="77777777" w:rsidTr="00A91628">
        <w:tblPrEx>
          <w:tblBorders>
            <w:top w:val="single" w:sz="4" w:space="0" w:color="auto"/>
          </w:tblBorders>
        </w:tblPrEx>
        <w:trPr>
          <w:cantSplit/>
          <w:tblCellSpacing w:w="22" w:type="dxa"/>
        </w:trPr>
        <w:tc>
          <w:tcPr>
            <w:tcW w:w="508" w:type="pct"/>
          </w:tcPr>
          <w:p w14:paraId="635BC407" w14:textId="77777777" w:rsidR="00D63B70" w:rsidRPr="006D52A9" w:rsidRDefault="00D63B70" w:rsidP="00D63B70">
            <w:pPr>
              <w:rPr>
                <w:rFonts w:ascii="Arial" w:hAnsi="Arial" w:cs="Arial"/>
                <w:sz w:val="16"/>
                <w:szCs w:val="16"/>
              </w:rPr>
            </w:pPr>
          </w:p>
        </w:tc>
        <w:tc>
          <w:tcPr>
            <w:tcW w:w="943" w:type="pct"/>
          </w:tcPr>
          <w:p w14:paraId="527C1BF4" w14:textId="77777777" w:rsidR="00D63B70" w:rsidRPr="006D52A9" w:rsidRDefault="00D63B70" w:rsidP="00D63B70">
            <w:pPr>
              <w:rPr>
                <w:rFonts w:ascii="Arial" w:hAnsi="Arial" w:cs="Arial"/>
                <w:sz w:val="16"/>
                <w:szCs w:val="16"/>
              </w:rPr>
            </w:pPr>
          </w:p>
        </w:tc>
        <w:tc>
          <w:tcPr>
            <w:tcW w:w="540" w:type="pct"/>
          </w:tcPr>
          <w:p w14:paraId="7E49508E" w14:textId="77777777" w:rsidR="00D63B70" w:rsidRPr="006D52A9" w:rsidRDefault="00D63B70" w:rsidP="00D63B70">
            <w:pPr>
              <w:rPr>
                <w:rFonts w:ascii="Arial" w:hAnsi="Arial" w:cs="Arial"/>
                <w:sz w:val="16"/>
                <w:szCs w:val="16"/>
              </w:rPr>
            </w:pPr>
          </w:p>
        </w:tc>
        <w:tc>
          <w:tcPr>
            <w:tcW w:w="591" w:type="pct"/>
          </w:tcPr>
          <w:p w14:paraId="5DA44D86" w14:textId="77777777" w:rsidR="00D63B70" w:rsidRPr="006D52A9" w:rsidRDefault="00D63B70" w:rsidP="00D63B70">
            <w:pPr>
              <w:rPr>
                <w:rFonts w:ascii="Arial" w:hAnsi="Arial" w:cs="Arial"/>
                <w:sz w:val="16"/>
                <w:szCs w:val="16"/>
              </w:rPr>
            </w:pPr>
            <w:r w:rsidRPr="006D52A9">
              <w:rPr>
                <w:rFonts w:ascii="Arial" w:hAnsi="Arial" w:cs="Arial"/>
                <w:sz w:val="16"/>
                <w:szCs w:val="16"/>
              </w:rPr>
              <w:t>Volibris</w:t>
            </w:r>
          </w:p>
        </w:tc>
        <w:tc>
          <w:tcPr>
            <w:tcW w:w="894" w:type="pct"/>
          </w:tcPr>
          <w:p w14:paraId="033EE3ED"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Pr>
          <w:p w14:paraId="1EBAB133" w14:textId="77777777" w:rsidR="00D63B70" w:rsidRPr="006D52A9" w:rsidRDefault="00D63B70" w:rsidP="00D63B70">
            <w:pPr>
              <w:rPr>
                <w:rFonts w:ascii="Arial" w:hAnsi="Arial" w:cs="Arial"/>
                <w:sz w:val="16"/>
                <w:szCs w:val="16"/>
              </w:rPr>
            </w:pPr>
          </w:p>
        </w:tc>
        <w:tc>
          <w:tcPr>
            <w:tcW w:w="499" w:type="pct"/>
          </w:tcPr>
          <w:p w14:paraId="7B2CAA8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B97B67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F6C3C8D" w14:textId="77777777" w:rsidTr="00A91628">
        <w:tblPrEx>
          <w:tblBorders>
            <w:top w:val="single" w:sz="4" w:space="0" w:color="auto"/>
          </w:tblBorders>
        </w:tblPrEx>
        <w:trPr>
          <w:cantSplit/>
          <w:tblCellSpacing w:w="22" w:type="dxa"/>
        </w:trPr>
        <w:tc>
          <w:tcPr>
            <w:tcW w:w="508" w:type="pct"/>
          </w:tcPr>
          <w:p w14:paraId="5D4B4801" w14:textId="77777777" w:rsidR="00D63B70" w:rsidRPr="006D52A9" w:rsidDel="00E12CFB" w:rsidRDefault="00D63B70" w:rsidP="00D63B70">
            <w:pPr>
              <w:rPr>
                <w:rFonts w:ascii="Arial" w:hAnsi="Arial" w:cs="Arial"/>
                <w:sz w:val="16"/>
                <w:szCs w:val="16"/>
              </w:rPr>
            </w:pPr>
          </w:p>
        </w:tc>
        <w:tc>
          <w:tcPr>
            <w:tcW w:w="943" w:type="pct"/>
          </w:tcPr>
          <w:p w14:paraId="2C1624D5" w14:textId="77777777" w:rsidR="00D63B70" w:rsidRPr="006D52A9" w:rsidDel="00E12CFB" w:rsidRDefault="00D63B70" w:rsidP="00D63B70">
            <w:pPr>
              <w:rPr>
                <w:rFonts w:ascii="Arial" w:hAnsi="Arial" w:cs="Arial"/>
                <w:sz w:val="16"/>
                <w:szCs w:val="16"/>
              </w:rPr>
            </w:pPr>
            <w:r w:rsidRPr="006D52A9">
              <w:rPr>
                <w:rFonts w:ascii="Arial" w:hAnsi="Arial" w:cs="Arial"/>
                <w:sz w:val="16"/>
                <w:szCs w:val="16"/>
              </w:rPr>
              <w:t>Tablet 10 mg</w:t>
            </w:r>
          </w:p>
        </w:tc>
        <w:tc>
          <w:tcPr>
            <w:tcW w:w="540" w:type="pct"/>
          </w:tcPr>
          <w:p w14:paraId="688FCA61" w14:textId="77777777" w:rsidR="00D63B70" w:rsidRPr="006D52A9" w:rsidDel="00E12CFB"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F53E49F" w14:textId="77777777" w:rsidR="00D63B70" w:rsidRPr="006D52A9" w:rsidRDefault="00D63B70" w:rsidP="00D63B70">
            <w:pPr>
              <w:rPr>
                <w:rFonts w:ascii="Arial" w:hAnsi="Arial" w:cs="Arial"/>
                <w:sz w:val="16"/>
                <w:szCs w:val="16"/>
              </w:rPr>
            </w:pPr>
            <w:r w:rsidRPr="006D52A9">
              <w:rPr>
                <w:rFonts w:ascii="Arial" w:hAnsi="Arial" w:cs="Arial"/>
                <w:sz w:val="16"/>
              </w:rPr>
              <w:t>Ambrisentan Mylan</w:t>
            </w:r>
          </w:p>
        </w:tc>
        <w:tc>
          <w:tcPr>
            <w:tcW w:w="894" w:type="pct"/>
          </w:tcPr>
          <w:p w14:paraId="00768B7F"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Pr>
          <w:p w14:paraId="5ED2319F" w14:textId="77777777" w:rsidR="00D63B70" w:rsidRPr="006D52A9" w:rsidRDefault="00D63B70" w:rsidP="00D63B70">
            <w:pPr>
              <w:rPr>
                <w:rFonts w:ascii="Arial" w:hAnsi="Arial" w:cs="Arial"/>
                <w:sz w:val="16"/>
                <w:szCs w:val="16"/>
              </w:rPr>
            </w:pPr>
          </w:p>
        </w:tc>
        <w:tc>
          <w:tcPr>
            <w:tcW w:w="499" w:type="pct"/>
          </w:tcPr>
          <w:p w14:paraId="40C67A3A"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94BE3B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56511EDA" w14:textId="77777777" w:rsidTr="00A91628">
        <w:tblPrEx>
          <w:tblBorders>
            <w:top w:val="single" w:sz="4" w:space="0" w:color="auto"/>
          </w:tblBorders>
        </w:tblPrEx>
        <w:trPr>
          <w:cantSplit/>
          <w:tblCellSpacing w:w="22" w:type="dxa"/>
        </w:trPr>
        <w:tc>
          <w:tcPr>
            <w:tcW w:w="508" w:type="pct"/>
          </w:tcPr>
          <w:p w14:paraId="465BA8DE" w14:textId="77777777" w:rsidR="00D63B70" w:rsidRPr="006D52A9" w:rsidDel="00E12CFB" w:rsidRDefault="00D63B70" w:rsidP="00D63B70">
            <w:pPr>
              <w:rPr>
                <w:rFonts w:ascii="Arial" w:hAnsi="Arial" w:cs="Arial"/>
                <w:sz w:val="16"/>
                <w:szCs w:val="16"/>
              </w:rPr>
            </w:pPr>
          </w:p>
        </w:tc>
        <w:tc>
          <w:tcPr>
            <w:tcW w:w="943" w:type="pct"/>
          </w:tcPr>
          <w:p w14:paraId="456A169A" w14:textId="77777777" w:rsidR="00D63B70" w:rsidRPr="006D52A9" w:rsidRDefault="00D63B70" w:rsidP="00D63B70">
            <w:pPr>
              <w:rPr>
                <w:rFonts w:ascii="Arial" w:hAnsi="Arial" w:cs="Arial"/>
                <w:sz w:val="16"/>
                <w:szCs w:val="16"/>
              </w:rPr>
            </w:pPr>
          </w:p>
        </w:tc>
        <w:tc>
          <w:tcPr>
            <w:tcW w:w="540" w:type="pct"/>
          </w:tcPr>
          <w:p w14:paraId="11F1F681" w14:textId="77777777" w:rsidR="00D63B70" w:rsidRPr="006D52A9" w:rsidRDefault="00D63B70" w:rsidP="00D63B70">
            <w:pPr>
              <w:rPr>
                <w:rFonts w:ascii="Arial" w:hAnsi="Arial" w:cs="Arial"/>
                <w:sz w:val="16"/>
                <w:szCs w:val="16"/>
              </w:rPr>
            </w:pPr>
          </w:p>
        </w:tc>
        <w:tc>
          <w:tcPr>
            <w:tcW w:w="591" w:type="pct"/>
          </w:tcPr>
          <w:p w14:paraId="0A8A5D34" w14:textId="77777777" w:rsidR="00D63B70" w:rsidRPr="006D52A9" w:rsidRDefault="00D63B70" w:rsidP="00D63B70">
            <w:pPr>
              <w:rPr>
                <w:rFonts w:ascii="Arial" w:hAnsi="Arial" w:cs="Arial"/>
                <w:sz w:val="16"/>
              </w:rPr>
            </w:pPr>
            <w:r w:rsidRPr="006D52A9">
              <w:rPr>
                <w:rFonts w:ascii="Arial" w:hAnsi="Arial" w:cs="Arial"/>
                <w:sz w:val="16"/>
              </w:rPr>
              <w:t>Cipla Ambrisentan</w:t>
            </w:r>
          </w:p>
        </w:tc>
        <w:tc>
          <w:tcPr>
            <w:tcW w:w="894" w:type="pct"/>
          </w:tcPr>
          <w:p w14:paraId="7926390D"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Pr>
          <w:p w14:paraId="4A67AB85" w14:textId="77777777" w:rsidR="00D63B70" w:rsidRPr="006D52A9" w:rsidRDefault="00D63B70" w:rsidP="00D63B70">
            <w:pPr>
              <w:rPr>
                <w:rFonts w:ascii="Arial" w:hAnsi="Arial" w:cs="Arial"/>
                <w:sz w:val="16"/>
                <w:szCs w:val="16"/>
              </w:rPr>
            </w:pPr>
          </w:p>
        </w:tc>
        <w:tc>
          <w:tcPr>
            <w:tcW w:w="499" w:type="pct"/>
          </w:tcPr>
          <w:p w14:paraId="062BFAA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03B1994"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ACA9783" w14:textId="77777777" w:rsidTr="00A91628">
        <w:tblPrEx>
          <w:tblBorders>
            <w:top w:val="single" w:sz="4" w:space="0" w:color="auto"/>
          </w:tblBorders>
        </w:tblPrEx>
        <w:trPr>
          <w:cantSplit/>
          <w:tblCellSpacing w:w="22" w:type="dxa"/>
        </w:trPr>
        <w:tc>
          <w:tcPr>
            <w:tcW w:w="508" w:type="pct"/>
          </w:tcPr>
          <w:p w14:paraId="0119741B" w14:textId="77777777" w:rsidR="00D63B70" w:rsidRPr="006D52A9" w:rsidDel="00E12CFB" w:rsidRDefault="00D63B70" w:rsidP="00D63B70">
            <w:pPr>
              <w:rPr>
                <w:rFonts w:ascii="Arial" w:hAnsi="Arial" w:cs="Arial"/>
                <w:sz w:val="16"/>
                <w:szCs w:val="16"/>
              </w:rPr>
            </w:pPr>
          </w:p>
        </w:tc>
        <w:tc>
          <w:tcPr>
            <w:tcW w:w="943" w:type="pct"/>
          </w:tcPr>
          <w:p w14:paraId="4887DA4B" w14:textId="77777777" w:rsidR="00D63B70" w:rsidRPr="006D52A9" w:rsidRDefault="00D63B70" w:rsidP="00D63B70">
            <w:pPr>
              <w:rPr>
                <w:rFonts w:ascii="Arial" w:hAnsi="Arial" w:cs="Arial"/>
                <w:sz w:val="16"/>
                <w:szCs w:val="16"/>
              </w:rPr>
            </w:pPr>
          </w:p>
        </w:tc>
        <w:tc>
          <w:tcPr>
            <w:tcW w:w="540" w:type="pct"/>
          </w:tcPr>
          <w:p w14:paraId="1ECE48B7" w14:textId="77777777" w:rsidR="00D63B70" w:rsidRPr="006D52A9" w:rsidRDefault="00D63B70" w:rsidP="00D63B70">
            <w:pPr>
              <w:rPr>
                <w:rFonts w:ascii="Arial" w:hAnsi="Arial" w:cs="Arial"/>
                <w:sz w:val="16"/>
                <w:szCs w:val="16"/>
              </w:rPr>
            </w:pPr>
          </w:p>
        </w:tc>
        <w:tc>
          <w:tcPr>
            <w:tcW w:w="591" w:type="pct"/>
          </w:tcPr>
          <w:p w14:paraId="6AC84EC6" w14:textId="77777777" w:rsidR="00D63B70" w:rsidRPr="006D52A9" w:rsidRDefault="00D63B70" w:rsidP="00D63B70">
            <w:pPr>
              <w:rPr>
                <w:rFonts w:ascii="Arial" w:hAnsi="Arial" w:cs="Arial"/>
                <w:sz w:val="16"/>
              </w:rPr>
            </w:pPr>
            <w:r w:rsidRPr="006D52A9">
              <w:rPr>
                <w:rFonts w:ascii="Arial" w:hAnsi="Arial" w:cs="Arial"/>
                <w:sz w:val="16"/>
              </w:rPr>
              <w:t>PULMORIS</w:t>
            </w:r>
          </w:p>
        </w:tc>
        <w:tc>
          <w:tcPr>
            <w:tcW w:w="894" w:type="pct"/>
          </w:tcPr>
          <w:p w14:paraId="2182E7E9"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Pr>
          <w:p w14:paraId="3607915D" w14:textId="77777777" w:rsidR="00D63B70" w:rsidRPr="006D52A9" w:rsidRDefault="00D63B70" w:rsidP="00D63B70">
            <w:pPr>
              <w:rPr>
                <w:rFonts w:ascii="Arial" w:hAnsi="Arial" w:cs="Arial"/>
                <w:sz w:val="16"/>
              </w:rPr>
            </w:pPr>
          </w:p>
        </w:tc>
        <w:tc>
          <w:tcPr>
            <w:tcW w:w="499" w:type="pct"/>
          </w:tcPr>
          <w:p w14:paraId="5B606DB5"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D5D9930" w14:textId="77777777" w:rsidR="00D63B70" w:rsidRPr="006D52A9" w:rsidRDefault="00D63B70" w:rsidP="00D63B70">
            <w:pPr>
              <w:rPr>
                <w:rFonts w:ascii="Arial" w:hAnsi="Arial" w:cs="Arial"/>
                <w:sz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66114BB8" w14:textId="77777777" w:rsidTr="00A91628">
        <w:tblPrEx>
          <w:tblBorders>
            <w:top w:val="single" w:sz="4" w:space="0" w:color="auto"/>
          </w:tblBorders>
        </w:tblPrEx>
        <w:trPr>
          <w:cantSplit/>
          <w:tblCellSpacing w:w="22" w:type="dxa"/>
        </w:trPr>
        <w:tc>
          <w:tcPr>
            <w:tcW w:w="508" w:type="pct"/>
          </w:tcPr>
          <w:p w14:paraId="39234499" w14:textId="77777777" w:rsidR="00D63B70" w:rsidRPr="006D52A9" w:rsidRDefault="00D63B70" w:rsidP="00D63B70">
            <w:pPr>
              <w:rPr>
                <w:rFonts w:ascii="Arial" w:hAnsi="Arial" w:cs="Arial"/>
                <w:sz w:val="16"/>
                <w:szCs w:val="16"/>
              </w:rPr>
            </w:pPr>
          </w:p>
        </w:tc>
        <w:tc>
          <w:tcPr>
            <w:tcW w:w="943" w:type="pct"/>
          </w:tcPr>
          <w:p w14:paraId="190B6A6A" w14:textId="77777777" w:rsidR="00D63B70" w:rsidRPr="006D52A9" w:rsidRDefault="00D63B70" w:rsidP="00D63B70">
            <w:pPr>
              <w:rPr>
                <w:rFonts w:ascii="Arial" w:hAnsi="Arial" w:cs="Arial"/>
                <w:sz w:val="16"/>
                <w:szCs w:val="16"/>
              </w:rPr>
            </w:pPr>
          </w:p>
        </w:tc>
        <w:tc>
          <w:tcPr>
            <w:tcW w:w="540" w:type="pct"/>
          </w:tcPr>
          <w:p w14:paraId="65FE2D43" w14:textId="77777777" w:rsidR="00D63B70" w:rsidRPr="006D52A9" w:rsidRDefault="00D63B70" w:rsidP="00D63B70">
            <w:pPr>
              <w:rPr>
                <w:rFonts w:ascii="Arial" w:hAnsi="Arial" w:cs="Arial"/>
                <w:sz w:val="16"/>
                <w:szCs w:val="16"/>
              </w:rPr>
            </w:pPr>
          </w:p>
        </w:tc>
        <w:tc>
          <w:tcPr>
            <w:tcW w:w="591" w:type="pct"/>
          </w:tcPr>
          <w:p w14:paraId="631B4B7D" w14:textId="77777777" w:rsidR="00D63B70" w:rsidRPr="006D52A9" w:rsidRDefault="00D63B70" w:rsidP="00D63B70">
            <w:pPr>
              <w:rPr>
                <w:rFonts w:ascii="Arial" w:hAnsi="Arial" w:cs="Arial"/>
                <w:sz w:val="16"/>
                <w:szCs w:val="16"/>
              </w:rPr>
            </w:pPr>
            <w:r w:rsidRPr="006D52A9">
              <w:rPr>
                <w:rFonts w:ascii="Arial" w:hAnsi="Arial" w:cs="Arial"/>
                <w:sz w:val="16"/>
                <w:szCs w:val="16"/>
              </w:rPr>
              <w:t>Volibris</w:t>
            </w:r>
          </w:p>
        </w:tc>
        <w:tc>
          <w:tcPr>
            <w:tcW w:w="894" w:type="pct"/>
          </w:tcPr>
          <w:p w14:paraId="292BE6AF"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C10236 C10285 C11229 C11312 C11313 C11314 C11321 C11354</w:t>
            </w:r>
          </w:p>
        </w:tc>
        <w:tc>
          <w:tcPr>
            <w:tcW w:w="376" w:type="pct"/>
          </w:tcPr>
          <w:p w14:paraId="143D8D1C" w14:textId="77777777" w:rsidR="00D63B70" w:rsidRPr="006D52A9" w:rsidRDefault="00D63B70" w:rsidP="00D63B70">
            <w:pPr>
              <w:rPr>
                <w:rFonts w:ascii="Arial" w:hAnsi="Arial" w:cs="Arial"/>
                <w:sz w:val="16"/>
                <w:szCs w:val="16"/>
              </w:rPr>
            </w:pPr>
          </w:p>
        </w:tc>
        <w:tc>
          <w:tcPr>
            <w:tcW w:w="499" w:type="pct"/>
          </w:tcPr>
          <w:p w14:paraId="185B343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DEF72BA"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B0E9484" w14:textId="77777777" w:rsidTr="00A91628">
        <w:tblPrEx>
          <w:tblBorders>
            <w:top w:val="single" w:sz="4" w:space="0" w:color="auto"/>
          </w:tblBorders>
        </w:tblPrEx>
        <w:trPr>
          <w:cantSplit/>
          <w:tblCellSpacing w:w="22" w:type="dxa"/>
        </w:trPr>
        <w:tc>
          <w:tcPr>
            <w:tcW w:w="508" w:type="pct"/>
            <w:vAlign w:val="center"/>
          </w:tcPr>
          <w:p w14:paraId="4092BF50"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Anakinra</w:t>
            </w:r>
          </w:p>
        </w:tc>
        <w:tc>
          <w:tcPr>
            <w:tcW w:w="943" w:type="pct"/>
            <w:vAlign w:val="center"/>
          </w:tcPr>
          <w:p w14:paraId="58C2485D"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Injection 100 mg in 0.67 mL single use pre</w:t>
            </w:r>
            <w:r w:rsidR="0026100E">
              <w:rPr>
                <w:rFonts w:ascii="Arial" w:eastAsia="Arial" w:hAnsi="Arial" w:cs="Arial"/>
                <w:sz w:val="16"/>
                <w:szCs w:val="16"/>
                <w:lang w:eastAsia="zh-CN"/>
              </w:rPr>
              <w:noBreakHyphen/>
            </w:r>
            <w:r w:rsidRPr="006D52A9">
              <w:rPr>
                <w:rFonts w:ascii="Arial" w:eastAsia="Arial" w:hAnsi="Arial" w:cs="Arial"/>
                <w:sz w:val="16"/>
                <w:szCs w:val="16"/>
                <w:lang w:eastAsia="zh-CN"/>
              </w:rPr>
              <w:t>filled syringe</w:t>
            </w:r>
          </w:p>
        </w:tc>
        <w:tc>
          <w:tcPr>
            <w:tcW w:w="540" w:type="pct"/>
            <w:vAlign w:val="center"/>
          </w:tcPr>
          <w:p w14:paraId="305EEBA2"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Injection</w:t>
            </w:r>
          </w:p>
        </w:tc>
        <w:tc>
          <w:tcPr>
            <w:tcW w:w="591" w:type="pct"/>
            <w:vAlign w:val="center"/>
          </w:tcPr>
          <w:p w14:paraId="44826325"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Kineret</w:t>
            </w:r>
          </w:p>
        </w:tc>
        <w:tc>
          <w:tcPr>
            <w:tcW w:w="894" w:type="pct"/>
            <w:vAlign w:val="center"/>
          </w:tcPr>
          <w:p w14:paraId="59224C3F"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C5450</w:t>
            </w:r>
          </w:p>
        </w:tc>
        <w:tc>
          <w:tcPr>
            <w:tcW w:w="376" w:type="pct"/>
            <w:vAlign w:val="center"/>
          </w:tcPr>
          <w:p w14:paraId="13D3E382" w14:textId="77777777" w:rsidR="00D63B70" w:rsidRPr="006D52A9" w:rsidRDefault="00D63B70" w:rsidP="00D63B70">
            <w:pPr>
              <w:rPr>
                <w:rFonts w:ascii="Arial" w:hAnsi="Arial" w:cs="Arial"/>
                <w:sz w:val="16"/>
                <w:szCs w:val="16"/>
              </w:rPr>
            </w:pPr>
          </w:p>
        </w:tc>
        <w:tc>
          <w:tcPr>
            <w:tcW w:w="499" w:type="pct"/>
            <w:vAlign w:val="center"/>
          </w:tcPr>
          <w:p w14:paraId="42CBA4CE"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28</w:t>
            </w:r>
          </w:p>
        </w:tc>
        <w:tc>
          <w:tcPr>
            <w:tcW w:w="502" w:type="pct"/>
            <w:vAlign w:val="center"/>
          </w:tcPr>
          <w:p w14:paraId="197E3D9E" w14:textId="77777777" w:rsidR="00D63B70" w:rsidRPr="006D52A9" w:rsidRDefault="00D63B70" w:rsidP="00D63B70">
            <w:pPr>
              <w:rPr>
                <w:rFonts w:ascii="Arial" w:hAnsi="Arial" w:cs="Arial"/>
                <w:sz w:val="16"/>
                <w:szCs w:val="16"/>
              </w:rPr>
            </w:pPr>
            <w:r w:rsidRPr="006D52A9">
              <w:rPr>
                <w:rFonts w:ascii="Arial" w:eastAsia="Arial" w:hAnsi="Arial" w:cs="Arial"/>
                <w:sz w:val="16"/>
                <w:szCs w:val="16"/>
                <w:lang w:eastAsia="zh-CN"/>
              </w:rPr>
              <w:t>5</w:t>
            </w:r>
          </w:p>
        </w:tc>
      </w:tr>
      <w:tr w:rsidR="00D63B70" w:rsidRPr="006D52A9" w:rsidDel="00864925" w14:paraId="1EA01290" w14:textId="77777777" w:rsidTr="00A91628">
        <w:tblPrEx>
          <w:tblBorders>
            <w:top w:val="single" w:sz="4" w:space="0" w:color="auto"/>
          </w:tblBorders>
        </w:tblPrEx>
        <w:trPr>
          <w:cantSplit/>
          <w:tblCellSpacing w:w="22" w:type="dxa"/>
        </w:trPr>
        <w:tc>
          <w:tcPr>
            <w:tcW w:w="508" w:type="pct"/>
          </w:tcPr>
          <w:p w14:paraId="196455AF" w14:textId="77777777" w:rsidR="00D63B70" w:rsidRPr="006D52A9" w:rsidDel="00864925" w:rsidRDefault="00D63B70" w:rsidP="00D63B70">
            <w:pPr>
              <w:rPr>
                <w:rFonts w:ascii="Arial" w:eastAsia="Arial" w:hAnsi="Arial" w:cs="Arial"/>
                <w:sz w:val="16"/>
                <w:szCs w:val="16"/>
                <w:lang w:eastAsia="zh-CN"/>
              </w:rPr>
            </w:pPr>
            <w:r w:rsidRPr="006D52A9">
              <w:rPr>
                <w:rFonts w:ascii="Arial" w:hAnsi="Arial" w:cs="Arial"/>
                <w:sz w:val="16"/>
                <w:szCs w:val="16"/>
              </w:rPr>
              <w:lastRenderedPageBreak/>
              <w:t>Apomorphine</w:t>
            </w:r>
          </w:p>
        </w:tc>
        <w:tc>
          <w:tcPr>
            <w:tcW w:w="943" w:type="pct"/>
          </w:tcPr>
          <w:p w14:paraId="3937EA39"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 containing apomorphine hydrochloride hemihydrate 20 mg in 2 mL</w:t>
            </w:r>
          </w:p>
        </w:tc>
        <w:tc>
          <w:tcPr>
            <w:tcW w:w="540" w:type="pct"/>
          </w:tcPr>
          <w:p w14:paraId="312169C5"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9E374F8" w14:textId="77777777" w:rsidR="00D63B70" w:rsidRPr="006D52A9" w:rsidDel="00864925" w:rsidRDefault="00D63B70" w:rsidP="00D63B70">
            <w:pPr>
              <w:keepNext/>
              <w:keepLines/>
              <w:rPr>
                <w:rFonts w:ascii="Arial" w:hAnsi="Arial" w:cs="Arial"/>
                <w:sz w:val="16"/>
                <w:szCs w:val="16"/>
              </w:rPr>
            </w:pPr>
            <w:r w:rsidRPr="006D52A9">
              <w:rPr>
                <w:rFonts w:ascii="Arial" w:hAnsi="Arial" w:cs="Arial"/>
                <w:sz w:val="16"/>
                <w:szCs w:val="16"/>
              </w:rPr>
              <w:t>Movapo</w:t>
            </w:r>
          </w:p>
        </w:tc>
        <w:tc>
          <w:tcPr>
            <w:tcW w:w="894" w:type="pct"/>
          </w:tcPr>
          <w:p w14:paraId="560B3618"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C4833 C9561</w:t>
            </w:r>
          </w:p>
        </w:tc>
        <w:tc>
          <w:tcPr>
            <w:tcW w:w="376" w:type="pct"/>
          </w:tcPr>
          <w:p w14:paraId="0727150F"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015F87DE" w14:textId="77777777" w:rsidR="00D63B70" w:rsidRPr="006D52A9" w:rsidDel="00864925" w:rsidRDefault="00D63B70" w:rsidP="00D63B70">
            <w:pPr>
              <w:rPr>
                <w:rFonts w:ascii="Arial" w:hAnsi="Arial" w:cs="Arial"/>
                <w:sz w:val="16"/>
                <w:szCs w:val="16"/>
              </w:rPr>
            </w:pPr>
            <w:r w:rsidRPr="006D52A9">
              <w:rPr>
                <w:rFonts w:ascii="Arial" w:hAnsi="Arial" w:cs="Arial"/>
                <w:sz w:val="16"/>
              </w:rPr>
              <w:t>360</w:t>
            </w:r>
          </w:p>
        </w:tc>
        <w:tc>
          <w:tcPr>
            <w:tcW w:w="502" w:type="pct"/>
          </w:tcPr>
          <w:p w14:paraId="48EBF197" w14:textId="77777777" w:rsidR="00D63B70" w:rsidRPr="006D52A9" w:rsidDel="00864925" w:rsidRDefault="00D63B70" w:rsidP="00D63B70">
            <w:pPr>
              <w:rPr>
                <w:rFonts w:ascii="Arial" w:hAnsi="Arial" w:cs="Arial"/>
                <w:sz w:val="16"/>
                <w:szCs w:val="16"/>
              </w:rPr>
            </w:pPr>
            <w:r w:rsidRPr="006D52A9">
              <w:rPr>
                <w:rFonts w:ascii="Arial" w:hAnsi="Arial" w:cs="Arial"/>
                <w:sz w:val="16"/>
              </w:rPr>
              <w:t>5</w:t>
            </w:r>
          </w:p>
        </w:tc>
      </w:tr>
      <w:tr w:rsidR="00D63B70" w:rsidRPr="006D52A9" w:rsidDel="00864925" w14:paraId="4A545D7C" w14:textId="77777777" w:rsidTr="00A91628">
        <w:tblPrEx>
          <w:tblBorders>
            <w:top w:val="single" w:sz="4" w:space="0" w:color="auto"/>
          </w:tblBorders>
        </w:tblPrEx>
        <w:trPr>
          <w:cantSplit/>
          <w:tblCellSpacing w:w="22" w:type="dxa"/>
        </w:trPr>
        <w:tc>
          <w:tcPr>
            <w:tcW w:w="508" w:type="pct"/>
          </w:tcPr>
          <w:p w14:paraId="7DF4E20B" w14:textId="77777777" w:rsidR="00D63B70" w:rsidRPr="006D52A9" w:rsidDel="00864925" w:rsidRDefault="00D63B70" w:rsidP="00D63B70">
            <w:pPr>
              <w:rPr>
                <w:rFonts w:ascii="Arial" w:eastAsia="Arial" w:hAnsi="Arial" w:cs="Arial"/>
                <w:sz w:val="16"/>
                <w:szCs w:val="16"/>
                <w:lang w:eastAsia="zh-CN"/>
              </w:rPr>
            </w:pPr>
          </w:p>
        </w:tc>
        <w:tc>
          <w:tcPr>
            <w:tcW w:w="943" w:type="pct"/>
          </w:tcPr>
          <w:p w14:paraId="3690C7FE"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 containing apomorphine hydrochloride hemihydrate 50 mg in 5 mL</w:t>
            </w:r>
          </w:p>
        </w:tc>
        <w:tc>
          <w:tcPr>
            <w:tcW w:w="540" w:type="pct"/>
          </w:tcPr>
          <w:p w14:paraId="6B5528D2"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D0C006B" w14:textId="77777777" w:rsidR="00D63B70" w:rsidRPr="006D52A9" w:rsidDel="00864925" w:rsidRDefault="00D63B70" w:rsidP="00D63B70">
            <w:pPr>
              <w:keepNext/>
              <w:keepLines/>
              <w:rPr>
                <w:rFonts w:ascii="Arial" w:hAnsi="Arial" w:cs="Arial"/>
                <w:sz w:val="16"/>
                <w:szCs w:val="16"/>
              </w:rPr>
            </w:pPr>
            <w:r w:rsidRPr="006D52A9">
              <w:rPr>
                <w:rFonts w:ascii="Arial" w:hAnsi="Arial" w:cs="Arial"/>
                <w:sz w:val="16"/>
                <w:szCs w:val="16"/>
              </w:rPr>
              <w:t>Movapo</w:t>
            </w:r>
          </w:p>
        </w:tc>
        <w:tc>
          <w:tcPr>
            <w:tcW w:w="894" w:type="pct"/>
          </w:tcPr>
          <w:p w14:paraId="1078D3BA"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C4833 C9561</w:t>
            </w:r>
          </w:p>
        </w:tc>
        <w:tc>
          <w:tcPr>
            <w:tcW w:w="376" w:type="pct"/>
          </w:tcPr>
          <w:p w14:paraId="065F4BA8"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10E631A5" w14:textId="77777777" w:rsidR="00D63B70" w:rsidRPr="006D52A9" w:rsidDel="00864925" w:rsidRDefault="00D63B70" w:rsidP="00D63B70">
            <w:pPr>
              <w:rPr>
                <w:rFonts w:ascii="Arial" w:hAnsi="Arial" w:cs="Arial"/>
                <w:sz w:val="16"/>
                <w:szCs w:val="16"/>
              </w:rPr>
            </w:pPr>
            <w:r w:rsidRPr="006D52A9">
              <w:rPr>
                <w:rFonts w:ascii="Arial" w:hAnsi="Arial" w:cs="Arial"/>
                <w:sz w:val="16"/>
              </w:rPr>
              <w:t>180</w:t>
            </w:r>
          </w:p>
        </w:tc>
        <w:tc>
          <w:tcPr>
            <w:tcW w:w="502" w:type="pct"/>
          </w:tcPr>
          <w:p w14:paraId="6A0B3099" w14:textId="77777777" w:rsidR="00D63B70" w:rsidRPr="006D52A9" w:rsidDel="00864925" w:rsidRDefault="00D63B70" w:rsidP="00D63B70">
            <w:pPr>
              <w:rPr>
                <w:rFonts w:ascii="Arial" w:hAnsi="Arial" w:cs="Arial"/>
                <w:sz w:val="16"/>
                <w:szCs w:val="16"/>
              </w:rPr>
            </w:pPr>
            <w:r w:rsidRPr="006D52A9">
              <w:rPr>
                <w:rFonts w:ascii="Arial" w:hAnsi="Arial" w:cs="Arial"/>
                <w:sz w:val="16"/>
              </w:rPr>
              <w:t>5</w:t>
            </w:r>
          </w:p>
        </w:tc>
      </w:tr>
      <w:tr w:rsidR="00D63B70" w:rsidRPr="006D52A9" w:rsidDel="00864925" w14:paraId="20F345EC" w14:textId="77777777" w:rsidTr="00A91628">
        <w:tblPrEx>
          <w:tblBorders>
            <w:top w:val="single" w:sz="4" w:space="0" w:color="auto"/>
          </w:tblBorders>
        </w:tblPrEx>
        <w:trPr>
          <w:cantSplit/>
          <w:tblCellSpacing w:w="22" w:type="dxa"/>
        </w:trPr>
        <w:tc>
          <w:tcPr>
            <w:tcW w:w="508" w:type="pct"/>
          </w:tcPr>
          <w:p w14:paraId="21933A36" w14:textId="77777777" w:rsidR="00D63B70" w:rsidRPr="006D52A9" w:rsidDel="00864925" w:rsidRDefault="00D63B70" w:rsidP="00D63B70">
            <w:pPr>
              <w:rPr>
                <w:rFonts w:ascii="Arial" w:eastAsia="Arial" w:hAnsi="Arial" w:cs="Arial"/>
                <w:sz w:val="16"/>
                <w:szCs w:val="16"/>
                <w:lang w:eastAsia="zh-CN"/>
              </w:rPr>
            </w:pPr>
          </w:p>
        </w:tc>
        <w:tc>
          <w:tcPr>
            <w:tcW w:w="943" w:type="pct"/>
          </w:tcPr>
          <w:p w14:paraId="282CED21"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 containing apomorphine hydrochloride hemihydrate 100 mg in 20 mL</w:t>
            </w:r>
          </w:p>
        </w:tc>
        <w:tc>
          <w:tcPr>
            <w:tcW w:w="540" w:type="pct"/>
          </w:tcPr>
          <w:p w14:paraId="5E91D7B7"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C0D6152" w14:textId="77777777" w:rsidR="00D63B70" w:rsidRPr="006D52A9" w:rsidDel="00864925" w:rsidRDefault="00D63B70" w:rsidP="00D63B70">
            <w:pPr>
              <w:keepNext/>
              <w:keepLines/>
              <w:rPr>
                <w:rFonts w:ascii="Arial" w:hAnsi="Arial" w:cs="Arial"/>
                <w:sz w:val="16"/>
                <w:szCs w:val="16"/>
              </w:rPr>
            </w:pPr>
            <w:r w:rsidRPr="006D52A9">
              <w:rPr>
                <w:rFonts w:ascii="Arial" w:hAnsi="Arial" w:cs="Arial"/>
                <w:sz w:val="16"/>
                <w:szCs w:val="16"/>
              </w:rPr>
              <w:t>Apomine Solution for Infusion</w:t>
            </w:r>
          </w:p>
        </w:tc>
        <w:tc>
          <w:tcPr>
            <w:tcW w:w="894" w:type="pct"/>
          </w:tcPr>
          <w:p w14:paraId="485B5876" w14:textId="77777777" w:rsidR="00D63B70" w:rsidRPr="006D52A9" w:rsidDel="00864925" w:rsidRDefault="00D63B70" w:rsidP="00D63B70">
            <w:pPr>
              <w:rPr>
                <w:rFonts w:ascii="Arial" w:hAnsi="Arial" w:cs="Arial"/>
                <w:sz w:val="16"/>
                <w:szCs w:val="16"/>
              </w:rPr>
            </w:pPr>
            <w:r w:rsidRPr="006D52A9">
              <w:rPr>
                <w:rFonts w:ascii="Arial" w:hAnsi="Arial" w:cs="Arial"/>
                <w:sz w:val="16"/>
                <w:szCs w:val="16"/>
              </w:rPr>
              <w:t>C10830 C10863</w:t>
            </w:r>
          </w:p>
        </w:tc>
        <w:tc>
          <w:tcPr>
            <w:tcW w:w="376" w:type="pct"/>
          </w:tcPr>
          <w:p w14:paraId="735D8041"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650E3233" w14:textId="77777777" w:rsidR="00D63B70" w:rsidRPr="006D52A9" w:rsidDel="00864925" w:rsidRDefault="00D63B70" w:rsidP="00D63B70">
            <w:pPr>
              <w:rPr>
                <w:rFonts w:ascii="Arial" w:hAnsi="Arial" w:cs="Arial"/>
                <w:sz w:val="16"/>
                <w:szCs w:val="16"/>
              </w:rPr>
            </w:pPr>
            <w:r w:rsidRPr="006D52A9">
              <w:rPr>
                <w:rFonts w:ascii="Arial" w:hAnsi="Arial" w:cs="Arial"/>
                <w:sz w:val="16"/>
              </w:rPr>
              <w:t>90</w:t>
            </w:r>
          </w:p>
        </w:tc>
        <w:tc>
          <w:tcPr>
            <w:tcW w:w="502" w:type="pct"/>
          </w:tcPr>
          <w:p w14:paraId="6CA8C0A4" w14:textId="77777777" w:rsidR="00D63B70" w:rsidRPr="006D52A9" w:rsidDel="00864925" w:rsidRDefault="00D63B70" w:rsidP="00D63B70">
            <w:pPr>
              <w:rPr>
                <w:rFonts w:ascii="Arial" w:hAnsi="Arial" w:cs="Arial"/>
                <w:sz w:val="16"/>
                <w:szCs w:val="16"/>
              </w:rPr>
            </w:pPr>
            <w:r w:rsidRPr="006D52A9">
              <w:rPr>
                <w:rFonts w:ascii="Arial" w:hAnsi="Arial" w:cs="Arial"/>
                <w:sz w:val="16"/>
              </w:rPr>
              <w:t>5</w:t>
            </w:r>
          </w:p>
        </w:tc>
      </w:tr>
      <w:tr w:rsidR="00D63B70" w:rsidRPr="006D52A9" w:rsidDel="00864925" w14:paraId="7D2804F9" w14:textId="77777777" w:rsidTr="00A91628">
        <w:tblPrEx>
          <w:tblBorders>
            <w:top w:val="single" w:sz="4" w:space="0" w:color="auto"/>
          </w:tblBorders>
        </w:tblPrEx>
        <w:trPr>
          <w:cantSplit/>
          <w:tblCellSpacing w:w="22" w:type="dxa"/>
        </w:trPr>
        <w:tc>
          <w:tcPr>
            <w:tcW w:w="508" w:type="pct"/>
          </w:tcPr>
          <w:p w14:paraId="2FCE2968" w14:textId="77777777" w:rsidR="00D63B70" w:rsidRPr="006D52A9" w:rsidDel="00864925" w:rsidRDefault="00D63B70" w:rsidP="00D63B70">
            <w:pPr>
              <w:rPr>
                <w:rFonts w:ascii="Arial" w:eastAsia="Arial" w:hAnsi="Arial" w:cs="Arial"/>
                <w:sz w:val="16"/>
                <w:szCs w:val="16"/>
                <w:lang w:eastAsia="zh-CN"/>
              </w:rPr>
            </w:pPr>
          </w:p>
        </w:tc>
        <w:tc>
          <w:tcPr>
            <w:tcW w:w="943" w:type="pct"/>
          </w:tcPr>
          <w:p w14:paraId="131736E0"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subcutaneous infusion containing apomorphine hydrochloride hemihydrate 50 mg in 10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CA0FCC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70E2A1F"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Movapo PFS</w:t>
            </w:r>
          </w:p>
        </w:tc>
        <w:tc>
          <w:tcPr>
            <w:tcW w:w="894" w:type="pct"/>
          </w:tcPr>
          <w:p w14:paraId="0572BA36" w14:textId="77777777" w:rsidR="00D63B70" w:rsidRPr="006D52A9" w:rsidRDefault="00D63B70" w:rsidP="00D63B70">
            <w:pPr>
              <w:rPr>
                <w:rFonts w:ascii="Arial" w:hAnsi="Arial" w:cs="Arial"/>
                <w:sz w:val="16"/>
                <w:szCs w:val="16"/>
              </w:rPr>
            </w:pPr>
            <w:r w:rsidRPr="006D52A9">
              <w:rPr>
                <w:rFonts w:ascii="Arial" w:hAnsi="Arial" w:cs="Arial"/>
                <w:sz w:val="16"/>
                <w:szCs w:val="16"/>
              </w:rPr>
              <w:t>C4833 C9561</w:t>
            </w:r>
          </w:p>
        </w:tc>
        <w:tc>
          <w:tcPr>
            <w:tcW w:w="376" w:type="pct"/>
          </w:tcPr>
          <w:p w14:paraId="1D5E6004"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48964E59" w14:textId="77777777" w:rsidR="00D63B70" w:rsidRPr="006D52A9" w:rsidRDefault="00D63B70" w:rsidP="00D63B70">
            <w:pPr>
              <w:rPr>
                <w:rFonts w:ascii="Arial" w:hAnsi="Arial" w:cs="Arial"/>
                <w:sz w:val="16"/>
                <w:szCs w:val="16"/>
              </w:rPr>
            </w:pPr>
            <w:r w:rsidRPr="006D52A9">
              <w:rPr>
                <w:rFonts w:ascii="Arial" w:hAnsi="Arial" w:cs="Arial"/>
                <w:sz w:val="16"/>
              </w:rPr>
              <w:t>180</w:t>
            </w:r>
          </w:p>
        </w:tc>
        <w:tc>
          <w:tcPr>
            <w:tcW w:w="502" w:type="pct"/>
          </w:tcPr>
          <w:p w14:paraId="49487E74" w14:textId="77777777" w:rsidR="00D63B70" w:rsidRPr="006D52A9" w:rsidRDefault="00D63B70" w:rsidP="00D63B70">
            <w:pPr>
              <w:rPr>
                <w:rFonts w:ascii="Arial" w:hAnsi="Arial" w:cs="Arial"/>
                <w:sz w:val="16"/>
                <w:szCs w:val="16"/>
              </w:rPr>
            </w:pPr>
            <w:r w:rsidRPr="006D52A9">
              <w:rPr>
                <w:rFonts w:ascii="Arial" w:hAnsi="Arial" w:cs="Arial"/>
                <w:sz w:val="16"/>
              </w:rPr>
              <w:t>5</w:t>
            </w:r>
          </w:p>
        </w:tc>
      </w:tr>
      <w:tr w:rsidR="00D63B70" w:rsidRPr="006D52A9" w:rsidDel="00864925" w14:paraId="03F9BD40" w14:textId="77777777" w:rsidTr="00A91628">
        <w:tblPrEx>
          <w:tblBorders>
            <w:top w:val="single" w:sz="4" w:space="0" w:color="auto"/>
          </w:tblBorders>
        </w:tblPrEx>
        <w:trPr>
          <w:cantSplit/>
          <w:tblCellSpacing w:w="22" w:type="dxa"/>
        </w:trPr>
        <w:tc>
          <w:tcPr>
            <w:tcW w:w="508" w:type="pct"/>
          </w:tcPr>
          <w:p w14:paraId="0353C6B0" w14:textId="77777777" w:rsidR="00D63B70" w:rsidRPr="006D52A9" w:rsidDel="00864925" w:rsidRDefault="00D63B70" w:rsidP="00D63B70">
            <w:pPr>
              <w:rPr>
                <w:rFonts w:ascii="Arial" w:eastAsia="Arial" w:hAnsi="Arial" w:cs="Arial"/>
                <w:sz w:val="16"/>
                <w:szCs w:val="16"/>
                <w:lang w:eastAsia="zh-CN"/>
              </w:rPr>
            </w:pPr>
          </w:p>
        </w:tc>
        <w:tc>
          <w:tcPr>
            <w:tcW w:w="943" w:type="pct"/>
          </w:tcPr>
          <w:p w14:paraId="3FF9F5BA"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subcutaneous injection containing apomorphine hydrochloride 30 mg in 3 mL pre</w:t>
            </w:r>
            <w:r w:rsidR="0026100E">
              <w:rPr>
                <w:rFonts w:ascii="Arial" w:hAnsi="Arial" w:cs="Arial"/>
                <w:sz w:val="16"/>
                <w:szCs w:val="16"/>
              </w:rPr>
              <w:noBreakHyphen/>
            </w:r>
            <w:r w:rsidRPr="006D52A9">
              <w:rPr>
                <w:rFonts w:ascii="Arial" w:hAnsi="Arial" w:cs="Arial"/>
                <w:sz w:val="16"/>
                <w:szCs w:val="16"/>
              </w:rPr>
              <w:t>filled pen</w:t>
            </w:r>
          </w:p>
        </w:tc>
        <w:tc>
          <w:tcPr>
            <w:tcW w:w="540" w:type="pct"/>
          </w:tcPr>
          <w:p w14:paraId="7354A55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1587B2A"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Apomine Intermittent</w:t>
            </w:r>
          </w:p>
        </w:tc>
        <w:tc>
          <w:tcPr>
            <w:tcW w:w="894" w:type="pct"/>
          </w:tcPr>
          <w:p w14:paraId="0A79AB57" w14:textId="77777777" w:rsidR="00D63B70" w:rsidRPr="006D52A9" w:rsidRDefault="00D63B70" w:rsidP="00D63B70">
            <w:pPr>
              <w:rPr>
                <w:rFonts w:ascii="Arial" w:hAnsi="Arial" w:cs="Arial"/>
                <w:sz w:val="16"/>
                <w:szCs w:val="16"/>
              </w:rPr>
            </w:pPr>
            <w:r w:rsidRPr="006D52A9">
              <w:rPr>
                <w:rFonts w:ascii="Arial" w:hAnsi="Arial" w:cs="Arial"/>
                <w:sz w:val="16"/>
                <w:szCs w:val="16"/>
              </w:rPr>
              <w:t>C10830 C10863</w:t>
            </w:r>
          </w:p>
        </w:tc>
        <w:tc>
          <w:tcPr>
            <w:tcW w:w="376" w:type="pct"/>
          </w:tcPr>
          <w:p w14:paraId="78AEDB1B"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671884FB" w14:textId="77777777" w:rsidR="00D63B70" w:rsidRPr="006D52A9" w:rsidRDefault="00D63B70" w:rsidP="00D63B70">
            <w:pPr>
              <w:rPr>
                <w:rFonts w:ascii="Arial" w:hAnsi="Arial" w:cs="Arial"/>
                <w:sz w:val="16"/>
                <w:szCs w:val="16"/>
              </w:rPr>
            </w:pPr>
            <w:r w:rsidRPr="006D52A9">
              <w:rPr>
                <w:rFonts w:ascii="Arial" w:hAnsi="Arial" w:cs="Arial"/>
                <w:sz w:val="16"/>
              </w:rPr>
              <w:t>100</w:t>
            </w:r>
          </w:p>
        </w:tc>
        <w:tc>
          <w:tcPr>
            <w:tcW w:w="502" w:type="pct"/>
          </w:tcPr>
          <w:p w14:paraId="32B279DC" w14:textId="77777777" w:rsidR="00D63B70" w:rsidRPr="006D52A9" w:rsidRDefault="00D63B70" w:rsidP="00D63B70">
            <w:pPr>
              <w:rPr>
                <w:rFonts w:ascii="Arial" w:hAnsi="Arial" w:cs="Arial"/>
                <w:sz w:val="16"/>
                <w:szCs w:val="16"/>
              </w:rPr>
            </w:pPr>
            <w:r w:rsidRPr="006D52A9">
              <w:rPr>
                <w:rFonts w:ascii="Arial" w:hAnsi="Arial" w:cs="Arial"/>
                <w:sz w:val="16"/>
              </w:rPr>
              <w:t>5</w:t>
            </w:r>
          </w:p>
        </w:tc>
      </w:tr>
      <w:tr w:rsidR="00D63B70" w:rsidRPr="006D52A9" w:rsidDel="00864925" w14:paraId="2AAEB984" w14:textId="77777777" w:rsidTr="00A91628">
        <w:tblPrEx>
          <w:tblBorders>
            <w:top w:val="single" w:sz="4" w:space="0" w:color="auto"/>
          </w:tblBorders>
        </w:tblPrEx>
        <w:trPr>
          <w:cantSplit/>
          <w:tblCellSpacing w:w="22" w:type="dxa"/>
        </w:trPr>
        <w:tc>
          <w:tcPr>
            <w:tcW w:w="508" w:type="pct"/>
          </w:tcPr>
          <w:p w14:paraId="1EDDE8F0" w14:textId="77777777" w:rsidR="00D63B70" w:rsidRPr="006D52A9" w:rsidDel="00864925" w:rsidRDefault="00D63B70" w:rsidP="00D63B70">
            <w:pPr>
              <w:rPr>
                <w:rFonts w:ascii="Arial" w:eastAsia="Arial" w:hAnsi="Arial" w:cs="Arial"/>
                <w:sz w:val="16"/>
                <w:szCs w:val="16"/>
                <w:lang w:eastAsia="zh-CN"/>
              </w:rPr>
            </w:pPr>
          </w:p>
        </w:tc>
        <w:tc>
          <w:tcPr>
            <w:tcW w:w="943" w:type="pct"/>
          </w:tcPr>
          <w:p w14:paraId="423E0ADE" w14:textId="77777777" w:rsidR="00D63B70" w:rsidRPr="006D52A9" w:rsidRDefault="00D63B70" w:rsidP="00D63B70">
            <w:pPr>
              <w:rPr>
                <w:rFonts w:ascii="Arial" w:hAnsi="Arial" w:cs="Arial"/>
                <w:sz w:val="16"/>
                <w:szCs w:val="16"/>
              </w:rPr>
            </w:pPr>
          </w:p>
        </w:tc>
        <w:tc>
          <w:tcPr>
            <w:tcW w:w="540" w:type="pct"/>
          </w:tcPr>
          <w:p w14:paraId="6133ABA8" w14:textId="77777777" w:rsidR="00D63B70" w:rsidRPr="006D52A9" w:rsidRDefault="00D63B70" w:rsidP="00D63B70">
            <w:pPr>
              <w:rPr>
                <w:rFonts w:ascii="Arial" w:hAnsi="Arial" w:cs="Arial"/>
                <w:sz w:val="16"/>
                <w:szCs w:val="16"/>
              </w:rPr>
            </w:pPr>
          </w:p>
        </w:tc>
        <w:tc>
          <w:tcPr>
            <w:tcW w:w="591" w:type="pct"/>
          </w:tcPr>
          <w:p w14:paraId="164D310A"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Movapo Pen</w:t>
            </w:r>
          </w:p>
        </w:tc>
        <w:tc>
          <w:tcPr>
            <w:tcW w:w="894" w:type="pct"/>
          </w:tcPr>
          <w:p w14:paraId="2A5EFA6A" w14:textId="77777777" w:rsidR="00D63B70" w:rsidRPr="006D52A9" w:rsidRDefault="00D63B70" w:rsidP="00D63B70">
            <w:pPr>
              <w:rPr>
                <w:rFonts w:ascii="Arial" w:hAnsi="Arial" w:cs="Arial"/>
                <w:sz w:val="16"/>
                <w:szCs w:val="16"/>
              </w:rPr>
            </w:pPr>
            <w:r w:rsidRPr="006D52A9">
              <w:rPr>
                <w:rFonts w:ascii="Arial" w:hAnsi="Arial" w:cs="Arial"/>
                <w:sz w:val="16"/>
                <w:szCs w:val="16"/>
              </w:rPr>
              <w:t>C10830 C10863</w:t>
            </w:r>
          </w:p>
        </w:tc>
        <w:tc>
          <w:tcPr>
            <w:tcW w:w="376" w:type="pct"/>
          </w:tcPr>
          <w:p w14:paraId="18B98DAD" w14:textId="77777777" w:rsidR="00D63B70" w:rsidRPr="006D52A9" w:rsidDel="00864925" w:rsidRDefault="00D63B70" w:rsidP="00D63B70">
            <w:pPr>
              <w:rPr>
                <w:rFonts w:ascii="Arial" w:eastAsia="Arial" w:hAnsi="Arial" w:cs="Arial"/>
                <w:sz w:val="16"/>
                <w:szCs w:val="16"/>
                <w:lang w:eastAsia="zh-CN"/>
              </w:rPr>
            </w:pPr>
          </w:p>
        </w:tc>
        <w:tc>
          <w:tcPr>
            <w:tcW w:w="499" w:type="pct"/>
          </w:tcPr>
          <w:p w14:paraId="217CDF2C" w14:textId="77777777" w:rsidR="00D63B70" w:rsidRPr="006D52A9" w:rsidRDefault="00D63B70" w:rsidP="00D63B70">
            <w:pPr>
              <w:rPr>
                <w:rFonts w:ascii="Arial" w:hAnsi="Arial" w:cs="Arial"/>
                <w:sz w:val="16"/>
                <w:szCs w:val="16"/>
              </w:rPr>
            </w:pPr>
            <w:r w:rsidRPr="006D52A9">
              <w:rPr>
                <w:rFonts w:ascii="Arial" w:hAnsi="Arial" w:cs="Arial"/>
                <w:sz w:val="16"/>
              </w:rPr>
              <w:t>100</w:t>
            </w:r>
          </w:p>
        </w:tc>
        <w:tc>
          <w:tcPr>
            <w:tcW w:w="502" w:type="pct"/>
          </w:tcPr>
          <w:p w14:paraId="4E8A4CBC" w14:textId="77777777" w:rsidR="00D63B70" w:rsidRPr="006D52A9" w:rsidRDefault="00D63B70" w:rsidP="00D63B70">
            <w:pPr>
              <w:rPr>
                <w:rFonts w:ascii="Arial" w:hAnsi="Arial" w:cs="Arial"/>
                <w:sz w:val="16"/>
                <w:szCs w:val="16"/>
              </w:rPr>
            </w:pPr>
            <w:r w:rsidRPr="006D52A9">
              <w:rPr>
                <w:rFonts w:ascii="Arial" w:hAnsi="Arial" w:cs="Arial"/>
                <w:sz w:val="16"/>
              </w:rPr>
              <w:t>5</w:t>
            </w:r>
          </w:p>
        </w:tc>
      </w:tr>
      <w:tr w:rsidR="00D63B70" w:rsidRPr="006D52A9" w14:paraId="3B298664" w14:textId="77777777" w:rsidTr="00A91628">
        <w:tblPrEx>
          <w:tblBorders>
            <w:top w:val="single" w:sz="4" w:space="0" w:color="auto"/>
          </w:tblBorders>
        </w:tblPrEx>
        <w:trPr>
          <w:cantSplit/>
          <w:tblCellSpacing w:w="22" w:type="dxa"/>
        </w:trPr>
        <w:tc>
          <w:tcPr>
            <w:tcW w:w="508" w:type="pct"/>
          </w:tcPr>
          <w:p w14:paraId="0C0FC20A"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Atazanavir</w:t>
            </w:r>
          </w:p>
        </w:tc>
        <w:tc>
          <w:tcPr>
            <w:tcW w:w="943" w:type="pct"/>
          </w:tcPr>
          <w:p w14:paraId="5393BF3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Capsule 200 mg (as sulfate)</w:t>
            </w:r>
          </w:p>
        </w:tc>
        <w:tc>
          <w:tcPr>
            <w:tcW w:w="540" w:type="pct"/>
          </w:tcPr>
          <w:p w14:paraId="661C7D8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Oral</w:t>
            </w:r>
          </w:p>
        </w:tc>
        <w:tc>
          <w:tcPr>
            <w:tcW w:w="591" w:type="pct"/>
          </w:tcPr>
          <w:p w14:paraId="6E093D6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Atazanavir Mylan</w:t>
            </w:r>
          </w:p>
        </w:tc>
        <w:tc>
          <w:tcPr>
            <w:tcW w:w="894" w:type="pct"/>
          </w:tcPr>
          <w:p w14:paraId="73854E37"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C4454 C4512</w:t>
            </w:r>
          </w:p>
        </w:tc>
        <w:tc>
          <w:tcPr>
            <w:tcW w:w="376" w:type="pct"/>
          </w:tcPr>
          <w:p w14:paraId="5C167E01" w14:textId="77777777" w:rsidR="00D63B70" w:rsidRPr="006D52A9" w:rsidRDefault="00D63B70" w:rsidP="00D63B70">
            <w:pPr>
              <w:keepNext/>
              <w:rPr>
                <w:rFonts w:ascii="Arial" w:hAnsi="Arial" w:cs="Arial"/>
                <w:sz w:val="16"/>
                <w:szCs w:val="16"/>
              </w:rPr>
            </w:pPr>
          </w:p>
        </w:tc>
        <w:tc>
          <w:tcPr>
            <w:tcW w:w="499" w:type="pct"/>
          </w:tcPr>
          <w:p w14:paraId="65ECC71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120</w:t>
            </w:r>
          </w:p>
        </w:tc>
        <w:tc>
          <w:tcPr>
            <w:tcW w:w="502" w:type="pct"/>
          </w:tcPr>
          <w:p w14:paraId="479F090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6A31BC0A" w14:textId="77777777" w:rsidTr="00A91628">
        <w:tblPrEx>
          <w:tblBorders>
            <w:top w:val="single" w:sz="4" w:space="0" w:color="auto"/>
          </w:tblBorders>
        </w:tblPrEx>
        <w:trPr>
          <w:cantSplit/>
          <w:tblCellSpacing w:w="22" w:type="dxa"/>
        </w:trPr>
        <w:tc>
          <w:tcPr>
            <w:tcW w:w="508" w:type="pct"/>
          </w:tcPr>
          <w:p w14:paraId="43157D0D" w14:textId="77777777" w:rsidR="00D63B70" w:rsidRPr="006D52A9" w:rsidRDefault="00D63B70" w:rsidP="00D63B70">
            <w:pPr>
              <w:keepNext/>
              <w:rPr>
                <w:rFonts w:ascii="Arial" w:hAnsi="Arial" w:cs="Arial"/>
                <w:sz w:val="16"/>
                <w:szCs w:val="16"/>
              </w:rPr>
            </w:pPr>
          </w:p>
        </w:tc>
        <w:tc>
          <w:tcPr>
            <w:tcW w:w="943" w:type="pct"/>
          </w:tcPr>
          <w:p w14:paraId="2A6B2395" w14:textId="77777777" w:rsidR="00D63B70" w:rsidRPr="006D52A9" w:rsidRDefault="00D63B70" w:rsidP="00D63B70">
            <w:pPr>
              <w:keepNext/>
              <w:rPr>
                <w:rFonts w:ascii="Arial" w:hAnsi="Arial" w:cs="Arial"/>
                <w:sz w:val="16"/>
                <w:szCs w:val="16"/>
              </w:rPr>
            </w:pPr>
          </w:p>
        </w:tc>
        <w:tc>
          <w:tcPr>
            <w:tcW w:w="540" w:type="pct"/>
          </w:tcPr>
          <w:p w14:paraId="6B40C605" w14:textId="77777777" w:rsidR="00D63B70" w:rsidRPr="006D52A9" w:rsidRDefault="00D63B70" w:rsidP="00D63B70">
            <w:pPr>
              <w:keepNext/>
              <w:rPr>
                <w:rFonts w:ascii="Arial" w:hAnsi="Arial" w:cs="Arial"/>
                <w:sz w:val="16"/>
                <w:szCs w:val="16"/>
              </w:rPr>
            </w:pPr>
          </w:p>
        </w:tc>
        <w:tc>
          <w:tcPr>
            <w:tcW w:w="591" w:type="pct"/>
          </w:tcPr>
          <w:p w14:paraId="2EF9A52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Reyataz</w:t>
            </w:r>
          </w:p>
        </w:tc>
        <w:tc>
          <w:tcPr>
            <w:tcW w:w="894" w:type="pct"/>
          </w:tcPr>
          <w:p w14:paraId="3A4296D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C4454 C4512</w:t>
            </w:r>
          </w:p>
        </w:tc>
        <w:tc>
          <w:tcPr>
            <w:tcW w:w="376" w:type="pct"/>
          </w:tcPr>
          <w:p w14:paraId="27A0F093" w14:textId="77777777" w:rsidR="00D63B70" w:rsidRPr="006D52A9" w:rsidRDefault="00D63B70" w:rsidP="00D63B70">
            <w:pPr>
              <w:keepNext/>
              <w:rPr>
                <w:rFonts w:ascii="Arial" w:hAnsi="Arial" w:cs="Arial"/>
                <w:sz w:val="16"/>
                <w:szCs w:val="16"/>
              </w:rPr>
            </w:pPr>
          </w:p>
        </w:tc>
        <w:tc>
          <w:tcPr>
            <w:tcW w:w="499" w:type="pct"/>
          </w:tcPr>
          <w:p w14:paraId="6439FBA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120</w:t>
            </w:r>
          </w:p>
        </w:tc>
        <w:tc>
          <w:tcPr>
            <w:tcW w:w="502" w:type="pct"/>
          </w:tcPr>
          <w:p w14:paraId="1F786E72"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72B815C0" w14:textId="77777777" w:rsidTr="00A91628">
        <w:tblPrEx>
          <w:tblBorders>
            <w:top w:val="single" w:sz="4" w:space="0" w:color="auto"/>
          </w:tblBorders>
        </w:tblPrEx>
        <w:trPr>
          <w:cantSplit/>
          <w:tblCellSpacing w:w="22" w:type="dxa"/>
        </w:trPr>
        <w:tc>
          <w:tcPr>
            <w:tcW w:w="508" w:type="pct"/>
          </w:tcPr>
          <w:p w14:paraId="1107C76B" w14:textId="77777777" w:rsidR="00D63B70" w:rsidRPr="006D52A9" w:rsidRDefault="00D63B70" w:rsidP="00D63B70">
            <w:pPr>
              <w:keepNext/>
              <w:rPr>
                <w:rFonts w:ascii="Arial" w:hAnsi="Arial" w:cs="Arial"/>
                <w:sz w:val="16"/>
                <w:szCs w:val="16"/>
              </w:rPr>
            </w:pPr>
          </w:p>
        </w:tc>
        <w:tc>
          <w:tcPr>
            <w:tcW w:w="943" w:type="pct"/>
          </w:tcPr>
          <w:p w14:paraId="727A0A0B" w14:textId="77777777" w:rsidR="00D63B70" w:rsidRPr="006D52A9" w:rsidDel="00E63E2F" w:rsidRDefault="00D63B70" w:rsidP="00D63B70">
            <w:pPr>
              <w:keepNext/>
              <w:rPr>
                <w:rFonts w:ascii="Arial" w:hAnsi="Arial" w:cs="Arial"/>
                <w:sz w:val="16"/>
                <w:szCs w:val="16"/>
              </w:rPr>
            </w:pPr>
            <w:r w:rsidRPr="006D52A9">
              <w:rPr>
                <w:rFonts w:ascii="Arial" w:hAnsi="Arial" w:cs="Arial"/>
                <w:sz w:val="16"/>
                <w:szCs w:val="16"/>
              </w:rPr>
              <w:t>Capsule 300 mg (as sulfate)</w:t>
            </w:r>
          </w:p>
        </w:tc>
        <w:tc>
          <w:tcPr>
            <w:tcW w:w="540" w:type="pct"/>
          </w:tcPr>
          <w:p w14:paraId="4EE02E5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Oral</w:t>
            </w:r>
          </w:p>
        </w:tc>
        <w:tc>
          <w:tcPr>
            <w:tcW w:w="591" w:type="pct"/>
          </w:tcPr>
          <w:p w14:paraId="095EEAF8"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Atazanavir Mylan</w:t>
            </w:r>
          </w:p>
        </w:tc>
        <w:tc>
          <w:tcPr>
            <w:tcW w:w="894" w:type="pct"/>
          </w:tcPr>
          <w:p w14:paraId="1968EF62"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C4454 C4512</w:t>
            </w:r>
          </w:p>
        </w:tc>
        <w:tc>
          <w:tcPr>
            <w:tcW w:w="376" w:type="pct"/>
          </w:tcPr>
          <w:p w14:paraId="69B43A6C" w14:textId="77777777" w:rsidR="00D63B70" w:rsidRPr="006D52A9" w:rsidRDefault="00D63B70" w:rsidP="00D63B70">
            <w:pPr>
              <w:keepNext/>
              <w:rPr>
                <w:rFonts w:ascii="Arial" w:hAnsi="Arial" w:cs="Arial"/>
                <w:sz w:val="16"/>
                <w:szCs w:val="16"/>
              </w:rPr>
            </w:pPr>
          </w:p>
        </w:tc>
        <w:tc>
          <w:tcPr>
            <w:tcW w:w="499" w:type="pct"/>
          </w:tcPr>
          <w:p w14:paraId="42322770"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60</w:t>
            </w:r>
          </w:p>
        </w:tc>
        <w:tc>
          <w:tcPr>
            <w:tcW w:w="502" w:type="pct"/>
          </w:tcPr>
          <w:p w14:paraId="191FC43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321E4C5F" w14:textId="77777777" w:rsidTr="00A91628">
        <w:tblPrEx>
          <w:tblBorders>
            <w:top w:val="single" w:sz="4" w:space="0" w:color="auto"/>
          </w:tblBorders>
        </w:tblPrEx>
        <w:trPr>
          <w:cantSplit/>
          <w:tblCellSpacing w:w="22" w:type="dxa"/>
        </w:trPr>
        <w:tc>
          <w:tcPr>
            <w:tcW w:w="508" w:type="pct"/>
          </w:tcPr>
          <w:p w14:paraId="1B274C6E" w14:textId="77777777" w:rsidR="00D63B70" w:rsidRPr="006D52A9" w:rsidRDefault="00D63B70" w:rsidP="00D63B70">
            <w:pPr>
              <w:rPr>
                <w:rFonts w:ascii="Arial" w:hAnsi="Arial" w:cs="Arial"/>
                <w:sz w:val="16"/>
                <w:szCs w:val="16"/>
              </w:rPr>
            </w:pPr>
          </w:p>
        </w:tc>
        <w:tc>
          <w:tcPr>
            <w:tcW w:w="943" w:type="pct"/>
          </w:tcPr>
          <w:p w14:paraId="4DABDE2B" w14:textId="77777777" w:rsidR="00D63B70" w:rsidRPr="006D52A9" w:rsidRDefault="00D63B70" w:rsidP="00D63B70">
            <w:pPr>
              <w:rPr>
                <w:rFonts w:ascii="Arial" w:hAnsi="Arial" w:cs="Arial"/>
                <w:sz w:val="16"/>
                <w:szCs w:val="16"/>
              </w:rPr>
            </w:pPr>
          </w:p>
        </w:tc>
        <w:tc>
          <w:tcPr>
            <w:tcW w:w="540" w:type="pct"/>
          </w:tcPr>
          <w:p w14:paraId="5576F907" w14:textId="77777777" w:rsidR="00D63B70" w:rsidRPr="006D52A9" w:rsidRDefault="00D63B70" w:rsidP="00D63B70">
            <w:pPr>
              <w:rPr>
                <w:rFonts w:ascii="Arial" w:hAnsi="Arial" w:cs="Arial"/>
                <w:sz w:val="16"/>
                <w:szCs w:val="16"/>
              </w:rPr>
            </w:pPr>
          </w:p>
        </w:tc>
        <w:tc>
          <w:tcPr>
            <w:tcW w:w="591" w:type="pct"/>
          </w:tcPr>
          <w:p w14:paraId="503C607A" w14:textId="77777777" w:rsidR="00D63B70" w:rsidRPr="006D52A9" w:rsidRDefault="00D63B70" w:rsidP="00D63B70">
            <w:pPr>
              <w:rPr>
                <w:rFonts w:ascii="Arial" w:hAnsi="Arial" w:cs="Arial"/>
                <w:sz w:val="16"/>
                <w:szCs w:val="16"/>
              </w:rPr>
            </w:pPr>
            <w:r w:rsidRPr="006D52A9">
              <w:rPr>
                <w:rFonts w:ascii="Arial" w:hAnsi="Arial" w:cs="Arial"/>
                <w:sz w:val="16"/>
                <w:szCs w:val="16"/>
              </w:rPr>
              <w:t>Reyataz</w:t>
            </w:r>
          </w:p>
        </w:tc>
        <w:tc>
          <w:tcPr>
            <w:tcW w:w="894" w:type="pct"/>
          </w:tcPr>
          <w:p w14:paraId="374E077B"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4781C762" w14:textId="77777777" w:rsidR="00D63B70" w:rsidRPr="006D52A9" w:rsidRDefault="00D63B70" w:rsidP="00D63B70">
            <w:pPr>
              <w:rPr>
                <w:rFonts w:ascii="Arial" w:hAnsi="Arial" w:cs="Arial"/>
                <w:sz w:val="16"/>
                <w:szCs w:val="16"/>
              </w:rPr>
            </w:pPr>
          </w:p>
        </w:tc>
        <w:tc>
          <w:tcPr>
            <w:tcW w:w="499" w:type="pct"/>
          </w:tcPr>
          <w:p w14:paraId="58CAE24D"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A588CC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EB2A9F9" w14:textId="77777777" w:rsidTr="00A91628">
        <w:tblPrEx>
          <w:tblBorders>
            <w:top w:val="single" w:sz="4" w:space="0" w:color="auto"/>
          </w:tblBorders>
        </w:tblPrEx>
        <w:trPr>
          <w:cantSplit/>
          <w:tblCellSpacing w:w="22" w:type="dxa"/>
        </w:trPr>
        <w:tc>
          <w:tcPr>
            <w:tcW w:w="508" w:type="pct"/>
          </w:tcPr>
          <w:p w14:paraId="4F649F78"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Atazanavir with cobicistat</w:t>
            </w:r>
          </w:p>
        </w:tc>
        <w:tc>
          <w:tcPr>
            <w:tcW w:w="943" w:type="pct"/>
          </w:tcPr>
          <w:p w14:paraId="624698F5"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300 mg atazanavir and 150 mg cobicistat</w:t>
            </w:r>
          </w:p>
        </w:tc>
        <w:tc>
          <w:tcPr>
            <w:tcW w:w="540" w:type="pct"/>
          </w:tcPr>
          <w:p w14:paraId="4966CB1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78A1444" w14:textId="77777777" w:rsidR="00D63B70" w:rsidRPr="006D52A9" w:rsidRDefault="00D63B70" w:rsidP="00D63B70">
            <w:pPr>
              <w:rPr>
                <w:rFonts w:ascii="Arial" w:hAnsi="Arial" w:cs="Arial"/>
                <w:sz w:val="16"/>
                <w:szCs w:val="16"/>
              </w:rPr>
            </w:pPr>
            <w:r w:rsidRPr="006D52A9">
              <w:rPr>
                <w:rFonts w:ascii="Arial" w:hAnsi="Arial" w:cs="Arial"/>
                <w:sz w:val="16"/>
                <w:szCs w:val="16"/>
              </w:rPr>
              <w:t>Evotaz</w:t>
            </w:r>
          </w:p>
        </w:tc>
        <w:tc>
          <w:tcPr>
            <w:tcW w:w="894" w:type="pct"/>
          </w:tcPr>
          <w:p w14:paraId="57381F30"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1F114DE7" w14:textId="77777777" w:rsidR="00D63B70" w:rsidRPr="006D52A9" w:rsidRDefault="00D63B70" w:rsidP="00D63B70">
            <w:pPr>
              <w:rPr>
                <w:rFonts w:ascii="Arial" w:hAnsi="Arial" w:cs="Arial"/>
                <w:sz w:val="16"/>
                <w:szCs w:val="16"/>
              </w:rPr>
            </w:pPr>
          </w:p>
        </w:tc>
        <w:tc>
          <w:tcPr>
            <w:tcW w:w="499" w:type="pct"/>
          </w:tcPr>
          <w:p w14:paraId="75E66C1C"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3CE5C2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725633CB" w14:textId="77777777" w:rsidTr="00A91628">
        <w:tblPrEx>
          <w:tblBorders>
            <w:top w:val="single" w:sz="4" w:space="0" w:color="auto"/>
          </w:tblBorders>
        </w:tblPrEx>
        <w:trPr>
          <w:cantSplit/>
          <w:tblCellSpacing w:w="22" w:type="dxa"/>
        </w:trPr>
        <w:tc>
          <w:tcPr>
            <w:tcW w:w="508" w:type="pct"/>
          </w:tcPr>
          <w:p w14:paraId="672F92D1"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Azacitidine</w:t>
            </w:r>
          </w:p>
        </w:tc>
        <w:tc>
          <w:tcPr>
            <w:tcW w:w="943" w:type="pct"/>
          </w:tcPr>
          <w:p w14:paraId="2720423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Powder for injection 100 mg</w:t>
            </w:r>
          </w:p>
        </w:tc>
        <w:tc>
          <w:tcPr>
            <w:tcW w:w="540" w:type="pct"/>
          </w:tcPr>
          <w:p w14:paraId="1B989C69"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8B5219D"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Azacitidine Accord</w:t>
            </w:r>
          </w:p>
        </w:tc>
        <w:tc>
          <w:tcPr>
            <w:tcW w:w="894" w:type="pct"/>
          </w:tcPr>
          <w:p w14:paraId="67D76A16"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4E0DB6F7" w14:textId="77777777" w:rsidR="00D63B70" w:rsidRPr="006D52A9" w:rsidDel="004B5277" w:rsidRDefault="00D63B70" w:rsidP="00D63B70">
            <w:pPr>
              <w:rPr>
                <w:rFonts w:ascii="Arial" w:hAnsi="Arial" w:cs="Arial"/>
                <w:sz w:val="16"/>
                <w:szCs w:val="16"/>
              </w:rPr>
            </w:pPr>
          </w:p>
        </w:tc>
        <w:tc>
          <w:tcPr>
            <w:tcW w:w="499" w:type="pct"/>
          </w:tcPr>
          <w:p w14:paraId="7F310DE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7F02207"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2E638D66" w14:textId="77777777" w:rsidTr="00A91628">
        <w:tblPrEx>
          <w:tblBorders>
            <w:top w:val="single" w:sz="4" w:space="0" w:color="auto"/>
          </w:tblBorders>
        </w:tblPrEx>
        <w:trPr>
          <w:cantSplit/>
          <w:tblCellSpacing w:w="22" w:type="dxa"/>
        </w:trPr>
        <w:tc>
          <w:tcPr>
            <w:tcW w:w="508" w:type="pct"/>
          </w:tcPr>
          <w:p w14:paraId="700DD6FF" w14:textId="77777777" w:rsidR="00D63B70" w:rsidRPr="006D52A9" w:rsidRDefault="00D63B70" w:rsidP="00D63B70">
            <w:pPr>
              <w:rPr>
                <w:rFonts w:ascii="Arial" w:hAnsi="Arial" w:cs="Arial"/>
                <w:sz w:val="16"/>
                <w:szCs w:val="16"/>
              </w:rPr>
            </w:pPr>
          </w:p>
        </w:tc>
        <w:tc>
          <w:tcPr>
            <w:tcW w:w="943" w:type="pct"/>
          </w:tcPr>
          <w:p w14:paraId="5DFDF656" w14:textId="77777777" w:rsidR="00D63B70" w:rsidRPr="006D52A9" w:rsidRDefault="00D63B70" w:rsidP="00D63B70">
            <w:pPr>
              <w:rPr>
                <w:rFonts w:ascii="Arial" w:hAnsi="Arial" w:cs="Arial"/>
                <w:sz w:val="16"/>
                <w:szCs w:val="16"/>
              </w:rPr>
            </w:pPr>
          </w:p>
        </w:tc>
        <w:tc>
          <w:tcPr>
            <w:tcW w:w="540" w:type="pct"/>
          </w:tcPr>
          <w:p w14:paraId="72E02B43" w14:textId="77777777" w:rsidR="00D63B70" w:rsidRPr="006D52A9" w:rsidRDefault="00D63B70" w:rsidP="00D63B70">
            <w:pPr>
              <w:rPr>
                <w:rFonts w:ascii="Arial" w:hAnsi="Arial" w:cs="Arial"/>
                <w:sz w:val="16"/>
                <w:szCs w:val="16"/>
              </w:rPr>
            </w:pPr>
          </w:p>
        </w:tc>
        <w:tc>
          <w:tcPr>
            <w:tcW w:w="591" w:type="pct"/>
          </w:tcPr>
          <w:p w14:paraId="1CE8AA5E" w14:textId="77777777" w:rsidR="00D63B70" w:rsidRPr="006D52A9" w:rsidRDefault="00D63B70" w:rsidP="00D63B70">
            <w:pPr>
              <w:rPr>
                <w:rFonts w:ascii="Arial" w:hAnsi="Arial" w:cs="Arial"/>
                <w:sz w:val="16"/>
                <w:szCs w:val="16"/>
              </w:rPr>
            </w:pPr>
            <w:r w:rsidRPr="006D52A9">
              <w:rPr>
                <w:rFonts w:ascii="Arial" w:hAnsi="Arial" w:cs="Arial"/>
                <w:sz w:val="16"/>
                <w:szCs w:val="16"/>
              </w:rPr>
              <w:t>AZACITIDINE DR.REDDY’S</w:t>
            </w:r>
          </w:p>
        </w:tc>
        <w:tc>
          <w:tcPr>
            <w:tcW w:w="894" w:type="pct"/>
          </w:tcPr>
          <w:p w14:paraId="24DCA9E6" w14:textId="77777777" w:rsidR="00D63B70" w:rsidRPr="006D52A9"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406E968D" w14:textId="77777777" w:rsidR="00D63B70" w:rsidRPr="006D52A9" w:rsidDel="004B5277" w:rsidRDefault="00D63B70" w:rsidP="00D63B70">
            <w:pPr>
              <w:rPr>
                <w:rFonts w:ascii="Arial" w:hAnsi="Arial" w:cs="Arial"/>
                <w:sz w:val="16"/>
                <w:szCs w:val="16"/>
              </w:rPr>
            </w:pPr>
          </w:p>
        </w:tc>
        <w:tc>
          <w:tcPr>
            <w:tcW w:w="499" w:type="pct"/>
          </w:tcPr>
          <w:p w14:paraId="6D92695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4DF87A5"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6C704E09" w14:textId="77777777" w:rsidTr="00A91628">
        <w:tblPrEx>
          <w:tblBorders>
            <w:top w:val="single" w:sz="4" w:space="0" w:color="auto"/>
          </w:tblBorders>
        </w:tblPrEx>
        <w:trPr>
          <w:cantSplit/>
          <w:tblCellSpacing w:w="22" w:type="dxa"/>
        </w:trPr>
        <w:tc>
          <w:tcPr>
            <w:tcW w:w="508" w:type="pct"/>
          </w:tcPr>
          <w:p w14:paraId="3C344E55" w14:textId="77777777" w:rsidR="00D63B70" w:rsidRPr="006D52A9" w:rsidRDefault="00D63B70" w:rsidP="00D63B70">
            <w:pPr>
              <w:rPr>
                <w:rFonts w:ascii="Arial" w:hAnsi="Arial" w:cs="Arial"/>
                <w:sz w:val="16"/>
                <w:szCs w:val="16"/>
              </w:rPr>
            </w:pPr>
          </w:p>
        </w:tc>
        <w:tc>
          <w:tcPr>
            <w:tcW w:w="943" w:type="pct"/>
          </w:tcPr>
          <w:p w14:paraId="3DADE946" w14:textId="77777777" w:rsidR="00D63B70" w:rsidRPr="006D52A9" w:rsidRDefault="00D63B70" w:rsidP="00D63B70">
            <w:pPr>
              <w:rPr>
                <w:rFonts w:ascii="Arial" w:hAnsi="Arial" w:cs="Arial"/>
                <w:sz w:val="16"/>
                <w:szCs w:val="16"/>
              </w:rPr>
            </w:pPr>
          </w:p>
        </w:tc>
        <w:tc>
          <w:tcPr>
            <w:tcW w:w="540" w:type="pct"/>
          </w:tcPr>
          <w:p w14:paraId="53DAE677" w14:textId="77777777" w:rsidR="00D63B70" w:rsidRPr="006D52A9" w:rsidRDefault="00D63B70" w:rsidP="00D63B70">
            <w:pPr>
              <w:rPr>
                <w:rFonts w:ascii="Arial" w:hAnsi="Arial" w:cs="Arial"/>
                <w:sz w:val="16"/>
                <w:szCs w:val="16"/>
              </w:rPr>
            </w:pPr>
          </w:p>
        </w:tc>
        <w:tc>
          <w:tcPr>
            <w:tcW w:w="591" w:type="pct"/>
          </w:tcPr>
          <w:p w14:paraId="0FC83A60" w14:textId="77777777" w:rsidR="00D63B70" w:rsidRPr="006D52A9" w:rsidRDefault="00D63B70" w:rsidP="00D63B70">
            <w:pPr>
              <w:rPr>
                <w:rFonts w:ascii="Arial" w:hAnsi="Arial" w:cs="Arial"/>
                <w:sz w:val="16"/>
                <w:szCs w:val="16"/>
              </w:rPr>
            </w:pPr>
            <w:r w:rsidRPr="006D52A9">
              <w:rPr>
                <w:rFonts w:ascii="Arial" w:hAnsi="Arial" w:cs="Arial"/>
                <w:sz w:val="16"/>
                <w:szCs w:val="16"/>
              </w:rPr>
              <w:t>Azacitidine Juno</w:t>
            </w:r>
          </w:p>
        </w:tc>
        <w:tc>
          <w:tcPr>
            <w:tcW w:w="894" w:type="pct"/>
          </w:tcPr>
          <w:p w14:paraId="0F7431DF" w14:textId="77777777" w:rsidR="00D63B70" w:rsidRPr="006D52A9"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77A9E5F1" w14:textId="77777777" w:rsidR="00D63B70" w:rsidRPr="006D52A9" w:rsidDel="004B5277" w:rsidRDefault="00D63B70" w:rsidP="00D63B70">
            <w:pPr>
              <w:rPr>
                <w:rFonts w:ascii="Arial" w:hAnsi="Arial" w:cs="Arial"/>
                <w:sz w:val="16"/>
                <w:szCs w:val="16"/>
              </w:rPr>
            </w:pPr>
          </w:p>
        </w:tc>
        <w:tc>
          <w:tcPr>
            <w:tcW w:w="499" w:type="pct"/>
          </w:tcPr>
          <w:p w14:paraId="4BE735A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0021F1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0E6A45BD" w14:textId="77777777" w:rsidTr="00A91628">
        <w:tblPrEx>
          <w:tblBorders>
            <w:top w:val="single" w:sz="4" w:space="0" w:color="auto"/>
          </w:tblBorders>
        </w:tblPrEx>
        <w:trPr>
          <w:cantSplit/>
          <w:tblCellSpacing w:w="22" w:type="dxa"/>
        </w:trPr>
        <w:tc>
          <w:tcPr>
            <w:tcW w:w="508" w:type="pct"/>
          </w:tcPr>
          <w:p w14:paraId="2B6E9972" w14:textId="77777777" w:rsidR="00D63B70" w:rsidRPr="006D52A9" w:rsidRDefault="00D63B70" w:rsidP="00D63B70">
            <w:pPr>
              <w:rPr>
                <w:rFonts w:ascii="Arial" w:hAnsi="Arial" w:cs="Arial"/>
                <w:sz w:val="16"/>
                <w:szCs w:val="16"/>
              </w:rPr>
            </w:pPr>
          </w:p>
        </w:tc>
        <w:tc>
          <w:tcPr>
            <w:tcW w:w="943" w:type="pct"/>
          </w:tcPr>
          <w:p w14:paraId="4D017A83" w14:textId="77777777" w:rsidR="00D63B70" w:rsidRPr="006D52A9" w:rsidRDefault="00D63B70" w:rsidP="00D63B70">
            <w:pPr>
              <w:rPr>
                <w:rFonts w:ascii="Arial" w:hAnsi="Arial" w:cs="Arial"/>
                <w:sz w:val="16"/>
                <w:szCs w:val="16"/>
              </w:rPr>
            </w:pPr>
          </w:p>
        </w:tc>
        <w:tc>
          <w:tcPr>
            <w:tcW w:w="540" w:type="pct"/>
          </w:tcPr>
          <w:p w14:paraId="4CC5D419" w14:textId="77777777" w:rsidR="00D63B70" w:rsidRPr="006D52A9" w:rsidRDefault="00D63B70" w:rsidP="00D63B70">
            <w:pPr>
              <w:rPr>
                <w:rFonts w:ascii="Arial" w:hAnsi="Arial" w:cs="Arial"/>
                <w:sz w:val="16"/>
                <w:szCs w:val="16"/>
              </w:rPr>
            </w:pPr>
          </w:p>
        </w:tc>
        <w:tc>
          <w:tcPr>
            <w:tcW w:w="591" w:type="pct"/>
          </w:tcPr>
          <w:p w14:paraId="5C669B1F" w14:textId="77777777" w:rsidR="00D63B70" w:rsidRPr="006D52A9" w:rsidRDefault="00D63B70" w:rsidP="00D63B70">
            <w:pPr>
              <w:rPr>
                <w:rFonts w:ascii="Arial" w:hAnsi="Arial" w:cs="Arial"/>
                <w:sz w:val="16"/>
                <w:szCs w:val="16"/>
              </w:rPr>
            </w:pPr>
            <w:r w:rsidRPr="006D52A9">
              <w:rPr>
                <w:rFonts w:ascii="Arial" w:hAnsi="Arial" w:cs="Arial"/>
                <w:sz w:val="16"/>
                <w:szCs w:val="16"/>
              </w:rPr>
              <w:t>Azacitidine</w:t>
            </w:r>
            <w:r w:rsidR="0026100E">
              <w:rPr>
                <w:rFonts w:ascii="Arial" w:hAnsi="Arial" w:cs="Arial"/>
                <w:sz w:val="16"/>
                <w:szCs w:val="16"/>
              </w:rPr>
              <w:noBreakHyphen/>
            </w:r>
            <w:r w:rsidRPr="006D52A9">
              <w:rPr>
                <w:rFonts w:ascii="Arial" w:hAnsi="Arial" w:cs="Arial"/>
                <w:sz w:val="16"/>
                <w:szCs w:val="16"/>
              </w:rPr>
              <w:t>Teva</w:t>
            </w:r>
          </w:p>
        </w:tc>
        <w:tc>
          <w:tcPr>
            <w:tcW w:w="894" w:type="pct"/>
          </w:tcPr>
          <w:p w14:paraId="6759DE82" w14:textId="77777777" w:rsidR="00D63B70" w:rsidRPr="006D52A9"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7DBA10CB" w14:textId="77777777" w:rsidR="00D63B70" w:rsidRPr="006D52A9" w:rsidDel="004B5277" w:rsidRDefault="00D63B70" w:rsidP="00D63B70">
            <w:pPr>
              <w:rPr>
                <w:rFonts w:ascii="Arial" w:hAnsi="Arial" w:cs="Arial"/>
                <w:sz w:val="16"/>
                <w:szCs w:val="16"/>
              </w:rPr>
            </w:pPr>
          </w:p>
        </w:tc>
        <w:tc>
          <w:tcPr>
            <w:tcW w:w="499" w:type="pct"/>
          </w:tcPr>
          <w:p w14:paraId="6623275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DA92E83"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1BF307D2" w14:textId="77777777" w:rsidTr="00A91628">
        <w:tblPrEx>
          <w:tblBorders>
            <w:top w:val="single" w:sz="4" w:space="0" w:color="auto"/>
          </w:tblBorders>
        </w:tblPrEx>
        <w:trPr>
          <w:cantSplit/>
          <w:tblCellSpacing w:w="22" w:type="dxa"/>
        </w:trPr>
        <w:tc>
          <w:tcPr>
            <w:tcW w:w="508" w:type="pct"/>
          </w:tcPr>
          <w:p w14:paraId="1E0217BD" w14:textId="77777777" w:rsidR="00D63B70" w:rsidRPr="006D52A9" w:rsidDel="004B5277" w:rsidRDefault="00D63B70" w:rsidP="00D63B70">
            <w:pPr>
              <w:rPr>
                <w:rFonts w:ascii="Arial" w:hAnsi="Arial" w:cs="Arial"/>
                <w:sz w:val="16"/>
                <w:szCs w:val="16"/>
              </w:rPr>
            </w:pPr>
          </w:p>
        </w:tc>
        <w:tc>
          <w:tcPr>
            <w:tcW w:w="943" w:type="pct"/>
          </w:tcPr>
          <w:p w14:paraId="51556A5A" w14:textId="77777777" w:rsidR="00D63B70" w:rsidRPr="006D52A9" w:rsidDel="004B5277" w:rsidRDefault="00D63B70" w:rsidP="00D63B70">
            <w:pPr>
              <w:rPr>
                <w:rFonts w:ascii="Arial" w:hAnsi="Arial" w:cs="Arial"/>
                <w:sz w:val="16"/>
                <w:szCs w:val="16"/>
              </w:rPr>
            </w:pPr>
          </w:p>
        </w:tc>
        <w:tc>
          <w:tcPr>
            <w:tcW w:w="540" w:type="pct"/>
          </w:tcPr>
          <w:p w14:paraId="54DDDD7B" w14:textId="77777777" w:rsidR="00D63B70" w:rsidRPr="006D52A9" w:rsidDel="004B5277" w:rsidRDefault="00D63B70" w:rsidP="00D63B70">
            <w:pPr>
              <w:rPr>
                <w:rFonts w:ascii="Arial" w:hAnsi="Arial" w:cs="Arial"/>
                <w:sz w:val="16"/>
                <w:szCs w:val="16"/>
              </w:rPr>
            </w:pPr>
          </w:p>
        </w:tc>
        <w:tc>
          <w:tcPr>
            <w:tcW w:w="591" w:type="pct"/>
          </w:tcPr>
          <w:p w14:paraId="5E8688E8"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Azadine</w:t>
            </w:r>
          </w:p>
        </w:tc>
        <w:tc>
          <w:tcPr>
            <w:tcW w:w="894" w:type="pct"/>
          </w:tcPr>
          <w:p w14:paraId="6A3F0239"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0E452BA9" w14:textId="77777777" w:rsidR="00D63B70" w:rsidRPr="006D52A9" w:rsidDel="004B5277" w:rsidRDefault="00D63B70" w:rsidP="00D63B70">
            <w:pPr>
              <w:rPr>
                <w:rFonts w:ascii="Arial" w:hAnsi="Arial" w:cs="Arial"/>
                <w:sz w:val="16"/>
                <w:szCs w:val="16"/>
              </w:rPr>
            </w:pPr>
          </w:p>
        </w:tc>
        <w:tc>
          <w:tcPr>
            <w:tcW w:w="499" w:type="pct"/>
          </w:tcPr>
          <w:p w14:paraId="0EA8BBE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A3D47A9"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6239066F" w14:textId="77777777" w:rsidTr="00A91628">
        <w:tblPrEx>
          <w:tblBorders>
            <w:top w:val="single" w:sz="4" w:space="0" w:color="auto"/>
          </w:tblBorders>
        </w:tblPrEx>
        <w:trPr>
          <w:cantSplit/>
          <w:tblCellSpacing w:w="22" w:type="dxa"/>
        </w:trPr>
        <w:tc>
          <w:tcPr>
            <w:tcW w:w="508" w:type="pct"/>
          </w:tcPr>
          <w:p w14:paraId="557FCCA5" w14:textId="77777777" w:rsidR="00D63B70" w:rsidRPr="006D52A9" w:rsidDel="004B5277" w:rsidRDefault="00D63B70" w:rsidP="00D63B70">
            <w:pPr>
              <w:rPr>
                <w:rFonts w:ascii="Arial" w:hAnsi="Arial" w:cs="Arial"/>
                <w:sz w:val="16"/>
                <w:szCs w:val="16"/>
              </w:rPr>
            </w:pPr>
          </w:p>
        </w:tc>
        <w:tc>
          <w:tcPr>
            <w:tcW w:w="943" w:type="pct"/>
          </w:tcPr>
          <w:p w14:paraId="22DAA91D" w14:textId="77777777" w:rsidR="00D63B70" w:rsidRPr="006D52A9" w:rsidDel="004B5277" w:rsidRDefault="00D63B70" w:rsidP="00D63B70">
            <w:pPr>
              <w:rPr>
                <w:rFonts w:ascii="Arial" w:hAnsi="Arial" w:cs="Arial"/>
                <w:sz w:val="16"/>
                <w:szCs w:val="16"/>
              </w:rPr>
            </w:pPr>
          </w:p>
        </w:tc>
        <w:tc>
          <w:tcPr>
            <w:tcW w:w="540" w:type="pct"/>
          </w:tcPr>
          <w:p w14:paraId="399688D7" w14:textId="77777777" w:rsidR="00D63B70" w:rsidRPr="006D52A9" w:rsidDel="004B5277" w:rsidRDefault="00D63B70" w:rsidP="00D63B70">
            <w:pPr>
              <w:rPr>
                <w:rFonts w:ascii="Arial" w:hAnsi="Arial" w:cs="Arial"/>
                <w:sz w:val="16"/>
                <w:szCs w:val="16"/>
              </w:rPr>
            </w:pPr>
          </w:p>
        </w:tc>
        <w:tc>
          <w:tcPr>
            <w:tcW w:w="591" w:type="pct"/>
          </w:tcPr>
          <w:p w14:paraId="5F0C68A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Celazadine</w:t>
            </w:r>
          </w:p>
        </w:tc>
        <w:tc>
          <w:tcPr>
            <w:tcW w:w="894" w:type="pct"/>
          </w:tcPr>
          <w:p w14:paraId="7A17087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60AC6923" w14:textId="77777777" w:rsidR="00D63B70" w:rsidRPr="006D52A9" w:rsidDel="004B5277" w:rsidRDefault="00D63B70" w:rsidP="00D63B70">
            <w:pPr>
              <w:rPr>
                <w:rFonts w:ascii="Arial" w:hAnsi="Arial" w:cs="Arial"/>
                <w:sz w:val="16"/>
                <w:szCs w:val="16"/>
              </w:rPr>
            </w:pPr>
          </w:p>
        </w:tc>
        <w:tc>
          <w:tcPr>
            <w:tcW w:w="499" w:type="pct"/>
          </w:tcPr>
          <w:p w14:paraId="514A4EA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AB7A4C6"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34058EF4" w14:textId="77777777" w:rsidTr="00A91628">
        <w:tblPrEx>
          <w:tblBorders>
            <w:top w:val="single" w:sz="4" w:space="0" w:color="auto"/>
          </w:tblBorders>
        </w:tblPrEx>
        <w:trPr>
          <w:cantSplit/>
          <w:tblCellSpacing w:w="22" w:type="dxa"/>
        </w:trPr>
        <w:tc>
          <w:tcPr>
            <w:tcW w:w="508" w:type="pct"/>
          </w:tcPr>
          <w:p w14:paraId="40B8CD9B" w14:textId="77777777" w:rsidR="00D63B70" w:rsidRPr="006D52A9" w:rsidDel="004B5277" w:rsidRDefault="00D63B70" w:rsidP="00D63B70">
            <w:pPr>
              <w:rPr>
                <w:rFonts w:ascii="Arial" w:hAnsi="Arial" w:cs="Arial"/>
                <w:sz w:val="16"/>
                <w:szCs w:val="16"/>
              </w:rPr>
            </w:pPr>
          </w:p>
        </w:tc>
        <w:tc>
          <w:tcPr>
            <w:tcW w:w="943" w:type="pct"/>
          </w:tcPr>
          <w:p w14:paraId="0CB481C3" w14:textId="77777777" w:rsidR="00D63B70" w:rsidRPr="006D52A9" w:rsidDel="004B5277" w:rsidRDefault="00D63B70" w:rsidP="00D63B70">
            <w:pPr>
              <w:rPr>
                <w:rFonts w:ascii="Arial" w:hAnsi="Arial" w:cs="Arial"/>
                <w:sz w:val="16"/>
                <w:szCs w:val="16"/>
              </w:rPr>
            </w:pPr>
          </w:p>
        </w:tc>
        <w:tc>
          <w:tcPr>
            <w:tcW w:w="540" w:type="pct"/>
          </w:tcPr>
          <w:p w14:paraId="03E2D023" w14:textId="77777777" w:rsidR="00D63B70" w:rsidRPr="006D52A9" w:rsidDel="004B5277" w:rsidRDefault="00D63B70" w:rsidP="00D63B70">
            <w:pPr>
              <w:rPr>
                <w:rFonts w:ascii="Arial" w:hAnsi="Arial" w:cs="Arial"/>
                <w:sz w:val="16"/>
                <w:szCs w:val="16"/>
              </w:rPr>
            </w:pPr>
          </w:p>
        </w:tc>
        <w:tc>
          <w:tcPr>
            <w:tcW w:w="591" w:type="pct"/>
          </w:tcPr>
          <w:p w14:paraId="2F578E5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Vidaza</w:t>
            </w:r>
          </w:p>
        </w:tc>
        <w:tc>
          <w:tcPr>
            <w:tcW w:w="894" w:type="pct"/>
          </w:tcPr>
          <w:p w14:paraId="4CFC0E8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C6132 C6143 C6144 C6177 C6186 C6199</w:t>
            </w:r>
          </w:p>
        </w:tc>
        <w:tc>
          <w:tcPr>
            <w:tcW w:w="376" w:type="pct"/>
          </w:tcPr>
          <w:p w14:paraId="7CC5F4A1" w14:textId="77777777" w:rsidR="00D63B70" w:rsidRPr="006D52A9" w:rsidDel="004B5277" w:rsidRDefault="00D63B70" w:rsidP="00D63B70">
            <w:pPr>
              <w:rPr>
                <w:rFonts w:ascii="Arial" w:hAnsi="Arial" w:cs="Arial"/>
                <w:sz w:val="16"/>
                <w:szCs w:val="16"/>
              </w:rPr>
            </w:pPr>
          </w:p>
        </w:tc>
        <w:tc>
          <w:tcPr>
            <w:tcW w:w="499" w:type="pct"/>
          </w:tcPr>
          <w:p w14:paraId="5146CF68"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48F99A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A403278" w14:textId="77777777" w:rsidTr="00A91628">
        <w:tblPrEx>
          <w:tblBorders>
            <w:top w:val="single" w:sz="4" w:space="0" w:color="auto"/>
          </w:tblBorders>
        </w:tblPrEx>
        <w:trPr>
          <w:cantSplit/>
          <w:tblCellSpacing w:w="22" w:type="dxa"/>
        </w:trPr>
        <w:tc>
          <w:tcPr>
            <w:tcW w:w="508" w:type="pct"/>
          </w:tcPr>
          <w:p w14:paraId="5449FBD5" w14:textId="77777777" w:rsidR="00D63B70" w:rsidRPr="006D52A9" w:rsidRDefault="00D63B70" w:rsidP="00D63B70">
            <w:pPr>
              <w:rPr>
                <w:rFonts w:ascii="Arial" w:hAnsi="Arial" w:cs="Arial"/>
                <w:sz w:val="16"/>
                <w:szCs w:val="16"/>
              </w:rPr>
            </w:pPr>
            <w:r w:rsidRPr="006D52A9">
              <w:rPr>
                <w:rFonts w:ascii="Arial" w:hAnsi="Arial" w:cs="Arial"/>
                <w:sz w:val="16"/>
                <w:szCs w:val="16"/>
              </w:rPr>
              <w:t>Azithromycin</w:t>
            </w:r>
          </w:p>
        </w:tc>
        <w:tc>
          <w:tcPr>
            <w:tcW w:w="943" w:type="pct"/>
          </w:tcPr>
          <w:p w14:paraId="354F0860" w14:textId="77777777" w:rsidR="00D63B70" w:rsidRPr="006D52A9" w:rsidRDefault="00D63B70" w:rsidP="00D63B70">
            <w:pPr>
              <w:rPr>
                <w:rFonts w:ascii="Arial" w:hAnsi="Arial" w:cs="Arial"/>
                <w:sz w:val="16"/>
                <w:szCs w:val="16"/>
              </w:rPr>
            </w:pPr>
            <w:r w:rsidRPr="006D52A9">
              <w:rPr>
                <w:rFonts w:ascii="Arial" w:hAnsi="Arial" w:cs="Arial"/>
                <w:sz w:val="16"/>
                <w:szCs w:val="16"/>
              </w:rPr>
              <w:t>Tablet 600 mg (as dihydrate)</w:t>
            </w:r>
          </w:p>
        </w:tc>
        <w:tc>
          <w:tcPr>
            <w:tcW w:w="540" w:type="pct"/>
          </w:tcPr>
          <w:p w14:paraId="3401173A"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8E4E96F" w14:textId="77777777" w:rsidR="00D63B70" w:rsidRPr="006D52A9" w:rsidRDefault="00D63B70" w:rsidP="00D63B70">
            <w:pPr>
              <w:rPr>
                <w:rFonts w:ascii="Arial" w:hAnsi="Arial" w:cs="Arial"/>
                <w:sz w:val="16"/>
                <w:szCs w:val="16"/>
              </w:rPr>
            </w:pPr>
            <w:r w:rsidRPr="006D52A9">
              <w:rPr>
                <w:rFonts w:ascii="Arial" w:hAnsi="Arial" w:cs="Arial"/>
                <w:sz w:val="16"/>
                <w:szCs w:val="16"/>
              </w:rPr>
              <w:t>Zithromax</w:t>
            </w:r>
          </w:p>
        </w:tc>
        <w:tc>
          <w:tcPr>
            <w:tcW w:w="894" w:type="pct"/>
          </w:tcPr>
          <w:p w14:paraId="70DC073C" w14:textId="77777777" w:rsidR="00D63B70" w:rsidRPr="006D52A9" w:rsidRDefault="00D63B70" w:rsidP="00D63B70">
            <w:pPr>
              <w:rPr>
                <w:rFonts w:ascii="Arial" w:hAnsi="Arial" w:cs="Arial"/>
                <w:sz w:val="16"/>
                <w:szCs w:val="16"/>
              </w:rPr>
            </w:pPr>
            <w:r w:rsidRPr="006D52A9">
              <w:rPr>
                <w:rFonts w:ascii="Arial" w:hAnsi="Arial" w:cs="Arial"/>
                <w:sz w:val="16"/>
                <w:szCs w:val="16"/>
              </w:rPr>
              <w:t>C6356 C9604</w:t>
            </w:r>
          </w:p>
        </w:tc>
        <w:tc>
          <w:tcPr>
            <w:tcW w:w="376" w:type="pct"/>
          </w:tcPr>
          <w:p w14:paraId="440E86AD" w14:textId="77777777" w:rsidR="00D63B70" w:rsidRPr="006D52A9" w:rsidRDefault="00D63B70" w:rsidP="00D63B70">
            <w:pPr>
              <w:rPr>
                <w:rFonts w:ascii="Arial" w:hAnsi="Arial" w:cs="Arial"/>
                <w:sz w:val="16"/>
                <w:szCs w:val="16"/>
              </w:rPr>
            </w:pPr>
          </w:p>
        </w:tc>
        <w:tc>
          <w:tcPr>
            <w:tcW w:w="499" w:type="pct"/>
          </w:tcPr>
          <w:p w14:paraId="7C517AAD" w14:textId="77777777" w:rsidR="00D63B70" w:rsidRPr="006D52A9" w:rsidRDefault="00D63B70" w:rsidP="00D63B70">
            <w:pPr>
              <w:rPr>
                <w:rFonts w:ascii="Arial" w:hAnsi="Arial" w:cs="Arial"/>
                <w:sz w:val="16"/>
                <w:szCs w:val="16"/>
              </w:rPr>
            </w:pPr>
            <w:r w:rsidRPr="006D52A9">
              <w:rPr>
                <w:rFonts w:ascii="Arial" w:hAnsi="Arial" w:cs="Arial"/>
                <w:sz w:val="16"/>
                <w:szCs w:val="16"/>
              </w:rPr>
              <w:t>16</w:t>
            </w:r>
          </w:p>
        </w:tc>
        <w:tc>
          <w:tcPr>
            <w:tcW w:w="502" w:type="pct"/>
          </w:tcPr>
          <w:p w14:paraId="5CDC4B4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0E2FEC" w14:paraId="01949A7E" w14:textId="77777777" w:rsidTr="00A91628">
        <w:tblPrEx>
          <w:tblBorders>
            <w:top w:val="single" w:sz="4" w:space="0" w:color="auto"/>
          </w:tblBorders>
        </w:tblPrEx>
        <w:trPr>
          <w:cantSplit/>
          <w:tblCellSpacing w:w="22" w:type="dxa"/>
        </w:trPr>
        <w:tc>
          <w:tcPr>
            <w:tcW w:w="508" w:type="pct"/>
            <w:tcBorders>
              <w:top w:val="nil"/>
              <w:bottom w:val="nil"/>
            </w:tcBorders>
          </w:tcPr>
          <w:p w14:paraId="5BDCD300"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Baclofen</w:t>
            </w:r>
          </w:p>
        </w:tc>
        <w:tc>
          <w:tcPr>
            <w:tcW w:w="943" w:type="pct"/>
            <w:tcBorders>
              <w:top w:val="nil"/>
              <w:bottom w:val="nil"/>
            </w:tcBorders>
          </w:tcPr>
          <w:p w14:paraId="419783B0"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Intrathecal injection 10 mg in 5 mL</w:t>
            </w:r>
          </w:p>
        </w:tc>
        <w:tc>
          <w:tcPr>
            <w:tcW w:w="540" w:type="pct"/>
            <w:tcBorders>
              <w:top w:val="nil"/>
              <w:bottom w:val="nil"/>
            </w:tcBorders>
          </w:tcPr>
          <w:p w14:paraId="6CA3C4DC"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Injection</w:t>
            </w:r>
          </w:p>
        </w:tc>
        <w:tc>
          <w:tcPr>
            <w:tcW w:w="591" w:type="pct"/>
            <w:tcBorders>
              <w:top w:val="nil"/>
              <w:bottom w:val="nil"/>
            </w:tcBorders>
          </w:tcPr>
          <w:p w14:paraId="61C42887" w14:textId="77777777" w:rsidR="00D63B70" w:rsidRPr="006D52A9" w:rsidRDefault="00D63B70" w:rsidP="00D63B70">
            <w:pPr>
              <w:rPr>
                <w:rFonts w:ascii="Arial" w:hAnsi="Arial" w:cs="Arial"/>
                <w:sz w:val="16"/>
                <w:szCs w:val="16"/>
              </w:rPr>
            </w:pPr>
            <w:r w:rsidRPr="006D52A9">
              <w:rPr>
                <w:rFonts w:ascii="Arial" w:hAnsi="Arial" w:cs="Arial"/>
                <w:sz w:val="16"/>
                <w:szCs w:val="16"/>
              </w:rPr>
              <w:t>Bacthecal</w:t>
            </w:r>
          </w:p>
        </w:tc>
        <w:tc>
          <w:tcPr>
            <w:tcW w:w="894" w:type="pct"/>
            <w:tcBorders>
              <w:top w:val="nil"/>
              <w:bottom w:val="nil"/>
            </w:tcBorders>
          </w:tcPr>
          <w:p w14:paraId="3D539F94" w14:textId="77777777" w:rsidR="00D63B70" w:rsidRPr="006D52A9" w:rsidRDefault="00D63B70" w:rsidP="00D63B70">
            <w:pPr>
              <w:rPr>
                <w:rFonts w:ascii="Arial" w:hAnsi="Arial" w:cs="Arial"/>
                <w:sz w:val="16"/>
                <w:szCs w:val="16"/>
              </w:rPr>
            </w:pPr>
            <w:r w:rsidRPr="006D52A9">
              <w:rPr>
                <w:rFonts w:ascii="Arial" w:hAnsi="Arial" w:cs="Arial"/>
                <w:sz w:val="16"/>
                <w:szCs w:val="16"/>
              </w:rPr>
              <w:t>C6911 C6925 C6939 C6940 C9488 C9489 C9524 C9637</w:t>
            </w:r>
          </w:p>
        </w:tc>
        <w:tc>
          <w:tcPr>
            <w:tcW w:w="376" w:type="pct"/>
            <w:tcBorders>
              <w:top w:val="nil"/>
              <w:bottom w:val="nil"/>
            </w:tcBorders>
          </w:tcPr>
          <w:p w14:paraId="4C1DD71E"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2FD27862"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Borders>
              <w:top w:val="nil"/>
              <w:bottom w:val="nil"/>
            </w:tcBorders>
          </w:tcPr>
          <w:p w14:paraId="38612351"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0E2FEC" w14:paraId="1921EF52" w14:textId="77777777" w:rsidTr="00A91628">
        <w:tblPrEx>
          <w:tblBorders>
            <w:top w:val="single" w:sz="4" w:space="0" w:color="auto"/>
          </w:tblBorders>
        </w:tblPrEx>
        <w:trPr>
          <w:cantSplit/>
          <w:tblCellSpacing w:w="22" w:type="dxa"/>
        </w:trPr>
        <w:tc>
          <w:tcPr>
            <w:tcW w:w="508" w:type="pct"/>
            <w:tcBorders>
              <w:top w:val="nil"/>
              <w:bottom w:val="nil"/>
            </w:tcBorders>
          </w:tcPr>
          <w:p w14:paraId="3CF792DD" w14:textId="77777777" w:rsidR="00D63B70" w:rsidRPr="006D52A9" w:rsidDel="000E2FEC" w:rsidRDefault="00D63B70" w:rsidP="00D63B70">
            <w:pPr>
              <w:rPr>
                <w:rFonts w:ascii="Arial" w:hAnsi="Arial" w:cs="Arial"/>
                <w:sz w:val="16"/>
                <w:szCs w:val="16"/>
              </w:rPr>
            </w:pPr>
          </w:p>
        </w:tc>
        <w:tc>
          <w:tcPr>
            <w:tcW w:w="943" w:type="pct"/>
            <w:tcBorders>
              <w:top w:val="nil"/>
              <w:bottom w:val="nil"/>
            </w:tcBorders>
          </w:tcPr>
          <w:p w14:paraId="00C9FFE2" w14:textId="77777777" w:rsidR="00D63B70" w:rsidRPr="006D52A9" w:rsidDel="000E2FEC" w:rsidRDefault="00D63B70" w:rsidP="00D63B70">
            <w:pPr>
              <w:rPr>
                <w:rFonts w:ascii="Arial" w:hAnsi="Arial" w:cs="Arial"/>
                <w:sz w:val="16"/>
                <w:szCs w:val="16"/>
              </w:rPr>
            </w:pPr>
          </w:p>
        </w:tc>
        <w:tc>
          <w:tcPr>
            <w:tcW w:w="540" w:type="pct"/>
            <w:tcBorders>
              <w:top w:val="nil"/>
              <w:bottom w:val="nil"/>
            </w:tcBorders>
          </w:tcPr>
          <w:p w14:paraId="606A26A4" w14:textId="77777777" w:rsidR="00D63B70" w:rsidRPr="006D52A9" w:rsidDel="000E2FEC" w:rsidRDefault="00D63B70" w:rsidP="00D63B70">
            <w:pPr>
              <w:rPr>
                <w:rFonts w:ascii="Arial" w:hAnsi="Arial" w:cs="Arial"/>
                <w:sz w:val="16"/>
                <w:szCs w:val="16"/>
              </w:rPr>
            </w:pPr>
          </w:p>
        </w:tc>
        <w:tc>
          <w:tcPr>
            <w:tcW w:w="591" w:type="pct"/>
            <w:tcBorders>
              <w:top w:val="nil"/>
              <w:bottom w:val="nil"/>
            </w:tcBorders>
          </w:tcPr>
          <w:p w14:paraId="63593B7E" w14:textId="77777777" w:rsidR="00D63B70" w:rsidRPr="006D52A9" w:rsidRDefault="00D63B70" w:rsidP="00D63B70">
            <w:pPr>
              <w:rPr>
                <w:rFonts w:ascii="Arial" w:hAnsi="Arial" w:cs="Arial"/>
                <w:sz w:val="16"/>
                <w:szCs w:val="16"/>
              </w:rPr>
            </w:pPr>
            <w:r w:rsidRPr="006D52A9">
              <w:rPr>
                <w:rFonts w:ascii="Arial" w:hAnsi="Arial" w:cs="Arial"/>
                <w:sz w:val="16"/>
                <w:szCs w:val="16"/>
              </w:rPr>
              <w:t>Lioresal Intrathecal</w:t>
            </w:r>
          </w:p>
        </w:tc>
        <w:tc>
          <w:tcPr>
            <w:tcW w:w="894" w:type="pct"/>
            <w:tcBorders>
              <w:top w:val="nil"/>
              <w:bottom w:val="nil"/>
            </w:tcBorders>
          </w:tcPr>
          <w:p w14:paraId="714C34E0" w14:textId="77777777" w:rsidR="00D63B70" w:rsidRPr="006D52A9" w:rsidRDefault="00D63B70" w:rsidP="00D63B70">
            <w:pPr>
              <w:rPr>
                <w:rFonts w:ascii="Arial" w:hAnsi="Arial" w:cs="Arial"/>
                <w:sz w:val="16"/>
                <w:szCs w:val="16"/>
              </w:rPr>
            </w:pPr>
            <w:r w:rsidRPr="006D52A9">
              <w:rPr>
                <w:rFonts w:ascii="Arial" w:hAnsi="Arial" w:cs="Arial"/>
                <w:sz w:val="16"/>
                <w:szCs w:val="16"/>
              </w:rPr>
              <w:t>C6911 C6925 C6939 C6940 C9488 C9489 C9524 C9637</w:t>
            </w:r>
          </w:p>
        </w:tc>
        <w:tc>
          <w:tcPr>
            <w:tcW w:w="376" w:type="pct"/>
            <w:tcBorders>
              <w:top w:val="nil"/>
              <w:bottom w:val="nil"/>
            </w:tcBorders>
          </w:tcPr>
          <w:p w14:paraId="139568FE"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65E9963D"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Borders>
              <w:top w:val="nil"/>
              <w:bottom w:val="nil"/>
            </w:tcBorders>
          </w:tcPr>
          <w:p w14:paraId="4D358451"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0E2FEC" w14:paraId="59D12868" w14:textId="77777777" w:rsidTr="00A91628">
        <w:tblPrEx>
          <w:tblBorders>
            <w:top w:val="single" w:sz="4" w:space="0" w:color="auto"/>
          </w:tblBorders>
        </w:tblPrEx>
        <w:trPr>
          <w:cantSplit/>
          <w:tblCellSpacing w:w="22" w:type="dxa"/>
        </w:trPr>
        <w:tc>
          <w:tcPr>
            <w:tcW w:w="508" w:type="pct"/>
            <w:tcBorders>
              <w:top w:val="nil"/>
              <w:bottom w:val="nil"/>
            </w:tcBorders>
          </w:tcPr>
          <w:p w14:paraId="45E6D2BD" w14:textId="77777777" w:rsidR="00D63B70" w:rsidRPr="006D52A9" w:rsidDel="000E2FEC" w:rsidRDefault="00D63B70" w:rsidP="00D63B70">
            <w:pPr>
              <w:rPr>
                <w:rFonts w:ascii="Arial" w:hAnsi="Arial" w:cs="Arial"/>
                <w:sz w:val="16"/>
                <w:szCs w:val="16"/>
              </w:rPr>
            </w:pPr>
          </w:p>
        </w:tc>
        <w:tc>
          <w:tcPr>
            <w:tcW w:w="943" w:type="pct"/>
            <w:tcBorders>
              <w:top w:val="nil"/>
              <w:bottom w:val="nil"/>
            </w:tcBorders>
          </w:tcPr>
          <w:p w14:paraId="432F6E1B" w14:textId="77777777" w:rsidR="00D63B70" w:rsidRPr="006D52A9" w:rsidDel="000E2FEC" w:rsidRDefault="00D63B70" w:rsidP="00D63B70">
            <w:pPr>
              <w:rPr>
                <w:rFonts w:ascii="Arial" w:hAnsi="Arial" w:cs="Arial"/>
                <w:sz w:val="16"/>
                <w:szCs w:val="16"/>
              </w:rPr>
            </w:pPr>
          </w:p>
        </w:tc>
        <w:tc>
          <w:tcPr>
            <w:tcW w:w="540" w:type="pct"/>
            <w:tcBorders>
              <w:top w:val="nil"/>
              <w:bottom w:val="nil"/>
            </w:tcBorders>
          </w:tcPr>
          <w:p w14:paraId="0D9FECA9" w14:textId="77777777" w:rsidR="00D63B70" w:rsidRPr="006D52A9" w:rsidDel="000E2FEC" w:rsidRDefault="00D63B70" w:rsidP="00D63B70">
            <w:pPr>
              <w:rPr>
                <w:rFonts w:ascii="Arial" w:hAnsi="Arial" w:cs="Arial"/>
                <w:sz w:val="16"/>
                <w:szCs w:val="16"/>
              </w:rPr>
            </w:pPr>
          </w:p>
        </w:tc>
        <w:tc>
          <w:tcPr>
            <w:tcW w:w="591" w:type="pct"/>
            <w:tcBorders>
              <w:top w:val="nil"/>
              <w:bottom w:val="nil"/>
            </w:tcBorders>
          </w:tcPr>
          <w:p w14:paraId="4B46C39F" w14:textId="77777777" w:rsidR="00D63B70" w:rsidRPr="006D52A9" w:rsidRDefault="00D63B70" w:rsidP="00D63B70">
            <w:pPr>
              <w:rPr>
                <w:rFonts w:ascii="Arial" w:hAnsi="Arial" w:cs="Arial"/>
                <w:sz w:val="16"/>
                <w:szCs w:val="16"/>
              </w:rPr>
            </w:pPr>
            <w:r w:rsidRPr="006D52A9">
              <w:rPr>
                <w:rFonts w:ascii="Arial" w:hAnsi="Arial" w:cs="Arial"/>
                <w:sz w:val="16"/>
                <w:szCs w:val="16"/>
              </w:rPr>
              <w:t>Sintetica Baclofen Intrathecal</w:t>
            </w:r>
          </w:p>
        </w:tc>
        <w:tc>
          <w:tcPr>
            <w:tcW w:w="894" w:type="pct"/>
            <w:tcBorders>
              <w:top w:val="nil"/>
              <w:bottom w:val="nil"/>
            </w:tcBorders>
          </w:tcPr>
          <w:p w14:paraId="74CB7563" w14:textId="77777777" w:rsidR="00D63B70" w:rsidRPr="006D52A9" w:rsidRDefault="00D63B70" w:rsidP="00D63B70">
            <w:pPr>
              <w:rPr>
                <w:rFonts w:ascii="Arial" w:hAnsi="Arial" w:cs="Arial"/>
                <w:sz w:val="16"/>
                <w:szCs w:val="16"/>
              </w:rPr>
            </w:pPr>
            <w:r w:rsidRPr="006D52A9">
              <w:rPr>
                <w:rFonts w:ascii="Arial" w:hAnsi="Arial" w:cs="Arial"/>
                <w:sz w:val="16"/>
                <w:szCs w:val="16"/>
              </w:rPr>
              <w:t>C6911 C6925 C6939 C6940 C9488 C9489 C9524 C9637</w:t>
            </w:r>
          </w:p>
        </w:tc>
        <w:tc>
          <w:tcPr>
            <w:tcW w:w="376" w:type="pct"/>
            <w:tcBorders>
              <w:top w:val="nil"/>
              <w:bottom w:val="nil"/>
            </w:tcBorders>
          </w:tcPr>
          <w:p w14:paraId="3C6353DF"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4995640F"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Borders>
              <w:top w:val="nil"/>
              <w:bottom w:val="nil"/>
            </w:tcBorders>
          </w:tcPr>
          <w:p w14:paraId="032C6952"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0E2FEC" w14:paraId="54BB6888" w14:textId="77777777" w:rsidTr="00A91628">
        <w:tblPrEx>
          <w:tblBorders>
            <w:top w:val="single" w:sz="4" w:space="0" w:color="auto"/>
          </w:tblBorders>
        </w:tblPrEx>
        <w:trPr>
          <w:cantSplit/>
          <w:tblCellSpacing w:w="22" w:type="dxa"/>
        </w:trPr>
        <w:tc>
          <w:tcPr>
            <w:tcW w:w="508" w:type="pct"/>
            <w:tcBorders>
              <w:top w:val="nil"/>
              <w:bottom w:val="nil"/>
            </w:tcBorders>
          </w:tcPr>
          <w:p w14:paraId="480811C6" w14:textId="77777777" w:rsidR="00D63B70" w:rsidRPr="006D52A9" w:rsidDel="000E2FEC" w:rsidRDefault="00D63B70" w:rsidP="00D63B70">
            <w:pPr>
              <w:rPr>
                <w:rFonts w:ascii="Arial" w:hAnsi="Arial" w:cs="Arial"/>
                <w:sz w:val="16"/>
                <w:szCs w:val="16"/>
              </w:rPr>
            </w:pPr>
          </w:p>
        </w:tc>
        <w:tc>
          <w:tcPr>
            <w:tcW w:w="943" w:type="pct"/>
            <w:tcBorders>
              <w:top w:val="nil"/>
              <w:bottom w:val="nil"/>
            </w:tcBorders>
          </w:tcPr>
          <w:p w14:paraId="789EAA4C"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Intrathecal injection 40 mg in 20 mL</w:t>
            </w:r>
          </w:p>
        </w:tc>
        <w:tc>
          <w:tcPr>
            <w:tcW w:w="540" w:type="pct"/>
            <w:tcBorders>
              <w:top w:val="nil"/>
              <w:bottom w:val="nil"/>
            </w:tcBorders>
          </w:tcPr>
          <w:p w14:paraId="79F82FD9"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Injection</w:t>
            </w:r>
          </w:p>
        </w:tc>
        <w:tc>
          <w:tcPr>
            <w:tcW w:w="591" w:type="pct"/>
            <w:tcBorders>
              <w:top w:val="nil"/>
              <w:bottom w:val="nil"/>
            </w:tcBorders>
          </w:tcPr>
          <w:p w14:paraId="41509CFB" w14:textId="77777777" w:rsidR="00D63B70" w:rsidRPr="006D52A9" w:rsidRDefault="00D63B70" w:rsidP="00D63B70">
            <w:pPr>
              <w:rPr>
                <w:rFonts w:ascii="Arial" w:hAnsi="Arial" w:cs="Arial"/>
                <w:sz w:val="16"/>
                <w:szCs w:val="16"/>
              </w:rPr>
            </w:pPr>
            <w:r w:rsidRPr="006D52A9">
              <w:rPr>
                <w:rFonts w:ascii="Arial" w:hAnsi="Arial" w:cs="Arial"/>
                <w:sz w:val="16"/>
                <w:szCs w:val="16"/>
              </w:rPr>
              <w:t>Sintetica Baclofen Intrathecal</w:t>
            </w:r>
          </w:p>
        </w:tc>
        <w:tc>
          <w:tcPr>
            <w:tcW w:w="894" w:type="pct"/>
            <w:tcBorders>
              <w:top w:val="nil"/>
              <w:bottom w:val="nil"/>
            </w:tcBorders>
          </w:tcPr>
          <w:p w14:paraId="4CA31A7B" w14:textId="77777777" w:rsidR="00D63B70" w:rsidRPr="006D52A9" w:rsidRDefault="00D63B70" w:rsidP="00D63B70">
            <w:pPr>
              <w:rPr>
                <w:rFonts w:ascii="Arial" w:hAnsi="Arial" w:cs="Arial"/>
                <w:sz w:val="16"/>
                <w:szCs w:val="16"/>
              </w:rPr>
            </w:pPr>
            <w:r w:rsidRPr="006D52A9">
              <w:rPr>
                <w:rFonts w:ascii="Arial" w:hAnsi="Arial" w:cs="Arial"/>
                <w:sz w:val="16"/>
                <w:szCs w:val="16"/>
              </w:rPr>
              <w:t>C7134 C7148 C7152 C7153 C9525 C9562 C9606 C9638</w:t>
            </w:r>
          </w:p>
        </w:tc>
        <w:tc>
          <w:tcPr>
            <w:tcW w:w="376" w:type="pct"/>
            <w:tcBorders>
              <w:top w:val="nil"/>
              <w:bottom w:val="nil"/>
            </w:tcBorders>
          </w:tcPr>
          <w:p w14:paraId="283BBD99"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16E5530D"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Borders>
              <w:top w:val="nil"/>
              <w:bottom w:val="nil"/>
            </w:tcBorders>
          </w:tcPr>
          <w:p w14:paraId="76AFE399"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0E2FEC" w14:paraId="24656721" w14:textId="77777777" w:rsidTr="00A91628">
        <w:tblPrEx>
          <w:tblBorders>
            <w:top w:val="single" w:sz="4" w:space="0" w:color="auto"/>
          </w:tblBorders>
        </w:tblPrEx>
        <w:trPr>
          <w:cantSplit/>
          <w:tblCellSpacing w:w="22" w:type="dxa"/>
        </w:trPr>
        <w:tc>
          <w:tcPr>
            <w:tcW w:w="508" w:type="pct"/>
            <w:tcBorders>
              <w:top w:val="nil"/>
              <w:bottom w:val="nil"/>
            </w:tcBorders>
          </w:tcPr>
          <w:p w14:paraId="34A5FE4D" w14:textId="77777777" w:rsidR="00D63B70" w:rsidRPr="006D52A9" w:rsidDel="000E2FEC" w:rsidRDefault="00D63B70" w:rsidP="00D63B70">
            <w:pPr>
              <w:rPr>
                <w:rFonts w:ascii="Arial" w:hAnsi="Arial" w:cs="Arial"/>
                <w:sz w:val="16"/>
                <w:szCs w:val="16"/>
              </w:rPr>
            </w:pPr>
            <w:r w:rsidRPr="006D52A9">
              <w:rPr>
                <w:rFonts w:ascii="Arial" w:hAnsi="Arial" w:cs="Arial"/>
                <w:sz w:val="16"/>
              </w:rPr>
              <w:t>Benralizumab</w:t>
            </w:r>
          </w:p>
        </w:tc>
        <w:tc>
          <w:tcPr>
            <w:tcW w:w="943" w:type="pct"/>
            <w:tcBorders>
              <w:top w:val="nil"/>
              <w:bottom w:val="nil"/>
            </w:tcBorders>
          </w:tcPr>
          <w:p w14:paraId="5F19A218" w14:textId="77777777" w:rsidR="00D63B70" w:rsidRPr="006D52A9" w:rsidRDefault="00D63B70" w:rsidP="00D63B70">
            <w:pPr>
              <w:rPr>
                <w:rFonts w:ascii="Arial" w:hAnsi="Arial" w:cs="Arial"/>
                <w:sz w:val="16"/>
                <w:szCs w:val="16"/>
              </w:rPr>
            </w:pPr>
            <w:r w:rsidRPr="006D52A9">
              <w:rPr>
                <w:rFonts w:ascii="Arial" w:hAnsi="Arial" w:cs="Arial"/>
                <w:sz w:val="16"/>
              </w:rPr>
              <w:t>Injection 30 mg in 1 mL single dose pre</w:t>
            </w:r>
            <w:r w:rsidR="0026100E">
              <w:rPr>
                <w:rFonts w:ascii="Arial" w:hAnsi="Arial" w:cs="Arial"/>
                <w:sz w:val="16"/>
              </w:rPr>
              <w:noBreakHyphen/>
            </w:r>
            <w:r w:rsidRPr="006D52A9">
              <w:rPr>
                <w:rFonts w:ascii="Arial" w:hAnsi="Arial" w:cs="Arial"/>
                <w:sz w:val="16"/>
              </w:rPr>
              <w:t>filled pen</w:t>
            </w:r>
          </w:p>
        </w:tc>
        <w:tc>
          <w:tcPr>
            <w:tcW w:w="540" w:type="pct"/>
            <w:tcBorders>
              <w:top w:val="nil"/>
              <w:bottom w:val="nil"/>
            </w:tcBorders>
          </w:tcPr>
          <w:p w14:paraId="756C4F8D" w14:textId="77777777" w:rsidR="00D63B70" w:rsidRPr="006D52A9" w:rsidRDefault="00D63B70" w:rsidP="00D63B70">
            <w:pPr>
              <w:rPr>
                <w:rFonts w:ascii="Arial" w:hAnsi="Arial" w:cs="Arial"/>
                <w:sz w:val="16"/>
                <w:szCs w:val="16"/>
              </w:rPr>
            </w:pPr>
            <w:r w:rsidRPr="006D52A9">
              <w:rPr>
                <w:rFonts w:ascii="Arial" w:hAnsi="Arial" w:cs="Arial"/>
                <w:sz w:val="16"/>
              </w:rPr>
              <w:t>Injection</w:t>
            </w:r>
          </w:p>
        </w:tc>
        <w:tc>
          <w:tcPr>
            <w:tcW w:w="591" w:type="pct"/>
            <w:tcBorders>
              <w:top w:val="nil"/>
              <w:bottom w:val="nil"/>
            </w:tcBorders>
          </w:tcPr>
          <w:p w14:paraId="5734D672" w14:textId="77777777" w:rsidR="00D63B70" w:rsidRPr="006D52A9" w:rsidRDefault="00D63B70" w:rsidP="00D63B70">
            <w:pPr>
              <w:rPr>
                <w:rFonts w:ascii="Arial" w:hAnsi="Arial" w:cs="Arial"/>
                <w:sz w:val="16"/>
                <w:szCs w:val="16"/>
              </w:rPr>
            </w:pPr>
            <w:r w:rsidRPr="006D52A9">
              <w:rPr>
                <w:rFonts w:ascii="Arial" w:hAnsi="Arial" w:cs="Arial"/>
                <w:sz w:val="16"/>
              </w:rPr>
              <w:t>Fasenra Pen</w:t>
            </w:r>
          </w:p>
        </w:tc>
        <w:tc>
          <w:tcPr>
            <w:tcW w:w="894" w:type="pct"/>
            <w:tcBorders>
              <w:top w:val="nil"/>
              <w:bottom w:val="nil"/>
            </w:tcBorders>
          </w:tcPr>
          <w:p w14:paraId="2113C7EE" w14:textId="77777777" w:rsidR="00D63B70" w:rsidRPr="006D52A9" w:rsidRDefault="00D63B70" w:rsidP="00D63B70">
            <w:pPr>
              <w:rPr>
                <w:rFonts w:ascii="Arial" w:hAnsi="Arial" w:cs="Arial"/>
                <w:sz w:val="16"/>
                <w:szCs w:val="16"/>
              </w:rPr>
            </w:pPr>
            <w:r w:rsidRPr="006D52A9">
              <w:rPr>
                <w:rFonts w:ascii="Arial" w:hAnsi="Arial" w:cs="Arial"/>
                <w:sz w:val="16"/>
              </w:rPr>
              <w:t>C9887 C10264 C10281 C10314</w:t>
            </w:r>
          </w:p>
        </w:tc>
        <w:tc>
          <w:tcPr>
            <w:tcW w:w="376" w:type="pct"/>
            <w:tcBorders>
              <w:top w:val="nil"/>
              <w:bottom w:val="nil"/>
            </w:tcBorders>
          </w:tcPr>
          <w:p w14:paraId="0EE9BA40"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379AD2F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Borders>
              <w:top w:val="nil"/>
              <w:bottom w:val="nil"/>
            </w:tcBorders>
          </w:tcPr>
          <w:p w14:paraId="499CEE0E"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rsidDel="000E2FEC" w14:paraId="46431CFD" w14:textId="77777777" w:rsidTr="00A91628">
        <w:tblPrEx>
          <w:tblBorders>
            <w:top w:val="single" w:sz="4" w:space="0" w:color="auto"/>
          </w:tblBorders>
        </w:tblPrEx>
        <w:trPr>
          <w:cantSplit/>
          <w:tblCellSpacing w:w="22" w:type="dxa"/>
        </w:trPr>
        <w:tc>
          <w:tcPr>
            <w:tcW w:w="508" w:type="pct"/>
            <w:tcBorders>
              <w:top w:val="nil"/>
              <w:bottom w:val="nil"/>
            </w:tcBorders>
          </w:tcPr>
          <w:p w14:paraId="613220DF" w14:textId="77777777" w:rsidR="00D63B70" w:rsidRPr="006D52A9" w:rsidDel="000E2FEC" w:rsidRDefault="00D63B70" w:rsidP="00D63B70">
            <w:pPr>
              <w:rPr>
                <w:rFonts w:ascii="Arial" w:hAnsi="Arial" w:cs="Arial"/>
                <w:sz w:val="16"/>
                <w:szCs w:val="16"/>
              </w:rPr>
            </w:pPr>
          </w:p>
        </w:tc>
        <w:tc>
          <w:tcPr>
            <w:tcW w:w="943" w:type="pct"/>
            <w:tcBorders>
              <w:top w:val="nil"/>
              <w:bottom w:val="nil"/>
            </w:tcBorders>
          </w:tcPr>
          <w:p w14:paraId="5B23FA94" w14:textId="77777777" w:rsidR="00D63B70" w:rsidRPr="006D52A9" w:rsidRDefault="00D63B70" w:rsidP="00D63B70">
            <w:pPr>
              <w:rPr>
                <w:rFonts w:ascii="Arial" w:hAnsi="Arial" w:cs="Arial"/>
                <w:sz w:val="16"/>
                <w:szCs w:val="16"/>
              </w:rPr>
            </w:pPr>
            <w:r w:rsidRPr="006D52A9">
              <w:rPr>
                <w:rFonts w:ascii="Arial" w:hAnsi="Arial" w:cs="Arial"/>
                <w:sz w:val="16"/>
              </w:rPr>
              <w:t>Injection 30 mg in 1 mL single dose pre</w:t>
            </w:r>
            <w:r w:rsidR="0026100E">
              <w:rPr>
                <w:rFonts w:ascii="Arial" w:hAnsi="Arial" w:cs="Arial"/>
                <w:sz w:val="16"/>
              </w:rPr>
              <w:noBreakHyphen/>
            </w:r>
            <w:r w:rsidRPr="006D52A9">
              <w:rPr>
                <w:rFonts w:ascii="Arial" w:hAnsi="Arial" w:cs="Arial"/>
                <w:sz w:val="16"/>
              </w:rPr>
              <w:t>filled syringe</w:t>
            </w:r>
          </w:p>
        </w:tc>
        <w:tc>
          <w:tcPr>
            <w:tcW w:w="540" w:type="pct"/>
            <w:tcBorders>
              <w:top w:val="nil"/>
              <w:bottom w:val="nil"/>
            </w:tcBorders>
          </w:tcPr>
          <w:p w14:paraId="0E50EB5E" w14:textId="77777777" w:rsidR="00D63B70" w:rsidRPr="006D52A9" w:rsidRDefault="00D63B70" w:rsidP="00D63B70">
            <w:pPr>
              <w:rPr>
                <w:rFonts w:ascii="Arial" w:hAnsi="Arial" w:cs="Arial"/>
                <w:sz w:val="16"/>
                <w:szCs w:val="16"/>
              </w:rPr>
            </w:pPr>
            <w:r w:rsidRPr="006D52A9">
              <w:rPr>
                <w:rFonts w:ascii="Arial" w:hAnsi="Arial" w:cs="Arial"/>
                <w:sz w:val="16"/>
              </w:rPr>
              <w:t>Injection</w:t>
            </w:r>
          </w:p>
        </w:tc>
        <w:tc>
          <w:tcPr>
            <w:tcW w:w="591" w:type="pct"/>
            <w:tcBorders>
              <w:top w:val="nil"/>
              <w:bottom w:val="nil"/>
            </w:tcBorders>
          </w:tcPr>
          <w:p w14:paraId="51622254" w14:textId="77777777" w:rsidR="00D63B70" w:rsidRPr="006D52A9" w:rsidRDefault="00D63B70" w:rsidP="00D63B70">
            <w:pPr>
              <w:rPr>
                <w:rFonts w:ascii="Arial" w:hAnsi="Arial" w:cs="Arial"/>
                <w:sz w:val="16"/>
                <w:szCs w:val="16"/>
              </w:rPr>
            </w:pPr>
            <w:r w:rsidRPr="006D52A9">
              <w:rPr>
                <w:rFonts w:ascii="Arial" w:hAnsi="Arial" w:cs="Arial"/>
                <w:sz w:val="16"/>
              </w:rPr>
              <w:t>Fasenra</w:t>
            </w:r>
          </w:p>
        </w:tc>
        <w:tc>
          <w:tcPr>
            <w:tcW w:w="894" w:type="pct"/>
            <w:tcBorders>
              <w:top w:val="nil"/>
              <w:bottom w:val="nil"/>
            </w:tcBorders>
          </w:tcPr>
          <w:p w14:paraId="3CCBDEA9" w14:textId="77777777" w:rsidR="00D63B70" w:rsidRPr="006D52A9" w:rsidRDefault="00D63B70" w:rsidP="00D63B70">
            <w:pPr>
              <w:rPr>
                <w:rFonts w:ascii="Arial" w:hAnsi="Arial" w:cs="Arial"/>
                <w:sz w:val="16"/>
                <w:szCs w:val="16"/>
              </w:rPr>
            </w:pPr>
            <w:r w:rsidRPr="006D52A9">
              <w:rPr>
                <w:rFonts w:ascii="Arial" w:hAnsi="Arial" w:cs="Arial"/>
                <w:sz w:val="16"/>
              </w:rPr>
              <w:t>C9887 C10264 C10281 C10314</w:t>
            </w:r>
          </w:p>
        </w:tc>
        <w:tc>
          <w:tcPr>
            <w:tcW w:w="376" w:type="pct"/>
            <w:tcBorders>
              <w:top w:val="nil"/>
              <w:bottom w:val="nil"/>
            </w:tcBorders>
          </w:tcPr>
          <w:p w14:paraId="7429D3AE" w14:textId="77777777" w:rsidR="00D63B70" w:rsidRPr="006D52A9" w:rsidDel="000E2FEC" w:rsidRDefault="00D63B70" w:rsidP="00D63B70">
            <w:pPr>
              <w:rPr>
                <w:rFonts w:ascii="Arial" w:hAnsi="Arial" w:cs="Arial"/>
                <w:sz w:val="16"/>
                <w:szCs w:val="16"/>
              </w:rPr>
            </w:pPr>
          </w:p>
        </w:tc>
        <w:tc>
          <w:tcPr>
            <w:tcW w:w="499" w:type="pct"/>
            <w:tcBorders>
              <w:top w:val="nil"/>
              <w:bottom w:val="nil"/>
            </w:tcBorders>
          </w:tcPr>
          <w:p w14:paraId="03AAB5B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Borders>
              <w:top w:val="nil"/>
              <w:bottom w:val="nil"/>
            </w:tcBorders>
          </w:tcPr>
          <w:p w14:paraId="47092E54"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rsidDel="000E2FEC" w14:paraId="13C8CE4B" w14:textId="77777777" w:rsidTr="00A91628">
        <w:tblPrEx>
          <w:tblBorders>
            <w:top w:val="single" w:sz="4" w:space="0" w:color="auto"/>
          </w:tblBorders>
        </w:tblPrEx>
        <w:trPr>
          <w:cantSplit/>
          <w:tblCellSpacing w:w="22" w:type="dxa"/>
        </w:trPr>
        <w:tc>
          <w:tcPr>
            <w:tcW w:w="508" w:type="pct"/>
            <w:tcBorders>
              <w:top w:val="nil"/>
              <w:bottom w:val="nil"/>
            </w:tcBorders>
          </w:tcPr>
          <w:p w14:paraId="17BBF2E6" w14:textId="77777777" w:rsidR="00D63B70" w:rsidRPr="006D52A9" w:rsidDel="000E2FEC" w:rsidRDefault="00D63B70" w:rsidP="00D63B70">
            <w:pPr>
              <w:rPr>
                <w:rFonts w:ascii="Arial" w:hAnsi="Arial" w:cs="Arial"/>
                <w:sz w:val="16"/>
                <w:szCs w:val="16"/>
              </w:rPr>
            </w:pPr>
            <w:r w:rsidRPr="006D52A9">
              <w:rPr>
                <w:rFonts w:ascii="Arial" w:hAnsi="Arial" w:cs="Arial"/>
                <w:sz w:val="16"/>
                <w:szCs w:val="16"/>
              </w:rPr>
              <w:t>Bictegravir with emtricitabine with tenofovir alafenamide</w:t>
            </w:r>
          </w:p>
        </w:tc>
        <w:tc>
          <w:tcPr>
            <w:tcW w:w="943" w:type="pct"/>
            <w:tcBorders>
              <w:top w:val="nil"/>
              <w:bottom w:val="nil"/>
            </w:tcBorders>
          </w:tcPr>
          <w:p w14:paraId="206224FE"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bictegravir 50 mg with emtricitabine 200 mg with tenofovir alafenamide 25 mg</w:t>
            </w:r>
          </w:p>
        </w:tc>
        <w:tc>
          <w:tcPr>
            <w:tcW w:w="540" w:type="pct"/>
            <w:tcBorders>
              <w:top w:val="nil"/>
              <w:bottom w:val="nil"/>
            </w:tcBorders>
          </w:tcPr>
          <w:p w14:paraId="7031EA0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Borders>
              <w:top w:val="nil"/>
              <w:bottom w:val="nil"/>
            </w:tcBorders>
          </w:tcPr>
          <w:p w14:paraId="45EC12DE" w14:textId="77777777" w:rsidR="00D63B70" w:rsidRPr="006D52A9" w:rsidRDefault="00D63B70" w:rsidP="00D63B70">
            <w:pPr>
              <w:rPr>
                <w:rFonts w:ascii="Arial" w:hAnsi="Arial" w:cs="Arial"/>
                <w:sz w:val="16"/>
                <w:szCs w:val="16"/>
              </w:rPr>
            </w:pPr>
            <w:r w:rsidRPr="006D52A9">
              <w:rPr>
                <w:rFonts w:ascii="Arial" w:hAnsi="Arial" w:cs="Arial"/>
                <w:sz w:val="16"/>
                <w:szCs w:val="16"/>
              </w:rPr>
              <w:t>Biktarvy</w:t>
            </w:r>
          </w:p>
        </w:tc>
        <w:tc>
          <w:tcPr>
            <w:tcW w:w="894" w:type="pct"/>
            <w:tcBorders>
              <w:top w:val="nil"/>
              <w:bottom w:val="nil"/>
            </w:tcBorders>
          </w:tcPr>
          <w:p w14:paraId="0C9CA019" w14:textId="77777777" w:rsidR="00D63B70" w:rsidRPr="006D52A9" w:rsidRDefault="00D63B70" w:rsidP="00D63B70">
            <w:pPr>
              <w:rPr>
                <w:rFonts w:ascii="Arial" w:hAnsi="Arial" w:cs="Arial"/>
                <w:sz w:val="16"/>
                <w:szCs w:val="16"/>
              </w:rPr>
            </w:pPr>
            <w:r w:rsidRPr="006D52A9">
              <w:rPr>
                <w:rFonts w:ascii="Arial" w:hAnsi="Arial" w:cs="Arial"/>
                <w:sz w:val="16"/>
                <w:szCs w:val="16"/>
              </w:rPr>
              <w:t>C4470 C4522</w:t>
            </w:r>
          </w:p>
        </w:tc>
        <w:tc>
          <w:tcPr>
            <w:tcW w:w="376" w:type="pct"/>
            <w:tcBorders>
              <w:top w:val="nil"/>
              <w:bottom w:val="nil"/>
            </w:tcBorders>
          </w:tcPr>
          <w:p w14:paraId="6FB6A390" w14:textId="77777777" w:rsidR="00D63B70" w:rsidRPr="006D52A9" w:rsidRDefault="00D63B70" w:rsidP="00D63B70">
            <w:pPr>
              <w:rPr>
                <w:rFonts w:ascii="Arial" w:hAnsi="Arial" w:cs="Arial"/>
                <w:sz w:val="16"/>
                <w:szCs w:val="16"/>
              </w:rPr>
            </w:pPr>
          </w:p>
        </w:tc>
        <w:tc>
          <w:tcPr>
            <w:tcW w:w="499" w:type="pct"/>
            <w:tcBorders>
              <w:top w:val="nil"/>
              <w:bottom w:val="nil"/>
            </w:tcBorders>
          </w:tcPr>
          <w:p w14:paraId="4CADCC43"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Borders>
              <w:top w:val="nil"/>
              <w:bottom w:val="nil"/>
            </w:tcBorders>
          </w:tcPr>
          <w:p w14:paraId="4282176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48051284" w14:textId="77777777" w:rsidTr="00A91628">
        <w:tblPrEx>
          <w:tblBorders>
            <w:top w:val="single" w:sz="4" w:space="0" w:color="auto"/>
          </w:tblBorders>
        </w:tblPrEx>
        <w:trPr>
          <w:cantSplit/>
          <w:tblCellSpacing w:w="22" w:type="dxa"/>
        </w:trPr>
        <w:tc>
          <w:tcPr>
            <w:tcW w:w="508" w:type="pct"/>
          </w:tcPr>
          <w:p w14:paraId="199EE119"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w:t>
            </w:r>
          </w:p>
        </w:tc>
        <w:tc>
          <w:tcPr>
            <w:tcW w:w="943" w:type="pct"/>
          </w:tcPr>
          <w:p w14:paraId="7F2E4B5A"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Tablet 62.5 mg (as monohydrate)</w:t>
            </w:r>
          </w:p>
        </w:tc>
        <w:tc>
          <w:tcPr>
            <w:tcW w:w="540" w:type="pct"/>
          </w:tcPr>
          <w:p w14:paraId="2E0DC2A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0F0ECA9"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APO</w:t>
            </w:r>
          </w:p>
        </w:tc>
        <w:tc>
          <w:tcPr>
            <w:tcW w:w="894" w:type="pct"/>
          </w:tcPr>
          <w:p w14:paraId="15B3FC7E" w14:textId="77777777" w:rsidR="00D63B70" w:rsidRPr="006D52A9" w:rsidDel="004B5277"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34EA333C" w14:textId="77777777" w:rsidR="00D63B70" w:rsidRPr="006D52A9" w:rsidDel="004B5277" w:rsidRDefault="00D63B70" w:rsidP="00D63B70">
            <w:pPr>
              <w:rPr>
                <w:rFonts w:ascii="Arial" w:hAnsi="Arial" w:cs="Arial"/>
                <w:sz w:val="16"/>
                <w:szCs w:val="16"/>
              </w:rPr>
            </w:pPr>
          </w:p>
        </w:tc>
        <w:tc>
          <w:tcPr>
            <w:tcW w:w="499" w:type="pct"/>
          </w:tcPr>
          <w:p w14:paraId="17BC46E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CF82DE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63C97855" w14:textId="77777777" w:rsidTr="00A91628">
        <w:tblPrEx>
          <w:tblBorders>
            <w:top w:val="single" w:sz="4" w:space="0" w:color="auto"/>
          </w:tblBorders>
        </w:tblPrEx>
        <w:trPr>
          <w:cantSplit/>
          <w:tblCellSpacing w:w="22" w:type="dxa"/>
        </w:trPr>
        <w:tc>
          <w:tcPr>
            <w:tcW w:w="508" w:type="pct"/>
          </w:tcPr>
          <w:p w14:paraId="05A41C83" w14:textId="77777777" w:rsidR="00D63B70" w:rsidRPr="006D52A9" w:rsidRDefault="00D63B70" w:rsidP="00D63B70">
            <w:pPr>
              <w:rPr>
                <w:rFonts w:ascii="Arial" w:hAnsi="Arial" w:cs="Arial"/>
                <w:sz w:val="16"/>
                <w:szCs w:val="16"/>
              </w:rPr>
            </w:pPr>
          </w:p>
        </w:tc>
        <w:tc>
          <w:tcPr>
            <w:tcW w:w="943" w:type="pct"/>
          </w:tcPr>
          <w:p w14:paraId="03E676CE" w14:textId="77777777" w:rsidR="00D63B70" w:rsidRPr="006D52A9" w:rsidRDefault="00D63B70" w:rsidP="00D63B70">
            <w:pPr>
              <w:rPr>
                <w:rFonts w:ascii="Arial" w:hAnsi="Arial" w:cs="Arial"/>
                <w:sz w:val="16"/>
                <w:szCs w:val="16"/>
              </w:rPr>
            </w:pPr>
          </w:p>
        </w:tc>
        <w:tc>
          <w:tcPr>
            <w:tcW w:w="540" w:type="pct"/>
          </w:tcPr>
          <w:p w14:paraId="3B686C91" w14:textId="77777777" w:rsidR="00D63B70" w:rsidRPr="006D52A9" w:rsidRDefault="00D63B70" w:rsidP="00D63B70">
            <w:pPr>
              <w:rPr>
                <w:rFonts w:ascii="Arial" w:hAnsi="Arial" w:cs="Arial"/>
                <w:sz w:val="16"/>
                <w:szCs w:val="16"/>
              </w:rPr>
            </w:pPr>
          </w:p>
        </w:tc>
        <w:tc>
          <w:tcPr>
            <w:tcW w:w="591" w:type="pct"/>
          </w:tcPr>
          <w:p w14:paraId="3019C534"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Bosentan Cipla</w:t>
            </w:r>
          </w:p>
        </w:tc>
        <w:tc>
          <w:tcPr>
            <w:tcW w:w="894" w:type="pct"/>
          </w:tcPr>
          <w:p w14:paraId="67AF1D27"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43FE4306" w14:textId="77777777" w:rsidR="00D63B70" w:rsidRPr="006D52A9" w:rsidDel="004B5277" w:rsidRDefault="00D63B70" w:rsidP="00D63B70">
            <w:pPr>
              <w:rPr>
                <w:rFonts w:ascii="Arial" w:hAnsi="Arial" w:cs="Arial"/>
                <w:sz w:val="16"/>
                <w:szCs w:val="16"/>
              </w:rPr>
            </w:pPr>
          </w:p>
        </w:tc>
        <w:tc>
          <w:tcPr>
            <w:tcW w:w="499" w:type="pct"/>
          </w:tcPr>
          <w:p w14:paraId="0C5E1F9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1ED9DC0"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 xml:space="preserve">See </w:t>
            </w:r>
            <w:r w:rsidR="003E082A" w:rsidRPr="006D52A9">
              <w:rPr>
                <w:rFonts w:ascii="Arial" w:hAnsi="Arial" w:cs="Arial"/>
                <w:color w:val="000000"/>
                <w:sz w:val="16"/>
                <w:szCs w:val="16"/>
              </w:rPr>
              <w:t>Schedule 2</w:t>
            </w:r>
          </w:p>
        </w:tc>
      </w:tr>
      <w:tr w:rsidR="00D63B70" w:rsidRPr="006D52A9" w:rsidDel="004B5277" w14:paraId="3D7DEC51" w14:textId="77777777" w:rsidTr="00A91628">
        <w:tblPrEx>
          <w:tblBorders>
            <w:top w:val="single" w:sz="4" w:space="0" w:color="auto"/>
          </w:tblBorders>
        </w:tblPrEx>
        <w:trPr>
          <w:cantSplit/>
          <w:tblCellSpacing w:w="22" w:type="dxa"/>
        </w:trPr>
        <w:tc>
          <w:tcPr>
            <w:tcW w:w="508" w:type="pct"/>
          </w:tcPr>
          <w:p w14:paraId="431A4DD0" w14:textId="77777777" w:rsidR="00D63B70" w:rsidRPr="006D52A9" w:rsidRDefault="00D63B70" w:rsidP="00D63B70">
            <w:pPr>
              <w:rPr>
                <w:rFonts w:ascii="Arial" w:hAnsi="Arial" w:cs="Arial"/>
                <w:sz w:val="16"/>
                <w:szCs w:val="16"/>
              </w:rPr>
            </w:pPr>
          </w:p>
        </w:tc>
        <w:tc>
          <w:tcPr>
            <w:tcW w:w="943" w:type="pct"/>
          </w:tcPr>
          <w:p w14:paraId="632804D8" w14:textId="77777777" w:rsidR="00D63B70" w:rsidRPr="006D52A9" w:rsidRDefault="00D63B70" w:rsidP="00D63B70">
            <w:pPr>
              <w:rPr>
                <w:rFonts w:ascii="Arial" w:hAnsi="Arial" w:cs="Arial"/>
                <w:sz w:val="16"/>
                <w:szCs w:val="16"/>
              </w:rPr>
            </w:pPr>
          </w:p>
        </w:tc>
        <w:tc>
          <w:tcPr>
            <w:tcW w:w="540" w:type="pct"/>
          </w:tcPr>
          <w:p w14:paraId="114EBBF9" w14:textId="77777777" w:rsidR="00D63B70" w:rsidRPr="006D52A9" w:rsidRDefault="00D63B70" w:rsidP="00D63B70">
            <w:pPr>
              <w:rPr>
                <w:rFonts w:ascii="Arial" w:hAnsi="Arial" w:cs="Arial"/>
                <w:sz w:val="16"/>
                <w:szCs w:val="16"/>
              </w:rPr>
            </w:pPr>
          </w:p>
        </w:tc>
        <w:tc>
          <w:tcPr>
            <w:tcW w:w="591" w:type="pct"/>
          </w:tcPr>
          <w:p w14:paraId="148DE958" w14:textId="77777777" w:rsidR="00D63B70" w:rsidRPr="006D52A9" w:rsidRDefault="00D63B70" w:rsidP="00D63B70">
            <w:pPr>
              <w:rPr>
                <w:rFonts w:ascii="Arial" w:hAnsi="Arial" w:cs="Arial"/>
                <w:sz w:val="16"/>
                <w:szCs w:val="16"/>
              </w:rPr>
            </w:pPr>
            <w:r w:rsidRPr="006D52A9">
              <w:rPr>
                <w:rFonts w:ascii="Arial" w:hAnsi="Arial" w:cs="Arial"/>
                <w:sz w:val="16"/>
                <w:szCs w:val="16"/>
              </w:rPr>
              <w:t>BOSENTAN DR.REDDY’S</w:t>
            </w:r>
          </w:p>
        </w:tc>
        <w:tc>
          <w:tcPr>
            <w:tcW w:w="894" w:type="pct"/>
          </w:tcPr>
          <w:p w14:paraId="233D9D0D"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0DBECB86" w14:textId="77777777" w:rsidR="00D63B70" w:rsidRPr="006D52A9" w:rsidDel="004B5277" w:rsidRDefault="00D63B70" w:rsidP="00D63B70">
            <w:pPr>
              <w:rPr>
                <w:rFonts w:ascii="Arial" w:hAnsi="Arial" w:cs="Arial"/>
                <w:sz w:val="16"/>
                <w:szCs w:val="16"/>
              </w:rPr>
            </w:pPr>
          </w:p>
        </w:tc>
        <w:tc>
          <w:tcPr>
            <w:tcW w:w="499" w:type="pct"/>
          </w:tcPr>
          <w:p w14:paraId="6B92985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1EA1D96"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43DFC6F7" w14:textId="77777777" w:rsidTr="00A91628">
        <w:tblPrEx>
          <w:tblBorders>
            <w:top w:val="single" w:sz="4" w:space="0" w:color="auto"/>
          </w:tblBorders>
        </w:tblPrEx>
        <w:trPr>
          <w:cantSplit/>
          <w:tblCellSpacing w:w="22" w:type="dxa"/>
        </w:trPr>
        <w:tc>
          <w:tcPr>
            <w:tcW w:w="508" w:type="pct"/>
          </w:tcPr>
          <w:p w14:paraId="22DFBDC3" w14:textId="77777777" w:rsidR="00D63B70" w:rsidRPr="006D52A9" w:rsidDel="004B5277" w:rsidRDefault="00D63B70" w:rsidP="00D63B70">
            <w:pPr>
              <w:rPr>
                <w:rFonts w:ascii="Arial" w:hAnsi="Arial" w:cs="Arial"/>
                <w:sz w:val="16"/>
                <w:szCs w:val="16"/>
              </w:rPr>
            </w:pPr>
          </w:p>
        </w:tc>
        <w:tc>
          <w:tcPr>
            <w:tcW w:w="943" w:type="pct"/>
          </w:tcPr>
          <w:p w14:paraId="7C7FAF9D" w14:textId="77777777" w:rsidR="00D63B70" w:rsidRPr="006D52A9" w:rsidDel="004B5277" w:rsidRDefault="00D63B70" w:rsidP="00D63B70">
            <w:pPr>
              <w:rPr>
                <w:rFonts w:ascii="Arial" w:hAnsi="Arial" w:cs="Arial"/>
                <w:sz w:val="16"/>
                <w:szCs w:val="16"/>
              </w:rPr>
            </w:pPr>
          </w:p>
        </w:tc>
        <w:tc>
          <w:tcPr>
            <w:tcW w:w="540" w:type="pct"/>
          </w:tcPr>
          <w:p w14:paraId="498108B4" w14:textId="77777777" w:rsidR="00D63B70" w:rsidRPr="006D52A9" w:rsidDel="004B5277" w:rsidRDefault="00D63B70" w:rsidP="00D63B70">
            <w:pPr>
              <w:rPr>
                <w:rFonts w:ascii="Arial" w:hAnsi="Arial" w:cs="Arial"/>
                <w:sz w:val="16"/>
                <w:szCs w:val="16"/>
              </w:rPr>
            </w:pPr>
          </w:p>
        </w:tc>
        <w:tc>
          <w:tcPr>
            <w:tcW w:w="591" w:type="pct"/>
          </w:tcPr>
          <w:p w14:paraId="7637C62B"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Mylan</w:t>
            </w:r>
          </w:p>
        </w:tc>
        <w:tc>
          <w:tcPr>
            <w:tcW w:w="894" w:type="pct"/>
          </w:tcPr>
          <w:p w14:paraId="54BA4539" w14:textId="77777777" w:rsidR="00D63B70" w:rsidRPr="006D52A9" w:rsidDel="004B5277"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08FE813D" w14:textId="77777777" w:rsidR="00D63B70" w:rsidRPr="006D52A9" w:rsidDel="004B5277" w:rsidRDefault="00D63B70" w:rsidP="00D63B70">
            <w:pPr>
              <w:rPr>
                <w:rFonts w:ascii="Arial" w:hAnsi="Arial" w:cs="Arial"/>
                <w:sz w:val="16"/>
                <w:szCs w:val="16"/>
              </w:rPr>
            </w:pPr>
          </w:p>
        </w:tc>
        <w:tc>
          <w:tcPr>
            <w:tcW w:w="499" w:type="pct"/>
          </w:tcPr>
          <w:p w14:paraId="26B0B95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4C3BABD"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126AC9F2" w14:textId="77777777" w:rsidTr="00A91628">
        <w:tblPrEx>
          <w:tblBorders>
            <w:top w:val="single" w:sz="4" w:space="0" w:color="auto"/>
          </w:tblBorders>
        </w:tblPrEx>
        <w:trPr>
          <w:cantSplit/>
          <w:tblCellSpacing w:w="22" w:type="dxa"/>
        </w:trPr>
        <w:tc>
          <w:tcPr>
            <w:tcW w:w="508" w:type="pct"/>
          </w:tcPr>
          <w:p w14:paraId="7AE0D78E" w14:textId="77777777" w:rsidR="00D63B70" w:rsidRPr="006D52A9" w:rsidDel="004B5277" w:rsidRDefault="00D63B70" w:rsidP="00D63B70">
            <w:pPr>
              <w:rPr>
                <w:rFonts w:ascii="Arial" w:hAnsi="Arial" w:cs="Arial"/>
                <w:sz w:val="16"/>
                <w:szCs w:val="16"/>
              </w:rPr>
            </w:pPr>
          </w:p>
        </w:tc>
        <w:tc>
          <w:tcPr>
            <w:tcW w:w="943" w:type="pct"/>
          </w:tcPr>
          <w:p w14:paraId="1EBA5D05" w14:textId="77777777" w:rsidR="00D63B70" w:rsidRPr="006D52A9" w:rsidDel="004B5277" w:rsidRDefault="00D63B70" w:rsidP="00D63B70">
            <w:pPr>
              <w:rPr>
                <w:rFonts w:ascii="Arial" w:hAnsi="Arial" w:cs="Arial"/>
                <w:sz w:val="16"/>
                <w:szCs w:val="16"/>
              </w:rPr>
            </w:pPr>
          </w:p>
        </w:tc>
        <w:tc>
          <w:tcPr>
            <w:tcW w:w="540" w:type="pct"/>
          </w:tcPr>
          <w:p w14:paraId="6E8F5B29" w14:textId="77777777" w:rsidR="00D63B70" w:rsidRPr="006D52A9" w:rsidDel="004B5277" w:rsidRDefault="00D63B70" w:rsidP="00D63B70">
            <w:pPr>
              <w:rPr>
                <w:rFonts w:ascii="Arial" w:hAnsi="Arial" w:cs="Arial"/>
                <w:sz w:val="16"/>
                <w:szCs w:val="16"/>
              </w:rPr>
            </w:pPr>
          </w:p>
        </w:tc>
        <w:tc>
          <w:tcPr>
            <w:tcW w:w="591" w:type="pct"/>
          </w:tcPr>
          <w:p w14:paraId="0CA925A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RBX</w:t>
            </w:r>
          </w:p>
        </w:tc>
        <w:tc>
          <w:tcPr>
            <w:tcW w:w="894" w:type="pct"/>
          </w:tcPr>
          <w:p w14:paraId="5015ADDD" w14:textId="77777777" w:rsidR="00D63B70" w:rsidRPr="006D52A9" w:rsidDel="004B5277"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6ABBD458" w14:textId="77777777" w:rsidR="00D63B70" w:rsidRPr="006D52A9" w:rsidDel="004B5277" w:rsidRDefault="00D63B70" w:rsidP="00D63B70">
            <w:pPr>
              <w:rPr>
                <w:rFonts w:ascii="Arial" w:hAnsi="Arial" w:cs="Arial"/>
                <w:sz w:val="16"/>
                <w:szCs w:val="16"/>
              </w:rPr>
            </w:pPr>
          </w:p>
        </w:tc>
        <w:tc>
          <w:tcPr>
            <w:tcW w:w="499" w:type="pct"/>
          </w:tcPr>
          <w:p w14:paraId="42CE24B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964284B"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E8ED827" w14:textId="77777777" w:rsidTr="00A91628">
        <w:tblPrEx>
          <w:tblBorders>
            <w:top w:val="single" w:sz="4" w:space="0" w:color="auto"/>
          </w:tblBorders>
        </w:tblPrEx>
        <w:trPr>
          <w:cantSplit/>
          <w:tblCellSpacing w:w="22" w:type="dxa"/>
        </w:trPr>
        <w:tc>
          <w:tcPr>
            <w:tcW w:w="508" w:type="pct"/>
          </w:tcPr>
          <w:p w14:paraId="25D216C4" w14:textId="77777777" w:rsidR="00D63B70" w:rsidRPr="006D52A9" w:rsidRDefault="00D63B70" w:rsidP="00D63B70">
            <w:pPr>
              <w:rPr>
                <w:rFonts w:ascii="Arial" w:hAnsi="Arial" w:cs="Arial"/>
                <w:sz w:val="16"/>
                <w:szCs w:val="16"/>
              </w:rPr>
            </w:pPr>
          </w:p>
        </w:tc>
        <w:tc>
          <w:tcPr>
            <w:tcW w:w="943" w:type="pct"/>
          </w:tcPr>
          <w:p w14:paraId="07C02C7B" w14:textId="77777777" w:rsidR="00D63B70" w:rsidRPr="006D52A9" w:rsidRDefault="00D63B70" w:rsidP="00D63B70">
            <w:pPr>
              <w:rPr>
                <w:rFonts w:ascii="Arial" w:hAnsi="Arial" w:cs="Arial"/>
                <w:sz w:val="16"/>
                <w:szCs w:val="16"/>
              </w:rPr>
            </w:pPr>
          </w:p>
        </w:tc>
        <w:tc>
          <w:tcPr>
            <w:tcW w:w="540" w:type="pct"/>
          </w:tcPr>
          <w:p w14:paraId="727724E6" w14:textId="77777777" w:rsidR="00D63B70" w:rsidRPr="006D52A9" w:rsidRDefault="00D63B70" w:rsidP="00D63B70">
            <w:pPr>
              <w:rPr>
                <w:rFonts w:ascii="Arial" w:hAnsi="Arial" w:cs="Arial"/>
                <w:sz w:val="16"/>
                <w:szCs w:val="16"/>
              </w:rPr>
            </w:pPr>
          </w:p>
        </w:tc>
        <w:tc>
          <w:tcPr>
            <w:tcW w:w="591" w:type="pct"/>
          </w:tcPr>
          <w:p w14:paraId="5FCF90ED" w14:textId="77777777" w:rsidR="00D63B70" w:rsidRPr="006D52A9" w:rsidRDefault="00D63B70" w:rsidP="00D63B70">
            <w:pPr>
              <w:rPr>
                <w:rFonts w:ascii="Arial" w:hAnsi="Arial" w:cs="Arial"/>
                <w:sz w:val="16"/>
                <w:szCs w:val="16"/>
              </w:rPr>
            </w:pPr>
            <w:r w:rsidRPr="006D52A9">
              <w:rPr>
                <w:rFonts w:ascii="Arial" w:hAnsi="Arial" w:cs="Arial"/>
                <w:sz w:val="16"/>
                <w:szCs w:val="16"/>
              </w:rPr>
              <w:t>Bosentan Sandoz</w:t>
            </w:r>
          </w:p>
        </w:tc>
        <w:tc>
          <w:tcPr>
            <w:tcW w:w="894" w:type="pct"/>
          </w:tcPr>
          <w:p w14:paraId="38F7BA3A" w14:textId="77777777" w:rsidR="00D63B70" w:rsidRPr="006D52A9"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12B00CA7" w14:textId="77777777" w:rsidR="00D63B70" w:rsidRPr="006D52A9" w:rsidRDefault="00D63B70" w:rsidP="00D63B70">
            <w:pPr>
              <w:rPr>
                <w:rFonts w:ascii="Arial" w:hAnsi="Arial" w:cs="Arial"/>
                <w:sz w:val="16"/>
                <w:szCs w:val="16"/>
              </w:rPr>
            </w:pPr>
          </w:p>
        </w:tc>
        <w:tc>
          <w:tcPr>
            <w:tcW w:w="499" w:type="pct"/>
          </w:tcPr>
          <w:p w14:paraId="06E2246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C9A828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3B372759" w14:textId="77777777" w:rsidTr="00A91628">
        <w:tblPrEx>
          <w:tblBorders>
            <w:top w:val="single" w:sz="4" w:space="0" w:color="auto"/>
          </w:tblBorders>
        </w:tblPrEx>
        <w:trPr>
          <w:cantSplit/>
          <w:tblCellSpacing w:w="22" w:type="dxa"/>
        </w:trPr>
        <w:tc>
          <w:tcPr>
            <w:tcW w:w="508" w:type="pct"/>
          </w:tcPr>
          <w:p w14:paraId="090718DA" w14:textId="77777777" w:rsidR="00D63B70" w:rsidRPr="006D52A9" w:rsidDel="004B5277" w:rsidRDefault="00D63B70" w:rsidP="00D63B70">
            <w:pPr>
              <w:rPr>
                <w:rFonts w:ascii="Arial" w:hAnsi="Arial" w:cs="Arial"/>
                <w:sz w:val="16"/>
                <w:szCs w:val="16"/>
              </w:rPr>
            </w:pPr>
          </w:p>
        </w:tc>
        <w:tc>
          <w:tcPr>
            <w:tcW w:w="943" w:type="pct"/>
          </w:tcPr>
          <w:p w14:paraId="70511E03" w14:textId="77777777" w:rsidR="00D63B70" w:rsidRPr="006D52A9" w:rsidDel="004B5277" w:rsidRDefault="00D63B70" w:rsidP="00D63B70">
            <w:pPr>
              <w:rPr>
                <w:rFonts w:ascii="Arial" w:hAnsi="Arial" w:cs="Arial"/>
                <w:sz w:val="16"/>
                <w:szCs w:val="16"/>
              </w:rPr>
            </w:pPr>
          </w:p>
        </w:tc>
        <w:tc>
          <w:tcPr>
            <w:tcW w:w="540" w:type="pct"/>
          </w:tcPr>
          <w:p w14:paraId="72F9497B" w14:textId="77777777" w:rsidR="00D63B70" w:rsidRPr="006D52A9" w:rsidDel="004B5277" w:rsidRDefault="00D63B70" w:rsidP="00D63B70">
            <w:pPr>
              <w:rPr>
                <w:rFonts w:ascii="Arial" w:hAnsi="Arial" w:cs="Arial"/>
                <w:sz w:val="16"/>
                <w:szCs w:val="16"/>
              </w:rPr>
            </w:pPr>
          </w:p>
        </w:tc>
        <w:tc>
          <w:tcPr>
            <w:tcW w:w="591" w:type="pct"/>
          </w:tcPr>
          <w:p w14:paraId="6084DF3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BOSLEER</w:t>
            </w:r>
          </w:p>
        </w:tc>
        <w:tc>
          <w:tcPr>
            <w:tcW w:w="894" w:type="pct"/>
          </w:tcPr>
          <w:p w14:paraId="6473C0E7" w14:textId="77777777" w:rsidR="00D63B70" w:rsidRPr="006D52A9" w:rsidDel="004B5277"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47BC5727" w14:textId="77777777" w:rsidR="00D63B70" w:rsidRPr="006D52A9" w:rsidDel="004B5277" w:rsidRDefault="00D63B70" w:rsidP="00D63B70">
            <w:pPr>
              <w:rPr>
                <w:rFonts w:ascii="Arial" w:hAnsi="Arial" w:cs="Arial"/>
                <w:sz w:val="16"/>
                <w:szCs w:val="16"/>
              </w:rPr>
            </w:pPr>
          </w:p>
        </w:tc>
        <w:tc>
          <w:tcPr>
            <w:tcW w:w="499" w:type="pct"/>
          </w:tcPr>
          <w:p w14:paraId="1F6848F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EC3DE61"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1B79394F" w14:textId="77777777" w:rsidTr="00A91628">
        <w:tblPrEx>
          <w:tblBorders>
            <w:top w:val="single" w:sz="4" w:space="0" w:color="auto"/>
          </w:tblBorders>
        </w:tblPrEx>
        <w:trPr>
          <w:cantSplit/>
          <w:tblCellSpacing w:w="22" w:type="dxa"/>
        </w:trPr>
        <w:tc>
          <w:tcPr>
            <w:tcW w:w="508" w:type="pct"/>
          </w:tcPr>
          <w:p w14:paraId="4DED61C4" w14:textId="77777777" w:rsidR="00D63B70" w:rsidRPr="006D52A9" w:rsidDel="004B5277" w:rsidRDefault="00D63B70" w:rsidP="00D63B70">
            <w:pPr>
              <w:rPr>
                <w:rFonts w:ascii="Arial" w:hAnsi="Arial" w:cs="Arial"/>
                <w:sz w:val="16"/>
                <w:szCs w:val="16"/>
              </w:rPr>
            </w:pPr>
          </w:p>
        </w:tc>
        <w:tc>
          <w:tcPr>
            <w:tcW w:w="943" w:type="pct"/>
          </w:tcPr>
          <w:p w14:paraId="26CC6D47" w14:textId="77777777" w:rsidR="00D63B70" w:rsidRPr="006D52A9" w:rsidDel="004B5277" w:rsidRDefault="00D63B70" w:rsidP="00D63B70">
            <w:pPr>
              <w:rPr>
                <w:rFonts w:ascii="Arial" w:hAnsi="Arial" w:cs="Arial"/>
                <w:sz w:val="16"/>
                <w:szCs w:val="16"/>
              </w:rPr>
            </w:pPr>
          </w:p>
        </w:tc>
        <w:tc>
          <w:tcPr>
            <w:tcW w:w="540" w:type="pct"/>
          </w:tcPr>
          <w:p w14:paraId="0B8904CD" w14:textId="77777777" w:rsidR="00D63B70" w:rsidRPr="006D52A9" w:rsidDel="004B5277" w:rsidRDefault="00D63B70" w:rsidP="00D63B70">
            <w:pPr>
              <w:rPr>
                <w:rFonts w:ascii="Arial" w:hAnsi="Arial" w:cs="Arial"/>
                <w:sz w:val="16"/>
                <w:szCs w:val="16"/>
              </w:rPr>
            </w:pPr>
          </w:p>
        </w:tc>
        <w:tc>
          <w:tcPr>
            <w:tcW w:w="591" w:type="pct"/>
          </w:tcPr>
          <w:p w14:paraId="2289F54E"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Tracleer</w:t>
            </w:r>
          </w:p>
        </w:tc>
        <w:tc>
          <w:tcPr>
            <w:tcW w:w="894" w:type="pct"/>
          </w:tcPr>
          <w:p w14:paraId="21947A18" w14:textId="77777777" w:rsidR="00D63B70" w:rsidRPr="006D52A9" w:rsidDel="004B5277" w:rsidRDefault="00D63B70" w:rsidP="00D63B70">
            <w:pPr>
              <w:rPr>
                <w:rFonts w:ascii="Arial" w:eastAsia="Arial" w:hAnsi="Arial" w:cs="Arial"/>
                <w:sz w:val="16"/>
                <w:szCs w:val="16"/>
                <w:lang w:eastAsia="zh-CN"/>
              </w:rPr>
            </w:pPr>
            <w:r w:rsidRPr="006D52A9">
              <w:rPr>
                <w:rFonts w:ascii="Arial" w:eastAsia="Arial" w:hAnsi="Arial" w:cs="Arial"/>
                <w:sz w:val="16"/>
                <w:szCs w:val="16"/>
                <w:lang w:eastAsia="zh-CN"/>
              </w:rPr>
              <w:t>C10228 C10238 C10924 C10945 C11229 C11312 C11313 C11314 C11317 C11321</w:t>
            </w:r>
          </w:p>
        </w:tc>
        <w:tc>
          <w:tcPr>
            <w:tcW w:w="376" w:type="pct"/>
          </w:tcPr>
          <w:p w14:paraId="581CAC81" w14:textId="77777777" w:rsidR="00D63B70" w:rsidRPr="006D52A9" w:rsidDel="004B5277" w:rsidRDefault="00D63B70" w:rsidP="00D63B70">
            <w:pPr>
              <w:rPr>
                <w:rFonts w:ascii="Arial" w:hAnsi="Arial" w:cs="Arial"/>
                <w:sz w:val="16"/>
                <w:szCs w:val="16"/>
              </w:rPr>
            </w:pPr>
          </w:p>
        </w:tc>
        <w:tc>
          <w:tcPr>
            <w:tcW w:w="499" w:type="pct"/>
          </w:tcPr>
          <w:p w14:paraId="5F12BD2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CEEAD3F"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339C2537" w14:textId="77777777" w:rsidTr="00A91628">
        <w:tblPrEx>
          <w:tblBorders>
            <w:top w:val="single" w:sz="4" w:space="0" w:color="auto"/>
          </w:tblBorders>
        </w:tblPrEx>
        <w:trPr>
          <w:cantSplit/>
          <w:tblCellSpacing w:w="22" w:type="dxa"/>
        </w:trPr>
        <w:tc>
          <w:tcPr>
            <w:tcW w:w="508" w:type="pct"/>
          </w:tcPr>
          <w:p w14:paraId="14984313" w14:textId="77777777" w:rsidR="00D63B70" w:rsidRPr="006D52A9" w:rsidDel="004B5277" w:rsidRDefault="00D63B70" w:rsidP="00D63B70">
            <w:pPr>
              <w:rPr>
                <w:rFonts w:ascii="Arial" w:hAnsi="Arial" w:cs="Arial"/>
                <w:sz w:val="16"/>
                <w:szCs w:val="16"/>
              </w:rPr>
            </w:pPr>
          </w:p>
        </w:tc>
        <w:tc>
          <w:tcPr>
            <w:tcW w:w="943" w:type="pct"/>
          </w:tcPr>
          <w:p w14:paraId="3051EC4C"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Tablet 125 mg (as monohydrate)</w:t>
            </w:r>
          </w:p>
        </w:tc>
        <w:tc>
          <w:tcPr>
            <w:tcW w:w="540" w:type="pct"/>
          </w:tcPr>
          <w:p w14:paraId="51E2E28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818EA07"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APO</w:t>
            </w:r>
          </w:p>
        </w:tc>
        <w:tc>
          <w:tcPr>
            <w:tcW w:w="894" w:type="pct"/>
          </w:tcPr>
          <w:p w14:paraId="3ED6BCA0"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4F0F14CD" w14:textId="77777777" w:rsidR="00D63B70" w:rsidRPr="006D52A9" w:rsidDel="004B5277" w:rsidRDefault="00D63B70" w:rsidP="00D63B70">
            <w:pPr>
              <w:rPr>
                <w:rFonts w:ascii="Arial" w:hAnsi="Arial" w:cs="Arial"/>
                <w:sz w:val="16"/>
                <w:szCs w:val="16"/>
              </w:rPr>
            </w:pPr>
          </w:p>
        </w:tc>
        <w:tc>
          <w:tcPr>
            <w:tcW w:w="499" w:type="pct"/>
          </w:tcPr>
          <w:p w14:paraId="109DCBA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09B5F1A"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2727F93B" w14:textId="77777777" w:rsidTr="00A91628">
        <w:tblPrEx>
          <w:tblBorders>
            <w:top w:val="single" w:sz="4" w:space="0" w:color="auto"/>
          </w:tblBorders>
        </w:tblPrEx>
        <w:trPr>
          <w:cantSplit/>
          <w:tblCellSpacing w:w="22" w:type="dxa"/>
        </w:trPr>
        <w:tc>
          <w:tcPr>
            <w:tcW w:w="508" w:type="pct"/>
          </w:tcPr>
          <w:p w14:paraId="084C6E60" w14:textId="77777777" w:rsidR="00D63B70" w:rsidRPr="006D52A9" w:rsidDel="004B5277" w:rsidRDefault="00D63B70" w:rsidP="00D63B70">
            <w:pPr>
              <w:rPr>
                <w:rFonts w:ascii="Arial" w:hAnsi="Arial" w:cs="Arial"/>
                <w:sz w:val="16"/>
                <w:szCs w:val="16"/>
              </w:rPr>
            </w:pPr>
          </w:p>
        </w:tc>
        <w:tc>
          <w:tcPr>
            <w:tcW w:w="943" w:type="pct"/>
          </w:tcPr>
          <w:p w14:paraId="7732FF9C" w14:textId="77777777" w:rsidR="00D63B70" w:rsidRPr="006D52A9" w:rsidRDefault="00D63B70" w:rsidP="00D63B70">
            <w:pPr>
              <w:rPr>
                <w:rFonts w:ascii="Arial" w:hAnsi="Arial" w:cs="Arial"/>
                <w:sz w:val="16"/>
                <w:szCs w:val="16"/>
              </w:rPr>
            </w:pPr>
          </w:p>
        </w:tc>
        <w:tc>
          <w:tcPr>
            <w:tcW w:w="540" w:type="pct"/>
          </w:tcPr>
          <w:p w14:paraId="7A850059" w14:textId="77777777" w:rsidR="00D63B70" w:rsidRPr="006D52A9" w:rsidRDefault="00D63B70" w:rsidP="00D63B70">
            <w:pPr>
              <w:rPr>
                <w:rFonts w:ascii="Arial" w:hAnsi="Arial" w:cs="Arial"/>
                <w:sz w:val="16"/>
                <w:szCs w:val="16"/>
              </w:rPr>
            </w:pPr>
          </w:p>
        </w:tc>
        <w:tc>
          <w:tcPr>
            <w:tcW w:w="591" w:type="pct"/>
          </w:tcPr>
          <w:p w14:paraId="5B6B6020"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Bosentan Cipla</w:t>
            </w:r>
          </w:p>
        </w:tc>
        <w:tc>
          <w:tcPr>
            <w:tcW w:w="894" w:type="pct"/>
          </w:tcPr>
          <w:p w14:paraId="415386F6"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3C6D7551" w14:textId="77777777" w:rsidR="00D63B70" w:rsidRPr="006D52A9" w:rsidDel="004B5277" w:rsidRDefault="00D63B70" w:rsidP="00D63B70">
            <w:pPr>
              <w:rPr>
                <w:rFonts w:ascii="Arial" w:hAnsi="Arial" w:cs="Arial"/>
                <w:sz w:val="16"/>
                <w:szCs w:val="16"/>
              </w:rPr>
            </w:pPr>
          </w:p>
        </w:tc>
        <w:tc>
          <w:tcPr>
            <w:tcW w:w="499" w:type="pct"/>
          </w:tcPr>
          <w:p w14:paraId="4E3A781F"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41F12FB"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 xml:space="preserve">See </w:t>
            </w:r>
            <w:r w:rsidR="003E082A" w:rsidRPr="006D52A9">
              <w:rPr>
                <w:rFonts w:ascii="Arial" w:hAnsi="Arial" w:cs="Arial"/>
                <w:color w:val="000000"/>
                <w:sz w:val="16"/>
                <w:szCs w:val="16"/>
              </w:rPr>
              <w:t>Schedule 2</w:t>
            </w:r>
          </w:p>
        </w:tc>
      </w:tr>
      <w:tr w:rsidR="00D63B70" w:rsidRPr="006D52A9" w:rsidDel="004B5277" w14:paraId="21B9532A" w14:textId="77777777" w:rsidTr="00A91628">
        <w:tblPrEx>
          <w:tblBorders>
            <w:top w:val="single" w:sz="4" w:space="0" w:color="auto"/>
          </w:tblBorders>
        </w:tblPrEx>
        <w:trPr>
          <w:cantSplit/>
          <w:tblCellSpacing w:w="22" w:type="dxa"/>
        </w:trPr>
        <w:tc>
          <w:tcPr>
            <w:tcW w:w="508" w:type="pct"/>
          </w:tcPr>
          <w:p w14:paraId="4391224D" w14:textId="77777777" w:rsidR="00D63B70" w:rsidRPr="006D52A9" w:rsidDel="004B5277" w:rsidRDefault="00D63B70" w:rsidP="00D63B70">
            <w:pPr>
              <w:rPr>
                <w:rFonts w:ascii="Arial" w:hAnsi="Arial" w:cs="Arial"/>
                <w:sz w:val="16"/>
                <w:szCs w:val="16"/>
              </w:rPr>
            </w:pPr>
          </w:p>
        </w:tc>
        <w:tc>
          <w:tcPr>
            <w:tcW w:w="943" w:type="pct"/>
          </w:tcPr>
          <w:p w14:paraId="31DDC3F5" w14:textId="77777777" w:rsidR="00D63B70" w:rsidRPr="006D52A9" w:rsidRDefault="00D63B70" w:rsidP="00D63B70">
            <w:pPr>
              <w:rPr>
                <w:rFonts w:ascii="Arial" w:hAnsi="Arial" w:cs="Arial"/>
                <w:sz w:val="16"/>
                <w:szCs w:val="16"/>
              </w:rPr>
            </w:pPr>
          </w:p>
        </w:tc>
        <w:tc>
          <w:tcPr>
            <w:tcW w:w="540" w:type="pct"/>
          </w:tcPr>
          <w:p w14:paraId="23B35BA2" w14:textId="77777777" w:rsidR="00D63B70" w:rsidRPr="006D52A9" w:rsidRDefault="00D63B70" w:rsidP="00D63B70">
            <w:pPr>
              <w:rPr>
                <w:rFonts w:ascii="Arial" w:hAnsi="Arial" w:cs="Arial"/>
                <w:sz w:val="16"/>
                <w:szCs w:val="16"/>
              </w:rPr>
            </w:pPr>
          </w:p>
        </w:tc>
        <w:tc>
          <w:tcPr>
            <w:tcW w:w="591" w:type="pct"/>
          </w:tcPr>
          <w:p w14:paraId="32CF1039" w14:textId="77777777" w:rsidR="00D63B70" w:rsidRPr="006D52A9" w:rsidRDefault="00D63B70" w:rsidP="00D63B70">
            <w:pPr>
              <w:rPr>
                <w:rFonts w:ascii="Arial" w:hAnsi="Arial" w:cs="Arial"/>
                <w:sz w:val="16"/>
                <w:szCs w:val="16"/>
              </w:rPr>
            </w:pPr>
            <w:r w:rsidRPr="006D52A9">
              <w:rPr>
                <w:rFonts w:ascii="Arial" w:hAnsi="Arial" w:cs="Arial"/>
                <w:sz w:val="16"/>
                <w:szCs w:val="16"/>
              </w:rPr>
              <w:t>BOSENTAN DR.REDDY’S</w:t>
            </w:r>
          </w:p>
        </w:tc>
        <w:tc>
          <w:tcPr>
            <w:tcW w:w="894" w:type="pct"/>
          </w:tcPr>
          <w:p w14:paraId="4CAE214A"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4F3FF1C4" w14:textId="77777777" w:rsidR="00D63B70" w:rsidRPr="006D52A9" w:rsidDel="004B5277" w:rsidRDefault="00D63B70" w:rsidP="00D63B70">
            <w:pPr>
              <w:rPr>
                <w:rFonts w:ascii="Arial" w:hAnsi="Arial" w:cs="Arial"/>
                <w:sz w:val="16"/>
                <w:szCs w:val="16"/>
              </w:rPr>
            </w:pPr>
          </w:p>
        </w:tc>
        <w:tc>
          <w:tcPr>
            <w:tcW w:w="499" w:type="pct"/>
          </w:tcPr>
          <w:p w14:paraId="632ADCE5"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E691E38"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6BFF86A3" w14:textId="77777777" w:rsidTr="00A91628">
        <w:tblPrEx>
          <w:tblBorders>
            <w:top w:val="single" w:sz="4" w:space="0" w:color="auto"/>
          </w:tblBorders>
        </w:tblPrEx>
        <w:trPr>
          <w:cantSplit/>
          <w:tblCellSpacing w:w="22" w:type="dxa"/>
        </w:trPr>
        <w:tc>
          <w:tcPr>
            <w:tcW w:w="508" w:type="pct"/>
          </w:tcPr>
          <w:p w14:paraId="5DB83FCF" w14:textId="77777777" w:rsidR="00D63B70" w:rsidRPr="006D52A9" w:rsidDel="004B5277" w:rsidRDefault="00D63B70" w:rsidP="00D63B70">
            <w:pPr>
              <w:rPr>
                <w:rFonts w:ascii="Arial" w:hAnsi="Arial" w:cs="Arial"/>
                <w:sz w:val="16"/>
                <w:szCs w:val="16"/>
              </w:rPr>
            </w:pPr>
          </w:p>
        </w:tc>
        <w:tc>
          <w:tcPr>
            <w:tcW w:w="943" w:type="pct"/>
          </w:tcPr>
          <w:p w14:paraId="0074C1F8" w14:textId="77777777" w:rsidR="00D63B70" w:rsidRPr="006D52A9" w:rsidDel="004B5277" w:rsidRDefault="00D63B70" w:rsidP="00D63B70">
            <w:pPr>
              <w:rPr>
                <w:rFonts w:ascii="Arial" w:hAnsi="Arial" w:cs="Arial"/>
                <w:sz w:val="16"/>
                <w:szCs w:val="16"/>
              </w:rPr>
            </w:pPr>
          </w:p>
        </w:tc>
        <w:tc>
          <w:tcPr>
            <w:tcW w:w="540" w:type="pct"/>
          </w:tcPr>
          <w:p w14:paraId="1A41EB70" w14:textId="77777777" w:rsidR="00D63B70" w:rsidRPr="006D52A9" w:rsidDel="004B5277" w:rsidRDefault="00D63B70" w:rsidP="00D63B70">
            <w:pPr>
              <w:rPr>
                <w:rFonts w:ascii="Arial" w:hAnsi="Arial" w:cs="Arial"/>
                <w:sz w:val="16"/>
                <w:szCs w:val="16"/>
              </w:rPr>
            </w:pPr>
          </w:p>
        </w:tc>
        <w:tc>
          <w:tcPr>
            <w:tcW w:w="591" w:type="pct"/>
          </w:tcPr>
          <w:p w14:paraId="6DF1DED5"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GH</w:t>
            </w:r>
          </w:p>
        </w:tc>
        <w:tc>
          <w:tcPr>
            <w:tcW w:w="894" w:type="pct"/>
          </w:tcPr>
          <w:p w14:paraId="72FE9117"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2B1123C1" w14:textId="77777777" w:rsidR="00D63B70" w:rsidRPr="006D52A9" w:rsidDel="004B5277" w:rsidRDefault="00D63B70" w:rsidP="00D63B70">
            <w:pPr>
              <w:rPr>
                <w:rFonts w:ascii="Arial" w:hAnsi="Arial" w:cs="Arial"/>
                <w:sz w:val="16"/>
                <w:szCs w:val="16"/>
              </w:rPr>
            </w:pPr>
          </w:p>
        </w:tc>
        <w:tc>
          <w:tcPr>
            <w:tcW w:w="499" w:type="pct"/>
          </w:tcPr>
          <w:p w14:paraId="4B957B7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0ADF0E6"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15B1EA29" w14:textId="77777777" w:rsidTr="00A91628">
        <w:tblPrEx>
          <w:tblBorders>
            <w:top w:val="single" w:sz="4" w:space="0" w:color="auto"/>
          </w:tblBorders>
        </w:tblPrEx>
        <w:trPr>
          <w:cantSplit/>
          <w:tblCellSpacing w:w="22" w:type="dxa"/>
        </w:trPr>
        <w:tc>
          <w:tcPr>
            <w:tcW w:w="508" w:type="pct"/>
          </w:tcPr>
          <w:p w14:paraId="44DD084F" w14:textId="77777777" w:rsidR="00D63B70" w:rsidRPr="006D52A9" w:rsidDel="004B5277" w:rsidRDefault="00D63B70" w:rsidP="00D63B70">
            <w:pPr>
              <w:rPr>
                <w:rFonts w:ascii="Arial" w:hAnsi="Arial" w:cs="Arial"/>
                <w:sz w:val="16"/>
                <w:szCs w:val="16"/>
              </w:rPr>
            </w:pPr>
          </w:p>
        </w:tc>
        <w:tc>
          <w:tcPr>
            <w:tcW w:w="943" w:type="pct"/>
          </w:tcPr>
          <w:p w14:paraId="6E94AA85" w14:textId="77777777" w:rsidR="00D63B70" w:rsidRPr="006D52A9" w:rsidDel="004B5277" w:rsidRDefault="00D63B70" w:rsidP="00D63B70">
            <w:pPr>
              <w:rPr>
                <w:rFonts w:ascii="Arial" w:hAnsi="Arial" w:cs="Arial"/>
                <w:sz w:val="16"/>
                <w:szCs w:val="16"/>
              </w:rPr>
            </w:pPr>
          </w:p>
        </w:tc>
        <w:tc>
          <w:tcPr>
            <w:tcW w:w="540" w:type="pct"/>
          </w:tcPr>
          <w:p w14:paraId="585E98C4" w14:textId="77777777" w:rsidR="00D63B70" w:rsidRPr="006D52A9" w:rsidDel="004B5277" w:rsidRDefault="00D63B70" w:rsidP="00D63B70">
            <w:pPr>
              <w:rPr>
                <w:rFonts w:ascii="Arial" w:hAnsi="Arial" w:cs="Arial"/>
                <w:sz w:val="16"/>
                <w:szCs w:val="16"/>
              </w:rPr>
            </w:pPr>
          </w:p>
        </w:tc>
        <w:tc>
          <w:tcPr>
            <w:tcW w:w="591" w:type="pct"/>
          </w:tcPr>
          <w:p w14:paraId="4017792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Mylan</w:t>
            </w:r>
          </w:p>
        </w:tc>
        <w:tc>
          <w:tcPr>
            <w:tcW w:w="894" w:type="pct"/>
          </w:tcPr>
          <w:p w14:paraId="5F8EF6B3"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0A9B19B5" w14:textId="77777777" w:rsidR="00D63B70" w:rsidRPr="006D52A9" w:rsidDel="004B5277" w:rsidRDefault="00D63B70" w:rsidP="00D63B70">
            <w:pPr>
              <w:rPr>
                <w:rFonts w:ascii="Arial" w:hAnsi="Arial" w:cs="Arial"/>
                <w:sz w:val="16"/>
                <w:szCs w:val="16"/>
              </w:rPr>
            </w:pPr>
          </w:p>
        </w:tc>
        <w:tc>
          <w:tcPr>
            <w:tcW w:w="499" w:type="pct"/>
          </w:tcPr>
          <w:p w14:paraId="7B35DEB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CADE187"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0395A16F" w14:textId="77777777" w:rsidTr="00A91628">
        <w:tblPrEx>
          <w:tblBorders>
            <w:top w:val="single" w:sz="4" w:space="0" w:color="auto"/>
          </w:tblBorders>
        </w:tblPrEx>
        <w:trPr>
          <w:cantSplit/>
          <w:tblCellSpacing w:w="22" w:type="dxa"/>
        </w:trPr>
        <w:tc>
          <w:tcPr>
            <w:tcW w:w="508" w:type="pct"/>
          </w:tcPr>
          <w:p w14:paraId="6570F2DF" w14:textId="77777777" w:rsidR="00D63B70" w:rsidRPr="006D52A9" w:rsidDel="004B5277" w:rsidRDefault="00D63B70" w:rsidP="00D63B70">
            <w:pPr>
              <w:rPr>
                <w:rFonts w:ascii="Arial" w:hAnsi="Arial" w:cs="Arial"/>
                <w:sz w:val="16"/>
                <w:szCs w:val="16"/>
              </w:rPr>
            </w:pPr>
          </w:p>
        </w:tc>
        <w:tc>
          <w:tcPr>
            <w:tcW w:w="943" w:type="pct"/>
          </w:tcPr>
          <w:p w14:paraId="392235E5" w14:textId="77777777" w:rsidR="00D63B70" w:rsidRPr="006D52A9" w:rsidDel="004B5277" w:rsidRDefault="00D63B70" w:rsidP="00D63B70">
            <w:pPr>
              <w:rPr>
                <w:rFonts w:ascii="Arial" w:hAnsi="Arial" w:cs="Arial"/>
                <w:sz w:val="16"/>
                <w:szCs w:val="16"/>
              </w:rPr>
            </w:pPr>
          </w:p>
        </w:tc>
        <w:tc>
          <w:tcPr>
            <w:tcW w:w="540" w:type="pct"/>
          </w:tcPr>
          <w:p w14:paraId="707A66B5" w14:textId="77777777" w:rsidR="00D63B70" w:rsidRPr="006D52A9" w:rsidDel="004B5277" w:rsidRDefault="00D63B70" w:rsidP="00D63B70">
            <w:pPr>
              <w:rPr>
                <w:rFonts w:ascii="Arial" w:hAnsi="Arial" w:cs="Arial"/>
                <w:sz w:val="16"/>
                <w:szCs w:val="16"/>
              </w:rPr>
            </w:pPr>
          </w:p>
        </w:tc>
        <w:tc>
          <w:tcPr>
            <w:tcW w:w="591" w:type="pct"/>
          </w:tcPr>
          <w:p w14:paraId="22C329C3"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RBX</w:t>
            </w:r>
          </w:p>
        </w:tc>
        <w:tc>
          <w:tcPr>
            <w:tcW w:w="894" w:type="pct"/>
          </w:tcPr>
          <w:p w14:paraId="3425E8FE"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2D68393B" w14:textId="77777777" w:rsidR="00D63B70" w:rsidRPr="006D52A9" w:rsidDel="004B5277" w:rsidRDefault="00D63B70" w:rsidP="00D63B70">
            <w:pPr>
              <w:rPr>
                <w:rFonts w:ascii="Arial" w:hAnsi="Arial" w:cs="Arial"/>
                <w:sz w:val="16"/>
                <w:szCs w:val="16"/>
              </w:rPr>
            </w:pPr>
          </w:p>
        </w:tc>
        <w:tc>
          <w:tcPr>
            <w:tcW w:w="499" w:type="pct"/>
          </w:tcPr>
          <w:p w14:paraId="126867E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A679A4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5D7AEA85" w14:textId="77777777" w:rsidTr="00A91628">
        <w:tblPrEx>
          <w:tblBorders>
            <w:top w:val="single" w:sz="4" w:space="0" w:color="auto"/>
          </w:tblBorders>
        </w:tblPrEx>
        <w:trPr>
          <w:cantSplit/>
          <w:tblCellSpacing w:w="22" w:type="dxa"/>
        </w:trPr>
        <w:tc>
          <w:tcPr>
            <w:tcW w:w="508" w:type="pct"/>
          </w:tcPr>
          <w:p w14:paraId="1E5ECF6E" w14:textId="77777777" w:rsidR="00D63B70" w:rsidRPr="006D52A9" w:rsidDel="004B5277" w:rsidRDefault="00D63B70" w:rsidP="00D63B70">
            <w:pPr>
              <w:rPr>
                <w:rFonts w:ascii="Arial" w:hAnsi="Arial" w:cs="Arial"/>
                <w:sz w:val="16"/>
                <w:szCs w:val="16"/>
              </w:rPr>
            </w:pPr>
          </w:p>
        </w:tc>
        <w:tc>
          <w:tcPr>
            <w:tcW w:w="943" w:type="pct"/>
          </w:tcPr>
          <w:p w14:paraId="364879F7" w14:textId="77777777" w:rsidR="00D63B70" w:rsidRPr="006D52A9" w:rsidDel="004B5277" w:rsidRDefault="00D63B70" w:rsidP="00D63B70">
            <w:pPr>
              <w:rPr>
                <w:rFonts w:ascii="Arial" w:hAnsi="Arial" w:cs="Arial"/>
                <w:sz w:val="16"/>
                <w:szCs w:val="16"/>
              </w:rPr>
            </w:pPr>
          </w:p>
        </w:tc>
        <w:tc>
          <w:tcPr>
            <w:tcW w:w="540" w:type="pct"/>
          </w:tcPr>
          <w:p w14:paraId="157BCBC1" w14:textId="77777777" w:rsidR="00D63B70" w:rsidRPr="006D52A9" w:rsidDel="004B5277" w:rsidRDefault="00D63B70" w:rsidP="00D63B70">
            <w:pPr>
              <w:rPr>
                <w:rFonts w:ascii="Arial" w:hAnsi="Arial" w:cs="Arial"/>
                <w:sz w:val="16"/>
                <w:szCs w:val="16"/>
              </w:rPr>
            </w:pPr>
          </w:p>
        </w:tc>
        <w:tc>
          <w:tcPr>
            <w:tcW w:w="591" w:type="pct"/>
          </w:tcPr>
          <w:p w14:paraId="4944687B"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Bosentan Sandoz</w:t>
            </w:r>
          </w:p>
        </w:tc>
        <w:tc>
          <w:tcPr>
            <w:tcW w:w="894" w:type="pct"/>
          </w:tcPr>
          <w:p w14:paraId="6069077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384FE600" w14:textId="77777777" w:rsidR="00D63B70" w:rsidRPr="006D52A9" w:rsidDel="004B5277" w:rsidRDefault="00D63B70" w:rsidP="00D63B70">
            <w:pPr>
              <w:rPr>
                <w:rFonts w:ascii="Arial" w:hAnsi="Arial" w:cs="Arial"/>
                <w:sz w:val="16"/>
                <w:szCs w:val="16"/>
              </w:rPr>
            </w:pPr>
          </w:p>
        </w:tc>
        <w:tc>
          <w:tcPr>
            <w:tcW w:w="499" w:type="pct"/>
          </w:tcPr>
          <w:p w14:paraId="6C37675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48355AF"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47A0050C" w14:textId="77777777" w:rsidTr="00A91628">
        <w:tblPrEx>
          <w:tblBorders>
            <w:top w:val="single" w:sz="4" w:space="0" w:color="auto"/>
          </w:tblBorders>
        </w:tblPrEx>
        <w:trPr>
          <w:cantSplit/>
          <w:tblCellSpacing w:w="22" w:type="dxa"/>
        </w:trPr>
        <w:tc>
          <w:tcPr>
            <w:tcW w:w="508" w:type="pct"/>
          </w:tcPr>
          <w:p w14:paraId="4F83E940" w14:textId="77777777" w:rsidR="00D63B70" w:rsidRPr="006D52A9" w:rsidDel="004B5277" w:rsidRDefault="00D63B70" w:rsidP="00D63B70">
            <w:pPr>
              <w:rPr>
                <w:rFonts w:ascii="Arial" w:hAnsi="Arial" w:cs="Arial"/>
                <w:sz w:val="16"/>
                <w:szCs w:val="16"/>
              </w:rPr>
            </w:pPr>
          </w:p>
        </w:tc>
        <w:tc>
          <w:tcPr>
            <w:tcW w:w="943" w:type="pct"/>
          </w:tcPr>
          <w:p w14:paraId="12981C89" w14:textId="77777777" w:rsidR="00D63B70" w:rsidRPr="006D52A9" w:rsidDel="004B5277" w:rsidRDefault="00D63B70" w:rsidP="00D63B70">
            <w:pPr>
              <w:rPr>
                <w:rFonts w:ascii="Arial" w:hAnsi="Arial" w:cs="Arial"/>
                <w:sz w:val="16"/>
                <w:szCs w:val="16"/>
              </w:rPr>
            </w:pPr>
          </w:p>
        </w:tc>
        <w:tc>
          <w:tcPr>
            <w:tcW w:w="540" w:type="pct"/>
          </w:tcPr>
          <w:p w14:paraId="708B76E7" w14:textId="77777777" w:rsidR="00D63B70" w:rsidRPr="006D52A9" w:rsidDel="004B5277" w:rsidRDefault="00D63B70" w:rsidP="00D63B70">
            <w:pPr>
              <w:rPr>
                <w:rFonts w:ascii="Arial" w:hAnsi="Arial" w:cs="Arial"/>
                <w:sz w:val="16"/>
                <w:szCs w:val="16"/>
              </w:rPr>
            </w:pPr>
          </w:p>
        </w:tc>
        <w:tc>
          <w:tcPr>
            <w:tcW w:w="591" w:type="pct"/>
          </w:tcPr>
          <w:p w14:paraId="315D7288"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BOSLEER</w:t>
            </w:r>
          </w:p>
        </w:tc>
        <w:tc>
          <w:tcPr>
            <w:tcW w:w="894" w:type="pct"/>
          </w:tcPr>
          <w:p w14:paraId="68FF938F"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2FCCD215" w14:textId="77777777" w:rsidR="00D63B70" w:rsidRPr="006D52A9" w:rsidDel="004B5277" w:rsidRDefault="00D63B70" w:rsidP="00D63B70">
            <w:pPr>
              <w:rPr>
                <w:rFonts w:ascii="Arial" w:hAnsi="Arial" w:cs="Arial"/>
                <w:sz w:val="16"/>
                <w:szCs w:val="16"/>
              </w:rPr>
            </w:pPr>
          </w:p>
        </w:tc>
        <w:tc>
          <w:tcPr>
            <w:tcW w:w="499" w:type="pct"/>
          </w:tcPr>
          <w:p w14:paraId="5FA4302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8D7BDFA"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07FBFC76" w14:textId="77777777" w:rsidTr="00A91628">
        <w:tblPrEx>
          <w:tblBorders>
            <w:top w:val="single" w:sz="4" w:space="0" w:color="auto"/>
          </w:tblBorders>
        </w:tblPrEx>
        <w:trPr>
          <w:cantSplit/>
          <w:tblCellSpacing w:w="22" w:type="dxa"/>
        </w:trPr>
        <w:tc>
          <w:tcPr>
            <w:tcW w:w="508" w:type="pct"/>
          </w:tcPr>
          <w:p w14:paraId="60EE8668" w14:textId="77777777" w:rsidR="00D63B70" w:rsidRPr="006D52A9" w:rsidDel="004B5277" w:rsidRDefault="00D63B70" w:rsidP="00D63B70">
            <w:pPr>
              <w:rPr>
                <w:rFonts w:ascii="Arial" w:hAnsi="Arial" w:cs="Arial"/>
                <w:sz w:val="16"/>
                <w:szCs w:val="16"/>
              </w:rPr>
            </w:pPr>
          </w:p>
        </w:tc>
        <w:tc>
          <w:tcPr>
            <w:tcW w:w="943" w:type="pct"/>
          </w:tcPr>
          <w:p w14:paraId="39A736F2" w14:textId="77777777" w:rsidR="00D63B70" w:rsidRPr="006D52A9" w:rsidDel="004B5277" w:rsidRDefault="00D63B70" w:rsidP="00D63B70">
            <w:pPr>
              <w:rPr>
                <w:rFonts w:ascii="Arial" w:hAnsi="Arial" w:cs="Arial"/>
                <w:sz w:val="16"/>
                <w:szCs w:val="16"/>
              </w:rPr>
            </w:pPr>
          </w:p>
        </w:tc>
        <w:tc>
          <w:tcPr>
            <w:tcW w:w="540" w:type="pct"/>
          </w:tcPr>
          <w:p w14:paraId="5EF3C2B8" w14:textId="77777777" w:rsidR="00D63B70" w:rsidRPr="006D52A9" w:rsidDel="004B5277" w:rsidRDefault="00D63B70" w:rsidP="00D63B70">
            <w:pPr>
              <w:rPr>
                <w:rFonts w:ascii="Arial" w:hAnsi="Arial" w:cs="Arial"/>
                <w:sz w:val="16"/>
                <w:szCs w:val="16"/>
              </w:rPr>
            </w:pPr>
          </w:p>
        </w:tc>
        <w:tc>
          <w:tcPr>
            <w:tcW w:w="591" w:type="pct"/>
          </w:tcPr>
          <w:p w14:paraId="488200C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Tracleer</w:t>
            </w:r>
          </w:p>
        </w:tc>
        <w:tc>
          <w:tcPr>
            <w:tcW w:w="894" w:type="pct"/>
          </w:tcPr>
          <w:p w14:paraId="3E63EC3E"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C10228 C10924 C10945 C11229 C11312 C11313 C11314 C11317 C11321</w:t>
            </w:r>
          </w:p>
        </w:tc>
        <w:tc>
          <w:tcPr>
            <w:tcW w:w="376" w:type="pct"/>
          </w:tcPr>
          <w:p w14:paraId="1A6AD13B" w14:textId="77777777" w:rsidR="00D63B70" w:rsidRPr="006D52A9" w:rsidDel="004B5277" w:rsidRDefault="00D63B70" w:rsidP="00D63B70">
            <w:pPr>
              <w:rPr>
                <w:rFonts w:ascii="Arial" w:hAnsi="Arial" w:cs="Arial"/>
                <w:sz w:val="16"/>
                <w:szCs w:val="16"/>
              </w:rPr>
            </w:pPr>
          </w:p>
        </w:tc>
        <w:tc>
          <w:tcPr>
            <w:tcW w:w="499" w:type="pct"/>
          </w:tcPr>
          <w:p w14:paraId="0EE97B9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E36D0FB"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B5277" w14:paraId="600BB392" w14:textId="77777777" w:rsidTr="00A91628">
        <w:tblPrEx>
          <w:tblBorders>
            <w:top w:val="single" w:sz="4" w:space="0" w:color="auto"/>
          </w:tblBorders>
        </w:tblPrEx>
        <w:trPr>
          <w:cantSplit/>
          <w:tblCellSpacing w:w="22" w:type="dxa"/>
        </w:trPr>
        <w:tc>
          <w:tcPr>
            <w:tcW w:w="508" w:type="pct"/>
          </w:tcPr>
          <w:p w14:paraId="6910F516"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lastRenderedPageBreak/>
              <w:t>Ciclosporin</w:t>
            </w:r>
          </w:p>
        </w:tc>
        <w:tc>
          <w:tcPr>
            <w:tcW w:w="943" w:type="pct"/>
          </w:tcPr>
          <w:p w14:paraId="4A972C00"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Capsule 10 mg</w:t>
            </w:r>
          </w:p>
        </w:tc>
        <w:tc>
          <w:tcPr>
            <w:tcW w:w="540" w:type="pct"/>
          </w:tcPr>
          <w:p w14:paraId="247FE221"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912D591" w14:textId="77777777" w:rsidR="00D63B70" w:rsidRPr="006D52A9" w:rsidRDefault="00D63B70" w:rsidP="00D63B70">
            <w:pPr>
              <w:rPr>
                <w:rFonts w:ascii="Arial" w:hAnsi="Arial" w:cs="Arial"/>
                <w:sz w:val="16"/>
                <w:szCs w:val="16"/>
              </w:rPr>
            </w:pPr>
            <w:r w:rsidRPr="006D52A9">
              <w:rPr>
                <w:rFonts w:ascii="Arial" w:hAnsi="Arial" w:cs="Arial"/>
                <w:sz w:val="16"/>
                <w:szCs w:val="16"/>
              </w:rPr>
              <w:t>Neoral 10</w:t>
            </w:r>
          </w:p>
        </w:tc>
        <w:tc>
          <w:tcPr>
            <w:tcW w:w="894" w:type="pct"/>
          </w:tcPr>
          <w:p w14:paraId="429803C0"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5CD4C20D" w14:textId="77777777" w:rsidR="00D63B70" w:rsidRPr="006D52A9" w:rsidDel="004B5277" w:rsidRDefault="00D63B70" w:rsidP="00D63B70">
            <w:pPr>
              <w:rPr>
                <w:rFonts w:ascii="Arial" w:hAnsi="Arial" w:cs="Arial"/>
                <w:sz w:val="16"/>
                <w:szCs w:val="16"/>
              </w:rPr>
            </w:pPr>
          </w:p>
        </w:tc>
        <w:tc>
          <w:tcPr>
            <w:tcW w:w="499" w:type="pct"/>
          </w:tcPr>
          <w:p w14:paraId="69255CBD"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5963ADB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7201BC12" w14:textId="77777777" w:rsidTr="00A91628">
        <w:tblPrEx>
          <w:tblBorders>
            <w:top w:val="single" w:sz="4" w:space="0" w:color="auto"/>
          </w:tblBorders>
        </w:tblPrEx>
        <w:trPr>
          <w:cantSplit/>
          <w:tblCellSpacing w:w="22" w:type="dxa"/>
        </w:trPr>
        <w:tc>
          <w:tcPr>
            <w:tcW w:w="508" w:type="pct"/>
          </w:tcPr>
          <w:p w14:paraId="3BF4D86F" w14:textId="77777777" w:rsidR="00D63B70" w:rsidRPr="006D52A9" w:rsidDel="004B5277" w:rsidRDefault="00D63B70" w:rsidP="00D63B70">
            <w:pPr>
              <w:rPr>
                <w:rFonts w:ascii="Arial" w:hAnsi="Arial" w:cs="Arial"/>
                <w:sz w:val="16"/>
                <w:szCs w:val="16"/>
              </w:rPr>
            </w:pPr>
          </w:p>
        </w:tc>
        <w:tc>
          <w:tcPr>
            <w:tcW w:w="943" w:type="pct"/>
          </w:tcPr>
          <w:p w14:paraId="3B1FDF7C"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Capsule 25 mg</w:t>
            </w:r>
          </w:p>
        </w:tc>
        <w:tc>
          <w:tcPr>
            <w:tcW w:w="540" w:type="pct"/>
          </w:tcPr>
          <w:p w14:paraId="50CD649F"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29A1A06" w14:textId="77777777" w:rsidR="00D63B70" w:rsidRPr="006D52A9" w:rsidRDefault="00D63B70" w:rsidP="00D63B70">
            <w:pPr>
              <w:rPr>
                <w:rFonts w:ascii="Arial" w:hAnsi="Arial" w:cs="Arial"/>
                <w:sz w:val="16"/>
                <w:szCs w:val="16"/>
              </w:rPr>
            </w:pPr>
            <w:r w:rsidRPr="006D52A9">
              <w:rPr>
                <w:rFonts w:ascii="Arial" w:hAnsi="Arial" w:cs="Arial"/>
                <w:sz w:val="16"/>
                <w:szCs w:val="16"/>
              </w:rPr>
              <w:t>Cyclosporin Sandoz</w:t>
            </w:r>
          </w:p>
        </w:tc>
        <w:tc>
          <w:tcPr>
            <w:tcW w:w="894" w:type="pct"/>
          </w:tcPr>
          <w:p w14:paraId="1CE55876"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257F5925" w14:textId="77777777" w:rsidR="00D63B70" w:rsidRPr="006D52A9" w:rsidDel="004B5277" w:rsidRDefault="00D63B70" w:rsidP="00D63B70">
            <w:pPr>
              <w:rPr>
                <w:rFonts w:ascii="Arial" w:hAnsi="Arial" w:cs="Arial"/>
                <w:sz w:val="16"/>
                <w:szCs w:val="16"/>
              </w:rPr>
            </w:pPr>
          </w:p>
        </w:tc>
        <w:tc>
          <w:tcPr>
            <w:tcW w:w="499" w:type="pct"/>
          </w:tcPr>
          <w:p w14:paraId="218BB5B6"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07C6D5B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5C2FA454" w14:textId="77777777" w:rsidTr="00A91628">
        <w:tblPrEx>
          <w:tblBorders>
            <w:top w:val="single" w:sz="4" w:space="0" w:color="auto"/>
          </w:tblBorders>
        </w:tblPrEx>
        <w:trPr>
          <w:cantSplit/>
          <w:tblCellSpacing w:w="22" w:type="dxa"/>
        </w:trPr>
        <w:tc>
          <w:tcPr>
            <w:tcW w:w="508" w:type="pct"/>
          </w:tcPr>
          <w:p w14:paraId="479902A3" w14:textId="77777777" w:rsidR="00D63B70" w:rsidRPr="006D52A9" w:rsidDel="004B5277" w:rsidRDefault="00D63B70" w:rsidP="00D63B70">
            <w:pPr>
              <w:rPr>
                <w:rFonts w:ascii="Arial" w:hAnsi="Arial" w:cs="Arial"/>
                <w:sz w:val="16"/>
                <w:szCs w:val="16"/>
              </w:rPr>
            </w:pPr>
          </w:p>
        </w:tc>
        <w:tc>
          <w:tcPr>
            <w:tcW w:w="943" w:type="pct"/>
          </w:tcPr>
          <w:p w14:paraId="54070A0B" w14:textId="77777777" w:rsidR="00D63B70" w:rsidRPr="006D52A9" w:rsidDel="004B5277" w:rsidRDefault="00D63B70" w:rsidP="00D63B70">
            <w:pPr>
              <w:rPr>
                <w:rFonts w:ascii="Arial" w:hAnsi="Arial" w:cs="Arial"/>
                <w:sz w:val="16"/>
                <w:szCs w:val="16"/>
              </w:rPr>
            </w:pPr>
          </w:p>
        </w:tc>
        <w:tc>
          <w:tcPr>
            <w:tcW w:w="540" w:type="pct"/>
          </w:tcPr>
          <w:p w14:paraId="2D19383D" w14:textId="77777777" w:rsidR="00D63B70" w:rsidRPr="006D52A9" w:rsidDel="004B5277" w:rsidRDefault="00D63B70" w:rsidP="00D63B70">
            <w:pPr>
              <w:rPr>
                <w:rFonts w:ascii="Arial" w:hAnsi="Arial" w:cs="Arial"/>
                <w:sz w:val="16"/>
                <w:szCs w:val="16"/>
              </w:rPr>
            </w:pPr>
          </w:p>
        </w:tc>
        <w:tc>
          <w:tcPr>
            <w:tcW w:w="591" w:type="pct"/>
          </w:tcPr>
          <w:p w14:paraId="3B8F59BF" w14:textId="77777777" w:rsidR="00D63B70" w:rsidRPr="006D52A9" w:rsidRDefault="00D63B70" w:rsidP="00D63B70">
            <w:pPr>
              <w:rPr>
                <w:rFonts w:ascii="Arial" w:hAnsi="Arial" w:cs="Arial"/>
                <w:sz w:val="16"/>
                <w:szCs w:val="16"/>
              </w:rPr>
            </w:pPr>
            <w:r w:rsidRPr="006D52A9">
              <w:rPr>
                <w:rFonts w:ascii="Arial" w:hAnsi="Arial" w:cs="Arial"/>
                <w:sz w:val="16"/>
                <w:szCs w:val="16"/>
              </w:rPr>
              <w:t>Neoral 25</w:t>
            </w:r>
          </w:p>
        </w:tc>
        <w:tc>
          <w:tcPr>
            <w:tcW w:w="894" w:type="pct"/>
          </w:tcPr>
          <w:p w14:paraId="0572C936"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1F9DC169" w14:textId="77777777" w:rsidR="00D63B70" w:rsidRPr="006D52A9" w:rsidDel="004B5277" w:rsidRDefault="00D63B70" w:rsidP="00D63B70">
            <w:pPr>
              <w:rPr>
                <w:rFonts w:ascii="Arial" w:hAnsi="Arial" w:cs="Arial"/>
                <w:sz w:val="16"/>
                <w:szCs w:val="16"/>
              </w:rPr>
            </w:pPr>
          </w:p>
        </w:tc>
        <w:tc>
          <w:tcPr>
            <w:tcW w:w="499" w:type="pct"/>
          </w:tcPr>
          <w:p w14:paraId="021193BE"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775D952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67356A33" w14:textId="77777777" w:rsidTr="00A91628">
        <w:tblPrEx>
          <w:tblBorders>
            <w:top w:val="single" w:sz="4" w:space="0" w:color="auto"/>
          </w:tblBorders>
        </w:tblPrEx>
        <w:trPr>
          <w:cantSplit/>
          <w:tblCellSpacing w:w="22" w:type="dxa"/>
        </w:trPr>
        <w:tc>
          <w:tcPr>
            <w:tcW w:w="508" w:type="pct"/>
          </w:tcPr>
          <w:p w14:paraId="2AC00D0C" w14:textId="77777777" w:rsidR="00D63B70" w:rsidRPr="006D52A9" w:rsidDel="004B5277" w:rsidRDefault="00D63B70" w:rsidP="00D63B70">
            <w:pPr>
              <w:rPr>
                <w:rFonts w:ascii="Arial" w:hAnsi="Arial" w:cs="Arial"/>
                <w:sz w:val="16"/>
                <w:szCs w:val="16"/>
              </w:rPr>
            </w:pPr>
          </w:p>
        </w:tc>
        <w:tc>
          <w:tcPr>
            <w:tcW w:w="943" w:type="pct"/>
          </w:tcPr>
          <w:p w14:paraId="24C159BB"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Capsule 50 mg</w:t>
            </w:r>
          </w:p>
        </w:tc>
        <w:tc>
          <w:tcPr>
            <w:tcW w:w="540" w:type="pct"/>
          </w:tcPr>
          <w:p w14:paraId="289C22A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8E9C0E7" w14:textId="77777777" w:rsidR="00D63B70" w:rsidRPr="006D52A9" w:rsidRDefault="00D63B70" w:rsidP="00D63B70">
            <w:pPr>
              <w:rPr>
                <w:rFonts w:ascii="Arial" w:hAnsi="Arial" w:cs="Arial"/>
                <w:sz w:val="16"/>
                <w:szCs w:val="16"/>
              </w:rPr>
            </w:pPr>
            <w:r w:rsidRPr="006D52A9">
              <w:rPr>
                <w:rFonts w:ascii="Arial" w:hAnsi="Arial" w:cs="Arial"/>
                <w:sz w:val="16"/>
                <w:szCs w:val="16"/>
              </w:rPr>
              <w:t>Cyclosporin Sandoz</w:t>
            </w:r>
          </w:p>
        </w:tc>
        <w:tc>
          <w:tcPr>
            <w:tcW w:w="894" w:type="pct"/>
          </w:tcPr>
          <w:p w14:paraId="0A9A10CC"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53832266" w14:textId="77777777" w:rsidR="00D63B70" w:rsidRPr="006D52A9" w:rsidDel="004B5277" w:rsidRDefault="00D63B70" w:rsidP="00D63B70">
            <w:pPr>
              <w:rPr>
                <w:rFonts w:ascii="Arial" w:hAnsi="Arial" w:cs="Arial"/>
                <w:sz w:val="16"/>
                <w:szCs w:val="16"/>
              </w:rPr>
            </w:pPr>
          </w:p>
        </w:tc>
        <w:tc>
          <w:tcPr>
            <w:tcW w:w="499" w:type="pct"/>
          </w:tcPr>
          <w:p w14:paraId="68CB770C"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60A2F8F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3F58B298" w14:textId="77777777" w:rsidTr="00A91628">
        <w:tblPrEx>
          <w:tblBorders>
            <w:top w:val="single" w:sz="4" w:space="0" w:color="auto"/>
          </w:tblBorders>
        </w:tblPrEx>
        <w:trPr>
          <w:cantSplit/>
          <w:tblCellSpacing w:w="22" w:type="dxa"/>
        </w:trPr>
        <w:tc>
          <w:tcPr>
            <w:tcW w:w="508" w:type="pct"/>
          </w:tcPr>
          <w:p w14:paraId="07382443" w14:textId="77777777" w:rsidR="00D63B70" w:rsidRPr="006D52A9" w:rsidDel="004B5277" w:rsidRDefault="00D63B70" w:rsidP="00D63B70">
            <w:pPr>
              <w:rPr>
                <w:rFonts w:ascii="Arial" w:hAnsi="Arial" w:cs="Arial"/>
                <w:sz w:val="16"/>
                <w:szCs w:val="16"/>
              </w:rPr>
            </w:pPr>
          </w:p>
        </w:tc>
        <w:tc>
          <w:tcPr>
            <w:tcW w:w="943" w:type="pct"/>
          </w:tcPr>
          <w:p w14:paraId="0FD3C9E0" w14:textId="77777777" w:rsidR="00D63B70" w:rsidRPr="006D52A9" w:rsidDel="004B5277" w:rsidRDefault="00D63B70" w:rsidP="00D63B70">
            <w:pPr>
              <w:rPr>
                <w:rFonts w:ascii="Arial" w:hAnsi="Arial" w:cs="Arial"/>
                <w:sz w:val="16"/>
                <w:szCs w:val="16"/>
              </w:rPr>
            </w:pPr>
          </w:p>
        </w:tc>
        <w:tc>
          <w:tcPr>
            <w:tcW w:w="540" w:type="pct"/>
          </w:tcPr>
          <w:p w14:paraId="4AF45E4E" w14:textId="77777777" w:rsidR="00D63B70" w:rsidRPr="006D52A9" w:rsidDel="004B5277" w:rsidRDefault="00D63B70" w:rsidP="00D63B70">
            <w:pPr>
              <w:rPr>
                <w:rFonts w:ascii="Arial" w:hAnsi="Arial" w:cs="Arial"/>
                <w:sz w:val="16"/>
                <w:szCs w:val="16"/>
              </w:rPr>
            </w:pPr>
          </w:p>
        </w:tc>
        <w:tc>
          <w:tcPr>
            <w:tcW w:w="591" w:type="pct"/>
          </w:tcPr>
          <w:p w14:paraId="1BD2BE90" w14:textId="77777777" w:rsidR="00D63B70" w:rsidRPr="006D52A9" w:rsidRDefault="00D63B70" w:rsidP="00D63B70">
            <w:pPr>
              <w:rPr>
                <w:rFonts w:ascii="Arial" w:hAnsi="Arial" w:cs="Arial"/>
                <w:sz w:val="16"/>
                <w:szCs w:val="16"/>
              </w:rPr>
            </w:pPr>
            <w:r w:rsidRPr="006D52A9">
              <w:rPr>
                <w:rFonts w:ascii="Arial" w:hAnsi="Arial" w:cs="Arial"/>
                <w:sz w:val="16"/>
                <w:szCs w:val="16"/>
              </w:rPr>
              <w:t>Neoral 50</w:t>
            </w:r>
          </w:p>
        </w:tc>
        <w:tc>
          <w:tcPr>
            <w:tcW w:w="894" w:type="pct"/>
          </w:tcPr>
          <w:p w14:paraId="7EE5672F"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41B48437" w14:textId="77777777" w:rsidR="00D63B70" w:rsidRPr="006D52A9" w:rsidDel="004B5277" w:rsidRDefault="00D63B70" w:rsidP="00D63B70">
            <w:pPr>
              <w:rPr>
                <w:rFonts w:ascii="Arial" w:hAnsi="Arial" w:cs="Arial"/>
                <w:sz w:val="16"/>
                <w:szCs w:val="16"/>
              </w:rPr>
            </w:pPr>
          </w:p>
        </w:tc>
        <w:tc>
          <w:tcPr>
            <w:tcW w:w="499" w:type="pct"/>
          </w:tcPr>
          <w:p w14:paraId="4540FB7C"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68FCA52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1E48671D" w14:textId="77777777" w:rsidTr="00A91628">
        <w:tblPrEx>
          <w:tblBorders>
            <w:top w:val="single" w:sz="4" w:space="0" w:color="auto"/>
          </w:tblBorders>
        </w:tblPrEx>
        <w:trPr>
          <w:cantSplit/>
          <w:tblCellSpacing w:w="22" w:type="dxa"/>
        </w:trPr>
        <w:tc>
          <w:tcPr>
            <w:tcW w:w="508" w:type="pct"/>
          </w:tcPr>
          <w:p w14:paraId="48C83A80" w14:textId="77777777" w:rsidR="00D63B70" w:rsidRPr="006D52A9" w:rsidDel="004B5277" w:rsidRDefault="00D63B70" w:rsidP="00D63B70">
            <w:pPr>
              <w:rPr>
                <w:rFonts w:ascii="Arial" w:hAnsi="Arial" w:cs="Arial"/>
                <w:sz w:val="16"/>
                <w:szCs w:val="16"/>
              </w:rPr>
            </w:pPr>
          </w:p>
        </w:tc>
        <w:tc>
          <w:tcPr>
            <w:tcW w:w="943" w:type="pct"/>
          </w:tcPr>
          <w:p w14:paraId="44790CB4"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Capsule 100 mg</w:t>
            </w:r>
          </w:p>
        </w:tc>
        <w:tc>
          <w:tcPr>
            <w:tcW w:w="540" w:type="pct"/>
          </w:tcPr>
          <w:p w14:paraId="72E924D0"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5362E14" w14:textId="77777777" w:rsidR="00D63B70" w:rsidRPr="006D52A9" w:rsidRDefault="00D63B70" w:rsidP="00D63B70">
            <w:pPr>
              <w:rPr>
                <w:rFonts w:ascii="Arial" w:hAnsi="Arial" w:cs="Arial"/>
                <w:sz w:val="16"/>
                <w:szCs w:val="16"/>
              </w:rPr>
            </w:pPr>
            <w:r w:rsidRPr="006D52A9">
              <w:rPr>
                <w:rFonts w:ascii="Arial" w:hAnsi="Arial" w:cs="Arial"/>
                <w:sz w:val="16"/>
                <w:szCs w:val="16"/>
              </w:rPr>
              <w:t>Cyclosporin Sandoz</w:t>
            </w:r>
          </w:p>
        </w:tc>
        <w:tc>
          <w:tcPr>
            <w:tcW w:w="894" w:type="pct"/>
          </w:tcPr>
          <w:p w14:paraId="3A92B279"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28D59384" w14:textId="77777777" w:rsidR="00D63B70" w:rsidRPr="006D52A9" w:rsidDel="004B5277" w:rsidRDefault="00D63B70" w:rsidP="00D63B70">
            <w:pPr>
              <w:rPr>
                <w:rFonts w:ascii="Arial" w:hAnsi="Arial" w:cs="Arial"/>
                <w:sz w:val="16"/>
                <w:szCs w:val="16"/>
              </w:rPr>
            </w:pPr>
          </w:p>
        </w:tc>
        <w:tc>
          <w:tcPr>
            <w:tcW w:w="499" w:type="pct"/>
          </w:tcPr>
          <w:p w14:paraId="2488F457"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351268B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35CE55DC" w14:textId="77777777" w:rsidTr="00A91628">
        <w:tblPrEx>
          <w:tblBorders>
            <w:top w:val="single" w:sz="4" w:space="0" w:color="auto"/>
          </w:tblBorders>
        </w:tblPrEx>
        <w:trPr>
          <w:cantSplit/>
          <w:tblCellSpacing w:w="22" w:type="dxa"/>
        </w:trPr>
        <w:tc>
          <w:tcPr>
            <w:tcW w:w="508" w:type="pct"/>
          </w:tcPr>
          <w:p w14:paraId="5AA87835" w14:textId="77777777" w:rsidR="00D63B70" w:rsidRPr="006D52A9" w:rsidDel="004B5277" w:rsidRDefault="00D63B70" w:rsidP="00D63B70">
            <w:pPr>
              <w:rPr>
                <w:rFonts w:ascii="Arial" w:hAnsi="Arial" w:cs="Arial"/>
                <w:sz w:val="16"/>
                <w:szCs w:val="16"/>
              </w:rPr>
            </w:pPr>
          </w:p>
        </w:tc>
        <w:tc>
          <w:tcPr>
            <w:tcW w:w="943" w:type="pct"/>
          </w:tcPr>
          <w:p w14:paraId="0C187DB2" w14:textId="77777777" w:rsidR="00D63B70" w:rsidRPr="006D52A9" w:rsidDel="004B5277" w:rsidRDefault="00D63B70" w:rsidP="00D63B70">
            <w:pPr>
              <w:rPr>
                <w:rFonts w:ascii="Arial" w:hAnsi="Arial" w:cs="Arial"/>
                <w:sz w:val="16"/>
                <w:szCs w:val="16"/>
              </w:rPr>
            </w:pPr>
          </w:p>
        </w:tc>
        <w:tc>
          <w:tcPr>
            <w:tcW w:w="540" w:type="pct"/>
          </w:tcPr>
          <w:p w14:paraId="229AD37B" w14:textId="77777777" w:rsidR="00D63B70" w:rsidRPr="006D52A9" w:rsidDel="004B5277" w:rsidRDefault="00D63B70" w:rsidP="00D63B70">
            <w:pPr>
              <w:rPr>
                <w:rFonts w:ascii="Arial" w:hAnsi="Arial" w:cs="Arial"/>
                <w:sz w:val="16"/>
                <w:szCs w:val="16"/>
              </w:rPr>
            </w:pPr>
          </w:p>
        </w:tc>
        <w:tc>
          <w:tcPr>
            <w:tcW w:w="591" w:type="pct"/>
          </w:tcPr>
          <w:p w14:paraId="28AFE9E8" w14:textId="77777777" w:rsidR="00D63B70" w:rsidRPr="006D52A9" w:rsidRDefault="00D63B70" w:rsidP="00D63B70">
            <w:pPr>
              <w:rPr>
                <w:rFonts w:ascii="Arial" w:hAnsi="Arial" w:cs="Arial"/>
                <w:sz w:val="16"/>
                <w:szCs w:val="16"/>
              </w:rPr>
            </w:pPr>
            <w:r w:rsidRPr="006D52A9">
              <w:rPr>
                <w:rFonts w:ascii="Arial" w:hAnsi="Arial" w:cs="Arial"/>
                <w:sz w:val="16"/>
                <w:szCs w:val="16"/>
              </w:rPr>
              <w:t>Neoral 100</w:t>
            </w:r>
          </w:p>
        </w:tc>
        <w:tc>
          <w:tcPr>
            <w:tcW w:w="894" w:type="pct"/>
          </w:tcPr>
          <w:p w14:paraId="7FAD230C"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30268549" w14:textId="77777777" w:rsidR="00D63B70" w:rsidRPr="006D52A9" w:rsidDel="004B5277" w:rsidRDefault="00D63B70" w:rsidP="00D63B70">
            <w:pPr>
              <w:rPr>
                <w:rFonts w:ascii="Arial" w:hAnsi="Arial" w:cs="Arial"/>
                <w:sz w:val="16"/>
                <w:szCs w:val="16"/>
              </w:rPr>
            </w:pPr>
          </w:p>
        </w:tc>
        <w:tc>
          <w:tcPr>
            <w:tcW w:w="499" w:type="pct"/>
          </w:tcPr>
          <w:p w14:paraId="50D41A29"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73FC6C2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22F0AC5F" w14:textId="77777777" w:rsidTr="00A91628">
        <w:tblPrEx>
          <w:tblBorders>
            <w:top w:val="single" w:sz="4" w:space="0" w:color="auto"/>
          </w:tblBorders>
        </w:tblPrEx>
        <w:trPr>
          <w:cantSplit/>
          <w:tblCellSpacing w:w="22" w:type="dxa"/>
        </w:trPr>
        <w:tc>
          <w:tcPr>
            <w:tcW w:w="508" w:type="pct"/>
          </w:tcPr>
          <w:p w14:paraId="47C0A13A" w14:textId="77777777" w:rsidR="00D63B70" w:rsidRPr="006D52A9" w:rsidDel="004B5277" w:rsidRDefault="00D63B70" w:rsidP="00D63B70">
            <w:pPr>
              <w:rPr>
                <w:rFonts w:ascii="Arial" w:hAnsi="Arial" w:cs="Arial"/>
                <w:sz w:val="16"/>
                <w:szCs w:val="16"/>
              </w:rPr>
            </w:pPr>
          </w:p>
        </w:tc>
        <w:tc>
          <w:tcPr>
            <w:tcW w:w="943" w:type="pct"/>
          </w:tcPr>
          <w:p w14:paraId="43F612C6"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 liquid 100 mg per mL, 50 mL</w:t>
            </w:r>
          </w:p>
        </w:tc>
        <w:tc>
          <w:tcPr>
            <w:tcW w:w="540" w:type="pct"/>
          </w:tcPr>
          <w:p w14:paraId="523B1490"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F90C1F6" w14:textId="77777777" w:rsidR="00D63B70" w:rsidRPr="006D52A9" w:rsidRDefault="00D63B70" w:rsidP="00D63B70">
            <w:pPr>
              <w:rPr>
                <w:rFonts w:ascii="Arial" w:hAnsi="Arial" w:cs="Arial"/>
                <w:sz w:val="16"/>
                <w:szCs w:val="16"/>
              </w:rPr>
            </w:pPr>
            <w:r w:rsidRPr="006D52A9">
              <w:rPr>
                <w:rFonts w:ascii="Arial" w:hAnsi="Arial" w:cs="Arial"/>
                <w:sz w:val="16"/>
                <w:szCs w:val="16"/>
              </w:rPr>
              <w:t>Neoral</w:t>
            </w:r>
          </w:p>
        </w:tc>
        <w:tc>
          <w:tcPr>
            <w:tcW w:w="894" w:type="pct"/>
          </w:tcPr>
          <w:p w14:paraId="2F6DD88E" w14:textId="77777777" w:rsidR="00D63B70" w:rsidRPr="006D52A9" w:rsidRDefault="00D63B70" w:rsidP="00D63B70">
            <w:pPr>
              <w:rPr>
                <w:rFonts w:ascii="Arial" w:hAnsi="Arial" w:cs="Arial"/>
                <w:sz w:val="16"/>
                <w:szCs w:val="16"/>
              </w:rPr>
            </w:pPr>
            <w:r w:rsidRPr="006D52A9">
              <w:rPr>
                <w:rFonts w:ascii="Arial" w:hAnsi="Arial" w:cs="Arial"/>
                <w:sz w:val="16"/>
                <w:szCs w:val="16"/>
              </w:rPr>
              <w:t>C6631 C6638 C6643 C6660 C6676 C9694 C9695 C9742 C9763 C9764</w:t>
            </w:r>
          </w:p>
        </w:tc>
        <w:tc>
          <w:tcPr>
            <w:tcW w:w="376" w:type="pct"/>
          </w:tcPr>
          <w:p w14:paraId="24197F6D" w14:textId="77777777" w:rsidR="00D63B70" w:rsidRPr="006D52A9" w:rsidDel="004B5277" w:rsidRDefault="00D63B70" w:rsidP="00D63B70">
            <w:pPr>
              <w:rPr>
                <w:rFonts w:ascii="Arial" w:hAnsi="Arial" w:cs="Arial"/>
                <w:sz w:val="16"/>
                <w:szCs w:val="16"/>
              </w:rPr>
            </w:pPr>
          </w:p>
        </w:tc>
        <w:tc>
          <w:tcPr>
            <w:tcW w:w="499" w:type="pct"/>
          </w:tcPr>
          <w:p w14:paraId="013A4926" w14:textId="77777777" w:rsidR="00D63B70" w:rsidRPr="006D52A9" w:rsidRDefault="00D63B70" w:rsidP="00D63B70">
            <w:pPr>
              <w:rPr>
                <w:rFonts w:ascii="Arial" w:hAnsi="Arial" w:cs="Arial"/>
                <w:sz w:val="16"/>
                <w:szCs w:val="16"/>
              </w:rPr>
            </w:pPr>
            <w:r w:rsidRPr="006D52A9">
              <w:rPr>
                <w:rFonts w:ascii="Arial" w:hAnsi="Arial" w:cs="Arial"/>
                <w:sz w:val="16"/>
                <w:szCs w:val="16"/>
              </w:rPr>
              <w:t>4</w:t>
            </w:r>
          </w:p>
        </w:tc>
        <w:tc>
          <w:tcPr>
            <w:tcW w:w="502" w:type="pct"/>
          </w:tcPr>
          <w:p w14:paraId="3414F46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49EE52B6" w14:textId="77777777" w:rsidTr="00A91628">
        <w:tblPrEx>
          <w:tblBorders>
            <w:top w:val="single" w:sz="4" w:space="0" w:color="auto"/>
          </w:tblBorders>
        </w:tblPrEx>
        <w:trPr>
          <w:cantSplit/>
          <w:tblCellSpacing w:w="22" w:type="dxa"/>
        </w:trPr>
        <w:tc>
          <w:tcPr>
            <w:tcW w:w="508" w:type="pct"/>
          </w:tcPr>
          <w:p w14:paraId="06118A26" w14:textId="77777777" w:rsidR="00D63B70" w:rsidRPr="006D52A9" w:rsidDel="004B5277" w:rsidRDefault="00D63B70" w:rsidP="00D63B70">
            <w:pPr>
              <w:rPr>
                <w:rFonts w:ascii="Arial" w:hAnsi="Arial" w:cs="Arial"/>
                <w:sz w:val="16"/>
                <w:szCs w:val="16"/>
              </w:rPr>
            </w:pPr>
          </w:p>
        </w:tc>
        <w:tc>
          <w:tcPr>
            <w:tcW w:w="943" w:type="pct"/>
          </w:tcPr>
          <w:p w14:paraId="69ED9687"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Solution concentrate for I.V. infusion 50 mg in 1 mL</w:t>
            </w:r>
          </w:p>
        </w:tc>
        <w:tc>
          <w:tcPr>
            <w:tcW w:w="540" w:type="pct"/>
          </w:tcPr>
          <w:p w14:paraId="5AB49C82"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DE5191E" w14:textId="77777777" w:rsidR="00D63B70" w:rsidRPr="006D52A9" w:rsidRDefault="00D63B70" w:rsidP="00D63B70">
            <w:pPr>
              <w:rPr>
                <w:rFonts w:ascii="Arial" w:hAnsi="Arial" w:cs="Arial"/>
                <w:sz w:val="16"/>
                <w:szCs w:val="16"/>
              </w:rPr>
            </w:pPr>
            <w:r w:rsidRPr="006D52A9">
              <w:rPr>
                <w:rFonts w:ascii="Arial" w:hAnsi="Arial" w:cs="Arial"/>
                <w:sz w:val="16"/>
                <w:szCs w:val="16"/>
              </w:rPr>
              <w:t>Sandimmun</w:t>
            </w:r>
          </w:p>
        </w:tc>
        <w:tc>
          <w:tcPr>
            <w:tcW w:w="894" w:type="pct"/>
          </w:tcPr>
          <w:p w14:paraId="39017156" w14:textId="77777777" w:rsidR="00D63B70" w:rsidRPr="006D52A9" w:rsidRDefault="00D63B70" w:rsidP="00D63B70">
            <w:pPr>
              <w:rPr>
                <w:rFonts w:ascii="Arial" w:hAnsi="Arial" w:cs="Arial"/>
                <w:sz w:val="16"/>
                <w:szCs w:val="16"/>
              </w:rPr>
            </w:pPr>
            <w:r w:rsidRPr="006D52A9">
              <w:rPr>
                <w:rFonts w:ascii="Arial" w:hAnsi="Arial" w:cs="Arial"/>
                <w:sz w:val="16"/>
                <w:szCs w:val="16"/>
              </w:rPr>
              <w:t>C6628 C9831</w:t>
            </w:r>
          </w:p>
        </w:tc>
        <w:tc>
          <w:tcPr>
            <w:tcW w:w="376" w:type="pct"/>
          </w:tcPr>
          <w:p w14:paraId="0765B721" w14:textId="77777777" w:rsidR="00D63B70" w:rsidRPr="006D52A9" w:rsidDel="004B5277" w:rsidRDefault="00D63B70" w:rsidP="00D63B70">
            <w:pPr>
              <w:rPr>
                <w:rFonts w:ascii="Arial" w:hAnsi="Arial" w:cs="Arial"/>
                <w:sz w:val="16"/>
                <w:szCs w:val="16"/>
              </w:rPr>
            </w:pPr>
          </w:p>
        </w:tc>
        <w:tc>
          <w:tcPr>
            <w:tcW w:w="499" w:type="pct"/>
          </w:tcPr>
          <w:p w14:paraId="642F1A05"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Pr>
          <w:p w14:paraId="7E061205"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4B5277" w14:paraId="6A5ADDEE" w14:textId="77777777" w:rsidTr="00A91628">
        <w:tblPrEx>
          <w:tblBorders>
            <w:top w:val="single" w:sz="4" w:space="0" w:color="auto"/>
          </w:tblBorders>
        </w:tblPrEx>
        <w:trPr>
          <w:cantSplit/>
          <w:tblCellSpacing w:w="22" w:type="dxa"/>
        </w:trPr>
        <w:tc>
          <w:tcPr>
            <w:tcW w:w="508" w:type="pct"/>
          </w:tcPr>
          <w:p w14:paraId="56E7E48F" w14:textId="77777777" w:rsidR="00D63B70" w:rsidRPr="006D52A9" w:rsidDel="004B5277" w:rsidRDefault="00D63B70" w:rsidP="00D63B70">
            <w:pPr>
              <w:rPr>
                <w:rFonts w:ascii="Arial" w:hAnsi="Arial" w:cs="Arial"/>
                <w:sz w:val="16"/>
                <w:szCs w:val="16"/>
              </w:rPr>
            </w:pPr>
            <w:r w:rsidRPr="006D52A9">
              <w:rPr>
                <w:rFonts w:ascii="Arial" w:hAnsi="Arial" w:cs="Arial"/>
                <w:sz w:val="16"/>
                <w:szCs w:val="16"/>
              </w:rPr>
              <w:t>Cinacalcet</w:t>
            </w:r>
          </w:p>
        </w:tc>
        <w:tc>
          <w:tcPr>
            <w:tcW w:w="943" w:type="pct"/>
          </w:tcPr>
          <w:p w14:paraId="193836FD" w14:textId="77777777" w:rsidR="00D63B70" w:rsidRPr="006D52A9" w:rsidRDefault="00D63B70" w:rsidP="00D63B70">
            <w:pPr>
              <w:rPr>
                <w:rFonts w:ascii="Arial" w:hAnsi="Arial" w:cs="Arial"/>
                <w:sz w:val="16"/>
                <w:szCs w:val="16"/>
              </w:rPr>
            </w:pPr>
            <w:r w:rsidRPr="006D52A9">
              <w:rPr>
                <w:rFonts w:ascii="Arial" w:hAnsi="Arial" w:cs="Arial"/>
                <w:sz w:val="16"/>
                <w:szCs w:val="16"/>
              </w:rPr>
              <w:t>Tablet 30 mg (as hydrochloride)</w:t>
            </w:r>
          </w:p>
        </w:tc>
        <w:tc>
          <w:tcPr>
            <w:tcW w:w="540" w:type="pct"/>
          </w:tcPr>
          <w:p w14:paraId="1CA2571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AF4A6CA" w14:textId="77777777" w:rsidR="00D63B70" w:rsidRPr="006D52A9" w:rsidRDefault="00D63B70" w:rsidP="00D63B70">
            <w:pPr>
              <w:rPr>
                <w:rFonts w:ascii="Arial" w:hAnsi="Arial" w:cs="Arial"/>
                <w:sz w:val="16"/>
                <w:szCs w:val="16"/>
              </w:rPr>
            </w:pPr>
            <w:r w:rsidRPr="006D52A9">
              <w:rPr>
                <w:rFonts w:ascii="Arial" w:hAnsi="Arial" w:cs="Arial"/>
                <w:sz w:val="16"/>
                <w:szCs w:val="16"/>
              </w:rPr>
              <w:t>Pharmacor Cinacalcet</w:t>
            </w:r>
          </w:p>
        </w:tc>
        <w:tc>
          <w:tcPr>
            <w:tcW w:w="894" w:type="pct"/>
          </w:tcPr>
          <w:p w14:paraId="36AF5027" w14:textId="77777777" w:rsidR="00D63B70" w:rsidRPr="006D52A9" w:rsidRDefault="00D63B70" w:rsidP="00D63B70">
            <w:pPr>
              <w:rPr>
                <w:rFonts w:ascii="Arial" w:hAnsi="Arial" w:cs="Arial"/>
                <w:sz w:val="16"/>
                <w:szCs w:val="16"/>
              </w:rPr>
            </w:pPr>
            <w:r w:rsidRPr="006D52A9">
              <w:rPr>
                <w:rFonts w:ascii="Arial" w:hAnsi="Arial" w:cs="Arial"/>
                <w:sz w:val="16"/>
                <w:szCs w:val="16"/>
              </w:rPr>
              <w:t>C10063 C10067 C10073</w:t>
            </w:r>
          </w:p>
        </w:tc>
        <w:tc>
          <w:tcPr>
            <w:tcW w:w="376" w:type="pct"/>
          </w:tcPr>
          <w:p w14:paraId="7EA2A78E" w14:textId="77777777" w:rsidR="00D63B70" w:rsidRPr="006D52A9" w:rsidDel="004B5277" w:rsidRDefault="00D63B70" w:rsidP="00D63B70">
            <w:pPr>
              <w:rPr>
                <w:rFonts w:ascii="Arial" w:hAnsi="Arial" w:cs="Arial"/>
                <w:sz w:val="16"/>
                <w:szCs w:val="16"/>
              </w:rPr>
            </w:pPr>
          </w:p>
        </w:tc>
        <w:tc>
          <w:tcPr>
            <w:tcW w:w="499" w:type="pct"/>
          </w:tcPr>
          <w:p w14:paraId="4102E60D" w14:textId="77777777" w:rsidR="00D63B70" w:rsidRPr="006D52A9" w:rsidRDefault="00D63B70" w:rsidP="00D63B70">
            <w:pPr>
              <w:rPr>
                <w:rFonts w:ascii="Arial" w:hAnsi="Arial" w:cs="Arial"/>
                <w:sz w:val="16"/>
                <w:szCs w:val="16"/>
              </w:rPr>
            </w:pPr>
            <w:r w:rsidRPr="006D52A9">
              <w:rPr>
                <w:rFonts w:ascii="Arial" w:hAnsi="Arial" w:cs="Arial"/>
                <w:sz w:val="16"/>
                <w:szCs w:val="16"/>
              </w:rPr>
              <w:t>56</w:t>
            </w:r>
          </w:p>
        </w:tc>
        <w:tc>
          <w:tcPr>
            <w:tcW w:w="502" w:type="pct"/>
          </w:tcPr>
          <w:p w14:paraId="2740571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12D1F58D" w14:textId="77777777" w:rsidTr="00A91628">
        <w:tblPrEx>
          <w:tblBorders>
            <w:top w:val="single" w:sz="4" w:space="0" w:color="auto"/>
          </w:tblBorders>
        </w:tblPrEx>
        <w:trPr>
          <w:cantSplit/>
          <w:tblCellSpacing w:w="22" w:type="dxa"/>
        </w:trPr>
        <w:tc>
          <w:tcPr>
            <w:tcW w:w="508" w:type="pct"/>
          </w:tcPr>
          <w:p w14:paraId="3B00F0F7" w14:textId="77777777" w:rsidR="00D63B70" w:rsidRPr="006D52A9" w:rsidDel="004B5277" w:rsidRDefault="00D63B70" w:rsidP="00D63B70">
            <w:pPr>
              <w:rPr>
                <w:rFonts w:ascii="Arial" w:hAnsi="Arial" w:cs="Arial"/>
                <w:sz w:val="16"/>
                <w:szCs w:val="16"/>
              </w:rPr>
            </w:pPr>
          </w:p>
        </w:tc>
        <w:tc>
          <w:tcPr>
            <w:tcW w:w="943" w:type="pct"/>
          </w:tcPr>
          <w:p w14:paraId="2E291716" w14:textId="77777777" w:rsidR="00D63B70" w:rsidRPr="006D52A9" w:rsidRDefault="00D63B70" w:rsidP="00D63B70">
            <w:pPr>
              <w:rPr>
                <w:rFonts w:ascii="Arial" w:hAnsi="Arial" w:cs="Arial"/>
                <w:sz w:val="16"/>
                <w:szCs w:val="16"/>
              </w:rPr>
            </w:pPr>
            <w:r w:rsidRPr="006D52A9">
              <w:rPr>
                <w:rFonts w:ascii="Arial" w:hAnsi="Arial" w:cs="Arial"/>
                <w:sz w:val="16"/>
                <w:szCs w:val="16"/>
              </w:rPr>
              <w:t>Tablet 60 mg (as hydrochloride)</w:t>
            </w:r>
          </w:p>
        </w:tc>
        <w:tc>
          <w:tcPr>
            <w:tcW w:w="540" w:type="pct"/>
          </w:tcPr>
          <w:p w14:paraId="79677B4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1F186A0" w14:textId="77777777" w:rsidR="00D63B70" w:rsidRPr="006D52A9" w:rsidRDefault="00D63B70" w:rsidP="00D63B70">
            <w:pPr>
              <w:rPr>
                <w:rFonts w:ascii="Arial" w:hAnsi="Arial" w:cs="Arial"/>
                <w:sz w:val="16"/>
                <w:szCs w:val="16"/>
              </w:rPr>
            </w:pPr>
            <w:r w:rsidRPr="006D52A9">
              <w:rPr>
                <w:rFonts w:ascii="Arial" w:hAnsi="Arial" w:cs="Arial"/>
                <w:sz w:val="16"/>
                <w:szCs w:val="16"/>
              </w:rPr>
              <w:t>Pharmacor Cinacalcet</w:t>
            </w:r>
          </w:p>
        </w:tc>
        <w:tc>
          <w:tcPr>
            <w:tcW w:w="894" w:type="pct"/>
          </w:tcPr>
          <w:p w14:paraId="79C65933" w14:textId="77777777" w:rsidR="00D63B70" w:rsidRPr="006D52A9" w:rsidRDefault="00D63B70" w:rsidP="00D63B70">
            <w:pPr>
              <w:rPr>
                <w:rFonts w:ascii="Arial" w:hAnsi="Arial" w:cs="Arial"/>
                <w:sz w:val="16"/>
                <w:szCs w:val="16"/>
              </w:rPr>
            </w:pPr>
            <w:r w:rsidRPr="006D52A9">
              <w:rPr>
                <w:rFonts w:ascii="Arial" w:hAnsi="Arial" w:cs="Arial"/>
                <w:sz w:val="16"/>
                <w:szCs w:val="16"/>
              </w:rPr>
              <w:t>C10063 C10067 C10073</w:t>
            </w:r>
          </w:p>
        </w:tc>
        <w:tc>
          <w:tcPr>
            <w:tcW w:w="376" w:type="pct"/>
          </w:tcPr>
          <w:p w14:paraId="4958F8C1" w14:textId="77777777" w:rsidR="00D63B70" w:rsidRPr="006D52A9" w:rsidDel="004B5277" w:rsidRDefault="00D63B70" w:rsidP="00D63B70">
            <w:pPr>
              <w:rPr>
                <w:rFonts w:ascii="Arial" w:hAnsi="Arial" w:cs="Arial"/>
                <w:sz w:val="16"/>
                <w:szCs w:val="16"/>
              </w:rPr>
            </w:pPr>
          </w:p>
        </w:tc>
        <w:tc>
          <w:tcPr>
            <w:tcW w:w="499" w:type="pct"/>
          </w:tcPr>
          <w:p w14:paraId="754BEE6F" w14:textId="77777777" w:rsidR="00D63B70" w:rsidRPr="006D52A9" w:rsidRDefault="00D63B70" w:rsidP="00D63B70">
            <w:pPr>
              <w:rPr>
                <w:rFonts w:ascii="Arial" w:hAnsi="Arial" w:cs="Arial"/>
                <w:sz w:val="16"/>
                <w:szCs w:val="16"/>
              </w:rPr>
            </w:pPr>
            <w:r w:rsidRPr="006D52A9">
              <w:rPr>
                <w:rFonts w:ascii="Arial" w:hAnsi="Arial" w:cs="Arial"/>
                <w:sz w:val="16"/>
                <w:szCs w:val="16"/>
              </w:rPr>
              <w:t>56</w:t>
            </w:r>
          </w:p>
        </w:tc>
        <w:tc>
          <w:tcPr>
            <w:tcW w:w="502" w:type="pct"/>
          </w:tcPr>
          <w:p w14:paraId="7D070ED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B5277" w14:paraId="1131242B" w14:textId="77777777" w:rsidTr="00A91628">
        <w:tblPrEx>
          <w:tblBorders>
            <w:top w:val="single" w:sz="4" w:space="0" w:color="auto"/>
          </w:tblBorders>
        </w:tblPrEx>
        <w:trPr>
          <w:cantSplit/>
          <w:tblCellSpacing w:w="22" w:type="dxa"/>
        </w:trPr>
        <w:tc>
          <w:tcPr>
            <w:tcW w:w="508" w:type="pct"/>
          </w:tcPr>
          <w:p w14:paraId="1BC5DDCB" w14:textId="77777777" w:rsidR="00D63B70" w:rsidRPr="006D52A9" w:rsidDel="004B5277" w:rsidRDefault="00D63B70" w:rsidP="00D63B70">
            <w:pPr>
              <w:rPr>
                <w:rFonts w:ascii="Arial" w:hAnsi="Arial" w:cs="Arial"/>
                <w:sz w:val="16"/>
                <w:szCs w:val="16"/>
              </w:rPr>
            </w:pPr>
          </w:p>
        </w:tc>
        <w:tc>
          <w:tcPr>
            <w:tcW w:w="943" w:type="pct"/>
          </w:tcPr>
          <w:p w14:paraId="10DA77BC" w14:textId="77777777" w:rsidR="00D63B70" w:rsidRPr="006D52A9" w:rsidRDefault="00D63B70" w:rsidP="00D63B70">
            <w:pPr>
              <w:rPr>
                <w:rFonts w:ascii="Arial" w:hAnsi="Arial" w:cs="Arial"/>
                <w:sz w:val="16"/>
                <w:szCs w:val="16"/>
              </w:rPr>
            </w:pPr>
            <w:r w:rsidRPr="006D52A9">
              <w:rPr>
                <w:rFonts w:ascii="Arial" w:hAnsi="Arial" w:cs="Arial"/>
                <w:sz w:val="16"/>
                <w:szCs w:val="16"/>
              </w:rPr>
              <w:t>Tablet 90 mg (as hydrochloride)</w:t>
            </w:r>
          </w:p>
        </w:tc>
        <w:tc>
          <w:tcPr>
            <w:tcW w:w="540" w:type="pct"/>
          </w:tcPr>
          <w:p w14:paraId="2830299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AB915FE" w14:textId="77777777" w:rsidR="00D63B70" w:rsidRPr="006D52A9" w:rsidRDefault="00D63B70" w:rsidP="00D63B70">
            <w:pPr>
              <w:rPr>
                <w:rFonts w:ascii="Arial" w:hAnsi="Arial" w:cs="Arial"/>
                <w:sz w:val="16"/>
                <w:szCs w:val="16"/>
              </w:rPr>
            </w:pPr>
            <w:r w:rsidRPr="006D52A9">
              <w:rPr>
                <w:rFonts w:ascii="Arial" w:hAnsi="Arial" w:cs="Arial"/>
                <w:sz w:val="16"/>
                <w:szCs w:val="16"/>
              </w:rPr>
              <w:t>Pharmacor Cinacalcet</w:t>
            </w:r>
          </w:p>
        </w:tc>
        <w:tc>
          <w:tcPr>
            <w:tcW w:w="894" w:type="pct"/>
          </w:tcPr>
          <w:p w14:paraId="098DA6B1" w14:textId="77777777" w:rsidR="00D63B70" w:rsidRPr="006D52A9" w:rsidRDefault="00D63B70" w:rsidP="00D63B70">
            <w:pPr>
              <w:rPr>
                <w:rFonts w:ascii="Arial" w:hAnsi="Arial" w:cs="Arial"/>
                <w:sz w:val="16"/>
                <w:szCs w:val="16"/>
              </w:rPr>
            </w:pPr>
            <w:r w:rsidRPr="006D52A9">
              <w:rPr>
                <w:rFonts w:ascii="Arial" w:hAnsi="Arial" w:cs="Arial"/>
                <w:sz w:val="16"/>
                <w:szCs w:val="16"/>
              </w:rPr>
              <w:t>C10063 C10067 C10073</w:t>
            </w:r>
          </w:p>
        </w:tc>
        <w:tc>
          <w:tcPr>
            <w:tcW w:w="376" w:type="pct"/>
          </w:tcPr>
          <w:p w14:paraId="1A40799E" w14:textId="77777777" w:rsidR="00D63B70" w:rsidRPr="006D52A9" w:rsidDel="004B5277" w:rsidRDefault="00D63B70" w:rsidP="00D63B70">
            <w:pPr>
              <w:rPr>
                <w:rFonts w:ascii="Arial" w:hAnsi="Arial" w:cs="Arial"/>
                <w:sz w:val="16"/>
                <w:szCs w:val="16"/>
              </w:rPr>
            </w:pPr>
          </w:p>
        </w:tc>
        <w:tc>
          <w:tcPr>
            <w:tcW w:w="499" w:type="pct"/>
          </w:tcPr>
          <w:p w14:paraId="36866769" w14:textId="77777777" w:rsidR="00D63B70" w:rsidRPr="006D52A9" w:rsidRDefault="00D63B70" w:rsidP="00D63B70">
            <w:pPr>
              <w:rPr>
                <w:rFonts w:ascii="Arial" w:hAnsi="Arial" w:cs="Arial"/>
                <w:sz w:val="16"/>
                <w:szCs w:val="16"/>
              </w:rPr>
            </w:pPr>
            <w:r w:rsidRPr="006D52A9">
              <w:rPr>
                <w:rFonts w:ascii="Arial" w:hAnsi="Arial" w:cs="Arial"/>
                <w:sz w:val="16"/>
                <w:szCs w:val="16"/>
              </w:rPr>
              <w:t>56</w:t>
            </w:r>
          </w:p>
        </w:tc>
        <w:tc>
          <w:tcPr>
            <w:tcW w:w="502" w:type="pct"/>
          </w:tcPr>
          <w:p w14:paraId="5D39E5C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A05559" w14:paraId="4C2DB0F7" w14:textId="77777777" w:rsidTr="00A91628">
        <w:tblPrEx>
          <w:tblBorders>
            <w:top w:val="single" w:sz="4" w:space="0" w:color="auto"/>
          </w:tblBorders>
        </w:tblPrEx>
        <w:trPr>
          <w:cantSplit/>
          <w:tblCellSpacing w:w="22" w:type="dxa"/>
        </w:trPr>
        <w:tc>
          <w:tcPr>
            <w:tcW w:w="508" w:type="pct"/>
          </w:tcPr>
          <w:p w14:paraId="2545386D"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Clozapine</w:t>
            </w:r>
          </w:p>
        </w:tc>
        <w:tc>
          <w:tcPr>
            <w:tcW w:w="943" w:type="pct"/>
          </w:tcPr>
          <w:p w14:paraId="6B9266E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Tablet 25 mg</w:t>
            </w:r>
          </w:p>
        </w:tc>
        <w:tc>
          <w:tcPr>
            <w:tcW w:w="540" w:type="pct"/>
          </w:tcPr>
          <w:p w14:paraId="6A831D7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30F0F43"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Clopine 25</w:t>
            </w:r>
          </w:p>
        </w:tc>
        <w:tc>
          <w:tcPr>
            <w:tcW w:w="894" w:type="pct"/>
          </w:tcPr>
          <w:p w14:paraId="33C968C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50C5D2FE" w14:textId="77777777" w:rsidR="00D63B70" w:rsidRPr="006D52A9" w:rsidDel="00A05559" w:rsidRDefault="00D63B70" w:rsidP="00D63B70">
            <w:pPr>
              <w:rPr>
                <w:rFonts w:ascii="Arial" w:hAnsi="Arial" w:cs="Arial"/>
                <w:sz w:val="16"/>
                <w:szCs w:val="16"/>
              </w:rPr>
            </w:pPr>
          </w:p>
        </w:tc>
        <w:tc>
          <w:tcPr>
            <w:tcW w:w="499" w:type="pct"/>
          </w:tcPr>
          <w:p w14:paraId="503C2A4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2F2F7F26"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119355FC" w14:textId="77777777" w:rsidTr="00A91628">
        <w:tblPrEx>
          <w:tblBorders>
            <w:top w:val="single" w:sz="4" w:space="0" w:color="auto"/>
          </w:tblBorders>
        </w:tblPrEx>
        <w:trPr>
          <w:cantSplit/>
          <w:tblCellSpacing w:w="22" w:type="dxa"/>
        </w:trPr>
        <w:tc>
          <w:tcPr>
            <w:tcW w:w="508" w:type="pct"/>
          </w:tcPr>
          <w:p w14:paraId="0FEADD9B" w14:textId="77777777" w:rsidR="00D63B70" w:rsidRPr="006D52A9" w:rsidDel="00A05559" w:rsidRDefault="00D63B70" w:rsidP="00D63B70">
            <w:pPr>
              <w:rPr>
                <w:rFonts w:ascii="Arial" w:hAnsi="Arial" w:cs="Arial"/>
                <w:sz w:val="16"/>
                <w:szCs w:val="16"/>
              </w:rPr>
            </w:pPr>
          </w:p>
        </w:tc>
        <w:tc>
          <w:tcPr>
            <w:tcW w:w="943" w:type="pct"/>
          </w:tcPr>
          <w:p w14:paraId="40445009" w14:textId="77777777" w:rsidR="00D63B70" w:rsidRPr="006D52A9" w:rsidDel="00A05559" w:rsidRDefault="00D63B70" w:rsidP="00D63B70">
            <w:pPr>
              <w:rPr>
                <w:rFonts w:ascii="Arial" w:hAnsi="Arial" w:cs="Arial"/>
                <w:sz w:val="16"/>
                <w:szCs w:val="16"/>
              </w:rPr>
            </w:pPr>
          </w:p>
        </w:tc>
        <w:tc>
          <w:tcPr>
            <w:tcW w:w="540" w:type="pct"/>
          </w:tcPr>
          <w:p w14:paraId="17BF431D" w14:textId="77777777" w:rsidR="00D63B70" w:rsidRPr="006D52A9" w:rsidDel="00A05559" w:rsidRDefault="00D63B70" w:rsidP="00D63B70">
            <w:pPr>
              <w:rPr>
                <w:rFonts w:ascii="Arial" w:hAnsi="Arial" w:cs="Arial"/>
                <w:sz w:val="16"/>
                <w:szCs w:val="16"/>
              </w:rPr>
            </w:pPr>
          </w:p>
        </w:tc>
        <w:tc>
          <w:tcPr>
            <w:tcW w:w="591" w:type="pct"/>
          </w:tcPr>
          <w:p w14:paraId="1F7E5AD9"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Clozaril 25</w:t>
            </w:r>
          </w:p>
        </w:tc>
        <w:tc>
          <w:tcPr>
            <w:tcW w:w="894" w:type="pct"/>
          </w:tcPr>
          <w:p w14:paraId="4D6FE9D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596B6B25" w14:textId="77777777" w:rsidR="00D63B70" w:rsidRPr="006D52A9" w:rsidDel="00A05559" w:rsidRDefault="00D63B70" w:rsidP="00D63B70">
            <w:pPr>
              <w:rPr>
                <w:rFonts w:ascii="Arial" w:hAnsi="Arial" w:cs="Arial"/>
                <w:sz w:val="16"/>
                <w:szCs w:val="16"/>
              </w:rPr>
            </w:pPr>
          </w:p>
        </w:tc>
        <w:tc>
          <w:tcPr>
            <w:tcW w:w="499" w:type="pct"/>
          </w:tcPr>
          <w:p w14:paraId="08FA5C90"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07BDA5EE"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6C026441" w14:textId="77777777" w:rsidTr="00A91628">
        <w:tblPrEx>
          <w:tblBorders>
            <w:top w:val="single" w:sz="4" w:space="0" w:color="auto"/>
          </w:tblBorders>
        </w:tblPrEx>
        <w:trPr>
          <w:cantSplit/>
          <w:tblCellSpacing w:w="22" w:type="dxa"/>
        </w:trPr>
        <w:tc>
          <w:tcPr>
            <w:tcW w:w="508" w:type="pct"/>
          </w:tcPr>
          <w:p w14:paraId="5C5652B4" w14:textId="77777777" w:rsidR="00D63B70" w:rsidRPr="006D52A9" w:rsidDel="00A05559" w:rsidRDefault="00D63B70" w:rsidP="00D63B70">
            <w:pPr>
              <w:rPr>
                <w:rFonts w:ascii="Arial" w:hAnsi="Arial" w:cs="Arial"/>
                <w:sz w:val="16"/>
                <w:szCs w:val="16"/>
              </w:rPr>
            </w:pPr>
          </w:p>
        </w:tc>
        <w:tc>
          <w:tcPr>
            <w:tcW w:w="943" w:type="pct"/>
          </w:tcPr>
          <w:p w14:paraId="76AF9908"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Tablet 50 mg</w:t>
            </w:r>
          </w:p>
        </w:tc>
        <w:tc>
          <w:tcPr>
            <w:tcW w:w="540" w:type="pct"/>
          </w:tcPr>
          <w:p w14:paraId="498EB959"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369657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Clopine 50</w:t>
            </w:r>
          </w:p>
        </w:tc>
        <w:tc>
          <w:tcPr>
            <w:tcW w:w="894" w:type="pct"/>
          </w:tcPr>
          <w:p w14:paraId="7D669A23"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64341FFB" w14:textId="77777777" w:rsidR="00D63B70" w:rsidRPr="006D52A9" w:rsidDel="00A05559" w:rsidRDefault="00D63B70" w:rsidP="00D63B70">
            <w:pPr>
              <w:rPr>
                <w:rFonts w:ascii="Arial" w:hAnsi="Arial" w:cs="Arial"/>
                <w:sz w:val="16"/>
                <w:szCs w:val="16"/>
              </w:rPr>
            </w:pPr>
          </w:p>
        </w:tc>
        <w:tc>
          <w:tcPr>
            <w:tcW w:w="499" w:type="pct"/>
          </w:tcPr>
          <w:p w14:paraId="3EBBD659"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471AD8F7"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460B39CE" w14:textId="77777777" w:rsidTr="00A91628">
        <w:tblPrEx>
          <w:tblBorders>
            <w:top w:val="single" w:sz="4" w:space="0" w:color="auto"/>
          </w:tblBorders>
        </w:tblPrEx>
        <w:trPr>
          <w:cantSplit/>
          <w:tblCellSpacing w:w="22" w:type="dxa"/>
        </w:trPr>
        <w:tc>
          <w:tcPr>
            <w:tcW w:w="508" w:type="pct"/>
          </w:tcPr>
          <w:p w14:paraId="32CCFA5D" w14:textId="77777777" w:rsidR="00D63B70" w:rsidRPr="006D52A9" w:rsidDel="00A05559" w:rsidRDefault="00D63B70" w:rsidP="00D63B70">
            <w:pPr>
              <w:rPr>
                <w:rFonts w:ascii="Arial" w:hAnsi="Arial" w:cs="Arial"/>
                <w:sz w:val="16"/>
                <w:szCs w:val="16"/>
              </w:rPr>
            </w:pPr>
          </w:p>
        </w:tc>
        <w:tc>
          <w:tcPr>
            <w:tcW w:w="943" w:type="pct"/>
          </w:tcPr>
          <w:p w14:paraId="7CAD9939"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Tablet 100 mg</w:t>
            </w:r>
          </w:p>
        </w:tc>
        <w:tc>
          <w:tcPr>
            <w:tcW w:w="540" w:type="pct"/>
          </w:tcPr>
          <w:p w14:paraId="2ADC1EF0"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99BA125"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Clopine 100</w:t>
            </w:r>
          </w:p>
        </w:tc>
        <w:tc>
          <w:tcPr>
            <w:tcW w:w="894" w:type="pct"/>
          </w:tcPr>
          <w:p w14:paraId="4281FEF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101FA44D" w14:textId="77777777" w:rsidR="00D63B70" w:rsidRPr="006D52A9" w:rsidDel="00A05559" w:rsidRDefault="00D63B70" w:rsidP="00D63B70">
            <w:pPr>
              <w:rPr>
                <w:rFonts w:ascii="Arial" w:hAnsi="Arial" w:cs="Arial"/>
                <w:sz w:val="16"/>
                <w:szCs w:val="16"/>
              </w:rPr>
            </w:pPr>
          </w:p>
        </w:tc>
        <w:tc>
          <w:tcPr>
            <w:tcW w:w="499" w:type="pct"/>
          </w:tcPr>
          <w:p w14:paraId="28EECB88"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6C02E4A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0F531929" w14:textId="77777777" w:rsidTr="00A91628">
        <w:tblPrEx>
          <w:tblBorders>
            <w:top w:val="single" w:sz="4" w:space="0" w:color="auto"/>
          </w:tblBorders>
        </w:tblPrEx>
        <w:trPr>
          <w:cantSplit/>
          <w:tblCellSpacing w:w="22" w:type="dxa"/>
        </w:trPr>
        <w:tc>
          <w:tcPr>
            <w:tcW w:w="508" w:type="pct"/>
          </w:tcPr>
          <w:p w14:paraId="37B56AFA" w14:textId="77777777" w:rsidR="00D63B70" w:rsidRPr="006D52A9" w:rsidDel="00A05559" w:rsidRDefault="00D63B70" w:rsidP="00D63B70">
            <w:pPr>
              <w:rPr>
                <w:rFonts w:ascii="Arial" w:hAnsi="Arial" w:cs="Arial"/>
                <w:sz w:val="16"/>
                <w:szCs w:val="16"/>
              </w:rPr>
            </w:pPr>
          </w:p>
        </w:tc>
        <w:tc>
          <w:tcPr>
            <w:tcW w:w="943" w:type="pct"/>
          </w:tcPr>
          <w:p w14:paraId="45D5DC2D" w14:textId="77777777" w:rsidR="00D63B70" w:rsidRPr="006D52A9" w:rsidDel="00A05559" w:rsidRDefault="00D63B70" w:rsidP="00D63B70">
            <w:pPr>
              <w:rPr>
                <w:rFonts w:ascii="Arial" w:hAnsi="Arial" w:cs="Arial"/>
                <w:sz w:val="16"/>
                <w:szCs w:val="16"/>
              </w:rPr>
            </w:pPr>
          </w:p>
        </w:tc>
        <w:tc>
          <w:tcPr>
            <w:tcW w:w="540" w:type="pct"/>
          </w:tcPr>
          <w:p w14:paraId="386C7EA5" w14:textId="77777777" w:rsidR="00D63B70" w:rsidRPr="006D52A9" w:rsidDel="00A05559" w:rsidRDefault="00D63B70" w:rsidP="00D63B70">
            <w:pPr>
              <w:rPr>
                <w:rFonts w:ascii="Arial" w:hAnsi="Arial" w:cs="Arial"/>
                <w:sz w:val="16"/>
                <w:szCs w:val="16"/>
              </w:rPr>
            </w:pPr>
          </w:p>
        </w:tc>
        <w:tc>
          <w:tcPr>
            <w:tcW w:w="591" w:type="pct"/>
          </w:tcPr>
          <w:p w14:paraId="354340AE"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Clozaril 100</w:t>
            </w:r>
          </w:p>
        </w:tc>
        <w:tc>
          <w:tcPr>
            <w:tcW w:w="894" w:type="pct"/>
          </w:tcPr>
          <w:p w14:paraId="70152AA6"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77122188" w14:textId="77777777" w:rsidR="00D63B70" w:rsidRPr="006D52A9" w:rsidDel="00A05559" w:rsidRDefault="00D63B70" w:rsidP="00D63B70">
            <w:pPr>
              <w:rPr>
                <w:rFonts w:ascii="Arial" w:hAnsi="Arial" w:cs="Arial"/>
                <w:sz w:val="16"/>
                <w:szCs w:val="16"/>
              </w:rPr>
            </w:pPr>
          </w:p>
        </w:tc>
        <w:tc>
          <w:tcPr>
            <w:tcW w:w="499" w:type="pct"/>
          </w:tcPr>
          <w:p w14:paraId="0D9D48B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65FBFE2E"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4CE9288A" w14:textId="77777777" w:rsidTr="00A91628">
        <w:tblPrEx>
          <w:tblBorders>
            <w:top w:val="single" w:sz="4" w:space="0" w:color="auto"/>
          </w:tblBorders>
        </w:tblPrEx>
        <w:trPr>
          <w:cantSplit/>
          <w:tblCellSpacing w:w="22" w:type="dxa"/>
        </w:trPr>
        <w:tc>
          <w:tcPr>
            <w:tcW w:w="508" w:type="pct"/>
          </w:tcPr>
          <w:p w14:paraId="01F8E356" w14:textId="77777777" w:rsidR="00D63B70" w:rsidRPr="006D52A9" w:rsidDel="00A05559" w:rsidRDefault="00D63B70" w:rsidP="00D63B70">
            <w:pPr>
              <w:rPr>
                <w:rFonts w:ascii="Arial" w:hAnsi="Arial" w:cs="Arial"/>
                <w:sz w:val="16"/>
                <w:szCs w:val="16"/>
              </w:rPr>
            </w:pPr>
          </w:p>
        </w:tc>
        <w:tc>
          <w:tcPr>
            <w:tcW w:w="943" w:type="pct"/>
          </w:tcPr>
          <w:p w14:paraId="4435F883"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Tablet 200 mg</w:t>
            </w:r>
          </w:p>
        </w:tc>
        <w:tc>
          <w:tcPr>
            <w:tcW w:w="540" w:type="pct"/>
          </w:tcPr>
          <w:p w14:paraId="658BA21D"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8D7324A"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Clopine 200</w:t>
            </w:r>
          </w:p>
        </w:tc>
        <w:tc>
          <w:tcPr>
            <w:tcW w:w="894" w:type="pct"/>
          </w:tcPr>
          <w:p w14:paraId="32B10F1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4D9D70ED" w14:textId="77777777" w:rsidR="00D63B70" w:rsidRPr="006D52A9" w:rsidDel="00A05559" w:rsidRDefault="00D63B70" w:rsidP="00D63B70">
            <w:pPr>
              <w:rPr>
                <w:rFonts w:ascii="Arial" w:hAnsi="Arial" w:cs="Arial"/>
                <w:sz w:val="16"/>
                <w:szCs w:val="16"/>
              </w:rPr>
            </w:pPr>
          </w:p>
        </w:tc>
        <w:tc>
          <w:tcPr>
            <w:tcW w:w="499" w:type="pct"/>
          </w:tcPr>
          <w:p w14:paraId="2C020014"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63C9B9C8"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16B2A359" w14:textId="77777777" w:rsidTr="00A91628">
        <w:tblPrEx>
          <w:tblBorders>
            <w:top w:val="single" w:sz="4" w:space="0" w:color="auto"/>
          </w:tblBorders>
        </w:tblPrEx>
        <w:trPr>
          <w:cantSplit/>
          <w:tblCellSpacing w:w="22" w:type="dxa"/>
        </w:trPr>
        <w:tc>
          <w:tcPr>
            <w:tcW w:w="508" w:type="pct"/>
          </w:tcPr>
          <w:p w14:paraId="27C50BC7" w14:textId="77777777" w:rsidR="00D63B70" w:rsidRPr="006D52A9" w:rsidDel="00A05559" w:rsidRDefault="00D63B70" w:rsidP="00D63B70">
            <w:pPr>
              <w:rPr>
                <w:rFonts w:ascii="Arial" w:hAnsi="Arial" w:cs="Arial"/>
                <w:sz w:val="16"/>
                <w:szCs w:val="16"/>
              </w:rPr>
            </w:pPr>
          </w:p>
        </w:tc>
        <w:tc>
          <w:tcPr>
            <w:tcW w:w="943" w:type="pct"/>
          </w:tcPr>
          <w:p w14:paraId="4D619C5F"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 liquid 50 mg per mL, 100 mL</w:t>
            </w:r>
          </w:p>
        </w:tc>
        <w:tc>
          <w:tcPr>
            <w:tcW w:w="540" w:type="pct"/>
          </w:tcPr>
          <w:p w14:paraId="34B8C280"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F0A881C"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Clopine Suspension</w:t>
            </w:r>
          </w:p>
        </w:tc>
        <w:tc>
          <w:tcPr>
            <w:tcW w:w="894" w:type="pct"/>
          </w:tcPr>
          <w:p w14:paraId="42146B52"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2465F7C4" w14:textId="77777777" w:rsidR="00D63B70" w:rsidRPr="006D52A9" w:rsidDel="00A05559" w:rsidRDefault="00D63B70" w:rsidP="00D63B70">
            <w:pPr>
              <w:rPr>
                <w:rFonts w:ascii="Arial" w:hAnsi="Arial" w:cs="Arial"/>
                <w:sz w:val="16"/>
                <w:szCs w:val="16"/>
              </w:rPr>
            </w:pPr>
          </w:p>
        </w:tc>
        <w:tc>
          <w:tcPr>
            <w:tcW w:w="499" w:type="pct"/>
          </w:tcPr>
          <w:p w14:paraId="76DEDEE9"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5F1A8023" w14:textId="77777777" w:rsidR="00D63B70" w:rsidRPr="006D52A9" w:rsidDel="00A05559" w:rsidRDefault="00D63B70" w:rsidP="00D63B70">
            <w:pPr>
              <w:rPr>
                <w:rFonts w:ascii="Arial" w:hAnsi="Arial" w:cs="Arial"/>
                <w:sz w:val="16"/>
                <w:szCs w:val="16"/>
              </w:rPr>
            </w:pPr>
            <w:r w:rsidRPr="006D52A9">
              <w:rPr>
                <w:rFonts w:ascii="Arial" w:hAnsi="Arial" w:cs="Arial"/>
                <w:sz w:val="16"/>
                <w:szCs w:val="16"/>
              </w:rPr>
              <w:t>0</w:t>
            </w:r>
          </w:p>
        </w:tc>
      </w:tr>
      <w:tr w:rsidR="00D63B70" w:rsidRPr="006D52A9" w:rsidDel="00A05559" w14:paraId="11DD629F" w14:textId="77777777" w:rsidTr="00A91628">
        <w:tblPrEx>
          <w:tblBorders>
            <w:top w:val="single" w:sz="4" w:space="0" w:color="auto"/>
          </w:tblBorders>
        </w:tblPrEx>
        <w:trPr>
          <w:cantSplit/>
          <w:tblCellSpacing w:w="22" w:type="dxa"/>
        </w:trPr>
        <w:tc>
          <w:tcPr>
            <w:tcW w:w="508" w:type="pct"/>
          </w:tcPr>
          <w:p w14:paraId="5E313EA2" w14:textId="77777777" w:rsidR="00D63B70" w:rsidRPr="006D52A9" w:rsidDel="00A05559" w:rsidRDefault="00D63B70" w:rsidP="00D63B70">
            <w:pPr>
              <w:rPr>
                <w:rFonts w:ascii="Arial" w:hAnsi="Arial" w:cs="Arial"/>
                <w:sz w:val="16"/>
                <w:szCs w:val="16"/>
              </w:rPr>
            </w:pPr>
          </w:p>
        </w:tc>
        <w:tc>
          <w:tcPr>
            <w:tcW w:w="943" w:type="pct"/>
          </w:tcPr>
          <w:p w14:paraId="223CBAA0" w14:textId="77777777" w:rsidR="00D63B70" w:rsidRPr="006D52A9" w:rsidRDefault="00D63B70" w:rsidP="00D63B70">
            <w:pPr>
              <w:rPr>
                <w:rFonts w:ascii="Arial" w:hAnsi="Arial" w:cs="Arial"/>
                <w:sz w:val="16"/>
                <w:szCs w:val="16"/>
              </w:rPr>
            </w:pPr>
          </w:p>
        </w:tc>
        <w:tc>
          <w:tcPr>
            <w:tcW w:w="540" w:type="pct"/>
          </w:tcPr>
          <w:p w14:paraId="0ED04393" w14:textId="77777777" w:rsidR="00D63B70" w:rsidRPr="006D52A9" w:rsidRDefault="00D63B70" w:rsidP="00D63B70">
            <w:pPr>
              <w:rPr>
                <w:rFonts w:ascii="Arial" w:hAnsi="Arial" w:cs="Arial"/>
                <w:sz w:val="16"/>
                <w:szCs w:val="16"/>
              </w:rPr>
            </w:pPr>
          </w:p>
        </w:tc>
        <w:tc>
          <w:tcPr>
            <w:tcW w:w="591" w:type="pct"/>
          </w:tcPr>
          <w:p w14:paraId="66BD21C3" w14:textId="77777777" w:rsidR="00D63B70" w:rsidRPr="006D52A9" w:rsidRDefault="00D63B70" w:rsidP="00D63B70">
            <w:pPr>
              <w:rPr>
                <w:rFonts w:ascii="Arial" w:hAnsi="Arial" w:cs="Arial"/>
                <w:sz w:val="16"/>
                <w:szCs w:val="16"/>
              </w:rPr>
            </w:pPr>
            <w:r w:rsidRPr="006D52A9">
              <w:rPr>
                <w:rFonts w:ascii="Arial" w:hAnsi="Arial" w:cs="Arial"/>
                <w:sz w:val="16"/>
                <w:szCs w:val="16"/>
              </w:rPr>
              <w:t>Versacloz</w:t>
            </w:r>
          </w:p>
        </w:tc>
        <w:tc>
          <w:tcPr>
            <w:tcW w:w="894" w:type="pct"/>
          </w:tcPr>
          <w:p w14:paraId="00C51AFF" w14:textId="77777777" w:rsidR="00D63B70" w:rsidRPr="006D52A9" w:rsidRDefault="00D63B70" w:rsidP="00D63B70">
            <w:pPr>
              <w:rPr>
                <w:rFonts w:ascii="Arial" w:hAnsi="Arial" w:cs="Arial"/>
                <w:sz w:val="16"/>
                <w:szCs w:val="16"/>
              </w:rPr>
            </w:pPr>
            <w:r w:rsidRPr="006D52A9">
              <w:rPr>
                <w:rFonts w:ascii="Arial" w:hAnsi="Arial" w:cs="Arial"/>
                <w:sz w:val="16"/>
                <w:szCs w:val="16"/>
              </w:rPr>
              <w:t>C4998 C5015 C9490</w:t>
            </w:r>
          </w:p>
        </w:tc>
        <w:tc>
          <w:tcPr>
            <w:tcW w:w="376" w:type="pct"/>
          </w:tcPr>
          <w:p w14:paraId="24A9645B" w14:textId="77777777" w:rsidR="00D63B70" w:rsidRPr="006D52A9" w:rsidDel="00A05559" w:rsidRDefault="00D63B70" w:rsidP="00D63B70">
            <w:pPr>
              <w:rPr>
                <w:rFonts w:ascii="Arial" w:hAnsi="Arial" w:cs="Arial"/>
                <w:sz w:val="16"/>
                <w:szCs w:val="16"/>
              </w:rPr>
            </w:pPr>
          </w:p>
        </w:tc>
        <w:tc>
          <w:tcPr>
            <w:tcW w:w="499" w:type="pct"/>
          </w:tcPr>
          <w:p w14:paraId="117BC7FC"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54B3D41E"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14:paraId="71F76FCF" w14:textId="77777777" w:rsidTr="00A91628">
        <w:tblPrEx>
          <w:tblBorders>
            <w:top w:val="single" w:sz="4" w:space="0" w:color="auto"/>
          </w:tblBorders>
        </w:tblPrEx>
        <w:trPr>
          <w:cantSplit/>
          <w:tblCellSpacing w:w="22" w:type="dxa"/>
        </w:trPr>
        <w:tc>
          <w:tcPr>
            <w:tcW w:w="508" w:type="pct"/>
          </w:tcPr>
          <w:p w14:paraId="751D3624" w14:textId="77777777" w:rsidR="00D63B70" w:rsidRPr="006D52A9" w:rsidRDefault="00D63B70" w:rsidP="00D63B70">
            <w:pPr>
              <w:rPr>
                <w:rFonts w:ascii="Arial" w:hAnsi="Arial" w:cs="Arial"/>
                <w:sz w:val="16"/>
                <w:szCs w:val="16"/>
              </w:rPr>
            </w:pPr>
            <w:r w:rsidRPr="006D52A9">
              <w:rPr>
                <w:rFonts w:ascii="Arial" w:hAnsi="Arial" w:cs="Arial"/>
                <w:sz w:val="16"/>
                <w:szCs w:val="16"/>
              </w:rPr>
              <w:t>Darbepoetin Alfa</w:t>
            </w:r>
          </w:p>
        </w:tc>
        <w:tc>
          <w:tcPr>
            <w:tcW w:w="943" w:type="pct"/>
          </w:tcPr>
          <w:p w14:paraId="7CB2EEB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 micrograms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77E165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B2BD24F"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1B2FFE4A"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B3B0B57" w14:textId="77777777" w:rsidR="00D63B70" w:rsidRPr="006D52A9" w:rsidRDefault="00D63B70" w:rsidP="00D63B70">
            <w:pPr>
              <w:rPr>
                <w:rFonts w:ascii="Arial" w:hAnsi="Arial" w:cs="Arial"/>
                <w:sz w:val="16"/>
                <w:szCs w:val="16"/>
              </w:rPr>
            </w:pPr>
          </w:p>
        </w:tc>
        <w:tc>
          <w:tcPr>
            <w:tcW w:w="499" w:type="pct"/>
          </w:tcPr>
          <w:p w14:paraId="432ED3C2"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767E9A6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AF6345C" w14:textId="77777777" w:rsidTr="00A91628">
        <w:tblPrEx>
          <w:tblBorders>
            <w:top w:val="single" w:sz="4" w:space="0" w:color="auto"/>
          </w:tblBorders>
        </w:tblPrEx>
        <w:trPr>
          <w:cantSplit/>
          <w:tblCellSpacing w:w="22" w:type="dxa"/>
        </w:trPr>
        <w:tc>
          <w:tcPr>
            <w:tcW w:w="508" w:type="pct"/>
          </w:tcPr>
          <w:p w14:paraId="3C895029" w14:textId="77777777" w:rsidR="00D63B70" w:rsidRPr="006D52A9" w:rsidRDefault="00D63B70" w:rsidP="00D63B70">
            <w:pPr>
              <w:rPr>
                <w:rFonts w:ascii="Arial" w:hAnsi="Arial" w:cs="Arial"/>
                <w:sz w:val="16"/>
                <w:szCs w:val="16"/>
              </w:rPr>
            </w:pPr>
          </w:p>
        </w:tc>
        <w:tc>
          <w:tcPr>
            <w:tcW w:w="943" w:type="pct"/>
          </w:tcPr>
          <w:p w14:paraId="7AD5076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 micrograms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98960A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64D6134"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6196B166"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D208805" w14:textId="77777777" w:rsidR="00D63B70" w:rsidRPr="006D52A9" w:rsidRDefault="00D63B70" w:rsidP="00D63B70">
            <w:pPr>
              <w:rPr>
                <w:rFonts w:ascii="Arial" w:hAnsi="Arial" w:cs="Arial"/>
                <w:sz w:val="16"/>
                <w:szCs w:val="16"/>
              </w:rPr>
            </w:pPr>
          </w:p>
        </w:tc>
        <w:tc>
          <w:tcPr>
            <w:tcW w:w="499" w:type="pct"/>
          </w:tcPr>
          <w:p w14:paraId="140F0C39"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054A97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59C3E79" w14:textId="77777777" w:rsidTr="00A91628">
        <w:tblPrEx>
          <w:tblBorders>
            <w:top w:val="single" w:sz="4" w:space="0" w:color="auto"/>
          </w:tblBorders>
        </w:tblPrEx>
        <w:trPr>
          <w:cantSplit/>
          <w:tblCellSpacing w:w="22" w:type="dxa"/>
        </w:trPr>
        <w:tc>
          <w:tcPr>
            <w:tcW w:w="508" w:type="pct"/>
          </w:tcPr>
          <w:p w14:paraId="0243B07A" w14:textId="77777777" w:rsidR="00D63B70" w:rsidRPr="006D52A9" w:rsidRDefault="00D63B70" w:rsidP="00D63B70">
            <w:pPr>
              <w:rPr>
                <w:rFonts w:ascii="Arial" w:hAnsi="Arial" w:cs="Arial"/>
                <w:sz w:val="16"/>
                <w:szCs w:val="16"/>
              </w:rPr>
            </w:pPr>
          </w:p>
        </w:tc>
        <w:tc>
          <w:tcPr>
            <w:tcW w:w="943" w:type="pct"/>
          </w:tcPr>
          <w:p w14:paraId="79D5DFF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 micrograms in 0.5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1CFD973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79F0866"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3B120EB7"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ECB5E45" w14:textId="77777777" w:rsidR="00D63B70" w:rsidRPr="006D52A9" w:rsidRDefault="00D63B70" w:rsidP="00D63B70">
            <w:pPr>
              <w:rPr>
                <w:rFonts w:ascii="Arial" w:hAnsi="Arial" w:cs="Arial"/>
                <w:sz w:val="16"/>
                <w:szCs w:val="16"/>
              </w:rPr>
            </w:pPr>
          </w:p>
        </w:tc>
        <w:tc>
          <w:tcPr>
            <w:tcW w:w="499" w:type="pct"/>
          </w:tcPr>
          <w:p w14:paraId="1AEC441A"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74FD546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9746BD8" w14:textId="77777777" w:rsidTr="00A91628">
        <w:tblPrEx>
          <w:tblBorders>
            <w:top w:val="single" w:sz="4" w:space="0" w:color="auto"/>
          </w:tblBorders>
        </w:tblPrEx>
        <w:trPr>
          <w:cantSplit/>
          <w:tblCellSpacing w:w="22" w:type="dxa"/>
        </w:trPr>
        <w:tc>
          <w:tcPr>
            <w:tcW w:w="508" w:type="pct"/>
          </w:tcPr>
          <w:p w14:paraId="46158B63" w14:textId="77777777" w:rsidR="00D63B70" w:rsidRPr="006D52A9" w:rsidRDefault="00D63B70" w:rsidP="00D63B70">
            <w:pPr>
              <w:keepNext/>
              <w:keepLines/>
              <w:rPr>
                <w:rFonts w:ascii="Arial" w:hAnsi="Arial" w:cs="Arial"/>
                <w:sz w:val="16"/>
                <w:szCs w:val="16"/>
              </w:rPr>
            </w:pPr>
          </w:p>
        </w:tc>
        <w:tc>
          <w:tcPr>
            <w:tcW w:w="943" w:type="pct"/>
          </w:tcPr>
          <w:p w14:paraId="4391303A"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 30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3F4040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w:t>
            </w:r>
          </w:p>
        </w:tc>
        <w:tc>
          <w:tcPr>
            <w:tcW w:w="591" w:type="pct"/>
          </w:tcPr>
          <w:p w14:paraId="334C3E8A"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Aranesp</w:t>
            </w:r>
          </w:p>
        </w:tc>
        <w:tc>
          <w:tcPr>
            <w:tcW w:w="894" w:type="pct"/>
          </w:tcPr>
          <w:p w14:paraId="0F08097B"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426062E3" w14:textId="77777777" w:rsidR="00D63B70" w:rsidRPr="006D52A9" w:rsidRDefault="00D63B70" w:rsidP="00D63B70">
            <w:pPr>
              <w:rPr>
                <w:rFonts w:ascii="Arial" w:hAnsi="Arial" w:cs="Arial"/>
                <w:sz w:val="16"/>
                <w:szCs w:val="16"/>
              </w:rPr>
            </w:pPr>
          </w:p>
        </w:tc>
        <w:tc>
          <w:tcPr>
            <w:tcW w:w="499" w:type="pct"/>
          </w:tcPr>
          <w:p w14:paraId="06BE88F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8</w:t>
            </w:r>
          </w:p>
        </w:tc>
        <w:tc>
          <w:tcPr>
            <w:tcW w:w="502" w:type="pct"/>
          </w:tcPr>
          <w:p w14:paraId="56983D4C"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752C357D" w14:textId="77777777" w:rsidTr="00A91628">
        <w:tblPrEx>
          <w:tblBorders>
            <w:top w:val="single" w:sz="4" w:space="0" w:color="auto"/>
          </w:tblBorders>
        </w:tblPrEx>
        <w:trPr>
          <w:cantSplit/>
          <w:tblCellSpacing w:w="22" w:type="dxa"/>
        </w:trPr>
        <w:tc>
          <w:tcPr>
            <w:tcW w:w="508" w:type="pct"/>
          </w:tcPr>
          <w:p w14:paraId="725A1223" w14:textId="77777777" w:rsidR="00D63B70" w:rsidRPr="006D52A9" w:rsidRDefault="00D63B70" w:rsidP="00D63B70">
            <w:pPr>
              <w:rPr>
                <w:rFonts w:ascii="Arial" w:hAnsi="Arial" w:cs="Arial"/>
                <w:sz w:val="16"/>
                <w:szCs w:val="16"/>
              </w:rPr>
            </w:pPr>
          </w:p>
        </w:tc>
        <w:tc>
          <w:tcPr>
            <w:tcW w:w="943" w:type="pct"/>
          </w:tcPr>
          <w:p w14:paraId="0476AC4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 micrograms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7BCA285"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AB3AA05"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598E7C9F"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4A4FD4E0" w14:textId="77777777" w:rsidR="00D63B70" w:rsidRPr="006D52A9" w:rsidRDefault="00D63B70" w:rsidP="00D63B70">
            <w:pPr>
              <w:rPr>
                <w:rFonts w:ascii="Arial" w:hAnsi="Arial" w:cs="Arial"/>
                <w:sz w:val="16"/>
                <w:szCs w:val="16"/>
              </w:rPr>
            </w:pPr>
          </w:p>
        </w:tc>
        <w:tc>
          <w:tcPr>
            <w:tcW w:w="499" w:type="pct"/>
          </w:tcPr>
          <w:p w14:paraId="73A66B8A"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527888F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587873B" w14:textId="77777777" w:rsidTr="00A91628">
        <w:tblPrEx>
          <w:tblBorders>
            <w:top w:val="single" w:sz="4" w:space="0" w:color="auto"/>
          </w:tblBorders>
        </w:tblPrEx>
        <w:trPr>
          <w:cantSplit/>
          <w:tblCellSpacing w:w="22" w:type="dxa"/>
        </w:trPr>
        <w:tc>
          <w:tcPr>
            <w:tcW w:w="508" w:type="pct"/>
          </w:tcPr>
          <w:p w14:paraId="3C0CE59C" w14:textId="77777777" w:rsidR="00D63B70" w:rsidRPr="006D52A9" w:rsidRDefault="00D63B70" w:rsidP="00D63B70">
            <w:pPr>
              <w:rPr>
                <w:rFonts w:ascii="Arial" w:hAnsi="Arial" w:cs="Arial"/>
                <w:sz w:val="16"/>
                <w:szCs w:val="16"/>
              </w:rPr>
            </w:pPr>
          </w:p>
        </w:tc>
        <w:tc>
          <w:tcPr>
            <w:tcW w:w="943" w:type="pct"/>
          </w:tcPr>
          <w:p w14:paraId="55D16C6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 micrograms in 0.4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5E38D0B5"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4ABA46B"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07CF6F98"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BF8E213" w14:textId="77777777" w:rsidR="00D63B70" w:rsidRPr="006D52A9" w:rsidRDefault="00D63B70" w:rsidP="00D63B70">
            <w:pPr>
              <w:rPr>
                <w:rFonts w:ascii="Arial" w:hAnsi="Arial" w:cs="Arial"/>
                <w:sz w:val="16"/>
                <w:szCs w:val="16"/>
              </w:rPr>
            </w:pPr>
          </w:p>
        </w:tc>
        <w:tc>
          <w:tcPr>
            <w:tcW w:w="499" w:type="pct"/>
          </w:tcPr>
          <w:p w14:paraId="5605D429"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38A8F9E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FAC5787" w14:textId="77777777" w:rsidTr="00A91628">
        <w:tblPrEx>
          <w:tblBorders>
            <w:top w:val="single" w:sz="4" w:space="0" w:color="auto"/>
          </w:tblBorders>
        </w:tblPrEx>
        <w:trPr>
          <w:cantSplit/>
          <w:tblCellSpacing w:w="22" w:type="dxa"/>
        </w:trPr>
        <w:tc>
          <w:tcPr>
            <w:tcW w:w="508" w:type="pct"/>
          </w:tcPr>
          <w:p w14:paraId="7B5BAF62" w14:textId="77777777" w:rsidR="00D63B70" w:rsidRPr="006D52A9" w:rsidRDefault="00D63B70" w:rsidP="00D63B70">
            <w:pPr>
              <w:rPr>
                <w:rFonts w:ascii="Arial" w:hAnsi="Arial" w:cs="Arial"/>
                <w:sz w:val="16"/>
                <w:szCs w:val="16"/>
              </w:rPr>
            </w:pPr>
          </w:p>
        </w:tc>
        <w:tc>
          <w:tcPr>
            <w:tcW w:w="943" w:type="pct"/>
          </w:tcPr>
          <w:p w14:paraId="0764315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 micrograms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29C5E8C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88075D6"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63354E29"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0F04564F" w14:textId="77777777" w:rsidR="00D63B70" w:rsidRPr="006D52A9" w:rsidRDefault="00D63B70" w:rsidP="00D63B70">
            <w:pPr>
              <w:rPr>
                <w:rFonts w:ascii="Arial" w:hAnsi="Arial" w:cs="Arial"/>
                <w:sz w:val="16"/>
                <w:szCs w:val="16"/>
              </w:rPr>
            </w:pPr>
          </w:p>
        </w:tc>
        <w:tc>
          <w:tcPr>
            <w:tcW w:w="499" w:type="pct"/>
          </w:tcPr>
          <w:p w14:paraId="346FDF41"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42D4903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AD81E93" w14:textId="77777777" w:rsidTr="00A91628">
        <w:tblPrEx>
          <w:tblBorders>
            <w:top w:val="single" w:sz="4" w:space="0" w:color="auto"/>
          </w:tblBorders>
        </w:tblPrEx>
        <w:trPr>
          <w:cantSplit/>
          <w:tblCellSpacing w:w="22" w:type="dxa"/>
        </w:trPr>
        <w:tc>
          <w:tcPr>
            <w:tcW w:w="508" w:type="pct"/>
          </w:tcPr>
          <w:p w14:paraId="41A6CAEE" w14:textId="77777777" w:rsidR="00D63B70" w:rsidRPr="006D52A9" w:rsidRDefault="00D63B70" w:rsidP="00D63B70">
            <w:pPr>
              <w:rPr>
                <w:rFonts w:ascii="Arial" w:hAnsi="Arial" w:cs="Arial"/>
                <w:sz w:val="16"/>
                <w:szCs w:val="16"/>
              </w:rPr>
            </w:pPr>
          </w:p>
        </w:tc>
        <w:tc>
          <w:tcPr>
            <w:tcW w:w="943" w:type="pct"/>
          </w:tcPr>
          <w:p w14:paraId="36C3F41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677D1D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DBA5437"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403D886A"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3A71A76" w14:textId="77777777" w:rsidR="00D63B70" w:rsidRPr="006D52A9" w:rsidRDefault="00D63B70" w:rsidP="00D63B70">
            <w:pPr>
              <w:rPr>
                <w:rFonts w:ascii="Arial" w:hAnsi="Arial" w:cs="Arial"/>
                <w:sz w:val="16"/>
                <w:szCs w:val="16"/>
              </w:rPr>
            </w:pPr>
          </w:p>
        </w:tc>
        <w:tc>
          <w:tcPr>
            <w:tcW w:w="499" w:type="pct"/>
          </w:tcPr>
          <w:p w14:paraId="0CAECD14"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8FE323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6787C4B" w14:textId="77777777" w:rsidTr="00A91628">
        <w:tblPrEx>
          <w:tblBorders>
            <w:top w:val="single" w:sz="4" w:space="0" w:color="auto"/>
          </w:tblBorders>
        </w:tblPrEx>
        <w:trPr>
          <w:cantSplit/>
          <w:tblCellSpacing w:w="22" w:type="dxa"/>
        </w:trPr>
        <w:tc>
          <w:tcPr>
            <w:tcW w:w="508" w:type="pct"/>
          </w:tcPr>
          <w:p w14:paraId="1019BDA7" w14:textId="77777777" w:rsidR="00D63B70" w:rsidRPr="006D52A9" w:rsidRDefault="00D63B70" w:rsidP="00D63B70">
            <w:pPr>
              <w:rPr>
                <w:rFonts w:ascii="Arial" w:hAnsi="Arial" w:cs="Arial"/>
                <w:sz w:val="16"/>
                <w:szCs w:val="16"/>
              </w:rPr>
            </w:pPr>
          </w:p>
        </w:tc>
        <w:tc>
          <w:tcPr>
            <w:tcW w:w="943" w:type="pct"/>
          </w:tcPr>
          <w:p w14:paraId="468D77C0"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 micrograms in 0.3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3C37D08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44875DB"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2ADE3B16"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2A8D7D61" w14:textId="77777777" w:rsidR="00D63B70" w:rsidRPr="006D52A9" w:rsidRDefault="00D63B70" w:rsidP="00D63B70">
            <w:pPr>
              <w:rPr>
                <w:rFonts w:ascii="Arial" w:hAnsi="Arial" w:cs="Arial"/>
                <w:sz w:val="16"/>
                <w:szCs w:val="16"/>
              </w:rPr>
            </w:pPr>
          </w:p>
        </w:tc>
        <w:tc>
          <w:tcPr>
            <w:tcW w:w="499" w:type="pct"/>
          </w:tcPr>
          <w:p w14:paraId="110FC988"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5B3315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54318D3" w14:textId="77777777" w:rsidTr="00A91628">
        <w:tblPrEx>
          <w:tblBorders>
            <w:top w:val="single" w:sz="4" w:space="0" w:color="auto"/>
          </w:tblBorders>
        </w:tblPrEx>
        <w:trPr>
          <w:cantSplit/>
          <w:tblCellSpacing w:w="22" w:type="dxa"/>
        </w:trPr>
        <w:tc>
          <w:tcPr>
            <w:tcW w:w="508" w:type="pct"/>
          </w:tcPr>
          <w:p w14:paraId="37453119" w14:textId="77777777" w:rsidR="00D63B70" w:rsidRPr="006D52A9" w:rsidRDefault="00D63B70" w:rsidP="00D63B70">
            <w:pPr>
              <w:rPr>
                <w:rFonts w:ascii="Arial" w:hAnsi="Arial" w:cs="Arial"/>
                <w:sz w:val="16"/>
                <w:szCs w:val="16"/>
              </w:rPr>
            </w:pPr>
          </w:p>
        </w:tc>
        <w:tc>
          <w:tcPr>
            <w:tcW w:w="943" w:type="pct"/>
          </w:tcPr>
          <w:p w14:paraId="74795C7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80 micrograms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6EDDB0B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9D0B0F2"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66211FBC"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FCB57C0" w14:textId="77777777" w:rsidR="00D63B70" w:rsidRPr="006D52A9" w:rsidRDefault="00D63B70" w:rsidP="00D63B70">
            <w:pPr>
              <w:rPr>
                <w:rFonts w:ascii="Arial" w:hAnsi="Arial" w:cs="Arial"/>
                <w:sz w:val="16"/>
                <w:szCs w:val="16"/>
              </w:rPr>
            </w:pPr>
          </w:p>
        </w:tc>
        <w:tc>
          <w:tcPr>
            <w:tcW w:w="499" w:type="pct"/>
          </w:tcPr>
          <w:p w14:paraId="56F21C2B"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12F790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6C6B05F" w14:textId="77777777" w:rsidTr="00A91628">
        <w:tblPrEx>
          <w:tblBorders>
            <w:top w:val="single" w:sz="4" w:space="0" w:color="auto"/>
          </w:tblBorders>
        </w:tblPrEx>
        <w:trPr>
          <w:cantSplit/>
          <w:tblCellSpacing w:w="22" w:type="dxa"/>
        </w:trPr>
        <w:tc>
          <w:tcPr>
            <w:tcW w:w="508" w:type="pct"/>
          </w:tcPr>
          <w:p w14:paraId="6A1C2639" w14:textId="77777777" w:rsidR="00D63B70" w:rsidRPr="006D52A9" w:rsidRDefault="00D63B70" w:rsidP="00D63B70">
            <w:pPr>
              <w:rPr>
                <w:rFonts w:ascii="Arial" w:hAnsi="Arial" w:cs="Arial"/>
                <w:sz w:val="16"/>
                <w:szCs w:val="16"/>
              </w:rPr>
            </w:pPr>
          </w:p>
        </w:tc>
        <w:tc>
          <w:tcPr>
            <w:tcW w:w="943" w:type="pct"/>
          </w:tcPr>
          <w:p w14:paraId="54F3552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80 micrograms in 0.4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1616FAC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A9FB249"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2B875604"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01FB937A" w14:textId="77777777" w:rsidR="00D63B70" w:rsidRPr="006D52A9" w:rsidRDefault="00D63B70" w:rsidP="00D63B70">
            <w:pPr>
              <w:rPr>
                <w:rFonts w:ascii="Arial" w:hAnsi="Arial" w:cs="Arial"/>
                <w:sz w:val="16"/>
                <w:szCs w:val="16"/>
              </w:rPr>
            </w:pPr>
          </w:p>
        </w:tc>
        <w:tc>
          <w:tcPr>
            <w:tcW w:w="499" w:type="pct"/>
          </w:tcPr>
          <w:p w14:paraId="2B554F64"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02D37F4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ED88FF4" w14:textId="77777777" w:rsidTr="00A91628">
        <w:tblPrEx>
          <w:tblBorders>
            <w:top w:val="single" w:sz="4" w:space="0" w:color="auto"/>
          </w:tblBorders>
        </w:tblPrEx>
        <w:trPr>
          <w:cantSplit/>
          <w:tblCellSpacing w:w="22" w:type="dxa"/>
        </w:trPr>
        <w:tc>
          <w:tcPr>
            <w:tcW w:w="508" w:type="pct"/>
          </w:tcPr>
          <w:p w14:paraId="0F68DD5F" w14:textId="77777777" w:rsidR="00D63B70" w:rsidRPr="006D52A9" w:rsidRDefault="00D63B70" w:rsidP="00D63B70">
            <w:pPr>
              <w:rPr>
                <w:rFonts w:ascii="Arial" w:hAnsi="Arial" w:cs="Arial"/>
                <w:sz w:val="16"/>
                <w:szCs w:val="16"/>
              </w:rPr>
            </w:pPr>
          </w:p>
        </w:tc>
        <w:tc>
          <w:tcPr>
            <w:tcW w:w="943" w:type="pct"/>
          </w:tcPr>
          <w:p w14:paraId="45013A1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 micrograms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B1ED5A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8F7D797"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671686DB"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64078F1" w14:textId="77777777" w:rsidR="00D63B70" w:rsidRPr="006D52A9" w:rsidRDefault="00D63B70" w:rsidP="00D63B70">
            <w:pPr>
              <w:rPr>
                <w:rFonts w:ascii="Arial" w:hAnsi="Arial" w:cs="Arial"/>
                <w:sz w:val="16"/>
                <w:szCs w:val="16"/>
              </w:rPr>
            </w:pPr>
          </w:p>
        </w:tc>
        <w:tc>
          <w:tcPr>
            <w:tcW w:w="499" w:type="pct"/>
          </w:tcPr>
          <w:p w14:paraId="526C9948"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B412FE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F82ECF8" w14:textId="77777777" w:rsidTr="00A91628">
        <w:tblPrEx>
          <w:tblBorders>
            <w:top w:val="single" w:sz="4" w:space="0" w:color="auto"/>
          </w:tblBorders>
        </w:tblPrEx>
        <w:trPr>
          <w:cantSplit/>
          <w:tblCellSpacing w:w="22" w:type="dxa"/>
        </w:trPr>
        <w:tc>
          <w:tcPr>
            <w:tcW w:w="508" w:type="pct"/>
          </w:tcPr>
          <w:p w14:paraId="55178351" w14:textId="77777777" w:rsidR="00D63B70" w:rsidRPr="006D52A9" w:rsidRDefault="00D63B70" w:rsidP="00D63B70">
            <w:pPr>
              <w:rPr>
                <w:rFonts w:ascii="Arial" w:hAnsi="Arial" w:cs="Arial"/>
                <w:sz w:val="16"/>
                <w:szCs w:val="16"/>
              </w:rPr>
            </w:pPr>
          </w:p>
        </w:tc>
        <w:tc>
          <w:tcPr>
            <w:tcW w:w="943" w:type="pct"/>
          </w:tcPr>
          <w:p w14:paraId="0215A80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 micrograms in 0.5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13DCA43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2955D68"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072D0D77"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66A47EC" w14:textId="77777777" w:rsidR="00D63B70" w:rsidRPr="006D52A9" w:rsidRDefault="00D63B70" w:rsidP="00D63B70">
            <w:pPr>
              <w:rPr>
                <w:rFonts w:ascii="Arial" w:hAnsi="Arial" w:cs="Arial"/>
                <w:sz w:val="16"/>
                <w:szCs w:val="16"/>
              </w:rPr>
            </w:pPr>
          </w:p>
        </w:tc>
        <w:tc>
          <w:tcPr>
            <w:tcW w:w="499" w:type="pct"/>
          </w:tcPr>
          <w:p w14:paraId="165623B2"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01A419E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C66E013" w14:textId="77777777" w:rsidTr="00A91628">
        <w:tblPrEx>
          <w:tblBorders>
            <w:top w:val="single" w:sz="4" w:space="0" w:color="auto"/>
          </w:tblBorders>
        </w:tblPrEx>
        <w:trPr>
          <w:cantSplit/>
          <w:tblCellSpacing w:w="22" w:type="dxa"/>
        </w:trPr>
        <w:tc>
          <w:tcPr>
            <w:tcW w:w="508" w:type="pct"/>
          </w:tcPr>
          <w:p w14:paraId="2CC99A19" w14:textId="77777777" w:rsidR="00D63B70" w:rsidRPr="006D52A9" w:rsidRDefault="00D63B70" w:rsidP="00D63B70">
            <w:pPr>
              <w:rPr>
                <w:rFonts w:ascii="Arial" w:hAnsi="Arial" w:cs="Arial"/>
                <w:sz w:val="16"/>
                <w:szCs w:val="16"/>
              </w:rPr>
            </w:pPr>
          </w:p>
        </w:tc>
        <w:tc>
          <w:tcPr>
            <w:tcW w:w="943" w:type="pct"/>
          </w:tcPr>
          <w:p w14:paraId="4D29724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150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A130BE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7BBFB0D" w14:textId="77777777" w:rsidR="00D63B70" w:rsidRPr="006D52A9" w:rsidRDefault="00D63B70" w:rsidP="00D63B70">
            <w:pPr>
              <w:rPr>
                <w:rFonts w:ascii="Arial" w:hAnsi="Arial" w:cs="Arial"/>
                <w:sz w:val="16"/>
                <w:szCs w:val="16"/>
              </w:rPr>
            </w:pPr>
            <w:r w:rsidRPr="006D52A9">
              <w:rPr>
                <w:rFonts w:ascii="Arial" w:hAnsi="Arial" w:cs="Arial"/>
                <w:sz w:val="16"/>
                <w:szCs w:val="16"/>
              </w:rPr>
              <w:t>Aranesp</w:t>
            </w:r>
          </w:p>
        </w:tc>
        <w:tc>
          <w:tcPr>
            <w:tcW w:w="894" w:type="pct"/>
          </w:tcPr>
          <w:p w14:paraId="619AF7AA"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11C1BB6" w14:textId="77777777" w:rsidR="00D63B70" w:rsidRPr="006D52A9" w:rsidRDefault="00D63B70" w:rsidP="00D63B70">
            <w:pPr>
              <w:rPr>
                <w:rFonts w:ascii="Arial" w:hAnsi="Arial" w:cs="Arial"/>
                <w:sz w:val="16"/>
                <w:szCs w:val="16"/>
              </w:rPr>
            </w:pPr>
          </w:p>
        </w:tc>
        <w:tc>
          <w:tcPr>
            <w:tcW w:w="499" w:type="pct"/>
          </w:tcPr>
          <w:p w14:paraId="7E5FDE9E"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3EEC5AD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2D17C99" w14:textId="77777777" w:rsidTr="00A91628">
        <w:tblPrEx>
          <w:tblBorders>
            <w:top w:val="single" w:sz="4" w:space="0" w:color="auto"/>
          </w:tblBorders>
        </w:tblPrEx>
        <w:trPr>
          <w:cantSplit/>
          <w:tblCellSpacing w:w="22" w:type="dxa"/>
        </w:trPr>
        <w:tc>
          <w:tcPr>
            <w:tcW w:w="508" w:type="pct"/>
          </w:tcPr>
          <w:p w14:paraId="61AF022E" w14:textId="77777777" w:rsidR="00D63B70" w:rsidRPr="006D52A9" w:rsidRDefault="00D63B70" w:rsidP="00D63B70">
            <w:pPr>
              <w:rPr>
                <w:rFonts w:ascii="Arial" w:hAnsi="Arial" w:cs="Arial"/>
                <w:sz w:val="16"/>
                <w:szCs w:val="16"/>
              </w:rPr>
            </w:pPr>
          </w:p>
        </w:tc>
        <w:tc>
          <w:tcPr>
            <w:tcW w:w="943" w:type="pct"/>
          </w:tcPr>
          <w:p w14:paraId="11F3914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150 micrograms in 0.3 mL pre</w:t>
            </w:r>
            <w:r w:rsidR="0026100E">
              <w:rPr>
                <w:rFonts w:ascii="Arial" w:hAnsi="Arial" w:cs="Arial"/>
                <w:sz w:val="16"/>
                <w:szCs w:val="16"/>
              </w:rPr>
              <w:noBreakHyphen/>
            </w:r>
            <w:r w:rsidRPr="006D52A9">
              <w:rPr>
                <w:rFonts w:ascii="Arial" w:hAnsi="Arial" w:cs="Arial"/>
                <w:sz w:val="16"/>
                <w:szCs w:val="16"/>
              </w:rPr>
              <w:t>filled injection pen</w:t>
            </w:r>
          </w:p>
        </w:tc>
        <w:tc>
          <w:tcPr>
            <w:tcW w:w="540" w:type="pct"/>
          </w:tcPr>
          <w:p w14:paraId="4819203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6F5CC81" w14:textId="77777777" w:rsidR="00D63B70" w:rsidRPr="006D52A9" w:rsidRDefault="00D63B70" w:rsidP="00D63B70">
            <w:pPr>
              <w:rPr>
                <w:rFonts w:ascii="Arial" w:hAnsi="Arial" w:cs="Arial"/>
                <w:sz w:val="16"/>
                <w:szCs w:val="16"/>
              </w:rPr>
            </w:pPr>
            <w:r w:rsidRPr="006D52A9">
              <w:rPr>
                <w:rFonts w:ascii="Arial" w:hAnsi="Arial" w:cs="Arial"/>
                <w:sz w:val="16"/>
                <w:szCs w:val="16"/>
              </w:rPr>
              <w:t>Aranesp SureClick</w:t>
            </w:r>
          </w:p>
        </w:tc>
        <w:tc>
          <w:tcPr>
            <w:tcW w:w="894" w:type="pct"/>
          </w:tcPr>
          <w:p w14:paraId="1EB32145"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59101494" w14:textId="77777777" w:rsidR="00D63B70" w:rsidRPr="006D52A9" w:rsidRDefault="00D63B70" w:rsidP="00D63B70">
            <w:pPr>
              <w:rPr>
                <w:rFonts w:ascii="Arial" w:hAnsi="Arial" w:cs="Arial"/>
                <w:sz w:val="16"/>
                <w:szCs w:val="16"/>
              </w:rPr>
            </w:pPr>
          </w:p>
        </w:tc>
        <w:tc>
          <w:tcPr>
            <w:tcW w:w="499" w:type="pct"/>
          </w:tcPr>
          <w:p w14:paraId="58F25AAA"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648D10F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F228A64" w14:textId="77777777" w:rsidTr="00A91628">
        <w:tblPrEx>
          <w:tblBorders>
            <w:top w:val="single" w:sz="4" w:space="0" w:color="auto"/>
          </w:tblBorders>
        </w:tblPrEx>
        <w:trPr>
          <w:cantSplit/>
          <w:tblCellSpacing w:w="22" w:type="dxa"/>
        </w:trPr>
        <w:tc>
          <w:tcPr>
            <w:tcW w:w="508" w:type="pct"/>
          </w:tcPr>
          <w:p w14:paraId="09A5C663" w14:textId="77777777" w:rsidR="00D63B70" w:rsidRPr="006D52A9" w:rsidRDefault="00D63B70" w:rsidP="00D63B70">
            <w:pPr>
              <w:rPr>
                <w:rFonts w:ascii="Arial" w:hAnsi="Arial" w:cs="Arial"/>
                <w:sz w:val="16"/>
                <w:szCs w:val="16"/>
              </w:rPr>
            </w:pPr>
            <w:r w:rsidRPr="006D52A9">
              <w:rPr>
                <w:rFonts w:ascii="Arial" w:hAnsi="Arial" w:cs="Arial"/>
                <w:sz w:val="16"/>
                <w:szCs w:val="16"/>
              </w:rPr>
              <w:t>Darunavir</w:t>
            </w:r>
          </w:p>
        </w:tc>
        <w:tc>
          <w:tcPr>
            <w:tcW w:w="943" w:type="pct"/>
          </w:tcPr>
          <w:p w14:paraId="37B87E69" w14:textId="77777777" w:rsidR="00D63B70" w:rsidRPr="006D52A9" w:rsidRDefault="00D63B70" w:rsidP="00D63B70">
            <w:pPr>
              <w:rPr>
                <w:rFonts w:ascii="Arial" w:hAnsi="Arial" w:cs="Arial"/>
                <w:sz w:val="16"/>
                <w:szCs w:val="16"/>
              </w:rPr>
            </w:pPr>
            <w:r w:rsidRPr="006D52A9">
              <w:rPr>
                <w:rFonts w:ascii="Arial" w:hAnsi="Arial" w:cs="Arial"/>
                <w:sz w:val="16"/>
                <w:szCs w:val="16"/>
              </w:rPr>
              <w:t>Tablet 150 mg (as ethanolate)</w:t>
            </w:r>
          </w:p>
        </w:tc>
        <w:tc>
          <w:tcPr>
            <w:tcW w:w="540" w:type="pct"/>
          </w:tcPr>
          <w:p w14:paraId="3BD64FB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7BC396E" w14:textId="77777777" w:rsidR="00D63B70" w:rsidRPr="006D52A9" w:rsidRDefault="00D63B70" w:rsidP="00D63B70">
            <w:pPr>
              <w:rPr>
                <w:rFonts w:ascii="Arial" w:hAnsi="Arial" w:cs="Arial"/>
                <w:sz w:val="16"/>
                <w:szCs w:val="16"/>
              </w:rPr>
            </w:pPr>
            <w:r w:rsidRPr="006D52A9">
              <w:rPr>
                <w:rFonts w:ascii="Arial" w:hAnsi="Arial" w:cs="Arial"/>
                <w:sz w:val="16"/>
                <w:szCs w:val="16"/>
              </w:rPr>
              <w:t>Prezista</w:t>
            </w:r>
          </w:p>
        </w:tc>
        <w:tc>
          <w:tcPr>
            <w:tcW w:w="894" w:type="pct"/>
          </w:tcPr>
          <w:p w14:paraId="7AF3FBA9" w14:textId="77777777" w:rsidR="00D63B70" w:rsidRPr="006D52A9" w:rsidRDefault="00D63B70" w:rsidP="00D63B70">
            <w:pPr>
              <w:rPr>
                <w:rFonts w:ascii="Arial" w:hAnsi="Arial" w:cs="Arial"/>
                <w:sz w:val="16"/>
                <w:szCs w:val="16"/>
              </w:rPr>
            </w:pPr>
            <w:r w:rsidRPr="006D52A9">
              <w:rPr>
                <w:rFonts w:ascii="Arial" w:hAnsi="Arial" w:cs="Arial"/>
                <w:sz w:val="16"/>
                <w:szCs w:val="16"/>
              </w:rPr>
              <w:t>C5094</w:t>
            </w:r>
          </w:p>
        </w:tc>
        <w:tc>
          <w:tcPr>
            <w:tcW w:w="376" w:type="pct"/>
          </w:tcPr>
          <w:p w14:paraId="7D0A8644" w14:textId="77777777" w:rsidR="00D63B70" w:rsidRPr="006D52A9" w:rsidRDefault="00D63B70" w:rsidP="00D63B70">
            <w:pPr>
              <w:rPr>
                <w:rFonts w:ascii="Arial" w:hAnsi="Arial" w:cs="Arial"/>
                <w:sz w:val="16"/>
                <w:szCs w:val="16"/>
              </w:rPr>
            </w:pPr>
          </w:p>
        </w:tc>
        <w:tc>
          <w:tcPr>
            <w:tcW w:w="499" w:type="pct"/>
          </w:tcPr>
          <w:p w14:paraId="17CDD2EB"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4E2150B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EF0F620" w14:textId="77777777" w:rsidTr="00A91628">
        <w:tblPrEx>
          <w:tblBorders>
            <w:top w:val="single" w:sz="4" w:space="0" w:color="auto"/>
          </w:tblBorders>
        </w:tblPrEx>
        <w:trPr>
          <w:cantSplit/>
          <w:tblCellSpacing w:w="22" w:type="dxa"/>
        </w:trPr>
        <w:tc>
          <w:tcPr>
            <w:tcW w:w="508" w:type="pct"/>
          </w:tcPr>
          <w:p w14:paraId="1B241F95" w14:textId="77777777" w:rsidR="00D63B70" w:rsidRPr="006D52A9" w:rsidRDefault="00D63B70" w:rsidP="00D63B70">
            <w:pPr>
              <w:rPr>
                <w:rFonts w:ascii="Arial" w:hAnsi="Arial" w:cs="Arial"/>
                <w:sz w:val="16"/>
                <w:szCs w:val="16"/>
              </w:rPr>
            </w:pPr>
          </w:p>
        </w:tc>
        <w:tc>
          <w:tcPr>
            <w:tcW w:w="943" w:type="pct"/>
            <w:vAlign w:val="center"/>
          </w:tcPr>
          <w:p w14:paraId="53DC5757" w14:textId="77777777" w:rsidR="00D63B70" w:rsidRPr="006D52A9" w:rsidRDefault="00D63B70" w:rsidP="00D63B70">
            <w:pPr>
              <w:rPr>
                <w:rFonts w:ascii="Arial" w:hAnsi="Arial" w:cs="Arial"/>
                <w:sz w:val="16"/>
                <w:szCs w:val="16"/>
              </w:rPr>
            </w:pPr>
            <w:r w:rsidRPr="006D52A9">
              <w:rPr>
                <w:rFonts w:ascii="Arial" w:hAnsi="Arial" w:cs="Arial"/>
                <w:sz w:val="16"/>
                <w:szCs w:val="16"/>
              </w:rPr>
              <w:t>Tablet 600 mg (as ethanolate)</w:t>
            </w:r>
          </w:p>
        </w:tc>
        <w:tc>
          <w:tcPr>
            <w:tcW w:w="540" w:type="pct"/>
            <w:vAlign w:val="center"/>
          </w:tcPr>
          <w:p w14:paraId="470F97F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vAlign w:val="center"/>
          </w:tcPr>
          <w:p w14:paraId="3C46E0FD" w14:textId="77777777" w:rsidR="00D63B70" w:rsidRPr="006D52A9" w:rsidRDefault="00D63B70" w:rsidP="00D63B70">
            <w:pPr>
              <w:rPr>
                <w:rFonts w:ascii="Arial" w:hAnsi="Arial" w:cs="Arial"/>
                <w:sz w:val="16"/>
                <w:szCs w:val="16"/>
              </w:rPr>
            </w:pPr>
            <w:r w:rsidRPr="006D52A9">
              <w:rPr>
                <w:rFonts w:ascii="Arial" w:hAnsi="Arial" w:cs="Arial"/>
                <w:sz w:val="16"/>
                <w:szCs w:val="16"/>
              </w:rPr>
              <w:t>Prezista</w:t>
            </w:r>
          </w:p>
        </w:tc>
        <w:tc>
          <w:tcPr>
            <w:tcW w:w="894" w:type="pct"/>
            <w:vAlign w:val="center"/>
          </w:tcPr>
          <w:p w14:paraId="06320B1A" w14:textId="77777777" w:rsidR="00D63B70" w:rsidRPr="006D52A9" w:rsidRDefault="00D63B70" w:rsidP="00D63B70">
            <w:pPr>
              <w:rPr>
                <w:rFonts w:ascii="Arial" w:hAnsi="Arial" w:cs="Arial"/>
                <w:sz w:val="16"/>
                <w:szCs w:val="16"/>
              </w:rPr>
            </w:pPr>
            <w:r w:rsidRPr="006D52A9">
              <w:rPr>
                <w:rFonts w:ascii="Arial" w:hAnsi="Arial" w:cs="Arial"/>
                <w:sz w:val="16"/>
                <w:szCs w:val="16"/>
              </w:rPr>
              <w:t>C5094</w:t>
            </w:r>
          </w:p>
        </w:tc>
        <w:tc>
          <w:tcPr>
            <w:tcW w:w="376" w:type="pct"/>
            <w:vAlign w:val="center"/>
          </w:tcPr>
          <w:p w14:paraId="48E098F8" w14:textId="77777777" w:rsidR="00D63B70" w:rsidRPr="006D52A9" w:rsidRDefault="00D63B70" w:rsidP="00D63B70">
            <w:pPr>
              <w:rPr>
                <w:rFonts w:ascii="Arial" w:hAnsi="Arial" w:cs="Arial"/>
                <w:sz w:val="16"/>
                <w:szCs w:val="16"/>
              </w:rPr>
            </w:pPr>
          </w:p>
        </w:tc>
        <w:tc>
          <w:tcPr>
            <w:tcW w:w="499" w:type="pct"/>
            <w:vAlign w:val="center"/>
          </w:tcPr>
          <w:p w14:paraId="6B594898"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vAlign w:val="center"/>
          </w:tcPr>
          <w:p w14:paraId="5B42DBA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CB9DC3B" w14:textId="77777777" w:rsidTr="00A91628">
        <w:tblPrEx>
          <w:tblBorders>
            <w:top w:val="single" w:sz="4" w:space="0" w:color="auto"/>
          </w:tblBorders>
        </w:tblPrEx>
        <w:trPr>
          <w:cantSplit/>
          <w:tblCellSpacing w:w="22" w:type="dxa"/>
        </w:trPr>
        <w:tc>
          <w:tcPr>
            <w:tcW w:w="508" w:type="pct"/>
          </w:tcPr>
          <w:p w14:paraId="6D1EF167" w14:textId="77777777" w:rsidR="00D63B70" w:rsidRPr="006D52A9" w:rsidRDefault="00D63B70" w:rsidP="00D63B70">
            <w:pPr>
              <w:rPr>
                <w:rFonts w:ascii="Arial" w:hAnsi="Arial" w:cs="Arial"/>
                <w:sz w:val="16"/>
                <w:szCs w:val="16"/>
              </w:rPr>
            </w:pPr>
          </w:p>
        </w:tc>
        <w:tc>
          <w:tcPr>
            <w:tcW w:w="943" w:type="pct"/>
            <w:vAlign w:val="center"/>
          </w:tcPr>
          <w:p w14:paraId="571FFD12" w14:textId="77777777" w:rsidR="00D63B70" w:rsidRPr="006D52A9" w:rsidRDefault="00D63B70" w:rsidP="00D63B70">
            <w:pPr>
              <w:rPr>
                <w:rFonts w:ascii="Arial" w:hAnsi="Arial" w:cs="Arial"/>
                <w:sz w:val="16"/>
                <w:szCs w:val="16"/>
              </w:rPr>
            </w:pPr>
            <w:r w:rsidRPr="006D52A9">
              <w:rPr>
                <w:rFonts w:ascii="Arial" w:hAnsi="Arial" w:cs="Arial"/>
                <w:sz w:val="16"/>
                <w:szCs w:val="16"/>
              </w:rPr>
              <w:t>Tablet 800mg (as ethanolate)</w:t>
            </w:r>
          </w:p>
        </w:tc>
        <w:tc>
          <w:tcPr>
            <w:tcW w:w="540" w:type="pct"/>
            <w:vAlign w:val="center"/>
          </w:tcPr>
          <w:p w14:paraId="013C70B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vAlign w:val="center"/>
          </w:tcPr>
          <w:p w14:paraId="06BDA3EF" w14:textId="77777777" w:rsidR="00D63B70" w:rsidRPr="006D52A9" w:rsidRDefault="00D63B70" w:rsidP="00D63B70">
            <w:pPr>
              <w:rPr>
                <w:rFonts w:ascii="Arial" w:hAnsi="Arial" w:cs="Arial"/>
                <w:sz w:val="16"/>
                <w:szCs w:val="16"/>
              </w:rPr>
            </w:pPr>
            <w:r w:rsidRPr="006D52A9">
              <w:rPr>
                <w:rFonts w:ascii="Arial" w:hAnsi="Arial" w:cs="Arial"/>
                <w:sz w:val="16"/>
                <w:szCs w:val="16"/>
              </w:rPr>
              <w:t>Prezista</w:t>
            </w:r>
          </w:p>
        </w:tc>
        <w:tc>
          <w:tcPr>
            <w:tcW w:w="894" w:type="pct"/>
            <w:vAlign w:val="center"/>
          </w:tcPr>
          <w:p w14:paraId="3446ADD1" w14:textId="77777777" w:rsidR="00D63B70" w:rsidRPr="006D52A9" w:rsidRDefault="00D63B70" w:rsidP="00D63B70">
            <w:pPr>
              <w:rPr>
                <w:rFonts w:ascii="Arial" w:hAnsi="Arial" w:cs="Arial"/>
                <w:sz w:val="16"/>
                <w:szCs w:val="16"/>
              </w:rPr>
            </w:pPr>
            <w:r w:rsidRPr="006D52A9">
              <w:rPr>
                <w:rFonts w:ascii="Arial" w:hAnsi="Arial" w:cs="Arial"/>
                <w:sz w:val="16"/>
                <w:szCs w:val="16"/>
              </w:rPr>
              <w:t>C4313</w:t>
            </w:r>
          </w:p>
        </w:tc>
        <w:tc>
          <w:tcPr>
            <w:tcW w:w="376" w:type="pct"/>
            <w:vAlign w:val="center"/>
          </w:tcPr>
          <w:p w14:paraId="1686ED6D" w14:textId="77777777" w:rsidR="00D63B70" w:rsidRPr="006D52A9" w:rsidRDefault="00D63B70" w:rsidP="00D63B70">
            <w:pPr>
              <w:rPr>
                <w:rFonts w:ascii="Arial" w:hAnsi="Arial" w:cs="Arial"/>
                <w:sz w:val="16"/>
                <w:szCs w:val="16"/>
              </w:rPr>
            </w:pPr>
          </w:p>
        </w:tc>
        <w:tc>
          <w:tcPr>
            <w:tcW w:w="499" w:type="pct"/>
            <w:vAlign w:val="center"/>
          </w:tcPr>
          <w:p w14:paraId="514F3D29"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vAlign w:val="center"/>
          </w:tcPr>
          <w:p w14:paraId="67EA25D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179C70E" w14:textId="77777777" w:rsidTr="00A91628">
        <w:tblPrEx>
          <w:tblBorders>
            <w:top w:val="single" w:sz="4" w:space="0" w:color="auto"/>
          </w:tblBorders>
        </w:tblPrEx>
        <w:trPr>
          <w:cantSplit/>
          <w:tblCellSpacing w:w="22" w:type="dxa"/>
        </w:trPr>
        <w:tc>
          <w:tcPr>
            <w:tcW w:w="508" w:type="pct"/>
          </w:tcPr>
          <w:p w14:paraId="21428F57" w14:textId="77777777" w:rsidR="00D63B70" w:rsidRPr="006D52A9" w:rsidRDefault="00D63B70" w:rsidP="00D63B70">
            <w:pPr>
              <w:rPr>
                <w:rFonts w:ascii="Arial" w:hAnsi="Arial" w:cs="Arial"/>
                <w:sz w:val="16"/>
                <w:szCs w:val="16"/>
              </w:rPr>
            </w:pPr>
            <w:r w:rsidRPr="006D52A9">
              <w:rPr>
                <w:rFonts w:ascii="Arial" w:hAnsi="Arial" w:cs="Arial"/>
                <w:sz w:val="16"/>
                <w:szCs w:val="16"/>
              </w:rPr>
              <w:t>Darunavir with cobicistat</w:t>
            </w:r>
          </w:p>
        </w:tc>
        <w:tc>
          <w:tcPr>
            <w:tcW w:w="943" w:type="pct"/>
          </w:tcPr>
          <w:p w14:paraId="1181B029"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darunavir 800mg with cobicistat 150 mg</w:t>
            </w:r>
          </w:p>
        </w:tc>
        <w:tc>
          <w:tcPr>
            <w:tcW w:w="540" w:type="pct"/>
          </w:tcPr>
          <w:p w14:paraId="374FC72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A98B842" w14:textId="77777777" w:rsidR="00D63B70" w:rsidRPr="006D52A9" w:rsidRDefault="00D63B70" w:rsidP="00D63B70">
            <w:pPr>
              <w:rPr>
                <w:rFonts w:ascii="Arial" w:hAnsi="Arial" w:cs="Arial"/>
                <w:sz w:val="16"/>
                <w:szCs w:val="16"/>
              </w:rPr>
            </w:pPr>
            <w:r w:rsidRPr="006D52A9">
              <w:rPr>
                <w:rFonts w:ascii="Arial" w:hAnsi="Arial" w:cs="Arial"/>
                <w:sz w:val="16"/>
                <w:szCs w:val="16"/>
              </w:rPr>
              <w:t>Prezcobix</w:t>
            </w:r>
          </w:p>
        </w:tc>
        <w:tc>
          <w:tcPr>
            <w:tcW w:w="894" w:type="pct"/>
          </w:tcPr>
          <w:p w14:paraId="1FE16437" w14:textId="77777777" w:rsidR="00D63B70" w:rsidRPr="006D52A9" w:rsidRDefault="00D63B70" w:rsidP="00D63B70">
            <w:pPr>
              <w:rPr>
                <w:rFonts w:ascii="Arial" w:hAnsi="Arial" w:cs="Arial"/>
                <w:sz w:val="16"/>
                <w:szCs w:val="16"/>
              </w:rPr>
            </w:pPr>
            <w:r w:rsidRPr="006D52A9">
              <w:rPr>
                <w:rFonts w:ascii="Arial" w:hAnsi="Arial" w:cs="Arial"/>
                <w:sz w:val="16"/>
                <w:szCs w:val="16"/>
              </w:rPr>
              <w:t>C6377 C6413 C6428</w:t>
            </w:r>
          </w:p>
        </w:tc>
        <w:tc>
          <w:tcPr>
            <w:tcW w:w="376" w:type="pct"/>
          </w:tcPr>
          <w:p w14:paraId="24CE5A37" w14:textId="77777777" w:rsidR="00D63B70" w:rsidRPr="006D52A9" w:rsidRDefault="00D63B70" w:rsidP="00D63B70">
            <w:pPr>
              <w:rPr>
                <w:rFonts w:ascii="Arial" w:hAnsi="Arial" w:cs="Arial"/>
                <w:sz w:val="16"/>
                <w:szCs w:val="16"/>
              </w:rPr>
            </w:pPr>
          </w:p>
        </w:tc>
        <w:tc>
          <w:tcPr>
            <w:tcW w:w="499" w:type="pct"/>
          </w:tcPr>
          <w:p w14:paraId="1B67A75B"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28C0A7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67F1443" w14:textId="77777777" w:rsidTr="00A91628">
        <w:tblPrEx>
          <w:tblBorders>
            <w:top w:val="single" w:sz="4" w:space="0" w:color="auto"/>
          </w:tblBorders>
        </w:tblPrEx>
        <w:trPr>
          <w:cantSplit/>
          <w:tblCellSpacing w:w="22" w:type="dxa"/>
        </w:trPr>
        <w:tc>
          <w:tcPr>
            <w:tcW w:w="508" w:type="pct"/>
          </w:tcPr>
          <w:p w14:paraId="37D61F81" w14:textId="77777777" w:rsidR="00D63B70" w:rsidRPr="006D52A9" w:rsidRDefault="00D63B70" w:rsidP="00D63B70">
            <w:pPr>
              <w:rPr>
                <w:rFonts w:ascii="Arial" w:hAnsi="Arial" w:cs="Arial"/>
                <w:sz w:val="16"/>
                <w:szCs w:val="16"/>
              </w:rPr>
            </w:pPr>
            <w:r w:rsidRPr="006D52A9">
              <w:rPr>
                <w:rFonts w:ascii="Arial" w:eastAsia="Arial" w:hAnsi="Arial" w:cs="Arial"/>
                <w:sz w:val="16"/>
                <w:szCs w:val="22"/>
                <w:lang w:eastAsia="zh-CN"/>
              </w:rPr>
              <w:t>Darunavir with cobicistat, emtricitabine and tenofovir alafenamide</w:t>
            </w:r>
          </w:p>
        </w:tc>
        <w:tc>
          <w:tcPr>
            <w:tcW w:w="943" w:type="pct"/>
          </w:tcPr>
          <w:p w14:paraId="2C837347" w14:textId="77777777" w:rsidR="00D63B70" w:rsidRPr="006D52A9" w:rsidRDefault="00D63B70" w:rsidP="00D63B70">
            <w:pPr>
              <w:rPr>
                <w:rFonts w:ascii="Arial" w:hAnsi="Arial" w:cs="Arial"/>
                <w:sz w:val="16"/>
                <w:szCs w:val="16"/>
              </w:rPr>
            </w:pPr>
            <w:r w:rsidRPr="006D52A9">
              <w:rPr>
                <w:rFonts w:ascii="Arial" w:eastAsia="Arial" w:hAnsi="Arial" w:cs="Arial"/>
                <w:sz w:val="16"/>
                <w:szCs w:val="22"/>
                <w:lang w:eastAsia="zh-CN"/>
              </w:rPr>
              <w:t xml:space="preserve">Tablet containing darunavir </w:t>
            </w:r>
            <w:r w:rsidRPr="006D52A9">
              <w:rPr>
                <w:rFonts w:ascii="Arial" w:eastAsia="Arial" w:hAnsi="Arial" w:cs="Arial"/>
                <w:sz w:val="16"/>
                <w:szCs w:val="22"/>
                <w:lang w:eastAsia="zh-CN"/>
              </w:rPr>
              <w:br/>
              <w:t>800 mg with cobicistat 150 mg, emtricitabine 200 mg and tenofovir alafenamide 10 mg</w:t>
            </w:r>
          </w:p>
        </w:tc>
        <w:tc>
          <w:tcPr>
            <w:tcW w:w="540" w:type="pct"/>
          </w:tcPr>
          <w:p w14:paraId="49EA40C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AC5331F" w14:textId="77777777" w:rsidR="00D63B70" w:rsidRPr="006D52A9" w:rsidRDefault="00D63B70" w:rsidP="00D63B70">
            <w:pPr>
              <w:rPr>
                <w:rFonts w:ascii="Arial" w:hAnsi="Arial" w:cs="Arial"/>
                <w:sz w:val="16"/>
                <w:szCs w:val="16"/>
              </w:rPr>
            </w:pPr>
            <w:r w:rsidRPr="006D52A9">
              <w:rPr>
                <w:rFonts w:ascii="Arial" w:eastAsia="Arial" w:hAnsi="Arial" w:cs="Arial"/>
                <w:sz w:val="16"/>
                <w:szCs w:val="22"/>
                <w:lang w:eastAsia="zh-CN"/>
              </w:rPr>
              <w:t>Symtuza</w:t>
            </w:r>
          </w:p>
        </w:tc>
        <w:tc>
          <w:tcPr>
            <w:tcW w:w="894" w:type="pct"/>
          </w:tcPr>
          <w:p w14:paraId="3A46F1A5" w14:textId="77777777" w:rsidR="00D63B70" w:rsidRPr="006D52A9" w:rsidRDefault="00D63B70" w:rsidP="00D63B70">
            <w:pPr>
              <w:rPr>
                <w:rFonts w:ascii="Arial" w:hAnsi="Arial" w:cs="Arial"/>
                <w:sz w:val="16"/>
                <w:szCs w:val="16"/>
              </w:rPr>
            </w:pPr>
            <w:r w:rsidRPr="006D52A9">
              <w:rPr>
                <w:rFonts w:ascii="Arial" w:eastAsia="Arial" w:hAnsi="Arial" w:cs="Arial"/>
                <w:sz w:val="16"/>
                <w:szCs w:val="22"/>
                <w:lang w:eastAsia="zh-CN"/>
              </w:rPr>
              <w:t>C10317 C10324</w:t>
            </w:r>
          </w:p>
        </w:tc>
        <w:tc>
          <w:tcPr>
            <w:tcW w:w="376" w:type="pct"/>
          </w:tcPr>
          <w:p w14:paraId="4EB1286C" w14:textId="77777777" w:rsidR="00D63B70" w:rsidRPr="006D52A9" w:rsidRDefault="00D63B70" w:rsidP="00D63B70">
            <w:pPr>
              <w:rPr>
                <w:rFonts w:ascii="Arial" w:hAnsi="Arial" w:cs="Arial"/>
                <w:sz w:val="16"/>
                <w:szCs w:val="16"/>
              </w:rPr>
            </w:pPr>
          </w:p>
        </w:tc>
        <w:tc>
          <w:tcPr>
            <w:tcW w:w="499" w:type="pct"/>
          </w:tcPr>
          <w:p w14:paraId="7D689D22"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16122C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D8DCAA5" w14:textId="77777777" w:rsidTr="00A91628">
        <w:tblPrEx>
          <w:tblBorders>
            <w:top w:val="single" w:sz="4" w:space="0" w:color="auto"/>
          </w:tblBorders>
        </w:tblPrEx>
        <w:trPr>
          <w:cantSplit/>
          <w:tblCellSpacing w:w="22" w:type="dxa"/>
        </w:trPr>
        <w:tc>
          <w:tcPr>
            <w:tcW w:w="508" w:type="pct"/>
          </w:tcPr>
          <w:p w14:paraId="0439397E" w14:textId="77777777" w:rsidR="00D63B70" w:rsidRPr="006D52A9" w:rsidRDefault="00D63B70" w:rsidP="00D63B70">
            <w:pPr>
              <w:rPr>
                <w:rFonts w:ascii="Arial" w:hAnsi="Arial" w:cs="Arial"/>
                <w:sz w:val="16"/>
                <w:szCs w:val="16"/>
              </w:rPr>
            </w:pPr>
            <w:r w:rsidRPr="006D52A9">
              <w:rPr>
                <w:rFonts w:ascii="Arial" w:hAnsi="Arial" w:cs="Arial"/>
                <w:sz w:val="16"/>
                <w:szCs w:val="16"/>
              </w:rPr>
              <w:t>Deferasirox</w:t>
            </w:r>
          </w:p>
        </w:tc>
        <w:tc>
          <w:tcPr>
            <w:tcW w:w="943" w:type="pct"/>
          </w:tcPr>
          <w:p w14:paraId="225F40A9" w14:textId="77777777" w:rsidR="00D63B70" w:rsidRPr="006D52A9" w:rsidRDefault="00D63B70" w:rsidP="00D63B70">
            <w:pPr>
              <w:rPr>
                <w:rFonts w:ascii="Arial" w:hAnsi="Arial" w:cs="Arial"/>
                <w:sz w:val="16"/>
                <w:szCs w:val="16"/>
              </w:rPr>
            </w:pPr>
            <w:r w:rsidRPr="006D52A9">
              <w:rPr>
                <w:rFonts w:ascii="Arial" w:hAnsi="Arial" w:cs="Arial"/>
                <w:sz w:val="16"/>
                <w:szCs w:val="16"/>
              </w:rPr>
              <w:t>Tablet 90 mg</w:t>
            </w:r>
          </w:p>
        </w:tc>
        <w:tc>
          <w:tcPr>
            <w:tcW w:w="540" w:type="pct"/>
          </w:tcPr>
          <w:p w14:paraId="3B405B7A"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F02271F" w14:textId="77777777" w:rsidR="00D63B70" w:rsidRPr="006D52A9" w:rsidRDefault="00D63B70" w:rsidP="00D63B70">
            <w:pPr>
              <w:rPr>
                <w:rFonts w:ascii="Arial" w:hAnsi="Arial" w:cs="Arial"/>
                <w:sz w:val="16"/>
                <w:szCs w:val="16"/>
              </w:rPr>
            </w:pPr>
            <w:r w:rsidRPr="006D52A9">
              <w:rPr>
                <w:rFonts w:ascii="Arial" w:hAnsi="Arial" w:cs="Arial"/>
                <w:sz w:val="16"/>
                <w:szCs w:val="16"/>
              </w:rPr>
              <w:t>Jadenu</w:t>
            </w:r>
          </w:p>
        </w:tc>
        <w:tc>
          <w:tcPr>
            <w:tcW w:w="894" w:type="pct"/>
          </w:tcPr>
          <w:p w14:paraId="00A394E6"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1E93FDB8" w14:textId="77777777" w:rsidR="00D63B70" w:rsidRPr="006D52A9" w:rsidRDefault="00D63B70" w:rsidP="00D63B70">
            <w:pPr>
              <w:rPr>
                <w:rFonts w:ascii="Arial" w:hAnsi="Arial" w:cs="Arial"/>
                <w:sz w:val="16"/>
                <w:szCs w:val="16"/>
              </w:rPr>
            </w:pPr>
            <w:r w:rsidRPr="006D52A9">
              <w:rPr>
                <w:rFonts w:ascii="Arial" w:hAnsi="Arial" w:cs="Arial"/>
                <w:sz w:val="16"/>
                <w:szCs w:val="16"/>
              </w:rPr>
              <w:t>P7385 P8326 P8328 P8329 P9222 P9258 P9302</w:t>
            </w:r>
          </w:p>
        </w:tc>
        <w:tc>
          <w:tcPr>
            <w:tcW w:w="499" w:type="pct"/>
          </w:tcPr>
          <w:p w14:paraId="2E793E3C"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7C554039"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7016018D" w14:textId="77777777" w:rsidTr="00A91628">
        <w:tblPrEx>
          <w:tblBorders>
            <w:top w:val="single" w:sz="4" w:space="0" w:color="auto"/>
          </w:tblBorders>
        </w:tblPrEx>
        <w:trPr>
          <w:cantSplit/>
          <w:tblCellSpacing w:w="22" w:type="dxa"/>
        </w:trPr>
        <w:tc>
          <w:tcPr>
            <w:tcW w:w="508" w:type="pct"/>
          </w:tcPr>
          <w:p w14:paraId="73A40ECE" w14:textId="77777777" w:rsidR="00D63B70" w:rsidRPr="006D52A9" w:rsidRDefault="00D63B70" w:rsidP="00D63B70">
            <w:pPr>
              <w:rPr>
                <w:rFonts w:ascii="Arial" w:hAnsi="Arial" w:cs="Arial"/>
                <w:sz w:val="16"/>
                <w:szCs w:val="16"/>
              </w:rPr>
            </w:pPr>
          </w:p>
        </w:tc>
        <w:tc>
          <w:tcPr>
            <w:tcW w:w="943" w:type="pct"/>
          </w:tcPr>
          <w:p w14:paraId="77D8E035" w14:textId="77777777" w:rsidR="00D63B70" w:rsidRPr="006D52A9" w:rsidRDefault="00D63B70" w:rsidP="00D63B70">
            <w:pPr>
              <w:rPr>
                <w:rFonts w:ascii="Arial" w:hAnsi="Arial" w:cs="Arial"/>
                <w:sz w:val="16"/>
                <w:szCs w:val="16"/>
              </w:rPr>
            </w:pPr>
          </w:p>
        </w:tc>
        <w:tc>
          <w:tcPr>
            <w:tcW w:w="540" w:type="pct"/>
          </w:tcPr>
          <w:p w14:paraId="561E3655" w14:textId="77777777" w:rsidR="00D63B70" w:rsidRPr="006D52A9" w:rsidRDefault="00D63B70" w:rsidP="00D63B70">
            <w:pPr>
              <w:rPr>
                <w:rFonts w:ascii="Arial" w:hAnsi="Arial" w:cs="Arial"/>
                <w:sz w:val="16"/>
                <w:szCs w:val="16"/>
              </w:rPr>
            </w:pPr>
          </w:p>
        </w:tc>
        <w:tc>
          <w:tcPr>
            <w:tcW w:w="591" w:type="pct"/>
          </w:tcPr>
          <w:p w14:paraId="60173611" w14:textId="77777777" w:rsidR="00D63B70" w:rsidRPr="006D52A9" w:rsidRDefault="00D63B70" w:rsidP="00D63B70">
            <w:pPr>
              <w:rPr>
                <w:rFonts w:ascii="Arial" w:hAnsi="Arial" w:cs="Arial"/>
                <w:sz w:val="16"/>
                <w:szCs w:val="16"/>
              </w:rPr>
            </w:pPr>
          </w:p>
        </w:tc>
        <w:tc>
          <w:tcPr>
            <w:tcW w:w="894" w:type="pct"/>
          </w:tcPr>
          <w:p w14:paraId="7582062F"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18343B61" w14:textId="77777777" w:rsidR="00D63B70" w:rsidRPr="006D52A9" w:rsidRDefault="00D63B70" w:rsidP="00D63B70">
            <w:pPr>
              <w:rPr>
                <w:rFonts w:ascii="Arial" w:hAnsi="Arial" w:cs="Arial"/>
                <w:sz w:val="16"/>
                <w:szCs w:val="16"/>
              </w:rPr>
            </w:pPr>
            <w:r w:rsidRPr="006D52A9">
              <w:rPr>
                <w:rFonts w:ascii="Arial" w:hAnsi="Arial" w:cs="Arial"/>
                <w:sz w:val="16"/>
                <w:szCs w:val="16"/>
              </w:rPr>
              <w:t>P7374 P7375</w:t>
            </w:r>
          </w:p>
        </w:tc>
        <w:tc>
          <w:tcPr>
            <w:tcW w:w="499" w:type="pct"/>
          </w:tcPr>
          <w:p w14:paraId="26D6A6EC"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13CE656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85E757F" w14:textId="77777777" w:rsidTr="00A91628">
        <w:tblPrEx>
          <w:tblBorders>
            <w:top w:val="single" w:sz="4" w:space="0" w:color="auto"/>
          </w:tblBorders>
        </w:tblPrEx>
        <w:trPr>
          <w:cantSplit/>
          <w:tblCellSpacing w:w="22" w:type="dxa"/>
        </w:trPr>
        <w:tc>
          <w:tcPr>
            <w:tcW w:w="508" w:type="pct"/>
          </w:tcPr>
          <w:p w14:paraId="17468133" w14:textId="77777777" w:rsidR="00D63B70" w:rsidRPr="006D52A9" w:rsidRDefault="00D63B70" w:rsidP="00D63B70">
            <w:pPr>
              <w:rPr>
                <w:rFonts w:ascii="Arial" w:hAnsi="Arial" w:cs="Arial"/>
                <w:sz w:val="16"/>
                <w:szCs w:val="16"/>
              </w:rPr>
            </w:pPr>
          </w:p>
        </w:tc>
        <w:tc>
          <w:tcPr>
            <w:tcW w:w="943" w:type="pct"/>
          </w:tcPr>
          <w:p w14:paraId="06D7487D" w14:textId="77777777" w:rsidR="00D63B70" w:rsidRPr="006D52A9" w:rsidRDefault="00D63B70" w:rsidP="00D63B70">
            <w:pPr>
              <w:rPr>
                <w:rFonts w:ascii="Arial" w:hAnsi="Arial" w:cs="Arial"/>
                <w:sz w:val="16"/>
                <w:szCs w:val="16"/>
              </w:rPr>
            </w:pPr>
            <w:r w:rsidRPr="006D52A9">
              <w:rPr>
                <w:rFonts w:ascii="Arial" w:hAnsi="Arial" w:cs="Arial"/>
                <w:sz w:val="16"/>
                <w:szCs w:val="16"/>
              </w:rPr>
              <w:t>Tablet 180 mg</w:t>
            </w:r>
          </w:p>
        </w:tc>
        <w:tc>
          <w:tcPr>
            <w:tcW w:w="540" w:type="pct"/>
          </w:tcPr>
          <w:p w14:paraId="0C04976A"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731733C" w14:textId="77777777" w:rsidR="00D63B70" w:rsidRPr="006D52A9" w:rsidRDefault="00D63B70" w:rsidP="00D63B70">
            <w:pPr>
              <w:rPr>
                <w:rFonts w:ascii="Arial" w:hAnsi="Arial" w:cs="Arial"/>
                <w:sz w:val="16"/>
                <w:szCs w:val="16"/>
              </w:rPr>
            </w:pPr>
            <w:r w:rsidRPr="006D52A9">
              <w:rPr>
                <w:rFonts w:ascii="Arial" w:hAnsi="Arial" w:cs="Arial"/>
                <w:sz w:val="16"/>
                <w:szCs w:val="16"/>
              </w:rPr>
              <w:t>Jadenu</w:t>
            </w:r>
          </w:p>
        </w:tc>
        <w:tc>
          <w:tcPr>
            <w:tcW w:w="894" w:type="pct"/>
          </w:tcPr>
          <w:p w14:paraId="2F1E8157"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4054B774" w14:textId="77777777" w:rsidR="00D63B70" w:rsidRPr="006D52A9" w:rsidRDefault="00D63B70" w:rsidP="00D63B70">
            <w:pPr>
              <w:rPr>
                <w:rFonts w:ascii="Arial" w:hAnsi="Arial" w:cs="Arial"/>
                <w:sz w:val="16"/>
                <w:szCs w:val="16"/>
              </w:rPr>
            </w:pPr>
            <w:r w:rsidRPr="006D52A9">
              <w:rPr>
                <w:rFonts w:ascii="Arial" w:hAnsi="Arial" w:cs="Arial"/>
                <w:sz w:val="16"/>
                <w:szCs w:val="16"/>
              </w:rPr>
              <w:t>P7385 P8326 P8328 P8329 P9222 P9258 P9302</w:t>
            </w:r>
          </w:p>
        </w:tc>
        <w:tc>
          <w:tcPr>
            <w:tcW w:w="499" w:type="pct"/>
          </w:tcPr>
          <w:p w14:paraId="0D0EB69C"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08802D81"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49F97A51" w14:textId="77777777" w:rsidTr="00A91628">
        <w:tblPrEx>
          <w:tblBorders>
            <w:top w:val="single" w:sz="4" w:space="0" w:color="auto"/>
          </w:tblBorders>
        </w:tblPrEx>
        <w:trPr>
          <w:cantSplit/>
          <w:tblCellSpacing w:w="22" w:type="dxa"/>
        </w:trPr>
        <w:tc>
          <w:tcPr>
            <w:tcW w:w="508" w:type="pct"/>
          </w:tcPr>
          <w:p w14:paraId="1ACE557E" w14:textId="77777777" w:rsidR="00D63B70" w:rsidRPr="006D52A9" w:rsidRDefault="00D63B70" w:rsidP="00D63B70">
            <w:pPr>
              <w:rPr>
                <w:rFonts w:ascii="Arial" w:hAnsi="Arial" w:cs="Arial"/>
                <w:sz w:val="16"/>
                <w:szCs w:val="16"/>
              </w:rPr>
            </w:pPr>
          </w:p>
        </w:tc>
        <w:tc>
          <w:tcPr>
            <w:tcW w:w="943" w:type="pct"/>
          </w:tcPr>
          <w:p w14:paraId="78B279C5" w14:textId="77777777" w:rsidR="00D63B70" w:rsidRPr="006D52A9" w:rsidRDefault="00D63B70" w:rsidP="00D63B70">
            <w:pPr>
              <w:rPr>
                <w:rFonts w:ascii="Arial" w:hAnsi="Arial" w:cs="Arial"/>
                <w:sz w:val="16"/>
                <w:szCs w:val="16"/>
              </w:rPr>
            </w:pPr>
          </w:p>
        </w:tc>
        <w:tc>
          <w:tcPr>
            <w:tcW w:w="540" w:type="pct"/>
          </w:tcPr>
          <w:p w14:paraId="71F660D7" w14:textId="77777777" w:rsidR="00D63B70" w:rsidRPr="006D52A9" w:rsidRDefault="00D63B70" w:rsidP="00D63B70">
            <w:pPr>
              <w:rPr>
                <w:rFonts w:ascii="Arial" w:hAnsi="Arial" w:cs="Arial"/>
                <w:sz w:val="16"/>
                <w:szCs w:val="16"/>
              </w:rPr>
            </w:pPr>
          </w:p>
        </w:tc>
        <w:tc>
          <w:tcPr>
            <w:tcW w:w="591" w:type="pct"/>
          </w:tcPr>
          <w:p w14:paraId="13EE1610" w14:textId="77777777" w:rsidR="00D63B70" w:rsidRPr="006D52A9" w:rsidRDefault="00D63B70" w:rsidP="00D63B70">
            <w:pPr>
              <w:rPr>
                <w:rFonts w:ascii="Arial" w:hAnsi="Arial" w:cs="Arial"/>
                <w:sz w:val="16"/>
                <w:szCs w:val="16"/>
              </w:rPr>
            </w:pPr>
          </w:p>
        </w:tc>
        <w:tc>
          <w:tcPr>
            <w:tcW w:w="894" w:type="pct"/>
          </w:tcPr>
          <w:p w14:paraId="2FD12454"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056B6D0E" w14:textId="77777777" w:rsidR="00D63B70" w:rsidRPr="006D52A9" w:rsidRDefault="00D63B70" w:rsidP="00D63B70">
            <w:pPr>
              <w:rPr>
                <w:rFonts w:ascii="Arial" w:hAnsi="Arial" w:cs="Arial"/>
                <w:sz w:val="16"/>
                <w:szCs w:val="16"/>
              </w:rPr>
            </w:pPr>
            <w:r w:rsidRPr="006D52A9">
              <w:rPr>
                <w:rFonts w:ascii="Arial" w:hAnsi="Arial" w:cs="Arial"/>
                <w:sz w:val="16"/>
                <w:szCs w:val="16"/>
              </w:rPr>
              <w:t>P7374 P7375</w:t>
            </w:r>
          </w:p>
        </w:tc>
        <w:tc>
          <w:tcPr>
            <w:tcW w:w="499" w:type="pct"/>
          </w:tcPr>
          <w:p w14:paraId="054370F4"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0751035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ADAA4A8" w14:textId="77777777" w:rsidTr="00A91628">
        <w:tblPrEx>
          <w:tblBorders>
            <w:top w:val="single" w:sz="4" w:space="0" w:color="auto"/>
          </w:tblBorders>
        </w:tblPrEx>
        <w:trPr>
          <w:cantSplit/>
          <w:tblCellSpacing w:w="22" w:type="dxa"/>
        </w:trPr>
        <w:tc>
          <w:tcPr>
            <w:tcW w:w="508" w:type="pct"/>
          </w:tcPr>
          <w:p w14:paraId="02D6563D" w14:textId="77777777" w:rsidR="00D63B70" w:rsidRPr="006D52A9" w:rsidRDefault="00D63B70" w:rsidP="00D63B70">
            <w:pPr>
              <w:rPr>
                <w:rFonts w:ascii="Arial" w:hAnsi="Arial" w:cs="Arial"/>
                <w:sz w:val="16"/>
                <w:szCs w:val="16"/>
              </w:rPr>
            </w:pPr>
          </w:p>
        </w:tc>
        <w:tc>
          <w:tcPr>
            <w:tcW w:w="943" w:type="pct"/>
          </w:tcPr>
          <w:p w14:paraId="73B70958" w14:textId="77777777" w:rsidR="00D63B70" w:rsidRPr="006D52A9" w:rsidRDefault="00D63B70" w:rsidP="00D63B70">
            <w:pPr>
              <w:rPr>
                <w:rFonts w:ascii="Arial" w:hAnsi="Arial" w:cs="Arial"/>
                <w:sz w:val="16"/>
                <w:szCs w:val="16"/>
              </w:rPr>
            </w:pPr>
            <w:r w:rsidRPr="006D52A9">
              <w:rPr>
                <w:rFonts w:ascii="Arial" w:hAnsi="Arial" w:cs="Arial"/>
                <w:sz w:val="16"/>
                <w:szCs w:val="16"/>
              </w:rPr>
              <w:t>Tablet 360 mg</w:t>
            </w:r>
          </w:p>
        </w:tc>
        <w:tc>
          <w:tcPr>
            <w:tcW w:w="540" w:type="pct"/>
          </w:tcPr>
          <w:p w14:paraId="4FEE751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A0F21DE" w14:textId="77777777" w:rsidR="00D63B70" w:rsidRPr="006D52A9" w:rsidRDefault="00D63B70" w:rsidP="00D63B70">
            <w:pPr>
              <w:rPr>
                <w:rFonts w:ascii="Arial" w:hAnsi="Arial" w:cs="Arial"/>
                <w:sz w:val="16"/>
                <w:szCs w:val="16"/>
              </w:rPr>
            </w:pPr>
            <w:r w:rsidRPr="006D52A9">
              <w:rPr>
                <w:rFonts w:ascii="Arial" w:hAnsi="Arial" w:cs="Arial"/>
                <w:sz w:val="16"/>
                <w:szCs w:val="16"/>
              </w:rPr>
              <w:t>Jadenu</w:t>
            </w:r>
          </w:p>
        </w:tc>
        <w:tc>
          <w:tcPr>
            <w:tcW w:w="894" w:type="pct"/>
          </w:tcPr>
          <w:p w14:paraId="0192F6B4"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7E0EFB94" w14:textId="77777777" w:rsidR="00D63B70" w:rsidRPr="006D52A9" w:rsidRDefault="00D63B70" w:rsidP="00D63B70">
            <w:pPr>
              <w:rPr>
                <w:rFonts w:ascii="Arial" w:hAnsi="Arial" w:cs="Arial"/>
                <w:sz w:val="16"/>
                <w:szCs w:val="16"/>
              </w:rPr>
            </w:pPr>
            <w:r w:rsidRPr="006D52A9">
              <w:rPr>
                <w:rFonts w:ascii="Arial" w:hAnsi="Arial" w:cs="Arial"/>
                <w:sz w:val="16"/>
                <w:szCs w:val="16"/>
              </w:rPr>
              <w:t>P7385 P8326 P8328 P8329 P9222 P9258 P9302</w:t>
            </w:r>
          </w:p>
        </w:tc>
        <w:tc>
          <w:tcPr>
            <w:tcW w:w="499" w:type="pct"/>
          </w:tcPr>
          <w:p w14:paraId="1FD652B5"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7C2FA505"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2407BD46" w14:textId="77777777" w:rsidTr="00A91628">
        <w:tblPrEx>
          <w:tblBorders>
            <w:top w:val="single" w:sz="4" w:space="0" w:color="auto"/>
          </w:tblBorders>
        </w:tblPrEx>
        <w:trPr>
          <w:cantSplit/>
          <w:tblCellSpacing w:w="22" w:type="dxa"/>
        </w:trPr>
        <w:tc>
          <w:tcPr>
            <w:tcW w:w="508" w:type="pct"/>
          </w:tcPr>
          <w:p w14:paraId="40EB93FA" w14:textId="77777777" w:rsidR="00D63B70" w:rsidRPr="006D52A9" w:rsidRDefault="00D63B70" w:rsidP="00D63B70">
            <w:pPr>
              <w:rPr>
                <w:rFonts w:ascii="Arial" w:hAnsi="Arial" w:cs="Arial"/>
                <w:sz w:val="16"/>
                <w:szCs w:val="16"/>
              </w:rPr>
            </w:pPr>
          </w:p>
        </w:tc>
        <w:tc>
          <w:tcPr>
            <w:tcW w:w="943" w:type="pct"/>
          </w:tcPr>
          <w:p w14:paraId="2898BA95" w14:textId="77777777" w:rsidR="00D63B70" w:rsidRPr="006D52A9" w:rsidRDefault="00D63B70" w:rsidP="00D63B70">
            <w:pPr>
              <w:rPr>
                <w:rFonts w:ascii="Arial" w:hAnsi="Arial" w:cs="Arial"/>
                <w:sz w:val="16"/>
                <w:szCs w:val="16"/>
              </w:rPr>
            </w:pPr>
          </w:p>
        </w:tc>
        <w:tc>
          <w:tcPr>
            <w:tcW w:w="540" w:type="pct"/>
          </w:tcPr>
          <w:p w14:paraId="063ABB07" w14:textId="77777777" w:rsidR="00D63B70" w:rsidRPr="006D52A9" w:rsidRDefault="00D63B70" w:rsidP="00D63B70">
            <w:pPr>
              <w:rPr>
                <w:rFonts w:ascii="Arial" w:hAnsi="Arial" w:cs="Arial"/>
                <w:sz w:val="16"/>
                <w:szCs w:val="16"/>
              </w:rPr>
            </w:pPr>
          </w:p>
        </w:tc>
        <w:tc>
          <w:tcPr>
            <w:tcW w:w="591" w:type="pct"/>
          </w:tcPr>
          <w:p w14:paraId="1625A74E" w14:textId="77777777" w:rsidR="00D63B70" w:rsidRPr="006D52A9" w:rsidRDefault="00D63B70" w:rsidP="00D63B70">
            <w:pPr>
              <w:rPr>
                <w:rFonts w:ascii="Arial" w:hAnsi="Arial" w:cs="Arial"/>
                <w:sz w:val="16"/>
                <w:szCs w:val="16"/>
              </w:rPr>
            </w:pPr>
          </w:p>
        </w:tc>
        <w:tc>
          <w:tcPr>
            <w:tcW w:w="894" w:type="pct"/>
          </w:tcPr>
          <w:p w14:paraId="3D9011CF" w14:textId="77777777" w:rsidR="00D63B70" w:rsidRPr="006D52A9" w:rsidRDefault="00D63B70" w:rsidP="00D63B70">
            <w:pPr>
              <w:rPr>
                <w:rFonts w:ascii="Arial" w:hAnsi="Arial" w:cs="Arial"/>
                <w:sz w:val="16"/>
                <w:szCs w:val="16"/>
              </w:rPr>
            </w:pPr>
            <w:r w:rsidRPr="006D52A9">
              <w:rPr>
                <w:rFonts w:ascii="Arial" w:hAnsi="Arial" w:cs="Arial"/>
                <w:sz w:val="16"/>
                <w:szCs w:val="16"/>
              </w:rPr>
              <w:t>C7374 C7375 C7385 C8326 C8328 C8329 C9222 C9258 C9302</w:t>
            </w:r>
          </w:p>
        </w:tc>
        <w:tc>
          <w:tcPr>
            <w:tcW w:w="376" w:type="pct"/>
          </w:tcPr>
          <w:p w14:paraId="5B080E0F" w14:textId="77777777" w:rsidR="00D63B70" w:rsidRPr="006D52A9" w:rsidRDefault="00D63B70" w:rsidP="00D63B70">
            <w:pPr>
              <w:rPr>
                <w:rFonts w:ascii="Arial" w:hAnsi="Arial" w:cs="Arial"/>
                <w:sz w:val="16"/>
                <w:szCs w:val="16"/>
              </w:rPr>
            </w:pPr>
            <w:r w:rsidRPr="006D52A9">
              <w:rPr>
                <w:rFonts w:ascii="Arial" w:hAnsi="Arial" w:cs="Arial"/>
                <w:sz w:val="16"/>
                <w:szCs w:val="16"/>
              </w:rPr>
              <w:t>P7374 P7375</w:t>
            </w:r>
          </w:p>
        </w:tc>
        <w:tc>
          <w:tcPr>
            <w:tcW w:w="499" w:type="pct"/>
          </w:tcPr>
          <w:p w14:paraId="5F1049D0"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0EEC8DC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37FC31F" w14:textId="77777777" w:rsidTr="00A91628">
        <w:tblPrEx>
          <w:tblBorders>
            <w:top w:val="single" w:sz="4" w:space="0" w:color="auto"/>
          </w:tblBorders>
        </w:tblPrEx>
        <w:trPr>
          <w:cantSplit/>
          <w:tblCellSpacing w:w="22" w:type="dxa"/>
        </w:trPr>
        <w:tc>
          <w:tcPr>
            <w:tcW w:w="508" w:type="pct"/>
          </w:tcPr>
          <w:p w14:paraId="57F4DFD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Deferiprone</w:t>
            </w:r>
          </w:p>
        </w:tc>
        <w:tc>
          <w:tcPr>
            <w:tcW w:w="943" w:type="pct"/>
          </w:tcPr>
          <w:p w14:paraId="683B80B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Tablet 500 mg</w:t>
            </w:r>
          </w:p>
        </w:tc>
        <w:tc>
          <w:tcPr>
            <w:tcW w:w="540" w:type="pct"/>
          </w:tcPr>
          <w:p w14:paraId="4DC6996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Oral</w:t>
            </w:r>
          </w:p>
        </w:tc>
        <w:tc>
          <w:tcPr>
            <w:tcW w:w="591" w:type="pct"/>
          </w:tcPr>
          <w:p w14:paraId="56F77D26"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Ferriprox</w:t>
            </w:r>
          </w:p>
        </w:tc>
        <w:tc>
          <w:tcPr>
            <w:tcW w:w="894" w:type="pct"/>
          </w:tcPr>
          <w:p w14:paraId="6F890341"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C6403 C6448 C9228 C9286</w:t>
            </w:r>
          </w:p>
        </w:tc>
        <w:tc>
          <w:tcPr>
            <w:tcW w:w="376" w:type="pct"/>
          </w:tcPr>
          <w:p w14:paraId="764EB664" w14:textId="77777777" w:rsidR="00D63B70" w:rsidRPr="006D52A9" w:rsidRDefault="00D63B70" w:rsidP="00D63B70">
            <w:pPr>
              <w:keepNext/>
              <w:rPr>
                <w:rFonts w:ascii="Arial" w:hAnsi="Arial" w:cs="Arial"/>
                <w:sz w:val="16"/>
                <w:szCs w:val="16"/>
              </w:rPr>
            </w:pPr>
          </w:p>
        </w:tc>
        <w:tc>
          <w:tcPr>
            <w:tcW w:w="499" w:type="pct"/>
          </w:tcPr>
          <w:p w14:paraId="44B81C2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300</w:t>
            </w:r>
          </w:p>
        </w:tc>
        <w:tc>
          <w:tcPr>
            <w:tcW w:w="502" w:type="pct"/>
          </w:tcPr>
          <w:p w14:paraId="661DE24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61EB9651" w14:textId="77777777" w:rsidTr="00A91628">
        <w:tblPrEx>
          <w:tblBorders>
            <w:top w:val="single" w:sz="4" w:space="0" w:color="auto"/>
          </w:tblBorders>
        </w:tblPrEx>
        <w:trPr>
          <w:cantSplit/>
          <w:tblCellSpacing w:w="22" w:type="dxa"/>
        </w:trPr>
        <w:tc>
          <w:tcPr>
            <w:tcW w:w="508" w:type="pct"/>
          </w:tcPr>
          <w:p w14:paraId="776D4E9B" w14:textId="77777777" w:rsidR="00D63B70" w:rsidRPr="006D52A9" w:rsidRDefault="00D63B70" w:rsidP="00D63B70">
            <w:pPr>
              <w:keepNext/>
              <w:rPr>
                <w:rFonts w:ascii="Arial" w:hAnsi="Arial" w:cs="Arial"/>
                <w:sz w:val="16"/>
                <w:szCs w:val="16"/>
              </w:rPr>
            </w:pPr>
          </w:p>
        </w:tc>
        <w:tc>
          <w:tcPr>
            <w:tcW w:w="943" w:type="pct"/>
          </w:tcPr>
          <w:p w14:paraId="376D820D"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Tablet 1000 mg</w:t>
            </w:r>
          </w:p>
        </w:tc>
        <w:tc>
          <w:tcPr>
            <w:tcW w:w="540" w:type="pct"/>
          </w:tcPr>
          <w:p w14:paraId="7F22FC5E"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Oral</w:t>
            </w:r>
          </w:p>
        </w:tc>
        <w:tc>
          <w:tcPr>
            <w:tcW w:w="591" w:type="pct"/>
          </w:tcPr>
          <w:p w14:paraId="7C38A592"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Ferriprox</w:t>
            </w:r>
          </w:p>
        </w:tc>
        <w:tc>
          <w:tcPr>
            <w:tcW w:w="894" w:type="pct"/>
          </w:tcPr>
          <w:p w14:paraId="2434C2F5"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C6403 C6448 C9590 C9623</w:t>
            </w:r>
          </w:p>
        </w:tc>
        <w:tc>
          <w:tcPr>
            <w:tcW w:w="376" w:type="pct"/>
          </w:tcPr>
          <w:p w14:paraId="172800A8" w14:textId="77777777" w:rsidR="00D63B70" w:rsidRPr="006D52A9" w:rsidRDefault="00D63B70" w:rsidP="00D63B70">
            <w:pPr>
              <w:keepNext/>
              <w:rPr>
                <w:rFonts w:ascii="Arial" w:hAnsi="Arial" w:cs="Arial"/>
                <w:sz w:val="16"/>
                <w:szCs w:val="16"/>
              </w:rPr>
            </w:pPr>
          </w:p>
        </w:tc>
        <w:tc>
          <w:tcPr>
            <w:tcW w:w="499" w:type="pct"/>
          </w:tcPr>
          <w:p w14:paraId="74ADE3BA"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300</w:t>
            </w:r>
          </w:p>
        </w:tc>
        <w:tc>
          <w:tcPr>
            <w:tcW w:w="502" w:type="pct"/>
          </w:tcPr>
          <w:p w14:paraId="4E064756" w14:textId="77777777" w:rsidR="00D63B70" w:rsidRPr="006D52A9" w:rsidRDefault="00D63B70" w:rsidP="00D63B70">
            <w:pPr>
              <w:keepNext/>
              <w:rPr>
                <w:rFonts w:ascii="Arial" w:hAnsi="Arial" w:cs="Arial"/>
                <w:sz w:val="16"/>
                <w:szCs w:val="16"/>
              </w:rPr>
            </w:pPr>
            <w:r w:rsidRPr="006D52A9">
              <w:rPr>
                <w:rFonts w:ascii="Arial" w:eastAsia="Arial" w:hAnsi="Arial" w:cs="Arial"/>
                <w:sz w:val="16"/>
                <w:szCs w:val="22"/>
                <w:lang w:eastAsia="zh-CN"/>
              </w:rPr>
              <w:t>5</w:t>
            </w:r>
          </w:p>
        </w:tc>
      </w:tr>
      <w:tr w:rsidR="00D63B70" w:rsidRPr="006D52A9" w14:paraId="09B50143" w14:textId="77777777" w:rsidTr="00A91628">
        <w:tblPrEx>
          <w:tblBorders>
            <w:top w:val="single" w:sz="4" w:space="0" w:color="auto"/>
          </w:tblBorders>
        </w:tblPrEx>
        <w:trPr>
          <w:cantSplit/>
          <w:tblCellSpacing w:w="22" w:type="dxa"/>
        </w:trPr>
        <w:tc>
          <w:tcPr>
            <w:tcW w:w="508" w:type="pct"/>
          </w:tcPr>
          <w:p w14:paraId="25F286BB" w14:textId="77777777" w:rsidR="00D63B70" w:rsidRPr="006D52A9" w:rsidRDefault="00D63B70" w:rsidP="00D63B70">
            <w:pPr>
              <w:rPr>
                <w:rFonts w:ascii="Arial" w:hAnsi="Arial" w:cs="Arial"/>
                <w:sz w:val="16"/>
                <w:szCs w:val="16"/>
              </w:rPr>
            </w:pPr>
          </w:p>
        </w:tc>
        <w:tc>
          <w:tcPr>
            <w:tcW w:w="943" w:type="pct"/>
          </w:tcPr>
          <w:p w14:paraId="64277D96" w14:textId="77777777" w:rsidR="00D63B70" w:rsidRPr="006D52A9" w:rsidRDefault="00D63B70" w:rsidP="00D63B70">
            <w:pPr>
              <w:rPr>
                <w:rFonts w:ascii="Arial" w:hAnsi="Arial" w:cs="Arial"/>
                <w:sz w:val="16"/>
                <w:szCs w:val="16"/>
              </w:rPr>
            </w:pPr>
            <w:r w:rsidRPr="006D52A9">
              <w:rPr>
                <w:rFonts w:ascii="Arial" w:hAnsi="Arial" w:cs="Arial"/>
                <w:sz w:val="16"/>
                <w:szCs w:val="16"/>
              </w:rPr>
              <w:t>Oral solution 100 mg per mL, 250 mL</w:t>
            </w:r>
          </w:p>
        </w:tc>
        <w:tc>
          <w:tcPr>
            <w:tcW w:w="540" w:type="pct"/>
          </w:tcPr>
          <w:p w14:paraId="5A09D28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5DEB2F4" w14:textId="77777777" w:rsidR="00D63B70" w:rsidRPr="006D52A9" w:rsidRDefault="00D63B70" w:rsidP="00D63B70">
            <w:pPr>
              <w:rPr>
                <w:rFonts w:ascii="Arial" w:hAnsi="Arial" w:cs="Arial"/>
                <w:sz w:val="16"/>
                <w:szCs w:val="16"/>
              </w:rPr>
            </w:pPr>
            <w:r w:rsidRPr="006D52A9">
              <w:rPr>
                <w:rFonts w:ascii="Arial" w:hAnsi="Arial" w:cs="Arial"/>
                <w:sz w:val="16"/>
                <w:szCs w:val="16"/>
              </w:rPr>
              <w:t>Ferriprox</w:t>
            </w:r>
          </w:p>
        </w:tc>
        <w:tc>
          <w:tcPr>
            <w:tcW w:w="894" w:type="pct"/>
          </w:tcPr>
          <w:p w14:paraId="0B8404AC" w14:textId="77777777" w:rsidR="00D63B70" w:rsidRPr="006D52A9" w:rsidRDefault="00D63B70" w:rsidP="00D63B70">
            <w:pPr>
              <w:rPr>
                <w:rFonts w:ascii="Arial" w:hAnsi="Arial" w:cs="Arial"/>
                <w:sz w:val="16"/>
                <w:szCs w:val="16"/>
              </w:rPr>
            </w:pPr>
            <w:r w:rsidRPr="006D52A9">
              <w:rPr>
                <w:rFonts w:ascii="Arial" w:hAnsi="Arial" w:cs="Arial"/>
                <w:sz w:val="16"/>
                <w:szCs w:val="16"/>
              </w:rPr>
              <w:t>C6403 C6448 C9228 C9286</w:t>
            </w:r>
          </w:p>
        </w:tc>
        <w:tc>
          <w:tcPr>
            <w:tcW w:w="376" w:type="pct"/>
          </w:tcPr>
          <w:p w14:paraId="62B3FFA4" w14:textId="77777777" w:rsidR="00D63B70" w:rsidRPr="006D52A9" w:rsidRDefault="00D63B70" w:rsidP="00D63B70">
            <w:pPr>
              <w:rPr>
                <w:rFonts w:ascii="Arial" w:hAnsi="Arial" w:cs="Arial"/>
                <w:sz w:val="16"/>
                <w:szCs w:val="16"/>
              </w:rPr>
            </w:pPr>
          </w:p>
        </w:tc>
        <w:tc>
          <w:tcPr>
            <w:tcW w:w="499" w:type="pct"/>
          </w:tcPr>
          <w:p w14:paraId="2E63298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c>
          <w:tcPr>
            <w:tcW w:w="502" w:type="pct"/>
          </w:tcPr>
          <w:p w14:paraId="2D3C9F3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57E1D8F" w14:textId="77777777" w:rsidTr="00A91628">
        <w:tblPrEx>
          <w:tblBorders>
            <w:top w:val="single" w:sz="4" w:space="0" w:color="auto"/>
          </w:tblBorders>
        </w:tblPrEx>
        <w:trPr>
          <w:cantSplit/>
          <w:tblCellSpacing w:w="22" w:type="dxa"/>
        </w:trPr>
        <w:tc>
          <w:tcPr>
            <w:tcW w:w="508" w:type="pct"/>
          </w:tcPr>
          <w:p w14:paraId="7FFE199D"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Desferrioxamine</w:t>
            </w:r>
          </w:p>
        </w:tc>
        <w:tc>
          <w:tcPr>
            <w:tcW w:w="943" w:type="pct"/>
          </w:tcPr>
          <w:p w14:paraId="522997AB"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containing desferrioxamine mesilate 500 mg</w:t>
            </w:r>
          </w:p>
        </w:tc>
        <w:tc>
          <w:tcPr>
            <w:tcW w:w="540" w:type="pct"/>
          </w:tcPr>
          <w:p w14:paraId="20AC49D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C9AC62F" w14:textId="77777777" w:rsidR="00D63B70" w:rsidRPr="006D52A9" w:rsidRDefault="00D63B70" w:rsidP="00D63B70">
            <w:pPr>
              <w:rPr>
                <w:rFonts w:ascii="Arial" w:hAnsi="Arial" w:cs="Arial"/>
                <w:sz w:val="16"/>
                <w:szCs w:val="16"/>
              </w:rPr>
            </w:pPr>
            <w:r w:rsidRPr="006D52A9">
              <w:rPr>
                <w:rFonts w:ascii="Arial" w:hAnsi="Arial" w:cs="Arial"/>
                <w:sz w:val="16"/>
                <w:szCs w:val="16"/>
              </w:rPr>
              <w:t>DBL Desferrioxamine Mesilate</w:t>
            </w:r>
          </w:p>
        </w:tc>
        <w:tc>
          <w:tcPr>
            <w:tcW w:w="894" w:type="pct"/>
          </w:tcPr>
          <w:p w14:paraId="28B1A835" w14:textId="77777777" w:rsidR="00D63B70" w:rsidRPr="006D52A9" w:rsidRDefault="00D63B70" w:rsidP="00D63B70">
            <w:pPr>
              <w:rPr>
                <w:rFonts w:ascii="Arial" w:hAnsi="Arial" w:cs="Arial"/>
                <w:sz w:val="16"/>
                <w:szCs w:val="16"/>
              </w:rPr>
            </w:pPr>
            <w:r w:rsidRPr="006D52A9">
              <w:rPr>
                <w:rFonts w:ascii="Arial" w:hAnsi="Arial" w:cs="Arial"/>
                <w:sz w:val="16"/>
                <w:szCs w:val="16"/>
              </w:rPr>
              <w:t>C6394 C9696</w:t>
            </w:r>
          </w:p>
        </w:tc>
        <w:tc>
          <w:tcPr>
            <w:tcW w:w="376" w:type="pct"/>
          </w:tcPr>
          <w:p w14:paraId="428EB665" w14:textId="77777777" w:rsidR="00D63B70" w:rsidRPr="006D52A9" w:rsidRDefault="00D63B70" w:rsidP="00D63B70">
            <w:pPr>
              <w:rPr>
                <w:rFonts w:ascii="Arial" w:hAnsi="Arial" w:cs="Arial"/>
                <w:sz w:val="16"/>
                <w:szCs w:val="16"/>
              </w:rPr>
            </w:pPr>
          </w:p>
        </w:tc>
        <w:tc>
          <w:tcPr>
            <w:tcW w:w="499" w:type="pct"/>
          </w:tcPr>
          <w:p w14:paraId="77F822EB" w14:textId="77777777" w:rsidR="00D63B70" w:rsidRPr="006D52A9" w:rsidRDefault="00D63B70" w:rsidP="00D63B70">
            <w:pPr>
              <w:rPr>
                <w:rFonts w:ascii="Arial" w:hAnsi="Arial" w:cs="Arial"/>
                <w:sz w:val="16"/>
                <w:szCs w:val="16"/>
              </w:rPr>
            </w:pPr>
            <w:r w:rsidRPr="006D52A9">
              <w:rPr>
                <w:rFonts w:ascii="Arial" w:hAnsi="Arial" w:cs="Arial"/>
                <w:sz w:val="16"/>
                <w:szCs w:val="16"/>
              </w:rPr>
              <w:t>400</w:t>
            </w:r>
          </w:p>
        </w:tc>
        <w:tc>
          <w:tcPr>
            <w:tcW w:w="502" w:type="pct"/>
          </w:tcPr>
          <w:p w14:paraId="0560969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9DD6D7E" w14:textId="77777777" w:rsidTr="00A91628">
        <w:tblPrEx>
          <w:tblBorders>
            <w:top w:val="single" w:sz="4" w:space="0" w:color="auto"/>
          </w:tblBorders>
        </w:tblPrEx>
        <w:trPr>
          <w:cantSplit/>
          <w:tblCellSpacing w:w="22" w:type="dxa"/>
        </w:trPr>
        <w:tc>
          <w:tcPr>
            <w:tcW w:w="508" w:type="pct"/>
          </w:tcPr>
          <w:p w14:paraId="3240D6B5" w14:textId="77777777" w:rsidR="00D63B70" w:rsidRPr="006D52A9" w:rsidRDefault="00D63B70" w:rsidP="00D63B70">
            <w:pPr>
              <w:rPr>
                <w:rFonts w:ascii="Arial" w:hAnsi="Arial" w:cs="Arial"/>
                <w:sz w:val="16"/>
                <w:szCs w:val="16"/>
              </w:rPr>
            </w:pPr>
          </w:p>
        </w:tc>
        <w:tc>
          <w:tcPr>
            <w:tcW w:w="943" w:type="pct"/>
          </w:tcPr>
          <w:p w14:paraId="7C79BCD6"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containing desferrioxamine mesilate 2 g</w:t>
            </w:r>
          </w:p>
        </w:tc>
        <w:tc>
          <w:tcPr>
            <w:tcW w:w="540" w:type="pct"/>
          </w:tcPr>
          <w:p w14:paraId="654E4AD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799DF91" w14:textId="77777777" w:rsidR="00D63B70" w:rsidRPr="006D52A9" w:rsidDel="00CB00DF" w:rsidRDefault="00D63B70" w:rsidP="00D63B70">
            <w:pPr>
              <w:rPr>
                <w:rFonts w:ascii="Arial" w:hAnsi="Arial" w:cs="Arial"/>
                <w:sz w:val="16"/>
                <w:szCs w:val="16"/>
              </w:rPr>
            </w:pPr>
            <w:r w:rsidRPr="006D52A9">
              <w:rPr>
                <w:rFonts w:ascii="Arial" w:hAnsi="Arial" w:cs="Arial"/>
                <w:sz w:val="16"/>
                <w:szCs w:val="16"/>
              </w:rPr>
              <w:t>DBL Desferrioxamine Mesilate</w:t>
            </w:r>
          </w:p>
        </w:tc>
        <w:tc>
          <w:tcPr>
            <w:tcW w:w="894" w:type="pct"/>
          </w:tcPr>
          <w:p w14:paraId="35227FC3" w14:textId="77777777" w:rsidR="00D63B70" w:rsidRPr="006D52A9" w:rsidDel="00CB00DF" w:rsidRDefault="00D63B70" w:rsidP="00D63B70">
            <w:pPr>
              <w:rPr>
                <w:rFonts w:ascii="Arial" w:hAnsi="Arial" w:cs="Arial"/>
                <w:sz w:val="16"/>
                <w:szCs w:val="16"/>
              </w:rPr>
            </w:pPr>
            <w:r w:rsidRPr="006D52A9">
              <w:rPr>
                <w:rFonts w:ascii="Arial" w:hAnsi="Arial" w:cs="Arial"/>
                <w:sz w:val="16"/>
                <w:szCs w:val="16"/>
              </w:rPr>
              <w:t>C6394 C9696</w:t>
            </w:r>
          </w:p>
        </w:tc>
        <w:tc>
          <w:tcPr>
            <w:tcW w:w="376" w:type="pct"/>
          </w:tcPr>
          <w:p w14:paraId="078C3DA0" w14:textId="77777777" w:rsidR="00D63B70" w:rsidRPr="006D52A9" w:rsidRDefault="00D63B70" w:rsidP="00D63B70">
            <w:pPr>
              <w:rPr>
                <w:rFonts w:ascii="Arial" w:hAnsi="Arial" w:cs="Arial"/>
                <w:sz w:val="16"/>
                <w:szCs w:val="16"/>
              </w:rPr>
            </w:pPr>
          </w:p>
        </w:tc>
        <w:tc>
          <w:tcPr>
            <w:tcW w:w="499" w:type="pct"/>
          </w:tcPr>
          <w:p w14:paraId="2A24D82D" w14:textId="77777777" w:rsidR="00D63B70" w:rsidRPr="006D52A9" w:rsidDel="00CB00DF"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628600E6" w14:textId="77777777" w:rsidR="00D63B70" w:rsidRPr="006D52A9" w:rsidDel="00CB00DF"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EF8D42D" w14:textId="77777777" w:rsidTr="00A91628">
        <w:tblPrEx>
          <w:tblBorders>
            <w:top w:val="single" w:sz="4" w:space="0" w:color="auto"/>
          </w:tblBorders>
        </w:tblPrEx>
        <w:trPr>
          <w:cantSplit/>
          <w:tblCellSpacing w:w="22" w:type="dxa"/>
        </w:trPr>
        <w:tc>
          <w:tcPr>
            <w:tcW w:w="508" w:type="pct"/>
            <w:tcBorders>
              <w:top w:val="nil"/>
              <w:bottom w:val="nil"/>
            </w:tcBorders>
          </w:tcPr>
          <w:p w14:paraId="4EBE50DE" w14:textId="77777777" w:rsidR="00D63B70" w:rsidRPr="006D52A9" w:rsidRDefault="00D63B70" w:rsidP="00D63B70">
            <w:pPr>
              <w:rPr>
                <w:rFonts w:ascii="Arial" w:hAnsi="Arial" w:cs="Arial"/>
                <w:sz w:val="16"/>
                <w:szCs w:val="16"/>
              </w:rPr>
            </w:pPr>
            <w:r w:rsidRPr="006D52A9">
              <w:rPr>
                <w:rFonts w:ascii="Arial" w:hAnsi="Arial" w:cs="Arial"/>
                <w:sz w:val="16"/>
                <w:szCs w:val="16"/>
              </w:rPr>
              <w:t>Dolutegravir</w:t>
            </w:r>
          </w:p>
        </w:tc>
        <w:tc>
          <w:tcPr>
            <w:tcW w:w="943" w:type="pct"/>
          </w:tcPr>
          <w:p w14:paraId="7631232C" w14:textId="77777777" w:rsidR="00D63B70" w:rsidRPr="006D52A9" w:rsidRDefault="00D63B70" w:rsidP="00D63B70">
            <w:pPr>
              <w:rPr>
                <w:rFonts w:ascii="Arial" w:hAnsi="Arial" w:cs="Arial"/>
                <w:sz w:val="16"/>
                <w:szCs w:val="16"/>
              </w:rPr>
            </w:pPr>
            <w:r w:rsidRPr="006D52A9">
              <w:rPr>
                <w:rFonts w:ascii="Arial" w:hAnsi="Arial" w:cs="Arial"/>
                <w:sz w:val="16"/>
                <w:szCs w:val="16"/>
              </w:rPr>
              <w:t>Tablet 50mg (as sodium)</w:t>
            </w:r>
          </w:p>
        </w:tc>
        <w:tc>
          <w:tcPr>
            <w:tcW w:w="540" w:type="pct"/>
          </w:tcPr>
          <w:p w14:paraId="561F369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67EE09B" w14:textId="77777777" w:rsidR="00D63B70" w:rsidRPr="006D52A9" w:rsidRDefault="00D63B70" w:rsidP="00D63B70">
            <w:pPr>
              <w:rPr>
                <w:rFonts w:ascii="Arial" w:hAnsi="Arial" w:cs="Arial"/>
                <w:sz w:val="16"/>
                <w:szCs w:val="16"/>
              </w:rPr>
            </w:pPr>
            <w:r w:rsidRPr="006D52A9">
              <w:rPr>
                <w:rFonts w:ascii="Arial" w:hAnsi="Arial" w:cs="Arial"/>
                <w:sz w:val="16"/>
                <w:szCs w:val="16"/>
              </w:rPr>
              <w:t>Tivicay</w:t>
            </w:r>
          </w:p>
        </w:tc>
        <w:tc>
          <w:tcPr>
            <w:tcW w:w="894" w:type="pct"/>
          </w:tcPr>
          <w:p w14:paraId="4C7B5D4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C4454 C4512 </w:t>
            </w:r>
          </w:p>
        </w:tc>
        <w:tc>
          <w:tcPr>
            <w:tcW w:w="376" w:type="pct"/>
          </w:tcPr>
          <w:p w14:paraId="33B6EEEC" w14:textId="77777777" w:rsidR="00D63B70" w:rsidRPr="006D52A9" w:rsidRDefault="00D63B70" w:rsidP="00D63B70">
            <w:pPr>
              <w:rPr>
                <w:rFonts w:ascii="Arial" w:hAnsi="Arial" w:cs="Arial"/>
                <w:sz w:val="16"/>
                <w:szCs w:val="16"/>
              </w:rPr>
            </w:pPr>
          </w:p>
        </w:tc>
        <w:tc>
          <w:tcPr>
            <w:tcW w:w="499" w:type="pct"/>
          </w:tcPr>
          <w:p w14:paraId="0BF8A410"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CBAA27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6700F99" w14:textId="77777777" w:rsidTr="00A91628">
        <w:tblPrEx>
          <w:tblBorders>
            <w:top w:val="single" w:sz="4" w:space="0" w:color="auto"/>
          </w:tblBorders>
        </w:tblPrEx>
        <w:trPr>
          <w:cantSplit/>
          <w:tblCellSpacing w:w="22" w:type="dxa"/>
        </w:trPr>
        <w:tc>
          <w:tcPr>
            <w:tcW w:w="508" w:type="pct"/>
            <w:tcBorders>
              <w:top w:val="nil"/>
              <w:bottom w:val="nil"/>
            </w:tcBorders>
          </w:tcPr>
          <w:p w14:paraId="2AF0ADB9" w14:textId="77777777" w:rsidR="00D63B70" w:rsidRPr="006D52A9" w:rsidRDefault="00D63B70" w:rsidP="00D63B70">
            <w:pPr>
              <w:rPr>
                <w:rFonts w:ascii="Arial" w:hAnsi="Arial" w:cs="Arial"/>
                <w:sz w:val="16"/>
                <w:szCs w:val="16"/>
              </w:rPr>
            </w:pPr>
            <w:r w:rsidRPr="006D52A9">
              <w:rPr>
                <w:rFonts w:ascii="Arial" w:hAnsi="Arial" w:cs="Arial"/>
                <w:sz w:val="16"/>
                <w:szCs w:val="16"/>
              </w:rPr>
              <w:t>Dolutegravir with abacavir and lamivudine</w:t>
            </w:r>
          </w:p>
        </w:tc>
        <w:tc>
          <w:tcPr>
            <w:tcW w:w="943" w:type="pct"/>
          </w:tcPr>
          <w:p w14:paraId="6E4550EB"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dolutegravir 50 mg with abacavir 600 mg and lamivudine 300 mg</w:t>
            </w:r>
          </w:p>
        </w:tc>
        <w:tc>
          <w:tcPr>
            <w:tcW w:w="540" w:type="pct"/>
          </w:tcPr>
          <w:p w14:paraId="743E48D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47D81E1" w14:textId="77777777" w:rsidR="00D63B70" w:rsidRPr="006D52A9" w:rsidRDefault="00D63B70" w:rsidP="00D63B70">
            <w:pPr>
              <w:rPr>
                <w:rFonts w:ascii="Arial" w:hAnsi="Arial" w:cs="Arial"/>
                <w:sz w:val="16"/>
                <w:szCs w:val="16"/>
              </w:rPr>
            </w:pPr>
            <w:r w:rsidRPr="006D52A9">
              <w:rPr>
                <w:rFonts w:ascii="Arial" w:hAnsi="Arial" w:cs="Arial"/>
                <w:sz w:val="16"/>
                <w:szCs w:val="16"/>
              </w:rPr>
              <w:t>Triumeq</w:t>
            </w:r>
          </w:p>
        </w:tc>
        <w:tc>
          <w:tcPr>
            <w:tcW w:w="894" w:type="pct"/>
          </w:tcPr>
          <w:p w14:paraId="2DEC4E82" w14:textId="77777777" w:rsidR="00D63B70" w:rsidRPr="006D52A9" w:rsidRDefault="00D63B70" w:rsidP="00D63B70">
            <w:pPr>
              <w:rPr>
                <w:rFonts w:ascii="Arial" w:hAnsi="Arial" w:cs="Arial"/>
                <w:sz w:val="16"/>
                <w:szCs w:val="16"/>
              </w:rPr>
            </w:pPr>
            <w:r w:rsidRPr="006D52A9">
              <w:rPr>
                <w:rFonts w:ascii="Arial" w:hAnsi="Arial" w:cs="Arial"/>
                <w:sz w:val="16"/>
                <w:szCs w:val="16"/>
              </w:rPr>
              <w:t>C9981 C10116</w:t>
            </w:r>
          </w:p>
        </w:tc>
        <w:tc>
          <w:tcPr>
            <w:tcW w:w="376" w:type="pct"/>
          </w:tcPr>
          <w:p w14:paraId="5D8CACCA" w14:textId="77777777" w:rsidR="00D63B70" w:rsidRPr="006D52A9" w:rsidRDefault="00D63B70" w:rsidP="00D63B70">
            <w:pPr>
              <w:rPr>
                <w:rFonts w:ascii="Arial" w:hAnsi="Arial" w:cs="Arial"/>
                <w:sz w:val="16"/>
                <w:szCs w:val="16"/>
              </w:rPr>
            </w:pPr>
          </w:p>
        </w:tc>
        <w:tc>
          <w:tcPr>
            <w:tcW w:w="499" w:type="pct"/>
          </w:tcPr>
          <w:p w14:paraId="78CD99DF"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294EDB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DE0F523" w14:textId="77777777" w:rsidTr="00A91628">
        <w:tblPrEx>
          <w:tblBorders>
            <w:top w:val="single" w:sz="4" w:space="0" w:color="auto"/>
          </w:tblBorders>
        </w:tblPrEx>
        <w:trPr>
          <w:cantSplit/>
          <w:tblCellSpacing w:w="22" w:type="dxa"/>
        </w:trPr>
        <w:tc>
          <w:tcPr>
            <w:tcW w:w="508" w:type="pct"/>
            <w:tcBorders>
              <w:top w:val="nil"/>
              <w:bottom w:val="nil"/>
            </w:tcBorders>
          </w:tcPr>
          <w:p w14:paraId="34132811" w14:textId="77777777" w:rsidR="00D63B70" w:rsidRPr="006D52A9" w:rsidRDefault="00D63B70" w:rsidP="00D63B70">
            <w:pPr>
              <w:rPr>
                <w:rFonts w:ascii="Arial" w:hAnsi="Arial" w:cs="Arial"/>
                <w:sz w:val="16"/>
                <w:szCs w:val="16"/>
              </w:rPr>
            </w:pPr>
            <w:r w:rsidRPr="006D52A9">
              <w:rPr>
                <w:rFonts w:ascii="Arial" w:hAnsi="Arial" w:cs="Arial"/>
                <w:sz w:val="16"/>
                <w:szCs w:val="16"/>
              </w:rPr>
              <w:t>Dolutegravir with lamivudine</w:t>
            </w:r>
          </w:p>
        </w:tc>
        <w:tc>
          <w:tcPr>
            <w:tcW w:w="943" w:type="pct"/>
          </w:tcPr>
          <w:p w14:paraId="5DF4E998"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Tablet containing dolutegravir </w:t>
            </w:r>
            <w:r w:rsidRPr="006D52A9">
              <w:rPr>
                <w:rFonts w:ascii="Arial" w:hAnsi="Arial" w:cs="Arial"/>
                <w:sz w:val="16"/>
                <w:szCs w:val="16"/>
              </w:rPr>
              <w:br/>
              <w:t>50 mg (as sodium) with lamivudine 300 mg</w:t>
            </w:r>
          </w:p>
        </w:tc>
        <w:tc>
          <w:tcPr>
            <w:tcW w:w="540" w:type="pct"/>
          </w:tcPr>
          <w:p w14:paraId="17B248C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D9DFA77" w14:textId="77777777" w:rsidR="00D63B70" w:rsidRPr="006D52A9" w:rsidRDefault="00D63B70" w:rsidP="00D63B70">
            <w:pPr>
              <w:rPr>
                <w:rFonts w:ascii="Arial" w:hAnsi="Arial" w:cs="Arial"/>
                <w:sz w:val="16"/>
                <w:szCs w:val="16"/>
              </w:rPr>
            </w:pPr>
            <w:r w:rsidRPr="006D52A9">
              <w:rPr>
                <w:rFonts w:ascii="Arial" w:hAnsi="Arial" w:cs="Arial"/>
                <w:sz w:val="16"/>
                <w:szCs w:val="16"/>
              </w:rPr>
              <w:t>Dovato</w:t>
            </w:r>
          </w:p>
        </w:tc>
        <w:tc>
          <w:tcPr>
            <w:tcW w:w="894" w:type="pct"/>
          </w:tcPr>
          <w:p w14:paraId="209E85B8" w14:textId="77777777" w:rsidR="00D63B70" w:rsidRPr="006D52A9" w:rsidDel="00AB1101" w:rsidRDefault="00D63B70" w:rsidP="00D63B70">
            <w:pPr>
              <w:rPr>
                <w:rFonts w:ascii="Arial" w:hAnsi="Arial" w:cs="Arial"/>
                <w:sz w:val="16"/>
                <w:szCs w:val="16"/>
              </w:rPr>
            </w:pPr>
            <w:r w:rsidRPr="006D52A9">
              <w:rPr>
                <w:rFonts w:ascii="Arial" w:hAnsi="Arial" w:cs="Arial"/>
                <w:sz w:val="16"/>
                <w:szCs w:val="16"/>
              </w:rPr>
              <w:t>C9987 C11066</w:t>
            </w:r>
          </w:p>
        </w:tc>
        <w:tc>
          <w:tcPr>
            <w:tcW w:w="376" w:type="pct"/>
          </w:tcPr>
          <w:p w14:paraId="7C7C9930" w14:textId="77777777" w:rsidR="00D63B70" w:rsidRPr="006D52A9" w:rsidRDefault="00D63B70" w:rsidP="00D63B70">
            <w:pPr>
              <w:rPr>
                <w:rFonts w:ascii="Arial" w:hAnsi="Arial" w:cs="Arial"/>
                <w:sz w:val="16"/>
                <w:szCs w:val="16"/>
              </w:rPr>
            </w:pPr>
          </w:p>
        </w:tc>
        <w:tc>
          <w:tcPr>
            <w:tcW w:w="499" w:type="pct"/>
          </w:tcPr>
          <w:p w14:paraId="530DD33A"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46D3D9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37EEF4B" w14:textId="77777777" w:rsidTr="00A91628">
        <w:tblPrEx>
          <w:tblBorders>
            <w:top w:val="single" w:sz="4" w:space="0" w:color="auto"/>
          </w:tblBorders>
        </w:tblPrEx>
        <w:trPr>
          <w:cantSplit/>
          <w:tblCellSpacing w:w="22" w:type="dxa"/>
        </w:trPr>
        <w:tc>
          <w:tcPr>
            <w:tcW w:w="508" w:type="pct"/>
            <w:tcBorders>
              <w:top w:val="nil"/>
              <w:bottom w:val="nil"/>
            </w:tcBorders>
          </w:tcPr>
          <w:p w14:paraId="3A2948C2" w14:textId="77777777" w:rsidR="00D63B70" w:rsidRPr="006D52A9" w:rsidRDefault="00D63B70" w:rsidP="00D63B70">
            <w:pPr>
              <w:rPr>
                <w:rFonts w:ascii="Arial" w:hAnsi="Arial" w:cs="Arial"/>
                <w:sz w:val="16"/>
                <w:szCs w:val="16"/>
              </w:rPr>
            </w:pPr>
            <w:r w:rsidRPr="006D52A9">
              <w:rPr>
                <w:rFonts w:ascii="Arial" w:hAnsi="Arial" w:cs="Arial"/>
                <w:sz w:val="16"/>
                <w:szCs w:val="16"/>
              </w:rPr>
              <w:t>Dolutegravir with rilpivirine</w:t>
            </w:r>
          </w:p>
        </w:tc>
        <w:tc>
          <w:tcPr>
            <w:tcW w:w="943" w:type="pct"/>
          </w:tcPr>
          <w:p w14:paraId="5CD91CDB"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dolutegravir 50 mg (as sodium) with rilpivirine 25 mg (as hydrochloride)</w:t>
            </w:r>
          </w:p>
        </w:tc>
        <w:tc>
          <w:tcPr>
            <w:tcW w:w="540" w:type="pct"/>
          </w:tcPr>
          <w:p w14:paraId="1034EA5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90F7502" w14:textId="77777777" w:rsidR="00D63B70" w:rsidRPr="006D52A9" w:rsidRDefault="00D63B70" w:rsidP="00D63B70">
            <w:pPr>
              <w:rPr>
                <w:rFonts w:ascii="Arial" w:hAnsi="Arial" w:cs="Arial"/>
                <w:sz w:val="16"/>
                <w:szCs w:val="16"/>
              </w:rPr>
            </w:pPr>
            <w:r w:rsidRPr="006D52A9">
              <w:rPr>
                <w:rFonts w:ascii="Arial" w:hAnsi="Arial" w:cs="Arial"/>
                <w:sz w:val="16"/>
                <w:szCs w:val="16"/>
              </w:rPr>
              <w:t>Juluca</w:t>
            </w:r>
          </w:p>
        </w:tc>
        <w:tc>
          <w:tcPr>
            <w:tcW w:w="894" w:type="pct"/>
          </w:tcPr>
          <w:p w14:paraId="4108A04C" w14:textId="77777777" w:rsidR="00D63B70" w:rsidRPr="006D52A9" w:rsidRDefault="00D63B70" w:rsidP="00D63B70">
            <w:pPr>
              <w:rPr>
                <w:rFonts w:ascii="Arial" w:hAnsi="Arial" w:cs="Arial"/>
                <w:sz w:val="16"/>
                <w:szCs w:val="16"/>
              </w:rPr>
            </w:pPr>
            <w:r w:rsidRPr="006D52A9">
              <w:rPr>
                <w:rFonts w:ascii="Arial" w:hAnsi="Arial" w:cs="Arial"/>
                <w:sz w:val="16"/>
                <w:szCs w:val="16"/>
              </w:rPr>
              <w:t>C8214 C8226</w:t>
            </w:r>
          </w:p>
        </w:tc>
        <w:tc>
          <w:tcPr>
            <w:tcW w:w="376" w:type="pct"/>
          </w:tcPr>
          <w:p w14:paraId="02FA63E5" w14:textId="77777777" w:rsidR="00D63B70" w:rsidRPr="006D52A9" w:rsidRDefault="00D63B70" w:rsidP="00D63B70">
            <w:pPr>
              <w:rPr>
                <w:rFonts w:ascii="Arial" w:hAnsi="Arial" w:cs="Arial"/>
                <w:sz w:val="16"/>
                <w:szCs w:val="16"/>
              </w:rPr>
            </w:pPr>
          </w:p>
        </w:tc>
        <w:tc>
          <w:tcPr>
            <w:tcW w:w="499" w:type="pct"/>
          </w:tcPr>
          <w:p w14:paraId="5AD70B53"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6DA65C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4267738" w14:textId="77777777" w:rsidTr="00A91628">
        <w:tblPrEx>
          <w:tblBorders>
            <w:top w:val="single" w:sz="4" w:space="0" w:color="auto"/>
          </w:tblBorders>
        </w:tblPrEx>
        <w:trPr>
          <w:cantSplit/>
          <w:tblCellSpacing w:w="22" w:type="dxa"/>
        </w:trPr>
        <w:tc>
          <w:tcPr>
            <w:tcW w:w="508" w:type="pct"/>
          </w:tcPr>
          <w:p w14:paraId="37AEB09E" w14:textId="77777777" w:rsidR="00D63B70" w:rsidRPr="006D52A9" w:rsidRDefault="00D63B70" w:rsidP="00D63B70">
            <w:pPr>
              <w:rPr>
                <w:rFonts w:ascii="Arial" w:hAnsi="Arial" w:cs="Arial"/>
                <w:sz w:val="16"/>
                <w:szCs w:val="16"/>
              </w:rPr>
            </w:pPr>
            <w:r w:rsidRPr="006D52A9">
              <w:rPr>
                <w:rFonts w:ascii="Arial" w:hAnsi="Arial" w:cs="Arial"/>
                <w:sz w:val="16"/>
                <w:szCs w:val="16"/>
              </w:rPr>
              <w:t>Dornase Alfa</w:t>
            </w:r>
          </w:p>
        </w:tc>
        <w:tc>
          <w:tcPr>
            <w:tcW w:w="943" w:type="pct"/>
          </w:tcPr>
          <w:p w14:paraId="43BA62DB"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inhalation 2.5 mg (2,500 units) in 2.5 mL</w:t>
            </w:r>
          </w:p>
        </w:tc>
        <w:tc>
          <w:tcPr>
            <w:tcW w:w="540" w:type="pct"/>
          </w:tcPr>
          <w:p w14:paraId="606F5402" w14:textId="77777777" w:rsidR="00D63B70" w:rsidRPr="006D52A9" w:rsidRDefault="00D63B70" w:rsidP="00D63B70">
            <w:pPr>
              <w:rPr>
                <w:rFonts w:ascii="Arial" w:hAnsi="Arial" w:cs="Arial"/>
                <w:sz w:val="16"/>
                <w:szCs w:val="16"/>
              </w:rPr>
            </w:pPr>
            <w:r w:rsidRPr="006D52A9">
              <w:rPr>
                <w:rFonts w:ascii="Arial" w:eastAsia="Arial" w:hAnsi="Arial" w:cs="Arial"/>
                <w:sz w:val="16"/>
                <w:szCs w:val="16"/>
              </w:rPr>
              <w:t>Inhalation</w:t>
            </w:r>
          </w:p>
        </w:tc>
        <w:tc>
          <w:tcPr>
            <w:tcW w:w="591" w:type="pct"/>
          </w:tcPr>
          <w:p w14:paraId="29F6B282" w14:textId="77777777" w:rsidR="00D63B70" w:rsidRPr="006D52A9" w:rsidRDefault="00D63B70" w:rsidP="00D63B70">
            <w:pPr>
              <w:rPr>
                <w:rFonts w:ascii="Arial" w:hAnsi="Arial" w:cs="Arial"/>
                <w:sz w:val="16"/>
                <w:szCs w:val="16"/>
              </w:rPr>
            </w:pPr>
            <w:r w:rsidRPr="006D52A9">
              <w:rPr>
                <w:rFonts w:ascii="Arial" w:hAnsi="Arial" w:cs="Arial"/>
                <w:sz w:val="16"/>
                <w:szCs w:val="16"/>
              </w:rPr>
              <w:t>Pulmozyme</w:t>
            </w:r>
          </w:p>
        </w:tc>
        <w:tc>
          <w:tcPr>
            <w:tcW w:w="894" w:type="pct"/>
          </w:tcPr>
          <w:p w14:paraId="782B00A3" w14:textId="77777777" w:rsidR="00D63B70" w:rsidRPr="006D52A9" w:rsidRDefault="00D63B70" w:rsidP="00D63B70">
            <w:pPr>
              <w:rPr>
                <w:rFonts w:ascii="Arial" w:hAnsi="Arial" w:cs="Arial"/>
                <w:sz w:val="16"/>
                <w:szCs w:val="16"/>
              </w:rPr>
            </w:pPr>
            <w:r w:rsidRPr="006D52A9">
              <w:rPr>
                <w:rFonts w:ascii="Arial" w:hAnsi="Arial" w:cs="Arial"/>
                <w:sz w:val="16"/>
                <w:szCs w:val="16"/>
              </w:rPr>
              <w:t>C5634 C5635 C5740 C9591 C9592 C9624</w:t>
            </w:r>
          </w:p>
        </w:tc>
        <w:tc>
          <w:tcPr>
            <w:tcW w:w="376" w:type="pct"/>
          </w:tcPr>
          <w:p w14:paraId="24C45E22" w14:textId="77777777" w:rsidR="00D63B70" w:rsidRPr="006D52A9" w:rsidRDefault="00D63B70" w:rsidP="00D63B70">
            <w:pPr>
              <w:rPr>
                <w:rFonts w:ascii="Arial" w:hAnsi="Arial" w:cs="Arial"/>
                <w:sz w:val="16"/>
                <w:szCs w:val="16"/>
              </w:rPr>
            </w:pPr>
          </w:p>
        </w:tc>
        <w:tc>
          <w:tcPr>
            <w:tcW w:w="499" w:type="pct"/>
          </w:tcPr>
          <w:p w14:paraId="1C5C0E01"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291F31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F6FB249" w14:textId="77777777" w:rsidTr="00A91628">
        <w:tblPrEx>
          <w:tblBorders>
            <w:top w:val="single" w:sz="4" w:space="0" w:color="auto"/>
          </w:tblBorders>
        </w:tblPrEx>
        <w:trPr>
          <w:cantSplit/>
          <w:tblCellSpacing w:w="22" w:type="dxa"/>
        </w:trPr>
        <w:tc>
          <w:tcPr>
            <w:tcW w:w="508" w:type="pct"/>
          </w:tcPr>
          <w:p w14:paraId="52B860F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Doxorubicin </w:t>
            </w:r>
            <w:r w:rsidR="0026100E">
              <w:rPr>
                <w:rFonts w:ascii="Arial" w:hAnsi="Arial" w:cs="Arial"/>
                <w:sz w:val="16"/>
                <w:szCs w:val="16"/>
              </w:rPr>
              <w:noBreakHyphen/>
            </w:r>
            <w:r w:rsidRPr="006D52A9">
              <w:rPr>
                <w:rFonts w:ascii="Arial" w:hAnsi="Arial" w:cs="Arial"/>
                <w:sz w:val="16"/>
                <w:szCs w:val="16"/>
              </w:rPr>
              <w:t xml:space="preserve"> </w:t>
            </w:r>
            <w:r w:rsidRPr="006D52A9">
              <w:rPr>
                <w:rFonts w:ascii="Arial" w:hAnsi="Arial" w:cs="Arial"/>
                <w:sz w:val="16"/>
                <w:szCs w:val="16"/>
              </w:rPr>
              <w:br/>
              <w:t>Pegylated Liposomal</w:t>
            </w:r>
          </w:p>
        </w:tc>
        <w:tc>
          <w:tcPr>
            <w:tcW w:w="943" w:type="pct"/>
          </w:tcPr>
          <w:p w14:paraId="066D5B86" w14:textId="77777777" w:rsidR="00D63B70" w:rsidRPr="006D52A9" w:rsidRDefault="00D63B70" w:rsidP="00D63B70">
            <w:pPr>
              <w:rPr>
                <w:rFonts w:ascii="Arial" w:hAnsi="Arial" w:cs="Arial"/>
                <w:sz w:val="16"/>
                <w:szCs w:val="16"/>
              </w:rPr>
            </w:pPr>
            <w:r w:rsidRPr="006D52A9">
              <w:rPr>
                <w:rFonts w:ascii="Arial" w:hAnsi="Arial" w:cs="Arial"/>
                <w:sz w:val="16"/>
                <w:szCs w:val="16"/>
              </w:rPr>
              <w:t>Suspension for I.V. infusion containing pegylated liposomal doxorubicin hydrochloride 20 mg in 10 mL</w:t>
            </w:r>
          </w:p>
        </w:tc>
        <w:tc>
          <w:tcPr>
            <w:tcW w:w="540" w:type="pct"/>
          </w:tcPr>
          <w:p w14:paraId="2C5CCB1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EE82005" w14:textId="77777777" w:rsidR="00D63B70" w:rsidRPr="006D52A9" w:rsidRDefault="00D63B70" w:rsidP="00D63B70">
            <w:pPr>
              <w:rPr>
                <w:rFonts w:ascii="Arial" w:hAnsi="Arial" w:cs="Arial"/>
                <w:sz w:val="16"/>
                <w:szCs w:val="16"/>
              </w:rPr>
            </w:pPr>
            <w:r w:rsidRPr="006D52A9">
              <w:rPr>
                <w:rFonts w:ascii="Arial" w:hAnsi="Arial" w:cs="Arial"/>
                <w:sz w:val="16"/>
                <w:szCs w:val="16"/>
              </w:rPr>
              <w:t>Caelyx</w:t>
            </w:r>
          </w:p>
        </w:tc>
        <w:tc>
          <w:tcPr>
            <w:tcW w:w="894" w:type="pct"/>
          </w:tcPr>
          <w:p w14:paraId="2A216AE3" w14:textId="77777777" w:rsidR="00D63B70" w:rsidRPr="006D52A9" w:rsidRDefault="00D63B70" w:rsidP="00D63B70">
            <w:pPr>
              <w:rPr>
                <w:rFonts w:ascii="Arial" w:hAnsi="Arial" w:cs="Arial"/>
                <w:sz w:val="16"/>
                <w:szCs w:val="16"/>
              </w:rPr>
            </w:pPr>
            <w:r w:rsidRPr="006D52A9">
              <w:rPr>
                <w:rFonts w:ascii="Arial" w:hAnsi="Arial" w:cs="Arial"/>
                <w:sz w:val="16"/>
                <w:szCs w:val="16"/>
              </w:rPr>
              <w:t>C6234 C6274 C9223 C9287</w:t>
            </w:r>
          </w:p>
        </w:tc>
        <w:tc>
          <w:tcPr>
            <w:tcW w:w="376" w:type="pct"/>
          </w:tcPr>
          <w:p w14:paraId="5F0E3EBC" w14:textId="77777777" w:rsidR="00D63B70" w:rsidRPr="006D52A9" w:rsidRDefault="00D63B70" w:rsidP="00D63B70">
            <w:pPr>
              <w:rPr>
                <w:rFonts w:ascii="Arial" w:hAnsi="Arial" w:cs="Arial"/>
                <w:sz w:val="16"/>
                <w:szCs w:val="16"/>
              </w:rPr>
            </w:pPr>
          </w:p>
        </w:tc>
        <w:tc>
          <w:tcPr>
            <w:tcW w:w="499" w:type="pct"/>
          </w:tcPr>
          <w:p w14:paraId="40899BF2" w14:textId="77777777" w:rsidR="00D63B70" w:rsidRPr="006D52A9" w:rsidRDefault="00D63B70" w:rsidP="00D63B70">
            <w:pPr>
              <w:rPr>
                <w:rFonts w:ascii="Arial" w:hAnsi="Arial" w:cs="Arial"/>
                <w:sz w:val="16"/>
                <w:szCs w:val="16"/>
              </w:rPr>
            </w:pPr>
            <w:r w:rsidRPr="006D52A9">
              <w:rPr>
                <w:rFonts w:ascii="Arial" w:hAnsi="Arial" w:cs="Arial"/>
                <w:sz w:val="16"/>
                <w:szCs w:val="16"/>
              </w:rPr>
              <w:t>4</w:t>
            </w:r>
          </w:p>
        </w:tc>
        <w:tc>
          <w:tcPr>
            <w:tcW w:w="502" w:type="pct"/>
          </w:tcPr>
          <w:p w14:paraId="7A30711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EB2B1B7" w14:textId="77777777" w:rsidTr="00A91628">
        <w:tblPrEx>
          <w:tblBorders>
            <w:top w:val="single" w:sz="4" w:space="0" w:color="auto"/>
          </w:tblBorders>
        </w:tblPrEx>
        <w:trPr>
          <w:cantSplit/>
          <w:tblCellSpacing w:w="22" w:type="dxa"/>
        </w:trPr>
        <w:tc>
          <w:tcPr>
            <w:tcW w:w="508" w:type="pct"/>
          </w:tcPr>
          <w:p w14:paraId="6B176B11" w14:textId="77777777" w:rsidR="00D63B70" w:rsidRPr="006D52A9" w:rsidRDefault="00D63B70" w:rsidP="00D63B70">
            <w:pPr>
              <w:rPr>
                <w:rFonts w:ascii="Arial" w:hAnsi="Arial" w:cs="Arial"/>
                <w:sz w:val="16"/>
                <w:szCs w:val="16"/>
              </w:rPr>
            </w:pPr>
          </w:p>
        </w:tc>
        <w:tc>
          <w:tcPr>
            <w:tcW w:w="943" w:type="pct"/>
          </w:tcPr>
          <w:p w14:paraId="7C734F20" w14:textId="77777777" w:rsidR="00D63B70" w:rsidRPr="006D52A9" w:rsidRDefault="00D63B70" w:rsidP="00D63B70">
            <w:pPr>
              <w:rPr>
                <w:rFonts w:ascii="Arial" w:hAnsi="Arial" w:cs="Arial"/>
                <w:sz w:val="16"/>
                <w:szCs w:val="16"/>
              </w:rPr>
            </w:pPr>
          </w:p>
        </w:tc>
        <w:tc>
          <w:tcPr>
            <w:tcW w:w="540" w:type="pct"/>
          </w:tcPr>
          <w:p w14:paraId="6EAF8AD0" w14:textId="77777777" w:rsidR="00D63B70" w:rsidRPr="006D52A9" w:rsidRDefault="00D63B70" w:rsidP="00D63B70">
            <w:pPr>
              <w:rPr>
                <w:rFonts w:ascii="Arial" w:hAnsi="Arial" w:cs="Arial"/>
                <w:sz w:val="16"/>
                <w:szCs w:val="16"/>
              </w:rPr>
            </w:pPr>
          </w:p>
        </w:tc>
        <w:tc>
          <w:tcPr>
            <w:tcW w:w="591" w:type="pct"/>
          </w:tcPr>
          <w:p w14:paraId="5F6D4812" w14:textId="77777777" w:rsidR="00D63B70" w:rsidRPr="006D52A9" w:rsidRDefault="00D63B70" w:rsidP="00D63B70">
            <w:pPr>
              <w:rPr>
                <w:rFonts w:ascii="Arial" w:hAnsi="Arial" w:cs="Arial"/>
                <w:sz w:val="16"/>
                <w:szCs w:val="16"/>
              </w:rPr>
            </w:pPr>
            <w:r w:rsidRPr="006D52A9">
              <w:rPr>
                <w:rFonts w:ascii="Arial" w:hAnsi="Arial" w:cs="Arial"/>
                <w:sz w:val="16"/>
                <w:szCs w:val="16"/>
              </w:rPr>
              <w:t>Liposomal Doxorubicin SUN</w:t>
            </w:r>
          </w:p>
        </w:tc>
        <w:tc>
          <w:tcPr>
            <w:tcW w:w="894" w:type="pct"/>
          </w:tcPr>
          <w:p w14:paraId="7E72B3C6" w14:textId="77777777" w:rsidR="00D63B70" w:rsidRPr="006D52A9" w:rsidRDefault="00D63B70" w:rsidP="00D63B70">
            <w:pPr>
              <w:rPr>
                <w:rFonts w:ascii="Arial" w:hAnsi="Arial" w:cs="Arial"/>
                <w:sz w:val="16"/>
                <w:szCs w:val="16"/>
              </w:rPr>
            </w:pPr>
            <w:r w:rsidRPr="006D52A9">
              <w:rPr>
                <w:rFonts w:ascii="Arial" w:hAnsi="Arial" w:cs="Arial"/>
                <w:sz w:val="16"/>
                <w:szCs w:val="16"/>
              </w:rPr>
              <w:t>C6234 C6274 C9223 C9287</w:t>
            </w:r>
          </w:p>
        </w:tc>
        <w:tc>
          <w:tcPr>
            <w:tcW w:w="376" w:type="pct"/>
          </w:tcPr>
          <w:p w14:paraId="1167BFF3" w14:textId="77777777" w:rsidR="00D63B70" w:rsidRPr="006D52A9" w:rsidRDefault="00D63B70" w:rsidP="00D63B70">
            <w:pPr>
              <w:rPr>
                <w:rFonts w:ascii="Arial" w:hAnsi="Arial" w:cs="Arial"/>
                <w:sz w:val="16"/>
                <w:szCs w:val="16"/>
                <w:vertAlign w:val="subscript"/>
              </w:rPr>
            </w:pPr>
          </w:p>
        </w:tc>
        <w:tc>
          <w:tcPr>
            <w:tcW w:w="499" w:type="pct"/>
          </w:tcPr>
          <w:p w14:paraId="543B7B0F" w14:textId="77777777" w:rsidR="00D63B70" w:rsidRPr="006D52A9" w:rsidRDefault="00D63B70" w:rsidP="00D63B70">
            <w:pPr>
              <w:rPr>
                <w:rFonts w:ascii="Arial" w:hAnsi="Arial" w:cs="Arial"/>
                <w:sz w:val="16"/>
                <w:szCs w:val="16"/>
              </w:rPr>
            </w:pPr>
            <w:r w:rsidRPr="006D52A9">
              <w:rPr>
                <w:rFonts w:ascii="Arial" w:hAnsi="Arial" w:cs="Arial"/>
                <w:sz w:val="16"/>
                <w:szCs w:val="16"/>
              </w:rPr>
              <w:t>4</w:t>
            </w:r>
          </w:p>
        </w:tc>
        <w:tc>
          <w:tcPr>
            <w:tcW w:w="502" w:type="pct"/>
          </w:tcPr>
          <w:p w14:paraId="08ECC79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9CE13F2" w14:textId="77777777" w:rsidTr="00A91628">
        <w:tblPrEx>
          <w:tblBorders>
            <w:top w:val="single" w:sz="4" w:space="0" w:color="auto"/>
          </w:tblBorders>
        </w:tblPrEx>
        <w:trPr>
          <w:cantSplit/>
          <w:tblCellSpacing w:w="22" w:type="dxa"/>
        </w:trPr>
        <w:tc>
          <w:tcPr>
            <w:tcW w:w="508" w:type="pct"/>
          </w:tcPr>
          <w:p w14:paraId="2858B7F6"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Eculizumab</w:t>
            </w:r>
          </w:p>
        </w:tc>
        <w:tc>
          <w:tcPr>
            <w:tcW w:w="943" w:type="pct"/>
          </w:tcPr>
          <w:p w14:paraId="6E962338" w14:textId="77777777" w:rsidR="00D63B70" w:rsidRPr="006D52A9" w:rsidRDefault="00D63B70" w:rsidP="00D63B70">
            <w:pPr>
              <w:rPr>
                <w:rFonts w:ascii="Arial" w:hAnsi="Arial" w:cs="Arial"/>
                <w:sz w:val="16"/>
                <w:szCs w:val="16"/>
              </w:rPr>
            </w:pPr>
            <w:r w:rsidRPr="006D52A9">
              <w:rPr>
                <w:rFonts w:ascii="Arial" w:hAnsi="Arial" w:cs="Arial"/>
                <w:sz w:val="16"/>
                <w:szCs w:val="16"/>
              </w:rPr>
              <w:t>Solution concentrate for I.V. infusion 300 mg in 30 mL</w:t>
            </w:r>
          </w:p>
        </w:tc>
        <w:tc>
          <w:tcPr>
            <w:tcW w:w="540" w:type="pct"/>
          </w:tcPr>
          <w:p w14:paraId="10D206C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45B5F81" w14:textId="77777777" w:rsidR="00D63B70" w:rsidRPr="006D52A9" w:rsidRDefault="00D63B70" w:rsidP="00D63B70">
            <w:pPr>
              <w:rPr>
                <w:rFonts w:ascii="Arial" w:hAnsi="Arial" w:cs="Arial"/>
                <w:sz w:val="16"/>
                <w:szCs w:val="16"/>
              </w:rPr>
            </w:pPr>
            <w:r w:rsidRPr="006D52A9">
              <w:rPr>
                <w:rFonts w:ascii="Arial" w:hAnsi="Arial" w:cs="Arial"/>
                <w:sz w:val="16"/>
                <w:szCs w:val="16"/>
              </w:rPr>
              <w:t>Soliris</w:t>
            </w:r>
          </w:p>
        </w:tc>
        <w:tc>
          <w:tcPr>
            <w:tcW w:w="894" w:type="pct"/>
          </w:tcPr>
          <w:p w14:paraId="206BB5D3" w14:textId="77777777" w:rsidR="00D63B70" w:rsidRPr="006D52A9" w:rsidRDefault="00D63B70" w:rsidP="00D63B70">
            <w:pPr>
              <w:rPr>
                <w:rFonts w:ascii="Arial" w:hAnsi="Arial" w:cs="Arial"/>
                <w:sz w:val="16"/>
                <w:szCs w:val="16"/>
              </w:rPr>
            </w:pPr>
            <w:r w:rsidRPr="006D52A9">
              <w:rPr>
                <w:rFonts w:ascii="Arial" w:hAnsi="Arial" w:cs="Arial"/>
                <w:sz w:val="16"/>
                <w:szCs w:val="16"/>
              </w:rPr>
              <w:t>C6626 C6637 C6642 C6668 C6686 C6687 C6688</w:t>
            </w:r>
          </w:p>
        </w:tc>
        <w:tc>
          <w:tcPr>
            <w:tcW w:w="376" w:type="pct"/>
          </w:tcPr>
          <w:p w14:paraId="5F2B30F3" w14:textId="77777777" w:rsidR="00D63B70" w:rsidRPr="006D52A9" w:rsidRDefault="00D63B70" w:rsidP="00D63B70">
            <w:pPr>
              <w:rPr>
                <w:rFonts w:ascii="Arial" w:hAnsi="Arial" w:cs="Arial"/>
                <w:sz w:val="16"/>
                <w:szCs w:val="16"/>
                <w:vertAlign w:val="subscript"/>
              </w:rPr>
            </w:pPr>
          </w:p>
        </w:tc>
        <w:tc>
          <w:tcPr>
            <w:tcW w:w="499" w:type="pct"/>
          </w:tcPr>
          <w:p w14:paraId="1701B73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7DD8F45"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6579C9D6" w14:textId="77777777" w:rsidTr="00A91628">
        <w:tblPrEx>
          <w:tblBorders>
            <w:top w:val="single" w:sz="4" w:space="0" w:color="auto"/>
          </w:tblBorders>
        </w:tblPrEx>
        <w:trPr>
          <w:cantSplit/>
          <w:tblCellSpacing w:w="22" w:type="dxa"/>
        </w:trPr>
        <w:tc>
          <w:tcPr>
            <w:tcW w:w="508" w:type="pct"/>
          </w:tcPr>
          <w:p w14:paraId="01E00881" w14:textId="77777777" w:rsidR="00D63B70" w:rsidRPr="006D52A9" w:rsidRDefault="00D63B70" w:rsidP="00D63B70">
            <w:pPr>
              <w:rPr>
                <w:rFonts w:ascii="Arial" w:hAnsi="Arial" w:cs="Arial"/>
                <w:sz w:val="16"/>
                <w:szCs w:val="16"/>
              </w:rPr>
            </w:pPr>
            <w:r w:rsidRPr="006D52A9">
              <w:rPr>
                <w:rFonts w:ascii="Arial" w:hAnsi="Arial" w:cs="Arial"/>
                <w:sz w:val="16"/>
                <w:szCs w:val="16"/>
              </w:rPr>
              <w:t>Efavirenz</w:t>
            </w:r>
          </w:p>
        </w:tc>
        <w:tc>
          <w:tcPr>
            <w:tcW w:w="943" w:type="pct"/>
          </w:tcPr>
          <w:p w14:paraId="0AB2EB53" w14:textId="77777777" w:rsidR="00D63B70" w:rsidRPr="006D52A9" w:rsidRDefault="00D63B70" w:rsidP="00D63B70">
            <w:pPr>
              <w:rPr>
                <w:rFonts w:ascii="Arial" w:hAnsi="Arial" w:cs="Arial"/>
                <w:sz w:val="16"/>
                <w:szCs w:val="16"/>
              </w:rPr>
            </w:pPr>
            <w:r w:rsidRPr="006D52A9">
              <w:rPr>
                <w:rFonts w:ascii="Arial" w:hAnsi="Arial" w:cs="Arial"/>
                <w:sz w:val="16"/>
                <w:szCs w:val="16"/>
              </w:rPr>
              <w:t>Tablet 200 mg</w:t>
            </w:r>
          </w:p>
        </w:tc>
        <w:tc>
          <w:tcPr>
            <w:tcW w:w="540" w:type="pct"/>
          </w:tcPr>
          <w:p w14:paraId="0CFA73F3"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F3EDC80" w14:textId="77777777" w:rsidR="00D63B70" w:rsidRPr="006D52A9" w:rsidRDefault="00D63B70" w:rsidP="00D63B70">
            <w:pPr>
              <w:rPr>
                <w:rFonts w:ascii="Arial" w:hAnsi="Arial" w:cs="Arial"/>
                <w:sz w:val="16"/>
                <w:szCs w:val="16"/>
              </w:rPr>
            </w:pPr>
            <w:r w:rsidRPr="006D52A9">
              <w:rPr>
                <w:rFonts w:ascii="Arial" w:hAnsi="Arial" w:cs="Arial"/>
                <w:sz w:val="16"/>
                <w:szCs w:val="16"/>
              </w:rPr>
              <w:t>Stocrin</w:t>
            </w:r>
          </w:p>
        </w:tc>
        <w:tc>
          <w:tcPr>
            <w:tcW w:w="894" w:type="pct"/>
          </w:tcPr>
          <w:p w14:paraId="299E0407"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2E0D5849" w14:textId="77777777" w:rsidR="00D63B70" w:rsidRPr="006D52A9" w:rsidRDefault="00D63B70" w:rsidP="00D63B70">
            <w:pPr>
              <w:rPr>
                <w:rFonts w:ascii="Arial" w:hAnsi="Arial" w:cs="Arial"/>
                <w:sz w:val="16"/>
                <w:szCs w:val="16"/>
              </w:rPr>
            </w:pPr>
          </w:p>
        </w:tc>
        <w:tc>
          <w:tcPr>
            <w:tcW w:w="499" w:type="pct"/>
          </w:tcPr>
          <w:p w14:paraId="5100B6E5"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237548E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5B67550" w14:textId="77777777" w:rsidTr="00A91628">
        <w:tblPrEx>
          <w:tblBorders>
            <w:top w:val="single" w:sz="4" w:space="0" w:color="auto"/>
          </w:tblBorders>
        </w:tblPrEx>
        <w:trPr>
          <w:cantSplit/>
          <w:tblCellSpacing w:w="22" w:type="dxa"/>
        </w:trPr>
        <w:tc>
          <w:tcPr>
            <w:tcW w:w="508" w:type="pct"/>
          </w:tcPr>
          <w:p w14:paraId="0C40F861" w14:textId="77777777" w:rsidR="00D63B70" w:rsidRPr="006D52A9" w:rsidRDefault="00D63B70" w:rsidP="00D63B70">
            <w:pPr>
              <w:rPr>
                <w:rFonts w:ascii="Arial" w:hAnsi="Arial" w:cs="Arial"/>
                <w:sz w:val="16"/>
                <w:szCs w:val="16"/>
              </w:rPr>
            </w:pPr>
          </w:p>
        </w:tc>
        <w:tc>
          <w:tcPr>
            <w:tcW w:w="943" w:type="pct"/>
          </w:tcPr>
          <w:p w14:paraId="3385485A" w14:textId="77777777" w:rsidR="00D63B70" w:rsidRPr="006D52A9" w:rsidRDefault="00D63B70" w:rsidP="00D63B70">
            <w:pPr>
              <w:rPr>
                <w:rFonts w:ascii="Arial" w:hAnsi="Arial" w:cs="Arial"/>
                <w:sz w:val="16"/>
                <w:szCs w:val="16"/>
              </w:rPr>
            </w:pPr>
            <w:r w:rsidRPr="006D52A9">
              <w:rPr>
                <w:rFonts w:ascii="Arial" w:hAnsi="Arial" w:cs="Arial"/>
                <w:sz w:val="16"/>
                <w:szCs w:val="16"/>
              </w:rPr>
              <w:t>Tablet 600 mg</w:t>
            </w:r>
          </w:p>
        </w:tc>
        <w:tc>
          <w:tcPr>
            <w:tcW w:w="540" w:type="pct"/>
          </w:tcPr>
          <w:p w14:paraId="1B35777E"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D35EB98" w14:textId="77777777" w:rsidR="00D63B70" w:rsidRPr="006D52A9" w:rsidRDefault="00D63B70" w:rsidP="00D63B70">
            <w:pPr>
              <w:rPr>
                <w:rFonts w:ascii="Arial" w:hAnsi="Arial" w:cs="Arial"/>
                <w:sz w:val="16"/>
                <w:szCs w:val="16"/>
              </w:rPr>
            </w:pPr>
            <w:r w:rsidRPr="006D52A9">
              <w:rPr>
                <w:rFonts w:ascii="Arial" w:hAnsi="Arial" w:cs="Arial"/>
                <w:sz w:val="16"/>
                <w:szCs w:val="16"/>
              </w:rPr>
              <w:t>Stocrin</w:t>
            </w:r>
          </w:p>
        </w:tc>
        <w:tc>
          <w:tcPr>
            <w:tcW w:w="894" w:type="pct"/>
          </w:tcPr>
          <w:p w14:paraId="489C29B8"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29F9494B" w14:textId="77777777" w:rsidR="00D63B70" w:rsidRPr="006D52A9" w:rsidRDefault="00D63B70" w:rsidP="00D63B70">
            <w:pPr>
              <w:rPr>
                <w:rFonts w:ascii="Arial" w:hAnsi="Arial" w:cs="Arial"/>
                <w:sz w:val="16"/>
                <w:szCs w:val="16"/>
              </w:rPr>
            </w:pPr>
          </w:p>
        </w:tc>
        <w:tc>
          <w:tcPr>
            <w:tcW w:w="499" w:type="pct"/>
          </w:tcPr>
          <w:p w14:paraId="5B7D86BB"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9A68E8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A17DD1D" w14:textId="77777777" w:rsidTr="00A91628">
        <w:tblPrEx>
          <w:tblBorders>
            <w:top w:val="single" w:sz="4" w:space="0" w:color="auto"/>
          </w:tblBorders>
        </w:tblPrEx>
        <w:trPr>
          <w:cantSplit/>
          <w:tblCellSpacing w:w="22" w:type="dxa"/>
        </w:trPr>
        <w:tc>
          <w:tcPr>
            <w:tcW w:w="508" w:type="pct"/>
          </w:tcPr>
          <w:p w14:paraId="43BF2E3E" w14:textId="77777777" w:rsidR="00D63B70" w:rsidRPr="006D52A9" w:rsidRDefault="00D63B70" w:rsidP="00D63B70">
            <w:pPr>
              <w:rPr>
                <w:rFonts w:ascii="Arial" w:hAnsi="Arial" w:cs="Arial"/>
                <w:sz w:val="16"/>
                <w:szCs w:val="16"/>
              </w:rPr>
            </w:pPr>
          </w:p>
        </w:tc>
        <w:tc>
          <w:tcPr>
            <w:tcW w:w="943" w:type="pct"/>
          </w:tcPr>
          <w:p w14:paraId="185DD27F" w14:textId="77777777" w:rsidR="00D63B70" w:rsidRPr="006D52A9" w:rsidRDefault="00D63B70" w:rsidP="00D63B70">
            <w:pPr>
              <w:rPr>
                <w:rFonts w:ascii="Arial" w:hAnsi="Arial" w:cs="Arial"/>
                <w:sz w:val="16"/>
                <w:szCs w:val="16"/>
              </w:rPr>
            </w:pPr>
            <w:r w:rsidRPr="006D52A9">
              <w:rPr>
                <w:rFonts w:ascii="Arial" w:hAnsi="Arial" w:cs="Arial"/>
                <w:sz w:val="16"/>
                <w:szCs w:val="16"/>
              </w:rPr>
              <w:t>Oral solution 30 mg per mL, 180 mL</w:t>
            </w:r>
          </w:p>
        </w:tc>
        <w:tc>
          <w:tcPr>
            <w:tcW w:w="540" w:type="pct"/>
          </w:tcPr>
          <w:p w14:paraId="6261210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33D3A60" w14:textId="77777777" w:rsidR="00D63B70" w:rsidRPr="006D52A9" w:rsidRDefault="00D63B70" w:rsidP="00D63B70">
            <w:pPr>
              <w:rPr>
                <w:rFonts w:ascii="Arial" w:hAnsi="Arial" w:cs="Arial"/>
                <w:sz w:val="16"/>
                <w:szCs w:val="16"/>
              </w:rPr>
            </w:pPr>
            <w:r w:rsidRPr="006D52A9">
              <w:rPr>
                <w:rFonts w:ascii="Arial" w:hAnsi="Arial" w:cs="Arial"/>
                <w:sz w:val="16"/>
                <w:szCs w:val="16"/>
              </w:rPr>
              <w:t>Stocrin</w:t>
            </w:r>
          </w:p>
        </w:tc>
        <w:tc>
          <w:tcPr>
            <w:tcW w:w="894" w:type="pct"/>
          </w:tcPr>
          <w:p w14:paraId="1EF54221"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41F6A9E1" w14:textId="77777777" w:rsidR="00D63B70" w:rsidRPr="006D52A9" w:rsidRDefault="00D63B70" w:rsidP="00D63B70">
            <w:pPr>
              <w:rPr>
                <w:rFonts w:ascii="Arial" w:hAnsi="Arial" w:cs="Arial"/>
                <w:sz w:val="16"/>
                <w:szCs w:val="16"/>
              </w:rPr>
            </w:pPr>
          </w:p>
        </w:tc>
        <w:tc>
          <w:tcPr>
            <w:tcW w:w="499" w:type="pct"/>
          </w:tcPr>
          <w:p w14:paraId="2EDFF7ED" w14:textId="77777777" w:rsidR="00D63B70" w:rsidRPr="006D52A9" w:rsidRDefault="00D63B70" w:rsidP="00D63B70">
            <w:pPr>
              <w:rPr>
                <w:rFonts w:ascii="Arial" w:hAnsi="Arial" w:cs="Arial"/>
                <w:sz w:val="16"/>
                <w:szCs w:val="16"/>
              </w:rPr>
            </w:pPr>
            <w:r w:rsidRPr="006D52A9">
              <w:rPr>
                <w:rFonts w:ascii="Arial" w:hAnsi="Arial" w:cs="Arial"/>
                <w:sz w:val="16"/>
                <w:szCs w:val="16"/>
              </w:rPr>
              <w:t>7</w:t>
            </w:r>
          </w:p>
        </w:tc>
        <w:tc>
          <w:tcPr>
            <w:tcW w:w="502" w:type="pct"/>
          </w:tcPr>
          <w:p w14:paraId="61371B1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A42BFB" w14:paraId="5EDA41D2" w14:textId="77777777" w:rsidTr="00A91628">
        <w:tblPrEx>
          <w:tblBorders>
            <w:top w:val="single" w:sz="4" w:space="0" w:color="auto"/>
          </w:tblBorders>
        </w:tblPrEx>
        <w:trPr>
          <w:cantSplit/>
          <w:tblCellSpacing w:w="22" w:type="dxa"/>
        </w:trPr>
        <w:tc>
          <w:tcPr>
            <w:tcW w:w="508" w:type="pct"/>
          </w:tcPr>
          <w:p w14:paraId="208A5025"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Eltrombopag</w:t>
            </w:r>
          </w:p>
        </w:tc>
        <w:tc>
          <w:tcPr>
            <w:tcW w:w="943" w:type="pct"/>
          </w:tcPr>
          <w:p w14:paraId="75314E2A"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Tablet 25 mg (as olamine)</w:t>
            </w:r>
          </w:p>
        </w:tc>
        <w:tc>
          <w:tcPr>
            <w:tcW w:w="540" w:type="pct"/>
          </w:tcPr>
          <w:p w14:paraId="7F90A055"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A63DF7A"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Revolade</w:t>
            </w:r>
          </w:p>
        </w:tc>
        <w:tc>
          <w:tcPr>
            <w:tcW w:w="894" w:type="pct"/>
          </w:tcPr>
          <w:p w14:paraId="14813C3D"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C11199 C11202 C11244 C11262 C11263</w:t>
            </w:r>
          </w:p>
        </w:tc>
        <w:tc>
          <w:tcPr>
            <w:tcW w:w="376" w:type="pct"/>
          </w:tcPr>
          <w:p w14:paraId="3CF0BFBC" w14:textId="77777777" w:rsidR="00D63B70" w:rsidRPr="006D52A9" w:rsidDel="00A42BFB" w:rsidRDefault="00D63B70" w:rsidP="00D63B70">
            <w:pPr>
              <w:rPr>
                <w:rFonts w:ascii="Arial" w:hAnsi="Arial" w:cs="Arial"/>
                <w:sz w:val="16"/>
                <w:szCs w:val="16"/>
              </w:rPr>
            </w:pPr>
          </w:p>
        </w:tc>
        <w:tc>
          <w:tcPr>
            <w:tcW w:w="499" w:type="pct"/>
          </w:tcPr>
          <w:p w14:paraId="7AF8656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6567BDB"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A42BFB" w14:paraId="160E1CE8" w14:textId="77777777" w:rsidTr="00A91628">
        <w:tblPrEx>
          <w:tblBorders>
            <w:top w:val="single" w:sz="4" w:space="0" w:color="auto"/>
          </w:tblBorders>
        </w:tblPrEx>
        <w:trPr>
          <w:cantSplit/>
          <w:tblCellSpacing w:w="22" w:type="dxa"/>
        </w:trPr>
        <w:tc>
          <w:tcPr>
            <w:tcW w:w="508" w:type="pct"/>
          </w:tcPr>
          <w:p w14:paraId="761BF724" w14:textId="77777777" w:rsidR="00D63B70" w:rsidRPr="006D52A9" w:rsidDel="00A42BFB" w:rsidRDefault="00D63B70" w:rsidP="00D63B70">
            <w:pPr>
              <w:rPr>
                <w:rFonts w:ascii="Arial" w:hAnsi="Arial" w:cs="Arial"/>
                <w:sz w:val="16"/>
                <w:szCs w:val="16"/>
              </w:rPr>
            </w:pPr>
          </w:p>
        </w:tc>
        <w:tc>
          <w:tcPr>
            <w:tcW w:w="943" w:type="pct"/>
          </w:tcPr>
          <w:p w14:paraId="29E528D3"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Tablet 50 mg (as olamine)</w:t>
            </w:r>
          </w:p>
        </w:tc>
        <w:tc>
          <w:tcPr>
            <w:tcW w:w="540" w:type="pct"/>
          </w:tcPr>
          <w:p w14:paraId="575BED29"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CA614CF"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Revolade</w:t>
            </w:r>
          </w:p>
        </w:tc>
        <w:tc>
          <w:tcPr>
            <w:tcW w:w="894" w:type="pct"/>
          </w:tcPr>
          <w:p w14:paraId="0A793E04"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C11199 C11202 C11244 C11262 C11263</w:t>
            </w:r>
          </w:p>
        </w:tc>
        <w:tc>
          <w:tcPr>
            <w:tcW w:w="376" w:type="pct"/>
          </w:tcPr>
          <w:p w14:paraId="684CD9D2" w14:textId="77777777" w:rsidR="00D63B70" w:rsidRPr="006D52A9" w:rsidDel="00A42BFB" w:rsidRDefault="00D63B70" w:rsidP="00D63B70">
            <w:pPr>
              <w:rPr>
                <w:rFonts w:ascii="Arial" w:hAnsi="Arial" w:cs="Arial"/>
                <w:sz w:val="16"/>
                <w:szCs w:val="16"/>
              </w:rPr>
            </w:pPr>
          </w:p>
        </w:tc>
        <w:tc>
          <w:tcPr>
            <w:tcW w:w="499" w:type="pct"/>
          </w:tcPr>
          <w:p w14:paraId="674D3A3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8BFEDAF" w14:textId="77777777" w:rsidR="00D63B70" w:rsidRPr="006D52A9" w:rsidDel="00A42BFB"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0BC9E06" w14:textId="77777777" w:rsidTr="00A91628">
        <w:tblPrEx>
          <w:tblBorders>
            <w:top w:val="single" w:sz="4" w:space="0" w:color="auto"/>
          </w:tblBorders>
        </w:tblPrEx>
        <w:trPr>
          <w:cantSplit/>
          <w:tblCellSpacing w:w="22" w:type="dxa"/>
        </w:trPr>
        <w:tc>
          <w:tcPr>
            <w:tcW w:w="508" w:type="pct"/>
          </w:tcPr>
          <w:p w14:paraId="3677AAF3" w14:textId="77777777" w:rsidR="00D63B70" w:rsidRPr="006D52A9" w:rsidRDefault="00D63B70" w:rsidP="00D63B70">
            <w:pPr>
              <w:rPr>
                <w:rFonts w:ascii="Arial" w:hAnsi="Arial" w:cs="Arial"/>
                <w:sz w:val="16"/>
                <w:szCs w:val="16"/>
              </w:rPr>
            </w:pPr>
            <w:r w:rsidRPr="006D52A9">
              <w:rPr>
                <w:rFonts w:ascii="Arial" w:hAnsi="Arial" w:cs="Arial"/>
                <w:sz w:val="16"/>
                <w:szCs w:val="16"/>
              </w:rPr>
              <w:t>Emtricitabine with rilpivirine with tenofovir alafenamide</w:t>
            </w:r>
          </w:p>
        </w:tc>
        <w:tc>
          <w:tcPr>
            <w:tcW w:w="943" w:type="pct"/>
          </w:tcPr>
          <w:p w14:paraId="27E60EBC"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emtricitabine 200 mg with rilpivirine 25 mg with tenofovir alafenamide 25 mg</w:t>
            </w:r>
          </w:p>
        </w:tc>
        <w:tc>
          <w:tcPr>
            <w:tcW w:w="540" w:type="pct"/>
          </w:tcPr>
          <w:p w14:paraId="3FD00FB3"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BF711DB" w14:textId="77777777" w:rsidR="00D63B70" w:rsidRPr="006D52A9" w:rsidRDefault="00D63B70" w:rsidP="00D63B70">
            <w:pPr>
              <w:rPr>
                <w:rFonts w:ascii="Arial" w:hAnsi="Arial" w:cs="Arial"/>
                <w:sz w:val="16"/>
                <w:szCs w:val="16"/>
              </w:rPr>
            </w:pPr>
            <w:r w:rsidRPr="006D52A9">
              <w:rPr>
                <w:rFonts w:ascii="Arial" w:hAnsi="Arial" w:cs="Arial"/>
                <w:sz w:val="16"/>
                <w:szCs w:val="16"/>
              </w:rPr>
              <w:t>Odefsey</w:t>
            </w:r>
          </w:p>
        </w:tc>
        <w:tc>
          <w:tcPr>
            <w:tcW w:w="894" w:type="pct"/>
          </w:tcPr>
          <w:p w14:paraId="4074D181" w14:textId="77777777" w:rsidR="00D63B70" w:rsidRPr="006D52A9" w:rsidRDefault="00D63B70" w:rsidP="00D63B70">
            <w:pPr>
              <w:rPr>
                <w:rFonts w:ascii="Arial" w:hAnsi="Arial" w:cs="Arial"/>
                <w:sz w:val="16"/>
                <w:szCs w:val="16"/>
              </w:rPr>
            </w:pPr>
            <w:r w:rsidRPr="006D52A9">
              <w:rPr>
                <w:rFonts w:ascii="Arial" w:hAnsi="Arial" w:cs="Arial"/>
                <w:sz w:val="16"/>
                <w:szCs w:val="16"/>
              </w:rPr>
              <w:t>C4470 C4522</w:t>
            </w:r>
          </w:p>
        </w:tc>
        <w:tc>
          <w:tcPr>
            <w:tcW w:w="376" w:type="pct"/>
          </w:tcPr>
          <w:p w14:paraId="5C961EA0" w14:textId="77777777" w:rsidR="00D63B70" w:rsidRPr="006D52A9" w:rsidRDefault="00D63B70" w:rsidP="00D63B70">
            <w:pPr>
              <w:rPr>
                <w:rFonts w:ascii="Arial" w:hAnsi="Arial" w:cs="Arial"/>
                <w:sz w:val="16"/>
                <w:szCs w:val="16"/>
              </w:rPr>
            </w:pPr>
          </w:p>
        </w:tc>
        <w:tc>
          <w:tcPr>
            <w:tcW w:w="499" w:type="pct"/>
          </w:tcPr>
          <w:p w14:paraId="0621B506"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62A52F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C6D8BFF" w14:textId="77777777" w:rsidTr="00A91628">
        <w:tblPrEx>
          <w:tblBorders>
            <w:top w:val="single" w:sz="4" w:space="0" w:color="auto"/>
          </w:tblBorders>
        </w:tblPrEx>
        <w:trPr>
          <w:cantSplit/>
          <w:tblCellSpacing w:w="22" w:type="dxa"/>
        </w:trPr>
        <w:tc>
          <w:tcPr>
            <w:tcW w:w="508" w:type="pct"/>
          </w:tcPr>
          <w:p w14:paraId="4F07280B" w14:textId="77777777" w:rsidR="00D63B70" w:rsidRPr="006D52A9" w:rsidRDefault="00D63B70" w:rsidP="00D63B70">
            <w:pPr>
              <w:rPr>
                <w:rFonts w:ascii="Arial" w:hAnsi="Arial" w:cs="Arial"/>
                <w:sz w:val="16"/>
                <w:szCs w:val="16"/>
              </w:rPr>
            </w:pPr>
            <w:r w:rsidRPr="006D52A9">
              <w:rPr>
                <w:rFonts w:ascii="Arial" w:hAnsi="Arial" w:cs="Arial"/>
                <w:sz w:val="16"/>
                <w:szCs w:val="16"/>
              </w:rPr>
              <w:t>Emtricitabine with tenofovir alafenamide</w:t>
            </w:r>
          </w:p>
        </w:tc>
        <w:tc>
          <w:tcPr>
            <w:tcW w:w="943" w:type="pct"/>
          </w:tcPr>
          <w:p w14:paraId="6097FBFF"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emtricitabine 200 mg with tenofovir alafenamide 10 mg</w:t>
            </w:r>
          </w:p>
        </w:tc>
        <w:tc>
          <w:tcPr>
            <w:tcW w:w="540" w:type="pct"/>
          </w:tcPr>
          <w:p w14:paraId="41AB42D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230572C" w14:textId="77777777" w:rsidR="00D63B70" w:rsidRPr="006D52A9" w:rsidRDefault="00D63B70" w:rsidP="00D63B70">
            <w:pPr>
              <w:rPr>
                <w:rFonts w:ascii="Arial" w:hAnsi="Arial" w:cs="Arial"/>
                <w:sz w:val="16"/>
                <w:szCs w:val="16"/>
              </w:rPr>
            </w:pPr>
            <w:r w:rsidRPr="006D52A9">
              <w:rPr>
                <w:rFonts w:ascii="Arial" w:hAnsi="Arial" w:cs="Arial"/>
                <w:sz w:val="16"/>
                <w:szCs w:val="16"/>
              </w:rPr>
              <w:t>Descovy</w:t>
            </w:r>
          </w:p>
        </w:tc>
        <w:tc>
          <w:tcPr>
            <w:tcW w:w="894" w:type="pct"/>
          </w:tcPr>
          <w:p w14:paraId="738D12BD"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0614E21C" w14:textId="77777777" w:rsidR="00D63B70" w:rsidRPr="006D52A9" w:rsidRDefault="00D63B70" w:rsidP="00D63B70">
            <w:pPr>
              <w:rPr>
                <w:rFonts w:ascii="Arial" w:hAnsi="Arial" w:cs="Arial"/>
                <w:sz w:val="16"/>
                <w:szCs w:val="16"/>
              </w:rPr>
            </w:pPr>
          </w:p>
        </w:tc>
        <w:tc>
          <w:tcPr>
            <w:tcW w:w="499" w:type="pct"/>
          </w:tcPr>
          <w:p w14:paraId="6A3312FA"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446BF39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C81047E" w14:textId="77777777" w:rsidTr="00A91628">
        <w:tblPrEx>
          <w:tblBorders>
            <w:top w:val="single" w:sz="4" w:space="0" w:color="auto"/>
          </w:tblBorders>
        </w:tblPrEx>
        <w:trPr>
          <w:cantSplit/>
          <w:tblCellSpacing w:w="22" w:type="dxa"/>
        </w:trPr>
        <w:tc>
          <w:tcPr>
            <w:tcW w:w="508" w:type="pct"/>
          </w:tcPr>
          <w:p w14:paraId="11A0BE29" w14:textId="77777777" w:rsidR="00D63B70" w:rsidRPr="006D52A9" w:rsidRDefault="00D63B70" w:rsidP="00D63B70">
            <w:pPr>
              <w:rPr>
                <w:rFonts w:ascii="Arial" w:hAnsi="Arial" w:cs="Arial"/>
                <w:sz w:val="16"/>
                <w:szCs w:val="16"/>
              </w:rPr>
            </w:pPr>
          </w:p>
        </w:tc>
        <w:tc>
          <w:tcPr>
            <w:tcW w:w="943" w:type="pct"/>
          </w:tcPr>
          <w:p w14:paraId="5EABDC92"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emtricitabine 200 mg with tenofovir alafenamide 25 mg</w:t>
            </w:r>
          </w:p>
        </w:tc>
        <w:tc>
          <w:tcPr>
            <w:tcW w:w="540" w:type="pct"/>
          </w:tcPr>
          <w:p w14:paraId="0239B74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B395B16" w14:textId="77777777" w:rsidR="00D63B70" w:rsidRPr="006D52A9" w:rsidRDefault="00D63B70" w:rsidP="00D63B70">
            <w:pPr>
              <w:rPr>
                <w:rFonts w:ascii="Arial" w:hAnsi="Arial" w:cs="Arial"/>
                <w:sz w:val="16"/>
                <w:szCs w:val="16"/>
              </w:rPr>
            </w:pPr>
            <w:r w:rsidRPr="006D52A9">
              <w:rPr>
                <w:rFonts w:ascii="Arial" w:hAnsi="Arial" w:cs="Arial"/>
                <w:sz w:val="16"/>
                <w:szCs w:val="16"/>
              </w:rPr>
              <w:t>Descovy</w:t>
            </w:r>
          </w:p>
        </w:tc>
        <w:tc>
          <w:tcPr>
            <w:tcW w:w="894" w:type="pct"/>
          </w:tcPr>
          <w:p w14:paraId="62684697"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5568F97A" w14:textId="77777777" w:rsidR="00D63B70" w:rsidRPr="006D52A9" w:rsidRDefault="00D63B70" w:rsidP="00D63B70">
            <w:pPr>
              <w:rPr>
                <w:rFonts w:ascii="Arial" w:hAnsi="Arial" w:cs="Arial"/>
                <w:sz w:val="16"/>
                <w:szCs w:val="16"/>
              </w:rPr>
            </w:pPr>
          </w:p>
        </w:tc>
        <w:tc>
          <w:tcPr>
            <w:tcW w:w="499" w:type="pct"/>
          </w:tcPr>
          <w:p w14:paraId="3737A95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6D69522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E408499" w14:textId="77777777" w:rsidTr="00A91628">
        <w:tblPrEx>
          <w:tblBorders>
            <w:top w:val="single" w:sz="4" w:space="0" w:color="auto"/>
          </w:tblBorders>
        </w:tblPrEx>
        <w:trPr>
          <w:cantSplit/>
          <w:tblCellSpacing w:w="22" w:type="dxa"/>
        </w:trPr>
        <w:tc>
          <w:tcPr>
            <w:tcW w:w="508" w:type="pct"/>
          </w:tcPr>
          <w:p w14:paraId="7C9658AB" w14:textId="77777777" w:rsidR="00D63B70" w:rsidRPr="006D52A9" w:rsidRDefault="00D63B70" w:rsidP="00D63B70">
            <w:pPr>
              <w:rPr>
                <w:rFonts w:ascii="Arial" w:hAnsi="Arial" w:cs="Arial"/>
                <w:sz w:val="16"/>
                <w:szCs w:val="16"/>
              </w:rPr>
            </w:pPr>
            <w:r w:rsidRPr="006D52A9">
              <w:rPr>
                <w:rFonts w:ascii="Arial" w:hAnsi="Arial" w:cs="Arial"/>
                <w:sz w:val="16"/>
                <w:szCs w:val="16"/>
              </w:rPr>
              <w:t>Enfuvirtide</w:t>
            </w:r>
          </w:p>
        </w:tc>
        <w:tc>
          <w:tcPr>
            <w:tcW w:w="943" w:type="pct"/>
          </w:tcPr>
          <w:p w14:paraId="2ED4A4EA" w14:textId="77777777" w:rsidR="00D63B70" w:rsidRPr="006D52A9" w:rsidRDefault="00D63B70" w:rsidP="00D63B70">
            <w:pPr>
              <w:rPr>
                <w:rFonts w:ascii="Arial" w:hAnsi="Arial" w:cs="Arial"/>
                <w:sz w:val="16"/>
                <w:szCs w:val="16"/>
              </w:rPr>
            </w:pPr>
            <w:r w:rsidRPr="006D52A9">
              <w:rPr>
                <w:rFonts w:ascii="Arial" w:hAnsi="Arial" w:cs="Arial"/>
                <w:sz w:val="16"/>
                <w:szCs w:val="16"/>
              </w:rPr>
              <w:t>Pack containing 60 vials powder for injection 90 mg with 60 vials water for injections 1.1 mL (with syringes and swabs)</w:t>
            </w:r>
          </w:p>
        </w:tc>
        <w:tc>
          <w:tcPr>
            <w:tcW w:w="540" w:type="pct"/>
          </w:tcPr>
          <w:p w14:paraId="2EC7642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25ACA8C" w14:textId="77777777" w:rsidR="00D63B70" w:rsidRPr="006D52A9" w:rsidRDefault="00D63B70" w:rsidP="00D63B70">
            <w:pPr>
              <w:rPr>
                <w:rFonts w:ascii="Arial" w:hAnsi="Arial" w:cs="Arial"/>
                <w:sz w:val="16"/>
                <w:szCs w:val="16"/>
              </w:rPr>
            </w:pPr>
            <w:r w:rsidRPr="006D52A9">
              <w:rPr>
                <w:rFonts w:ascii="Arial" w:hAnsi="Arial" w:cs="Arial"/>
                <w:sz w:val="16"/>
                <w:szCs w:val="16"/>
              </w:rPr>
              <w:t>Fuzeon</w:t>
            </w:r>
          </w:p>
        </w:tc>
        <w:tc>
          <w:tcPr>
            <w:tcW w:w="894" w:type="pct"/>
          </w:tcPr>
          <w:p w14:paraId="6019192D" w14:textId="77777777" w:rsidR="00D63B70" w:rsidRPr="006D52A9" w:rsidRDefault="00D63B70" w:rsidP="00D63B70">
            <w:pPr>
              <w:rPr>
                <w:rFonts w:ascii="Arial" w:hAnsi="Arial" w:cs="Arial"/>
                <w:sz w:val="16"/>
                <w:szCs w:val="16"/>
              </w:rPr>
            </w:pPr>
            <w:r w:rsidRPr="006D52A9">
              <w:rPr>
                <w:rFonts w:ascii="Arial" w:hAnsi="Arial" w:cs="Arial"/>
                <w:sz w:val="16"/>
                <w:szCs w:val="16"/>
              </w:rPr>
              <w:t>C5014</w:t>
            </w:r>
          </w:p>
        </w:tc>
        <w:tc>
          <w:tcPr>
            <w:tcW w:w="376" w:type="pct"/>
          </w:tcPr>
          <w:p w14:paraId="3DE7B5A7" w14:textId="77777777" w:rsidR="00D63B70" w:rsidRPr="006D52A9" w:rsidRDefault="00D63B70" w:rsidP="00D63B70">
            <w:pPr>
              <w:rPr>
                <w:rFonts w:ascii="Arial" w:hAnsi="Arial" w:cs="Arial"/>
                <w:sz w:val="16"/>
                <w:szCs w:val="16"/>
              </w:rPr>
            </w:pPr>
          </w:p>
        </w:tc>
        <w:tc>
          <w:tcPr>
            <w:tcW w:w="499" w:type="pct"/>
          </w:tcPr>
          <w:p w14:paraId="7D30AD7E"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4F7CB53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A1C76B4" w14:textId="77777777" w:rsidTr="00A91628">
        <w:tblPrEx>
          <w:tblBorders>
            <w:top w:val="single" w:sz="4" w:space="0" w:color="auto"/>
          </w:tblBorders>
        </w:tblPrEx>
        <w:trPr>
          <w:cantSplit/>
          <w:tblCellSpacing w:w="22" w:type="dxa"/>
        </w:trPr>
        <w:tc>
          <w:tcPr>
            <w:tcW w:w="508" w:type="pct"/>
          </w:tcPr>
          <w:p w14:paraId="0C2BD354"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Entecavir</w:t>
            </w:r>
          </w:p>
        </w:tc>
        <w:tc>
          <w:tcPr>
            <w:tcW w:w="943" w:type="pct"/>
          </w:tcPr>
          <w:p w14:paraId="0856E6CE" w14:textId="77777777" w:rsidR="00D63B70" w:rsidRPr="006D52A9" w:rsidRDefault="00D63B70" w:rsidP="00D63B70">
            <w:pPr>
              <w:rPr>
                <w:rFonts w:ascii="Arial" w:hAnsi="Arial" w:cs="Arial"/>
                <w:sz w:val="16"/>
                <w:szCs w:val="16"/>
              </w:rPr>
            </w:pPr>
            <w:r w:rsidRPr="006D52A9">
              <w:rPr>
                <w:rFonts w:ascii="Arial" w:hAnsi="Arial" w:cs="Arial"/>
                <w:sz w:val="16"/>
                <w:szCs w:val="16"/>
              </w:rPr>
              <w:t>Tablet 0.5 mg (as monohydrate)</w:t>
            </w:r>
          </w:p>
        </w:tc>
        <w:tc>
          <w:tcPr>
            <w:tcW w:w="540" w:type="pct"/>
          </w:tcPr>
          <w:p w14:paraId="08E1238A"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01D092C" w14:textId="77777777" w:rsidR="00D63B70" w:rsidRPr="006D52A9" w:rsidRDefault="00D63B70" w:rsidP="00D63B70">
            <w:pPr>
              <w:rPr>
                <w:rFonts w:ascii="Arial" w:hAnsi="Arial" w:cs="Arial"/>
                <w:sz w:val="16"/>
                <w:szCs w:val="16"/>
              </w:rPr>
            </w:pPr>
            <w:r w:rsidRPr="006D52A9">
              <w:rPr>
                <w:rFonts w:ascii="Arial" w:hAnsi="Arial" w:cs="Arial"/>
                <w:sz w:val="16"/>
                <w:szCs w:val="16"/>
              </w:rPr>
              <w:t>Baraclude</w:t>
            </w:r>
          </w:p>
        </w:tc>
        <w:tc>
          <w:tcPr>
            <w:tcW w:w="894" w:type="pct"/>
          </w:tcPr>
          <w:p w14:paraId="34F5C4FC"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5392D5E1" w14:textId="77777777" w:rsidR="00D63B70" w:rsidRPr="006D52A9" w:rsidRDefault="00D63B70" w:rsidP="00D63B70">
            <w:pPr>
              <w:rPr>
                <w:rFonts w:ascii="Arial" w:hAnsi="Arial" w:cs="Arial"/>
                <w:sz w:val="16"/>
                <w:szCs w:val="16"/>
              </w:rPr>
            </w:pPr>
          </w:p>
        </w:tc>
        <w:tc>
          <w:tcPr>
            <w:tcW w:w="499" w:type="pct"/>
          </w:tcPr>
          <w:p w14:paraId="43240CE1"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90EDC0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E9D2002" w14:textId="77777777" w:rsidTr="00A91628">
        <w:tblPrEx>
          <w:tblBorders>
            <w:top w:val="single" w:sz="4" w:space="0" w:color="auto"/>
          </w:tblBorders>
        </w:tblPrEx>
        <w:trPr>
          <w:cantSplit/>
          <w:tblCellSpacing w:w="22" w:type="dxa"/>
        </w:trPr>
        <w:tc>
          <w:tcPr>
            <w:tcW w:w="508" w:type="pct"/>
          </w:tcPr>
          <w:p w14:paraId="21028FAA" w14:textId="77777777" w:rsidR="00D63B70" w:rsidRPr="006D52A9" w:rsidRDefault="00D63B70" w:rsidP="00D63B70">
            <w:pPr>
              <w:rPr>
                <w:rFonts w:ascii="Arial" w:hAnsi="Arial" w:cs="Arial"/>
                <w:sz w:val="16"/>
                <w:szCs w:val="16"/>
              </w:rPr>
            </w:pPr>
          </w:p>
        </w:tc>
        <w:tc>
          <w:tcPr>
            <w:tcW w:w="943" w:type="pct"/>
          </w:tcPr>
          <w:p w14:paraId="7A4E300A" w14:textId="77777777" w:rsidR="00D63B70" w:rsidRPr="006D52A9" w:rsidRDefault="00D63B70" w:rsidP="00D63B70">
            <w:pPr>
              <w:rPr>
                <w:rFonts w:ascii="Arial" w:hAnsi="Arial" w:cs="Arial"/>
                <w:sz w:val="16"/>
                <w:szCs w:val="16"/>
              </w:rPr>
            </w:pPr>
          </w:p>
        </w:tc>
        <w:tc>
          <w:tcPr>
            <w:tcW w:w="540" w:type="pct"/>
          </w:tcPr>
          <w:p w14:paraId="2495F42F" w14:textId="77777777" w:rsidR="00D63B70" w:rsidRPr="006D52A9" w:rsidRDefault="00D63B70" w:rsidP="00D63B70">
            <w:pPr>
              <w:rPr>
                <w:rFonts w:ascii="Arial" w:hAnsi="Arial" w:cs="Arial"/>
                <w:sz w:val="16"/>
                <w:szCs w:val="16"/>
              </w:rPr>
            </w:pPr>
          </w:p>
        </w:tc>
        <w:tc>
          <w:tcPr>
            <w:tcW w:w="591" w:type="pct"/>
          </w:tcPr>
          <w:p w14:paraId="27C56EFD" w14:textId="77777777" w:rsidR="00D63B70" w:rsidRPr="006D52A9" w:rsidRDefault="00D63B70" w:rsidP="00D63B70">
            <w:pPr>
              <w:rPr>
                <w:rFonts w:ascii="Arial" w:hAnsi="Arial" w:cs="Arial"/>
                <w:sz w:val="16"/>
                <w:szCs w:val="16"/>
              </w:rPr>
            </w:pPr>
            <w:r w:rsidRPr="006D52A9">
              <w:rPr>
                <w:rFonts w:ascii="Arial" w:hAnsi="Arial" w:cs="Arial"/>
                <w:sz w:val="16"/>
                <w:szCs w:val="16"/>
              </w:rPr>
              <w:t>ENTAC</w:t>
            </w:r>
          </w:p>
        </w:tc>
        <w:tc>
          <w:tcPr>
            <w:tcW w:w="894" w:type="pct"/>
          </w:tcPr>
          <w:p w14:paraId="5C3FB76D"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136CB06F" w14:textId="77777777" w:rsidR="00D63B70" w:rsidRPr="006D52A9" w:rsidRDefault="00D63B70" w:rsidP="00D63B70">
            <w:pPr>
              <w:rPr>
                <w:rFonts w:ascii="Arial" w:hAnsi="Arial" w:cs="Arial"/>
                <w:sz w:val="16"/>
                <w:szCs w:val="16"/>
              </w:rPr>
            </w:pPr>
          </w:p>
        </w:tc>
        <w:tc>
          <w:tcPr>
            <w:tcW w:w="499" w:type="pct"/>
          </w:tcPr>
          <w:p w14:paraId="4BB95203"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F8C261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4B3B7A3" w14:textId="77777777" w:rsidTr="00A91628">
        <w:tblPrEx>
          <w:tblBorders>
            <w:top w:val="single" w:sz="4" w:space="0" w:color="auto"/>
          </w:tblBorders>
        </w:tblPrEx>
        <w:trPr>
          <w:cantSplit/>
          <w:tblCellSpacing w:w="22" w:type="dxa"/>
        </w:trPr>
        <w:tc>
          <w:tcPr>
            <w:tcW w:w="508" w:type="pct"/>
          </w:tcPr>
          <w:p w14:paraId="4CE1D1A8" w14:textId="77777777" w:rsidR="00D63B70" w:rsidRPr="006D52A9" w:rsidRDefault="00D63B70" w:rsidP="00D63B70">
            <w:pPr>
              <w:rPr>
                <w:rFonts w:ascii="Arial" w:hAnsi="Arial" w:cs="Arial"/>
                <w:sz w:val="16"/>
                <w:szCs w:val="16"/>
              </w:rPr>
            </w:pPr>
          </w:p>
        </w:tc>
        <w:tc>
          <w:tcPr>
            <w:tcW w:w="943" w:type="pct"/>
          </w:tcPr>
          <w:p w14:paraId="0E34E736" w14:textId="77777777" w:rsidR="00D63B70" w:rsidRPr="006D52A9" w:rsidRDefault="00D63B70" w:rsidP="00D63B70">
            <w:pPr>
              <w:rPr>
                <w:rFonts w:ascii="Arial" w:hAnsi="Arial" w:cs="Arial"/>
                <w:sz w:val="16"/>
                <w:szCs w:val="16"/>
              </w:rPr>
            </w:pPr>
          </w:p>
        </w:tc>
        <w:tc>
          <w:tcPr>
            <w:tcW w:w="540" w:type="pct"/>
          </w:tcPr>
          <w:p w14:paraId="1E96B98B" w14:textId="77777777" w:rsidR="00D63B70" w:rsidRPr="006D52A9" w:rsidRDefault="00D63B70" w:rsidP="00D63B70">
            <w:pPr>
              <w:rPr>
                <w:rFonts w:ascii="Arial" w:hAnsi="Arial" w:cs="Arial"/>
                <w:sz w:val="16"/>
                <w:szCs w:val="16"/>
              </w:rPr>
            </w:pPr>
          </w:p>
        </w:tc>
        <w:tc>
          <w:tcPr>
            <w:tcW w:w="591" w:type="pct"/>
          </w:tcPr>
          <w:p w14:paraId="1758C272"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Amneal</w:t>
            </w:r>
          </w:p>
        </w:tc>
        <w:tc>
          <w:tcPr>
            <w:tcW w:w="894" w:type="pct"/>
          </w:tcPr>
          <w:p w14:paraId="432844B0"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7ADFF365" w14:textId="77777777" w:rsidR="00D63B70" w:rsidRPr="006D52A9" w:rsidRDefault="00D63B70" w:rsidP="00D63B70">
            <w:pPr>
              <w:rPr>
                <w:rFonts w:ascii="Arial" w:hAnsi="Arial" w:cs="Arial"/>
                <w:sz w:val="16"/>
                <w:szCs w:val="16"/>
              </w:rPr>
            </w:pPr>
          </w:p>
        </w:tc>
        <w:tc>
          <w:tcPr>
            <w:tcW w:w="499" w:type="pct"/>
          </w:tcPr>
          <w:p w14:paraId="7C895343"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B4C2EF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87C881E" w14:textId="77777777" w:rsidTr="00A91628">
        <w:tblPrEx>
          <w:tblBorders>
            <w:top w:val="single" w:sz="4" w:space="0" w:color="auto"/>
          </w:tblBorders>
        </w:tblPrEx>
        <w:trPr>
          <w:cantSplit/>
          <w:tblCellSpacing w:w="22" w:type="dxa"/>
        </w:trPr>
        <w:tc>
          <w:tcPr>
            <w:tcW w:w="508" w:type="pct"/>
          </w:tcPr>
          <w:p w14:paraId="2D98E19A" w14:textId="77777777" w:rsidR="00D63B70" w:rsidRPr="006D52A9" w:rsidRDefault="00D63B70" w:rsidP="00D63B70">
            <w:pPr>
              <w:rPr>
                <w:rFonts w:ascii="Arial" w:hAnsi="Arial" w:cs="Arial"/>
                <w:sz w:val="16"/>
                <w:szCs w:val="16"/>
              </w:rPr>
            </w:pPr>
          </w:p>
        </w:tc>
        <w:tc>
          <w:tcPr>
            <w:tcW w:w="943" w:type="pct"/>
          </w:tcPr>
          <w:p w14:paraId="5D138E4F" w14:textId="77777777" w:rsidR="00D63B70" w:rsidRPr="006D52A9" w:rsidRDefault="00D63B70" w:rsidP="00D63B70">
            <w:pPr>
              <w:rPr>
                <w:rFonts w:ascii="Arial" w:hAnsi="Arial" w:cs="Arial"/>
                <w:sz w:val="16"/>
                <w:szCs w:val="16"/>
              </w:rPr>
            </w:pPr>
          </w:p>
        </w:tc>
        <w:tc>
          <w:tcPr>
            <w:tcW w:w="540" w:type="pct"/>
          </w:tcPr>
          <w:p w14:paraId="524763D6" w14:textId="77777777" w:rsidR="00D63B70" w:rsidRPr="006D52A9" w:rsidRDefault="00D63B70" w:rsidP="00D63B70">
            <w:pPr>
              <w:rPr>
                <w:rFonts w:ascii="Arial" w:hAnsi="Arial" w:cs="Arial"/>
                <w:sz w:val="16"/>
                <w:szCs w:val="16"/>
              </w:rPr>
            </w:pPr>
          </w:p>
        </w:tc>
        <w:tc>
          <w:tcPr>
            <w:tcW w:w="591" w:type="pct"/>
          </w:tcPr>
          <w:p w14:paraId="17CDDB3E" w14:textId="77777777" w:rsidR="00D63B70" w:rsidRPr="006D52A9" w:rsidRDefault="00D63B70" w:rsidP="00D63B70">
            <w:pPr>
              <w:rPr>
                <w:rFonts w:ascii="Arial" w:hAnsi="Arial" w:cs="Arial"/>
                <w:sz w:val="16"/>
                <w:szCs w:val="16"/>
              </w:rPr>
            </w:pPr>
            <w:r w:rsidRPr="006D52A9">
              <w:rPr>
                <w:rFonts w:ascii="Arial" w:hAnsi="Arial" w:cs="Arial"/>
                <w:sz w:val="16"/>
              </w:rPr>
              <w:t>ENTECAVIR APO</w:t>
            </w:r>
          </w:p>
        </w:tc>
        <w:tc>
          <w:tcPr>
            <w:tcW w:w="894" w:type="pct"/>
          </w:tcPr>
          <w:p w14:paraId="4F608C79" w14:textId="77777777" w:rsidR="00D63B70" w:rsidRPr="006D52A9" w:rsidRDefault="00D63B70" w:rsidP="00D63B70">
            <w:pPr>
              <w:rPr>
                <w:rFonts w:ascii="Arial" w:hAnsi="Arial" w:cs="Arial"/>
                <w:sz w:val="16"/>
                <w:szCs w:val="16"/>
              </w:rPr>
            </w:pPr>
            <w:r w:rsidRPr="006D52A9">
              <w:rPr>
                <w:rFonts w:ascii="Arial" w:hAnsi="Arial" w:cs="Arial"/>
                <w:sz w:val="16"/>
              </w:rPr>
              <w:t>C4993 C5036</w:t>
            </w:r>
          </w:p>
        </w:tc>
        <w:tc>
          <w:tcPr>
            <w:tcW w:w="376" w:type="pct"/>
          </w:tcPr>
          <w:p w14:paraId="45F9EB94" w14:textId="77777777" w:rsidR="00D63B70" w:rsidRPr="006D52A9" w:rsidRDefault="00D63B70" w:rsidP="00D63B70">
            <w:pPr>
              <w:rPr>
                <w:rFonts w:ascii="Arial" w:hAnsi="Arial" w:cs="Arial"/>
                <w:sz w:val="16"/>
                <w:szCs w:val="16"/>
              </w:rPr>
            </w:pPr>
          </w:p>
        </w:tc>
        <w:tc>
          <w:tcPr>
            <w:tcW w:w="499" w:type="pct"/>
          </w:tcPr>
          <w:p w14:paraId="1FCF5CA4" w14:textId="77777777" w:rsidR="00D63B70" w:rsidRPr="006D52A9" w:rsidRDefault="00D63B70" w:rsidP="00D63B70">
            <w:pPr>
              <w:rPr>
                <w:rFonts w:ascii="Arial" w:hAnsi="Arial" w:cs="Arial"/>
                <w:sz w:val="16"/>
                <w:szCs w:val="16"/>
              </w:rPr>
            </w:pPr>
            <w:r w:rsidRPr="006D52A9">
              <w:rPr>
                <w:rFonts w:ascii="Arial" w:hAnsi="Arial" w:cs="Arial"/>
                <w:sz w:val="16"/>
              </w:rPr>
              <w:t>60</w:t>
            </w:r>
          </w:p>
        </w:tc>
        <w:tc>
          <w:tcPr>
            <w:tcW w:w="502" w:type="pct"/>
          </w:tcPr>
          <w:p w14:paraId="7121CB2E" w14:textId="77777777" w:rsidR="00D63B70" w:rsidRPr="006D52A9" w:rsidRDefault="00D63B70" w:rsidP="00D63B70">
            <w:pPr>
              <w:rPr>
                <w:rFonts w:ascii="Arial" w:hAnsi="Arial" w:cs="Arial"/>
                <w:sz w:val="16"/>
                <w:szCs w:val="16"/>
              </w:rPr>
            </w:pPr>
            <w:r w:rsidRPr="006D52A9">
              <w:rPr>
                <w:rFonts w:ascii="Arial" w:hAnsi="Arial" w:cs="Arial"/>
                <w:sz w:val="16"/>
              </w:rPr>
              <w:t>5</w:t>
            </w:r>
          </w:p>
        </w:tc>
      </w:tr>
      <w:tr w:rsidR="00D63B70" w:rsidRPr="006D52A9" w14:paraId="6151F98E" w14:textId="77777777" w:rsidTr="00A91628">
        <w:tblPrEx>
          <w:tblBorders>
            <w:top w:val="single" w:sz="4" w:space="0" w:color="auto"/>
          </w:tblBorders>
        </w:tblPrEx>
        <w:trPr>
          <w:cantSplit/>
          <w:tblCellSpacing w:w="22" w:type="dxa"/>
        </w:trPr>
        <w:tc>
          <w:tcPr>
            <w:tcW w:w="508" w:type="pct"/>
          </w:tcPr>
          <w:p w14:paraId="1C7EA9A9" w14:textId="77777777" w:rsidR="00D63B70" w:rsidRPr="006D52A9" w:rsidRDefault="00D63B70" w:rsidP="00D63B70">
            <w:pPr>
              <w:rPr>
                <w:rFonts w:ascii="Arial" w:hAnsi="Arial" w:cs="Arial"/>
                <w:sz w:val="16"/>
                <w:szCs w:val="16"/>
              </w:rPr>
            </w:pPr>
          </w:p>
        </w:tc>
        <w:tc>
          <w:tcPr>
            <w:tcW w:w="943" w:type="pct"/>
          </w:tcPr>
          <w:p w14:paraId="423F8C2A" w14:textId="77777777" w:rsidR="00D63B70" w:rsidRPr="006D52A9" w:rsidRDefault="00D63B70" w:rsidP="00D63B70">
            <w:pPr>
              <w:rPr>
                <w:rFonts w:ascii="Arial" w:hAnsi="Arial" w:cs="Arial"/>
                <w:sz w:val="16"/>
                <w:szCs w:val="16"/>
              </w:rPr>
            </w:pPr>
          </w:p>
        </w:tc>
        <w:tc>
          <w:tcPr>
            <w:tcW w:w="540" w:type="pct"/>
          </w:tcPr>
          <w:p w14:paraId="1AF103F2" w14:textId="77777777" w:rsidR="00D63B70" w:rsidRPr="006D52A9" w:rsidRDefault="00D63B70" w:rsidP="00D63B70">
            <w:pPr>
              <w:rPr>
                <w:rFonts w:ascii="Arial" w:hAnsi="Arial" w:cs="Arial"/>
                <w:sz w:val="16"/>
                <w:szCs w:val="16"/>
              </w:rPr>
            </w:pPr>
          </w:p>
        </w:tc>
        <w:tc>
          <w:tcPr>
            <w:tcW w:w="591" w:type="pct"/>
          </w:tcPr>
          <w:p w14:paraId="2B3128D7"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APOTEX</w:t>
            </w:r>
          </w:p>
        </w:tc>
        <w:tc>
          <w:tcPr>
            <w:tcW w:w="894" w:type="pct"/>
          </w:tcPr>
          <w:p w14:paraId="17F8965A"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36ACB0CB" w14:textId="77777777" w:rsidR="00D63B70" w:rsidRPr="006D52A9" w:rsidRDefault="00D63B70" w:rsidP="00D63B70">
            <w:pPr>
              <w:rPr>
                <w:rFonts w:ascii="Arial" w:hAnsi="Arial" w:cs="Arial"/>
                <w:sz w:val="16"/>
                <w:szCs w:val="16"/>
              </w:rPr>
            </w:pPr>
          </w:p>
        </w:tc>
        <w:tc>
          <w:tcPr>
            <w:tcW w:w="499" w:type="pct"/>
          </w:tcPr>
          <w:p w14:paraId="1A073B22"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274439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67E5596" w14:textId="77777777" w:rsidTr="00A91628">
        <w:tblPrEx>
          <w:tblBorders>
            <w:top w:val="single" w:sz="4" w:space="0" w:color="auto"/>
          </w:tblBorders>
        </w:tblPrEx>
        <w:trPr>
          <w:cantSplit/>
          <w:tblCellSpacing w:w="22" w:type="dxa"/>
        </w:trPr>
        <w:tc>
          <w:tcPr>
            <w:tcW w:w="508" w:type="pct"/>
          </w:tcPr>
          <w:p w14:paraId="20DFA689" w14:textId="77777777" w:rsidR="00D63B70" w:rsidRPr="006D52A9" w:rsidRDefault="00D63B70" w:rsidP="00D63B70">
            <w:pPr>
              <w:rPr>
                <w:rFonts w:ascii="Arial" w:hAnsi="Arial" w:cs="Arial"/>
                <w:sz w:val="16"/>
                <w:szCs w:val="16"/>
              </w:rPr>
            </w:pPr>
          </w:p>
        </w:tc>
        <w:tc>
          <w:tcPr>
            <w:tcW w:w="943" w:type="pct"/>
          </w:tcPr>
          <w:p w14:paraId="3F04A977" w14:textId="77777777" w:rsidR="00D63B70" w:rsidRPr="006D52A9" w:rsidRDefault="00D63B70" w:rsidP="00D63B70">
            <w:pPr>
              <w:rPr>
                <w:rFonts w:ascii="Arial" w:hAnsi="Arial" w:cs="Arial"/>
                <w:sz w:val="16"/>
                <w:szCs w:val="16"/>
              </w:rPr>
            </w:pPr>
          </w:p>
        </w:tc>
        <w:tc>
          <w:tcPr>
            <w:tcW w:w="540" w:type="pct"/>
          </w:tcPr>
          <w:p w14:paraId="30E60FF3" w14:textId="77777777" w:rsidR="00D63B70" w:rsidRPr="006D52A9" w:rsidRDefault="00D63B70" w:rsidP="00D63B70">
            <w:pPr>
              <w:rPr>
                <w:rFonts w:ascii="Arial" w:hAnsi="Arial" w:cs="Arial"/>
                <w:sz w:val="16"/>
                <w:szCs w:val="16"/>
              </w:rPr>
            </w:pPr>
          </w:p>
        </w:tc>
        <w:tc>
          <w:tcPr>
            <w:tcW w:w="591" w:type="pct"/>
          </w:tcPr>
          <w:p w14:paraId="04FEAF54"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GH</w:t>
            </w:r>
          </w:p>
        </w:tc>
        <w:tc>
          <w:tcPr>
            <w:tcW w:w="894" w:type="pct"/>
          </w:tcPr>
          <w:p w14:paraId="3998D905"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37CA74CD" w14:textId="77777777" w:rsidR="00D63B70" w:rsidRPr="006D52A9" w:rsidRDefault="00D63B70" w:rsidP="00D63B70">
            <w:pPr>
              <w:rPr>
                <w:rFonts w:ascii="Arial" w:hAnsi="Arial" w:cs="Arial"/>
                <w:sz w:val="16"/>
                <w:szCs w:val="16"/>
              </w:rPr>
            </w:pPr>
          </w:p>
        </w:tc>
        <w:tc>
          <w:tcPr>
            <w:tcW w:w="499" w:type="pct"/>
          </w:tcPr>
          <w:p w14:paraId="6CEFAA19"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415D61D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3AB62AD" w14:textId="77777777" w:rsidTr="00A91628">
        <w:tblPrEx>
          <w:tblBorders>
            <w:top w:val="single" w:sz="4" w:space="0" w:color="auto"/>
          </w:tblBorders>
        </w:tblPrEx>
        <w:trPr>
          <w:cantSplit/>
          <w:tblCellSpacing w:w="22" w:type="dxa"/>
        </w:trPr>
        <w:tc>
          <w:tcPr>
            <w:tcW w:w="508" w:type="pct"/>
          </w:tcPr>
          <w:p w14:paraId="27A619FC" w14:textId="77777777" w:rsidR="00D63B70" w:rsidRPr="006D52A9" w:rsidRDefault="00D63B70" w:rsidP="00D63B70">
            <w:pPr>
              <w:rPr>
                <w:rFonts w:ascii="Arial" w:hAnsi="Arial" w:cs="Arial"/>
                <w:sz w:val="16"/>
                <w:szCs w:val="16"/>
              </w:rPr>
            </w:pPr>
          </w:p>
        </w:tc>
        <w:tc>
          <w:tcPr>
            <w:tcW w:w="943" w:type="pct"/>
          </w:tcPr>
          <w:p w14:paraId="2A3F9EC2" w14:textId="77777777" w:rsidR="00D63B70" w:rsidRPr="006D52A9" w:rsidRDefault="00D63B70" w:rsidP="00D63B70">
            <w:pPr>
              <w:rPr>
                <w:rFonts w:ascii="Arial" w:hAnsi="Arial" w:cs="Arial"/>
                <w:sz w:val="16"/>
                <w:szCs w:val="16"/>
              </w:rPr>
            </w:pPr>
          </w:p>
        </w:tc>
        <w:tc>
          <w:tcPr>
            <w:tcW w:w="540" w:type="pct"/>
          </w:tcPr>
          <w:p w14:paraId="65BA3385" w14:textId="77777777" w:rsidR="00D63B70" w:rsidRPr="006D52A9" w:rsidRDefault="00D63B70" w:rsidP="00D63B70">
            <w:pPr>
              <w:rPr>
                <w:rFonts w:ascii="Arial" w:hAnsi="Arial" w:cs="Arial"/>
                <w:sz w:val="16"/>
                <w:szCs w:val="16"/>
              </w:rPr>
            </w:pPr>
          </w:p>
        </w:tc>
        <w:tc>
          <w:tcPr>
            <w:tcW w:w="591" w:type="pct"/>
          </w:tcPr>
          <w:p w14:paraId="33575440"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Mylan</w:t>
            </w:r>
          </w:p>
        </w:tc>
        <w:tc>
          <w:tcPr>
            <w:tcW w:w="894" w:type="pct"/>
          </w:tcPr>
          <w:p w14:paraId="3847FA69"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3C5E5BD9" w14:textId="77777777" w:rsidR="00D63B70" w:rsidRPr="006D52A9" w:rsidRDefault="00D63B70" w:rsidP="00D63B70">
            <w:pPr>
              <w:rPr>
                <w:rFonts w:ascii="Arial" w:hAnsi="Arial" w:cs="Arial"/>
                <w:sz w:val="16"/>
                <w:szCs w:val="16"/>
              </w:rPr>
            </w:pPr>
          </w:p>
        </w:tc>
        <w:tc>
          <w:tcPr>
            <w:tcW w:w="499" w:type="pct"/>
          </w:tcPr>
          <w:p w14:paraId="0AF6552C"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72E3B7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B5B555E" w14:textId="77777777" w:rsidTr="00A91628">
        <w:tblPrEx>
          <w:tblBorders>
            <w:top w:val="single" w:sz="4" w:space="0" w:color="auto"/>
          </w:tblBorders>
        </w:tblPrEx>
        <w:trPr>
          <w:cantSplit/>
          <w:tblCellSpacing w:w="22" w:type="dxa"/>
        </w:trPr>
        <w:tc>
          <w:tcPr>
            <w:tcW w:w="508" w:type="pct"/>
          </w:tcPr>
          <w:p w14:paraId="50F54DA7" w14:textId="77777777" w:rsidR="00D63B70" w:rsidRPr="006D52A9" w:rsidRDefault="00D63B70" w:rsidP="00D63B70">
            <w:pPr>
              <w:rPr>
                <w:rFonts w:ascii="Arial" w:hAnsi="Arial" w:cs="Arial"/>
                <w:sz w:val="16"/>
                <w:szCs w:val="16"/>
              </w:rPr>
            </w:pPr>
          </w:p>
        </w:tc>
        <w:tc>
          <w:tcPr>
            <w:tcW w:w="943" w:type="pct"/>
          </w:tcPr>
          <w:p w14:paraId="6DB0F275" w14:textId="77777777" w:rsidR="00D63B70" w:rsidRPr="006D52A9" w:rsidRDefault="00D63B70" w:rsidP="00D63B70">
            <w:pPr>
              <w:rPr>
                <w:rFonts w:ascii="Arial" w:hAnsi="Arial" w:cs="Arial"/>
                <w:sz w:val="16"/>
                <w:szCs w:val="16"/>
              </w:rPr>
            </w:pPr>
          </w:p>
        </w:tc>
        <w:tc>
          <w:tcPr>
            <w:tcW w:w="540" w:type="pct"/>
          </w:tcPr>
          <w:p w14:paraId="385256D5" w14:textId="77777777" w:rsidR="00D63B70" w:rsidRPr="006D52A9" w:rsidRDefault="00D63B70" w:rsidP="00D63B70">
            <w:pPr>
              <w:rPr>
                <w:rFonts w:ascii="Arial" w:hAnsi="Arial" w:cs="Arial"/>
                <w:sz w:val="16"/>
                <w:szCs w:val="16"/>
              </w:rPr>
            </w:pPr>
          </w:p>
        </w:tc>
        <w:tc>
          <w:tcPr>
            <w:tcW w:w="591" w:type="pct"/>
          </w:tcPr>
          <w:p w14:paraId="49DA0B9C"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RBX</w:t>
            </w:r>
          </w:p>
        </w:tc>
        <w:tc>
          <w:tcPr>
            <w:tcW w:w="894" w:type="pct"/>
          </w:tcPr>
          <w:p w14:paraId="4CFC3E88"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03F7BF9A" w14:textId="77777777" w:rsidR="00D63B70" w:rsidRPr="006D52A9" w:rsidRDefault="00D63B70" w:rsidP="00D63B70">
            <w:pPr>
              <w:rPr>
                <w:rFonts w:ascii="Arial" w:hAnsi="Arial" w:cs="Arial"/>
                <w:sz w:val="16"/>
                <w:szCs w:val="16"/>
              </w:rPr>
            </w:pPr>
          </w:p>
        </w:tc>
        <w:tc>
          <w:tcPr>
            <w:tcW w:w="499" w:type="pct"/>
          </w:tcPr>
          <w:p w14:paraId="527E2267"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4BFAB0B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7C228EF" w14:textId="77777777" w:rsidTr="00A91628">
        <w:tblPrEx>
          <w:tblBorders>
            <w:top w:val="single" w:sz="4" w:space="0" w:color="auto"/>
          </w:tblBorders>
        </w:tblPrEx>
        <w:trPr>
          <w:cantSplit/>
          <w:tblCellSpacing w:w="22" w:type="dxa"/>
        </w:trPr>
        <w:tc>
          <w:tcPr>
            <w:tcW w:w="508" w:type="pct"/>
          </w:tcPr>
          <w:p w14:paraId="29E6EA04" w14:textId="77777777" w:rsidR="00D63B70" w:rsidRPr="006D52A9" w:rsidRDefault="00D63B70" w:rsidP="00D63B70">
            <w:pPr>
              <w:rPr>
                <w:rFonts w:ascii="Arial" w:hAnsi="Arial" w:cs="Arial"/>
                <w:sz w:val="16"/>
                <w:szCs w:val="16"/>
              </w:rPr>
            </w:pPr>
          </w:p>
        </w:tc>
        <w:tc>
          <w:tcPr>
            <w:tcW w:w="943" w:type="pct"/>
          </w:tcPr>
          <w:p w14:paraId="1AAC6077" w14:textId="77777777" w:rsidR="00D63B70" w:rsidRPr="006D52A9" w:rsidRDefault="00D63B70" w:rsidP="00D63B70">
            <w:pPr>
              <w:rPr>
                <w:rFonts w:ascii="Arial" w:hAnsi="Arial" w:cs="Arial"/>
                <w:sz w:val="16"/>
                <w:szCs w:val="16"/>
              </w:rPr>
            </w:pPr>
          </w:p>
        </w:tc>
        <w:tc>
          <w:tcPr>
            <w:tcW w:w="540" w:type="pct"/>
          </w:tcPr>
          <w:p w14:paraId="61FD73DE" w14:textId="77777777" w:rsidR="00D63B70" w:rsidRPr="006D52A9" w:rsidRDefault="00D63B70" w:rsidP="00D63B70">
            <w:pPr>
              <w:rPr>
                <w:rFonts w:ascii="Arial" w:hAnsi="Arial" w:cs="Arial"/>
                <w:sz w:val="16"/>
                <w:szCs w:val="16"/>
              </w:rPr>
            </w:pPr>
          </w:p>
        </w:tc>
        <w:tc>
          <w:tcPr>
            <w:tcW w:w="591" w:type="pct"/>
          </w:tcPr>
          <w:p w14:paraId="53530628"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Sandoz</w:t>
            </w:r>
          </w:p>
        </w:tc>
        <w:tc>
          <w:tcPr>
            <w:tcW w:w="894" w:type="pct"/>
          </w:tcPr>
          <w:p w14:paraId="332005B2"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6E875D58" w14:textId="77777777" w:rsidR="00D63B70" w:rsidRPr="006D52A9" w:rsidRDefault="00D63B70" w:rsidP="00D63B70">
            <w:pPr>
              <w:rPr>
                <w:rFonts w:ascii="Arial" w:hAnsi="Arial" w:cs="Arial"/>
                <w:sz w:val="16"/>
                <w:szCs w:val="16"/>
              </w:rPr>
            </w:pPr>
          </w:p>
        </w:tc>
        <w:tc>
          <w:tcPr>
            <w:tcW w:w="499" w:type="pct"/>
          </w:tcPr>
          <w:p w14:paraId="5A14F772"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165C1A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8246836" w14:textId="77777777" w:rsidTr="00A91628">
        <w:tblPrEx>
          <w:tblBorders>
            <w:top w:val="single" w:sz="4" w:space="0" w:color="auto"/>
          </w:tblBorders>
        </w:tblPrEx>
        <w:trPr>
          <w:cantSplit/>
          <w:tblCellSpacing w:w="22" w:type="dxa"/>
        </w:trPr>
        <w:tc>
          <w:tcPr>
            <w:tcW w:w="508" w:type="pct"/>
          </w:tcPr>
          <w:p w14:paraId="1EA944F3" w14:textId="77777777" w:rsidR="00D63B70" w:rsidRPr="006D52A9" w:rsidRDefault="00D63B70" w:rsidP="00D63B70">
            <w:pPr>
              <w:rPr>
                <w:rFonts w:ascii="Arial" w:hAnsi="Arial" w:cs="Arial"/>
                <w:sz w:val="16"/>
                <w:szCs w:val="16"/>
              </w:rPr>
            </w:pPr>
          </w:p>
        </w:tc>
        <w:tc>
          <w:tcPr>
            <w:tcW w:w="943" w:type="pct"/>
          </w:tcPr>
          <w:p w14:paraId="5EC6D5DF" w14:textId="77777777" w:rsidR="00D63B70" w:rsidRPr="006D52A9" w:rsidRDefault="00D63B70" w:rsidP="00D63B70">
            <w:pPr>
              <w:rPr>
                <w:rFonts w:ascii="Arial" w:hAnsi="Arial" w:cs="Arial"/>
                <w:sz w:val="16"/>
                <w:szCs w:val="16"/>
              </w:rPr>
            </w:pPr>
          </w:p>
        </w:tc>
        <w:tc>
          <w:tcPr>
            <w:tcW w:w="540" w:type="pct"/>
          </w:tcPr>
          <w:p w14:paraId="0D07C3AD" w14:textId="77777777" w:rsidR="00D63B70" w:rsidRPr="006D52A9" w:rsidRDefault="00D63B70" w:rsidP="00D63B70">
            <w:pPr>
              <w:rPr>
                <w:rFonts w:ascii="Arial" w:hAnsi="Arial" w:cs="Arial"/>
                <w:sz w:val="16"/>
                <w:szCs w:val="16"/>
              </w:rPr>
            </w:pPr>
          </w:p>
        </w:tc>
        <w:tc>
          <w:tcPr>
            <w:tcW w:w="591" w:type="pct"/>
          </w:tcPr>
          <w:p w14:paraId="7DEA7A64" w14:textId="77777777" w:rsidR="00D63B70" w:rsidRPr="006D52A9" w:rsidRDefault="00D63B70" w:rsidP="00D63B70">
            <w:pPr>
              <w:rPr>
                <w:rFonts w:ascii="Arial" w:hAnsi="Arial" w:cs="Arial"/>
                <w:sz w:val="16"/>
                <w:szCs w:val="16"/>
              </w:rPr>
            </w:pPr>
            <w:r w:rsidRPr="006D52A9">
              <w:rPr>
                <w:rFonts w:ascii="Arial" w:hAnsi="Arial" w:cs="Arial"/>
                <w:sz w:val="16"/>
                <w:szCs w:val="16"/>
              </w:rPr>
              <w:t>ENTECLUDE</w:t>
            </w:r>
          </w:p>
        </w:tc>
        <w:tc>
          <w:tcPr>
            <w:tcW w:w="894" w:type="pct"/>
          </w:tcPr>
          <w:p w14:paraId="27665786"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w:t>
            </w:r>
          </w:p>
        </w:tc>
        <w:tc>
          <w:tcPr>
            <w:tcW w:w="376" w:type="pct"/>
          </w:tcPr>
          <w:p w14:paraId="1C3879A3" w14:textId="77777777" w:rsidR="00D63B70" w:rsidRPr="006D52A9" w:rsidRDefault="00D63B70" w:rsidP="00D63B70">
            <w:pPr>
              <w:rPr>
                <w:rFonts w:ascii="Arial" w:hAnsi="Arial" w:cs="Arial"/>
                <w:sz w:val="16"/>
                <w:szCs w:val="16"/>
              </w:rPr>
            </w:pPr>
          </w:p>
        </w:tc>
        <w:tc>
          <w:tcPr>
            <w:tcW w:w="499" w:type="pct"/>
          </w:tcPr>
          <w:p w14:paraId="3D9F206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CAB067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F93152C" w14:textId="77777777" w:rsidTr="00A91628">
        <w:tblPrEx>
          <w:tblBorders>
            <w:top w:val="single" w:sz="4" w:space="0" w:color="auto"/>
          </w:tblBorders>
        </w:tblPrEx>
        <w:trPr>
          <w:cantSplit/>
          <w:tblCellSpacing w:w="22" w:type="dxa"/>
        </w:trPr>
        <w:tc>
          <w:tcPr>
            <w:tcW w:w="508" w:type="pct"/>
          </w:tcPr>
          <w:p w14:paraId="57BEBD0D" w14:textId="77777777" w:rsidR="00D63B70" w:rsidRPr="006D52A9" w:rsidRDefault="00D63B70" w:rsidP="00D63B70">
            <w:pPr>
              <w:rPr>
                <w:rFonts w:ascii="Arial" w:hAnsi="Arial" w:cs="Arial"/>
                <w:sz w:val="16"/>
                <w:szCs w:val="16"/>
              </w:rPr>
            </w:pPr>
          </w:p>
        </w:tc>
        <w:tc>
          <w:tcPr>
            <w:tcW w:w="943" w:type="pct"/>
          </w:tcPr>
          <w:p w14:paraId="4B6788F8" w14:textId="77777777" w:rsidR="00D63B70" w:rsidRPr="006D52A9" w:rsidRDefault="00D63B70" w:rsidP="00D63B70">
            <w:pPr>
              <w:rPr>
                <w:rFonts w:ascii="Arial" w:hAnsi="Arial" w:cs="Arial"/>
                <w:sz w:val="16"/>
                <w:szCs w:val="16"/>
              </w:rPr>
            </w:pPr>
            <w:r w:rsidRPr="006D52A9">
              <w:rPr>
                <w:rFonts w:ascii="Arial" w:hAnsi="Arial" w:cs="Arial"/>
                <w:sz w:val="16"/>
                <w:szCs w:val="16"/>
              </w:rPr>
              <w:t>Tablet 1 mg (as monohydrate)</w:t>
            </w:r>
          </w:p>
        </w:tc>
        <w:tc>
          <w:tcPr>
            <w:tcW w:w="540" w:type="pct"/>
          </w:tcPr>
          <w:p w14:paraId="5DFE657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3884C9F" w14:textId="77777777" w:rsidR="00D63B70" w:rsidRPr="006D52A9" w:rsidRDefault="00D63B70" w:rsidP="00D63B70">
            <w:pPr>
              <w:rPr>
                <w:rFonts w:ascii="Arial" w:hAnsi="Arial" w:cs="Arial"/>
                <w:sz w:val="16"/>
                <w:szCs w:val="16"/>
              </w:rPr>
            </w:pPr>
            <w:r w:rsidRPr="006D52A9">
              <w:rPr>
                <w:rFonts w:ascii="Arial" w:hAnsi="Arial" w:cs="Arial"/>
                <w:sz w:val="16"/>
                <w:szCs w:val="16"/>
              </w:rPr>
              <w:t>Baraclude</w:t>
            </w:r>
          </w:p>
        </w:tc>
        <w:tc>
          <w:tcPr>
            <w:tcW w:w="894" w:type="pct"/>
          </w:tcPr>
          <w:p w14:paraId="1EF02BEE"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7ED21DD4" w14:textId="77777777" w:rsidR="00D63B70" w:rsidRPr="006D52A9" w:rsidRDefault="00D63B70" w:rsidP="00D63B70">
            <w:pPr>
              <w:rPr>
                <w:rFonts w:ascii="Arial" w:hAnsi="Arial" w:cs="Arial"/>
                <w:sz w:val="16"/>
                <w:szCs w:val="16"/>
              </w:rPr>
            </w:pPr>
          </w:p>
        </w:tc>
        <w:tc>
          <w:tcPr>
            <w:tcW w:w="499" w:type="pct"/>
          </w:tcPr>
          <w:p w14:paraId="5DCF3C15"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240EB6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D19A2B4" w14:textId="77777777" w:rsidTr="00A91628">
        <w:tblPrEx>
          <w:tblBorders>
            <w:top w:val="single" w:sz="4" w:space="0" w:color="auto"/>
          </w:tblBorders>
        </w:tblPrEx>
        <w:trPr>
          <w:cantSplit/>
          <w:tblCellSpacing w:w="22" w:type="dxa"/>
        </w:trPr>
        <w:tc>
          <w:tcPr>
            <w:tcW w:w="508" w:type="pct"/>
          </w:tcPr>
          <w:p w14:paraId="08A01B85" w14:textId="77777777" w:rsidR="00D63B70" w:rsidRPr="006D52A9" w:rsidRDefault="00D63B70" w:rsidP="00D63B70">
            <w:pPr>
              <w:rPr>
                <w:rFonts w:ascii="Arial" w:hAnsi="Arial" w:cs="Arial"/>
                <w:sz w:val="16"/>
                <w:szCs w:val="16"/>
              </w:rPr>
            </w:pPr>
          </w:p>
        </w:tc>
        <w:tc>
          <w:tcPr>
            <w:tcW w:w="943" w:type="pct"/>
          </w:tcPr>
          <w:p w14:paraId="014C6B54" w14:textId="77777777" w:rsidR="00D63B70" w:rsidRPr="006D52A9" w:rsidRDefault="00D63B70" w:rsidP="00D63B70">
            <w:pPr>
              <w:rPr>
                <w:rFonts w:ascii="Arial" w:hAnsi="Arial" w:cs="Arial"/>
                <w:sz w:val="16"/>
                <w:szCs w:val="16"/>
              </w:rPr>
            </w:pPr>
          </w:p>
        </w:tc>
        <w:tc>
          <w:tcPr>
            <w:tcW w:w="540" w:type="pct"/>
          </w:tcPr>
          <w:p w14:paraId="6BBE16DB" w14:textId="77777777" w:rsidR="00D63B70" w:rsidRPr="006D52A9" w:rsidRDefault="00D63B70" w:rsidP="00D63B70">
            <w:pPr>
              <w:rPr>
                <w:rFonts w:ascii="Arial" w:hAnsi="Arial" w:cs="Arial"/>
                <w:sz w:val="16"/>
                <w:szCs w:val="16"/>
              </w:rPr>
            </w:pPr>
          </w:p>
        </w:tc>
        <w:tc>
          <w:tcPr>
            <w:tcW w:w="591" w:type="pct"/>
          </w:tcPr>
          <w:p w14:paraId="767FC93E" w14:textId="77777777" w:rsidR="00D63B70" w:rsidRPr="006D52A9" w:rsidRDefault="00D63B70" w:rsidP="00D63B70">
            <w:pPr>
              <w:rPr>
                <w:rFonts w:ascii="Arial" w:hAnsi="Arial" w:cs="Arial"/>
                <w:sz w:val="16"/>
                <w:szCs w:val="16"/>
              </w:rPr>
            </w:pPr>
            <w:r w:rsidRPr="006D52A9">
              <w:rPr>
                <w:rFonts w:ascii="Arial" w:hAnsi="Arial" w:cs="Arial"/>
                <w:sz w:val="16"/>
                <w:szCs w:val="16"/>
              </w:rPr>
              <w:t>ENTAC</w:t>
            </w:r>
          </w:p>
        </w:tc>
        <w:tc>
          <w:tcPr>
            <w:tcW w:w="894" w:type="pct"/>
          </w:tcPr>
          <w:p w14:paraId="1F58344E"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15DB53A7" w14:textId="77777777" w:rsidR="00D63B70" w:rsidRPr="006D52A9" w:rsidRDefault="00D63B70" w:rsidP="00D63B70">
            <w:pPr>
              <w:rPr>
                <w:rFonts w:ascii="Arial" w:hAnsi="Arial" w:cs="Arial"/>
                <w:sz w:val="16"/>
                <w:szCs w:val="16"/>
              </w:rPr>
            </w:pPr>
          </w:p>
        </w:tc>
        <w:tc>
          <w:tcPr>
            <w:tcW w:w="499" w:type="pct"/>
          </w:tcPr>
          <w:p w14:paraId="1A24F3C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6A9D9E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1B63EFA" w14:textId="77777777" w:rsidTr="00A91628">
        <w:tblPrEx>
          <w:tblBorders>
            <w:top w:val="single" w:sz="4" w:space="0" w:color="auto"/>
          </w:tblBorders>
        </w:tblPrEx>
        <w:trPr>
          <w:cantSplit/>
          <w:tblCellSpacing w:w="22" w:type="dxa"/>
        </w:trPr>
        <w:tc>
          <w:tcPr>
            <w:tcW w:w="508" w:type="pct"/>
          </w:tcPr>
          <w:p w14:paraId="2B838BD0" w14:textId="77777777" w:rsidR="00D63B70" w:rsidRPr="006D52A9" w:rsidRDefault="00D63B70" w:rsidP="00D63B70">
            <w:pPr>
              <w:rPr>
                <w:rFonts w:ascii="Arial" w:hAnsi="Arial" w:cs="Arial"/>
                <w:sz w:val="16"/>
                <w:szCs w:val="16"/>
              </w:rPr>
            </w:pPr>
          </w:p>
        </w:tc>
        <w:tc>
          <w:tcPr>
            <w:tcW w:w="943" w:type="pct"/>
          </w:tcPr>
          <w:p w14:paraId="70977BC8" w14:textId="77777777" w:rsidR="00D63B70" w:rsidRPr="006D52A9" w:rsidRDefault="00D63B70" w:rsidP="00D63B70">
            <w:pPr>
              <w:rPr>
                <w:rFonts w:ascii="Arial" w:hAnsi="Arial" w:cs="Arial"/>
                <w:sz w:val="16"/>
                <w:szCs w:val="16"/>
              </w:rPr>
            </w:pPr>
          </w:p>
        </w:tc>
        <w:tc>
          <w:tcPr>
            <w:tcW w:w="540" w:type="pct"/>
          </w:tcPr>
          <w:p w14:paraId="7E74A3F5" w14:textId="77777777" w:rsidR="00D63B70" w:rsidRPr="006D52A9" w:rsidRDefault="00D63B70" w:rsidP="00D63B70">
            <w:pPr>
              <w:rPr>
                <w:rFonts w:ascii="Arial" w:hAnsi="Arial" w:cs="Arial"/>
                <w:sz w:val="16"/>
                <w:szCs w:val="16"/>
              </w:rPr>
            </w:pPr>
          </w:p>
        </w:tc>
        <w:tc>
          <w:tcPr>
            <w:tcW w:w="591" w:type="pct"/>
          </w:tcPr>
          <w:p w14:paraId="5BC2FB64"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Amneal</w:t>
            </w:r>
          </w:p>
        </w:tc>
        <w:tc>
          <w:tcPr>
            <w:tcW w:w="894" w:type="pct"/>
          </w:tcPr>
          <w:p w14:paraId="6233223D"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5EB5621D" w14:textId="77777777" w:rsidR="00D63B70" w:rsidRPr="006D52A9" w:rsidRDefault="00D63B70" w:rsidP="00D63B70">
            <w:pPr>
              <w:rPr>
                <w:rFonts w:ascii="Arial" w:hAnsi="Arial" w:cs="Arial"/>
                <w:sz w:val="16"/>
                <w:szCs w:val="16"/>
              </w:rPr>
            </w:pPr>
          </w:p>
        </w:tc>
        <w:tc>
          <w:tcPr>
            <w:tcW w:w="499" w:type="pct"/>
          </w:tcPr>
          <w:p w14:paraId="6F81D836"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63507C1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C68973F" w14:textId="77777777" w:rsidTr="00A91628">
        <w:tblPrEx>
          <w:tblBorders>
            <w:top w:val="single" w:sz="4" w:space="0" w:color="auto"/>
          </w:tblBorders>
        </w:tblPrEx>
        <w:trPr>
          <w:cantSplit/>
          <w:tblCellSpacing w:w="22" w:type="dxa"/>
        </w:trPr>
        <w:tc>
          <w:tcPr>
            <w:tcW w:w="508" w:type="pct"/>
          </w:tcPr>
          <w:p w14:paraId="679AB983" w14:textId="77777777" w:rsidR="00D63B70" w:rsidRPr="006D52A9" w:rsidRDefault="00D63B70" w:rsidP="00D63B70">
            <w:pPr>
              <w:rPr>
                <w:rFonts w:ascii="Arial" w:hAnsi="Arial" w:cs="Arial"/>
                <w:sz w:val="16"/>
                <w:szCs w:val="16"/>
              </w:rPr>
            </w:pPr>
          </w:p>
        </w:tc>
        <w:tc>
          <w:tcPr>
            <w:tcW w:w="943" w:type="pct"/>
          </w:tcPr>
          <w:p w14:paraId="35CBB560" w14:textId="77777777" w:rsidR="00D63B70" w:rsidRPr="006D52A9" w:rsidRDefault="00D63B70" w:rsidP="00D63B70">
            <w:pPr>
              <w:rPr>
                <w:rFonts w:ascii="Arial" w:hAnsi="Arial" w:cs="Arial"/>
                <w:sz w:val="16"/>
                <w:szCs w:val="16"/>
              </w:rPr>
            </w:pPr>
          </w:p>
        </w:tc>
        <w:tc>
          <w:tcPr>
            <w:tcW w:w="540" w:type="pct"/>
          </w:tcPr>
          <w:p w14:paraId="62F9F518" w14:textId="77777777" w:rsidR="00D63B70" w:rsidRPr="006D52A9" w:rsidRDefault="00D63B70" w:rsidP="00D63B70">
            <w:pPr>
              <w:rPr>
                <w:rFonts w:ascii="Arial" w:hAnsi="Arial" w:cs="Arial"/>
                <w:sz w:val="16"/>
                <w:szCs w:val="16"/>
              </w:rPr>
            </w:pPr>
          </w:p>
        </w:tc>
        <w:tc>
          <w:tcPr>
            <w:tcW w:w="591" w:type="pct"/>
          </w:tcPr>
          <w:p w14:paraId="2A3C9607"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APO</w:t>
            </w:r>
          </w:p>
        </w:tc>
        <w:tc>
          <w:tcPr>
            <w:tcW w:w="894" w:type="pct"/>
          </w:tcPr>
          <w:p w14:paraId="71544B21"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49D320DB" w14:textId="77777777" w:rsidR="00D63B70" w:rsidRPr="006D52A9" w:rsidRDefault="00D63B70" w:rsidP="00D63B70">
            <w:pPr>
              <w:rPr>
                <w:rFonts w:ascii="Arial" w:hAnsi="Arial" w:cs="Arial"/>
                <w:sz w:val="16"/>
                <w:szCs w:val="16"/>
              </w:rPr>
            </w:pPr>
          </w:p>
        </w:tc>
        <w:tc>
          <w:tcPr>
            <w:tcW w:w="499" w:type="pct"/>
          </w:tcPr>
          <w:p w14:paraId="43A052B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8930D0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CA271FB" w14:textId="77777777" w:rsidTr="00A91628">
        <w:tblPrEx>
          <w:tblBorders>
            <w:top w:val="single" w:sz="4" w:space="0" w:color="auto"/>
          </w:tblBorders>
        </w:tblPrEx>
        <w:trPr>
          <w:cantSplit/>
          <w:tblCellSpacing w:w="22" w:type="dxa"/>
        </w:trPr>
        <w:tc>
          <w:tcPr>
            <w:tcW w:w="508" w:type="pct"/>
          </w:tcPr>
          <w:p w14:paraId="137F188B" w14:textId="77777777" w:rsidR="00D63B70" w:rsidRPr="006D52A9" w:rsidRDefault="00D63B70" w:rsidP="00D63B70">
            <w:pPr>
              <w:rPr>
                <w:rFonts w:ascii="Arial" w:hAnsi="Arial" w:cs="Arial"/>
                <w:sz w:val="16"/>
                <w:szCs w:val="16"/>
              </w:rPr>
            </w:pPr>
          </w:p>
        </w:tc>
        <w:tc>
          <w:tcPr>
            <w:tcW w:w="943" w:type="pct"/>
          </w:tcPr>
          <w:p w14:paraId="0DDD3902" w14:textId="77777777" w:rsidR="00D63B70" w:rsidRPr="006D52A9" w:rsidRDefault="00D63B70" w:rsidP="00D63B70">
            <w:pPr>
              <w:rPr>
                <w:rFonts w:ascii="Arial" w:hAnsi="Arial" w:cs="Arial"/>
                <w:sz w:val="16"/>
                <w:szCs w:val="16"/>
              </w:rPr>
            </w:pPr>
          </w:p>
        </w:tc>
        <w:tc>
          <w:tcPr>
            <w:tcW w:w="540" w:type="pct"/>
          </w:tcPr>
          <w:p w14:paraId="7AE0B127" w14:textId="77777777" w:rsidR="00D63B70" w:rsidRPr="006D52A9" w:rsidRDefault="00D63B70" w:rsidP="00D63B70">
            <w:pPr>
              <w:rPr>
                <w:rFonts w:ascii="Arial" w:hAnsi="Arial" w:cs="Arial"/>
                <w:sz w:val="16"/>
                <w:szCs w:val="16"/>
              </w:rPr>
            </w:pPr>
          </w:p>
        </w:tc>
        <w:tc>
          <w:tcPr>
            <w:tcW w:w="591" w:type="pct"/>
          </w:tcPr>
          <w:p w14:paraId="18F9248C"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APOTEX</w:t>
            </w:r>
          </w:p>
        </w:tc>
        <w:tc>
          <w:tcPr>
            <w:tcW w:w="894" w:type="pct"/>
          </w:tcPr>
          <w:p w14:paraId="28FBE09C"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61E47AAA" w14:textId="77777777" w:rsidR="00D63B70" w:rsidRPr="006D52A9" w:rsidRDefault="00D63B70" w:rsidP="00D63B70">
            <w:pPr>
              <w:rPr>
                <w:rFonts w:ascii="Arial" w:hAnsi="Arial" w:cs="Arial"/>
                <w:sz w:val="16"/>
                <w:szCs w:val="16"/>
              </w:rPr>
            </w:pPr>
          </w:p>
        </w:tc>
        <w:tc>
          <w:tcPr>
            <w:tcW w:w="499" w:type="pct"/>
          </w:tcPr>
          <w:p w14:paraId="1542BC3A"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C3BC93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1D0FB48" w14:textId="77777777" w:rsidTr="00A91628">
        <w:tblPrEx>
          <w:tblBorders>
            <w:top w:val="single" w:sz="4" w:space="0" w:color="auto"/>
          </w:tblBorders>
        </w:tblPrEx>
        <w:trPr>
          <w:cantSplit/>
          <w:tblCellSpacing w:w="22" w:type="dxa"/>
        </w:trPr>
        <w:tc>
          <w:tcPr>
            <w:tcW w:w="508" w:type="pct"/>
          </w:tcPr>
          <w:p w14:paraId="5EFB9CD3" w14:textId="77777777" w:rsidR="00D63B70" w:rsidRPr="006D52A9" w:rsidRDefault="00D63B70" w:rsidP="00D63B70">
            <w:pPr>
              <w:rPr>
                <w:rFonts w:ascii="Arial" w:hAnsi="Arial" w:cs="Arial"/>
                <w:sz w:val="16"/>
                <w:szCs w:val="16"/>
              </w:rPr>
            </w:pPr>
          </w:p>
        </w:tc>
        <w:tc>
          <w:tcPr>
            <w:tcW w:w="943" w:type="pct"/>
          </w:tcPr>
          <w:p w14:paraId="75BC210B" w14:textId="77777777" w:rsidR="00D63B70" w:rsidRPr="006D52A9" w:rsidRDefault="00D63B70" w:rsidP="00D63B70">
            <w:pPr>
              <w:rPr>
                <w:rFonts w:ascii="Arial" w:hAnsi="Arial" w:cs="Arial"/>
                <w:sz w:val="16"/>
                <w:szCs w:val="16"/>
              </w:rPr>
            </w:pPr>
          </w:p>
        </w:tc>
        <w:tc>
          <w:tcPr>
            <w:tcW w:w="540" w:type="pct"/>
          </w:tcPr>
          <w:p w14:paraId="4D4C8D65" w14:textId="77777777" w:rsidR="00D63B70" w:rsidRPr="006D52A9" w:rsidRDefault="00D63B70" w:rsidP="00D63B70">
            <w:pPr>
              <w:rPr>
                <w:rFonts w:ascii="Arial" w:hAnsi="Arial" w:cs="Arial"/>
                <w:sz w:val="16"/>
                <w:szCs w:val="16"/>
              </w:rPr>
            </w:pPr>
          </w:p>
        </w:tc>
        <w:tc>
          <w:tcPr>
            <w:tcW w:w="591" w:type="pct"/>
          </w:tcPr>
          <w:p w14:paraId="0CD932D6"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GH</w:t>
            </w:r>
          </w:p>
        </w:tc>
        <w:tc>
          <w:tcPr>
            <w:tcW w:w="894" w:type="pct"/>
          </w:tcPr>
          <w:p w14:paraId="037FF8BD"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5F761897" w14:textId="77777777" w:rsidR="00D63B70" w:rsidRPr="006D52A9" w:rsidRDefault="00D63B70" w:rsidP="00D63B70">
            <w:pPr>
              <w:rPr>
                <w:rFonts w:ascii="Arial" w:hAnsi="Arial" w:cs="Arial"/>
                <w:sz w:val="16"/>
                <w:szCs w:val="16"/>
              </w:rPr>
            </w:pPr>
          </w:p>
        </w:tc>
        <w:tc>
          <w:tcPr>
            <w:tcW w:w="499" w:type="pct"/>
          </w:tcPr>
          <w:p w14:paraId="509A3FF5"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4894717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6A182D6" w14:textId="77777777" w:rsidTr="00A91628">
        <w:tblPrEx>
          <w:tblBorders>
            <w:top w:val="single" w:sz="4" w:space="0" w:color="auto"/>
          </w:tblBorders>
        </w:tblPrEx>
        <w:trPr>
          <w:cantSplit/>
          <w:tblCellSpacing w:w="22" w:type="dxa"/>
        </w:trPr>
        <w:tc>
          <w:tcPr>
            <w:tcW w:w="508" w:type="pct"/>
          </w:tcPr>
          <w:p w14:paraId="4944BCF7" w14:textId="77777777" w:rsidR="00D63B70" w:rsidRPr="006D52A9" w:rsidRDefault="00D63B70" w:rsidP="00D63B70">
            <w:pPr>
              <w:rPr>
                <w:rFonts w:ascii="Arial" w:hAnsi="Arial" w:cs="Arial"/>
                <w:sz w:val="16"/>
                <w:szCs w:val="16"/>
              </w:rPr>
            </w:pPr>
          </w:p>
        </w:tc>
        <w:tc>
          <w:tcPr>
            <w:tcW w:w="943" w:type="pct"/>
          </w:tcPr>
          <w:p w14:paraId="6D123855" w14:textId="77777777" w:rsidR="00D63B70" w:rsidRPr="006D52A9" w:rsidRDefault="00D63B70" w:rsidP="00D63B70">
            <w:pPr>
              <w:rPr>
                <w:rFonts w:ascii="Arial" w:hAnsi="Arial" w:cs="Arial"/>
                <w:sz w:val="16"/>
                <w:szCs w:val="16"/>
              </w:rPr>
            </w:pPr>
          </w:p>
        </w:tc>
        <w:tc>
          <w:tcPr>
            <w:tcW w:w="540" w:type="pct"/>
          </w:tcPr>
          <w:p w14:paraId="6F07F53C" w14:textId="77777777" w:rsidR="00D63B70" w:rsidRPr="006D52A9" w:rsidRDefault="00D63B70" w:rsidP="00D63B70">
            <w:pPr>
              <w:rPr>
                <w:rFonts w:ascii="Arial" w:hAnsi="Arial" w:cs="Arial"/>
                <w:sz w:val="16"/>
                <w:szCs w:val="16"/>
              </w:rPr>
            </w:pPr>
          </w:p>
        </w:tc>
        <w:tc>
          <w:tcPr>
            <w:tcW w:w="591" w:type="pct"/>
          </w:tcPr>
          <w:p w14:paraId="1F57EF6B"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Mylan</w:t>
            </w:r>
          </w:p>
        </w:tc>
        <w:tc>
          <w:tcPr>
            <w:tcW w:w="894" w:type="pct"/>
          </w:tcPr>
          <w:p w14:paraId="0B888FA6"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10FB9A7D" w14:textId="77777777" w:rsidR="00D63B70" w:rsidRPr="006D52A9" w:rsidRDefault="00D63B70" w:rsidP="00D63B70">
            <w:pPr>
              <w:rPr>
                <w:rFonts w:ascii="Arial" w:hAnsi="Arial" w:cs="Arial"/>
                <w:sz w:val="16"/>
                <w:szCs w:val="16"/>
              </w:rPr>
            </w:pPr>
          </w:p>
        </w:tc>
        <w:tc>
          <w:tcPr>
            <w:tcW w:w="499" w:type="pct"/>
          </w:tcPr>
          <w:p w14:paraId="1F627651"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F61D12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A48960E" w14:textId="77777777" w:rsidTr="00A91628">
        <w:tblPrEx>
          <w:tblBorders>
            <w:top w:val="single" w:sz="4" w:space="0" w:color="auto"/>
          </w:tblBorders>
        </w:tblPrEx>
        <w:trPr>
          <w:cantSplit/>
          <w:tblCellSpacing w:w="22" w:type="dxa"/>
        </w:trPr>
        <w:tc>
          <w:tcPr>
            <w:tcW w:w="508" w:type="pct"/>
          </w:tcPr>
          <w:p w14:paraId="7D251206" w14:textId="77777777" w:rsidR="00D63B70" w:rsidRPr="006D52A9" w:rsidRDefault="00D63B70" w:rsidP="00D63B70">
            <w:pPr>
              <w:rPr>
                <w:rFonts w:ascii="Arial" w:hAnsi="Arial" w:cs="Arial"/>
                <w:sz w:val="16"/>
                <w:szCs w:val="16"/>
              </w:rPr>
            </w:pPr>
          </w:p>
        </w:tc>
        <w:tc>
          <w:tcPr>
            <w:tcW w:w="943" w:type="pct"/>
          </w:tcPr>
          <w:p w14:paraId="1231588F" w14:textId="77777777" w:rsidR="00D63B70" w:rsidRPr="006D52A9" w:rsidRDefault="00D63B70" w:rsidP="00D63B70">
            <w:pPr>
              <w:rPr>
                <w:rFonts w:ascii="Arial" w:hAnsi="Arial" w:cs="Arial"/>
                <w:sz w:val="16"/>
                <w:szCs w:val="16"/>
              </w:rPr>
            </w:pPr>
          </w:p>
        </w:tc>
        <w:tc>
          <w:tcPr>
            <w:tcW w:w="540" w:type="pct"/>
          </w:tcPr>
          <w:p w14:paraId="0A1F1A7A" w14:textId="77777777" w:rsidR="00D63B70" w:rsidRPr="006D52A9" w:rsidRDefault="00D63B70" w:rsidP="00D63B70">
            <w:pPr>
              <w:rPr>
                <w:rFonts w:ascii="Arial" w:hAnsi="Arial" w:cs="Arial"/>
                <w:sz w:val="16"/>
                <w:szCs w:val="16"/>
              </w:rPr>
            </w:pPr>
          </w:p>
        </w:tc>
        <w:tc>
          <w:tcPr>
            <w:tcW w:w="591" w:type="pct"/>
          </w:tcPr>
          <w:p w14:paraId="66477A75"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RBX</w:t>
            </w:r>
          </w:p>
        </w:tc>
        <w:tc>
          <w:tcPr>
            <w:tcW w:w="894" w:type="pct"/>
          </w:tcPr>
          <w:p w14:paraId="5F31C6EC"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13A94592" w14:textId="77777777" w:rsidR="00D63B70" w:rsidRPr="006D52A9" w:rsidRDefault="00D63B70" w:rsidP="00D63B70">
            <w:pPr>
              <w:rPr>
                <w:rFonts w:ascii="Arial" w:hAnsi="Arial" w:cs="Arial"/>
                <w:sz w:val="16"/>
                <w:szCs w:val="16"/>
              </w:rPr>
            </w:pPr>
          </w:p>
        </w:tc>
        <w:tc>
          <w:tcPr>
            <w:tcW w:w="499" w:type="pct"/>
          </w:tcPr>
          <w:p w14:paraId="5FDEB2DA"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D80339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ECD3BB3" w14:textId="77777777" w:rsidTr="00A91628">
        <w:tblPrEx>
          <w:tblBorders>
            <w:top w:val="single" w:sz="4" w:space="0" w:color="auto"/>
          </w:tblBorders>
        </w:tblPrEx>
        <w:trPr>
          <w:cantSplit/>
          <w:tblCellSpacing w:w="22" w:type="dxa"/>
        </w:trPr>
        <w:tc>
          <w:tcPr>
            <w:tcW w:w="508" w:type="pct"/>
          </w:tcPr>
          <w:p w14:paraId="0DB15B59" w14:textId="77777777" w:rsidR="00D63B70" w:rsidRPr="006D52A9" w:rsidRDefault="00D63B70" w:rsidP="00D63B70">
            <w:pPr>
              <w:rPr>
                <w:rFonts w:ascii="Arial" w:hAnsi="Arial" w:cs="Arial"/>
                <w:sz w:val="16"/>
                <w:szCs w:val="16"/>
              </w:rPr>
            </w:pPr>
          </w:p>
        </w:tc>
        <w:tc>
          <w:tcPr>
            <w:tcW w:w="943" w:type="pct"/>
          </w:tcPr>
          <w:p w14:paraId="680A2B03" w14:textId="77777777" w:rsidR="00D63B70" w:rsidRPr="006D52A9" w:rsidRDefault="00D63B70" w:rsidP="00D63B70">
            <w:pPr>
              <w:rPr>
                <w:rFonts w:ascii="Arial" w:hAnsi="Arial" w:cs="Arial"/>
                <w:sz w:val="16"/>
                <w:szCs w:val="16"/>
              </w:rPr>
            </w:pPr>
          </w:p>
        </w:tc>
        <w:tc>
          <w:tcPr>
            <w:tcW w:w="540" w:type="pct"/>
          </w:tcPr>
          <w:p w14:paraId="69210F71" w14:textId="77777777" w:rsidR="00D63B70" w:rsidRPr="006D52A9" w:rsidRDefault="00D63B70" w:rsidP="00D63B70">
            <w:pPr>
              <w:rPr>
                <w:rFonts w:ascii="Arial" w:hAnsi="Arial" w:cs="Arial"/>
                <w:sz w:val="16"/>
                <w:szCs w:val="16"/>
              </w:rPr>
            </w:pPr>
          </w:p>
        </w:tc>
        <w:tc>
          <w:tcPr>
            <w:tcW w:w="591" w:type="pct"/>
          </w:tcPr>
          <w:p w14:paraId="345A5DD5" w14:textId="77777777" w:rsidR="00D63B70" w:rsidRPr="006D52A9" w:rsidRDefault="00D63B70" w:rsidP="00D63B70">
            <w:pPr>
              <w:rPr>
                <w:rFonts w:ascii="Arial" w:hAnsi="Arial" w:cs="Arial"/>
                <w:sz w:val="16"/>
                <w:szCs w:val="16"/>
              </w:rPr>
            </w:pPr>
            <w:r w:rsidRPr="006D52A9">
              <w:rPr>
                <w:rFonts w:ascii="Arial" w:hAnsi="Arial" w:cs="Arial"/>
                <w:sz w:val="16"/>
                <w:szCs w:val="16"/>
              </w:rPr>
              <w:t>Entecavir Sandoz</w:t>
            </w:r>
          </w:p>
        </w:tc>
        <w:tc>
          <w:tcPr>
            <w:tcW w:w="894" w:type="pct"/>
          </w:tcPr>
          <w:p w14:paraId="09CE90EB"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549A475C" w14:textId="77777777" w:rsidR="00D63B70" w:rsidRPr="006D52A9" w:rsidRDefault="00D63B70" w:rsidP="00D63B70">
            <w:pPr>
              <w:rPr>
                <w:rFonts w:ascii="Arial" w:hAnsi="Arial" w:cs="Arial"/>
                <w:sz w:val="16"/>
                <w:szCs w:val="16"/>
              </w:rPr>
            </w:pPr>
          </w:p>
        </w:tc>
        <w:tc>
          <w:tcPr>
            <w:tcW w:w="499" w:type="pct"/>
          </w:tcPr>
          <w:p w14:paraId="3DB072E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53509F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584BDB4" w14:textId="77777777" w:rsidTr="00A91628">
        <w:tblPrEx>
          <w:tblBorders>
            <w:top w:val="single" w:sz="4" w:space="0" w:color="auto"/>
          </w:tblBorders>
        </w:tblPrEx>
        <w:trPr>
          <w:cantSplit/>
          <w:tblCellSpacing w:w="22" w:type="dxa"/>
        </w:trPr>
        <w:tc>
          <w:tcPr>
            <w:tcW w:w="508" w:type="pct"/>
          </w:tcPr>
          <w:p w14:paraId="3278277B" w14:textId="77777777" w:rsidR="00D63B70" w:rsidRPr="006D52A9" w:rsidRDefault="00D63B70" w:rsidP="00D63B70">
            <w:pPr>
              <w:rPr>
                <w:rFonts w:ascii="Arial" w:hAnsi="Arial" w:cs="Arial"/>
                <w:sz w:val="16"/>
                <w:szCs w:val="16"/>
              </w:rPr>
            </w:pPr>
          </w:p>
        </w:tc>
        <w:tc>
          <w:tcPr>
            <w:tcW w:w="943" w:type="pct"/>
          </w:tcPr>
          <w:p w14:paraId="468F7146" w14:textId="77777777" w:rsidR="00D63B70" w:rsidRPr="006D52A9" w:rsidRDefault="00D63B70" w:rsidP="00D63B70">
            <w:pPr>
              <w:rPr>
                <w:rFonts w:ascii="Arial" w:hAnsi="Arial" w:cs="Arial"/>
                <w:sz w:val="16"/>
                <w:szCs w:val="16"/>
              </w:rPr>
            </w:pPr>
          </w:p>
        </w:tc>
        <w:tc>
          <w:tcPr>
            <w:tcW w:w="540" w:type="pct"/>
          </w:tcPr>
          <w:p w14:paraId="07F9713C" w14:textId="77777777" w:rsidR="00D63B70" w:rsidRPr="006D52A9" w:rsidRDefault="00D63B70" w:rsidP="00D63B70">
            <w:pPr>
              <w:rPr>
                <w:rFonts w:ascii="Arial" w:hAnsi="Arial" w:cs="Arial"/>
                <w:sz w:val="16"/>
                <w:szCs w:val="16"/>
              </w:rPr>
            </w:pPr>
          </w:p>
        </w:tc>
        <w:tc>
          <w:tcPr>
            <w:tcW w:w="591" w:type="pct"/>
          </w:tcPr>
          <w:p w14:paraId="0779C65E" w14:textId="77777777" w:rsidR="00D63B70" w:rsidRPr="006D52A9" w:rsidRDefault="00D63B70" w:rsidP="00D63B70">
            <w:pPr>
              <w:rPr>
                <w:rFonts w:ascii="Arial" w:hAnsi="Arial" w:cs="Arial"/>
                <w:sz w:val="16"/>
                <w:szCs w:val="16"/>
              </w:rPr>
            </w:pPr>
            <w:r w:rsidRPr="006D52A9">
              <w:rPr>
                <w:rFonts w:ascii="Arial" w:hAnsi="Arial" w:cs="Arial"/>
                <w:sz w:val="16"/>
                <w:szCs w:val="16"/>
              </w:rPr>
              <w:t>ENTECLUDE</w:t>
            </w:r>
          </w:p>
        </w:tc>
        <w:tc>
          <w:tcPr>
            <w:tcW w:w="894" w:type="pct"/>
          </w:tcPr>
          <w:p w14:paraId="65BBC722" w14:textId="77777777" w:rsidR="00D63B70" w:rsidRPr="006D52A9" w:rsidRDefault="00D63B70" w:rsidP="00D63B70">
            <w:pPr>
              <w:rPr>
                <w:rFonts w:ascii="Arial" w:hAnsi="Arial" w:cs="Arial"/>
                <w:sz w:val="16"/>
                <w:szCs w:val="16"/>
              </w:rPr>
            </w:pPr>
            <w:r w:rsidRPr="006D52A9">
              <w:rPr>
                <w:rFonts w:ascii="Arial" w:hAnsi="Arial" w:cs="Arial"/>
                <w:sz w:val="16"/>
                <w:szCs w:val="16"/>
              </w:rPr>
              <w:t>C5037 C5044</w:t>
            </w:r>
          </w:p>
        </w:tc>
        <w:tc>
          <w:tcPr>
            <w:tcW w:w="376" w:type="pct"/>
          </w:tcPr>
          <w:p w14:paraId="6FD34C06" w14:textId="77777777" w:rsidR="00D63B70" w:rsidRPr="006D52A9" w:rsidRDefault="00D63B70" w:rsidP="00D63B70">
            <w:pPr>
              <w:rPr>
                <w:rFonts w:ascii="Arial" w:hAnsi="Arial" w:cs="Arial"/>
                <w:sz w:val="16"/>
                <w:szCs w:val="16"/>
              </w:rPr>
            </w:pPr>
          </w:p>
        </w:tc>
        <w:tc>
          <w:tcPr>
            <w:tcW w:w="499" w:type="pct"/>
          </w:tcPr>
          <w:p w14:paraId="181878D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DE1ABB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78265B1" w14:textId="77777777" w:rsidTr="00A91628">
        <w:tblPrEx>
          <w:tblBorders>
            <w:top w:val="single" w:sz="4" w:space="0" w:color="auto"/>
          </w:tblBorders>
        </w:tblPrEx>
        <w:trPr>
          <w:cantSplit/>
          <w:tblCellSpacing w:w="22" w:type="dxa"/>
        </w:trPr>
        <w:tc>
          <w:tcPr>
            <w:tcW w:w="508" w:type="pct"/>
          </w:tcPr>
          <w:p w14:paraId="606E8DE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lastRenderedPageBreak/>
              <w:t>Epoetin Alfa</w:t>
            </w:r>
          </w:p>
        </w:tc>
        <w:tc>
          <w:tcPr>
            <w:tcW w:w="943" w:type="pct"/>
          </w:tcPr>
          <w:p w14:paraId="0C471697"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 1,000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E3A4466"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3C5EB09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Eprex 1000</w:t>
            </w:r>
          </w:p>
        </w:tc>
        <w:tc>
          <w:tcPr>
            <w:tcW w:w="894" w:type="pct"/>
          </w:tcPr>
          <w:p w14:paraId="17AA02F4"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703FF98B" w14:textId="77777777" w:rsidR="00D63B70" w:rsidRPr="006D52A9" w:rsidRDefault="00D63B70" w:rsidP="00D63B70">
            <w:pPr>
              <w:keepNext/>
              <w:rPr>
                <w:rFonts w:ascii="Arial" w:hAnsi="Arial" w:cs="Arial"/>
                <w:sz w:val="16"/>
                <w:szCs w:val="16"/>
              </w:rPr>
            </w:pPr>
          </w:p>
        </w:tc>
        <w:tc>
          <w:tcPr>
            <w:tcW w:w="499" w:type="pct"/>
          </w:tcPr>
          <w:p w14:paraId="61553E7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12</w:t>
            </w:r>
          </w:p>
        </w:tc>
        <w:tc>
          <w:tcPr>
            <w:tcW w:w="502" w:type="pct"/>
          </w:tcPr>
          <w:p w14:paraId="1E49FD2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239FC353" w14:textId="77777777" w:rsidTr="00A91628">
        <w:tblPrEx>
          <w:tblBorders>
            <w:top w:val="single" w:sz="4" w:space="0" w:color="auto"/>
          </w:tblBorders>
        </w:tblPrEx>
        <w:trPr>
          <w:cantSplit/>
          <w:tblCellSpacing w:w="22" w:type="dxa"/>
        </w:trPr>
        <w:tc>
          <w:tcPr>
            <w:tcW w:w="508" w:type="pct"/>
          </w:tcPr>
          <w:p w14:paraId="0083EF93" w14:textId="77777777" w:rsidR="00D63B70" w:rsidRPr="006D52A9" w:rsidRDefault="00D63B70" w:rsidP="00D63B70">
            <w:pPr>
              <w:keepNext/>
              <w:rPr>
                <w:rFonts w:ascii="Arial" w:hAnsi="Arial" w:cs="Arial"/>
                <w:sz w:val="16"/>
                <w:szCs w:val="16"/>
              </w:rPr>
            </w:pPr>
          </w:p>
        </w:tc>
        <w:tc>
          <w:tcPr>
            <w:tcW w:w="943" w:type="pct"/>
          </w:tcPr>
          <w:p w14:paraId="608A9DB0"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 2,000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0D04720"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114561E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Eprex 2000</w:t>
            </w:r>
          </w:p>
        </w:tc>
        <w:tc>
          <w:tcPr>
            <w:tcW w:w="894" w:type="pct"/>
          </w:tcPr>
          <w:p w14:paraId="2DCAAFFE"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53CE7685" w14:textId="77777777" w:rsidR="00D63B70" w:rsidRPr="006D52A9" w:rsidRDefault="00D63B70" w:rsidP="00D63B70">
            <w:pPr>
              <w:keepNext/>
              <w:rPr>
                <w:rFonts w:ascii="Arial" w:hAnsi="Arial" w:cs="Arial"/>
                <w:sz w:val="16"/>
                <w:szCs w:val="16"/>
              </w:rPr>
            </w:pPr>
          </w:p>
        </w:tc>
        <w:tc>
          <w:tcPr>
            <w:tcW w:w="499" w:type="pct"/>
          </w:tcPr>
          <w:p w14:paraId="32A59E97"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12</w:t>
            </w:r>
          </w:p>
        </w:tc>
        <w:tc>
          <w:tcPr>
            <w:tcW w:w="502" w:type="pct"/>
          </w:tcPr>
          <w:p w14:paraId="16C1CB4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7350CDDE" w14:textId="77777777" w:rsidTr="00A91628">
        <w:tblPrEx>
          <w:tblBorders>
            <w:top w:val="single" w:sz="4" w:space="0" w:color="auto"/>
          </w:tblBorders>
        </w:tblPrEx>
        <w:trPr>
          <w:cantSplit/>
          <w:tblCellSpacing w:w="22" w:type="dxa"/>
        </w:trPr>
        <w:tc>
          <w:tcPr>
            <w:tcW w:w="508" w:type="pct"/>
          </w:tcPr>
          <w:p w14:paraId="431515E7" w14:textId="77777777" w:rsidR="00D63B70" w:rsidRPr="006D52A9" w:rsidRDefault="00D63B70" w:rsidP="00D63B70">
            <w:pPr>
              <w:rPr>
                <w:rFonts w:ascii="Arial" w:hAnsi="Arial" w:cs="Arial"/>
                <w:sz w:val="16"/>
                <w:szCs w:val="16"/>
              </w:rPr>
            </w:pPr>
          </w:p>
        </w:tc>
        <w:tc>
          <w:tcPr>
            <w:tcW w:w="943" w:type="pct"/>
          </w:tcPr>
          <w:p w14:paraId="1AF6151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3,000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6D93C27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898F28D" w14:textId="77777777" w:rsidR="00D63B70" w:rsidRPr="006D52A9" w:rsidRDefault="00D63B70" w:rsidP="00D63B70">
            <w:pPr>
              <w:rPr>
                <w:rFonts w:ascii="Arial" w:hAnsi="Arial" w:cs="Arial"/>
                <w:sz w:val="16"/>
                <w:szCs w:val="16"/>
              </w:rPr>
            </w:pPr>
            <w:r w:rsidRPr="006D52A9">
              <w:rPr>
                <w:rFonts w:ascii="Arial" w:hAnsi="Arial" w:cs="Arial"/>
                <w:sz w:val="16"/>
                <w:szCs w:val="16"/>
              </w:rPr>
              <w:t>Eprex 3000</w:t>
            </w:r>
          </w:p>
        </w:tc>
        <w:tc>
          <w:tcPr>
            <w:tcW w:w="894" w:type="pct"/>
          </w:tcPr>
          <w:p w14:paraId="7E9DED7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0BAB5A01" w14:textId="77777777" w:rsidR="00D63B70" w:rsidRPr="006D52A9" w:rsidRDefault="00D63B70" w:rsidP="00D63B70">
            <w:pPr>
              <w:rPr>
                <w:rFonts w:ascii="Arial" w:hAnsi="Arial" w:cs="Arial"/>
                <w:sz w:val="16"/>
                <w:szCs w:val="16"/>
              </w:rPr>
            </w:pPr>
          </w:p>
        </w:tc>
        <w:tc>
          <w:tcPr>
            <w:tcW w:w="499" w:type="pct"/>
          </w:tcPr>
          <w:p w14:paraId="47A88A57"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7D00B5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6115EB6" w14:textId="77777777" w:rsidTr="00A91628">
        <w:tblPrEx>
          <w:tblBorders>
            <w:top w:val="single" w:sz="4" w:space="0" w:color="auto"/>
          </w:tblBorders>
        </w:tblPrEx>
        <w:trPr>
          <w:cantSplit/>
          <w:tblCellSpacing w:w="22" w:type="dxa"/>
        </w:trPr>
        <w:tc>
          <w:tcPr>
            <w:tcW w:w="508" w:type="pct"/>
          </w:tcPr>
          <w:p w14:paraId="7DF6AABE" w14:textId="77777777" w:rsidR="00D63B70" w:rsidRPr="006D52A9" w:rsidRDefault="00D63B70" w:rsidP="00D63B70">
            <w:pPr>
              <w:rPr>
                <w:rFonts w:ascii="Arial" w:hAnsi="Arial" w:cs="Arial"/>
                <w:sz w:val="16"/>
                <w:szCs w:val="16"/>
              </w:rPr>
            </w:pPr>
          </w:p>
        </w:tc>
        <w:tc>
          <w:tcPr>
            <w:tcW w:w="943" w:type="pct"/>
          </w:tcPr>
          <w:p w14:paraId="7B0126D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4,000 units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63C14F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9FE3D18" w14:textId="77777777" w:rsidR="00D63B70" w:rsidRPr="006D52A9" w:rsidRDefault="00D63B70" w:rsidP="00D63B70">
            <w:pPr>
              <w:rPr>
                <w:rFonts w:ascii="Arial" w:hAnsi="Arial" w:cs="Arial"/>
                <w:sz w:val="16"/>
                <w:szCs w:val="16"/>
              </w:rPr>
            </w:pPr>
            <w:r w:rsidRPr="006D52A9">
              <w:rPr>
                <w:rFonts w:ascii="Arial" w:hAnsi="Arial" w:cs="Arial"/>
                <w:sz w:val="16"/>
                <w:szCs w:val="16"/>
              </w:rPr>
              <w:t>Eprex 4000</w:t>
            </w:r>
          </w:p>
        </w:tc>
        <w:tc>
          <w:tcPr>
            <w:tcW w:w="894" w:type="pct"/>
          </w:tcPr>
          <w:p w14:paraId="297AC66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 xml:space="preserve">C6294 C9688 </w:t>
            </w:r>
          </w:p>
        </w:tc>
        <w:tc>
          <w:tcPr>
            <w:tcW w:w="376" w:type="pct"/>
          </w:tcPr>
          <w:p w14:paraId="661AC4B8" w14:textId="77777777" w:rsidR="00D63B70" w:rsidRPr="006D52A9" w:rsidRDefault="00D63B70" w:rsidP="00D63B70">
            <w:pPr>
              <w:rPr>
                <w:rFonts w:ascii="Arial" w:hAnsi="Arial" w:cs="Arial"/>
                <w:sz w:val="16"/>
                <w:szCs w:val="16"/>
              </w:rPr>
            </w:pPr>
          </w:p>
        </w:tc>
        <w:tc>
          <w:tcPr>
            <w:tcW w:w="499" w:type="pct"/>
          </w:tcPr>
          <w:p w14:paraId="2BF9BC7C"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6C09B4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038B259" w14:textId="77777777" w:rsidTr="00A91628">
        <w:tblPrEx>
          <w:tblBorders>
            <w:top w:val="single" w:sz="4" w:space="0" w:color="auto"/>
          </w:tblBorders>
        </w:tblPrEx>
        <w:trPr>
          <w:cantSplit/>
          <w:tblCellSpacing w:w="22" w:type="dxa"/>
        </w:trPr>
        <w:tc>
          <w:tcPr>
            <w:tcW w:w="508" w:type="pct"/>
          </w:tcPr>
          <w:p w14:paraId="236B523F" w14:textId="77777777" w:rsidR="00D63B70" w:rsidRPr="006D52A9" w:rsidRDefault="00D63B70" w:rsidP="00D63B70">
            <w:pPr>
              <w:rPr>
                <w:rFonts w:ascii="Arial" w:hAnsi="Arial" w:cs="Arial"/>
                <w:sz w:val="16"/>
                <w:szCs w:val="16"/>
              </w:rPr>
            </w:pPr>
          </w:p>
        </w:tc>
        <w:tc>
          <w:tcPr>
            <w:tcW w:w="943" w:type="pct"/>
          </w:tcPr>
          <w:p w14:paraId="673F047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79B314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7BF62A4" w14:textId="77777777" w:rsidR="00D63B70" w:rsidRPr="006D52A9" w:rsidRDefault="00D63B70" w:rsidP="00D63B70">
            <w:pPr>
              <w:rPr>
                <w:rFonts w:ascii="Arial" w:hAnsi="Arial" w:cs="Arial"/>
                <w:sz w:val="16"/>
                <w:szCs w:val="16"/>
              </w:rPr>
            </w:pPr>
            <w:r w:rsidRPr="006D52A9">
              <w:rPr>
                <w:rFonts w:ascii="Arial" w:hAnsi="Arial" w:cs="Arial"/>
                <w:sz w:val="16"/>
                <w:szCs w:val="16"/>
              </w:rPr>
              <w:t>Eprex 5000</w:t>
            </w:r>
          </w:p>
        </w:tc>
        <w:tc>
          <w:tcPr>
            <w:tcW w:w="894" w:type="pct"/>
          </w:tcPr>
          <w:p w14:paraId="2437F73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1214817B" w14:textId="77777777" w:rsidR="00D63B70" w:rsidRPr="006D52A9" w:rsidRDefault="00D63B70" w:rsidP="00D63B70">
            <w:pPr>
              <w:rPr>
                <w:rFonts w:ascii="Arial" w:hAnsi="Arial" w:cs="Arial"/>
                <w:sz w:val="16"/>
                <w:szCs w:val="16"/>
              </w:rPr>
            </w:pPr>
          </w:p>
        </w:tc>
        <w:tc>
          <w:tcPr>
            <w:tcW w:w="499" w:type="pct"/>
          </w:tcPr>
          <w:p w14:paraId="37B80681"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9DE4CE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19DF7A0" w14:textId="77777777" w:rsidTr="00A91628">
        <w:tblPrEx>
          <w:tblBorders>
            <w:top w:val="single" w:sz="4" w:space="0" w:color="auto"/>
          </w:tblBorders>
        </w:tblPrEx>
        <w:trPr>
          <w:cantSplit/>
          <w:tblCellSpacing w:w="22" w:type="dxa"/>
        </w:trPr>
        <w:tc>
          <w:tcPr>
            <w:tcW w:w="508" w:type="pct"/>
          </w:tcPr>
          <w:p w14:paraId="2A1EF346" w14:textId="77777777" w:rsidR="00D63B70" w:rsidRPr="006D52A9" w:rsidRDefault="00D63B70" w:rsidP="00D63B70">
            <w:pPr>
              <w:rPr>
                <w:rFonts w:ascii="Arial" w:hAnsi="Arial" w:cs="Arial"/>
                <w:sz w:val="16"/>
                <w:szCs w:val="16"/>
              </w:rPr>
            </w:pPr>
          </w:p>
        </w:tc>
        <w:tc>
          <w:tcPr>
            <w:tcW w:w="943" w:type="pct"/>
          </w:tcPr>
          <w:p w14:paraId="0067905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6,000 units in 0.6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2018E6C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65AD262" w14:textId="77777777" w:rsidR="00D63B70" w:rsidRPr="006D52A9" w:rsidRDefault="00D63B70" w:rsidP="00D63B70">
            <w:pPr>
              <w:rPr>
                <w:rFonts w:ascii="Arial" w:hAnsi="Arial" w:cs="Arial"/>
                <w:sz w:val="16"/>
                <w:szCs w:val="16"/>
              </w:rPr>
            </w:pPr>
            <w:r w:rsidRPr="006D52A9">
              <w:rPr>
                <w:rFonts w:ascii="Arial" w:hAnsi="Arial" w:cs="Arial"/>
                <w:sz w:val="16"/>
                <w:szCs w:val="16"/>
              </w:rPr>
              <w:t>Eprex 6000</w:t>
            </w:r>
          </w:p>
        </w:tc>
        <w:tc>
          <w:tcPr>
            <w:tcW w:w="894" w:type="pct"/>
          </w:tcPr>
          <w:p w14:paraId="1546039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3A05B4B7" w14:textId="77777777" w:rsidR="00D63B70" w:rsidRPr="006D52A9" w:rsidRDefault="00D63B70" w:rsidP="00D63B70">
            <w:pPr>
              <w:rPr>
                <w:rFonts w:ascii="Arial" w:hAnsi="Arial" w:cs="Arial"/>
                <w:sz w:val="16"/>
                <w:szCs w:val="16"/>
              </w:rPr>
            </w:pPr>
          </w:p>
        </w:tc>
        <w:tc>
          <w:tcPr>
            <w:tcW w:w="499" w:type="pct"/>
          </w:tcPr>
          <w:p w14:paraId="07F2B50A"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0517EAF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69636F7" w14:textId="77777777" w:rsidTr="00A91628">
        <w:tblPrEx>
          <w:tblBorders>
            <w:top w:val="single" w:sz="4" w:space="0" w:color="auto"/>
          </w:tblBorders>
        </w:tblPrEx>
        <w:trPr>
          <w:cantSplit/>
          <w:tblCellSpacing w:w="22" w:type="dxa"/>
        </w:trPr>
        <w:tc>
          <w:tcPr>
            <w:tcW w:w="508" w:type="pct"/>
          </w:tcPr>
          <w:p w14:paraId="24316C33" w14:textId="77777777" w:rsidR="00D63B70" w:rsidRPr="006D52A9" w:rsidRDefault="00D63B70" w:rsidP="00D63B70">
            <w:pPr>
              <w:rPr>
                <w:rFonts w:ascii="Arial" w:hAnsi="Arial" w:cs="Arial"/>
                <w:sz w:val="16"/>
                <w:szCs w:val="16"/>
              </w:rPr>
            </w:pPr>
          </w:p>
        </w:tc>
        <w:tc>
          <w:tcPr>
            <w:tcW w:w="943" w:type="pct"/>
          </w:tcPr>
          <w:p w14:paraId="1710A76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8,000 units in 0.8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4F3460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3D2DC7E" w14:textId="77777777" w:rsidR="00D63B70" w:rsidRPr="006D52A9" w:rsidRDefault="00D63B70" w:rsidP="00D63B70">
            <w:pPr>
              <w:rPr>
                <w:rFonts w:ascii="Arial" w:hAnsi="Arial" w:cs="Arial"/>
                <w:sz w:val="16"/>
                <w:szCs w:val="16"/>
              </w:rPr>
            </w:pPr>
            <w:r w:rsidRPr="006D52A9">
              <w:rPr>
                <w:rFonts w:ascii="Arial" w:hAnsi="Arial" w:cs="Arial"/>
                <w:sz w:val="16"/>
                <w:szCs w:val="16"/>
              </w:rPr>
              <w:t>Eprex 8000</w:t>
            </w:r>
          </w:p>
        </w:tc>
        <w:tc>
          <w:tcPr>
            <w:tcW w:w="894" w:type="pct"/>
          </w:tcPr>
          <w:p w14:paraId="3B618A6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2806F625" w14:textId="77777777" w:rsidR="00D63B70" w:rsidRPr="006D52A9" w:rsidRDefault="00D63B70" w:rsidP="00D63B70">
            <w:pPr>
              <w:rPr>
                <w:rFonts w:ascii="Arial" w:hAnsi="Arial" w:cs="Arial"/>
                <w:sz w:val="16"/>
                <w:szCs w:val="16"/>
              </w:rPr>
            </w:pPr>
          </w:p>
        </w:tc>
        <w:tc>
          <w:tcPr>
            <w:tcW w:w="499" w:type="pct"/>
          </w:tcPr>
          <w:p w14:paraId="2E1DBEC9"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462CFA9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EA132E7" w14:textId="77777777" w:rsidTr="00A91628">
        <w:tblPrEx>
          <w:tblBorders>
            <w:top w:val="single" w:sz="4" w:space="0" w:color="auto"/>
          </w:tblBorders>
        </w:tblPrEx>
        <w:trPr>
          <w:cantSplit/>
          <w:tblCellSpacing w:w="22" w:type="dxa"/>
        </w:trPr>
        <w:tc>
          <w:tcPr>
            <w:tcW w:w="508" w:type="pct"/>
          </w:tcPr>
          <w:p w14:paraId="0BC77FD8" w14:textId="77777777" w:rsidR="00D63B70" w:rsidRPr="006D52A9" w:rsidRDefault="00D63B70" w:rsidP="00D63B70">
            <w:pPr>
              <w:rPr>
                <w:rFonts w:ascii="Arial" w:hAnsi="Arial" w:cs="Arial"/>
                <w:sz w:val="16"/>
                <w:szCs w:val="16"/>
              </w:rPr>
            </w:pPr>
          </w:p>
        </w:tc>
        <w:tc>
          <w:tcPr>
            <w:tcW w:w="943" w:type="pct"/>
          </w:tcPr>
          <w:p w14:paraId="7F803A5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10,000 units in 1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54AF04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6F09128" w14:textId="77777777" w:rsidR="00D63B70" w:rsidRPr="006D52A9" w:rsidRDefault="00D63B70" w:rsidP="00D63B70">
            <w:pPr>
              <w:rPr>
                <w:rFonts w:ascii="Arial" w:hAnsi="Arial" w:cs="Arial"/>
                <w:sz w:val="16"/>
                <w:szCs w:val="16"/>
              </w:rPr>
            </w:pPr>
            <w:r w:rsidRPr="006D52A9">
              <w:rPr>
                <w:rFonts w:ascii="Arial" w:hAnsi="Arial" w:cs="Arial"/>
                <w:sz w:val="16"/>
                <w:szCs w:val="16"/>
              </w:rPr>
              <w:t>Eprex 10000</w:t>
            </w:r>
          </w:p>
        </w:tc>
        <w:tc>
          <w:tcPr>
            <w:tcW w:w="894" w:type="pct"/>
          </w:tcPr>
          <w:p w14:paraId="65FDA2B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4E592C7D" w14:textId="77777777" w:rsidR="00D63B70" w:rsidRPr="006D52A9" w:rsidRDefault="00D63B70" w:rsidP="00D63B70">
            <w:pPr>
              <w:rPr>
                <w:rFonts w:ascii="Arial" w:hAnsi="Arial" w:cs="Arial"/>
                <w:sz w:val="16"/>
                <w:szCs w:val="16"/>
              </w:rPr>
            </w:pPr>
          </w:p>
        </w:tc>
        <w:tc>
          <w:tcPr>
            <w:tcW w:w="499" w:type="pct"/>
          </w:tcPr>
          <w:p w14:paraId="4E0C8C9A"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527ADDF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DD66001" w14:textId="77777777" w:rsidTr="00A91628">
        <w:tblPrEx>
          <w:tblBorders>
            <w:top w:val="single" w:sz="4" w:space="0" w:color="auto"/>
          </w:tblBorders>
        </w:tblPrEx>
        <w:trPr>
          <w:cantSplit/>
          <w:tblCellSpacing w:w="22" w:type="dxa"/>
        </w:trPr>
        <w:tc>
          <w:tcPr>
            <w:tcW w:w="508" w:type="pct"/>
          </w:tcPr>
          <w:p w14:paraId="192AA548" w14:textId="77777777" w:rsidR="00D63B70" w:rsidRPr="006D52A9" w:rsidRDefault="00D63B70" w:rsidP="00D63B70">
            <w:pPr>
              <w:rPr>
                <w:rFonts w:ascii="Arial" w:hAnsi="Arial" w:cs="Arial"/>
                <w:sz w:val="16"/>
                <w:szCs w:val="16"/>
              </w:rPr>
            </w:pPr>
          </w:p>
        </w:tc>
        <w:tc>
          <w:tcPr>
            <w:tcW w:w="943" w:type="pct"/>
          </w:tcPr>
          <w:p w14:paraId="14137B1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A65390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84AADEC" w14:textId="77777777" w:rsidR="00D63B70" w:rsidRPr="006D52A9" w:rsidRDefault="00D63B70" w:rsidP="00D63B70">
            <w:pPr>
              <w:rPr>
                <w:rFonts w:ascii="Arial" w:hAnsi="Arial" w:cs="Arial"/>
                <w:sz w:val="16"/>
                <w:szCs w:val="16"/>
              </w:rPr>
            </w:pPr>
            <w:r w:rsidRPr="006D52A9">
              <w:rPr>
                <w:rFonts w:ascii="Arial" w:hAnsi="Arial" w:cs="Arial"/>
                <w:sz w:val="16"/>
                <w:szCs w:val="16"/>
              </w:rPr>
              <w:t>Eprex 20,000</w:t>
            </w:r>
          </w:p>
        </w:tc>
        <w:tc>
          <w:tcPr>
            <w:tcW w:w="894" w:type="pct"/>
          </w:tcPr>
          <w:p w14:paraId="53FEF66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77407635" w14:textId="77777777" w:rsidR="00D63B70" w:rsidRPr="006D52A9" w:rsidRDefault="00D63B70" w:rsidP="00D63B70">
            <w:pPr>
              <w:rPr>
                <w:rFonts w:ascii="Arial" w:hAnsi="Arial" w:cs="Arial"/>
                <w:sz w:val="16"/>
                <w:szCs w:val="16"/>
              </w:rPr>
            </w:pPr>
          </w:p>
        </w:tc>
        <w:tc>
          <w:tcPr>
            <w:tcW w:w="499" w:type="pct"/>
          </w:tcPr>
          <w:p w14:paraId="7F03BB72"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4D3B0FB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2A6DEB9" w14:textId="77777777" w:rsidTr="00A91628">
        <w:tblPrEx>
          <w:tblBorders>
            <w:top w:val="single" w:sz="4" w:space="0" w:color="auto"/>
          </w:tblBorders>
        </w:tblPrEx>
        <w:trPr>
          <w:cantSplit/>
          <w:tblCellSpacing w:w="22" w:type="dxa"/>
        </w:trPr>
        <w:tc>
          <w:tcPr>
            <w:tcW w:w="508" w:type="pct"/>
          </w:tcPr>
          <w:p w14:paraId="542DEA9E" w14:textId="77777777" w:rsidR="00D63B70" w:rsidRPr="006D52A9" w:rsidRDefault="00D63B70" w:rsidP="00D63B70">
            <w:pPr>
              <w:rPr>
                <w:rFonts w:ascii="Arial" w:hAnsi="Arial" w:cs="Arial"/>
                <w:sz w:val="16"/>
                <w:szCs w:val="16"/>
              </w:rPr>
            </w:pPr>
          </w:p>
        </w:tc>
        <w:tc>
          <w:tcPr>
            <w:tcW w:w="943" w:type="pct"/>
          </w:tcPr>
          <w:p w14:paraId="008E8AB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40,000 units in 1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76D383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4139C95" w14:textId="77777777" w:rsidR="00D63B70" w:rsidRPr="006D52A9" w:rsidRDefault="00D63B70" w:rsidP="00D63B70">
            <w:pPr>
              <w:rPr>
                <w:rFonts w:ascii="Arial" w:hAnsi="Arial" w:cs="Arial"/>
                <w:sz w:val="16"/>
                <w:szCs w:val="16"/>
              </w:rPr>
            </w:pPr>
            <w:r w:rsidRPr="006D52A9">
              <w:rPr>
                <w:rFonts w:ascii="Arial" w:hAnsi="Arial" w:cs="Arial"/>
                <w:sz w:val="16"/>
                <w:szCs w:val="16"/>
              </w:rPr>
              <w:t>Eprex 40,000</w:t>
            </w:r>
          </w:p>
        </w:tc>
        <w:tc>
          <w:tcPr>
            <w:tcW w:w="894" w:type="pct"/>
          </w:tcPr>
          <w:p w14:paraId="6F6AE17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C6294 C9688</w:t>
            </w:r>
          </w:p>
        </w:tc>
        <w:tc>
          <w:tcPr>
            <w:tcW w:w="376" w:type="pct"/>
          </w:tcPr>
          <w:p w14:paraId="725843D5" w14:textId="77777777" w:rsidR="00D63B70" w:rsidRPr="006D52A9" w:rsidRDefault="00D63B70" w:rsidP="00D63B70">
            <w:pPr>
              <w:rPr>
                <w:rFonts w:ascii="Arial" w:hAnsi="Arial" w:cs="Arial"/>
                <w:sz w:val="16"/>
                <w:szCs w:val="16"/>
              </w:rPr>
            </w:pPr>
          </w:p>
        </w:tc>
        <w:tc>
          <w:tcPr>
            <w:tcW w:w="499" w:type="pct"/>
          </w:tcPr>
          <w:p w14:paraId="3F2F25CF"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0ECA518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D72C038" w14:textId="77777777" w:rsidTr="00A91628">
        <w:tblPrEx>
          <w:tblBorders>
            <w:top w:val="single" w:sz="4" w:space="0" w:color="auto"/>
          </w:tblBorders>
        </w:tblPrEx>
        <w:trPr>
          <w:cantSplit/>
          <w:tblCellSpacing w:w="22" w:type="dxa"/>
        </w:trPr>
        <w:tc>
          <w:tcPr>
            <w:tcW w:w="508" w:type="pct"/>
          </w:tcPr>
          <w:p w14:paraId="56BB0C8A" w14:textId="77777777" w:rsidR="00D63B70" w:rsidRPr="006D52A9" w:rsidRDefault="00D63B70" w:rsidP="00D63B70">
            <w:pPr>
              <w:rPr>
                <w:rFonts w:ascii="Arial" w:hAnsi="Arial" w:cs="Arial"/>
                <w:sz w:val="16"/>
                <w:szCs w:val="16"/>
              </w:rPr>
            </w:pPr>
            <w:r w:rsidRPr="006D52A9">
              <w:rPr>
                <w:rFonts w:ascii="Arial" w:hAnsi="Arial" w:cs="Arial"/>
                <w:sz w:val="16"/>
                <w:szCs w:val="16"/>
              </w:rPr>
              <w:t>Epoetin Beta</w:t>
            </w:r>
          </w:p>
        </w:tc>
        <w:tc>
          <w:tcPr>
            <w:tcW w:w="943" w:type="pct"/>
          </w:tcPr>
          <w:p w14:paraId="60DCDFD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484973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DAB18B0"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67DEF8BE"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FF984EF" w14:textId="77777777" w:rsidR="00D63B70" w:rsidRPr="006D52A9" w:rsidRDefault="00D63B70" w:rsidP="00D63B70">
            <w:pPr>
              <w:rPr>
                <w:rFonts w:ascii="Arial" w:hAnsi="Arial" w:cs="Arial"/>
                <w:sz w:val="16"/>
                <w:szCs w:val="16"/>
              </w:rPr>
            </w:pPr>
          </w:p>
        </w:tc>
        <w:tc>
          <w:tcPr>
            <w:tcW w:w="499" w:type="pct"/>
          </w:tcPr>
          <w:p w14:paraId="526DC4F3"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58298F7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05AD355" w14:textId="77777777" w:rsidTr="00A91628">
        <w:tblPrEx>
          <w:tblBorders>
            <w:top w:val="single" w:sz="4" w:space="0" w:color="auto"/>
          </w:tblBorders>
        </w:tblPrEx>
        <w:trPr>
          <w:cantSplit/>
          <w:tblCellSpacing w:w="22" w:type="dxa"/>
        </w:trPr>
        <w:tc>
          <w:tcPr>
            <w:tcW w:w="508" w:type="pct"/>
          </w:tcPr>
          <w:p w14:paraId="46451051" w14:textId="77777777" w:rsidR="00D63B70" w:rsidRPr="006D52A9" w:rsidRDefault="00D63B70" w:rsidP="00D63B70">
            <w:pPr>
              <w:rPr>
                <w:rFonts w:ascii="Arial" w:hAnsi="Arial" w:cs="Arial"/>
                <w:sz w:val="16"/>
                <w:szCs w:val="16"/>
              </w:rPr>
            </w:pPr>
          </w:p>
        </w:tc>
        <w:tc>
          <w:tcPr>
            <w:tcW w:w="943" w:type="pct"/>
          </w:tcPr>
          <w:p w14:paraId="628FC37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3,000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049EC5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EFBBB96"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4A58535E"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98309F3" w14:textId="77777777" w:rsidR="00D63B70" w:rsidRPr="006D52A9" w:rsidRDefault="00D63B70" w:rsidP="00D63B70">
            <w:pPr>
              <w:rPr>
                <w:rFonts w:ascii="Arial" w:hAnsi="Arial" w:cs="Arial"/>
                <w:sz w:val="16"/>
                <w:szCs w:val="16"/>
              </w:rPr>
            </w:pPr>
          </w:p>
        </w:tc>
        <w:tc>
          <w:tcPr>
            <w:tcW w:w="499" w:type="pct"/>
          </w:tcPr>
          <w:p w14:paraId="73219015"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69A1698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A107553" w14:textId="77777777" w:rsidTr="00A91628">
        <w:tblPrEx>
          <w:tblBorders>
            <w:top w:val="single" w:sz="4" w:space="0" w:color="auto"/>
          </w:tblBorders>
        </w:tblPrEx>
        <w:trPr>
          <w:cantSplit/>
          <w:tblCellSpacing w:w="22" w:type="dxa"/>
        </w:trPr>
        <w:tc>
          <w:tcPr>
            <w:tcW w:w="508" w:type="pct"/>
          </w:tcPr>
          <w:p w14:paraId="676A5BE9" w14:textId="77777777" w:rsidR="00D63B70" w:rsidRPr="006D52A9" w:rsidRDefault="00D63B70" w:rsidP="00D63B70">
            <w:pPr>
              <w:rPr>
                <w:rFonts w:ascii="Arial" w:hAnsi="Arial" w:cs="Arial"/>
                <w:sz w:val="16"/>
                <w:szCs w:val="16"/>
              </w:rPr>
            </w:pPr>
          </w:p>
        </w:tc>
        <w:tc>
          <w:tcPr>
            <w:tcW w:w="943" w:type="pct"/>
          </w:tcPr>
          <w:p w14:paraId="7654F98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4F64C0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7CF45D6"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15B723C6"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2DE40E2A" w14:textId="77777777" w:rsidR="00D63B70" w:rsidRPr="006D52A9" w:rsidRDefault="00D63B70" w:rsidP="00D63B70">
            <w:pPr>
              <w:rPr>
                <w:rFonts w:ascii="Arial" w:hAnsi="Arial" w:cs="Arial"/>
                <w:sz w:val="16"/>
                <w:szCs w:val="16"/>
              </w:rPr>
            </w:pPr>
          </w:p>
        </w:tc>
        <w:tc>
          <w:tcPr>
            <w:tcW w:w="499" w:type="pct"/>
          </w:tcPr>
          <w:p w14:paraId="210033AE"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1FCB6C8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8E776B4" w14:textId="77777777" w:rsidTr="00A91628">
        <w:tblPrEx>
          <w:tblBorders>
            <w:top w:val="single" w:sz="4" w:space="0" w:color="auto"/>
          </w:tblBorders>
        </w:tblPrEx>
        <w:trPr>
          <w:cantSplit/>
          <w:tblCellSpacing w:w="22" w:type="dxa"/>
        </w:trPr>
        <w:tc>
          <w:tcPr>
            <w:tcW w:w="508" w:type="pct"/>
          </w:tcPr>
          <w:p w14:paraId="4471E704" w14:textId="77777777" w:rsidR="00D63B70" w:rsidRPr="006D52A9" w:rsidRDefault="00D63B70" w:rsidP="00D63B70">
            <w:pPr>
              <w:rPr>
                <w:rFonts w:ascii="Arial" w:hAnsi="Arial" w:cs="Arial"/>
                <w:sz w:val="16"/>
                <w:szCs w:val="16"/>
              </w:rPr>
            </w:pPr>
          </w:p>
        </w:tc>
        <w:tc>
          <w:tcPr>
            <w:tcW w:w="943" w:type="pct"/>
          </w:tcPr>
          <w:p w14:paraId="60B8539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A6B276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BD3CE66"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27A1DE12"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07D1292A" w14:textId="77777777" w:rsidR="00D63B70" w:rsidRPr="006D52A9" w:rsidRDefault="00D63B70" w:rsidP="00D63B70">
            <w:pPr>
              <w:rPr>
                <w:rFonts w:ascii="Arial" w:hAnsi="Arial" w:cs="Arial"/>
                <w:sz w:val="16"/>
                <w:szCs w:val="16"/>
              </w:rPr>
            </w:pPr>
          </w:p>
        </w:tc>
        <w:tc>
          <w:tcPr>
            <w:tcW w:w="499" w:type="pct"/>
          </w:tcPr>
          <w:p w14:paraId="7E24F4D0"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6AD0D77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154A8D3" w14:textId="77777777" w:rsidTr="00A91628">
        <w:tblPrEx>
          <w:tblBorders>
            <w:top w:val="single" w:sz="4" w:space="0" w:color="auto"/>
          </w:tblBorders>
        </w:tblPrEx>
        <w:trPr>
          <w:cantSplit/>
          <w:tblCellSpacing w:w="22" w:type="dxa"/>
        </w:trPr>
        <w:tc>
          <w:tcPr>
            <w:tcW w:w="508" w:type="pct"/>
          </w:tcPr>
          <w:p w14:paraId="12C1BC52" w14:textId="77777777" w:rsidR="00D63B70" w:rsidRPr="006D52A9" w:rsidRDefault="00D63B70" w:rsidP="00D63B70">
            <w:pPr>
              <w:rPr>
                <w:rFonts w:ascii="Arial" w:hAnsi="Arial" w:cs="Arial"/>
                <w:sz w:val="16"/>
                <w:szCs w:val="16"/>
              </w:rPr>
            </w:pPr>
          </w:p>
        </w:tc>
        <w:tc>
          <w:tcPr>
            <w:tcW w:w="943" w:type="pct"/>
          </w:tcPr>
          <w:p w14:paraId="2D6262F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27B7B0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62B27C3"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00A13F7B"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450D0AC7" w14:textId="77777777" w:rsidR="00D63B70" w:rsidRPr="006D52A9" w:rsidRDefault="00D63B70" w:rsidP="00D63B70">
            <w:pPr>
              <w:rPr>
                <w:rFonts w:ascii="Arial" w:hAnsi="Arial" w:cs="Arial"/>
                <w:sz w:val="16"/>
                <w:szCs w:val="16"/>
              </w:rPr>
            </w:pPr>
          </w:p>
        </w:tc>
        <w:tc>
          <w:tcPr>
            <w:tcW w:w="499" w:type="pct"/>
          </w:tcPr>
          <w:p w14:paraId="20635DDF"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1F14F05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AA5F0C9" w14:textId="77777777" w:rsidTr="00A91628">
        <w:tblPrEx>
          <w:tblBorders>
            <w:top w:val="single" w:sz="4" w:space="0" w:color="auto"/>
          </w:tblBorders>
        </w:tblPrEx>
        <w:trPr>
          <w:cantSplit/>
          <w:tblCellSpacing w:w="22" w:type="dxa"/>
        </w:trPr>
        <w:tc>
          <w:tcPr>
            <w:tcW w:w="508" w:type="pct"/>
          </w:tcPr>
          <w:p w14:paraId="27DD661E" w14:textId="77777777" w:rsidR="00D63B70" w:rsidRPr="006D52A9" w:rsidRDefault="00D63B70" w:rsidP="00D63B70">
            <w:pPr>
              <w:rPr>
                <w:rFonts w:ascii="Arial" w:hAnsi="Arial" w:cs="Arial"/>
                <w:sz w:val="16"/>
                <w:szCs w:val="16"/>
              </w:rPr>
            </w:pPr>
          </w:p>
        </w:tc>
        <w:tc>
          <w:tcPr>
            <w:tcW w:w="943" w:type="pct"/>
          </w:tcPr>
          <w:p w14:paraId="73A360F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10,000 units in 0.6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DCBE7C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28822F2" w14:textId="77777777" w:rsidR="00D63B70" w:rsidRPr="006D52A9" w:rsidRDefault="00D63B70" w:rsidP="00D63B70">
            <w:pPr>
              <w:rPr>
                <w:rFonts w:ascii="Arial" w:hAnsi="Arial" w:cs="Arial"/>
                <w:sz w:val="16"/>
                <w:szCs w:val="16"/>
              </w:rPr>
            </w:pPr>
            <w:r w:rsidRPr="006D52A9">
              <w:rPr>
                <w:rFonts w:ascii="Arial" w:hAnsi="Arial" w:cs="Arial"/>
                <w:sz w:val="16"/>
                <w:szCs w:val="16"/>
              </w:rPr>
              <w:t>NeoRecormon</w:t>
            </w:r>
          </w:p>
        </w:tc>
        <w:tc>
          <w:tcPr>
            <w:tcW w:w="894" w:type="pct"/>
          </w:tcPr>
          <w:p w14:paraId="6BB193B3"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67C288D" w14:textId="77777777" w:rsidR="00D63B70" w:rsidRPr="006D52A9" w:rsidRDefault="00D63B70" w:rsidP="00D63B70">
            <w:pPr>
              <w:rPr>
                <w:rFonts w:ascii="Arial" w:hAnsi="Arial" w:cs="Arial"/>
                <w:sz w:val="16"/>
                <w:szCs w:val="16"/>
              </w:rPr>
            </w:pPr>
          </w:p>
        </w:tc>
        <w:tc>
          <w:tcPr>
            <w:tcW w:w="499" w:type="pct"/>
          </w:tcPr>
          <w:p w14:paraId="342C59B4"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47A15E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2D19D88" w14:textId="77777777" w:rsidTr="00A91628">
        <w:tblPrEx>
          <w:tblBorders>
            <w:top w:val="single" w:sz="4" w:space="0" w:color="auto"/>
          </w:tblBorders>
        </w:tblPrEx>
        <w:trPr>
          <w:cantSplit/>
          <w:tblCellSpacing w:w="22" w:type="dxa"/>
        </w:trPr>
        <w:tc>
          <w:tcPr>
            <w:tcW w:w="508" w:type="pct"/>
          </w:tcPr>
          <w:p w14:paraId="4B135AFC" w14:textId="77777777" w:rsidR="00D63B70" w:rsidRPr="006D52A9" w:rsidRDefault="00D63B70" w:rsidP="00D63B70">
            <w:pPr>
              <w:rPr>
                <w:rFonts w:ascii="Arial" w:hAnsi="Arial" w:cs="Arial"/>
                <w:sz w:val="16"/>
                <w:szCs w:val="16"/>
              </w:rPr>
            </w:pPr>
            <w:r w:rsidRPr="006D52A9">
              <w:rPr>
                <w:rFonts w:ascii="Arial" w:hAnsi="Arial" w:cs="Arial"/>
                <w:sz w:val="16"/>
                <w:szCs w:val="16"/>
              </w:rPr>
              <w:t>Epoetin lambda</w:t>
            </w:r>
          </w:p>
        </w:tc>
        <w:tc>
          <w:tcPr>
            <w:tcW w:w="943" w:type="pct"/>
          </w:tcPr>
          <w:p w14:paraId="40965B1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6330C67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13A7F8C"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1C3C002B"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44DF3116" w14:textId="77777777" w:rsidR="00D63B70" w:rsidRPr="006D52A9" w:rsidRDefault="00D63B70" w:rsidP="00D63B70">
            <w:pPr>
              <w:rPr>
                <w:rFonts w:ascii="Arial" w:hAnsi="Arial" w:cs="Arial"/>
                <w:sz w:val="16"/>
                <w:szCs w:val="16"/>
              </w:rPr>
            </w:pPr>
          </w:p>
        </w:tc>
        <w:tc>
          <w:tcPr>
            <w:tcW w:w="499" w:type="pct"/>
          </w:tcPr>
          <w:p w14:paraId="416AED10"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3E15510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C3DB5B4" w14:textId="77777777" w:rsidTr="00A91628">
        <w:tblPrEx>
          <w:tblBorders>
            <w:top w:val="single" w:sz="4" w:space="0" w:color="auto"/>
          </w:tblBorders>
        </w:tblPrEx>
        <w:trPr>
          <w:cantSplit/>
          <w:tblCellSpacing w:w="22" w:type="dxa"/>
        </w:trPr>
        <w:tc>
          <w:tcPr>
            <w:tcW w:w="508" w:type="pct"/>
          </w:tcPr>
          <w:p w14:paraId="4E954226" w14:textId="77777777" w:rsidR="00D63B70" w:rsidRPr="006D52A9" w:rsidRDefault="00D63B70" w:rsidP="00D63B70">
            <w:pPr>
              <w:rPr>
                <w:rFonts w:ascii="Arial" w:hAnsi="Arial" w:cs="Arial"/>
                <w:sz w:val="16"/>
                <w:szCs w:val="16"/>
              </w:rPr>
            </w:pPr>
          </w:p>
        </w:tc>
        <w:tc>
          <w:tcPr>
            <w:tcW w:w="943" w:type="pct"/>
          </w:tcPr>
          <w:p w14:paraId="4F177A2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2,000 units in 1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2B7106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3FD0327"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2C6ED0CD"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24D15F3" w14:textId="77777777" w:rsidR="00D63B70" w:rsidRPr="006D52A9" w:rsidRDefault="00D63B70" w:rsidP="00D63B70">
            <w:pPr>
              <w:rPr>
                <w:rFonts w:ascii="Arial" w:hAnsi="Arial" w:cs="Arial"/>
                <w:sz w:val="16"/>
                <w:szCs w:val="16"/>
              </w:rPr>
            </w:pPr>
          </w:p>
        </w:tc>
        <w:tc>
          <w:tcPr>
            <w:tcW w:w="499" w:type="pct"/>
          </w:tcPr>
          <w:p w14:paraId="524FDE13"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5D074DB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CF2461B" w14:textId="77777777" w:rsidTr="00A91628">
        <w:tblPrEx>
          <w:tblBorders>
            <w:top w:val="single" w:sz="4" w:space="0" w:color="auto"/>
          </w:tblBorders>
        </w:tblPrEx>
        <w:trPr>
          <w:cantSplit/>
          <w:tblCellSpacing w:w="22" w:type="dxa"/>
        </w:trPr>
        <w:tc>
          <w:tcPr>
            <w:tcW w:w="508" w:type="pct"/>
          </w:tcPr>
          <w:p w14:paraId="6670B220" w14:textId="77777777" w:rsidR="00D63B70" w:rsidRPr="006D52A9" w:rsidRDefault="00D63B70" w:rsidP="00D63B70">
            <w:pPr>
              <w:rPr>
                <w:rFonts w:ascii="Arial" w:hAnsi="Arial" w:cs="Arial"/>
                <w:sz w:val="16"/>
                <w:szCs w:val="16"/>
              </w:rPr>
            </w:pPr>
          </w:p>
        </w:tc>
        <w:tc>
          <w:tcPr>
            <w:tcW w:w="943" w:type="pct"/>
          </w:tcPr>
          <w:p w14:paraId="0C6E59A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3,000 units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072485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B4D0D70"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16095C81"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002E8580" w14:textId="77777777" w:rsidR="00D63B70" w:rsidRPr="006D52A9" w:rsidRDefault="00D63B70" w:rsidP="00D63B70">
            <w:pPr>
              <w:rPr>
                <w:rFonts w:ascii="Arial" w:hAnsi="Arial" w:cs="Arial"/>
                <w:sz w:val="16"/>
                <w:szCs w:val="16"/>
              </w:rPr>
            </w:pPr>
          </w:p>
        </w:tc>
        <w:tc>
          <w:tcPr>
            <w:tcW w:w="499" w:type="pct"/>
          </w:tcPr>
          <w:p w14:paraId="13C441AA"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6B17D925"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0E00348" w14:textId="77777777" w:rsidTr="00A91628">
        <w:tblPrEx>
          <w:tblBorders>
            <w:top w:val="single" w:sz="4" w:space="0" w:color="auto"/>
          </w:tblBorders>
        </w:tblPrEx>
        <w:trPr>
          <w:cantSplit/>
          <w:tblCellSpacing w:w="22" w:type="dxa"/>
        </w:trPr>
        <w:tc>
          <w:tcPr>
            <w:tcW w:w="508" w:type="pct"/>
          </w:tcPr>
          <w:p w14:paraId="45782172" w14:textId="77777777" w:rsidR="00D63B70" w:rsidRPr="006D52A9" w:rsidRDefault="00D63B70" w:rsidP="00D63B70">
            <w:pPr>
              <w:rPr>
                <w:rFonts w:ascii="Arial" w:hAnsi="Arial" w:cs="Arial"/>
                <w:sz w:val="16"/>
                <w:szCs w:val="16"/>
              </w:rPr>
            </w:pPr>
          </w:p>
        </w:tc>
        <w:tc>
          <w:tcPr>
            <w:tcW w:w="943" w:type="pct"/>
          </w:tcPr>
          <w:p w14:paraId="2CA7EFA0"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4,000 units in 0.4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1A0A57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AF8A5FD"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4004B9FF"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1060325F" w14:textId="77777777" w:rsidR="00D63B70" w:rsidRPr="006D52A9" w:rsidRDefault="00D63B70" w:rsidP="00D63B70">
            <w:pPr>
              <w:rPr>
                <w:rFonts w:ascii="Arial" w:hAnsi="Arial" w:cs="Arial"/>
                <w:sz w:val="16"/>
                <w:szCs w:val="16"/>
              </w:rPr>
            </w:pPr>
          </w:p>
        </w:tc>
        <w:tc>
          <w:tcPr>
            <w:tcW w:w="499" w:type="pct"/>
          </w:tcPr>
          <w:p w14:paraId="55792BF8"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498B18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0008838" w14:textId="77777777" w:rsidTr="00A91628">
        <w:tblPrEx>
          <w:tblBorders>
            <w:top w:val="single" w:sz="4" w:space="0" w:color="auto"/>
          </w:tblBorders>
        </w:tblPrEx>
        <w:trPr>
          <w:cantSplit/>
          <w:tblCellSpacing w:w="22" w:type="dxa"/>
        </w:trPr>
        <w:tc>
          <w:tcPr>
            <w:tcW w:w="508" w:type="pct"/>
          </w:tcPr>
          <w:p w14:paraId="7CEA9634" w14:textId="77777777" w:rsidR="00D63B70" w:rsidRPr="006D52A9" w:rsidRDefault="00D63B70" w:rsidP="00D63B70">
            <w:pPr>
              <w:rPr>
                <w:rFonts w:ascii="Arial" w:hAnsi="Arial" w:cs="Arial"/>
                <w:sz w:val="16"/>
                <w:szCs w:val="16"/>
              </w:rPr>
            </w:pPr>
          </w:p>
        </w:tc>
        <w:tc>
          <w:tcPr>
            <w:tcW w:w="943" w:type="pct"/>
          </w:tcPr>
          <w:p w14:paraId="4E9139C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5,000 units in 0.5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46389D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9AC26E4"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0C5CE999"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37A5438" w14:textId="77777777" w:rsidR="00D63B70" w:rsidRPr="006D52A9" w:rsidRDefault="00D63B70" w:rsidP="00D63B70">
            <w:pPr>
              <w:rPr>
                <w:rFonts w:ascii="Arial" w:hAnsi="Arial" w:cs="Arial"/>
                <w:sz w:val="16"/>
                <w:szCs w:val="16"/>
              </w:rPr>
            </w:pPr>
          </w:p>
        </w:tc>
        <w:tc>
          <w:tcPr>
            <w:tcW w:w="499" w:type="pct"/>
          </w:tcPr>
          <w:p w14:paraId="66FDC6AD"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30BBCEF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4AB57B2" w14:textId="77777777" w:rsidTr="00A91628">
        <w:tblPrEx>
          <w:tblBorders>
            <w:top w:val="single" w:sz="4" w:space="0" w:color="auto"/>
          </w:tblBorders>
        </w:tblPrEx>
        <w:trPr>
          <w:cantSplit/>
          <w:tblCellSpacing w:w="22" w:type="dxa"/>
        </w:trPr>
        <w:tc>
          <w:tcPr>
            <w:tcW w:w="508" w:type="pct"/>
          </w:tcPr>
          <w:p w14:paraId="1F768AB0" w14:textId="77777777" w:rsidR="00D63B70" w:rsidRPr="006D52A9" w:rsidRDefault="00D63B70" w:rsidP="00D63B70">
            <w:pPr>
              <w:rPr>
                <w:rFonts w:ascii="Arial" w:hAnsi="Arial" w:cs="Arial"/>
                <w:sz w:val="16"/>
                <w:szCs w:val="16"/>
              </w:rPr>
            </w:pPr>
          </w:p>
        </w:tc>
        <w:tc>
          <w:tcPr>
            <w:tcW w:w="943" w:type="pct"/>
          </w:tcPr>
          <w:p w14:paraId="21B33A3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6,000 units in 0.6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3CCECE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7A9381B"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51DA23B9"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89947B9" w14:textId="77777777" w:rsidR="00D63B70" w:rsidRPr="006D52A9" w:rsidRDefault="00D63B70" w:rsidP="00D63B70">
            <w:pPr>
              <w:rPr>
                <w:rFonts w:ascii="Arial" w:hAnsi="Arial" w:cs="Arial"/>
                <w:sz w:val="16"/>
                <w:szCs w:val="16"/>
              </w:rPr>
            </w:pPr>
          </w:p>
        </w:tc>
        <w:tc>
          <w:tcPr>
            <w:tcW w:w="499" w:type="pct"/>
          </w:tcPr>
          <w:p w14:paraId="6B61640A"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1247B9B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1F4917F" w14:textId="77777777" w:rsidTr="00A91628">
        <w:tblPrEx>
          <w:tblBorders>
            <w:top w:val="single" w:sz="4" w:space="0" w:color="auto"/>
          </w:tblBorders>
        </w:tblPrEx>
        <w:trPr>
          <w:cantSplit/>
          <w:tblCellSpacing w:w="22" w:type="dxa"/>
        </w:trPr>
        <w:tc>
          <w:tcPr>
            <w:tcW w:w="508" w:type="pct"/>
          </w:tcPr>
          <w:p w14:paraId="1C5041CD" w14:textId="77777777" w:rsidR="00D63B70" w:rsidRPr="006D52A9" w:rsidRDefault="00D63B70" w:rsidP="00D63B70">
            <w:pPr>
              <w:rPr>
                <w:rFonts w:ascii="Arial" w:hAnsi="Arial" w:cs="Arial"/>
                <w:sz w:val="16"/>
                <w:szCs w:val="16"/>
              </w:rPr>
            </w:pPr>
          </w:p>
        </w:tc>
        <w:tc>
          <w:tcPr>
            <w:tcW w:w="943" w:type="pct"/>
          </w:tcPr>
          <w:p w14:paraId="4DF90BC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8,000 units in 0.8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66465F0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4B8B283"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2CA5280E"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56FE5A1B" w14:textId="77777777" w:rsidR="00D63B70" w:rsidRPr="006D52A9" w:rsidRDefault="00D63B70" w:rsidP="00D63B70">
            <w:pPr>
              <w:rPr>
                <w:rFonts w:ascii="Arial" w:hAnsi="Arial" w:cs="Arial"/>
                <w:sz w:val="16"/>
                <w:szCs w:val="16"/>
              </w:rPr>
            </w:pPr>
          </w:p>
        </w:tc>
        <w:tc>
          <w:tcPr>
            <w:tcW w:w="499" w:type="pct"/>
          </w:tcPr>
          <w:p w14:paraId="76D3A069"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FBDDDD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161E6F0" w14:textId="77777777" w:rsidTr="00A91628">
        <w:tblPrEx>
          <w:tblBorders>
            <w:top w:val="single" w:sz="4" w:space="0" w:color="auto"/>
          </w:tblBorders>
        </w:tblPrEx>
        <w:trPr>
          <w:cantSplit/>
          <w:tblCellSpacing w:w="22" w:type="dxa"/>
        </w:trPr>
        <w:tc>
          <w:tcPr>
            <w:tcW w:w="508" w:type="pct"/>
          </w:tcPr>
          <w:p w14:paraId="3E7E6970" w14:textId="77777777" w:rsidR="00D63B70" w:rsidRPr="006D52A9" w:rsidRDefault="00D63B70" w:rsidP="00D63B70">
            <w:pPr>
              <w:rPr>
                <w:rFonts w:ascii="Arial" w:hAnsi="Arial" w:cs="Arial"/>
                <w:sz w:val="16"/>
                <w:szCs w:val="16"/>
              </w:rPr>
            </w:pPr>
          </w:p>
        </w:tc>
        <w:tc>
          <w:tcPr>
            <w:tcW w:w="943" w:type="pct"/>
          </w:tcPr>
          <w:p w14:paraId="129FBF4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10,000 units in 1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57A25F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A0E60E7" w14:textId="77777777" w:rsidR="00D63B70" w:rsidRPr="006D52A9" w:rsidRDefault="00D63B70" w:rsidP="00D63B70">
            <w:pPr>
              <w:rPr>
                <w:rFonts w:ascii="Arial" w:hAnsi="Arial" w:cs="Arial"/>
                <w:sz w:val="16"/>
                <w:szCs w:val="16"/>
              </w:rPr>
            </w:pPr>
            <w:r w:rsidRPr="006D52A9">
              <w:rPr>
                <w:rFonts w:ascii="Arial" w:hAnsi="Arial" w:cs="Arial"/>
                <w:sz w:val="16"/>
                <w:szCs w:val="16"/>
              </w:rPr>
              <w:t>Novicrit</w:t>
            </w:r>
          </w:p>
        </w:tc>
        <w:tc>
          <w:tcPr>
            <w:tcW w:w="894" w:type="pct"/>
          </w:tcPr>
          <w:p w14:paraId="64A822EE"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2150FA53" w14:textId="77777777" w:rsidR="00D63B70" w:rsidRPr="006D52A9" w:rsidRDefault="00D63B70" w:rsidP="00D63B70">
            <w:pPr>
              <w:rPr>
                <w:rFonts w:ascii="Arial" w:hAnsi="Arial" w:cs="Arial"/>
                <w:sz w:val="16"/>
                <w:szCs w:val="16"/>
              </w:rPr>
            </w:pPr>
          </w:p>
        </w:tc>
        <w:tc>
          <w:tcPr>
            <w:tcW w:w="499" w:type="pct"/>
          </w:tcPr>
          <w:p w14:paraId="3AA01147" w14:textId="77777777" w:rsidR="00D63B70" w:rsidRPr="006D52A9" w:rsidRDefault="00D63B70" w:rsidP="00D63B70">
            <w:pPr>
              <w:rPr>
                <w:rFonts w:ascii="Arial" w:hAnsi="Arial" w:cs="Arial"/>
                <w:sz w:val="16"/>
                <w:szCs w:val="16"/>
              </w:rPr>
            </w:pPr>
            <w:r w:rsidRPr="006D52A9">
              <w:rPr>
                <w:rFonts w:ascii="Arial" w:hAnsi="Arial" w:cs="Arial"/>
                <w:sz w:val="16"/>
                <w:szCs w:val="16"/>
              </w:rPr>
              <w:t>12</w:t>
            </w:r>
          </w:p>
        </w:tc>
        <w:tc>
          <w:tcPr>
            <w:tcW w:w="502" w:type="pct"/>
          </w:tcPr>
          <w:p w14:paraId="29C3A37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13028C" w14:paraId="16ACF2FA" w14:textId="77777777" w:rsidTr="00A91628">
        <w:tblPrEx>
          <w:tblBorders>
            <w:top w:val="single" w:sz="4" w:space="0" w:color="auto"/>
          </w:tblBorders>
        </w:tblPrEx>
        <w:trPr>
          <w:cantSplit/>
          <w:tblCellSpacing w:w="22" w:type="dxa"/>
        </w:trPr>
        <w:tc>
          <w:tcPr>
            <w:tcW w:w="508" w:type="pct"/>
          </w:tcPr>
          <w:p w14:paraId="33E56A91"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Epoprostenol</w:t>
            </w:r>
          </w:p>
        </w:tc>
        <w:tc>
          <w:tcPr>
            <w:tcW w:w="943" w:type="pct"/>
          </w:tcPr>
          <w:p w14:paraId="03360D4D"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Powder for I.V. infusion 500 micrograms (as sodium)</w:t>
            </w:r>
          </w:p>
        </w:tc>
        <w:tc>
          <w:tcPr>
            <w:tcW w:w="540" w:type="pct"/>
          </w:tcPr>
          <w:p w14:paraId="4BA90788"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E92CDF7"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EPOPROSTENOL SUN</w:t>
            </w:r>
          </w:p>
        </w:tc>
        <w:tc>
          <w:tcPr>
            <w:tcW w:w="894" w:type="pct"/>
          </w:tcPr>
          <w:p w14:paraId="50F45A3E"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4936CA60" w14:textId="77777777" w:rsidR="00D63B70" w:rsidRPr="006D52A9" w:rsidDel="0013028C" w:rsidRDefault="00D63B70" w:rsidP="00D63B70">
            <w:pPr>
              <w:rPr>
                <w:rFonts w:ascii="Arial" w:hAnsi="Arial" w:cs="Arial"/>
                <w:sz w:val="16"/>
                <w:szCs w:val="16"/>
              </w:rPr>
            </w:pPr>
          </w:p>
        </w:tc>
        <w:tc>
          <w:tcPr>
            <w:tcW w:w="499" w:type="pct"/>
          </w:tcPr>
          <w:p w14:paraId="55FE942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2865664"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5AAC498B" w14:textId="77777777" w:rsidTr="00A91628">
        <w:tblPrEx>
          <w:tblBorders>
            <w:top w:val="single" w:sz="4" w:space="0" w:color="auto"/>
          </w:tblBorders>
        </w:tblPrEx>
        <w:trPr>
          <w:cantSplit/>
          <w:tblCellSpacing w:w="22" w:type="dxa"/>
        </w:trPr>
        <w:tc>
          <w:tcPr>
            <w:tcW w:w="508" w:type="pct"/>
          </w:tcPr>
          <w:p w14:paraId="03F22097" w14:textId="77777777" w:rsidR="00D63B70" w:rsidRPr="006D52A9" w:rsidRDefault="00D63B70" w:rsidP="00D63B70">
            <w:pPr>
              <w:rPr>
                <w:rFonts w:ascii="Arial" w:hAnsi="Arial" w:cs="Arial"/>
                <w:sz w:val="16"/>
                <w:szCs w:val="16"/>
              </w:rPr>
            </w:pPr>
          </w:p>
        </w:tc>
        <w:tc>
          <w:tcPr>
            <w:tcW w:w="943" w:type="pct"/>
          </w:tcPr>
          <w:p w14:paraId="7AD8E412" w14:textId="77777777" w:rsidR="00D63B70" w:rsidRPr="006D52A9" w:rsidRDefault="00D63B70" w:rsidP="00D63B70">
            <w:pPr>
              <w:rPr>
                <w:rFonts w:ascii="Arial" w:hAnsi="Arial" w:cs="Arial"/>
                <w:sz w:val="16"/>
                <w:szCs w:val="16"/>
              </w:rPr>
            </w:pPr>
          </w:p>
        </w:tc>
        <w:tc>
          <w:tcPr>
            <w:tcW w:w="540" w:type="pct"/>
          </w:tcPr>
          <w:p w14:paraId="6DB26E9D" w14:textId="77777777" w:rsidR="00D63B70" w:rsidRPr="006D52A9" w:rsidRDefault="00D63B70" w:rsidP="00D63B70">
            <w:pPr>
              <w:rPr>
                <w:rFonts w:ascii="Arial" w:hAnsi="Arial" w:cs="Arial"/>
                <w:sz w:val="16"/>
                <w:szCs w:val="16"/>
              </w:rPr>
            </w:pPr>
          </w:p>
        </w:tc>
        <w:tc>
          <w:tcPr>
            <w:tcW w:w="591" w:type="pct"/>
          </w:tcPr>
          <w:p w14:paraId="714A6269" w14:textId="77777777" w:rsidR="00D63B70" w:rsidRPr="006D52A9" w:rsidRDefault="00D63B70" w:rsidP="00D63B70">
            <w:pPr>
              <w:rPr>
                <w:rFonts w:ascii="Arial" w:hAnsi="Arial" w:cs="Arial"/>
                <w:sz w:val="16"/>
                <w:szCs w:val="16"/>
              </w:rPr>
            </w:pPr>
            <w:r w:rsidRPr="006D52A9">
              <w:rPr>
                <w:rFonts w:ascii="Arial" w:hAnsi="Arial" w:cs="Arial"/>
                <w:sz w:val="16"/>
                <w:szCs w:val="16"/>
              </w:rPr>
              <w:t>Veletri</w:t>
            </w:r>
          </w:p>
        </w:tc>
        <w:tc>
          <w:tcPr>
            <w:tcW w:w="894" w:type="pct"/>
          </w:tcPr>
          <w:p w14:paraId="4DAE4D35" w14:textId="77777777" w:rsidR="00D63B70" w:rsidRPr="006D52A9"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32D4B5DC" w14:textId="77777777" w:rsidR="00D63B70" w:rsidRPr="006D52A9" w:rsidDel="0013028C" w:rsidRDefault="00D63B70" w:rsidP="00D63B70">
            <w:pPr>
              <w:rPr>
                <w:rFonts w:ascii="Arial" w:hAnsi="Arial" w:cs="Arial"/>
                <w:sz w:val="16"/>
                <w:szCs w:val="16"/>
              </w:rPr>
            </w:pPr>
          </w:p>
        </w:tc>
        <w:tc>
          <w:tcPr>
            <w:tcW w:w="499" w:type="pct"/>
          </w:tcPr>
          <w:p w14:paraId="255176F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14DA47E"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0179B9D5" w14:textId="77777777" w:rsidTr="00A91628">
        <w:tblPrEx>
          <w:tblBorders>
            <w:top w:val="single" w:sz="4" w:space="0" w:color="auto"/>
          </w:tblBorders>
        </w:tblPrEx>
        <w:trPr>
          <w:cantSplit/>
          <w:tblCellSpacing w:w="22" w:type="dxa"/>
        </w:trPr>
        <w:tc>
          <w:tcPr>
            <w:tcW w:w="508" w:type="pct"/>
          </w:tcPr>
          <w:p w14:paraId="1E8E362F" w14:textId="77777777" w:rsidR="00D63B70" w:rsidRPr="006D52A9" w:rsidDel="0013028C" w:rsidRDefault="00D63B70" w:rsidP="00D63B70">
            <w:pPr>
              <w:rPr>
                <w:rFonts w:ascii="Arial" w:hAnsi="Arial" w:cs="Arial"/>
                <w:sz w:val="16"/>
                <w:szCs w:val="16"/>
              </w:rPr>
            </w:pPr>
          </w:p>
        </w:tc>
        <w:tc>
          <w:tcPr>
            <w:tcW w:w="943" w:type="pct"/>
          </w:tcPr>
          <w:p w14:paraId="50C17700"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Powder for I.V. infusion 500 micrograms (as sodium) with 2 vials diluent 50 mL</w:t>
            </w:r>
          </w:p>
        </w:tc>
        <w:tc>
          <w:tcPr>
            <w:tcW w:w="540" w:type="pct"/>
          </w:tcPr>
          <w:p w14:paraId="28FF113F"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C4553FC"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Flolan</w:t>
            </w:r>
          </w:p>
        </w:tc>
        <w:tc>
          <w:tcPr>
            <w:tcW w:w="894" w:type="pct"/>
          </w:tcPr>
          <w:p w14:paraId="6AB3C9EE"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0E569212" w14:textId="77777777" w:rsidR="00D63B70" w:rsidRPr="006D52A9" w:rsidDel="0013028C" w:rsidRDefault="00D63B70" w:rsidP="00D63B70">
            <w:pPr>
              <w:rPr>
                <w:rFonts w:ascii="Arial" w:hAnsi="Arial" w:cs="Arial"/>
                <w:sz w:val="16"/>
                <w:szCs w:val="16"/>
              </w:rPr>
            </w:pPr>
          </w:p>
        </w:tc>
        <w:tc>
          <w:tcPr>
            <w:tcW w:w="499" w:type="pct"/>
          </w:tcPr>
          <w:p w14:paraId="2A2E718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2C5988A"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6F0221C6" w14:textId="77777777" w:rsidTr="00A91628">
        <w:tblPrEx>
          <w:tblBorders>
            <w:top w:val="single" w:sz="4" w:space="0" w:color="auto"/>
          </w:tblBorders>
        </w:tblPrEx>
        <w:trPr>
          <w:cantSplit/>
          <w:tblCellSpacing w:w="22" w:type="dxa"/>
        </w:trPr>
        <w:tc>
          <w:tcPr>
            <w:tcW w:w="508" w:type="pct"/>
          </w:tcPr>
          <w:p w14:paraId="35DACFBC" w14:textId="77777777" w:rsidR="00D63B70" w:rsidRPr="006D52A9" w:rsidDel="0013028C" w:rsidRDefault="00D63B70" w:rsidP="00D63B70">
            <w:pPr>
              <w:rPr>
                <w:rFonts w:ascii="Arial" w:hAnsi="Arial" w:cs="Arial"/>
                <w:sz w:val="16"/>
                <w:szCs w:val="16"/>
              </w:rPr>
            </w:pPr>
          </w:p>
        </w:tc>
        <w:tc>
          <w:tcPr>
            <w:tcW w:w="943" w:type="pct"/>
          </w:tcPr>
          <w:p w14:paraId="26603159"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Powder for I.V. infusion 1.5 mg (as sodium)</w:t>
            </w:r>
          </w:p>
        </w:tc>
        <w:tc>
          <w:tcPr>
            <w:tcW w:w="540" w:type="pct"/>
          </w:tcPr>
          <w:p w14:paraId="5351DE4D"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6CA07F1"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EPOPROSTENOL SUN</w:t>
            </w:r>
          </w:p>
        </w:tc>
        <w:tc>
          <w:tcPr>
            <w:tcW w:w="894" w:type="pct"/>
          </w:tcPr>
          <w:p w14:paraId="0F9F6579"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710479EB" w14:textId="77777777" w:rsidR="00D63B70" w:rsidRPr="006D52A9" w:rsidDel="0013028C" w:rsidRDefault="00D63B70" w:rsidP="00D63B70">
            <w:pPr>
              <w:rPr>
                <w:rFonts w:ascii="Arial" w:hAnsi="Arial" w:cs="Arial"/>
                <w:sz w:val="16"/>
                <w:szCs w:val="16"/>
              </w:rPr>
            </w:pPr>
          </w:p>
        </w:tc>
        <w:tc>
          <w:tcPr>
            <w:tcW w:w="499" w:type="pct"/>
          </w:tcPr>
          <w:p w14:paraId="53C61798"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183F95C"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0E80DE5D" w14:textId="77777777" w:rsidTr="00A91628">
        <w:tblPrEx>
          <w:tblBorders>
            <w:top w:val="single" w:sz="4" w:space="0" w:color="auto"/>
          </w:tblBorders>
        </w:tblPrEx>
        <w:trPr>
          <w:cantSplit/>
          <w:tblCellSpacing w:w="22" w:type="dxa"/>
        </w:trPr>
        <w:tc>
          <w:tcPr>
            <w:tcW w:w="508" w:type="pct"/>
          </w:tcPr>
          <w:p w14:paraId="3FD6A3BD" w14:textId="77777777" w:rsidR="00D63B70" w:rsidRPr="006D52A9" w:rsidDel="0013028C" w:rsidRDefault="00D63B70" w:rsidP="00D63B70">
            <w:pPr>
              <w:rPr>
                <w:rFonts w:ascii="Arial" w:hAnsi="Arial" w:cs="Arial"/>
                <w:sz w:val="16"/>
                <w:szCs w:val="16"/>
              </w:rPr>
            </w:pPr>
          </w:p>
        </w:tc>
        <w:tc>
          <w:tcPr>
            <w:tcW w:w="943" w:type="pct"/>
          </w:tcPr>
          <w:p w14:paraId="28545869" w14:textId="77777777" w:rsidR="00D63B70" w:rsidRPr="006D52A9" w:rsidRDefault="00D63B70" w:rsidP="00D63B70">
            <w:pPr>
              <w:rPr>
                <w:rFonts w:ascii="Arial" w:hAnsi="Arial" w:cs="Arial"/>
                <w:sz w:val="16"/>
                <w:szCs w:val="16"/>
              </w:rPr>
            </w:pPr>
          </w:p>
        </w:tc>
        <w:tc>
          <w:tcPr>
            <w:tcW w:w="540" w:type="pct"/>
          </w:tcPr>
          <w:p w14:paraId="46D08A50" w14:textId="77777777" w:rsidR="00D63B70" w:rsidRPr="006D52A9" w:rsidRDefault="00D63B70" w:rsidP="00D63B70">
            <w:pPr>
              <w:rPr>
                <w:rFonts w:ascii="Arial" w:hAnsi="Arial" w:cs="Arial"/>
                <w:sz w:val="16"/>
                <w:szCs w:val="16"/>
              </w:rPr>
            </w:pPr>
          </w:p>
        </w:tc>
        <w:tc>
          <w:tcPr>
            <w:tcW w:w="591" w:type="pct"/>
          </w:tcPr>
          <w:p w14:paraId="4956F48E" w14:textId="77777777" w:rsidR="00D63B70" w:rsidRPr="006D52A9" w:rsidRDefault="00D63B70" w:rsidP="00D63B70">
            <w:pPr>
              <w:rPr>
                <w:rFonts w:ascii="Arial" w:hAnsi="Arial" w:cs="Arial"/>
                <w:sz w:val="16"/>
                <w:szCs w:val="16"/>
              </w:rPr>
            </w:pPr>
            <w:r w:rsidRPr="006D52A9">
              <w:rPr>
                <w:rFonts w:ascii="Arial" w:hAnsi="Arial" w:cs="Arial"/>
                <w:sz w:val="16"/>
                <w:szCs w:val="16"/>
              </w:rPr>
              <w:t>Veletri</w:t>
            </w:r>
          </w:p>
        </w:tc>
        <w:tc>
          <w:tcPr>
            <w:tcW w:w="894" w:type="pct"/>
          </w:tcPr>
          <w:p w14:paraId="27F0CF18" w14:textId="77777777" w:rsidR="00D63B70" w:rsidRPr="006D52A9"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5C458796" w14:textId="77777777" w:rsidR="00D63B70" w:rsidRPr="006D52A9" w:rsidDel="0013028C" w:rsidRDefault="00D63B70" w:rsidP="00D63B70">
            <w:pPr>
              <w:rPr>
                <w:rFonts w:ascii="Arial" w:hAnsi="Arial" w:cs="Arial"/>
                <w:sz w:val="16"/>
                <w:szCs w:val="16"/>
              </w:rPr>
            </w:pPr>
          </w:p>
        </w:tc>
        <w:tc>
          <w:tcPr>
            <w:tcW w:w="499" w:type="pct"/>
          </w:tcPr>
          <w:p w14:paraId="726F6459"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669A8E3"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63E6CF8F" w14:textId="77777777" w:rsidTr="00A91628">
        <w:tblPrEx>
          <w:tblBorders>
            <w:top w:val="single" w:sz="4" w:space="0" w:color="auto"/>
          </w:tblBorders>
        </w:tblPrEx>
        <w:trPr>
          <w:cantSplit/>
          <w:tblCellSpacing w:w="22" w:type="dxa"/>
        </w:trPr>
        <w:tc>
          <w:tcPr>
            <w:tcW w:w="508" w:type="pct"/>
          </w:tcPr>
          <w:p w14:paraId="00DF5DB8" w14:textId="77777777" w:rsidR="00D63B70" w:rsidRPr="006D52A9" w:rsidDel="0013028C" w:rsidRDefault="00D63B70" w:rsidP="00D63B70">
            <w:pPr>
              <w:rPr>
                <w:rFonts w:ascii="Arial" w:hAnsi="Arial" w:cs="Arial"/>
                <w:sz w:val="16"/>
                <w:szCs w:val="16"/>
              </w:rPr>
            </w:pPr>
          </w:p>
        </w:tc>
        <w:tc>
          <w:tcPr>
            <w:tcW w:w="943" w:type="pct"/>
          </w:tcPr>
          <w:p w14:paraId="141B1DB5"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Powder for I.V. infusion 1.5 mg (as sodium) with 2 vials diluent 50 mL</w:t>
            </w:r>
          </w:p>
        </w:tc>
        <w:tc>
          <w:tcPr>
            <w:tcW w:w="540" w:type="pct"/>
          </w:tcPr>
          <w:p w14:paraId="6F4F75A1"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66094C4"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Flolan</w:t>
            </w:r>
          </w:p>
        </w:tc>
        <w:tc>
          <w:tcPr>
            <w:tcW w:w="894" w:type="pct"/>
          </w:tcPr>
          <w:p w14:paraId="5237FB65"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C10241 C11322 C11323 C11325 C11329 C11330 C11345 C11356</w:t>
            </w:r>
          </w:p>
        </w:tc>
        <w:tc>
          <w:tcPr>
            <w:tcW w:w="376" w:type="pct"/>
          </w:tcPr>
          <w:p w14:paraId="48B42383" w14:textId="77777777" w:rsidR="00D63B70" w:rsidRPr="006D52A9" w:rsidDel="0013028C" w:rsidRDefault="00D63B70" w:rsidP="00D63B70">
            <w:pPr>
              <w:rPr>
                <w:rFonts w:ascii="Arial" w:hAnsi="Arial" w:cs="Arial"/>
                <w:sz w:val="16"/>
                <w:szCs w:val="16"/>
              </w:rPr>
            </w:pPr>
          </w:p>
        </w:tc>
        <w:tc>
          <w:tcPr>
            <w:tcW w:w="499" w:type="pct"/>
          </w:tcPr>
          <w:p w14:paraId="41C33FE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A77E05A"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2EB7A29" w14:textId="77777777" w:rsidTr="00A91628">
        <w:tblPrEx>
          <w:tblBorders>
            <w:top w:val="single" w:sz="4" w:space="0" w:color="auto"/>
          </w:tblBorders>
        </w:tblPrEx>
        <w:trPr>
          <w:cantSplit/>
          <w:tblCellSpacing w:w="22" w:type="dxa"/>
        </w:trPr>
        <w:tc>
          <w:tcPr>
            <w:tcW w:w="508" w:type="pct"/>
          </w:tcPr>
          <w:p w14:paraId="28B58C53"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Etanercept</w:t>
            </w:r>
          </w:p>
        </w:tc>
        <w:tc>
          <w:tcPr>
            <w:tcW w:w="943" w:type="pct"/>
          </w:tcPr>
          <w:p w14:paraId="57D50AC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set containing 4 vials powder for injection 25 mg and 4 pre</w:t>
            </w:r>
            <w:r w:rsidR="0026100E">
              <w:rPr>
                <w:rFonts w:ascii="Arial" w:hAnsi="Arial" w:cs="Arial"/>
                <w:sz w:val="16"/>
                <w:szCs w:val="16"/>
              </w:rPr>
              <w:noBreakHyphen/>
            </w:r>
            <w:r w:rsidRPr="006D52A9">
              <w:rPr>
                <w:rFonts w:ascii="Arial" w:hAnsi="Arial" w:cs="Arial"/>
                <w:sz w:val="16"/>
                <w:szCs w:val="16"/>
              </w:rPr>
              <w:t>filled syringes solvent 1 mL</w:t>
            </w:r>
          </w:p>
        </w:tc>
        <w:tc>
          <w:tcPr>
            <w:tcW w:w="540" w:type="pct"/>
          </w:tcPr>
          <w:p w14:paraId="230BE1E5"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9E5C0FF" w14:textId="77777777" w:rsidR="00D63B70" w:rsidRPr="006D52A9" w:rsidRDefault="00D63B70" w:rsidP="00D63B70">
            <w:pPr>
              <w:rPr>
                <w:rFonts w:ascii="Arial" w:hAnsi="Arial" w:cs="Arial"/>
                <w:sz w:val="16"/>
                <w:szCs w:val="16"/>
              </w:rPr>
            </w:pPr>
            <w:r w:rsidRPr="006D52A9">
              <w:rPr>
                <w:rFonts w:ascii="Arial" w:hAnsi="Arial" w:cs="Arial"/>
                <w:sz w:val="16"/>
                <w:szCs w:val="16"/>
              </w:rPr>
              <w:t>Enbrel</w:t>
            </w:r>
          </w:p>
        </w:tc>
        <w:tc>
          <w:tcPr>
            <w:tcW w:w="894" w:type="pct"/>
          </w:tcPr>
          <w:p w14:paraId="1E29AFF6" w14:textId="77777777" w:rsidR="00D63B70" w:rsidRPr="006D52A9" w:rsidRDefault="00D63B70" w:rsidP="00D63B70">
            <w:pPr>
              <w:rPr>
                <w:rFonts w:ascii="Arial" w:hAnsi="Arial" w:cs="Arial"/>
                <w:sz w:val="16"/>
                <w:szCs w:val="16"/>
              </w:rPr>
            </w:pPr>
            <w:r w:rsidRPr="006D52A9">
              <w:rPr>
                <w:rFonts w:ascii="Arial" w:hAnsi="Arial" w:cs="Arial"/>
                <w:sz w:val="16"/>
                <w:szCs w:val="16"/>
              </w:rPr>
              <w:t>C9384 C9417 C10548 C10578 C10579 C10599</w:t>
            </w:r>
          </w:p>
        </w:tc>
        <w:tc>
          <w:tcPr>
            <w:tcW w:w="376" w:type="pct"/>
          </w:tcPr>
          <w:p w14:paraId="4050221F" w14:textId="77777777" w:rsidR="00D63B70" w:rsidRPr="006D52A9" w:rsidRDefault="00D63B70" w:rsidP="00D63B70">
            <w:pPr>
              <w:rPr>
                <w:rFonts w:ascii="Arial" w:hAnsi="Arial" w:cs="Arial"/>
                <w:sz w:val="16"/>
                <w:szCs w:val="16"/>
              </w:rPr>
            </w:pPr>
          </w:p>
        </w:tc>
        <w:tc>
          <w:tcPr>
            <w:tcW w:w="499" w:type="pct"/>
          </w:tcPr>
          <w:p w14:paraId="5D39CA1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D0BA5F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CD7FDB8" w14:textId="77777777" w:rsidTr="00A91628">
        <w:tblPrEx>
          <w:tblBorders>
            <w:top w:val="single" w:sz="4" w:space="0" w:color="auto"/>
          </w:tblBorders>
        </w:tblPrEx>
        <w:trPr>
          <w:cantSplit/>
          <w:tblCellSpacing w:w="22" w:type="dxa"/>
        </w:trPr>
        <w:tc>
          <w:tcPr>
            <w:tcW w:w="508" w:type="pct"/>
          </w:tcPr>
          <w:p w14:paraId="6EBA208D" w14:textId="77777777" w:rsidR="00D63B70" w:rsidRPr="006D52A9" w:rsidRDefault="00D63B70" w:rsidP="00D63B70">
            <w:pPr>
              <w:rPr>
                <w:rFonts w:ascii="Arial" w:hAnsi="Arial" w:cs="Arial"/>
                <w:sz w:val="16"/>
                <w:szCs w:val="16"/>
              </w:rPr>
            </w:pPr>
          </w:p>
        </w:tc>
        <w:tc>
          <w:tcPr>
            <w:tcW w:w="943" w:type="pct"/>
          </w:tcPr>
          <w:p w14:paraId="757FC11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Injections 50 mg in 1 mL single use pre</w:t>
            </w:r>
            <w:r w:rsidR="0026100E">
              <w:rPr>
                <w:rFonts w:ascii="Arial" w:hAnsi="Arial" w:cs="Arial"/>
                <w:sz w:val="16"/>
                <w:szCs w:val="16"/>
              </w:rPr>
              <w:noBreakHyphen/>
            </w:r>
            <w:r w:rsidRPr="006D52A9">
              <w:rPr>
                <w:rFonts w:ascii="Arial" w:hAnsi="Arial" w:cs="Arial"/>
                <w:sz w:val="16"/>
                <w:szCs w:val="16"/>
              </w:rPr>
              <w:t>filled syringes, 4</w:t>
            </w:r>
          </w:p>
        </w:tc>
        <w:tc>
          <w:tcPr>
            <w:tcW w:w="540" w:type="pct"/>
          </w:tcPr>
          <w:p w14:paraId="4120C4D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12D1CD7" w14:textId="77777777" w:rsidR="00D63B70" w:rsidRPr="006D52A9" w:rsidRDefault="00D63B70" w:rsidP="00D63B70">
            <w:pPr>
              <w:rPr>
                <w:rFonts w:ascii="Arial" w:hAnsi="Arial" w:cs="Arial"/>
                <w:sz w:val="16"/>
                <w:szCs w:val="16"/>
              </w:rPr>
            </w:pPr>
            <w:r w:rsidRPr="006D52A9">
              <w:rPr>
                <w:rFonts w:ascii="Arial" w:hAnsi="Arial" w:cs="Arial"/>
                <w:sz w:val="16"/>
                <w:szCs w:val="16"/>
              </w:rPr>
              <w:t>Enbrel</w:t>
            </w:r>
          </w:p>
        </w:tc>
        <w:tc>
          <w:tcPr>
            <w:tcW w:w="894" w:type="pct"/>
          </w:tcPr>
          <w:p w14:paraId="5AB833AE"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C9384 C9417 C10548 C10578 C10579 C10599 </w:t>
            </w:r>
          </w:p>
        </w:tc>
        <w:tc>
          <w:tcPr>
            <w:tcW w:w="376" w:type="pct"/>
          </w:tcPr>
          <w:p w14:paraId="67A3704D" w14:textId="77777777" w:rsidR="00D63B70" w:rsidRPr="006D52A9" w:rsidRDefault="00D63B70" w:rsidP="00D63B70">
            <w:pPr>
              <w:rPr>
                <w:rFonts w:ascii="Arial" w:hAnsi="Arial" w:cs="Arial"/>
                <w:sz w:val="16"/>
                <w:szCs w:val="16"/>
              </w:rPr>
            </w:pPr>
          </w:p>
        </w:tc>
        <w:tc>
          <w:tcPr>
            <w:tcW w:w="499" w:type="pct"/>
          </w:tcPr>
          <w:p w14:paraId="04182ED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ECA958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7A430BF2" w14:textId="77777777" w:rsidTr="00A91628">
        <w:tblPrEx>
          <w:tblBorders>
            <w:top w:val="single" w:sz="4" w:space="0" w:color="auto"/>
          </w:tblBorders>
        </w:tblPrEx>
        <w:trPr>
          <w:cantSplit/>
          <w:tblCellSpacing w:w="22" w:type="dxa"/>
        </w:trPr>
        <w:tc>
          <w:tcPr>
            <w:tcW w:w="508" w:type="pct"/>
          </w:tcPr>
          <w:p w14:paraId="752D37DC" w14:textId="77777777" w:rsidR="00D63B70" w:rsidRPr="006D52A9" w:rsidRDefault="00D63B70" w:rsidP="00D63B70">
            <w:pPr>
              <w:rPr>
                <w:rFonts w:ascii="Arial" w:hAnsi="Arial" w:cs="Arial"/>
                <w:sz w:val="16"/>
                <w:szCs w:val="16"/>
              </w:rPr>
            </w:pPr>
          </w:p>
        </w:tc>
        <w:tc>
          <w:tcPr>
            <w:tcW w:w="943" w:type="pct"/>
          </w:tcPr>
          <w:p w14:paraId="62C4DFB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 mg in 1 mL single use auto</w:t>
            </w:r>
            <w:r w:rsidR="0026100E">
              <w:rPr>
                <w:rFonts w:ascii="Arial" w:hAnsi="Arial" w:cs="Arial"/>
                <w:sz w:val="16"/>
                <w:szCs w:val="16"/>
              </w:rPr>
              <w:noBreakHyphen/>
            </w:r>
            <w:r w:rsidRPr="006D52A9">
              <w:rPr>
                <w:rFonts w:ascii="Arial" w:hAnsi="Arial" w:cs="Arial"/>
                <w:sz w:val="16"/>
                <w:szCs w:val="16"/>
              </w:rPr>
              <w:t>injector, 4</w:t>
            </w:r>
          </w:p>
        </w:tc>
        <w:tc>
          <w:tcPr>
            <w:tcW w:w="540" w:type="pct"/>
          </w:tcPr>
          <w:p w14:paraId="35C765C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D98EF51" w14:textId="77777777" w:rsidR="00D63B70" w:rsidRPr="006D52A9" w:rsidRDefault="00D63B70" w:rsidP="00D63B70">
            <w:pPr>
              <w:rPr>
                <w:sz w:val="16"/>
                <w:szCs w:val="16"/>
              </w:rPr>
            </w:pPr>
            <w:r w:rsidRPr="006D52A9">
              <w:rPr>
                <w:rFonts w:ascii="Arial" w:hAnsi="Arial" w:cs="Arial"/>
                <w:sz w:val="16"/>
                <w:szCs w:val="16"/>
              </w:rPr>
              <w:t>Enbrel</w:t>
            </w:r>
          </w:p>
        </w:tc>
        <w:tc>
          <w:tcPr>
            <w:tcW w:w="894" w:type="pct"/>
          </w:tcPr>
          <w:p w14:paraId="2F21D6B6" w14:textId="77777777" w:rsidR="00D63B70" w:rsidRPr="006D52A9" w:rsidRDefault="00D63B70" w:rsidP="00D63B70">
            <w:pPr>
              <w:rPr>
                <w:rFonts w:ascii="Arial" w:hAnsi="Arial" w:cs="Arial"/>
                <w:sz w:val="16"/>
                <w:szCs w:val="16"/>
              </w:rPr>
            </w:pPr>
            <w:r w:rsidRPr="006D52A9">
              <w:rPr>
                <w:rFonts w:ascii="Arial" w:hAnsi="Arial" w:cs="Arial"/>
                <w:sz w:val="16"/>
                <w:szCs w:val="16"/>
              </w:rPr>
              <w:t>C9384 C9417 C10548 C10578 C10579 C10599</w:t>
            </w:r>
          </w:p>
        </w:tc>
        <w:tc>
          <w:tcPr>
            <w:tcW w:w="376" w:type="pct"/>
          </w:tcPr>
          <w:p w14:paraId="4036C741" w14:textId="77777777" w:rsidR="00D63B70" w:rsidRPr="006D52A9" w:rsidRDefault="00D63B70" w:rsidP="00D63B70">
            <w:pPr>
              <w:rPr>
                <w:rFonts w:ascii="Arial" w:hAnsi="Arial" w:cs="Arial"/>
                <w:sz w:val="16"/>
                <w:szCs w:val="16"/>
              </w:rPr>
            </w:pPr>
          </w:p>
        </w:tc>
        <w:tc>
          <w:tcPr>
            <w:tcW w:w="499" w:type="pct"/>
          </w:tcPr>
          <w:p w14:paraId="1086D8D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03A5E5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0729D8" w14:paraId="7F93E4F8" w14:textId="77777777" w:rsidTr="00A91628">
        <w:tblPrEx>
          <w:tblBorders>
            <w:top w:val="single" w:sz="4" w:space="0" w:color="auto"/>
          </w:tblBorders>
        </w:tblPrEx>
        <w:trPr>
          <w:cantSplit/>
          <w:tblCellSpacing w:w="22" w:type="dxa"/>
        </w:trPr>
        <w:tc>
          <w:tcPr>
            <w:tcW w:w="508" w:type="pct"/>
            <w:vAlign w:val="center"/>
          </w:tcPr>
          <w:p w14:paraId="792E2DE9"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Etravirine</w:t>
            </w:r>
          </w:p>
        </w:tc>
        <w:tc>
          <w:tcPr>
            <w:tcW w:w="943" w:type="pct"/>
            <w:vAlign w:val="center"/>
          </w:tcPr>
          <w:p w14:paraId="7BA42C2B"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 xml:space="preserve">Tablet 200 mg </w:t>
            </w:r>
          </w:p>
        </w:tc>
        <w:tc>
          <w:tcPr>
            <w:tcW w:w="540" w:type="pct"/>
            <w:vAlign w:val="center"/>
          </w:tcPr>
          <w:p w14:paraId="643F5672"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Oral</w:t>
            </w:r>
          </w:p>
        </w:tc>
        <w:tc>
          <w:tcPr>
            <w:tcW w:w="591" w:type="pct"/>
            <w:vAlign w:val="center"/>
          </w:tcPr>
          <w:p w14:paraId="6CE431BF"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Intelence</w:t>
            </w:r>
          </w:p>
        </w:tc>
        <w:tc>
          <w:tcPr>
            <w:tcW w:w="894" w:type="pct"/>
            <w:vAlign w:val="center"/>
          </w:tcPr>
          <w:p w14:paraId="09556087"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C5014</w:t>
            </w:r>
          </w:p>
        </w:tc>
        <w:tc>
          <w:tcPr>
            <w:tcW w:w="376" w:type="pct"/>
            <w:vAlign w:val="center"/>
          </w:tcPr>
          <w:p w14:paraId="2B64E380" w14:textId="77777777" w:rsidR="00D63B70" w:rsidRPr="006D52A9" w:rsidDel="000729D8" w:rsidRDefault="00D63B70" w:rsidP="00D63B70">
            <w:pPr>
              <w:rPr>
                <w:rFonts w:ascii="Arial" w:hAnsi="Arial" w:cs="Arial"/>
                <w:sz w:val="16"/>
                <w:szCs w:val="16"/>
              </w:rPr>
            </w:pPr>
          </w:p>
        </w:tc>
        <w:tc>
          <w:tcPr>
            <w:tcW w:w="499" w:type="pct"/>
            <w:vAlign w:val="center"/>
          </w:tcPr>
          <w:p w14:paraId="587871C7"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120</w:t>
            </w:r>
          </w:p>
        </w:tc>
        <w:tc>
          <w:tcPr>
            <w:tcW w:w="502" w:type="pct"/>
            <w:vAlign w:val="center"/>
          </w:tcPr>
          <w:p w14:paraId="1FB1B5B0" w14:textId="77777777" w:rsidR="00D63B70" w:rsidRPr="006D52A9" w:rsidDel="000729D8"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9492E6D" w14:textId="77777777" w:rsidTr="00A91628">
        <w:tblPrEx>
          <w:tblBorders>
            <w:top w:val="single" w:sz="4" w:space="0" w:color="auto"/>
          </w:tblBorders>
        </w:tblPrEx>
        <w:trPr>
          <w:cantSplit/>
          <w:tblCellSpacing w:w="22" w:type="dxa"/>
        </w:trPr>
        <w:tc>
          <w:tcPr>
            <w:tcW w:w="508" w:type="pct"/>
          </w:tcPr>
          <w:p w14:paraId="67C3FB99" w14:textId="77777777" w:rsidR="00D63B70" w:rsidRPr="006D52A9" w:rsidRDefault="00D63B70" w:rsidP="00D63B70">
            <w:pPr>
              <w:rPr>
                <w:rFonts w:ascii="Arial" w:hAnsi="Arial" w:cs="Arial"/>
                <w:sz w:val="16"/>
                <w:szCs w:val="16"/>
              </w:rPr>
            </w:pPr>
            <w:r w:rsidRPr="006D52A9">
              <w:rPr>
                <w:rFonts w:ascii="Arial" w:hAnsi="Arial" w:cs="Arial"/>
                <w:sz w:val="16"/>
                <w:szCs w:val="16"/>
              </w:rPr>
              <w:t>Everolimus</w:t>
            </w:r>
          </w:p>
        </w:tc>
        <w:tc>
          <w:tcPr>
            <w:tcW w:w="943" w:type="pct"/>
          </w:tcPr>
          <w:p w14:paraId="64980003" w14:textId="77777777" w:rsidR="00D63B70" w:rsidRPr="006D52A9" w:rsidRDefault="00D63B70" w:rsidP="00D63B70">
            <w:pPr>
              <w:rPr>
                <w:rFonts w:ascii="Arial" w:hAnsi="Arial" w:cs="Arial"/>
                <w:sz w:val="16"/>
                <w:szCs w:val="16"/>
              </w:rPr>
            </w:pPr>
            <w:r w:rsidRPr="006D52A9">
              <w:rPr>
                <w:rFonts w:ascii="Arial" w:hAnsi="Arial" w:cs="Arial"/>
                <w:sz w:val="16"/>
                <w:szCs w:val="16"/>
              </w:rPr>
              <w:t>Tablet 0.25 mg</w:t>
            </w:r>
          </w:p>
        </w:tc>
        <w:tc>
          <w:tcPr>
            <w:tcW w:w="540" w:type="pct"/>
          </w:tcPr>
          <w:p w14:paraId="36454E5A"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BDBB5AE" w14:textId="77777777" w:rsidR="00D63B70" w:rsidRPr="006D52A9" w:rsidRDefault="00D63B70" w:rsidP="00D63B70">
            <w:pPr>
              <w:rPr>
                <w:rFonts w:ascii="Arial" w:hAnsi="Arial" w:cs="Arial"/>
                <w:sz w:val="16"/>
                <w:szCs w:val="16"/>
              </w:rPr>
            </w:pPr>
            <w:r w:rsidRPr="006D52A9">
              <w:rPr>
                <w:rFonts w:ascii="Arial" w:hAnsi="Arial" w:cs="Arial"/>
                <w:sz w:val="16"/>
                <w:szCs w:val="16"/>
              </w:rPr>
              <w:t>Certican</w:t>
            </w:r>
          </w:p>
        </w:tc>
        <w:tc>
          <w:tcPr>
            <w:tcW w:w="894" w:type="pct"/>
          </w:tcPr>
          <w:p w14:paraId="56D585AA"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5875A01A" w14:textId="77777777" w:rsidR="00D63B70" w:rsidRPr="006D52A9" w:rsidRDefault="00D63B70" w:rsidP="00D63B70">
            <w:pPr>
              <w:rPr>
                <w:rFonts w:ascii="Arial" w:hAnsi="Arial" w:cs="Arial"/>
                <w:sz w:val="16"/>
                <w:szCs w:val="16"/>
              </w:rPr>
            </w:pPr>
          </w:p>
        </w:tc>
        <w:tc>
          <w:tcPr>
            <w:tcW w:w="499" w:type="pct"/>
          </w:tcPr>
          <w:p w14:paraId="338BDB04"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175DEC9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FBC98D1" w14:textId="77777777" w:rsidTr="00A91628">
        <w:tblPrEx>
          <w:tblBorders>
            <w:top w:val="single" w:sz="4" w:space="0" w:color="auto"/>
          </w:tblBorders>
        </w:tblPrEx>
        <w:trPr>
          <w:cantSplit/>
          <w:tblCellSpacing w:w="22" w:type="dxa"/>
        </w:trPr>
        <w:tc>
          <w:tcPr>
            <w:tcW w:w="508" w:type="pct"/>
          </w:tcPr>
          <w:p w14:paraId="5786C478" w14:textId="77777777" w:rsidR="00D63B70" w:rsidRPr="006D52A9" w:rsidRDefault="00D63B70" w:rsidP="00D63B70">
            <w:pPr>
              <w:rPr>
                <w:rFonts w:ascii="Arial" w:hAnsi="Arial" w:cs="Arial"/>
                <w:sz w:val="16"/>
                <w:szCs w:val="16"/>
              </w:rPr>
            </w:pPr>
          </w:p>
        </w:tc>
        <w:tc>
          <w:tcPr>
            <w:tcW w:w="943" w:type="pct"/>
          </w:tcPr>
          <w:p w14:paraId="682C0443" w14:textId="77777777" w:rsidR="00D63B70" w:rsidRPr="006D52A9" w:rsidRDefault="00D63B70" w:rsidP="00D63B70">
            <w:pPr>
              <w:rPr>
                <w:rFonts w:ascii="Arial" w:hAnsi="Arial" w:cs="Arial"/>
                <w:sz w:val="16"/>
                <w:szCs w:val="16"/>
              </w:rPr>
            </w:pPr>
            <w:r w:rsidRPr="006D52A9">
              <w:rPr>
                <w:rFonts w:ascii="Arial" w:hAnsi="Arial" w:cs="Arial"/>
                <w:sz w:val="16"/>
                <w:szCs w:val="16"/>
              </w:rPr>
              <w:t>Tablet 0.5 mg</w:t>
            </w:r>
          </w:p>
        </w:tc>
        <w:tc>
          <w:tcPr>
            <w:tcW w:w="540" w:type="pct"/>
          </w:tcPr>
          <w:p w14:paraId="7BAC61E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F355D93" w14:textId="77777777" w:rsidR="00D63B70" w:rsidRPr="006D52A9" w:rsidRDefault="00D63B70" w:rsidP="00D63B70">
            <w:pPr>
              <w:rPr>
                <w:rFonts w:ascii="Arial" w:hAnsi="Arial" w:cs="Arial"/>
                <w:sz w:val="16"/>
                <w:szCs w:val="16"/>
              </w:rPr>
            </w:pPr>
            <w:r w:rsidRPr="006D52A9">
              <w:rPr>
                <w:rFonts w:ascii="Arial" w:hAnsi="Arial" w:cs="Arial"/>
                <w:sz w:val="16"/>
                <w:szCs w:val="16"/>
              </w:rPr>
              <w:t>Certican</w:t>
            </w:r>
          </w:p>
        </w:tc>
        <w:tc>
          <w:tcPr>
            <w:tcW w:w="894" w:type="pct"/>
          </w:tcPr>
          <w:p w14:paraId="5D5384C7"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68199EDB" w14:textId="77777777" w:rsidR="00D63B70" w:rsidRPr="006D52A9" w:rsidRDefault="00D63B70" w:rsidP="00D63B70">
            <w:pPr>
              <w:rPr>
                <w:rFonts w:ascii="Arial" w:hAnsi="Arial" w:cs="Arial"/>
                <w:sz w:val="16"/>
                <w:szCs w:val="16"/>
              </w:rPr>
            </w:pPr>
          </w:p>
        </w:tc>
        <w:tc>
          <w:tcPr>
            <w:tcW w:w="499" w:type="pct"/>
          </w:tcPr>
          <w:p w14:paraId="39F02C39"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4DDD596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A26C0AD" w14:textId="77777777" w:rsidTr="00A91628">
        <w:tblPrEx>
          <w:tblBorders>
            <w:top w:val="single" w:sz="4" w:space="0" w:color="auto"/>
          </w:tblBorders>
        </w:tblPrEx>
        <w:trPr>
          <w:cantSplit/>
          <w:tblCellSpacing w:w="22" w:type="dxa"/>
        </w:trPr>
        <w:tc>
          <w:tcPr>
            <w:tcW w:w="508" w:type="pct"/>
          </w:tcPr>
          <w:p w14:paraId="413F6B2F" w14:textId="77777777" w:rsidR="00D63B70" w:rsidRPr="006D52A9" w:rsidRDefault="00D63B70" w:rsidP="00D63B70">
            <w:pPr>
              <w:rPr>
                <w:rFonts w:ascii="Arial" w:hAnsi="Arial" w:cs="Arial"/>
                <w:sz w:val="16"/>
                <w:szCs w:val="16"/>
              </w:rPr>
            </w:pPr>
          </w:p>
        </w:tc>
        <w:tc>
          <w:tcPr>
            <w:tcW w:w="943" w:type="pct"/>
          </w:tcPr>
          <w:p w14:paraId="38FFBB13" w14:textId="77777777" w:rsidR="00D63B70" w:rsidRPr="006D52A9" w:rsidRDefault="00D63B70" w:rsidP="00D63B70">
            <w:pPr>
              <w:rPr>
                <w:rFonts w:ascii="Arial" w:hAnsi="Arial" w:cs="Arial"/>
                <w:sz w:val="16"/>
                <w:szCs w:val="16"/>
              </w:rPr>
            </w:pPr>
            <w:r w:rsidRPr="006D52A9">
              <w:rPr>
                <w:rFonts w:ascii="Arial" w:hAnsi="Arial" w:cs="Arial"/>
                <w:sz w:val="16"/>
                <w:szCs w:val="16"/>
              </w:rPr>
              <w:t>Tablet 0.75 mg</w:t>
            </w:r>
          </w:p>
        </w:tc>
        <w:tc>
          <w:tcPr>
            <w:tcW w:w="540" w:type="pct"/>
          </w:tcPr>
          <w:p w14:paraId="45B888F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36A5280" w14:textId="77777777" w:rsidR="00D63B70" w:rsidRPr="006D52A9" w:rsidRDefault="00D63B70" w:rsidP="00D63B70">
            <w:pPr>
              <w:rPr>
                <w:rFonts w:ascii="Arial" w:hAnsi="Arial" w:cs="Arial"/>
                <w:sz w:val="16"/>
                <w:szCs w:val="16"/>
              </w:rPr>
            </w:pPr>
            <w:r w:rsidRPr="006D52A9">
              <w:rPr>
                <w:rFonts w:ascii="Arial" w:hAnsi="Arial" w:cs="Arial"/>
                <w:sz w:val="16"/>
                <w:szCs w:val="16"/>
              </w:rPr>
              <w:t>Certican</w:t>
            </w:r>
          </w:p>
        </w:tc>
        <w:tc>
          <w:tcPr>
            <w:tcW w:w="894" w:type="pct"/>
          </w:tcPr>
          <w:p w14:paraId="30EBE73F"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65132132" w14:textId="77777777" w:rsidR="00D63B70" w:rsidRPr="006D52A9" w:rsidRDefault="00D63B70" w:rsidP="00D63B70">
            <w:pPr>
              <w:rPr>
                <w:rFonts w:ascii="Arial" w:hAnsi="Arial" w:cs="Arial"/>
                <w:sz w:val="16"/>
                <w:szCs w:val="16"/>
              </w:rPr>
            </w:pPr>
          </w:p>
        </w:tc>
        <w:tc>
          <w:tcPr>
            <w:tcW w:w="499" w:type="pct"/>
          </w:tcPr>
          <w:p w14:paraId="29ED55AE"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10FCB7E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B433B81" w14:textId="77777777" w:rsidTr="00A91628">
        <w:tblPrEx>
          <w:tblBorders>
            <w:top w:val="single" w:sz="4" w:space="0" w:color="auto"/>
          </w:tblBorders>
        </w:tblPrEx>
        <w:trPr>
          <w:cantSplit/>
          <w:tblCellSpacing w:w="22" w:type="dxa"/>
        </w:trPr>
        <w:tc>
          <w:tcPr>
            <w:tcW w:w="508" w:type="pct"/>
          </w:tcPr>
          <w:p w14:paraId="4BBA7E72" w14:textId="77777777" w:rsidR="00D63B70" w:rsidRPr="006D52A9" w:rsidRDefault="00D63B70" w:rsidP="00D63B70">
            <w:pPr>
              <w:rPr>
                <w:rFonts w:ascii="Arial" w:hAnsi="Arial" w:cs="Arial"/>
                <w:sz w:val="16"/>
                <w:szCs w:val="16"/>
              </w:rPr>
            </w:pPr>
          </w:p>
        </w:tc>
        <w:tc>
          <w:tcPr>
            <w:tcW w:w="943" w:type="pct"/>
          </w:tcPr>
          <w:p w14:paraId="4C91ADD6" w14:textId="77777777" w:rsidR="00D63B70" w:rsidRPr="006D52A9" w:rsidRDefault="00D63B70" w:rsidP="00D63B70">
            <w:pPr>
              <w:rPr>
                <w:rFonts w:ascii="Arial" w:hAnsi="Arial" w:cs="Arial"/>
                <w:sz w:val="16"/>
                <w:szCs w:val="16"/>
              </w:rPr>
            </w:pPr>
            <w:r w:rsidRPr="006D52A9">
              <w:rPr>
                <w:rFonts w:ascii="Arial" w:hAnsi="Arial" w:cs="Arial"/>
                <w:sz w:val="16"/>
                <w:szCs w:val="16"/>
              </w:rPr>
              <w:t>Tablet 1 mg</w:t>
            </w:r>
          </w:p>
        </w:tc>
        <w:tc>
          <w:tcPr>
            <w:tcW w:w="540" w:type="pct"/>
          </w:tcPr>
          <w:p w14:paraId="0BC6BD1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250E6BB" w14:textId="77777777" w:rsidR="00D63B70" w:rsidRPr="006D52A9" w:rsidRDefault="00D63B70" w:rsidP="00D63B70">
            <w:pPr>
              <w:rPr>
                <w:rFonts w:ascii="Arial" w:hAnsi="Arial" w:cs="Arial"/>
                <w:sz w:val="16"/>
                <w:szCs w:val="16"/>
              </w:rPr>
            </w:pPr>
            <w:r w:rsidRPr="006D52A9">
              <w:rPr>
                <w:rFonts w:ascii="Arial" w:hAnsi="Arial" w:cs="Arial"/>
                <w:sz w:val="16"/>
                <w:szCs w:val="16"/>
              </w:rPr>
              <w:t>Certican</w:t>
            </w:r>
          </w:p>
        </w:tc>
        <w:tc>
          <w:tcPr>
            <w:tcW w:w="894" w:type="pct"/>
          </w:tcPr>
          <w:p w14:paraId="54B089CB"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13A3263D" w14:textId="77777777" w:rsidR="00D63B70" w:rsidRPr="006D52A9" w:rsidRDefault="00D63B70" w:rsidP="00D63B70">
            <w:pPr>
              <w:rPr>
                <w:rFonts w:ascii="Arial" w:hAnsi="Arial" w:cs="Arial"/>
                <w:sz w:val="16"/>
                <w:szCs w:val="16"/>
              </w:rPr>
            </w:pPr>
          </w:p>
        </w:tc>
        <w:tc>
          <w:tcPr>
            <w:tcW w:w="499" w:type="pct"/>
          </w:tcPr>
          <w:p w14:paraId="74FE9E71"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67113C4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76F4A" w14:paraId="7145878E" w14:textId="77777777" w:rsidTr="00A91628">
        <w:tblPrEx>
          <w:tblBorders>
            <w:top w:val="single" w:sz="4" w:space="0" w:color="auto"/>
          </w:tblBorders>
        </w:tblPrEx>
        <w:trPr>
          <w:cantSplit/>
          <w:tblCellSpacing w:w="22" w:type="dxa"/>
        </w:trPr>
        <w:tc>
          <w:tcPr>
            <w:tcW w:w="508" w:type="pct"/>
          </w:tcPr>
          <w:p w14:paraId="7D4E7C0E"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Filgrastim</w:t>
            </w:r>
          </w:p>
        </w:tc>
        <w:tc>
          <w:tcPr>
            <w:tcW w:w="943" w:type="pct"/>
          </w:tcPr>
          <w:p w14:paraId="46FA2E21"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 120 micrograms in 0.2 mL single</w:t>
            </w:r>
            <w:r w:rsidR="0026100E">
              <w:rPr>
                <w:rFonts w:ascii="Arial" w:hAnsi="Arial" w:cs="Arial"/>
                <w:sz w:val="16"/>
                <w:szCs w:val="16"/>
              </w:rPr>
              <w:noBreakHyphen/>
            </w:r>
            <w:r w:rsidRPr="006D52A9">
              <w:rPr>
                <w:rFonts w:ascii="Arial" w:hAnsi="Arial" w:cs="Arial"/>
                <w:sz w:val="16"/>
                <w:szCs w:val="16"/>
              </w:rPr>
              <w:t>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6C88A5F"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67124F1"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Nivestim</w:t>
            </w:r>
          </w:p>
        </w:tc>
        <w:tc>
          <w:tcPr>
            <w:tcW w:w="894" w:type="pct"/>
          </w:tcPr>
          <w:p w14:paraId="4DA327DD"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073D1BDC" w14:textId="77777777" w:rsidR="00D63B70" w:rsidRPr="006D52A9" w:rsidDel="00476F4A" w:rsidRDefault="00D63B70" w:rsidP="00D63B70">
            <w:pPr>
              <w:rPr>
                <w:rFonts w:ascii="Arial" w:hAnsi="Arial" w:cs="Arial"/>
                <w:sz w:val="16"/>
                <w:szCs w:val="16"/>
              </w:rPr>
            </w:pPr>
          </w:p>
        </w:tc>
        <w:tc>
          <w:tcPr>
            <w:tcW w:w="499" w:type="pct"/>
          </w:tcPr>
          <w:p w14:paraId="4E6280D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33F5A19B"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70E92AFC" w14:textId="77777777" w:rsidTr="00A91628">
        <w:tblPrEx>
          <w:tblBorders>
            <w:top w:val="single" w:sz="4" w:space="0" w:color="auto"/>
          </w:tblBorders>
        </w:tblPrEx>
        <w:trPr>
          <w:cantSplit/>
          <w:tblCellSpacing w:w="22" w:type="dxa"/>
        </w:trPr>
        <w:tc>
          <w:tcPr>
            <w:tcW w:w="508" w:type="pct"/>
          </w:tcPr>
          <w:p w14:paraId="136E4109" w14:textId="77777777" w:rsidR="00D63B70" w:rsidRPr="006D52A9" w:rsidDel="00476F4A" w:rsidRDefault="00D63B70" w:rsidP="00D63B70">
            <w:pPr>
              <w:rPr>
                <w:rFonts w:ascii="Arial" w:hAnsi="Arial" w:cs="Arial"/>
                <w:sz w:val="16"/>
                <w:szCs w:val="16"/>
              </w:rPr>
            </w:pPr>
          </w:p>
        </w:tc>
        <w:tc>
          <w:tcPr>
            <w:tcW w:w="943" w:type="pct"/>
          </w:tcPr>
          <w:p w14:paraId="07C19FDC"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 300 micrograms in 0.5 mL single</w:t>
            </w:r>
            <w:r w:rsidR="0026100E">
              <w:rPr>
                <w:rFonts w:ascii="Arial" w:hAnsi="Arial" w:cs="Arial"/>
                <w:sz w:val="16"/>
                <w:szCs w:val="16"/>
              </w:rPr>
              <w:noBreakHyphen/>
            </w:r>
            <w:r w:rsidRPr="006D52A9">
              <w:rPr>
                <w:rFonts w:ascii="Arial" w:hAnsi="Arial" w:cs="Arial"/>
                <w:sz w:val="16"/>
                <w:szCs w:val="16"/>
              </w:rPr>
              <w:t>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2A1E6722"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B673D45"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Neupogen</w:t>
            </w:r>
          </w:p>
        </w:tc>
        <w:tc>
          <w:tcPr>
            <w:tcW w:w="894" w:type="pct"/>
          </w:tcPr>
          <w:p w14:paraId="72A66990"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752CAFEC" w14:textId="77777777" w:rsidR="00D63B70" w:rsidRPr="006D52A9" w:rsidDel="00476F4A" w:rsidRDefault="00D63B70" w:rsidP="00D63B70">
            <w:pPr>
              <w:rPr>
                <w:rFonts w:ascii="Arial" w:hAnsi="Arial" w:cs="Arial"/>
                <w:sz w:val="16"/>
                <w:szCs w:val="16"/>
              </w:rPr>
            </w:pPr>
          </w:p>
        </w:tc>
        <w:tc>
          <w:tcPr>
            <w:tcW w:w="499" w:type="pct"/>
          </w:tcPr>
          <w:p w14:paraId="4E65DF41"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35329775"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7133CEDA" w14:textId="77777777" w:rsidTr="00A91628">
        <w:tblPrEx>
          <w:tblBorders>
            <w:top w:val="single" w:sz="4" w:space="0" w:color="auto"/>
          </w:tblBorders>
        </w:tblPrEx>
        <w:trPr>
          <w:cantSplit/>
          <w:tblCellSpacing w:w="22" w:type="dxa"/>
        </w:trPr>
        <w:tc>
          <w:tcPr>
            <w:tcW w:w="508" w:type="pct"/>
          </w:tcPr>
          <w:p w14:paraId="3C22EA53" w14:textId="77777777" w:rsidR="00D63B70" w:rsidRPr="006D52A9" w:rsidDel="00476F4A" w:rsidRDefault="00D63B70" w:rsidP="00D63B70">
            <w:pPr>
              <w:rPr>
                <w:rFonts w:ascii="Arial" w:hAnsi="Arial" w:cs="Arial"/>
                <w:sz w:val="16"/>
                <w:szCs w:val="16"/>
              </w:rPr>
            </w:pPr>
          </w:p>
        </w:tc>
        <w:tc>
          <w:tcPr>
            <w:tcW w:w="943" w:type="pct"/>
          </w:tcPr>
          <w:p w14:paraId="228457D5" w14:textId="77777777" w:rsidR="00D63B70" w:rsidRPr="006D52A9" w:rsidDel="00476F4A" w:rsidRDefault="00D63B70" w:rsidP="00D63B70">
            <w:pPr>
              <w:rPr>
                <w:rFonts w:ascii="Arial" w:hAnsi="Arial" w:cs="Arial"/>
                <w:sz w:val="16"/>
                <w:szCs w:val="16"/>
              </w:rPr>
            </w:pPr>
          </w:p>
        </w:tc>
        <w:tc>
          <w:tcPr>
            <w:tcW w:w="540" w:type="pct"/>
          </w:tcPr>
          <w:p w14:paraId="4A2A4C83" w14:textId="77777777" w:rsidR="00D63B70" w:rsidRPr="006D52A9" w:rsidDel="00476F4A" w:rsidRDefault="00D63B70" w:rsidP="00D63B70">
            <w:pPr>
              <w:rPr>
                <w:rFonts w:ascii="Arial" w:hAnsi="Arial" w:cs="Arial"/>
                <w:sz w:val="16"/>
                <w:szCs w:val="16"/>
              </w:rPr>
            </w:pPr>
          </w:p>
        </w:tc>
        <w:tc>
          <w:tcPr>
            <w:tcW w:w="591" w:type="pct"/>
          </w:tcPr>
          <w:p w14:paraId="53C6180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Nivestim</w:t>
            </w:r>
          </w:p>
        </w:tc>
        <w:tc>
          <w:tcPr>
            <w:tcW w:w="894" w:type="pct"/>
          </w:tcPr>
          <w:p w14:paraId="7194A798"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6EEE775D" w14:textId="77777777" w:rsidR="00D63B70" w:rsidRPr="006D52A9" w:rsidDel="00476F4A" w:rsidRDefault="00D63B70" w:rsidP="00D63B70">
            <w:pPr>
              <w:rPr>
                <w:rFonts w:ascii="Arial" w:hAnsi="Arial" w:cs="Arial"/>
                <w:sz w:val="16"/>
                <w:szCs w:val="16"/>
              </w:rPr>
            </w:pPr>
          </w:p>
        </w:tc>
        <w:tc>
          <w:tcPr>
            <w:tcW w:w="499" w:type="pct"/>
          </w:tcPr>
          <w:p w14:paraId="4D662272"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62444C66"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265710FC" w14:textId="77777777" w:rsidTr="00A91628">
        <w:tblPrEx>
          <w:tblBorders>
            <w:top w:val="single" w:sz="4" w:space="0" w:color="auto"/>
          </w:tblBorders>
        </w:tblPrEx>
        <w:trPr>
          <w:cantSplit/>
          <w:tblCellSpacing w:w="22" w:type="dxa"/>
        </w:trPr>
        <w:tc>
          <w:tcPr>
            <w:tcW w:w="508" w:type="pct"/>
          </w:tcPr>
          <w:p w14:paraId="6B936D51" w14:textId="77777777" w:rsidR="00D63B70" w:rsidRPr="006D52A9" w:rsidDel="00476F4A" w:rsidRDefault="00D63B70" w:rsidP="00D63B70">
            <w:pPr>
              <w:rPr>
                <w:rFonts w:ascii="Arial" w:hAnsi="Arial" w:cs="Arial"/>
                <w:sz w:val="16"/>
                <w:szCs w:val="16"/>
              </w:rPr>
            </w:pPr>
          </w:p>
        </w:tc>
        <w:tc>
          <w:tcPr>
            <w:tcW w:w="943" w:type="pct"/>
          </w:tcPr>
          <w:p w14:paraId="11D59A77" w14:textId="77777777" w:rsidR="00D63B70" w:rsidRPr="006D52A9" w:rsidDel="00476F4A" w:rsidRDefault="00D63B70" w:rsidP="00D63B70">
            <w:pPr>
              <w:rPr>
                <w:rFonts w:ascii="Arial" w:hAnsi="Arial" w:cs="Arial"/>
                <w:sz w:val="16"/>
                <w:szCs w:val="16"/>
              </w:rPr>
            </w:pPr>
          </w:p>
        </w:tc>
        <w:tc>
          <w:tcPr>
            <w:tcW w:w="540" w:type="pct"/>
          </w:tcPr>
          <w:p w14:paraId="4A937935" w14:textId="77777777" w:rsidR="00D63B70" w:rsidRPr="006D52A9" w:rsidDel="00476F4A" w:rsidRDefault="00D63B70" w:rsidP="00D63B70">
            <w:pPr>
              <w:rPr>
                <w:rFonts w:ascii="Arial" w:hAnsi="Arial" w:cs="Arial"/>
                <w:sz w:val="16"/>
                <w:szCs w:val="16"/>
              </w:rPr>
            </w:pPr>
          </w:p>
        </w:tc>
        <w:tc>
          <w:tcPr>
            <w:tcW w:w="591" w:type="pct"/>
          </w:tcPr>
          <w:p w14:paraId="169DC604"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Zarzio</w:t>
            </w:r>
          </w:p>
        </w:tc>
        <w:tc>
          <w:tcPr>
            <w:tcW w:w="894" w:type="pct"/>
          </w:tcPr>
          <w:p w14:paraId="3DC2402D"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6024C514" w14:textId="77777777" w:rsidR="00D63B70" w:rsidRPr="006D52A9" w:rsidDel="00476F4A" w:rsidRDefault="00D63B70" w:rsidP="00D63B70">
            <w:pPr>
              <w:rPr>
                <w:rFonts w:ascii="Arial" w:hAnsi="Arial" w:cs="Arial"/>
                <w:sz w:val="16"/>
                <w:szCs w:val="16"/>
              </w:rPr>
            </w:pPr>
          </w:p>
        </w:tc>
        <w:tc>
          <w:tcPr>
            <w:tcW w:w="499" w:type="pct"/>
          </w:tcPr>
          <w:p w14:paraId="7DA97C16"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6A0A4071"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00800F82" w14:textId="77777777" w:rsidTr="00A91628">
        <w:tblPrEx>
          <w:tblBorders>
            <w:top w:val="single" w:sz="4" w:space="0" w:color="auto"/>
          </w:tblBorders>
        </w:tblPrEx>
        <w:trPr>
          <w:cantSplit/>
          <w:tblCellSpacing w:w="22" w:type="dxa"/>
        </w:trPr>
        <w:tc>
          <w:tcPr>
            <w:tcW w:w="508" w:type="pct"/>
          </w:tcPr>
          <w:p w14:paraId="75335688" w14:textId="77777777" w:rsidR="00D63B70" w:rsidRPr="006D52A9" w:rsidDel="00476F4A" w:rsidRDefault="00D63B70" w:rsidP="00D63B70">
            <w:pPr>
              <w:rPr>
                <w:rFonts w:ascii="Arial" w:hAnsi="Arial" w:cs="Arial"/>
                <w:sz w:val="16"/>
                <w:szCs w:val="16"/>
              </w:rPr>
            </w:pPr>
          </w:p>
        </w:tc>
        <w:tc>
          <w:tcPr>
            <w:tcW w:w="943" w:type="pct"/>
          </w:tcPr>
          <w:p w14:paraId="4D8B8815"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 300 micrograms in 1 mL</w:t>
            </w:r>
          </w:p>
        </w:tc>
        <w:tc>
          <w:tcPr>
            <w:tcW w:w="540" w:type="pct"/>
          </w:tcPr>
          <w:p w14:paraId="7CF05E06"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C540890"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Neupogen</w:t>
            </w:r>
          </w:p>
        </w:tc>
        <w:tc>
          <w:tcPr>
            <w:tcW w:w="894" w:type="pct"/>
          </w:tcPr>
          <w:p w14:paraId="2ED943DF"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600D8765" w14:textId="77777777" w:rsidR="00D63B70" w:rsidRPr="006D52A9" w:rsidDel="00476F4A" w:rsidRDefault="00D63B70" w:rsidP="00D63B70">
            <w:pPr>
              <w:rPr>
                <w:rFonts w:ascii="Arial" w:hAnsi="Arial" w:cs="Arial"/>
                <w:sz w:val="16"/>
                <w:szCs w:val="16"/>
              </w:rPr>
            </w:pPr>
          </w:p>
        </w:tc>
        <w:tc>
          <w:tcPr>
            <w:tcW w:w="499" w:type="pct"/>
          </w:tcPr>
          <w:p w14:paraId="02100F2D"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3D22F0E3"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2F88D3EF" w14:textId="77777777" w:rsidTr="00A91628">
        <w:tblPrEx>
          <w:tblBorders>
            <w:top w:val="single" w:sz="4" w:space="0" w:color="auto"/>
          </w:tblBorders>
        </w:tblPrEx>
        <w:trPr>
          <w:cantSplit/>
          <w:tblCellSpacing w:w="22" w:type="dxa"/>
        </w:trPr>
        <w:tc>
          <w:tcPr>
            <w:tcW w:w="508" w:type="pct"/>
          </w:tcPr>
          <w:p w14:paraId="4BDFACF1" w14:textId="77777777" w:rsidR="00D63B70" w:rsidRPr="006D52A9" w:rsidDel="00476F4A" w:rsidRDefault="00D63B70" w:rsidP="00D63B70">
            <w:pPr>
              <w:rPr>
                <w:rFonts w:ascii="Arial" w:hAnsi="Arial" w:cs="Arial"/>
                <w:sz w:val="16"/>
                <w:szCs w:val="16"/>
              </w:rPr>
            </w:pPr>
          </w:p>
        </w:tc>
        <w:tc>
          <w:tcPr>
            <w:tcW w:w="943" w:type="pct"/>
          </w:tcPr>
          <w:p w14:paraId="5EFA74AA"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 480 micrograms in 0.5 mL single</w:t>
            </w:r>
            <w:r w:rsidR="0026100E">
              <w:rPr>
                <w:rFonts w:ascii="Arial" w:hAnsi="Arial" w:cs="Arial"/>
                <w:sz w:val="16"/>
                <w:szCs w:val="16"/>
              </w:rPr>
              <w:noBreakHyphen/>
            </w:r>
            <w:r w:rsidRPr="006D52A9">
              <w:rPr>
                <w:rFonts w:ascii="Arial" w:hAnsi="Arial" w:cs="Arial"/>
                <w:sz w:val="16"/>
                <w:szCs w:val="16"/>
              </w:rPr>
              <w:t>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95A7E44"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FAACEBF"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Neupogen</w:t>
            </w:r>
          </w:p>
        </w:tc>
        <w:tc>
          <w:tcPr>
            <w:tcW w:w="894" w:type="pct"/>
          </w:tcPr>
          <w:p w14:paraId="46CA3946"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5703FBA2" w14:textId="77777777" w:rsidR="00D63B70" w:rsidRPr="006D52A9" w:rsidDel="00476F4A" w:rsidRDefault="00D63B70" w:rsidP="00D63B70">
            <w:pPr>
              <w:rPr>
                <w:rFonts w:ascii="Arial" w:hAnsi="Arial" w:cs="Arial"/>
                <w:sz w:val="16"/>
                <w:szCs w:val="16"/>
              </w:rPr>
            </w:pPr>
          </w:p>
        </w:tc>
        <w:tc>
          <w:tcPr>
            <w:tcW w:w="499" w:type="pct"/>
          </w:tcPr>
          <w:p w14:paraId="4ED96173"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047C4C54"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216A3609" w14:textId="77777777" w:rsidTr="00A91628">
        <w:tblPrEx>
          <w:tblBorders>
            <w:top w:val="single" w:sz="4" w:space="0" w:color="auto"/>
          </w:tblBorders>
        </w:tblPrEx>
        <w:trPr>
          <w:cantSplit/>
          <w:tblCellSpacing w:w="22" w:type="dxa"/>
        </w:trPr>
        <w:tc>
          <w:tcPr>
            <w:tcW w:w="508" w:type="pct"/>
          </w:tcPr>
          <w:p w14:paraId="2F37521D" w14:textId="77777777" w:rsidR="00D63B70" w:rsidRPr="006D52A9" w:rsidDel="00476F4A" w:rsidRDefault="00D63B70" w:rsidP="00D63B70">
            <w:pPr>
              <w:rPr>
                <w:rFonts w:ascii="Arial" w:hAnsi="Arial" w:cs="Arial"/>
                <w:sz w:val="16"/>
                <w:szCs w:val="16"/>
              </w:rPr>
            </w:pPr>
          </w:p>
        </w:tc>
        <w:tc>
          <w:tcPr>
            <w:tcW w:w="943" w:type="pct"/>
          </w:tcPr>
          <w:p w14:paraId="7855F7A7" w14:textId="77777777" w:rsidR="00D63B70" w:rsidRPr="006D52A9" w:rsidDel="00476F4A" w:rsidRDefault="00D63B70" w:rsidP="00D63B70">
            <w:pPr>
              <w:rPr>
                <w:rFonts w:ascii="Arial" w:hAnsi="Arial" w:cs="Arial"/>
                <w:sz w:val="16"/>
                <w:szCs w:val="16"/>
              </w:rPr>
            </w:pPr>
          </w:p>
        </w:tc>
        <w:tc>
          <w:tcPr>
            <w:tcW w:w="540" w:type="pct"/>
          </w:tcPr>
          <w:p w14:paraId="150AA8B3" w14:textId="77777777" w:rsidR="00D63B70" w:rsidRPr="006D52A9" w:rsidDel="00476F4A" w:rsidRDefault="00D63B70" w:rsidP="00D63B70">
            <w:pPr>
              <w:rPr>
                <w:rFonts w:ascii="Arial" w:hAnsi="Arial" w:cs="Arial"/>
                <w:sz w:val="16"/>
                <w:szCs w:val="16"/>
              </w:rPr>
            </w:pPr>
          </w:p>
        </w:tc>
        <w:tc>
          <w:tcPr>
            <w:tcW w:w="591" w:type="pct"/>
          </w:tcPr>
          <w:p w14:paraId="54F68536"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Nivestim</w:t>
            </w:r>
          </w:p>
        </w:tc>
        <w:tc>
          <w:tcPr>
            <w:tcW w:w="894" w:type="pct"/>
          </w:tcPr>
          <w:p w14:paraId="10614C93"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7FC362B7" w14:textId="77777777" w:rsidR="00D63B70" w:rsidRPr="006D52A9" w:rsidDel="00476F4A" w:rsidRDefault="00D63B70" w:rsidP="00D63B70">
            <w:pPr>
              <w:rPr>
                <w:rFonts w:ascii="Arial" w:hAnsi="Arial" w:cs="Arial"/>
                <w:sz w:val="16"/>
                <w:szCs w:val="16"/>
              </w:rPr>
            </w:pPr>
          </w:p>
        </w:tc>
        <w:tc>
          <w:tcPr>
            <w:tcW w:w="499" w:type="pct"/>
          </w:tcPr>
          <w:p w14:paraId="05AEF2FB"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23AC3B43"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298AC97B" w14:textId="77777777" w:rsidTr="00A91628">
        <w:tblPrEx>
          <w:tblBorders>
            <w:top w:val="single" w:sz="4" w:space="0" w:color="auto"/>
          </w:tblBorders>
        </w:tblPrEx>
        <w:trPr>
          <w:cantSplit/>
          <w:tblCellSpacing w:w="22" w:type="dxa"/>
        </w:trPr>
        <w:tc>
          <w:tcPr>
            <w:tcW w:w="508" w:type="pct"/>
          </w:tcPr>
          <w:p w14:paraId="02A7AFB2" w14:textId="77777777" w:rsidR="00D63B70" w:rsidRPr="006D52A9" w:rsidDel="00476F4A" w:rsidRDefault="00D63B70" w:rsidP="00D63B70">
            <w:pPr>
              <w:rPr>
                <w:rFonts w:ascii="Arial" w:hAnsi="Arial" w:cs="Arial"/>
                <w:sz w:val="16"/>
                <w:szCs w:val="16"/>
              </w:rPr>
            </w:pPr>
          </w:p>
        </w:tc>
        <w:tc>
          <w:tcPr>
            <w:tcW w:w="943" w:type="pct"/>
          </w:tcPr>
          <w:p w14:paraId="760BEA85" w14:textId="77777777" w:rsidR="00D63B70" w:rsidRPr="006D52A9" w:rsidDel="00476F4A" w:rsidRDefault="00D63B70" w:rsidP="00D63B70">
            <w:pPr>
              <w:rPr>
                <w:rFonts w:ascii="Arial" w:hAnsi="Arial" w:cs="Arial"/>
                <w:sz w:val="16"/>
                <w:szCs w:val="16"/>
              </w:rPr>
            </w:pPr>
          </w:p>
        </w:tc>
        <w:tc>
          <w:tcPr>
            <w:tcW w:w="540" w:type="pct"/>
          </w:tcPr>
          <w:p w14:paraId="4230ECA0" w14:textId="77777777" w:rsidR="00D63B70" w:rsidRPr="006D52A9" w:rsidDel="00476F4A" w:rsidRDefault="00D63B70" w:rsidP="00D63B70">
            <w:pPr>
              <w:rPr>
                <w:rFonts w:ascii="Arial" w:hAnsi="Arial" w:cs="Arial"/>
                <w:sz w:val="16"/>
                <w:szCs w:val="16"/>
              </w:rPr>
            </w:pPr>
          </w:p>
        </w:tc>
        <w:tc>
          <w:tcPr>
            <w:tcW w:w="591" w:type="pct"/>
          </w:tcPr>
          <w:p w14:paraId="69F28DB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Zarzio</w:t>
            </w:r>
          </w:p>
        </w:tc>
        <w:tc>
          <w:tcPr>
            <w:tcW w:w="894" w:type="pct"/>
          </w:tcPr>
          <w:p w14:paraId="19338C49"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69998816" w14:textId="77777777" w:rsidR="00D63B70" w:rsidRPr="006D52A9" w:rsidDel="00476F4A" w:rsidRDefault="00D63B70" w:rsidP="00D63B70">
            <w:pPr>
              <w:rPr>
                <w:rFonts w:ascii="Arial" w:hAnsi="Arial" w:cs="Arial"/>
                <w:sz w:val="16"/>
                <w:szCs w:val="16"/>
              </w:rPr>
            </w:pPr>
          </w:p>
        </w:tc>
        <w:tc>
          <w:tcPr>
            <w:tcW w:w="499" w:type="pct"/>
          </w:tcPr>
          <w:p w14:paraId="42069D5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12CEFB49"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476F4A" w14:paraId="315952D0" w14:textId="77777777" w:rsidTr="00A91628">
        <w:tblPrEx>
          <w:tblBorders>
            <w:top w:val="single" w:sz="4" w:space="0" w:color="auto"/>
          </w:tblBorders>
        </w:tblPrEx>
        <w:trPr>
          <w:cantSplit/>
          <w:tblCellSpacing w:w="22" w:type="dxa"/>
        </w:trPr>
        <w:tc>
          <w:tcPr>
            <w:tcW w:w="508" w:type="pct"/>
          </w:tcPr>
          <w:p w14:paraId="4C6042BC" w14:textId="77777777" w:rsidR="00D63B70" w:rsidRPr="006D52A9" w:rsidDel="00476F4A" w:rsidRDefault="00D63B70" w:rsidP="00D63B70">
            <w:pPr>
              <w:rPr>
                <w:rFonts w:ascii="Arial" w:hAnsi="Arial" w:cs="Arial"/>
                <w:sz w:val="16"/>
                <w:szCs w:val="16"/>
              </w:rPr>
            </w:pPr>
          </w:p>
        </w:tc>
        <w:tc>
          <w:tcPr>
            <w:tcW w:w="943" w:type="pct"/>
          </w:tcPr>
          <w:p w14:paraId="23ECF1FA"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 480 micrograms in 1.6 mL</w:t>
            </w:r>
          </w:p>
        </w:tc>
        <w:tc>
          <w:tcPr>
            <w:tcW w:w="540" w:type="pct"/>
          </w:tcPr>
          <w:p w14:paraId="540BC8D4"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3245204"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Neupogen</w:t>
            </w:r>
          </w:p>
        </w:tc>
        <w:tc>
          <w:tcPr>
            <w:tcW w:w="894" w:type="pct"/>
          </w:tcPr>
          <w:p w14:paraId="036B5DF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C6621 C6640 C6653 C6654 C6655 C6679 C6680 C7822 C7843 C8667 C8668 C8669 C8670 C8671 C8672 C8673 C8674 C8696</w:t>
            </w:r>
          </w:p>
        </w:tc>
        <w:tc>
          <w:tcPr>
            <w:tcW w:w="376" w:type="pct"/>
          </w:tcPr>
          <w:p w14:paraId="49007F88" w14:textId="77777777" w:rsidR="00D63B70" w:rsidRPr="006D52A9" w:rsidDel="00476F4A" w:rsidRDefault="00D63B70" w:rsidP="00D63B70">
            <w:pPr>
              <w:rPr>
                <w:rFonts w:ascii="Arial" w:hAnsi="Arial" w:cs="Arial"/>
                <w:sz w:val="16"/>
                <w:szCs w:val="16"/>
              </w:rPr>
            </w:pPr>
          </w:p>
        </w:tc>
        <w:tc>
          <w:tcPr>
            <w:tcW w:w="499" w:type="pct"/>
          </w:tcPr>
          <w:p w14:paraId="33296417"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55F19E78" w14:textId="77777777" w:rsidR="00D63B70" w:rsidRPr="006D52A9" w:rsidDel="00476F4A"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5479169C" w14:textId="77777777" w:rsidTr="00A91628">
        <w:tblPrEx>
          <w:tblBorders>
            <w:top w:val="single" w:sz="4" w:space="0" w:color="auto"/>
          </w:tblBorders>
        </w:tblPrEx>
        <w:trPr>
          <w:tblCellSpacing w:w="22" w:type="dxa"/>
        </w:trPr>
        <w:tc>
          <w:tcPr>
            <w:tcW w:w="508" w:type="pct"/>
          </w:tcPr>
          <w:p w14:paraId="4ACABAA5"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Fosamprenavir</w:t>
            </w:r>
          </w:p>
        </w:tc>
        <w:tc>
          <w:tcPr>
            <w:tcW w:w="943" w:type="pct"/>
          </w:tcPr>
          <w:p w14:paraId="5E6737E9"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Tablet 700 mg (as calcium)</w:t>
            </w:r>
          </w:p>
        </w:tc>
        <w:tc>
          <w:tcPr>
            <w:tcW w:w="540" w:type="pct"/>
          </w:tcPr>
          <w:p w14:paraId="38D8DC0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727DF87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Telzir</w:t>
            </w:r>
          </w:p>
        </w:tc>
        <w:tc>
          <w:tcPr>
            <w:tcW w:w="894" w:type="pct"/>
          </w:tcPr>
          <w:p w14:paraId="65B10993"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C4454 C4512</w:t>
            </w:r>
          </w:p>
        </w:tc>
        <w:tc>
          <w:tcPr>
            <w:tcW w:w="376" w:type="pct"/>
          </w:tcPr>
          <w:p w14:paraId="53C9366D" w14:textId="77777777" w:rsidR="00D63B70" w:rsidRPr="006D52A9" w:rsidRDefault="00D63B70" w:rsidP="00D63B70">
            <w:pPr>
              <w:keepNext/>
              <w:keepLines/>
              <w:rPr>
                <w:rFonts w:ascii="Arial" w:hAnsi="Arial" w:cs="Arial"/>
                <w:sz w:val="16"/>
                <w:szCs w:val="16"/>
              </w:rPr>
            </w:pPr>
          </w:p>
        </w:tc>
        <w:tc>
          <w:tcPr>
            <w:tcW w:w="499" w:type="pct"/>
          </w:tcPr>
          <w:p w14:paraId="6939CE42"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120</w:t>
            </w:r>
          </w:p>
        </w:tc>
        <w:tc>
          <w:tcPr>
            <w:tcW w:w="502" w:type="pct"/>
          </w:tcPr>
          <w:p w14:paraId="69AAB1EF"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200955F0" w14:textId="77777777" w:rsidTr="00A91628">
        <w:tblPrEx>
          <w:tblBorders>
            <w:top w:val="single" w:sz="4" w:space="0" w:color="auto"/>
          </w:tblBorders>
        </w:tblPrEx>
        <w:trPr>
          <w:tblCellSpacing w:w="22" w:type="dxa"/>
        </w:trPr>
        <w:tc>
          <w:tcPr>
            <w:tcW w:w="508" w:type="pct"/>
          </w:tcPr>
          <w:p w14:paraId="44653105" w14:textId="77777777" w:rsidR="00D63B70" w:rsidRPr="006D52A9" w:rsidRDefault="00D63B70" w:rsidP="00D63B70">
            <w:pPr>
              <w:rPr>
                <w:rFonts w:ascii="Arial" w:hAnsi="Arial" w:cs="Arial"/>
                <w:sz w:val="16"/>
                <w:szCs w:val="16"/>
              </w:rPr>
            </w:pPr>
            <w:r w:rsidRPr="006D52A9">
              <w:rPr>
                <w:rFonts w:ascii="Arial" w:hAnsi="Arial" w:cs="Arial"/>
                <w:sz w:val="16"/>
                <w:szCs w:val="16"/>
              </w:rPr>
              <w:t>Ganciclovir</w:t>
            </w:r>
          </w:p>
        </w:tc>
        <w:tc>
          <w:tcPr>
            <w:tcW w:w="943" w:type="pct"/>
          </w:tcPr>
          <w:p w14:paraId="79165831"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I.V. infusion 500 mg (as sodium)</w:t>
            </w:r>
          </w:p>
        </w:tc>
        <w:tc>
          <w:tcPr>
            <w:tcW w:w="540" w:type="pct"/>
          </w:tcPr>
          <w:p w14:paraId="694245A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E7759F5" w14:textId="77777777" w:rsidR="00D63B70" w:rsidRPr="006D52A9" w:rsidRDefault="00D63B70" w:rsidP="00D63B70">
            <w:pPr>
              <w:rPr>
                <w:rFonts w:ascii="Arial" w:hAnsi="Arial" w:cs="Arial"/>
                <w:sz w:val="16"/>
                <w:szCs w:val="16"/>
              </w:rPr>
            </w:pPr>
            <w:r w:rsidRPr="006D52A9">
              <w:rPr>
                <w:rFonts w:ascii="Arial" w:hAnsi="Arial" w:cs="Arial"/>
                <w:sz w:val="16"/>
                <w:szCs w:val="16"/>
              </w:rPr>
              <w:t>Cymevene</w:t>
            </w:r>
          </w:p>
        </w:tc>
        <w:tc>
          <w:tcPr>
            <w:tcW w:w="894" w:type="pct"/>
          </w:tcPr>
          <w:p w14:paraId="33C2E59F" w14:textId="77777777" w:rsidR="00D63B70" w:rsidRPr="006D52A9" w:rsidRDefault="00D63B70" w:rsidP="00D63B70">
            <w:pPr>
              <w:rPr>
                <w:rFonts w:ascii="Arial" w:hAnsi="Arial" w:cs="Arial"/>
                <w:sz w:val="16"/>
                <w:szCs w:val="16"/>
              </w:rPr>
            </w:pPr>
            <w:r w:rsidRPr="006D52A9">
              <w:rPr>
                <w:rFonts w:ascii="Arial" w:hAnsi="Arial" w:cs="Arial"/>
                <w:sz w:val="16"/>
                <w:szCs w:val="16"/>
              </w:rPr>
              <w:t>C4972 C4999 C5000 C9404 C9526</w:t>
            </w:r>
          </w:p>
        </w:tc>
        <w:tc>
          <w:tcPr>
            <w:tcW w:w="376" w:type="pct"/>
          </w:tcPr>
          <w:p w14:paraId="56EFC187" w14:textId="77777777" w:rsidR="00D63B70" w:rsidRPr="006D52A9" w:rsidRDefault="00D63B70" w:rsidP="00D63B70">
            <w:pPr>
              <w:rPr>
                <w:rFonts w:ascii="Arial" w:hAnsi="Arial" w:cs="Arial"/>
                <w:sz w:val="16"/>
                <w:szCs w:val="16"/>
              </w:rPr>
            </w:pPr>
          </w:p>
        </w:tc>
        <w:tc>
          <w:tcPr>
            <w:tcW w:w="499" w:type="pct"/>
          </w:tcPr>
          <w:p w14:paraId="46E03DCC"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Pr>
          <w:p w14:paraId="23AF8836"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r>
      <w:tr w:rsidR="00D63B70" w:rsidRPr="006D52A9" w14:paraId="47390774" w14:textId="77777777" w:rsidTr="00A91628">
        <w:tblPrEx>
          <w:tblBorders>
            <w:top w:val="single" w:sz="4" w:space="0" w:color="auto"/>
          </w:tblBorders>
        </w:tblPrEx>
        <w:trPr>
          <w:tblCellSpacing w:w="22" w:type="dxa"/>
        </w:trPr>
        <w:tc>
          <w:tcPr>
            <w:tcW w:w="508" w:type="pct"/>
          </w:tcPr>
          <w:p w14:paraId="21329542" w14:textId="77777777" w:rsidR="00D63B70" w:rsidRPr="006D52A9" w:rsidRDefault="00D63B70" w:rsidP="00D63B70">
            <w:pPr>
              <w:rPr>
                <w:rFonts w:ascii="Arial" w:hAnsi="Arial" w:cs="Arial"/>
                <w:sz w:val="16"/>
                <w:szCs w:val="16"/>
              </w:rPr>
            </w:pPr>
          </w:p>
        </w:tc>
        <w:tc>
          <w:tcPr>
            <w:tcW w:w="943" w:type="pct"/>
          </w:tcPr>
          <w:p w14:paraId="2C94B9E1" w14:textId="77777777" w:rsidR="00D63B70" w:rsidRPr="006D52A9" w:rsidRDefault="00D63B70" w:rsidP="00D63B70">
            <w:pPr>
              <w:rPr>
                <w:rFonts w:ascii="Arial" w:hAnsi="Arial" w:cs="Arial"/>
                <w:sz w:val="16"/>
                <w:szCs w:val="16"/>
              </w:rPr>
            </w:pPr>
          </w:p>
        </w:tc>
        <w:tc>
          <w:tcPr>
            <w:tcW w:w="540" w:type="pct"/>
          </w:tcPr>
          <w:p w14:paraId="60ABA95B" w14:textId="77777777" w:rsidR="00D63B70" w:rsidRPr="006D52A9" w:rsidRDefault="00D63B70" w:rsidP="00D63B70">
            <w:pPr>
              <w:rPr>
                <w:rFonts w:ascii="Arial" w:hAnsi="Arial" w:cs="Arial"/>
                <w:sz w:val="16"/>
                <w:szCs w:val="16"/>
              </w:rPr>
            </w:pPr>
          </w:p>
        </w:tc>
        <w:tc>
          <w:tcPr>
            <w:tcW w:w="591" w:type="pct"/>
          </w:tcPr>
          <w:p w14:paraId="348CDFE0" w14:textId="77777777" w:rsidR="00D63B70" w:rsidRPr="006D52A9" w:rsidRDefault="00D63B70" w:rsidP="00D63B70">
            <w:pPr>
              <w:rPr>
                <w:rFonts w:ascii="Arial" w:hAnsi="Arial" w:cs="Arial"/>
                <w:sz w:val="16"/>
                <w:szCs w:val="16"/>
              </w:rPr>
            </w:pPr>
            <w:r w:rsidRPr="006D52A9">
              <w:rPr>
                <w:rFonts w:ascii="Arial" w:hAnsi="Arial" w:cs="Arial"/>
                <w:sz w:val="16"/>
                <w:szCs w:val="16"/>
              </w:rPr>
              <w:t>GANCICLOVIR SXP</w:t>
            </w:r>
          </w:p>
        </w:tc>
        <w:tc>
          <w:tcPr>
            <w:tcW w:w="894" w:type="pct"/>
          </w:tcPr>
          <w:p w14:paraId="1B7569B9" w14:textId="77777777" w:rsidR="00D63B70" w:rsidRPr="006D52A9" w:rsidRDefault="00D63B70" w:rsidP="00D63B70">
            <w:pPr>
              <w:rPr>
                <w:rFonts w:ascii="Arial" w:hAnsi="Arial" w:cs="Arial"/>
                <w:sz w:val="16"/>
                <w:szCs w:val="16"/>
              </w:rPr>
            </w:pPr>
            <w:r w:rsidRPr="006D52A9">
              <w:rPr>
                <w:rFonts w:ascii="Arial" w:hAnsi="Arial" w:cs="Arial"/>
                <w:sz w:val="16"/>
                <w:szCs w:val="16"/>
              </w:rPr>
              <w:t>C4972 C4999 C5000 C9404 C9526</w:t>
            </w:r>
          </w:p>
        </w:tc>
        <w:tc>
          <w:tcPr>
            <w:tcW w:w="376" w:type="pct"/>
          </w:tcPr>
          <w:p w14:paraId="02658D6A" w14:textId="77777777" w:rsidR="00D63B70" w:rsidRPr="006D52A9" w:rsidRDefault="00D63B70" w:rsidP="00D63B70">
            <w:pPr>
              <w:rPr>
                <w:rFonts w:ascii="Arial" w:hAnsi="Arial" w:cs="Arial"/>
                <w:sz w:val="16"/>
                <w:szCs w:val="16"/>
              </w:rPr>
            </w:pPr>
          </w:p>
        </w:tc>
        <w:tc>
          <w:tcPr>
            <w:tcW w:w="499" w:type="pct"/>
          </w:tcPr>
          <w:p w14:paraId="0CEEDF9F"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Pr>
          <w:p w14:paraId="43058E83"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r>
      <w:tr w:rsidR="00D63B70" w:rsidRPr="006D52A9" w14:paraId="28C27C4C" w14:textId="77777777" w:rsidTr="00A91628">
        <w:tblPrEx>
          <w:tblBorders>
            <w:top w:val="single" w:sz="4" w:space="0" w:color="auto"/>
          </w:tblBorders>
        </w:tblPrEx>
        <w:trPr>
          <w:tblCellSpacing w:w="22" w:type="dxa"/>
        </w:trPr>
        <w:tc>
          <w:tcPr>
            <w:tcW w:w="508" w:type="pct"/>
          </w:tcPr>
          <w:p w14:paraId="71DFCFD2" w14:textId="77777777" w:rsidR="00D63B70" w:rsidRPr="006D52A9" w:rsidRDefault="00D63B70" w:rsidP="00D63B70">
            <w:pPr>
              <w:rPr>
                <w:rFonts w:ascii="Arial" w:hAnsi="Arial" w:cs="Arial"/>
                <w:sz w:val="16"/>
                <w:szCs w:val="16"/>
              </w:rPr>
            </w:pPr>
            <w:r w:rsidRPr="006D52A9">
              <w:rPr>
                <w:rFonts w:ascii="Arial" w:hAnsi="Arial" w:cs="Arial"/>
                <w:sz w:val="16"/>
                <w:szCs w:val="16"/>
              </w:rPr>
              <w:t>Glecaprevir with pibrentasvir</w:t>
            </w:r>
          </w:p>
        </w:tc>
        <w:tc>
          <w:tcPr>
            <w:tcW w:w="943" w:type="pct"/>
          </w:tcPr>
          <w:p w14:paraId="32348D99"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100 mg glecaprevir with 40 mg pibrentasvir</w:t>
            </w:r>
          </w:p>
        </w:tc>
        <w:tc>
          <w:tcPr>
            <w:tcW w:w="540" w:type="pct"/>
          </w:tcPr>
          <w:p w14:paraId="2528E60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D0E2E6E" w14:textId="77777777" w:rsidR="00D63B70" w:rsidRPr="006D52A9" w:rsidRDefault="00D63B70" w:rsidP="00D63B70">
            <w:pPr>
              <w:rPr>
                <w:rFonts w:ascii="Arial" w:hAnsi="Arial" w:cs="Arial"/>
                <w:sz w:val="16"/>
                <w:szCs w:val="16"/>
              </w:rPr>
            </w:pPr>
            <w:r w:rsidRPr="006D52A9">
              <w:rPr>
                <w:rFonts w:ascii="Arial" w:hAnsi="Arial" w:cs="Arial"/>
                <w:sz w:val="16"/>
                <w:szCs w:val="16"/>
              </w:rPr>
              <w:t>Maviret</w:t>
            </w:r>
          </w:p>
        </w:tc>
        <w:tc>
          <w:tcPr>
            <w:tcW w:w="894" w:type="pct"/>
          </w:tcPr>
          <w:p w14:paraId="14180429" w14:textId="77777777" w:rsidR="00D63B70" w:rsidRPr="006D52A9" w:rsidRDefault="00D63B70" w:rsidP="00D63B70">
            <w:pPr>
              <w:rPr>
                <w:rFonts w:ascii="Arial" w:hAnsi="Arial" w:cs="Arial"/>
                <w:sz w:val="16"/>
                <w:szCs w:val="16"/>
              </w:rPr>
            </w:pPr>
            <w:r w:rsidRPr="006D52A9">
              <w:rPr>
                <w:rFonts w:ascii="Arial" w:hAnsi="Arial" w:cs="Arial"/>
                <w:sz w:val="16"/>
                <w:szCs w:val="16"/>
              </w:rPr>
              <w:t>C7593 C7615</w:t>
            </w:r>
            <w:r w:rsidRPr="006D52A9">
              <w:rPr>
                <w:i/>
              </w:rPr>
              <w:t xml:space="preserve"> </w:t>
            </w:r>
            <w:r w:rsidRPr="006D52A9">
              <w:rPr>
                <w:rFonts w:ascii="Arial" w:hAnsi="Arial" w:cs="Arial"/>
                <w:iCs/>
                <w:sz w:val="16"/>
                <w:szCs w:val="16"/>
              </w:rPr>
              <w:t>C</w:t>
            </w:r>
            <w:r w:rsidRPr="006D52A9">
              <w:rPr>
                <w:sz w:val="16"/>
                <w:szCs w:val="16"/>
              </w:rPr>
              <w:t>10268</w:t>
            </w:r>
          </w:p>
        </w:tc>
        <w:tc>
          <w:tcPr>
            <w:tcW w:w="376" w:type="pct"/>
          </w:tcPr>
          <w:p w14:paraId="78645655" w14:textId="77777777" w:rsidR="00D63B70" w:rsidRPr="006D52A9" w:rsidRDefault="00D63B70" w:rsidP="00D63B70">
            <w:pPr>
              <w:rPr>
                <w:rFonts w:ascii="Arial" w:hAnsi="Arial" w:cs="Arial"/>
                <w:sz w:val="16"/>
                <w:szCs w:val="16"/>
              </w:rPr>
            </w:pPr>
            <w:r w:rsidRPr="006D52A9">
              <w:rPr>
                <w:rFonts w:ascii="Arial" w:hAnsi="Arial" w:cs="Arial"/>
                <w:sz w:val="16"/>
                <w:szCs w:val="16"/>
              </w:rPr>
              <w:t>P7593</w:t>
            </w:r>
          </w:p>
        </w:tc>
        <w:tc>
          <w:tcPr>
            <w:tcW w:w="499" w:type="pct"/>
          </w:tcPr>
          <w:p w14:paraId="3C50F8FC" w14:textId="77777777" w:rsidR="00D63B70" w:rsidRPr="006D52A9" w:rsidRDefault="00D63B70" w:rsidP="00D63B70">
            <w:pPr>
              <w:rPr>
                <w:rFonts w:ascii="Arial" w:hAnsi="Arial" w:cs="Arial"/>
                <w:sz w:val="16"/>
                <w:szCs w:val="16"/>
              </w:rPr>
            </w:pPr>
            <w:r w:rsidRPr="006D52A9">
              <w:rPr>
                <w:rFonts w:ascii="Arial" w:hAnsi="Arial" w:cs="Arial"/>
                <w:sz w:val="16"/>
                <w:szCs w:val="16"/>
              </w:rPr>
              <w:t>84</w:t>
            </w:r>
          </w:p>
        </w:tc>
        <w:tc>
          <w:tcPr>
            <w:tcW w:w="502" w:type="pct"/>
          </w:tcPr>
          <w:p w14:paraId="096CAA00"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r>
      <w:tr w:rsidR="00D63B70" w:rsidRPr="006D52A9" w14:paraId="1BB1D083" w14:textId="77777777" w:rsidTr="00A91628">
        <w:tblPrEx>
          <w:tblBorders>
            <w:top w:val="single" w:sz="4" w:space="0" w:color="auto"/>
          </w:tblBorders>
        </w:tblPrEx>
        <w:trPr>
          <w:tblCellSpacing w:w="22" w:type="dxa"/>
        </w:trPr>
        <w:tc>
          <w:tcPr>
            <w:tcW w:w="508" w:type="pct"/>
          </w:tcPr>
          <w:p w14:paraId="48272F39" w14:textId="77777777" w:rsidR="00D63B70" w:rsidRPr="006D52A9" w:rsidRDefault="00D63B70" w:rsidP="00D63B70">
            <w:pPr>
              <w:rPr>
                <w:rFonts w:ascii="Arial" w:hAnsi="Arial" w:cs="Arial"/>
                <w:sz w:val="16"/>
                <w:szCs w:val="16"/>
              </w:rPr>
            </w:pPr>
          </w:p>
        </w:tc>
        <w:tc>
          <w:tcPr>
            <w:tcW w:w="943" w:type="pct"/>
          </w:tcPr>
          <w:p w14:paraId="224B7FB7" w14:textId="77777777" w:rsidR="00D63B70" w:rsidRPr="006D52A9" w:rsidRDefault="00D63B70" w:rsidP="00D63B70">
            <w:pPr>
              <w:rPr>
                <w:rFonts w:ascii="Arial" w:hAnsi="Arial" w:cs="Arial"/>
                <w:sz w:val="16"/>
                <w:szCs w:val="16"/>
              </w:rPr>
            </w:pPr>
          </w:p>
        </w:tc>
        <w:tc>
          <w:tcPr>
            <w:tcW w:w="540" w:type="pct"/>
          </w:tcPr>
          <w:p w14:paraId="456F596F" w14:textId="77777777" w:rsidR="00D63B70" w:rsidRPr="006D52A9" w:rsidRDefault="00D63B70" w:rsidP="00D63B70">
            <w:pPr>
              <w:rPr>
                <w:rFonts w:ascii="Arial" w:hAnsi="Arial" w:cs="Arial"/>
                <w:sz w:val="16"/>
                <w:szCs w:val="16"/>
              </w:rPr>
            </w:pPr>
          </w:p>
        </w:tc>
        <w:tc>
          <w:tcPr>
            <w:tcW w:w="591" w:type="pct"/>
          </w:tcPr>
          <w:p w14:paraId="5BC6DBE0" w14:textId="77777777" w:rsidR="00D63B70" w:rsidRPr="006D52A9" w:rsidRDefault="00D63B70" w:rsidP="00D63B70">
            <w:pPr>
              <w:rPr>
                <w:rFonts w:ascii="Arial" w:hAnsi="Arial" w:cs="Arial"/>
                <w:sz w:val="16"/>
                <w:szCs w:val="16"/>
              </w:rPr>
            </w:pPr>
          </w:p>
        </w:tc>
        <w:tc>
          <w:tcPr>
            <w:tcW w:w="894" w:type="pct"/>
          </w:tcPr>
          <w:p w14:paraId="76EE176F" w14:textId="77777777" w:rsidR="00D63B70" w:rsidRPr="006D52A9" w:rsidRDefault="00D63B70" w:rsidP="00D63B70">
            <w:pPr>
              <w:rPr>
                <w:rFonts w:ascii="Arial" w:hAnsi="Arial" w:cs="Arial"/>
                <w:sz w:val="16"/>
                <w:szCs w:val="16"/>
              </w:rPr>
            </w:pPr>
            <w:r w:rsidRPr="006D52A9">
              <w:rPr>
                <w:rFonts w:ascii="Arial" w:hAnsi="Arial" w:cs="Arial"/>
                <w:sz w:val="16"/>
                <w:szCs w:val="16"/>
              </w:rPr>
              <w:t>C7593 C7615</w:t>
            </w:r>
            <w:r w:rsidRPr="006D52A9">
              <w:rPr>
                <w:i/>
              </w:rPr>
              <w:t xml:space="preserve"> </w:t>
            </w:r>
            <w:r w:rsidRPr="006D52A9">
              <w:rPr>
                <w:rFonts w:ascii="Arial" w:hAnsi="Arial" w:cs="Arial"/>
                <w:iCs/>
                <w:sz w:val="16"/>
                <w:szCs w:val="16"/>
              </w:rPr>
              <w:t>C</w:t>
            </w:r>
            <w:r w:rsidRPr="006D52A9">
              <w:rPr>
                <w:sz w:val="16"/>
                <w:szCs w:val="16"/>
              </w:rPr>
              <w:t>10268</w:t>
            </w:r>
          </w:p>
        </w:tc>
        <w:tc>
          <w:tcPr>
            <w:tcW w:w="376" w:type="pct"/>
          </w:tcPr>
          <w:p w14:paraId="2705EF38" w14:textId="77777777" w:rsidR="00D63B70" w:rsidRPr="006D52A9" w:rsidRDefault="00D63B70" w:rsidP="00D63B70">
            <w:pPr>
              <w:rPr>
                <w:rFonts w:ascii="Arial" w:hAnsi="Arial" w:cs="Arial"/>
                <w:sz w:val="16"/>
                <w:szCs w:val="16"/>
              </w:rPr>
            </w:pPr>
            <w:r w:rsidRPr="006D52A9">
              <w:rPr>
                <w:rFonts w:ascii="Arial" w:hAnsi="Arial" w:cs="Arial"/>
                <w:sz w:val="16"/>
                <w:szCs w:val="16"/>
              </w:rPr>
              <w:t>P7615</w:t>
            </w:r>
          </w:p>
        </w:tc>
        <w:tc>
          <w:tcPr>
            <w:tcW w:w="499" w:type="pct"/>
          </w:tcPr>
          <w:p w14:paraId="29B6EE6B" w14:textId="77777777" w:rsidR="00D63B70" w:rsidRPr="006D52A9" w:rsidRDefault="00D63B70" w:rsidP="00D63B70">
            <w:pPr>
              <w:rPr>
                <w:rFonts w:ascii="Arial" w:hAnsi="Arial" w:cs="Arial"/>
                <w:sz w:val="16"/>
                <w:szCs w:val="16"/>
              </w:rPr>
            </w:pPr>
            <w:r w:rsidRPr="006D52A9">
              <w:rPr>
                <w:rFonts w:ascii="Arial" w:hAnsi="Arial" w:cs="Arial"/>
                <w:sz w:val="16"/>
                <w:szCs w:val="16"/>
              </w:rPr>
              <w:t>84</w:t>
            </w:r>
          </w:p>
        </w:tc>
        <w:tc>
          <w:tcPr>
            <w:tcW w:w="502" w:type="pct"/>
          </w:tcPr>
          <w:p w14:paraId="69E545C0"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1806FEBF" w14:textId="77777777" w:rsidTr="00A91628">
        <w:tblPrEx>
          <w:tblBorders>
            <w:top w:val="single" w:sz="4" w:space="0" w:color="auto"/>
          </w:tblBorders>
        </w:tblPrEx>
        <w:trPr>
          <w:tblCellSpacing w:w="22" w:type="dxa"/>
        </w:trPr>
        <w:tc>
          <w:tcPr>
            <w:tcW w:w="508" w:type="pct"/>
          </w:tcPr>
          <w:p w14:paraId="0F98EB70" w14:textId="77777777" w:rsidR="00D63B70" w:rsidRPr="006D52A9" w:rsidRDefault="00D63B70" w:rsidP="00D63B70">
            <w:pPr>
              <w:rPr>
                <w:rFonts w:ascii="Arial" w:hAnsi="Arial" w:cs="Arial"/>
                <w:sz w:val="16"/>
                <w:szCs w:val="16"/>
              </w:rPr>
            </w:pPr>
          </w:p>
        </w:tc>
        <w:tc>
          <w:tcPr>
            <w:tcW w:w="943" w:type="pct"/>
          </w:tcPr>
          <w:p w14:paraId="788CE3DA" w14:textId="77777777" w:rsidR="00D63B70" w:rsidRPr="006D52A9" w:rsidRDefault="00D63B70" w:rsidP="00D63B70">
            <w:pPr>
              <w:rPr>
                <w:rFonts w:ascii="Arial" w:hAnsi="Arial" w:cs="Arial"/>
                <w:sz w:val="16"/>
                <w:szCs w:val="16"/>
              </w:rPr>
            </w:pPr>
          </w:p>
        </w:tc>
        <w:tc>
          <w:tcPr>
            <w:tcW w:w="540" w:type="pct"/>
          </w:tcPr>
          <w:p w14:paraId="500E1CED" w14:textId="77777777" w:rsidR="00D63B70" w:rsidRPr="006D52A9" w:rsidRDefault="00D63B70" w:rsidP="00D63B70">
            <w:pPr>
              <w:rPr>
                <w:rFonts w:ascii="Arial" w:hAnsi="Arial" w:cs="Arial"/>
                <w:sz w:val="16"/>
                <w:szCs w:val="16"/>
              </w:rPr>
            </w:pPr>
          </w:p>
        </w:tc>
        <w:tc>
          <w:tcPr>
            <w:tcW w:w="591" w:type="pct"/>
          </w:tcPr>
          <w:p w14:paraId="48789E51" w14:textId="77777777" w:rsidR="00D63B70" w:rsidRPr="006D52A9" w:rsidRDefault="00D63B70" w:rsidP="00D63B70">
            <w:pPr>
              <w:rPr>
                <w:rFonts w:ascii="Arial" w:hAnsi="Arial" w:cs="Arial"/>
                <w:sz w:val="16"/>
                <w:szCs w:val="16"/>
              </w:rPr>
            </w:pPr>
          </w:p>
        </w:tc>
        <w:tc>
          <w:tcPr>
            <w:tcW w:w="894" w:type="pct"/>
          </w:tcPr>
          <w:p w14:paraId="565E6AAF" w14:textId="77777777" w:rsidR="00D63B70" w:rsidRPr="006D52A9" w:rsidRDefault="00D63B70" w:rsidP="00D63B70">
            <w:pPr>
              <w:rPr>
                <w:rFonts w:ascii="Arial" w:hAnsi="Arial" w:cs="Arial"/>
                <w:sz w:val="16"/>
                <w:szCs w:val="16"/>
              </w:rPr>
            </w:pPr>
            <w:r w:rsidRPr="006D52A9">
              <w:rPr>
                <w:rFonts w:ascii="Arial" w:hAnsi="Arial" w:cs="Arial"/>
                <w:sz w:val="16"/>
                <w:szCs w:val="16"/>
              </w:rPr>
              <w:t>C7593 C7615</w:t>
            </w:r>
            <w:r w:rsidRPr="006D52A9">
              <w:rPr>
                <w:i/>
              </w:rPr>
              <w:t xml:space="preserve"> </w:t>
            </w:r>
            <w:r w:rsidRPr="006D52A9">
              <w:rPr>
                <w:rFonts w:ascii="Arial" w:hAnsi="Arial" w:cs="Arial"/>
                <w:iCs/>
                <w:sz w:val="16"/>
                <w:szCs w:val="16"/>
              </w:rPr>
              <w:t>C</w:t>
            </w:r>
            <w:r w:rsidRPr="006D52A9">
              <w:rPr>
                <w:sz w:val="16"/>
                <w:szCs w:val="16"/>
              </w:rPr>
              <w:t>10268</w:t>
            </w:r>
          </w:p>
        </w:tc>
        <w:tc>
          <w:tcPr>
            <w:tcW w:w="376" w:type="pct"/>
          </w:tcPr>
          <w:p w14:paraId="7F2F8C91" w14:textId="77777777" w:rsidR="00D63B70" w:rsidRPr="006D52A9" w:rsidRDefault="00D63B70" w:rsidP="00D63B70">
            <w:pPr>
              <w:rPr>
                <w:rFonts w:ascii="Arial" w:hAnsi="Arial" w:cs="Arial"/>
                <w:sz w:val="16"/>
                <w:szCs w:val="16"/>
              </w:rPr>
            </w:pPr>
            <w:r w:rsidRPr="006D52A9">
              <w:rPr>
                <w:rFonts w:ascii="Arial" w:hAnsi="Arial" w:cs="Arial"/>
                <w:iCs/>
                <w:sz w:val="16"/>
                <w:szCs w:val="16"/>
              </w:rPr>
              <w:t>P</w:t>
            </w:r>
            <w:r w:rsidRPr="006D52A9">
              <w:rPr>
                <w:sz w:val="16"/>
                <w:szCs w:val="16"/>
              </w:rPr>
              <w:t>10268</w:t>
            </w:r>
          </w:p>
        </w:tc>
        <w:tc>
          <w:tcPr>
            <w:tcW w:w="499" w:type="pct"/>
          </w:tcPr>
          <w:p w14:paraId="5E30A470" w14:textId="77777777" w:rsidR="00D63B70" w:rsidRPr="006D52A9" w:rsidRDefault="00D63B70" w:rsidP="00D63B70">
            <w:pPr>
              <w:rPr>
                <w:rFonts w:ascii="Arial" w:hAnsi="Arial" w:cs="Arial"/>
                <w:sz w:val="16"/>
                <w:szCs w:val="16"/>
              </w:rPr>
            </w:pPr>
            <w:r w:rsidRPr="006D52A9">
              <w:rPr>
                <w:rFonts w:ascii="Arial" w:hAnsi="Arial" w:cs="Arial"/>
                <w:sz w:val="16"/>
                <w:szCs w:val="16"/>
              </w:rPr>
              <w:t>84</w:t>
            </w:r>
          </w:p>
        </w:tc>
        <w:tc>
          <w:tcPr>
            <w:tcW w:w="502" w:type="pct"/>
          </w:tcPr>
          <w:p w14:paraId="0B215001" w14:textId="77777777" w:rsidR="00D63B70" w:rsidRPr="006D52A9" w:rsidRDefault="00D63B70" w:rsidP="00D63B70">
            <w:pPr>
              <w:rPr>
                <w:rFonts w:ascii="Arial" w:hAnsi="Arial" w:cs="Arial"/>
                <w:sz w:val="16"/>
                <w:szCs w:val="16"/>
              </w:rPr>
            </w:pPr>
            <w:r w:rsidRPr="006D52A9">
              <w:rPr>
                <w:rFonts w:ascii="Arial" w:hAnsi="Arial" w:cs="Arial"/>
                <w:sz w:val="16"/>
                <w:szCs w:val="16"/>
              </w:rPr>
              <w:t>3</w:t>
            </w:r>
          </w:p>
        </w:tc>
      </w:tr>
      <w:tr w:rsidR="00D63B70" w:rsidRPr="006D52A9" w14:paraId="655F034B" w14:textId="77777777" w:rsidTr="00A91628">
        <w:tblPrEx>
          <w:tblBorders>
            <w:top w:val="single" w:sz="4" w:space="0" w:color="auto"/>
          </w:tblBorders>
        </w:tblPrEx>
        <w:trPr>
          <w:tblCellSpacing w:w="22" w:type="dxa"/>
        </w:trPr>
        <w:tc>
          <w:tcPr>
            <w:tcW w:w="508" w:type="pct"/>
          </w:tcPr>
          <w:p w14:paraId="5F67AAB2"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Grazoprevir with elbasvir</w:t>
            </w:r>
          </w:p>
        </w:tc>
        <w:tc>
          <w:tcPr>
            <w:tcW w:w="943" w:type="pct"/>
          </w:tcPr>
          <w:p w14:paraId="270C492E"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grazoprevir 100 mg with elbasvir 50 mg</w:t>
            </w:r>
          </w:p>
        </w:tc>
        <w:tc>
          <w:tcPr>
            <w:tcW w:w="540" w:type="pct"/>
          </w:tcPr>
          <w:p w14:paraId="1D602D6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DB9702E" w14:textId="77777777" w:rsidR="00D63B70" w:rsidRPr="006D52A9" w:rsidRDefault="00D63B70" w:rsidP="00D63B70">
            <w:pPr>
              <w:rPr>
                <w:rFonts w:ascii="Arial" w:hAnsi="Arial" w:cs="Arial"/>
                <w:sz w:val="16"/>
                <w:szCs w:val="16"/>
              </w:rPr>
            </w:pPr>
            <w:r w:rsidRPr="006D52A9">
              <w:rPr>
                <w:rFonts w:ascii="Arial" w:hAnsi="Arial" w:cs="Arial"/>
                <w:sz w:val="16"/>
                <w:szCs w:val="16"/>
              </w:rPr>
              <w:t>Zepatier</w:t>
            </w:r>
          </w:p>
        </w:tc>
        <w:tc>
          <w:tcPr>
            <w:tcW w:w="894" w:type="pct"/>
          </w:tcPr>
          <w:p w14:paraId="1E113FF2" w14:textId="77777777" w:rsidR="00D63B70" w:rsidRPr="006D52A9" w:rsidRDefault="00D63B70" w:rsidP="00D63B70">
            <w:pPr>
              <w:rPr>
                <w:rFonts w:ascii="Arial" w:hAnsi="Arial" w:cs="Arial"/>
                <w:sz w:val="16"/>
                <w:szCs w:val="16"/>
              </w:rPr>
            </w:pPr>
            <w:r w:rsidRPr="006D52A9">
              <w:rPr>
                <w:rFonts w:ascii="Arial" w:hAnsi="Arial" w:cs="Arial"/>
                <w:sz w:val="16"/>
                <w:szCs w:val="16"/>
              </w:rPr>
              <w:t>C5969 C6625</w:t>
            </w:r>
          </w:p>
        </w:tc>
        <w:tc>
          <w:tcPr>
            <w:tcW w:w="376" w:type="pct"/>
          </w:tcPr>
          <w:p w14:paraId="16CEF957" w14:textId="77777777" w:rsidR="00D63B70" w:rsidRPr="006D52A9" w:rsidRDefault="00D63B70" w:rsidP="00D63B70">
            <w:pPr>
              <w:rPr>
                <w:rFonts w:ascii="Arial" w:hAnsi="Arial" w:cs="Arial"/>
                <w:sz w:val="16"/>
                <w:szCs w:val="16"/>
              </w:rPr>
            </w:pPr>
            <w:r w:rsidRPr="006D52A9">
              <w:rPr>
                <w:rFonts w:ascii="Arial" w:hAnsi="Arial" w:cs="Arial"/>
                <w:sz w:val="16"/>
                <w:szCs w:val="16"/>
              </w:rPr>
              <w:t>P5969</w:t>
            </w:r>
          </w:p>
        </w:tc>
        <w:tc>
          <w:tcPr>
            <w:tcW w:w="499" w:type="pct"/>
          </w:tcPr>
          <w:p w14:paraId="1D402A97"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41AEAE3C"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646B4B79" w14:textId="77777777" w:rsidTr="00A91628">
        <w:tblPrEx>
          <w:tblBorders>
            <w:top w:val="single" w:sz="4" w:space="0" w:color="auto"/>
          </w:tblBorders>
        </w:tblPrEx>
        <w:trPr>
          <w:tblCellSpacing w:w="22" w:type="dxa"/>
        </w:trPr>
        <w:tc>
          <w:tcPr>
            <w:tcW w:w="508" w:type="pct"/>
          </w:tcPr>
          <w:p w14:paraId="090E49BD" w14:textId="77777777" w:rsidR="00D63B70" w:rsidRPr="006D52A9" w:rsidRDefault="00D63B70" w:rsidP="00D63B70">
            <w:pPr>
              <w:rPr>
                <w:rFonts w:ascii="Arial" w:hAnsi="Arial" w:cs="Arial"/>
                <w:sz w:val="16"/>
                <w:szCs w:val="16"/>
              </w:rPr>
            </w:pPr>
          </w:p>
        </w:tc>
        <w:tc>
          <w:tcPr>
            <w:tcW w:w="943" w:type="pct"/>
          </w:tcPr>
          <w:p w14:paraId="042F83F2" w14:textId="77777777" w:rsidR="00D63B70" w:rsidRPr="006D52A9" w:rsidRDefault="00D63B70" w:rsidP="00D63B70">
            <w:pPr>
              <w:rPr>
                <w:rFonts w:ascii="Arial" w:hAnsi="Arial" w:cs="Arial"/>
                <w:sz w:val="16"/>
                <w:szCs w:val="16"/>
              </w:rPr>
            </w:pPr>
          </w:p>
        </w:tc>
        <w:tc>
          <w:tcPr>
            <w:tcW w:w="540" w:type="pct"/>
          </w:tcPr>
          <w:p w14:paraId="2DE59BCE" w14:textId="77777777" w:rsidR="00D63B70" w:rsidRPr="006D52A9" w:rsidRDefault="00D63B70" w:rsidP="00D63B70">
            <w:pPr>
              <w:rPr>
                <w:rFonts w:ascii="Arial" w:hAnsi="Arial" w:cs="Arial"/>
                <w:sz w:val="16"/>
                <w:szCs w:val="16"/>
              </w:rPr>
            </w:pPr>
          </w:p>
        </w:tc>
        <w:tc>
          <w:tcPr>
            <w:tcW w:w="591" w:type="pct"/>
          </w:tcPr>
          <w:p w14:paraId="5C96ECD9" w14:textId="77777777" w:rsidR="00D63B70" w:rsidRPr="006D52A9" w:rsidRDefault="00D63B70" w:rsidP="00D63B70">
            <w:pPr>
              <w:rPr>
                <w:rFonts w:ascii="Arial" w:hAnsi="Arial" w:cs="Arial"/>
                <w:sz w:val="16"/>
                <w:szCs w:val="16"/>
              </w:rPr>
            </w:pPr>
          </w:p>
        </w:tc>
        <w:tc>
          <w:tcPr>
            <w:tcW w:w="894" w:type="pct"/>
          </w:tcPr>
          <w:p w14:paraId="250937D2" w14:textId="77777777" w:rsidR="00D63B70" w:rsidRPr="006D52A9" w:rsidRDefault="00D63B70" w:rsidP="00D63B70">
            <w:pPr>
              <w:rPr>
                <w:rFonts w:ascii="Arial" w:hAnsi="Arial" w:cs="Arial"/>
                <w:sz w:val="16"/>
                <w:szCs w:val="16"/>
              </w:rPr>
            </w:pPr>
            <w:r w:rsidRPr="006D52A9">
              <w:rPr>
                <w:rFonts w:ascii="Arial" w:hAnsi="Arial" w:cs="Arial"/>
                <w:sz w:val="16"/>
                <w:szCs w:val="16"/>
              </w:rPr>
              <w:t>C5969 C6625</w:t>
            </w:r>
          </w:p>
        </w:tc>
        <w:tc>
          <w:tcPr>
            <w:tcW w:w="376" w:type="pct"/>
          </w:tcPr>
          <w:p w14:paraId="6DAF37D9" w14:textId="77777777" w:rsidR="00D63B70" w:rsidRPr="006D52A9" w:rsidRDefault="00D63B70" w:rsidP="00D63B70">
            <w:pPr>
              <w:rPr>
                <w:rFonts w:ascii="Arial" w:hAnsi="Arial" w:cs="Arial"/>
                <w:sz w:val="16"/>
                <w:szCs w:val="16"/>
              </w:rPr>
            </w:pPr>
            <w:r w:rsidRPr="006D52A9">
              <w:rPr>
                <w:rFonts w:ascii="Arial" w:hAnsi="Arial" w:cs="Arial"/>
                <w:sz w:val="16"/>
                <w:szCs w:val="16"/>
              </w:rPr>
              <w:t>P6625</w:t>
            </w:r>
          </w:p>
        </w:tc>
        <w:tc>
          <w:tcPr>
            <w:tcW w:w="499" w:type="pct"/>
          </w:tcPr>
          <w:p w14:paraId="75FE6163"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3AEAFFFC" w14:textId="77777777" w:rsidR="00D63B70" w:rsidRPr="006D52A9" w:rsidRDefault="00D63B70" w:rsidP="00D63B70">
            <w:pPr>
              <w:rPr>
                <w:rFonts w:ascii="Arial" w:hAnsi="Arial" w:cs="Arial"/>
                <w:sz w:val="16"/>
                <w:szCs w:val="16"/>
              </w:rPr>
            </w:pPr>
            <w:r w:rsidRPr="006D52A9">
              <w:rPr>
                <w:rFonts w:ascii="Arial" w:hAnsi="Arial" w:cs="Arial"/>
                <w:sz w:val="16"/>
                <w:szCs w:val="16"/>
              </w:rPr>
              <w:t>3</w:t>
            </w:r>
          </w:p>
        </w:tc>
      </w:tr>
      <w:tr w:rsidR="00D63B70" w:rsidRPr="006D52A9" w14:paraId="0BECFFA8" w14:textId="77777777" w:rsidTr="00A91628">
        <w:tblPrEx>
          <w:tblBorders>
            <w:top w:val="single" w:sz="4" w:space="0" w:color="auto"/>
          </w:tblBorders>
        </w:tblPrEx>
        <w:trPr>
          <w:tblCellSpacing w:w="22" w:type="dxa"/>
        </w:trPr>
        <w:tc>
          <w:tcPr>
            <w:tcW w:w="508" w:type="pct"/>
          </w:tcPr>
          <w:p w14:paraId="033B5480" w14:textId="77777777" w:rsidR="00D63B70" w:rsidRPr="006D52A9" w:rsidRDefault="00D63B70" w:rsidP="00D63B70">
            <w:pPr>
              <w:keepNext/>
              <w:rPr>
                <w:rFonts w:ascii="Arial" w:hAnsi="Arial" w:cs="Arial"/>
                <w:sz w:val="16"/>
                <w:szCs w:val="16"/>
              </w:rPr>
            </w:pPr>
            <w:r w:rsidRPr="006D52A9">
              <w:rPr>
                <w:rFonts w:ascii="Arial" w:hAnsi="Arial" w:cs="Arial"/>
                <w:sz w:val="16"/>
                <w:szCs w:val="16"/>
              </w:rPr>
              <w:lastRenderedPageBreak/>
              <w:t>Ibandronic acid</w:t>
            </w:r>
          </w:p>
        </w:tc>
        <w:tc>
          <w:tcPr>
            <w:tcW w:w="943" w:type="pct"/>
          </w:tcPr>
          <w:p w14:paraId="1625696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Concentrated injection for I.V. infusion 6 mg (as ibandronate sodium monohydrate) in 6 mL</w:t>
            </w:r>
          </w:p>
        </w:tc>
        <w:tc>
          <w:tcPr>
            <w:tcW w:w="540" w:type="pct"/>
          </w:tcPr>
          <w:p w14:paraId="344A338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1DA84E2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Bondronat</w:t>
            </w:r>
          </w:p>
        </w:tc>
        <w:tc>
          <w:tcPr>
            <w:tcW w:w="894" w:type="pct"/>
          </w:tcPr>
          <w:p w14:paraId="5CCA6B1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C5291 C9333</w:t>
            </w:r>
          </w:p>
        </w:tc>
        <w:tc>
          <w:tcPr>
            <w:tcW w:w="376" w:type="pct"/>
          </w:tcPr>
          <w:p w14:paraId="5C7BD535" w14:textId="77777777" w:rsidR="00D63B70" w:rsidRPr="006D52A9" w:rsidRDefault="00D63B70" w:rsidP="00D63B70">
            <w:pPr>
              <w:keepNext/>
              <w:rPr>
                <w:rFonts w:ascii="Arial" w:hAnsi="Arial" w:cs="Arial"/>
                <w:sz w:val="16"/>
                <w:szCs w:val="16"/>
              </w:rPr>
            </w:pPr>
          </w:p>
        </w:tc>
        <w:tc>
          <w:tcPr>
            <w:tcW w:w="499" w:type="pct"/>
          </w:tcPr>
          <w:p w14:paraId="15AF2966"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w:t>
            </w:r>
          </w:p>
        </w:tc>
        <w:tc>
          <w:tcPr>
            <w:tcW w:w="502" w:type="pct"/>
          </w:tcPr>
          <w:p w14:paraId="7BD3EB0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11</w:t>
            </w:r>
          </w:p>
        </w:tc>
      </w:tr>
      <w:tr w:rsidR="00D63B70" w:rsidRPr="006D52A9" w14:paraId="7137D110" w14:textId="77777777" w:rsidTr="00A91628">
        <w:tblPrEx>
          <w:tblBorders>
            <w:top w:val="single" w:sz="4" w:space="0" w:color="auto"/>
          </w:tblBorders>
        </w:tblPrEx>
        <w:trPr>
          <w:tblCellSpacing w:w="22" w:type="dxa"/>
        </w:trPr>
        <w:tc>
          <w:tcPr>
            <w:tcW w:w="508" w:type="pct"/>
          </w:tcPr>
          <w:p w14:paraId="1E1890D9" w14:textId="77777777" w:rsidR="00D63B70" w:rsidRPr="006D52A9" w:rsidRDefault="00D63B70" w:rsidP="00D63B70">
            <w:pPr>
              <w:rPr>
                <w:rFonts w:ascii="Arial" w:hAnsi="Arial" w:cs="Arial"/>
                <w:sz w:val="16"/>
                <w:szCs w:val="16"/>
              </w:rPr>
            </w:pPr>
            <w:r w:rsidRPr="006D52A9">
              <w:rPr>
                <w:rFonts w:ascii="Arial" w:hAnsi="Arial" w:cs="Arial"/>
                <w:sz w:val="16"/>
                <w:szCs w:val="16"/>
              </w:rPr>
              <w:t>Iloprost</w:t>
            </w:r>
          </w:p>
        </w:tc>
        <w:tc>
          <w:tcPr>
            <w:tcW w:w="943" w:type="pct"/>
          </w:tcPr>
          <w:p w14:paraId="2F798CE1"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inhalation 20 micrograms (as trometamol) in 2 mL</w:t>
            </w:r>
          </w:p>
        </w:tc>
        <w:tc>
          <w:tcPr>
            <w:tcW w:w="540" w:type="pct"/>
          </w:tcPr>
          <w:p w14:paraId="651E687B" w14:textId="77777777" w:rsidR="00D63B70" w:rsidRPr="006D52A9" w:rsidRDefault="00D63B70" w:rsidP="00D63B70">
            <w:pPr>
              <w:rPr>
                <w:rFonts w:ascii="Arial" w:hAnsi="Arial" w:cs="Arial"/>
                <w:sz w:val="16"/>
                <w:szCs w:val="16"/>
              </w:rPr>
            </w:pPr>
            <w:r w:rsidRPr="006D52A9">
              <w:rPr>
                <w:rFonts w:ascii="Arial" w:hAnsi="Arial" w:cs="Arial"/>
                <w:sz w:val="16"/>
                <w:szCs w:val="16"/>
              </w:rPr>
              <w:t>Inhalation</w:t>
            </w:r>
          </w:p>
        </w:tc>
        <w:tc>
          <w:tcPr>
            <w:tcW w:w="591" w:type="pct"/>
          </w:tcPr>
          <w:p w14:paraId="5A9B213B" w14:textId="77777777" w:rsidR="00D63B70" w:rsidRPr="006D52A9" w:rsidRDefault="00D63B70" w:rsidP="00D63B70">
            <w:pPr>
              <w:rPr>
                <w:rFonts w:ascii="Arial" w:hAnsi="Arial" w:cs="Arial"/>
                <w:sz w:val="16"/>
                <w:szCs w:val="16"/>
              </w:rPr>
            </w:pPr>
            <w:r w:rsidRPr="006D52A9">
              <w:rPr>
                <w:rFonts w:ascii="Arial" w:hAnsi="Arial" w:cs="Arial"/>
                <w:sz w:val="16"/>
                <w:szCs w:val="16"/>
              </w:rPr>
              <w:t>Ventavis</w:t>
            </w:r>
          </w:p>
        </w:tc>
        <w:tc>
          <w:tcPr>
            <w:tcW w:w="894" w:type="pct"/>
          </w:tcPr>
          <w:p w14:paraId="0C56B98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C10229 C11322 C11323 C11325 C11343 C11345 C11356 C11365</w:t>
            </w:r>
          </w:p>
        </w:tc>
        <w:tc>
          <w:tcPr>
            <w:tcW w:w="376" w:type="pct"/>
          </w:tcPr>
          <w:p w14:paraId="7617B1B3" w14:textId="77777777" w:rsidR="00D63B70" w:rsidRPr="006D52A9" w:rsidRDefault="00D63B70" w:rsidP="00D63B70">
            <w:pPr>
              <w:rPr>
                <w:rFonts w:ascii="Arial" w:hAnsi="Arial" w:cs="Arial"/>
                <w:sz w:val="16"/>
                <w:szCs w:val="16"/>
              </w:rPr>
            </w:pPr>
          </w:p>
        </w:tc>
        <w:tc>
          <w:tcPr>
            <w:tcW w:w="499" w:type="pct"/>
          </w:tcPr>
          <w:p w14:paraId="06091B7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66E517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033F9528" w14:textId="77777777" w:rsidTr="00A91628">
        <w:tblPrEx>
          <w:tblBorders>
            <w:top w:val="single" w:sz="4" w:space="0" w:color="auto"/>
          </w:tblBorders>
        </w:tblPrEx>
        <w:trPr>
          <w:tblCellSpacing w:w="22" w:type="dxa"/>
        </w:trPr>
        <w:tc>
          <w:tcPr>
            <w:tcW w:w="508" w:type="pct"/>
          </w:tcPr>
          <w:p w14:paraId="055C51AC"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Infliximab</w:t>
            </w:r>
          </w:p>
        </w:tc>
        <w:tc>
          <w:tcPr>
            <w:tcW w:w="943" w:type="pct"/>
          </w:tcPr>
          <w:p w14:paraId="41B5D487"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Powder for I.V. infusion 100 mg</w:t>
            </w:r>
          </w:p>
        </w:tc>
        <w:tc>
          <w:tcPr>
            <w:tcW w:w="540" w:type="pct"/>
          </w:tcPr>
          <w:p w14:paraId="77A71CDA"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10AC0EB"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Inflectra</w:t>
            </w:r>
          </w:p>
        </w:tc>
        <w:tc>
          <w:tcPr>
            <w:tcW w:w="894" w:type="pct"/>
          </w:tcPr>
          <w:p w14:paraId="7497DC99"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C4524 C7777 C8296 C8644 C8645 C8646 C8715 C8743 C8744 C8745 C8755 C8800 C8844 C8881 C8883 C8886 C8940 C8941 C8962 C8983 C9065 C9067 C9068 C9110 C9111 C9169 C9188 C9191 C9400 C9401 C9402 C9472 C9481 C9487 C9558 C9559 C9584 C9587 C9602 C9621 C9632 C9668 C9669 C9675 C9676 C9677 C9719 C9721 C9731 C9732 C9733 C9751 C9752 C9754 C9756 C9759 C9775 C9776 C9778 C9779 C9781 C9783 C9785 C9787 C9788 C9799 C9800 C9803 C9806 C9877 C9900 C9975 C9994 C11094 C11095 C11111 C11112 C11127 </w:t>
            </w:r>
            <w:r w:rsidRPr="006D52A9">
              <w:rPr>
                <w:rFonts w:ascii="Arial" w:hAnsi="Arial" w:cs="Arial"/>
                <w:sz w:val="16"/>
                <w:szCs w:val="16"/>
              </w:rPr>
              <w:lastRenderedPageBreak/>
              <w:t>C11128 C11129 C11158 C11159</w:t>
            </w:r>
          </w:p>
        </w:tc>
        <w:tc>
          <w:tcPr>
            <w:tcW w:w="376" w:type="pct"/>
          </w:tcPr>
          <w:p w14:paraId="00F6C2A3" w14:textId="77777777" w:rsidR="00D63B70" w:rsidRPr="006D52A9" w:rsidDel="0013028C" w:rsidRDefault="00D63B70" w:rsidP="00D63B70">
            <w:pPr>
              <w:rPr>
                <w:rFonts w:ascii="Arial" w:hAnsi="Arial" w:cs="Arial"/>
                <w:sz w:val="16"/>
                <w:szCs w:val="16"/>
              </w:rPr>
            </w:pPr>
          </w:p>
        </w:tc>
        <w:tc>
          <w:tcPr>
            <w:tcW w:w="499" w:type="pct"/>
          </w:tcPr>
          <w:p w14:paraId="15958DC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56DE038"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1A083393" w14:textId="77777777" w:rsidTr="00A91628">
        <w:tblPrEx>
          <w:tblBorders>
            <w:top w:val="single" w:sz="4" w:space="0" w:color="auto"/>
          </w:tblBorders>
        </w:tblPrEx>
        <w:trPr>
          <w:tblCellSpacing w:w="22" w:type="dxa"/>
        </w:trPr>
        <w:tc>
          <w:tcPr>
            <w:tcW w:w="508" w:type="pct"/>
          </w:tcPr>
          <w:p w14:paraId="3949E255" w14:textId="77777777" w:rsidR="00D63B70" w:rsidRPr="006D52A9" w:rsidDel="0013028C" w:rsidRDefault="00D63B70" w:rsidP="00D63B70">
            <w:pPr>
              <w:rPr>
                <w:rFonts w:ascii="Arial" w:hAnsi="Arial" w:cs="Arial"/>
                <w:sz w:val="16"/>
                <w:szCs w:val="16"/>
              </w:rPr>
            </w:pPr>
          </w:p>
        </w:tc>
        <w:tc>
          <w:tcPr>
            <w:tcW w:w="943" w:type="pct"/>
          </w:tcPr>
          <w:p w14:paraId="627C9AF4" w14:textId="77777777" w:rsidR="00D63B70" w:rsidRPr="006D52A9" w:rsidDel="0013028C" w:rsidRDefault="00D63B70" w:rsidP="00D63B70">
            <w:pPr>
              <w:rPr>
                <w:rFonts w:ascii="Arial" w:hAnsi="Arial" w:cs="Arial"/>
                <w:sz w:val="16"/>
                <w:szCs w:val="16"/>
              </w:rPr>
            </w:pPr>
          </w:p>
        </w:tc>
        <w:tc>
          <w:tcPr>
            <w:tcW w:w="540" w:type="pct"/>
          </w:tcPr>
          <w:p w14:paraId="6151610C" w14:textId="77777777" w:rsidR="00D63B70" w:rsidRPr="006D52A9" w:rsidDel="0013028C" w:rsidRDefault="00D63B70" w:rsidP="00D63B70">
            <w:pPr>
              <w:rPr>
                <w:rFonts w:ascii="Arial" w:hAnsi="Arial" w:cs="Arial"/>
                <w:sz w:val="16"/>
                <w:szCs w:val="16"/>
              </w:rPr>
            </w:pPr>
          </w:p>
        </w:tc>
        <w:tc>
          <w:tcPr>
            <w:tcW w:w="591" w:type="pct"/>
          </w:tcPr>
          <w:p w14:paraId="0A050478"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Remicade</w:t>
            </w:r>
          </w:p>
        </w:tc>
        <w:tc>
          <w:tcPr>
            <w:tcW w:w="894" w:type="pct"/>
          </w:tcPr>
          <w:p w14:paraId="7D8933C6"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C4524 C7777 C8296 C8644 C8645 C8646 C8715 C8743 C8744 C8745 C8800 C8881 C8883 C8886 C8941 C8962 C8983 C9065 C9067 C9068 C9110 C9111 C9169 C9191 C9400 C9401 C9402 C9487 C9558 C9559 C9587 C9632 C9669 C9675 C9676 C9677 C9719 C9721 C9751 C9752 C9754 C9756 C9759 C9776 C9778 C9779 C9781 C9783 C9788 C9799 C9800 C9803 C9877 C9900 C9994 C11094 C11095 C11111 C11112 C11127 C11128 C11129 C11158 C11159</w:t>
            </w:r>
          </w:p>
        </w:tc>
        <w:tc>
          <w:tcPr>
            <w:tcW w:w="376" w:type="pct"/>
          </w:tcPr>
          <w:p w14:paraId="13943E60" w14:textId="77777777" w:rsidR="00D63B70" w:rsidRPr="006D52A9" w:rsidDel="0013028C" w:rsidRDefault="00D63B70" w:rsidP="00D63B70">
            <w:pPr>
              <w:rPr>
                <w:rFonts w:ascii="Arial" w:hAnsi="Arial" w:cs="Arial"/>
                <w:sz w:val="16"/>
                <w:szCs w:val="16"/>
              </w:rPr>
            </w:pPr>
          </w:p>
        </w:tc>
        <w:tc>
          <w:tcPr>
            <w:tcW w:w="499" w:type="pct"/>
          </w:tcPr>
          <w:p w14:paraId="39299DB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C93B80B"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3028C" w14:paraId="597BB211" w14:textId="77777777" w:rsidTr="00A91628">
        <w:tblPrEx>
          <w:tblBorders>
            <w:top w:val="single" w:sz="4" w:space="0" w:color="auto"/>
          </w:tblBorders>
        </w:tblPrEx>
        <w:trPr>
          <w:tblCellSpacing w:w="22" w:type="dxa"/>
        </w:trPr>
        <w:tc>
          <w:tcPr>
            <w:tcW w:w="508" w:type="pct"/>
          </w:tcPr>
          <w:p w14:paraId="47AF3D02" w14:textId="77777777" w:rsidR="00D63B70" w:rsidRPr="006D52A9" w:rsidDel="0013028C" w:rsidRDefault="00D63B70" w:rsidP="00D63B70">
            <w:pPr>
              <w:rPr>
                <w:rFonts w:ascii="Arial" w:hAnsi="Arial" w:cs="Arial"/>
                <w:sz w:val="16"/>
                <w:szCs w:val="16"/>
              </w:rPr>
            </w:pPr>
          </w:p>
        </w:tc>
        <w:tc>
          <w:tcPr>
            <w:tcW w:w="943" w:type="pct"/>
          </w:tcPr>
          <w:p w14:paraId="28C44ED1" w14:textId="77777777" w:rsidR="00D63B70" w:rsidRPr="006D52A9" w:rsidDel="0013028C" w:rsidRDefault="00D63B70" w:rsidP="00D63B70">
            <w:pPr>
              <w:rPr>
                <w:rFonts w:ascii="Arial" w:hAnsi="Arial" w:cs="Arial"/>
                <w:sz w:val="16"/>
                <w:szCs w:val="16"/>
              </w:rPr>
            </w:pPr>
          </w:p>
        </w:tc>
        <w:tc>
          <w:tcPr>
            <w:tcW w:w="540" w:type="pct"/>
          </w:tcPr>
          <w:p w14:paraId="0E1080A5" w14:textId="77777777" w:rsidR="00D63B70" w:rsidRPr="006D52A9" w:rsidDel="0013028C" w:rsidRDefault="00D63B70" w:rsidP="00D63B70">
            <w:pPr>
              <w:rPr>
                <w:rFonts w:ascii="Arial" w:hAnsi="Arial" w:cs="Arial"/>
                <w:sz w:val="16"/>
                <w:szCs w:val="16"/>
              </w:rPr>
            </w:pPr>
          </w:p>
        </w:tc>
        <w:tc>
          <w:tcPr>
            <w:tcW w:w="591" w:type="pct"/>
          </w:tcPr>
          <w:p w14:paraId="2A23EFD1"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Renflexis</w:t>
            </w:r>
          </w:p>
        </w:tc>
        <w:tc>
          <w:tcPr>
            <w:tcW w:w="894" w:type="pct"/>
          </w:tcPr>
          <w:p w14:paraId="3FB3EF68"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C4524 C7777 C8296 C8644 C8645 C8646 C8715 C8743 C8744 C8745 C8755 C8800 C8844 C8881 C8883 C8886 C8940 C8941 C8962 C8983 C9065 C9067 C9068 C9110 C9111 C9169 C9188 C9191 </w:t>
            </w:r>
            <w:r w:rsidRPr="006D52A9">
              <w:rPr>
                <w:rFonts w:ascii="Arial" w:hAnsi="Arial" w:cs="Arial"/>
                <w:sz w:val="16"/>
                <w:szCs w:val="16"/>
              </w:rPr>
              <w:lastRenderedPageBreak/>
              <w:t>C9400 C9401 C9402 C9472 C9481 C9487 C9558 C9559 C9584 C9587 C9602 C9621 C9632 C9668 C9669 C9675 C9676 C9677 C9719 C9721 C9731 C9732 C9733 C9751 C9752 C9754 C9756 C9759 C9775 C9776 C9778 C9779 C9781 C9783 C9785 C9787 C9788 C9799 C9800 C9803 C9806 C9877 C9900 C9975 C9994 C11094 C11095 C11111 C11112 C11127 C11128 C11129 C11158 C11159</w:t>
            </w:r>
          </w:p>
        </w:tc>
        <w:tc>
          <w:tcPr>
            <w:tcW w:w="376" w:type="pct"/>
          </w:tcPr>
          <w:p w14:paraId="74F43162" w14:textId="77777777" w:rsidR="00D63B70" w:rsidRPr="006D52A9" w:rsidDel="0013028C" w:rsidRDefault="00D63B70" w:rsidP="00D63B70">
            <w:pPr>
              <w:rPr>
                <w:rFonts w:ascii="Arial" w:hAnsi="Arial" w:cs="Arial"/>
                <w:sz w:val="16"/>
                <w:szCs w:val="16"/>
              </w:rPr>
            </w:pPr>
          </w:p>
        </w:tc>
        <w:tc>
          <w:tcPr>
            <w:tcW w:w="499" w:type="pct"/>
          </w:tcPr>
          <w:p w14:paraId="57177D2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B2A1BDD" w14:textId="77777777" w:rsidR="00D63B70" w:rsidRPr="006D52A9" w:rsidDel="0013028C"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7E61DB7" w14:textId="77777777" w:rsidTr="00A91628">
        <w:tblPrEx>
          <w:tblBorders>
            <w:top w:val="single" w:sz="4" w:space="0" w:color="auto"/>
          </w:tblBorders>
        </w:tblPrEx>
        <w:trPr>
          <w:tblCellSpacing w:w="22" w:type="dxa"/>
        </w:trPr>
        <w:tc>
          <w:tcPr>
            <w:tcW w:w="508" w:type="pct"/>
          </w:tcPr>
          <w:p w14:paraId="796B2CA2"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Interferon Alfa</w:t>
            </w:r>
            <w:r w:rsidR="0026100E">
              <w:rPr>
                <w:rFonts w:ascii="Arial" w:hAnsi="Arial" w:cs="Arial"/>
                <w:sz w:val="16"/>
                <w:szCs w:val="16"/>
              </w:rPr>
              <w:noBreakHyphen/>
            </w:r>
            <w:r w:rsidRPr="006D52A9">
              <w:rPr>
                <w:rFonts w:ascii="Arial" w:hAnsi="Arial" w:cs="Arial"/>
                <w:sz w:val="16"/>
                <w:szCs w:val="16"/>
              </w:rPr>
              <w:t>2a</w:t>
            </w:r>
          </w:p>
        </w:tc>
        <w:tc>
          <w:tcPr>
            <w:tcW w:w="943" w:type="pct"/>
          </w:tcPr>
          <w:p w14:paraId="1F9C49BA"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 3,000,000 I.U. in 0.5 mL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9C5163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28F3592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Roferon</w:t>
            </w:r>
            <w:r w:rsidR="0026100E">
              <w:rPr>
                <w:rFonts w:ascii="Arial" w:hAnsi="Arial" w:cs="Arial"/>
                <w:sz w:val="16"/>
                <w:szCs w:val="16"/>
              </w:rPr>
              <w:noBreakHyphen/>
            </w:r>
            <w:r w:rsidRPr="006D52A9">
              <w:rPr>
                <w:rFonts w:ascii="Arial" w:hAnsi="Arial" w:cs="Arial"/>
                <w:sz w:val="16"/>
                <w:szCs w:val="16"/>
              </w:rPr>
              <w:t>A</w:t>
            </w:r>
          </w:p>
        </w:tc>
        <w:tc>
          <w:tcPr>
            <w:tcW w:w="894" w:type="pct"/>
          </w:tcPr>
          <w:p w14:paraId="1AAF5CE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C4993 C5036 C5042 C9259</w:t>
            </w:r>
          </w:p>
        </w:tc>
        <w:tc>
          <w:tcPr>
            <w:tcW w:w="376" w:type="pct"/>
          </w:tcPr>
          <w:p w14:paraId="548C8EF8" w14:textId="77777777" w:rsidR="00D63B70" w:rsidRPr="006D52A9" w:rsidRDefault="00D63B70" w:rsidP="00D63B70">
            <w:pPr>
              <w:keepNext/>
              <w:rPr>
                <w:rFonts w:ascii="Arial" w:hAnsi="Arial" w:cs="Arial"/>
                <w:sz w:val="16"/>
                <w:szCs w:val="16"/>
              </w:rPr>
            </w:pPr>
          </w:p>
        </w:tc>
        <w:tc>
          <w:tcPr>
            <w:tcW w:w="499" w:type="pct"/>
          </w:tcPr>
          <w:p w14:paraId="2F5593A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30</w:t>
            </w:r>
          </w:p>
        </w:tc>
        <w:tc>
          <w:tcPr>
            <w:tcW w:w="502" w:type="pct"/>
          </w:tcPr>
          <w:p w14:paraId="010DC25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589C9251" w14:textId="77777777" w:rsidTr="00A91628">
        <w:tblPrEx>
          <w:tblBorders>
            <w:top w:val="single" w:sz="4" w:space="0" w:color="auto"/>
          </w:tblBorders>
        </w:tblPrEx>
        <w:trPr>
          <w:tblCellSpacing w:w="22" w:type="dxa"/>
        </w:trPr>
        <w:tc>
          <w:tcPr>
            <w:tcW w:w="508" w:type="pct"/>
          </w:tcPr>
          <w:p w14:paraId="220EA43D" w14:textId="77777777" w:rsidR="00D63B70" w:rsidRPr="006D52A9" w:rsidRDefault="00D63B70" w:rsidP="00D63B70">
            <w:pPr>
              <w:rPr>
                <w:rFonts w:ascii="Arial" w:hAnsi="Arial" w:cs="Arial"/>
                <w:sz w:val="16"/>
                <w:szCs w:val="16"/>
              </w:rPr>
            </w:pPr>
          </w:p>
        </w:tc>
        <w:tc>
          <w:tcPr>
            <w:tcW w:w="943" w:type="pct"/>
          </w:tcPr>
          <w:p w14:paraId="26BF845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9,000,000 I.U. in 0.5 mL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C44434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1D5B1D5" w14:textId="77777777" w:rsidR="00D63B70" w:rsidRPr="006D52A9" w:rsidRDefault="00D63B70" w:rsidP="00D63B70">
            <w:pPr>
              <w:rPr>
                <w:rFonts w:ascii="Arial" w:hAnsi="Arial" w:cs="Arial"/>
                <w:sz w:val="16"/>
                <w:szCs w:val="16"/>
              </w:rPr>
            </w:pPr>
            <w:r w:rsidRPr="006D52A9">
              <w:rPr>
                <w:rFonts w:ascii="Arial" w:hAnsi="Arial" w:cs="Arial"/>
                <w:sz w:val="16"/>
                <w:szCs w:val="16"/>
              </w:rPr>
              <w:t>Roferon</w:t>
            </w:r>
            <w:r w:rsidR="0026100E">
              <w:rPr>
                <w:rFonts w:ascii="Arial" w:hAnsi="Arial" w:cs="Arial"/>
                <w:sz w:val="16"/>
                <w:szCs w:val="16"/>
              </w:rPr>
              <w:noBreakHyphen/>
            </w:r>
            <w:r w:rsidRPr="006D52A9">
              <w:rPr>
                <w:rFonts w:ascii="Arial" w:hAnsi="Arial" w:cs="Arial"/>
                <w:sz w:val="16"/>
                <w:szCs w:val="16"/>
              </w:rPr>
              <w:t>A</w:t>
            </w:r>
          </w:p>
        </w:tc>
        <w:tc>
          <w:tcPr>
            <w:tcW w:w="894" w:type="pct"/>
          </w:tcPr>
          <w:p w14:paraId="7E13E898" w14:textId="77777777" w:rsidR="00D63B70" w:rsidRPr="006D52A9" w:rsidRDefault="00D63B70" w:rsidP="00D63B70">
            <w:pPr>
              <w:rPr>
                <w:rFonts w:ascii="Arial" w:hAnsi="Arial" w:cs="Arial"/>
                <w:sz w:val="16"/>
                <w:szCs w:val="16"/>
              </w:rPr>
            </w:pPr>
            <w:r w:rsidRPr="006D52A9">
              <w:rPr>
                <w:rFonts w:ascii="Arial" w:hAnsi="Arial" w:cs="Arial"/>
                <w:sz w:val="16"/>
                <w:szCs w:val="16"/>
              </w:rPr>
              <w:t>C4993 C5036 C5042 C9259</w:t>
            </w:r>
          </w:p>
        </w:tc>
        <w:tc>
          <w:tcPr>
            <w:tcW w:w="376" w:type="pct"/>
          </w:tcPr>
          <w:p w14:paraId="5CCEF7DB" w14:textId="77777777" w:rsidR="00D63B70" w:rsidRPr="006D52A9" w:rsidRDefault="00D63B70" w:rsidP="00D63B70">
            <w:pPr>
              <w:rPr>
                <w:rFonts w:ascii="Arial" w:hAnsi="Arial" w:cs="Arial"/>
                <w:sz w:val="16"/>
                <w:szCs w:val="16"/>
              </w:rPr>
            </w:pPr>
          </w:p>
        </w:tc>
        <w:tc>
          <w:tcPr>
            <w:tcW w:w="499" w:type="pct"/>
          </w:tcPr>
          <w:p w14:paraId="0B0783A0" w14:textId="77777777" w:rsidR="00D63B70" w:rsidRPr="006D52A9" w:rsidRDefault="00D63B70" w:rsidP="00D63B70">
            <w:pPr>
              <w:rPr>
                <w:rFonts w:ascii="Arial" w:hAnsi="Arial" w:cs="Arial"/>
                <w:sz w:val="16"/>
                <w:szCs w:val="16"/>
              </w:rPr>
            </w:pPr>
            <w:r w:rsidRPr="006D52A9">
              <w:rPr>
                <w:rFonts w:ascii="Arial" w:hAnsi="Arial" w:cs="Arial"/>
                <w:sz w:val="16"/>
                <w:szCs w:val="16"/>
              </w:rPr>
              <w:t>30</w:t>
            </w:r>
          </w:p>
        </w:tc>
        <w:tc>
          <w:tcPr>
            <w:tcW w:w="502" w:type="pct"/>
          </w:tcPr>
          <w:p w14:paraId="3A51364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C7D9DB7" w14:textId="77777777" w:rsidTr="00A91628">
        <w:tblPrEx>
          <w:tblBorders>
            <w:top w:val="single" w:sz="4" w:space="0" w:color="auto"/>
          </w:tblBorders>
        </w:tblPrEx>
        <w:trPr>
          <w:tblCellSpacing w:w="22" w:type="dxa"/>
        </w:trPr>
        <w:tc>
          <w:tcPr>
            <w:tcW w:w="508" w:type="pct"/>
          </w:tcPr>
          <w:p w14:paraId="09A61AA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lastRenderedPageBreak/>
              <w:t>Interferon Gamma</w:t>
            </w:r>
            <w:r w:rsidR="0026100E">
              <w:rPr>
                <w:rFonts w:ascii="Arial" w:hAnsi="Arial" w:cs="Arial"/>
                <w:sz w:val="16"/>
                <w:szCs w:val="16"/>
              </w:rPr>
              <w:noBreakHyphen/>
            </w:r>
            <w:r w:rsidRPr="006D52A9">
              <w:rPr>
                <w:rFonts w:ascii="Arial" w:hAnsi="Arial" w:cs="Arial"/>
                <w:sz w:val="16"/>
                <w:szCs w:val="16"/>
              </w:rPr>
              <w:t>1b</w:t>
            </w:r>
          </w:p>
        </w:tc>
        <w:tc>
          <w:tcPr>
            <w:tcW w:w="943" w:type="pct"/>
          </w:tcPr>
          <w:p w14:paraId="445A0BE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 2,000,000 I.U. in 0.5 mL</w:t>
            </w:r>
          </w:p>
        </w:tc>
        <w:tc>
          <w:tcPr>
            <w:tcW w:w="540" w:type="pct"/>
          </w:tcPr>
          <w:p w14:paraId="4D8696F2"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w:t>
            </w:r>
          </w:p>
        </w:tc>
        <w:tc>
          <w:tcPr>
            <w:tcW w:w="591" w:type="pct"/>
          </w:tcPr>
          <w:p w14:paraId="3F59A472"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Imukin</w:t>
            </w:r>
          </w:p>
        </w:tc>
        <w:tc>
          <w:tcPr>
            <w:tcW w:w="894" w:type="pct"/>
          </w:tcPr>
          <w:p w14:paraId="6D067DC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C6222 C9639</w:t>
            </w:r>
          </w:p>
        </w:tc>
        <w:tc>
          <w:tcPr>
            <w:tcW w:w="376" w:type="pct"/>
          </w:tcPr>
          <w:p w14:paraId="2D144FBA" w14:textId="77777777" w:rsidR="00D63B70" w:rsidRPr="006D52A9" w:rsidRDefault="00D63B70" w:rsidP="00D63B70">
            <w:pPr>
              <w:keepNext/>
              <w:keepLines/>
              <w:rPr>
                <w:rFonts w:ascii="Arial" w:hAnsi="Arial" w:cs="Arial"/>
                <w:sz w:val="16"/>
                <w:szCs w:val="16"/>
              </w:rPr>
            </w:pPr>
          </w:p>
        </w:tc>
        <w:tc>
          <w:tcPr>
            <w:tcW w:w="499" w:type="pct"/>
          </w:tcPr>
          <w:p w14:paraId="7F4365F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12</w:t>
            </w:r>
          </w:p>
        </w:tc>
        <w:tc>
          <w:tcPr>
            <w:tcW w:w="502" w:type="pct"/>
          </w:tcPr>
          <w:p w14:paraId="57AB94F0"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11</w:t>
            </w:r>
          </w:p>
        </w:tc>
      </w:tr>
      <w:tr w:rsidR="00D63B70" w:rsidRPr="006D52A9" w14:paraId="3777ABFB" w14:textId="77777777" w:rsidTr="00A91628">
        <w:tblPrEx>
          <w:tblBorders>
            <w:top w:val="single" w:sz="4" w:space="0" w:color="auto"/>
          </w:tblBorders>
        </w:tblPrEx>
        <w:trPr>
          <w:tblCellSpacing w:w="22" w:type="dxa"/>
        </w:trPr>
        <w:tc>
          <w:tcPr>
            <w:tcW w:w="508" w:type="pct"/>
          </w:tcPr>
          <w:p w14:paraId="2A187037"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Ivacaftor</w:t>
            </w:r>
          </w:p>
        </w:tc>
        <w:tc>
          <w:tcPr>
            <w:tcW w:w="943" w:type="pct"/>
          </w:tcPr>
          <w:p w14:paraId="0695B5D7"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 xml:space="preserve">Sachet containing granules </w:t>
            </w:r>
            <w:r w:rsidRPr="006D52A9">
              <w:rPr>
                <w:rFonts w:ascii="Arial" w:hAnsi="Arial" w:cs="Arial"/>
                <w:sz w:val="16"/>
                <w:szCs w:val="16"/>
              </w:rPr>
              <w:br/>
              <w:t>50 mg</w:t>
            </w:r>
          </w:p>
        </w:tc>
        <w:tc>
          <w:tcPr>
            <w:tcW w:w="540" w:type="pct"/>
          </w:tcPr>
          <w:p w14:paraId="386DB400"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639F34FF"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Kalydeco</w:t>
            </w:r>
          </w:p>
        </w:tc>
        <w:tc>
          <w:tcPr>
            <w:tcW w:w="894" w:type="pct"/>
          </w:tcPr>
          <w:p w14:paraId="6DC10209"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C9889 C9890</w:t>
            </w:r>
          </w:p>
        </w:tc>
        <w:tc>
          <w:tcPr>
            <w:tcW w:w="376" w:type="pct"/>
          </w:tcPr>
          <w:p w14:paraId="20780696" w14:textId="77777777" w:rsidR="00D63B70" w:rsidRPr="006D52A9" w:rsidRDefault="00D63B70" w:rsidP="00D63B70">
            <w:pPr>
              <w:keepNext/>
              <w:keepLines/>
              <w:rPr>
                <w:rFonts w:ascii="Arial" w:hAnsi="Arial" w:cs="Arial"/>
                <w:sz w:val="16"/>
                <w:szCs w:val="16"/>
              </w:rPr>
            </w:pPr>
          </w:p>
        </w:tc>
        <w:tc>
          <w:tcPr>
            <w:tcW w:w="499" w:type="pct"/>
          </w:tcPr>
          <w:p w14:paraId="37A170F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776E68E" w14:textId="77777777" w:rsidR="00D63B70" w:rsidRPr="006D52A9" w:rsidRDefault="00D63B70" w:rsidP="00D63B70">
            <w:pPr>
              <w:keepNext/>
              <w:keepLines/>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56E6F523" w14:textId="77777777" w:rsidTr="00A91628">
        <w:tblPrEx>
          <w:tblBorders>
            <w:top w:val="single" w:sz="4" w:space="0" w:color="auto"/>
          </w:tblBorders>
        </w:tblPrEx>
        <w:trPr>
          <w:tblCellSpacing w:w="22" w:type="dxa"/>
        </w:trPr>
        <w:tc>
          <w:tcPr>
            <w:tcW w:w="508" w:type="pct"/>
          </w:tcPr>
          <w:p w14:paraId="050D8039" w14:textId="77777777" w:rsidR="00D63B70" w:rsidRPr="006D52A9" w:rsidRDefault="00D63B70" w:rsidP="00D63B70">
            <w:pPr>
              <w:keepNext/>
              <w:keepLines/>
              <w:rPr>
                <w:rFonts w:ascii="Arial" w:hAnsi="Arial" w:cs="Arial"/>
                <w:sz w:val="16"/>
                <w:szCs w:val="16"/>
              </w:rPr>
            </w:pPr>
          </w:p>
        </w:tc>
        <w:tc>
          <w:tcPr>
            <w:tcW w:w="943" w:type="pct"/>
          </w:tcPr>
          <w:p w14:paraId="71FCBB7C"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 xml:space="preserve">Sachet containing granules </w:t>
            </w:r>
            <w:r w:rsidRPr="006D52A9">
              <w:rPr>
                <w:rFonts w:ascii="Arial" w:hAnsi="Arial" w:cs="Arial"/>
                <w:sz w:val="16"/>
                <w:szCs w:val="16"/>
              </w:rPr>
              <w:br/>
              <w:t>75 mg</w:t>
            </w:r>
          </w:p>
        </w:tc>
        <w:tc>
          <w:tcPr>
            <w:tcW w:w="540" w:type="pct"/>
          </w:tcPr>
          <w:p w14:paraId="07B1676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3BD8AED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Kalydeco</w:t>
            </w:r>
          </w:p>
        </w:tc>
        <w:tc>
          <w:tcPr>
            <w:tcW w:w="894" w:type="pct"/>
          </w:tcPr>
          <w:p w14:paraId="02B922F7"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C9889 C9890</w:t>
            </w:r>
          </w:p>
        </w:tc>
        <w:tc>
          <w:tcPr>
            <w:tcW w:w="376" w:type="pct"/>
          </w:tcPr>
          <w:p w14:paraId="137F0692" w14:textId="77777777" w:rsidR="00D63B70" w:rsidRPr="006D52A9" w:rsidRDefault="00D63B70" w:rsidP="00D63B70">
            <w:pPr>
              <w:keepNext/>
              <w:keepLines/>
              <w:rPr>
                <w:rFonts w:ascii="Arial" w:hAnsi="Arial" w:cs="Arial"/>
                <w:sz w:val="16"/>
                <w:szCs w:val="16"/>
              </w:rPr>
            </w:pPr>
          </w:p>
        </w:tc>
        <w:tc>
          <w:tcPr>
            <w:tcW w:w="499" w:type="pct"/>
          </w:tcPr>
          <w:p w14:paraId="0B2BC24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8C98B05" w14:textId="77777777" w:rsidR="00D63B70" w:rsidRPr="006D52A9" w:rsidRDefault="00D63B70" w:rsidP="00D63B70">
            <w:pPr>
              <w:keepNext/>
              <w:keepLines/>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623995B8" w14:textId="77777777" w:rsidTr="00A91628">
        <w:tblPrEx>
          <w:tblBorders>
            <w:top w:val="single" w:sz="4" w:space="0" w:color="auto"/>
          </w:tblBorders>
        </w:tblPrEx>
        <w:trPr>
          <w:tblCellSpacing w:w="22" w:type="dxa"/>
        </w:trPr>
        <w:tc>
          <w:tcPr>
            <w:tcW w:w="508" w:type="pct"/>
          </w:tcPr>
          <w:p w14:paraId="75573400" w14:textId="77777777" w:rsidR="00D63B70" w:rsidRPr="006D52A9" w:rsidRDefault="00D63B70" w:rsidP="00D63B70">
            <w:pPr>
              <w:keepNext/>
              <w:keepLines/>
              <w:rPr>
                <w:rFonts w:ascii="Arial" w:hAnsi="Arial" w:cs="Arial"/>
                <w:sz w:val="16"/>
                <w:szCs w:val="16"/>
              </w:rPr>
            </w:pPr>
          </w:p>
        </w:tc>
        <w:tc>
          <w:tcPr>
            <w:tcW w:w="943" w:type="pct"/>
          </w:tcPr>
          <w:p w14:paraId="2D72E09B"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Tablet 150 mg</w:t>
            </w:r>
          </w:p>
        </w:tc>
        <w:tc>
          <w:tcPr>
            <w:tcW w:w="540" w:type="pct"/>
          </w:tcPr>
          <w:p w14:paraId="2B1F76D9"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711F22D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Kalydeco</w:t>
            </w:r>
          </w:p>
        </w:tc>
        <w:tc>
          <w:tcPr>
            <w:tcW w:w="894" w:type="pct"/>
          </w:tcPr>
          <w:p w14:paraId="5287B0C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C9889 C9890</w:t>
            </w:r>
          </w:p>
        </w:tc>
        <w:tc>
          <w:tcPr>
            <w:tcW w:w="376" w:type="pct"/>
          </w:tcPr>
          <w:p w14:paraId="3A9577B8" w14:textId="77777777" w:rsidR="00D63B70" w:rsidRPr="006D52A9" w:rsidRDefault="00D63B70" w:rsidP="00D63B70">
            <w:pPr>
              <w:keepNext/>
              <w:keepLines/>
              <w:rPr>
                <w:rFonts w:ascii="Arial" w:hAnsi="Arial" w:cs="Arial"/>
                <w:sz w:val="16"/>
                <w:szCs w:val="16"/>
              </w:rPr>
            </w:pPr>
          </w:p>
        </w:tc>
        <w:tc>
          <w:tcPr>
            <w:tcW w:w="499" w:type="pct"/>
          </w:tcPr>
          <w:p w14:paraId="131E94E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74236B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7095309E" w14:textId="77777777" w:rsidTr="00A91628">
        <w:tblPrEx>
          <w:tblBorders>
            <w:top w:val="single" w:sz="4" w:space="0" w:color="auto"/>
          </w:tblBorders>
        </w:tblPrEx>
        <w:trPr>
          <w:tblCellSpacing w:w="22" w:type="dxa"/>
        </w:trPr>
        <w:tc>
          <w:tcPr>
            <w:tcW w:w="508" w:type="pct"/>
          </w:tcPr>
          <w:p w14:paraId="5631971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Lamivudine</w:t>
            </w:r>
          </w:p>
        </w:tc>
        <w:tc>
          <w:tcPr>
            <w:tcW w:w="943" w:type="pct"/>
          </w:tcPr>
          <w:p w14:paraId="477F73F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Tablet 100 mg</w:t>
            </w:r>
          </w:p>
        </w:tc>
        <w:tc>
          <w:tcPr>
            <w:tcW w:w="540" w:type="pct"/>
          </w:tcPr>
          <w:p w14:paraId="7F901C7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Oral</w:t>
            </w:r>
          </w:p>
        </w:tc>
        <w:tc>
          <w:tcPr>
            <w:tcW w:w="591" w:type="pct"/>
          </w:tcPr>
          <w:p w14:paraId="56A23191"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Zeffix</w:t>
            </w:r>
          </w:p>
        </w:tc>
        <w:tc>
          <w:tcPr>
            <w:tcW w:w="894" w:type="pct"/>
          </w:tcPr>
          <w:p w14:paraId="27546437"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C4993 C5036</w:t>
            </w:r>
          </w:p>
        </w:tc>
        <w:tc>
          <w:tcPr>
            <w:tcW w:w="376" w:type="pct"/>
          </w:tcPr>
          <w:p w14:paraId="6B9551F8" w14:textId="77777777" w:rsidR="00D63B70" w:rsidRPr="006D52A9" w:rsidRDefault="00D63B70" w:rsidP="00D63B70">
            <w:pPr>
              <w:keepNext/>
              <w:rPr>
                <w:rFonts w:ascii="Arial" w:hAnsi="Arial" w:cs="Arial"/>
                <w:sz w:val="16"/>
                <w:szCs w:val="16"/>
              </w:rPr>
            </w:pPr>
          </w:p>
        </w:tc>
        <w:tc>
          <w:tcPr>
            <w:tcW w:w="499" w:type="pct"/>
          </w:tcPr>
          <w:p w14:paraId="5A76759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56</w:t>
            </w:r>
          </w:p>
        </w:tc>
        <w:tc>
          <w:tcPr>
            <w:tcW w:w="502" w:type="pct"/>
          </w:tcPr>
          <w:p w14:paraId="0D898A8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26062A7F" w14:textId="77777777" w:rsidTr="00A91628">
        <w:tblPrEx>
          <w:tblBorders>
            <w:top w:val="single" w:sz="4" w:space="0" w:color="auto"/>
          </w:tblBorders>
        </w:tblPrEx>
        <w:trPr>
          <w:tblCellSpacing w:w="22" w:type="dxa"/>
        </w:trPr>
        <w:tc>
          <w:tcPr>
            <w:tcW w:w="508" w:type="pct"/>
          </w:tcPr>
          <w:p w14:paraId="2676FEBB" w14:textId="77777777" w:rsidR="00D63B70" w:rsidRPr="006D52A9" w:rsidRDefault="00D63B70" w:rsidP="00D63B70">
            <w:pPr>
              <w:keepNext/>
              <w:rPr>
                <w:rFonts w:ascii="Arial" w:hAnsi="Arial" w:cs="Arial"/>
                <w:sz w:val="16"/>
                <w:szCs w:val="16"/>
              </w:rPr>
            </w:pPr>
          </w:p>
        </w:tc>
        <w:tc>
          <w:tcPr>
            <w:tcW w:w="943" w:type="pct"/>
          </w:tcPr>
          <w:p w14:paraId="3E1723FA" w14:textId="77777777" w:rsidR="00D63B70" w:rsidRPr="006D52A9" w:rsidRDefault="00D63B70" w:rsidP="00D63B70">
            <w:pPr>
              <w:keepNext/>
              <w:rPr>
                <w:rFonts w:ascii="Arial" w:hAnsi="Arial" w:cs="Arial"/>
                <w:sz w:val="16"/>
                <w:szCs w:val="16"/>
              </w:rPr>
            </w:pPr>
          </w:p>
        </w:tc>
        <w:tc>
          <w:tcPr>
            <w:tcW w:w="540" w:type="pct"/>
          </w:tcPr>
          <w:p w14:paraId="18CBF1B5" w14:textId="77777777" w:rsidR="00D63B70" w:rsidRPr="006D52A9" w:rsidRDefault="00D63B70" w:rsidP="00D63B70">
            <w:pPr>
              <w:keepNext/>
              <w:rPr>
                <w:rFonts w:ascii="Arial" w:hAnsi="Arial" w:cs="Arial"/>
                <w:sz w:val="16"/>
                <w:szCs w:val="16"/>
              </w:rPr>
            </w:pPr>
          </w:p>
        </w:tc>
        <w:tc>
          <w:tcPr>
            <w:tcW w:w="591" w:type="pct"/>
          </w:tcPr>
          <w:p w14:paraId="630475F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Zetlam</w:t>
            </w:r>
          </w:p>
        </w:tc>
        <w:tc>
          <w:tcPr>
            <w:tcW w:w="894" w:type="pct"/>
          </w:tcPr>
          <w:p w14:paraId="3D2E239A"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C4993 C5036</w:t>
            </w:r>
          </w:p>
        </w:tc>
        <w:tc>
          <w:tcPr>
            <w:tcW w:w="376" w:type="pct"/>
          </w:tcPr>
          <w:p w14:paraId="2E189E7E" w14:textId="77777777" w:rsidR="00D63B70" w:rsidRPr="006D52A9" w:rsidRDefault="00D63B70" w:rsidP="00D63B70">
            <w:pPr>
              <w:keepNext/>
              <w:rPr>
                <w:rFonts w:ascii="Arial" w:hAnsi="Arial" w:cs="Arial"/>
                <w:sz w:val="16"/>
                <w:szCs w:val="16"/>
              </w:rPr>
            </w:pPr>
          </w:p>
        </w:tc>
        <w:tc>
          <w:tcPr>
            <w:tcW w:w="499" w:type="pct"/>
          </w:tcPr>
          <w:p w14:paraId="01850F8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56</w:t>
            </w:r>
          </w:p>
        </w:tc>
        <w:tc>
          <w:tcPr>
            <w:tcW w:w="502" w:type="pct"/>
          </w:tcPr>
          <w:p w14:paraId="68B294DF"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6EA46CD4" w14:textId="77777777" w:rsidTr="00A91628">
        <w:tblPrEx>
          <w:tblBorders>
            <w:top w:val="single" w:sz="4" w:space="0" w:color="auto"/>
          </w:tblBorders>
        </w:tblPrEx>
        <w:trPr>
          <w:tblCellSpacing w:w="22" w:type="dxa"/>
        </w:trPr>
        <w:tc>
          <w:tcPr>
            <w:tcW w:w="508" w:type="pct"/>
          </w:tcPr>
          <w:p w14:paraId="55991643" w14:textId="77777777" w:rsidR="00D63B70" w:rsidRPr="006D52A9" w:rsidRDefault="00D63B70" w:rsidP="00D63B70">
            <w:pPr>
              <w:rPr>
                <w:rFonts w:ascii="Arial" w:hAnsi="Arial" w:cs="Arial"/>
                <w:sz w:val="16"/>
                <w:szCs w:val="16"/>
              </w:rPr>
            </w:pPr>
          </w:p>
        </w:tc>
        <w:tc>
          <w:tcPr>
            <w:tcW w:w="943" w:type="pct"/>
          </w:tcPr>
          <w:p w14:paraId="6CF7F728" w14:textId="77777777" w:rsidR="00D63B70" w:rsidRPr="006D52A9" w:rsidRDefault="00D63B70" w:rsidP="00D63B70">
            <w:pPr>
              <w:rPr>
                <w:rFonts w:ascii="Arial" w:hAnsi="Arial" w:cs="Arial"/>
                <w:sz w:val="16"/>
                <w:szCs w:val="16"/>
              </w:rPr>
            </w:pPr>
            <w:r w:rsidRPr="006D52A9">
              <w:rPr>
                <w:rFonts w:ascii="Arial" w:hAnsi="Arial" w:cs="Arial"/>
                <w:sz w:val="16"/>
                <w:szCs w:val="16"/>
              </w:rPr>
              <w:t>Tablet 150 mg</w:t>
            </w:r>
          </w:p>
        </w:tc>
        <w:tc>
          <w:tcPr>
            <w:tcW w:w="540" w:type="pct"/>
          </w:tcPr>
          <w:p w14:paraId="7FD1AC2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9C6EA87" w14:textId="77777777" w:rsidR="00D63B70" w:rsidRPr="006D52A9" w:rsidRDefault="00D63B70" w:rsidP="00D63B70">
            <w:pPr>
              <w:rPr>
                <w:rFonts w:ascii="Arial" w:hAnsi="Arial" w:cs="Arial"/>
                <w:sz w:val="16"/>
                <w:szCs w:val="16"/>
              </w:rPr>
            </w:pPr>
            <w:r w:rsidRPr="006D52A9">
              <w:rPr>
                <w:rFonts w:ascii="Arial" w:hAnsi="Arial" w:cs="Arial"/>
                <w:sz w:val="16"/>
                <w:szCs w:val="16"/>
              </w:rPr>
              <w:t>3TC</w:t>
            </w:r>
          </w:p>
        </w:tc>
        <w:tc>
          <w:tcPr>
            <w:tcW w:w="894" w:type="pct"/>
          </w:tcPr>
          <w:p w14:paraId="4F200F17"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1BEFBB3A" w14:textId="77777777" w:rsidR="00D63B70" w:rsidRPr="006D52A9" w:rsidRDefault="00D63B70" w:rsidP="00D63B70">
            <w:pPr>
              <w:rPr>
                <w:rFonts w:ascii="Arial" w:hAnsi="Arial" w:cs="Arial"/>
                <w:sz w:val="16"/>
                <w:szCs w:val="16"/>
              </w:rPr>
            </w:pPr>
          </w:p>
        </w:tc>
        <w:tc>
          <w:tcPr>
            <w:tcW w:w="499" w:type="pct"/>
          </w:tcPr>
          <w:p w14:paraId="56EE59B0"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10F3A8E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023F643" w14:textId="77777777" w:rsidTr="00A91628">
        <w:tblPrEx>
          <w:tblBorders>
            <w:top w:val="single" w:sz="4" w:space="0" w:color="auto"/>
          </w:tblBorders>
        </w:tblPrEx>
        <w:trPr>
          <w:tblCellSpacing w:w="22" w:type="dxa"/>
        </w:trPr>
        <w:tc>
          <w:tcPr>
            <w:tcW w:w="508" w:type="pct"/>
          </w:tcPr>
          <w:p w14:paraId="34EFEDF6" w14:textId="77777777" w:rsidR="00D63B70" w:rsidRPr="006D52A9" w:rsidRDefault="00D63B70" w:rsidP="00D63B70">
            <w:pPr>
              <w:rPr>
                <w:rFonts w:ascii="Arial" w:hAnsi="Arial" w:cs="Arial"/>
                <w:sz w:val="16"/>
                <w:szCs w:val="16"/>
              </w:rPr>
            </w:pPr>
          </w:p>
        </w:tc>
        <w:tc>
          <w:tcPr>
            <w:tcW w:w="943" w:type="pct"/>
          </w:tcPr>
          <w:p w14:paraId="7388D466" w14:textId="77777777" w:rsidR="00D63B70" w:rsidRPr="006D52A9" w:rsidRDefault="00D63B70" w:rsidP="00D63B70">
            <w:pPr>
              <w:rPr>
                <w:rFonts w:ascii="Arial" w:hAnsi="Arial" w:cs="Arial"/>
                <w:sz w:val="16"/>
                <w:szCs w:val="16"/>
              </w:rPr>
            </w:pPr>
          </w:p>
        </w:tc>
        <w:tc>
          <w:tcPr>
            <w:tcW w:w="540" w:type="pct"/>
          </w:tcPr>
          <w:p w14:paraId="63494BAF" w14:textId="77777777" w:rsidR="00D63B70" w:rsidRPr="006D52A9" w:rsidRDefault="00D63B70" w:rsidP="00D63B70">
            <w:pPr>
              <w:rPr>
                <w:rFonts w:ascii="Arial" w:hAnsi="Arial" w:cs="Arial"/>
                <w:sz w:val="16"/>
                <w:szCs w:val="16"/>
              </w:rPr>
            </w:pPr>
          </w:p>
        </w:tc>
        <w:tc>
          <w:tcPr>
            <w:tcW w:w="591" w:type="pct"/>
          </w:tcPr>
          <w:p w14:paraId="0DE95184" w14:textId="77777777" w:rsidR="00D63B70" w:rsidRPr="006D52A9" w:rsidRDefault="00D63B70" w:rsidP="00D63B70">
            <w:pPr>
              <w:rPr>
                <w:rFonts w:ascii="Arial" w:hAnsi="Arial" w:cs="Arial"/>
                <w:sz w:val="16"/>
                <w:szCs w:val="16"/>
              </w:rPr>
            </w:pPr>
            <w:r w:rsidRPr="006D52A9">
              <w:rPr>
                <w:rFonts w:ascii="Arial" w:hAnsi="Arial" w:cs="Arial"/>
                <w:sz w:val="16"/>
                <w:szCs w:val="16"/>
              </w:rPr>
              <w:t>Lamivudine Alphapharm</w:t>
            </w:r>
          </w:p>
        </w:tc>
        <w:tc>
          <w:tcPr>
            <w:tcW w:w="894" w:type="pct"/>
          </w:tcPr>
          <w:p w14:paraId="4AE8FFBB"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67A78D69" w14:textId="77777777" w:rsidR="00D63B70" w:rsidRPr="006D52A9" w:rsidRDefault="00D63B70" w:rsidP="00D63B70">
            <w:pPr>
              <w:rPr>
                <w:rFonts w:ascii="Arial" w:hAnsi="Arial" w:cs="Arial"/>
                <w:sz w:val="16"/>
                <w:szCs w:val="16"/>
              </w:rPr>
            </w:pPr>
          </w:p>
        </w:tc>
        <w:tc>
          <w:tcPr>
            <w:tcW w:w="499" w:type="pct"/>
          </w:tcPr>
          <w:p w14:paraId="21E8E53D"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7EAF24C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E1CC840" w14:textId="77777777" w:rsidTr="00A91628">
        <w:tblPrEx>
          <w:tblBorders>
            <w:top w:val="single" w:sz="4" w:space="0" w:color="auto"/>
          </w:tblBorders>
        </w:tblPrEx>
        <w:trPr>
          <w:tblCellSpacing w:w="22" w:type="dxa"/>
        </w:trPr>
        <w:tc>
          <w:tcPr>
            <w:tcW w:w="508" w:type="pct"/>
          </w:tcPr>
          <w:p w14:paraId="1EAB32E5" w14:textId="77777777" w:rsidR="00D63B70" w:rsidRPr="006D52A9" w:rsidRDefault="00D63B70" w:rsidP="00D63B70">
            <w:pPr>
              <w:rPr>
                <w:rFonts w:ascii="Arial" w:hAnsi="Arial" w:cs="Arial"/>
                <w:sz w:val="16"/>
                <w:szCs w:val="16"/>
              </w:rPr>
            </w:pPr>
          </w:p>
        </w:tc>
        <w:tc>
          <w:tcPr>
            <w:tcW w:w="943" w:type="pct"/>
          </w:tcPr>
          <w:p w14:paraId="28CC4AC4" w14:textId="77777777" w:rsidR="00D63B70" w:rsidRPr="006D52A9" w:rsidRDefault="00D63B70" w:rsidP="00D63B70">
            <w:pPr>
              <w:rPr>
                <w:rFonts w:ascii="Arial" w:hAnsi="Arial" w:cs="Arial"/>
                <w:sz w:val="16"/>
                <w:szCs w:val="16"/>
              </w:rPr>
            </w:pPr>
            <w:r w:rsidRPr="006D52A9">
              <w:rPr>
                <w:rFonts w:ascii="Arial" w:hAnsi="Arial" w:cs="Arial"/>
                <w:sz w:val="16"/>
                <w:szCs w:val="16"/>
              </w:rPr>
              <w:t>Tablet 300 mg</w:t>
            </w:r>
          </w:p>
        </w:tc>
        <w:tc>
          <w:tcPr>
            <w:tcW w:w="540" w:type="pct"/>
          </w:tcPr>
          <w:p w14:paraId="405D174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E538D22" w14:textId="77777777" w:rsidR="00D63B70" w:rsidRPr="006D52A9" w:rsidRDefault="00D63B70" w:rsidP="00D63B70">
            <w:pPr>
              <w:rPr>
                <w:rFonts w:ascii="Arial" w:hAnsi="Arial" w:cs="Arial"/>
                <w:sz w:val="16"/>
                <w:szCs w:val="16"/>
              </w:rPr>
            </w:pPr>
            <w:r w:rsidRPr="006D52A9">
              <w:rPr>
                <w:rFonts w:ascii="Arial" w:hAnsi="Arial" w:cs="Arial"/>
                <w:sz w:val="16"/>
                <w:szCs w:val="16"/>
              </w:rPr>
              <w:t>3TC</w:t>
            </w:r>
          </w:p>
        </w:tc>
        <w:tc>
          <w:tcPr>
            <w:tcW w:w="894" w:type="pct"/>
          </w:tcPr>
          <w:p w14:paraId="765A38F9"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7E48B0AC" w14:textId="77777777" w:rsidR="00D63B70" w:rsidRPr="006D52A9" w:rsidRDefault="00D63B70" w:rsidP="00D63B70">
            <w:pPr>
              <w:rPr>
                <w:rFonts w:ascii="Arial" w:hAnsi="Arial" w:cs="Arial"/>
                <w:sz w:val="16"/>
                <w:szCs w:val="16"/>
              </w:rPr>
            </w:pPr>
          </w:p>
        </w:tc>
        <w:tc>
          <w:tcPr>
            <w:tcW w:w="499" w:type="pct"/>
          </w:tcPr>
          <w:p w14:paraId="45AEBF61"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BF0C0A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96BAC59" w14:textId="77777777" w:rsidTr="00A91628">
        <w:tblPrEx>
          <w:tblBorders>
            <w:top w:val="single" w:sz="4" w:space="0" w:color="auto"/>
          </w:tblBorders>
        </w:tblPrEx>
        <w:trPr>
          <w:tblCellSpacing w:w="22" w:type="dxa"/>
        </w:trPr>
        <w:tc>
          <w:tcPr>
            <w:tcW w:w="508" w:type="pct"/>
          </w:tcPr>
          <w:p w14:paraId="713B0E72" w14:textId="77777777" w:rsidR="00D63B70" w:rsidRPr="006D52A9" w:rsidRDefault="00D63B70" w:rsidP="00D63B70">
            <w:pPr>
              <w:rPr>
                <w:rFonts w:ascii="Arial" w:hAnsi="Arial" w:cs="Arial"/>
                <w:sz w:val="16"/>
                <w:szCs w:val="16"/>
              </w:rPr>
            </w:pPr>
          </w:p>
        </w:tc>
        <w:tc>
          <w:tcPr>
            <w:tcW w:w="943" w:type="pct"/>
          </w:tcPr>
          <w:p w14:paraId="01A62B65" w14:textId="77777777" w:rsidR="00D63B70" w:rsidRPr="006D52A9" w:rsidRDefault="00D63B70" w:rsidP="00D63B70">
            <w:pPr>
              <w:rPr>
                <w:rFonts w:ascii="Arial" w:hAnsi="Arial" w:cs="Arial"/>
                <w:sz w:val="16"/>
                <w:szCs w:val="16"/>
              </w:rPr>
            </w:pPr>
          </w:p>
        </w:tc>
        <w:tc>
          <w:tcPr>
            <w:tcW w:w="540" w:type="pct"/>
          </w:tcPr>
          <w:p w14:paraId="5EDB7E75" w14:textId="77777777" w:rsidR="00D63B70" w:rsidRPr="006D52A9" w:rsidRDefault="00D63B70" w:rsidP="00D63B70">
            <w:pPr>
              <w:rPr>
                <w:rFonts w:ascii="Arial" w:hAnsi="Arial" w:cs="Arial"/>
                <w:sz w:val="16"/>
                <w:szCs w:val="16"/>
              </w:rPr>
            </w:pPr>
          </w:p>
        </w:tc>
        <w:tc>
          <w:tcPr>
            <w:tcW w:w="591" w:type="pct"/>
          </w:tcPr>
          <w:p w14:paraId="258F3442" w14:textId="77777777" w:rsidR="00D63B70" w:rsidRPr="006D52A9" w:rsidRDefault="00D63B70" w:rsidP="00D63B70">
            <w:pPr>
              <w:rPr>
                <w:rFonts w:ascii="Arial" w:hAnsi="Arial" w:cs="Arial"/>
                <w:sz w:val="16"/>
                <w:szCs w:val="16"/>
              </w:rPr>
            </w:pPr>
            <w:r w:rsidRPr="006D52A9">
              <w:rPr>
                <w:rFonts w:ascii="Arial" w:hAnsi="Arial" w:cs="Arial"/>
                <w:sz w:val="16"/>
                <w:szCs w:val="16"/>
              </w:rPr>
              <w:t>Lamivudine Alphapharm</w:t>
            </w:r>
          </w:p>
        </w:tc>
        <w:tc>
          <w:tcPr>
            <w:tcW w:w="894" w:type="pct"/>
          </w:tcPr>
          <w:p w14:paraId="01D4A08C"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551FC2CC" w14:textId="77777777" w:rsidR="00D63B70" w:rsidRPr="006D52A9" w:rsidRDefault="00D63B70" w:rsidP="00D63B70">
            <w:pPr>
              <w:rPr>
                <w:rFonts w:ascii="Arial" w:hAnsi="Arial" w:cs="Arial"/>
                <w:sz w:val="16"/>
                <w:szCs w:val="16"/>
              </w:rPr>
            </w:pPr>
          </w:p>
        </w:tc>
        <w:tc>
          <w:tcPr>
            <w:tcW w:w="499" w:type="pct"/>
          </w:tcPr>
          <w:p w14:paraId="3E80DED5"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0F1703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26D9139" w14:textId="77777777" w:rsidTr="00A91628">
        <w:tblPrEx>
          <w:tblBorders>
            <w:top w:val="single" w:sz="4" w:space="0" w:color="auto"/>
          </w:tblBorders>
        </w:tblPrEx>
        <w:trPr>
          <w:tblCellSpacing w:w="22" w:type="dxa"/>
        </w:trPr>
        <w:tc>
          <w:tcPr>
            <w:tcW w:w="508" w:type="pct"/>
          </w:tcPr>
          <w:p w14:paraId="32BFCA98" w14:textId="77777777" w:rsidR="00D63B70" w:rsidRPr="006D52A9" w:rsidRDefault="00D63B70" w:rsidP="00D63B70">
            <w:pPr>
              <w:rPr>
                <w:rFonts w:ascii="Arial" w:hAnsi="Arial" w:cs="Arial"/>
                <w:sz w:val="16"/>
                <w:szCs w:val="16"/>
              </w:rPr>
            </w:pPr>
          </w:p>
        </w:tc>
        <w:tc>
          <w:tcPr>
            <w:tcW w:w="943" w:type="pct"/>
          </w:tcPr>
          <w:p w14:paraId="02CBF13B" w14:textId="77777777" w:rsidR="00D63B70" w:rsidRPr="006D52A9" w:rsidRDefault="00D63B70" w:rsidP="00D63B70">
            <w:pPr>
              <w:rPr>
                <w:rFonts w:ascii="Arial" w:hAnsi="Arial" w:cs="Arial"/>
                <w:sz w:val="16"/>
                <w:szCs w:val="16"/>
              </w:rPr>
            </w:pPr>
            <w:r w:rsidRPr="006D52A9">
              <w:rPr>
                <w:rFonts w:ascii="Arial" w:hAnsi="Arial" w:cs="Arial"/>
                <w:sz w:val="16"/>
                <w:szCs w:val="16"/>
              </w:rPr>
              <w:t>Oral solution 10 mg per mL, 240 mL</w:t>
            </w:r>
          </w:p>
        </w:tc>
        <w:tc>
          <w:tcPr>
            <w:tcW w:w="540" w:type="pct"/>
          </w:tcPr>
          <w:p w14:paraId="64F206E6"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3FF94AD" w14:textId="77777777" w:rsidR="00D63B70" w:rsidRPr="006D52A9" w:rsidRDefault="00D63B70" w:rsidP="00D63B70">
            <w:pPr>
              <w:rPr>
                <w:rFonts w:ascii="Arial" w:hAnsi="Arial" w:cs="Arial"/>
                <w:sz w:val="16"/>
                <w:szCs w:val="16"/>
              </w:rPr>
            </w:pPr>
            <w:r w:rsidRPr="006D52A9">
              <w:rPr>
                <w:rFonts w:ascii="Arial" w:hAnsi="Arial" w:cs="Arial"/>
                <w:sz w:val="16"/>
                <w:szCs w:val="16"/>
              </w:rPr>
              <w:t>3TC</w:t>
            </w:r>
          </w:p>
        </w:tc>
        <w:tc>
          <w:tcPr>
            <w:tcW w:w="894" w:type="pct"/>
          </w:tcPr>
          <w:p w14:paraId="6EF789A3"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2968156C" w14:textId="77777777" w:rsidR="00D63B70" w:rsidRPr="006D52A9" w:rsidRDefault="00D63B70" w:rsidP="00D63B70">
            <w:pPr>
              <w:rPr>
                <w:rFonts w:ascii="Arial" w:hAnsi="Arial" w:cs="Arial"/>
                <w:sz w:val="16"/>
                <w:szCs w:val="16"/>
              </w:rPr>
            </w:pPr>
          </w:p>
        </w:tc>
        <w:tc>
          <w:tcPr>
            <w:tcW w:w="499" w:type="pct"/>
          </w:tcPr>
          <w:p w14:paraId="190A9698"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46400E3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0320A9B" w14:textId="77777777" w:rsidTr="00A91628">
        <w:tblPrEx>
          <w:tblBorders>
            <w:top w:val="single" w:sz="4" w:space="0" w:color="auto"/>
          </w:tblBorders>
        </w:tblPrEx>
        <w:trPr>
          <w:tblCellSpacing w:w="22" w:type="dxa"/>
        </w:trPr>
        <w:tc>
          <w:tcPr>
            <w:tcW w:w="508" w:type="pct"/>
          </w:tcPr>
          <w:p w14:paraId="6068F140"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Lamivudine with Zidovudine</w:t>
            </w:r>
          </w:p>
        </w:tc>
        <w:tc>
          <w:tcPr>
            <w:tcW w:w="943" w:type="pct"/>
          </w:tcPr>
          <w:p w14:paraId="34FC114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Tablet 150 mg</w:t>
            </w:r>
            <w:r w:rsidR="0026100E">
              <w:rPr>
                <w:rFonts w:ascii="Arial" w:hAnsi="Arial" w:cs="Arial"/>
                <w:sz w:val="16"/>
                <w:szCs w:val="16"/>
              </w:rPr>
              <w:noBreakHyphen/>
            </w:r>
            <w:r w:rsidRPr="006D52A9">
              <w:rPr>
                <w:rFonts w:ascii="Arial" w:hAnsi="Arial" w:cs="Arial"/>
                <w:sz w:val="16"/>
                <w:szCs w:val="16"/>
              </w:rPr>
              <w:t>300 mg</w:t>
            </w:r>
          </w:p>
        </w:tc>
        <w:tc>
          <w:tcPr>
            <w:tcW w:w="540" w:type="pct"/>
          </w:tcPr>
          <w:p w14:paraId="452F68EB"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46D8EBF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Combivir</w:t>
            </w:r>
          </w:p>
        </w:tc>
        <w:tc>
          <w:tcPr>
            <w:tcW w:w="894" w:type="pct"/>
          </w:tcPr>
          <w:p w14:paraId="0AE05DF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C4454 C4512</w:t>
            </w:r>
          </w:p>
        </w:tc>
        <w:tc>
          <w:tcPr>
            <w:tcW w:w="376" w:type="pct"/>
          </w:tcPr>
          <w:p w14:paraId="5C815EF0" w14:textId="77777777" w:rsidR="00D63B70" w:rsidRPr="006D52A9" w:rsidRDefault="00D63B70" w:rsidP="00D63B70">
            <w:pPr>
              <w:keepNext/>
              <w:keepLines/>
              <w:rPr>
                <w:rFonts w:ascii="Arial" w:hAnsi="Arial" w:cs="Arial"/>
                <w:sz w:val="16"/>
                <w:szCs w:val="16"/>
              </w:rPr>
            </w:pPr>
          </w:p>
        </w:tc>
        <w:tc>
          <w:tcPr>
            <w:tcW w:w="499" w:type="pct"/>
          </w:tcPr>
          <w:p w14:paraId="6A23FC5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120</w:t>
            </w:r>
          </w:p>
        </w:tc>
        <w:tc>
          <w:tcPr>
            <w:tcW w:w="502" w:type="pct"/>
          </w:tcPr>
          <w:p w14:paraId="0194B009"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6D4802DD" w14:textId="77777777" w:rsidTr="00A91628">
        <w:tblPrEx>
          <w:tblBorders>
            <w:top w:val="single" w:sz="4" w:space="0" w:color="auto"/>
          </w:tblBorders>
        </w:tblPrEx>
        <w:trPr>
          <w:tblCellSpacing w:w="22" w:type="dxa"/>
        </w:trPr>
        <w:tc>
          <w:tcPr>
            <w:tcW w:w="508" w:type="pct"/>
          </w:tcPr>
          <w:p w14:paraId="5ACDC522" w14:textId="77777777" w:rsidR="00D63B70" w:rsidRPr="006D52A9" w:rsidRDefault="00D63B70" w:rsidP="00D63B70">
            <w:pPr>
              <w:rPr>
                <w:rFonts w:ascii="Arial" w:hAnsi="Arial" w:cs="Arial"/>
                <w:sz w:val="16"/>
                <w:szCs w:val="16"/>
              </w:rPr>
            </w:pPr>
          </w:p>
        </w:tc>
        <w:tc>
          <w:tcPr>
            <w:tcW w:w="943" w:type="pct"/>
          </w:tcPr>
          <w:p w14:paraId="23109314" w14:textId="77777777" w:rsidR="00D63B70" w:rsidRPr="006D52A9" w:rsidRDefault="00D63B70" w:rsidP="00D63B70">
            <w:pPr>
              <w:rPr>
                <w:rFonts w:ascii="Arial" w:hAnsi="Arial" w:cs="Arial"/>
                <w:sz w:val="16"/>
                <w:szCs w:val="16"/>
              </w:rPr>
            </w:pPr>
          </w:p>
        </w:tc>
        <w:tc>
          <w:tcPr>
            <w:tcW w:w="540" w:type="pct"/>
          </w:tcPr>
          <w:p w14:paraId="4DE7250E" w14:textId="77777777" w:rsidR="00D63B70" w:rsidRPr="006D52A9" w:rsidRDefault="00D63B70" w:rsidP="00D63B70">
            <w:pPr>
              <w:rPr>
                <w:rFonts w:ascii="Arial" w:hAnsi="Arial" w:cs="Arial"/>
                <w:sz w:val="16"/>
                <w:szCs w:val="16"/>
              </w:rPr>
            </w:pPr>
          </w:p>
        </w:tc>
        <w:tc>
          <w:tcPr>
            <w:tcW w:w="591" w:type="pct"/>
          </w:tcPr>
          <w:p w14:paraId="37856C2B" w14:textId="77777777" w:rsidR="00D63B70" w:rsidRPr="006D52A9" w:rsidRDefault="00D63B70" w:rsidP="00D63B70">
            <w:pPr>
              <w:rPr>
                <w:rFonts w:ascii="Arial" w:hAnsi="Arial" w:cs="Arial"/>
                <w:sz w:val="16"/>
                <w:szCs w:val="16"/>
              </w:rPr>
            </w:pPr>
            <w:r w:rsidRPr="006D52A9">
              <w:rPr>
                <w:rFonts w:ascii="Arial" w:hAnsi="Arial" w:cs="Arial"/>
                <w:sz w:val="16"/>
                <w:szCs w:val="16"/>
              </w:rPr>
              <w:t>Lamivudine 150 mg + Zidovudine 300 mg Alphapharm</w:t>
            </w:r>
          </w:p>
        </w:tc>
        <w:tc>
          <w:tcPr>
            <w:tcW w:w="894" w:type="pct"/>
          </w:tcPr>
          <w:p w14:paraId="14937E8C"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796A7AED" w14:textId="77777777" w:rsidR="00D63B70" w:rsidRPr="006D52A9" w:rsidRDefault="00D63B70" w:rsidP="00D63B70">
            <w:pPr>
              <w:rPr>
                <w:rFonts w:ascii="Arial" w:hAnsi="Arial" w:cs="Arial"/>
                <w:sz w:val="16"/>
                <w:szCs w:val="16"/>
              </w:rPr>
            </w:pPr>
          </w:p>
        </w:tc>
        <w:tc>
          <w:tcPr>
            <w:tcW w:w="499" w:type="pct"/>
          </w:tcPr>
          <w:p w14:paraId="04FACD8A"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24ABC8E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B106872" w14:textId="77777777" w:rsidTr="00A91628">
        <w:tblPrEx>
          <w:tblBorders>
            <w:top w:val="single" w:sz="4" w:space="0" w:color="auto"/>
          </w:tblBorders>
        </w:tblPrEx>
        <w:trPr>
          <w:tblCellSpacing w:w="22" w:type="dxa"/>
        </w:trPr>
        <w:tc>
          <w:tcPr>
            <w:tcW w:w="508" w:type="pct"/>
          </w:tcPr>
          <w:p w14:paraId="7EA2BF29"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Lanreotide</w:t>
            </w:r>
          </w:p>
        </w:tc>
        <w:tc>
          <w:tcPr>
            <w:tcW w:w="943" w:type="pct"/>
          </w:tcPr>
          <w:p w14:paraId="448C70D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60 mg (as acetate) in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AD2E0E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70B8344" w14:textId="77777777" w:rsidR="00D63B70" w:rsidRPr="006D52A9" w:rsidRDefault="00D63B70" w:rsidP="00D63B70">
            <w:pPr>
              <w:rPr>
                <w:rFonts w:ascii="Arial" w:hAnsi="Arial" w:cs="Arial"/>
                <w:sz w:val="16"/>
                <w:szCs w:val="16"/>
              </w:rPr>
            </w:pPr>
            <w:r w:rsidRPr="006D52A9">
              <w:rPr>
                <w:rFonts w:ascii="Arial" w:hAnsi="Arial" w:cs="Arial"/>
                <w:sz w:val="16"/>
                <w:szCs w:val="16"/>
              </w:rPr>
              <w:t>Somatuline Autogel</w:t>
            </w:r>
          </w:p>
        </w:tc>
        <w:tc>
          <w:tcPr>
            <w:tcW w:w="894" w:type="pct"/>
          </w:tcPr>
          <w:p w14:paraId="3FB7B71F" w14:textId="77777777" w:rsidR="00D63B70" w:rsidRPr="006D52A9" w:rsidRDefault="00D63B70" w:rsidP="00D63B70">
            <w:pPr>
              <w:rPr>
                <w:rFonts w:ascii="Arial" w:hAnsi="Arial" w:cs="Arial"/>
                <w:sz w:val="16"/>
                <w:szCs w:val="16"/>
              </w:rPr>
            </w:pPr>
            <w:r w:rsidRPr="006D52A9">
              <w:rPr>
                <w:rFonts w:ascii="Arial" w:hAnsi="Arial" w:cs="Arial"/>
                <w:sz w:val="16"/>
                <w:szCs w:val="16"/>
              </w:rPr>
              <w:t>C4575 C7025 C7509 C7532 C9260 C9261</w:t>
            </w:r>
          </w:p>
        </w:tc>
        <w:tc>
          <w:tcPr>
            <w:tcW w:w="376" w:type="pct"/>
          </w:tcPr>
          <w:p w14:paraId="05F8FDED" w14:textId="77777777" w:rsidR="00D63B70" w:rsidRPr="006D52A9" w:rsidRDefault="00D63B70" w:rsidP="00D63B70">
            <w:pPr>
              <w:rPr>
                <w:rFonts w:ascii="Arial" w:hAnsi="Arial" w:cs="Arial"/>
                <w:sz w:val="16"/>
                <w:szCs w:val="16"/>
              </w:rPr>
            </w:pPr>
          </w:p>
        </w:tc>
        <w:tc>
          <w:tcPr>
            <w:tcW w:w="499" w:type="pct"/>
          </w:tcPr>
          <w:p w14:paraId="3C322286"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6A6335B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5F15DB2" w14:textId="77777777" w:rsidTr="00A91628">
        <w:tblPrEx>
          <w:tblBorders>
            <w:top w:val="single" w:sz="4" w:space="0" w:color="auto"/>
          </w:tblBorders>
        </w:tblPrEx>
        <w:trPr>
          <w:tblCellSpacing w:w="22" w:type="dxa"/>
        </w:trPr>
        <w:tc>
          <w:tcPr>
            <w:tcW w:w="508" w:type="pct"/>
          </w:tcPr>
          <w:p w14:paraId="3F83DBBE" w14:textId="77777777" w:rsidR="00D63B70" w:rsidRPr="006D52A9" w:rsidRDefault="00D63B70" w:rsidP="00D63B70">
            <w:pPr>
              <w:rPr>
                <w:rFonts w:ascii="Arial" w:hAnsi="Arial" w:cs="Arial"/>
                <w:sz w:val="16"/>
                <w:szCs w:val="16"/>
              </w:rPr>
            </w:pPr>
          </w:p>
        </w:tc>
        <w:tc>
          <w:tcPr>
            <w:tcW w:w="943" w:type="pct"/>
          </w:tcPr>
          <w:p w14:paraId="4091EB7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90 mg (as acetate) in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9029C6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436FE66" w14:textId="77777777" w:rsidR="00D63B70" w:rsidRPr="006D52A9" w:rsidRDefault="00D63B70" w:rsidP="00D63B70">
            <w:pPr>
              <w:rPr>
                <w:rFonts w:ascii="Arial" w:hAnsi="Arial" w:cs="Arial"/>
                <w:sz w:val="16"/>
                <w:szCs w:val="16"/>
              </w:rPr>
            </w:pPr>
            <w:r w:rsidRPr="006D52A9">
              <w:rPr>
                <w:rFonts w:ascii="Arial" w:hAnsi="Arial" w:cs="Arial"/>
                <w:sz w:val="16"/>
                <w:szCs w:val="16"/>
              </w:rPr>
              <w:t>Somatuline Autogel</w:t>
            </w:r>
          </w:p>
        </w:tc>
        <w:tc>
          <w:tcPr>
            <w:tcW w:w="894" w:type="pct"/>
          </w:tcPr>
          <w:p w14:paraId="3CCA66DF" w14:textId="77777777" w:rsidR="00D63B70" w:rsidRPr="006D52A9" w:rsidRDefault="00D63B70" w:rsidP="00D63B70">
            <w:pPr>
              <w:rPr>
                <w:rFonts w:ascii="Arial" w:hAnsi="Arial" w:cs="Arial"/>
                <w:sz w:val="16"/>
                <w:szCs w:val="16"/>
              </w:rPr>
            </w:pPr>
            <w:r w:rsidRPr="006D52A9">
              <w:rPr>
                <w:rFonts w:ascii="Arial" w:hAnsi="Arial" w:cs="Arial"/>
                <w:sz w:val="16"/>
                <w:szCs w:val="16"/>
              </w:rPr>
              <w:t>C4575 C7025 C7509 C7532 C9260 C9261</w:t>
            </w:r>
          </w:p>
        </w:tc>
        <w:tc>
          <w:tcPr>
            <w:tcW w:w="376" w:type="pct"/>
          </w:tcPr>
          <w:p w14:paraId="3BD94E5B" w14:textId="77777777" w:rsidR="00D63B70" w:rsidRPr="006D52A9" w:rsidRDefault="00D63B70" w:rsidP="00D63B70">
            <w:pPr>
              <w:rPr>
                <w:rFonts w:ascii="Arial" w:hAnsi="Arial" w:cs="Arial"/>
                <w:sz w:val="16"/>
                <w:szCs w:val="16"/>
              </w:rPr>
            </w:pPr>
          </w:p>
        </w:tc>
        <w:tc>
          <w:tcPr>
            <w:tcW w:w="499" w:type="pct"/>
          </w:tcPr>
          <w:p w14:paraId="1A9FCEA1"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7FC6BA9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56E3DA6" w14:textId="77777777" w:rsidTr="00A91628">
        <w:tblPrEx>
          <w:tblBorders>
            <w:top w:val="single" w:sz="4" w:space="0" w:color="auto"/>
          </w:tblBorders>
        </w:tblPrEx>
        <w:trPr>
          <w:tblCellSpacing w:w="22" w:type="dxa"/>
        </w:trPr>
        <w:tc>
          <w:tcPr>
            <w:tcW w:w="508" w:type="pct"/>
          </w:tcPr>
          <w:p w14:paraId="17A42E8A" w14:textId="77777777" w:rsidR="00D63B70" w:rsidRPr="006D52A9" w:rsidRDefault="00D63B70" w:rsidP="00D63B70">
            <w:pPr>
              <w:rPr>
                <w:rFonts w:ascii="Arial" w:hAnsi="Arial" w:cs="Arial"/>
                <w:sz w:val="16"/>
                <w:szCs w:val="16"/>
              </w:rPr>
            </w:pPr>
          </w:p>
        </w:tc>
        <w:tc>
          <w:tcPr>
            <w:tcW w:w="943" w:type="pct"/>
          </w:tcPr>
          <w:p w14:paraId="109A127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120 mg (as acetate) in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1C23645"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2A8B7E8" w14:textId="77777777" w:rsidR="00D63B70" w:rsidRPr="006D52A9" w:rsidRDefault="00D63B70" w:rsidP="00D63B70">
            <w:pPr>
              <w:rPr>
                <w:rFonts w:ascii="Arial" w:hAnsi="Arial" w:cs="Arial"/>
                <w:sz w:val="16"/>
                <w:szCs w:val="16"/>
              </w:rPr>
            </w:pPr>
            <w:r w:rsidRPr="006D52A9">
              <w:rPr>
                <w:rFonts w:ascii="Arial" w:hAnsi="Arial" w:cs="Arial"/>
                <w:sz w:val="16"/>
                <w:szCs w:val="16"/>
              </w:rPr>
              <w:t>Somatuline Autogel</w:t>
            </w:r>
          </w:p>
        </w:tc>
        <w:tc>
          <w:tcPr>
            <w:tcW w:w="894" w:type="pct"/>
          </w:tcPr>
          <w:p w14:paraId="6DA3F3A8"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C4575 C7025 C7509 C7532 C9260 C9261 </w:t>
            </w:r>
            <w:r w:rsidRPr="006D52A9">
              <w:rPr>
                <w:sz w:val="16"/>
                <w:szCs w:val="16"/>
              </w:rPr>
              <w:t>C10061 C10075 C10077</w:t>
            </w:r>
          </w:p>
        </w:tc>
        <w:tc>
          <w:tcPr>
            <w:tcW w:w="376" w:type="pct"/>
          </w:tcPr>
          <w:p w14:paraId="45C76399" w14:textId="77777777" w:rsidR="00D63B70" w:rsidRPr="006D52A9" w:rsidRDefault="00D63B70" w:rsidP="00D63B70">
            <w:pPr>
              <w:rPr>
                <w:rFonts w:ascii="Arial" w:hAnsi="Arial" w:cs="Arial"/>
                <w:sz w:val="16"/>
                <w:szCs w:val="16"/>
              </w:rPr>
            </w:pPr>
          </w:p>
        </w:tc>
        <w:tc>
          <w:tcPr>
            <w:tcW w:w="499" w:type="pct"/>
          </w:tcPr>
          <w:p w14:paraId="0D44D042"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23F6282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C01205C" w14:textId="77777777" w:rsidTr="00A91628">
        <w:tblPrEx>
          <w:tblBorders>
            <w:top w:val="single" w:sz="4" w:space="0" w:color="auto"/>
          </w:tblBorders>
        </w:tblPrEx>
        <w:trPr>
          <w:tblCellSpacing w:w="22" w:type="dxa"/>
        </w:trPr>
        <w:tc>
          <w:tcPr>
            <w:tcW w:w="508" w:type="pct"/>
          </w:tcPr>
          <w:p w14:paraId="613FE3F7" w14:textId="77777777" w:rsidR="00D63B70" w:rsidRPr="006D52A9" w:rsidRDefault="00D63B70" w:rsidP="00D63B70">
            <w:pPr>
              <w:rPr>
                <w:rFonts w:ascii="Arial" w:hAnsi="Arial" w:cs="Arial"/>
                <w:sz w:val="16"/>
                <w:szCs w:val="16"/>
              </w:rPr>
            </w:pPr>
          </w:p>
        </w:tc>
        <w:tc>
          <w:tcPr>
            <w:tcW w:w="943" w:type="pct"/>
          </w:tcPr>
          <w:p w14:paraId="6B1972B0"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suspension for injection 30 mg (as acetate) with diluent</w:t>
            </w:r>
          </w:p>
        </w:tc>
        <w:tc>
          <w:tcPr>
            <w:tcW w:w="540" w:type="pct"/>
          </w:tcPr>
          <w:p w14:paraId="4A51C2B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DA8058E" w14:textId="77777777" w:rsidR="00D63B70" w:rsidRPr="006D52A9" w:rsidRDefault="00D63B70" w:rsidP="00D63B70">
            <w:pPr>
              <w:rPr>
                <w:rFonts w:ascii="Arial" w:hAnsi="Arial" w:cs="Arial"/>
                <w:sz w:val="16"/>
                <w:szCs w:val="16"/>
              </w:rPr>
            </w:pPr>
            <w:r w:rsidRPr="006D52A9">
              <w:rPr>
                <w:rFonts w:ascii="Arial" w:hAnsi="Arial" w:cs="Arial"/>
                <w:sz w:val="16"/>
                <w:szCs w:val="16"/>
              </w:rPr>
              <w:t>Somatuline LA</w:t>
            </w:r>
          </w:p>
        </w:tc>
        <w:tc>
          <w:tcPr>
            <w:tcW w:w="894" w:type="pct"/>
          </w:tcPr>
          <w:p w14:paraId="71E9E3F6" w14:textId="77777777" w:rsidR="00D63B70" w:rsidRPr="006D52A9" w:rsidRDefault="00D63B70" w:rsidP="00D63B70">
            <w:pPr>
              <w:rPr>
                <w:rFonts w:ascii="Arial" w:hAnsi="Arial" w:cs="Arial"/>
                <w:sz w:val="16"/>
                <w:szCs w:val="16"/>
              </w:rPr>
            </w:pPr>
            <w:r w:rsidRPr="006D52A9">
              <w:rPr>
                <w:rFonts w:ascii="Arial" w:hAnsi="Arial" w:cs="Arial"/>
                <w:sz w:val="16"/>
                <w:szCs w:val="16"/>
              </w:rPr>
              <w:t>C7042 C9225</w:t>
            </w:r>
          </w:p>
        </w:tc>
        <w:tc>
          <w:tcPr>
            <w:tcW w:w="376" w:type="pct"/>
          </w:tcPr>
          <w:p w14:paraId="34DB4A3B" w14:textId="77777777" w:rsidR="00D63B70" w:rsidRPr="006D52A9" w:rsidRDefault="00D63B70" w:rsidP="00D63B70">
            <w:pPr>
              <w:rPr>
                <w:rFonts w:ascii="Arial" w:hAnsi="Arial" w:cs="Arial"/>
                <w:sz w:val="16"/>
                <w:szCs w:val="16"/>
              </w:rPr>
            </w:pPr>
          </w:p>
        </w:tc>
        <w:tc>
          <w:tcPr>
            <w:tcW w:w="499" w:type="pct"/>
          </w:tcPr>
          <w:p w14:paraId="5BBB88A2"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2 </w:t>
            </w:r>
          </w:p>
        </w:tc>
        <w:tc>
          <w:tcPr>
            <w:tcW w:w="502" w:type="pct"/>
          </w:tcPr>
          <w:p w14:paraId="44758877"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70B0A4BD" w14:textId="77777777" w:rsidTr="00A91628">
        <w:tblPrEx>
          <w:tblBorders>
            <w:top w:val="single" w:sz="4" w:space="0" w:color="auto"/>
          </w:tblBorders>
        </w:tblPrEx>
        <w:trPr>
          <w:tblCellSpacing w:w="22" w:type="dxa"/>
        </w:trPr>
        <w:tc>
          <w:tcPr>
            <w:tcW w:w="508" w:type="pct"/>
          </w:tcPr>
          <w:p w14:paraId="02434F2E" w14:textId="77777777" w:rsidR="00D63B70" w:rsidRPr="006D52A9" w:rsidRDefault="00D63B70" w:rsidP="00D63B70">
            <w:pPr>
              <w:rPr>
                <w:rFonts w:ascii="Arial" w:hAnsi="Arial" w:cs="Arial"/>
                <w:sz w:val="16"/>
                <w:szCs w:val="16"/>
              </w:rPr>
            </w:pPr>
            <w:r w:rsidRPr="006D52A9">
              <w:rPr>
                <w:rFonts w:ascii="Arial" w:hAnsi="Arial" w:cs="Arial"/>
                <w:sz w:val="16"/>
                <w:szCs w:val="16"/>
              </w:rPr>
              <w:t>Lanthanum</w:t>
            </w:r>
          </w:p>
        </w:tc>
        <w:tc>
          <w:tcPr>
            <w:tcW w:w="943" w:type="pct"/>
          </w:tcPr>
          <w:p w14:paraId="6B413E99" w14:textId="77777777" w:rsidR="00D63B70" w:rsidRPr="006D52A9" w:rsidRDefault="00D63B70" w:rsidP="00D63B70">
            <w:pPr>
              <w:rPr>
                <w:rFonts w:ascii="Arial" w:hAnsi="Arial" w:cs="Arial"/>
                <w:sz w:val="16"/>
                <w:szCs w:val="16"/>
              </w:rPr>
            </w:pPr>
            <w:r w:rsidRPr="006D52A9">
              <w:rPr>
                <w:rFonts w:ascii="Arial" w:hAnsi="Arial" w:cs="Arial"/>
                <w:sz w:val="16"/>
                <w:szCs w:val="16"/>
              </w:rPr>
              <w:t>Tablet, chewable, 500 mg (as carbonate hydrate)</w:t>
            </w:r>
          </w:p>
        </w:tc>
        <w:tc>
          <w:tcPr>
            <w:tcW w:w="540" w:type="pct"/>
          </w:tcPr>
          <w:p w14:paraId="410B57D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B359F01" w14:textId="77777777" w:rsidR="00D63B70" w:rsidRPr="006D52A9" w:rsidRDefault="00D63B70" w:rsidP="00D63B70">
            <w:pPr>
              <w:rPr>
                <w:rFonts w:ascii="Arial" w:hAnsi="Arial" w:cs="Arial"/>
                <w:sz w:val="16"/>
                <w:szCs w:val="16"/>
              </w:rPr>
            </w:pPr>
            <w:r w:rsidRPr="006D52A9">
              <w:rPr>
                <w:rFonts w:ascii="Arial" w:hAnsi="Arial" w:cs="Arial"/>
                <w:sz w:val="16"/>
                <w:szCs w:val="16"/>
              </w:rPr>
              <w:t>Fosrenol</w:t>
            </w:r>
          </w:p>
        </w:tc>
        <w:tc>
          <w:tcPr>
            <w:tcW w:w="894" w:type="pct"/>
          </w:tcPr>
          <w:p w14:paraId="0321E9A5"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470D1138" w14:textId="77777777" w:rsidR="00D63B70" w:rsidRPr="006D52A9" w:rsidRDefault="00D63B70" w:rsidP="00D63B70">
            <w:pPr>
              <w:rPr>
                <w:rFonts w:ascii="Arial" w:hAnsi="Arial" w:cs="Arial"/>
                <w:sz w:val="16"/>
                <w:szCs w:val="16"/>
              </w:rPr>
            </w:pPr>
          </w:p>
        </w:tc>
        <w:tc>
          <w:tcPr>
            <w:tcW w:w="499" w:type="pct"/>
          </w:tcPr>
          <w:p w14:paraId="5B5A669D"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361F7AA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B635485" w14:textId="77777777" w:rsidTr="00A91628">
        <w:tblPrEx>
          <w:tblBorders>
            <w:top w:val="single" w:sz="4" w:space="0" w:color="auto"/>
          </w:tblBorders>
        </w:tblPrEx>
        <w:trPr>
          <w:tblCellSpacing w:w="22" w:type="dxa"/>
        </w:trPr>
        <w:tc>
          <w:tcPr>
            <w:tcW w:w="508" w:type="pct"/>
          </w:tcPr>
          <w:p w14:paraId="43ACEB95" w14:textId="77777777" w:rsidR="00D63B70" w:rsidRPr="006D52A9" w:rsidRDefault="00D63B70" w:rsidP="00D63B70">
            <w:pPr>
              <w:rPr>
                <w:rFonts w:ascii="Arial" w:hAnsi="Arial" w:cs="Arial"/>
                <w:sz w:val="16"/>
                <w:szCs w:val="16"/>
              </w:rPr>
            </w:pPr>
          </w:p>
        </w:tc>
        <w:tc>
          <w:tcPr>
            <w:tcW w:w="943" w:type="pct"/>
          </w:tcPr>
          <w:p w14:paraId="5BD695F5" w14:textId="77777777" w:rsidR="00D63B70" w:rsidRPr="006D52A9" w:rsidRDefault="00D63B70" w:rsidP="00D63B70">
            <w:pPr>
              <w:rPr>
                <w:rFonts w:ascii="Arial" w:hAnsi="Arial" w:cs="Arial"/>
                <w:sz w:val="16"/>
                <w:szCs w:val="16"/>
              </w:rPr>
            </w:pPr>
            <w:r w:rsidRPr="006D52A9">
              <w:rPr>
                <w:rFonts w:ascii="Arial" w:hAnsi="Arial" w:cs="Arial"/>
                <w:sz w:val="16"/>
                <w:szCs w:val="16"/>
              </w:rPr>
              <w:t>Tablet, chewable, 750 mg (as carbonate hydrate)</w:t>
            </w:r>
          </w:p>
        </w:tc>
        <w:tc>
          <w:tcPr>
            <w:tcW w:w="540" w:type="pct"/>
          </w:tcPr>
          <w:p w14:paraId="5243C83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D65F67A" w14:textId="77777777" w:rsidR="00D63B70" w:rsidRPr="006D52A9" w:rsidRDefault="00D63B70" w:rsidP="00D63B70">
            <w:pPr>
              <w:rPr>
                <w:rFonts w:ascii="Arial" w:hAnsi="Arial" w:cs="Arial"/>
                <w:sz w:val="16"/>
                <w:szCs w:val="16"/>
              </w:rPr>
            </w:pPr>
            <w:r w:rsidRPr="006D52A9">
              <w:rPr>
                <w:rFonts w:ascii="Arial" w:hAnsi="Arial" w:cs="Arial"/>
                <w:sz w:val="16"/>
                <w:szCs w:val="16"/>
              </w:rPr>
              <w:t>Fosrenol</w:t>
            </w:r>
          </w:p>
        </w:tc>
        <w:tc>
          <w:tcPr>
            <w:tcW w:w="894" w:type="pct"/>
          </w:tcPr>
          <w:p w14:paraId="1BAD54C7"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639A2172" w14:textId="77777777" w:rsidR="00D63B70" w:rsidRPr="006D52A9" w:rsidRDefault="00D63B70" w:rsidP="00D63B70">
            <w:pPr>
              <w:rPr>
                <w:rFonts w:ascii="Arial" w:hAnsi="Arial" w:cs="Arial"/>
                <w:sz w:val="16"/>
                <w:szCs w:val="16"/>
              </w:rPr>
            </w:pPr>
          </w:p>
        </w:tc>
        <w:tc>
          <w:tcPr>
            <w:tcW w:w="499" w:type="pct"/>
          </w:tcPr>
          <w:p w14:paraId="2B01F35F"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04E25F0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90155CF" w14:textId="77777777" w:rsidTr="00A91628">
        <w:tblPrEx>
          <w:tblBorders>
            <w:top w:val="single" w:sz="4" w:space="0" w:color="auto"/>
          </w:tblBorders>
        </w:tblPrEx>
        <w:trPr>
          <w:tblCellSpacing w:w="22" w:type="dxa"/>
        </w:trPr>
        <w:tc>
          <w:tcPr>
            <w:tcW w:w="508" w:type="pct"/>
          </w:tcPr>
          <w:p w14:paraId="2CAE6422" w14:textId="77777777" w:rsidR="00D63B70" w:rsidRPr="006D52A9" w:rsidRDefault="00D63B70" w:rsidP="00D63B70">
            <w:pPr>
              <w:keepNext/>
              <w:rPr>
                <w:rFonts w:ascii="Arial" w:hAnsi="Arial" w:cs="Arial"/>
                <w:sz w:val="16"/>
                <w:szCs w:val="16"/>
              </w:rPr>
            </w:pPr>
          </w:p>
        </w:tc>
        <w:tc>
          <w:tcPr>
            <w:tcW w:w="943" w:type="pct"/>
          </w:tcPr>
          <w:p w14:paraId="394442E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Tablet, chewable, 1000 mg (as carbonate hydrate)</w:t>
            </w:r>
          </w:p>
        </w:tc>
        <w:tc>
          <w:tcPr>
            <w:tcW w:w="540" w:type="pct"/>
          </w:tcPr>
          <w:p w14:paraId="0AC71D2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Oral</w:t>
            </w:r>
          </w:p>
        </w:tc>
        <w:tc>
          <w:tcPr>
            <w:tcW w:w="591" w:type="pct"/>
          </w:tcPr>
          <w:p w14:paraId="13B6A32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Fosrenol</w:t>
            </w:r>
          </w:p>
        </w:tc>
        <w:tc>
          <w:tcPr>
            <w:tcW w:w="894" w:type="pct"/>
          </w:tcPr>
          <w:p w14:paraId="609E19A2"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2C4A4F78" w14:textId="77777777" w:rsidR="00D63B70" w:rsidRPr="006D52A9" w:rsidRDefault="00D63B70" w:rsidP="00D63B70">
            <w:pPr>
              <w:keepNext/>
              <w:rPr>
                <w:rFonts w:ascii="Arial" w:hAnsi="Arial" w:cs="Arial"/>
                <w:sz w:val="16"/>
                <w:szCs w:val="16"/>
              </w:rPr>
            </w:pPr>
          </w:p>
        </w:tc>
        <w:tc>
          <w:tcPr>
            <w:tcW w:w="499" w:type="pct"/>
          </w:tcPr>
          <w:p w14:paraId="39D76C7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180</w:t>
            </w:r>
          </w:p>
        </w:tc>
        <w:tc>
          <w:tcPr>
            <w:tcW w:w="502" w:type="pct"/>
          </w:tcPr>
          <w:p w14:paraId="1869AC3D"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2DE06D42" w14:textId="77777777" w:rsidTr="00A91628">
        <w:tblPrEx>
          <w:tblBorders>
            <w:top w:val="single" w:sz="4" w:space="0" w:color="auto"/>
          </w:tblBorders>
        </w:tblPrEx>
        <w:trPr>
          <w:tblCellSpacing w:w="22" w:type="dxa"/>
        </w:trPr>
        <w:tc>
          <w:tcPr>
            <w:tcW w:w="508" w:type="pct"/>
          </w:tcPr>
          <w:p w14:paraId="3345C223" w14:textId="77777777" w:rsidR="00D63B70" w:rsidRPr="006D52A9" w:rsidRDefault="00D63B70" w:rsidP="00D63B70">
            <w:pPr>
              <w:rPr>
                <w:rFonts w:ascii="Arial" w:hAnsi="Arial" w:cs="Arial"/>
                <w:sz w:val="16"/>
                <w:szCs w:val="16"/>
              </w:rPr>
            </w:pPr>
            <w:r w:rsidRPr="006D52A9">
              <w:rPr>
                <w:rFonts w:ascii="Arial" w:hAnsi="Arial" w:cs="Arial"/>
                <w:sz w:val="16"/>
                <w:szCs w:val="16"/>
              </w:rPr>
              <w:t>Ledipasvir with sofosbuvir</w:t>
            </w:r>
          </w:p>
        </w:tc>
        <w:tc>
          <w:tcPr>
            <w:tcW w:w="943" w:type="pct"/>
          </w:tcPr>
          <w:p w14:paraId="16358DB0"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90 mg ledipasvir with 400 mg sofosbuvir</w:t>
            </w:r>
          </w:p>
        </w:tc>
        <w:tc>
          <w:tcPr>
            <w:tcW w:w="540" w:type="pct"/>
          </w:tcPr>
          <w:p w14:paraId="1F894BA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1289178" w14:textId="77777777" w:rsidR="00D63B70" w:rsidRPr="006D52A9" w:rsidRDefault="00D63B70" w:rsidP="00D63B70">
            <w:pPr>
              <w:rPr>
                <w:rFonts w:ascii="Arial" w:hAnsi="Arial" w:cs="Arial"/>
                <w:sz w:val="16"/>
                <w:szCs w:val="16"/>
              </w:rPr>
            </w:pPr>
            <w:r w:rsidRPr="006D52A9">
              <w:rPr>
                <w:rFonts w:ascii="Arial" w:hAnsi="Arial" w:cs="Arial"/>
                <w:sz w:val="16"/>
                <w:szCs w:val="16"/>
              </w:rPr>
              <w:t>Harvoni</w:t>
            </w:r>
          </w:p>
        </w:tc>
        <w:tc>
          <w:tcPr>
            <w:tcW w:w="894" w:type="pct"/>
          </w:tcPr>
          <w:p w14:paraId="3C61AB32" w14:textId="77777777" w:rsidR="00D63B70" w:rsidRPr="006D52A9" w:rsidRDefault="00D63B70" w:rsidP="00D63B70">
            <w:pPr>
              <w:rPr>
                <w:rFonts w:ascii="Arial" w:hAnsi="Arial" w:cs="Arial"/>
                <w:sz w:val="16"/>
                <w:szCs w:val="16"/>
              </w:rPr>
            </w:pPr>
            <w:r w:rsidRPr="006D52A9">
              <w:rPr>
                <w:rFonts w:ascii="Arial" w:hAnsi="Arial" w:cs="Arial"/>
                <w:sz w:val="16"/>
                <w:szCs w:val="16"/>
              </w:rPr>
              <w:t>C5944 C5969 C5972</w:t>
            </w:r>
          </w:p>
        </w:tc>
        <w:tc>
          <w:tcPr>
            <w:tcW w:w="376" w:type="pct"/>
          </w:tcPr>
          <w:p w14:paraId="09F167B9" w14:textId="77777777" w:rsidR="00D63B70" w:rsidRPr="006D52A9" w:rsidRDefault="00D63B70" w:rsidP="00D63B70">
            <w:pPr>
              <w:rPr>
                <w:rFonts w:ascii="Arial" w:hAnsi="Arial" w:cs="Arial"/>
                <w:sz w:val="16"/>
                <w:szCs w:val="16"/>
              </w:rPr>
            </w:pPr>
            <w:r w:rsidRPr="006D52A9">
              <w:rPr>
                <w:rFonts w:ascii="Arial" w:hAnsi="Arial" w:cs="Arial"/>
                <w:sz w:val="16"/>
                <w:szCs w:val="16"/>
              </w:rPr>
              <w:t>P5944</w:t>
            </w:r>
          </w:p>
        </w:tc>
        <w:tc>
          <w:tcPr>
            <w:tcW w:w="499" w:type="pct"/>
          </w:tcPr>
          <w:p w14:paraId="0D24CD6C"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57E957F6"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r>
      <w:tr w:rsidR="00D63B70" w:rsidRPr="006D52A9" w14:paraId="2FFFFBD5" w14:textId="77777777" w:rsidTr="00A91628">
        <w:tblPrEx>
          <w:tblBorders>
            <w:top w:val="single" w:sz="4" w:space="0" w:color="auto"/>
          </w:tblBorders>
        </w:tblPrEx>
        <w:trPr>
          <w:tblCellSpacing w:w="22" w:type="dxa"/>
        </w:trPr>
        <w:tc>
          <w:tcPr>
            <w:tcW w:w="508" w:type="pct"/>
          </w:tcPr>
          <w:p w14:paraId="15CC3E3E" w14:textId="77777777" w:rsidR="00D63B70" w:rsidRPr="006D52A9" w:rsidRDefault="00D63B70" w:rsidP="00D63B70">
            <w:pPr>
              <w:rPr>
                <w:rFonts w:ascii="Arial" w:hAnsi="Arial" w:cs="Arial"/>
                <w:sz w:val="16"/>
                <w:szCs w:val="16"/>
              </w:rPr>
            </w:pPr>
          </w:p>
        </w:tc>
        <w:tc>
          <w:tcPr>
            <w:tcW w:w="943" w:type="pct"/>
          </w:tcPr>
          <w:p w14:paraId="577C8C04" w14:textId="77777777" w:rsidR="00D63B70" w:rsidRPr="006D52A9" w:rsidRDefault="00D63B70" w:rsidP="00D63B70">
            <w:pPr>
              <w:rPr>
                <w:rFonts w:ascii="Arial" w:hAnsi="Arial" w:cs="Arial"/>
                <w:sz w:val="16"/>
                <w:szCs w:val="16"/>
              </w:rPr>
            </w:pPr>
          </w:p>
        </w:tc>
        <w:tc>
          <w:tcPr>
            <w:tcW w:w="540" w:type="pct"/>
          </w:tcPr>
          <w:p w14:paraId="601457D5" w14:textId="77777777" w:rsidR="00D63B70" w:rsidRPr="006D52A9" w:rsidRDefault="00D63B70" w:rsidP="00D63B70">
            <w:pPr>
              <w:rPr>
                <w:rFonts w:ascii="Arial" w:hAnsi="Arial" w:cs="Arial"/>
                <w:sz w:val="16"/>
                <w:szCs w:val="16"/>
              </w:rPr>
            </w:pPr>
          </w:p>
        </w:tc>
        <w:tc>
          <w:tcPr>
            <w:tcW w:w="591" w:type="pct"/>
          </w:tcPr>
          <w:p w14:paraId="077A732E" w14:textId="77777777" w:rsidR="00D63B70" w:rsidRPr="006D52A9" w:rsidRDefault="00D63B70" w:rsidP="00D63B70">
            <w:pPr>
              <w:rPr>
                <w:rFonts w:ascii="Arial" w:hAnsi="Arial" w:cs="Arial"/>
                <w:sz w:val="16"/>
                <w:szCs w:val="16"/>
              </w:rPr>
            </w:pPr>
          </w:p>
        </w:tc>
        <w:tc>
          <w:tcPr>
            <w:tcW w:w="894" w:type="pct"/>
          </w:tcPr>
          <w:p w14:paraId="7FA1554B" w14:textId="77777777" w:rsidR="00D63B70" w:rsidRPr="006D52A9" w:rsidRDefault="00D63B70" w:rsidP="00D63B70">
            <w:pPr>
              <w:rPr>
                <w:rFonts w:ascii="Arial" w:hAnsi="Arial" w:cs="Arial"/>
                <w:sz w:val="16"/>
                <w:szCs w:val="16"/>
              </w:rPr>
            </w:pPr>
            <w:r w:rsidRPr="006D52A9">
              <w:rPr>
                <w:rFonts w:ascii="Arial" w:hAnsi="Arial" w:cs="Arial"/>
                <w:sz w:val="16"/>
                <w:szCs w:val="16"/>
              </w:rPr>
              <w:t>C5944 C5969 C5972</w:t>
            </w:r>
          </w:p>
        </w:tc>
        <w:tc>
          <w:tcPr>
            <w:tcW w:w="376" w:type="pct"/>
          </w:tcPr>
          <w:p w14:paraId="6B52172E" w14:textId="77777777" w:rsidR="00D63B70" w:rsidRPr="006D52A9" w:rsidRDefault="00D63B70" w:rsidP="00D63B70">
            <w:pPr>
              <w:rPr>
                <w:rFonts w:ascii="Arial" w:hAnsi="Arial" w:cs="Arial"/>
                <w:sz w:val="16"/>
                <w:szCs w:val="16"/>
              </w:rPr>
            </w:pPr>
            <w:r w:rsidRPr="006D52A9">
              <w:rPr>
                <w:rFonts w:ascii="Arial" w:hAnsi="Arial" w:cs="Arial"/>
                <w:sz w:val="16"/>
                <w:szCs w:val="16"/>
              </w:rPr>
              <w:t>P5969</w:t>
            </w:r>
          </w:p>
        </w:tc>
        <w:tc>
          <w:tcPr>
            <w:tcW w:w="499" w:type="pct"/>
          </w:tcPr>
          <w:p w14:paraId="47502025"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67EDFC96"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470EC8DC" w14:textId="77777777" w:rsidTr="00A91628">
        <w:tblPrEx>
          <w:tblBorders>
            <w:top w:val="single" w:sz="4" w:space="0" w:color="auto"/>
          </w:tblBorders>
        </w:tblPrEx>
        <w:trPr>
          <w:tblCellSpacing w:w="22" w:type="dxa"/>
        </w:trPr>
        <w:tc>
          <w:tcPr>
            <w:tcW w:w="508" w:type="pct"/>
          </w:tcPr>
          <w:p w14:paraId="0A6CDF17" w14:textId="77777777" w:rsidR="00D63B70" w:rsidRPr="006D52A9" w:rsidRDefault="00D63B70" w:rsidP="00D63B70">
            <w:pPr>
              <w:keepNext/>
              <w:keepLines/>
              <w:rPr>
                <w:rFonts w:ascii="Arial" w:hAnsi="Arial" w:cs="Arial"/>
                <w:sz w:val="16"/>
                <w:szCs w:val="16"/>
              </w:rPr>
            </w:pPr>
          </w:p>
        </w:tc>
        <w:tc>
          <w:tcPr>
            <w:tcW w:w="943" w:type="pct"/>
          </w:tcPr>
          <w:p w14:paraId="0DB73E7D" w14:textId="77777777" w:rsidR="00D63B70" w:rsidRPr="006D52A9" w:rsidRDefault="00D63B70" w:rsidP="00D63B70">
            <w:pPr>
              <w:keepNext/>
              <w:keepLines/>
              <w:rPr>
                <w:rFonts w:ascii="Arial" w:hAnsi="Arial" w:cs="Arial"/>
                <w:sz w:val="16"/>
                <w:szCs w:val="16"/>
              </w:rPr>
            </w:pPr>
          </w:p>
        </w:tc>
        <w:tc>
          <w:tcPr>
            <w:tcW w:w="540" w:type="pct"/>
          </w:tcPr>
          <w:p w14:paraId="49E4FFAD" w14:textId="77777777" w:rsidR="00D63B70" w:rsidRPr="006D52A9" w:rsidRDefault="00D63B70" w:rsidP="00D63B70">
            <w:pPr>
              <w:keepNext/>
              <w:keepLines/>
              <w:rPr>
                <w:rFonts w:ascii="Arial" w:hAnsi="Arial" w:cs="Arial"/>
                <w:sz w:val="16"/>
                <w:szCs w:val="16"/>
              </w:rPr>
            </w:pPr>
          </w:p>
        </w:tc>
        <w:tc>
          <w:tcPr>
            <w:tcW w:w="591" w:type="pct"/>
          </w:tcPr>
          <w:p w14:paraId="71316783" w14:textId="77777777" w:rsidR="00D63B70" w:rsidRPr="006D52A9" w:rsidRDefault="00D63B70" w:rsidP="00D63B70">
            <w:pPr>
              <w:keepNext/>
              <w:keepLines/>
              <w:rPr>
                <w:rFonts w:ascii="Arial" w:hAnsi="Arial" w:cs="Arial"/>
                <w:sz w:val="16"/>
                <w:szCs w:val="16"/>
              </w:rPr>
            </w:pPr>
          </w:p>
        </w:tc>
        <w:tc>
          <w:tcPr>
            <w:tcW w:w="894" w:type="pct"/>
          </w:tcPr>
          <w:p w14:paraId="0F5CFA5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C5944 C5969 C5972</w:t>
            </w:r>
          </w:p>
        </w:tc>
        <w:tc>
          <w:tcPr>
            <w:tcW w:w="376" w:type="pct"/>
          </w:tcPr>
          <w:p w14:paraId="7CFD794E"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P5972</w:t>
            </w:r>
          </w:p>
        </w:tc>
        <w:tc>
          <w:tcPr>
            <w:tcW w:w="499" w:type="pct"/>
          </w:tcPr>
          <w:p w14:paraId="2323960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28</w:t>
            </w:r>
          </w:p>
        </w:tc>
        <w:tc>
          <w:tcPr>
            <w:tcW w:w="502" w:type="pct"/>
          </w:tcPr>
          <w:p w14:paraId="273F6B94"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7D5DDD9F" w14:textId="77777777" w:rsidTr="00A91628">
        <w:tblPrEx>
          <w:tblBorders>
            <w:top w:val="single" w:sz="4" w:space="0" w:color="auto"/>
          </w:tblBorders>
        </w:tblPrEx>
        <w:trPr>
          <w:tblCellSpacing w:w="22" w:type="dxa"/>
        </w:trPr>
        <w:tc>
          <w:tcPr>
            <w:tcW w:w="508" w:type="pct"/>
          </w:tcPr>
          <w:p w14:paraId="1D3C6D53" w14:textId="77777777" w:rsidR="00D63B70" w:rsidRPr="006D52A9" w:rsidRDefault="00D63B70" w:rsidP="00D63B70">
            <w:pPr>
              <w:rPr>
                <w:rFonts w:ascii="Arial" w:hAnsi="Arial" w:cs="Arial"/>
                <w:sz w:val="16"/>
                <w:szCs w:val="16"/>
              </w:rPr>
            </w:pPr>
            <w:r w:rsidRPr="006D52A9">
              <w:rPr>
                <w:rFonts w:ascii="Arial" w:hAnsi="Arial" w:cs="Arial"/>
                <w:sz w:val="16"/>
                <w:szCs w:val="16"/>
              </w:rPr>
              <w:t>Lenalidomide</w:t>
            </w:r>
          </w:p>
        </w:tc>
        <w:tc>
          <w:tcPr>
            <w:tcW w:w="943" w:type="pct"/>
          </w:tcPr>
          <w:p w14:paraId="323AD4FB" w14:textId="77777777" w:rsidR="00D63B70" w:rsidRPr="006D52A9" w:rsidRDefault="00D63B70" w:rsidP="00D63B70">
            <w:pPr>
              <w:rPr>
                <w:rFonts w:ascii="Arial" w:hAnsi="Arial" w:cs="Arial"/>
                <w:sz w:val="16"/>
                <w:szCs w:val="16"/>
              </w:rPr>
            </w:pPr>
            <w:r w:rsidRPr="006D52A9">
              <w:rPr>
                <w:rFonts w:ascii="Arial" w:hAnsi="Arial" w:cs="Arial"/>
                <w:sz w:val="16"/>
                <w:szCs w:val="16"/>
              </w:rPr>
              <w:t>Capsule 5 mg</w:t>
            </w:r>
          </w:p>
        </w:tc>
        <w:tc>
          <w:tcPr>
            <w:tcW w:w="540" w:type="pct"/>
          </w:tcPr>
          <w:p w14:paraId="1609742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3B8F2C1" w14:textId="77777777" w:rsidR="00D63B70" w:rsidRPr="006D52A9" w:rsidRDefault="00D63B70" w:rsidP="00D63B70">
            <w:pPr>
              <w:rPr>
                <w:rFonts w:ascii="Arial" w:hAnsi="Arial" w:cs="Arial"/>
                <w:sz w:val="16"/>
                <w:szCs w:val="16"/>
              </w:rPr>
            </w:pPr>
            <w:r w:rsidRPr="006D52A9">
              <w:rPr>
                <w:rFonts w:ascii="Arial" w:hAnsi="Arial" w:cs="Arial"/>
                <w:sz w:val="16"/>
                <w:szCs w:val="16"/>
              </w:rPr>
              <w:t>Revlimid</w:t>
            </w:r>
          </w:p>
        </w:tc>
        <w:tc>
          <w:tcPr>
            <w:tcW w:w="894" w:type="pct"/>
          </w:tcPr>
          <w:p w14:paraId="694584A4" w14:textId="77777777" w:rsidR="00D63B70" w:rsidRPr="006D52A9" w:rsidRDefault="00D63B70" w:rsidP="00D63B70">
            <w:pPr>
              <w:rPr>
                <w:rFonts w:ascii="Arial" w:hAnsi="Arial" w:cs="Arial"/>
                <w:sz w:val="16"/>
                <w:szCs w:val="16"/>
              </w:rPr>
            </w:pPr>
            <w:r w:rsidRPr="006D52A9">
              <w:rPr>
                <w:rFonts w:ascii="Arial" w:hAnsi="Arial" w:cs="Arial"/>
                <w:sz w:val="16"/>
                <w:szCs w:val="16"/>
              </w:rPr>
              <w:t>C4282 C4287</w:t>
            </w:r>
            <w:r w:rsidRPr="006D52A9">
              <w:rPr>
                <w:sz w:val="16"/>
                <w:szCs w:val="16"/>
              </w:rPr>
              <w:t xml:space="preserve"> C10334 C10335 </w:t>
            </w:r>
            <w:r w:rsidRPr="006D52A9">
              <w:rPr>
                <w:rFonts w:ascii="Arial" w:hAnsi="Arial" w:cs="Arial"/>
                <w:bCs/>
                <w:sz w:val="16"/>
                <w:szCs w:val="16"/>
              </w:rPr>
              <w:t>C10349 C10350 C10373</w:t>
            </w:r>
            <w:r w:rsidRPr="006D52A9">
              <w:rPr>
                <w:rFonts w:ascii="Arial" w:hAnsi="Arial" w:cs="Arial"/>
                <w:bCs/>
              </w:rPr>
              <w:t xml:space="preserve"> </w:t>
            </w:r>
            <w:r w:rsidRPr="006D52A9">
              <w:rPr>
                <w:rFonts w:ascii="Arial" w:hAnsi="Arial" w:cs="Arial"/>
                <w:bCs/>
                <w:sz w:val="16"/>
                <w:szCs w:val="16"/>
              </w:rPr>
              <w:t xml:space="preserve">C10427 C10428 C10429 </w:t>
            </w:r>
            <w:r w:rsidRPr="006D52A9">
              <w:rPr>
                <w:rFonts w:ascii="Arial" w:hAnsi="Arial" w:cs="Arial"/>
                <w:bCs/>
                <w:sz w:val="16"/>
                <w:szCs w:val="16"/>
              </w:rPr>
              <w:lastRenderedPageBreak/>
              <w:t>C10452 C10453</w:t>
            </w:r>
          </w:p>
        </w:tc>
        <w:tc>
          <w:tcPr>
            <w:tcW w:w="376" w:type="pct"/>
          </w:tcPr>
          <w:p w14:paraId="2AFE8010" w14:textId="77777777" w:rsidR="00D63B70" w:rsidRPr="006D52A9" w:rsidRDefault="00D63B70" w:rsidP="00D63B70">
            <w:pPr>
              <w:rPr>
                <w:rFonts w:ascii="Arial" w:hAnsi="Arial" w:cs="Arial"/>
                <w:sz w:val="16"/>
                <w:szCs w:val="16"/>
              </w:rPr>
            </w:pPr>
          </w:p>
        </w:tc>
        <w:tc>
          <w:tcPr>
            <w:tcW w:w="499" w:type="pct"/>
          </w:tcPr>
          <w:p w14:paraId="0083C2A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9CF362A"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4DB70B8A" w14:textId="77777777" w:rsidTr="00A91628">
        <w:tblPrEx>
          <w:tblBorders>
            <w:top w:val="single" w:sz="4" w:space="0" w:color="auto"/>
          </w:tblBorders>
        </w:tblPrEx>
        <w:trPr>
          <w:tblCellSpacing w:w="22" w:type="dxa"/>
        </w:trPr>
        <w:tc>
          <w:tcPr>
            <w:tcW w:w="508" w:type="pct"/>
          </w:tcPr>
          <w:p w14:paraId="150C0571" w14:textId="77777777" w:rsidR="00D63B70" w:rsidRPr="006D52A9" w:rsidRDefault="00D63B70" w:rsidP="00D63B70">
            <w:pPr>
              <w:rPr>
                <w:rFonts w:ascii="Arial" w:hAnsi="Arial" w:cs="Arial"/>
                <w:sz w:val="16"/>
                <w:szCs w:val="16"/>
              </w:rPr>
            </w:pPr>
          </w:p>
        </w:tc>
        <w:tc>
          <w:tcPr>
            <w:tcW w:w="943" w:type="pct"/>
          </w:tcPr>
          <w:p w14:paraId="09396A17" w14:textId="77777777" w:rsidR="00D63B70" w:rsidRPr="006D52A9" w:rsidRDefault="00D63B70" w:rsidP="00D63B70">
            <w:pPr>
              <w:rPr>
                <w:rFonts w:ascii="Arial" w:hAnsi="Arial" w:cs="Arial"/>
                <w:sz w:val="16"/>
                <w:szCs w:val="16"/>
              </w:rPr>
            </w:pPr>
            <w:r w:rsidRPr="006D52A9">
              <w:rPr>
                <w:rFonts w:ascii="Arial" w:hAnsi="Arial" w:cs="Arial"/>
                <w:sz w:val="16"/>
                <w:szCs w:val="16"/>
              </w:rPr>
              <w:t>Capsule 10 mg</w:t>
            </w:r>
          </w:p>
        </w:tc>
        <w:tc>
          <w:tcPr>
            <w:tcW w:w="540" w:type="pct"/>
          </w:tcPr>
          <w:p w14:paraId="7AA7A40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C4BCEA6" w14:textId="77777777" w:rsidR="00D63B70" w:rsidRPr="006D52A9" w:rsidRDefault="00D63B70" w:rsidP="00D63B70">
            <w:pPr>
              <w:rPr>
                <w:rFonts w:ascii="Arial" w:hAnsi="Arial" w:cs="Arial"/>
                <w:sz w:val="16"/>
                <w:szCs w:val="16"/>
              </w:rPr>
            </w:pPr>
            <w:r w:rsidRPr="006D52A9">
              <w:rPr>
                <w:rFonts w:ascii="Arial" w:hAnsi="Arial" w:cs="Arial"/>
                <w:sz w:val="16"/>
                <w:szCs w:val="16"/>
              </w:rPr>
              <w:t>Revlimid</w:t>
            </w:r>
          </w:p>
        </w:tc>
        <w:tc>
          <w:tcPr>
            <w:tcW w:w="894" w:type="pct"/>
          </w:tcPr>
          <w:p w14:paraId="53437BC3" w14:textId="77777777" w:rsidR="00D63B70" w:rsidRPr="006D52A9" w:rsidRDefault="00D63B70" w:rsidP="00D63B70">
            <w:pPr>
              <w:rPr>
                <w:rFonts w:ascii="Arial" w:hAnsi="Arial" w:cs="Arial"/>
                <w:sz w:val="16"/>
                <w:szCs w:val="16"/>
              </w:rPr>
            </w:pPr>
            <w:r w:rsidRPr="006D52A9">
              <w:rPr>
                <w:rFonts w:ascii="Arial" w:hAnsi="Arial" w:cs="Arial"/>
                <w:sz w:val="16"/>
                <w:szCs w:val="16"/>
              </w:rPr>
              <w:t>C4282 C4287</w:t>
            </w:r>
            <w:r w:rsidRPr="006D52A9">
              <w:rPr>
                <w:sz w:val="16"/>
                <w:szCs w:val="16"/>
              </w:rPr>
              <w:t xml:space="preserve"> C10334 C10335 </w:t>
            </w:r>
            <w:r w:rsidRPr="006D52A9">
              <w:rPr>
                <w:rFonts w:ascii="Arial" w:hAnsi="Arial" w:cs="Arial"/>
                <w:bCs/>
                <w:sz w:val="16"/>
                <w:szCs w:val="16"/>
              </w:rPr>
              <w:t>C10349 C10350 C10373 C10427 C10428 C10429 C10452 C10453</w:t>
            </w:r>
          </w:p>
        </w:tc>
        <w:tc>
          <w:tcPr>
            <w:tcW w:w="376" w:type="pct"/>
          </w:tcPr>
          <w:p w14:paraId="5EEFD04A" w14:textId="77777777" w:rsidR="00D63B70" w:rsidRPr="006D52A9" w:rsidRDefault="00D63B70" w:rsidP="00D63B70">
            <w:pPr>
              <w:rPr>
                <w:rFonts w:ascii="Arial" w:hAnsi="Arial" w:cs="Arial"/>
                <w:sz w:val="16"/>
                <w:szCs w:val="16"/>
              </w:rPr>
            </w:pPr>
          </w:p>
        </w:tc>
        <w:tc>
          <w:tcPr>
            <w:tcW w:w="499" w:type="pct"/>
          </w:tcPr>
          <w:p w14:paraId="311688AA"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885BD2C"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6B0FD6F" w14:textId="77777777" w:rsidTr="00A91628">
        <w:tblPrEx>
          <w:tblBorders>
            <w:top w:val="single" w:sz="4" w:space="0" w:color="auto"/>
          </w:tblBorders>
        </w:tblPrEx>
        <w:trPr>
          <w:tblCellSpacing w:w="22" w:type="dxa"/>
        </w:trPr>
        <w:tc>
          <w:tcPr>
            <w:tcW w:w="508" w:type="pct"/>
          </w:tcPr>
          <w:p w14:paraId="02427CB6" w14:textId="77777777" w:rsidR="00D63B70" w:rsidRPr="006D52A9" w:rsidRDefault="00D63B70" w:rsidP="00D63B70">
            <w:pPr>
              <w:rPr>
                <w:rFonts w:ascii="Arial" w:hAnsi="Arial" w:cs="Arial"/>
                <w:sz w:val="16"/>
                <w:szCs w:val="16"/>
              </w:rPr>
            </w:pPr>
          </w:p>
        </w:tc>
        <w:tc>
          <w:tcPr>
            <w:tcW w:w="943" w:type="pct"/>
          </w:tcPr>
          <w:p w14:paraId="4BB701D9" w14:textId="77777777" w:rsidR="00D63B70" w:rsidRPr="006D52A9" w:rsidRDefault="00D63B70" w:rsidP="00D63B70">
            <w:pPr>
              <w:rPr>
                <w:rFonts w:ascii="Arial" w:hAnsi="Arial" w:cs="Arial"/>
                <w:sz w:val="16"/>
                <w:szCs w:val="16"/>
              </w:rPr>
            </w:pPr>
            <w:r w:rsidRPr="006D52A9">
              <w:rPr>
                <w:rFonts w:ascii="Arial" w:hAnsi="Arial" w:cs="Arial"/>
                <w:sz w:val="16"/>
                <w:szCs w:val="16"/>
              </w:rPr>
              <w:t>Capsule 15 mg</w:t>
            </w:r>
          </w:p>
        </w:tc>
        <w:tc>
          <w:tcPr>
            <w:tcW w:w="540" w:type="pct"/>
          </w:tcPr>
          <w:p w14:paraId="46CEB05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25091B1" w14:textId="77777777" w:rsidR="00D63B70" w:rsidRPr="006D52A9" w:rsidRDefault="00D63B70" w:rsidP="00D63B70">
            <w:pPr>
              <w:rPr>
                <w:rFonts w:ascii="Arial" w:hAnsi="Arial" w:cs="Arial"/>
                <w:sz w:val="16"/>
                <w:szCs w:val="16"/>
              </w:rPr>
            </w:pPr>
            <w:r w:rsidRPr="006D52A9">
              <w:rPr>
                <w:rFonts w:ascii="Arial" w:hAnsi="Arial" w:cs="Arial"/>
                <w:sz w:val="16"/>
                <w:szCs w:val="16"/>
              </w:rPr>
              <w:t>Revlimid</w:t>
            </w:r>
          </w:p>
        </w:tc>
        <w:tc>
          <w:tcPr>
            <w:tcW w:w="894" w:type="pct"/>
          </w:tcPr>
          <w:p w14:paraId="67F1E5BA" w14:textId="77777777" w:rsidR="00D63B70" w:rsidRPr="006D52A9" w:rsidRDefault="00D63B70" w:rsidP="00D63B70">
            <w:pPr>
              <w:rPr>
                <w:rFonts w:ascii="Arial" w:hAnsi="Arial" w:cs="Arial"/>
                <w:sz w:val="16"/>
                <w:szCs w:val="16"/>
              </w:rPr>
            </w:pPr>
            <w:r w:rsidRPr="006D52A9">
              <w:rPr>
                <w:sz w:val="16"/>
                <w:szCs w:val="16"/>
              </w:rPr>
              <w:t xml:space="preserve">C10334 C10335 </w:t>
            </w:r>
            <w:r w:rsidRPr="006D52A9">
              <w:rPr>
                <w:rFonts w:ascii="Arial" w:hAnsi="Arial" w:cs="Arial"/>
                <w:bCs/>
                <w:sz w:val="16"/>
                <w:szCs w:val="16"/>
              </w:rPr>
              <w:t>C10349 C10350 C10373 C10427 C10428 C10429 C10452 C10453</w:t>
            </w:r>
          </w:p>
        </w:tc>
        <w:tc>
          <w:tcPr>
            <w:tcW w:w="376" w:type="pct"/>
          </w:tcPr>
          <w:p w14:paraId="4606F3C7" w14:textId="77777777" w:rsidR="00D63B70" w:rsidRPr="006D52A9" w:rsidRDefault="00D63B70" w:rsidP="00D63B70">
            <w:pPr>
              <w:rPr>
                <w:rFonts w:ascii="Arial" w:hAnsi="Arial" w:cs="Arial"/>
                <w:sz w:val="16"/>
                <w:szCs w:val="16"/>
              </w:rPr>
            </w:pPr>
          </w:p>
        </w:tc>
        <w:tc>
          <w:tcPr>
            <w:tcW w:w="499" w:type="pct"/>
          </w:tcPr>
          <w:p w14:paraId="13C2F6A8"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97D4AF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6B10A492" w14:textId="77777777" w:rsidTr="00A91628">
        <w:tblPrEx>
          <w:tblBorders>
            <w:top w:val="single" w:sz="4" w:space="0" w:color="auto"/>
          </w:tblBorders>
        </w:tblPrEx>
        <w:trPr>
          <w:tblCellSpacing w:w="22" w:type="dxa"/>
        </w:trPr>
        <w:tc>
          <w:tcPr>
            <w:tcW w:w="508" w:type="pct"/>
          </w:tcPr>
          <w:p w14:paraId="1EF744CC" w14:textId="77777777" w:rsidR="00D63B70" w:rsidRPr="006D52A9" w:rsidRDefault="00D63B70" w:rsidP="00D63B70">
            <w:pPr>
              <w:rPr>
                <w:rFonts w:ascii="Arial" w:hAnsi="Arial" w:cs="Arial"/>
                <w:sz w:val="16"/>
                <w:szCs w:val="16"/>
              </w:rPr>
            </w:pPr>
          </w:p>
        </w:tc>
        <w:tc>
          <w:tcPr>
            <w:tcW w:w="943" w:type="pct"/>
          </w:tcPr>
          <w:p w14:paraId="0F1705CD" w14:textId="77777777" w:rsidR="00D63B70" w:rsidRPr="006D52A9" w:rsidRDefault="00D63B70" w:rsidP="00D63B70">
            <w:pPr>
              <w:rPr>
                <w:rFonts w:ascii="Arial" w:hAnsi="Arial" w:cs="Arial"/>
                <w:sz w:val="16"/>
                <w:szCs w:val="16"/>
              </w:rPr>
            </w:pPr>
            <w:r w:rsidRPr="006D52A9">
              <w:rPr>
                <w:rFonts w:ascii="Arial" w:hAnsi="Arial" w:cs="Arial"/>
                <w:sz w:val="16"/>
                <w:szCs w:val="16"/>
              </w:rPr>
              <w:t>Capsule 25 mg</w:t>
            </w:r>
          </w:p>
        </w:tc>
        <w:tc>
          <w:tcPr>
            <w:tcW w:w="540" w:type="pct"/>
          </w:tcPr>
          <w:p w14:paraId="01464C1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0E1ADD4" w14:textId="77777777" w:rsidR="00D63B70" w:rsidRPr="006D52A9" w:rsidRDefault="00D63B70" w:rsidP="00D63B70">
            <w:pPr>
              <w:rPr>
                <w:rFonts w:ascii="Arial" w:hAnsi="Arial" w:cs="Arial"/>
                <w:sz w:val="16"/>
                <w:szCs w:val="16"/>
              </w:rPr>
            </w:pPr>
            <w:r w:rsidRPr="006D52A9">
              <w:rPr>
                <w:rFonts w:ascii="Arial" w:hAnsi="Arial" w:cs="Arial"/>
                <w:sz w:val="16"/>
                <w:szCs w:val="16"/>
              </w:rPr>
              <w:t>Revlimid</w:t>
            </w:r>
          </w:p>
        </w:tc>
        <w:tc>
          <w:tcPr>
            <w:tcW w:w="894" w:type="pct"/>
          </w:tcPr>
          <w:p w14:paraId="6CD65C94" w14:textId="77777777" w:rsidR="00D63B70" w:rsidRPr="006D52A9" w:rsidRDefault="00D63B70" w:rsidP="00D63B70">
            <w:pPr>
              <w:rPr>
                <w:rFonts w:ascii="Arial" w:hAnsi="Arial" w:cs="Arial"/>
                <w:sz w:val="16"/>
                <w:szCs w:val="16"/>
              </w:rPr>
            </w:pPr>
            <w:r w:rsidRPr="006D52A9">
              <w:rPr>
                <w:rFonts w:ascii="Arial" w:hAnsi="Arial" w:cs="Arial"/>
                <w:bCs/>
                <w:sz w:val="16"/>
                <w:szCs w:val="16"/>
              </w:rPr>
              <w:t>C10349 C10350 C10373 C10427 C10428 C10429 C10452 C10453</w:t>
            </w:r>
          </w:p>
        </w:tc>
        <w:tc>
          <w:tcPr>
            <w:tcW w:w="376" w:type="pct"/>
          </w:tcPr>
          <w:p w14:paraId="76AA98CD" w14:textId="77777777" w:rsidR="00D63B70" w:rsidRPr="006D52A9" w:rsidRDefault="00D63B70" w:rsidP="00D63B70">
            <w:pPr>
              <w:rPr>
                <w:rFonts w:ascii="Arial" w:hAnsi="Arial" w:cs="Arial"/>
                <w:sz w:val="16"/>
                <w:szCs w:val="16"/>
              </w:rPr>
            </w:pPr>
          </w:p>
        </w:tc>
        <w:tc>
          <w:tcPr>
            <w:tcW w:w="499" w:type="pct"/>
          </w:tcPr>
          <w:p w14:paraId="09B4EBE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CC9F6D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634D6680" w14:textId="77777777" w:rsidTr="00A91628">
        <w:tblPrEx>
          <w:tblBorders>
            <w:top w:val="single" w:sz="4" w:space="0" w:color="auto"/>
          </w:tblBorders>
        </w:tblPrEx>
        <w:trPr>
          <w:tblCellSpacing w:w="22" w:type="dxa"/>
        </w:trPr>
        <w:tc>
          <w:tcPr>
            <w:tcW w:w="508" w:type="pct"/>
          </w:tcPr>
          <w:p w14:paraId="7886740A" w14:textId="77777777" w:rsidR="00D63B70" w:rsidRPr="006D52A9" w:rsidRDefault="00D63B70" w:rsidP="00D63B70">
            <w:pPr>
              <w:rPr>
                <w:rFonts w:ascii="Arial" w:hAnsi="Arial" w:cs="Arial"/>
                <w:sz w:val="16"/>
                <w:szCs w:val="16"/>
              </w:rPr>
            </w:pPr>
            <w:r w:rsidRPr="006D52A9">
              <w:rPr>
                <w:rFonts w:ascii="Arial" w:hAnsi="Arial" w:cs="Arial"/>
                <w:sz w:val="16"/>
                <w:szCs w:val="16"/>
              </w:rPr>
              <w:t>Lenograstim</w:t>
            </w:r>
          </w:p>
        </w:tc>
        <w:tc>
          <w:tcPr>
            <w:tcW w:w="943" w:type="pct"/>
          </w:tcPr>
          <w:p w14:paraId="591E9F57"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13,400,000 I.U. (105 micrograms)</w:t>
            </w:r>
          </w:p>
        </w:tc>
        <w:tc>
          <w:tcPr>
            <w:tcW w:w="540" w:type="pct"/>
          </w:tcPr>
          <w:p w14:paraId="06D3A24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0043C55" w14:textId="77777777" w:rsidR="00D63B70" w:rsidRPr="006D52A9" w:rsidRDefault="00D63B70" w:rsidP="00D63B70">
            <w:pPr>
              <w:rPr>
                <w:rFonts w:ascii="Arial" w:hAnsi="Arial" w:cs="Arial"/>
                <w:sz w:val="16"/>
                <w:szCs w:val="16"/>
              </w:rPr>
            </w:pPr>
            <w:r w:rsidRPr="006D52A9">
              <w:rPr>
                <w:rFonts w:ascii="Arial" w:hAnsi="Arial" w:cs="Arial"/>
                <w:sz w:val="16"/>
                <w:szCs w:val="16"/>
              </w:rPr>
              <w:t>Granocyte 13</w:t>
            </w:r>
          </w:p>
        </w:tc>
        <w:tc>
          <w:tcPr>
            <w:tcW w:w="894" w:type="pct"/>
          </w:tcPr>
          <w:p w14:paraId="3D8B3C81" w14:textId="77777777" w:rsidR="00D63B70" w:rsidRPr="006D52A9" w:rsidRDefault="00D63B70" w:rsidP="00D63B70">
            <w:pPr>
              <w:rPr>
                <w:rFonts w:ascii="Arial" w:hAnsi="Arial" w:cs="Arial"/>
                <w:bCs/>
                <w:sz w:val="16"/>
                <w:szCs w:val="16"/>
              </w:rPr>
            </w:pPr>
            <w:r w:rsidRPr="006D52A9">
              <w:rPr>
                <w:rFonts w:ascii="Arial" w:hAnsi="Arial" w:cs="Arial"/>
                <w:sz w:val="16"/>
                <w:szCs w:val="16"/>
              </w:rPr>
              <w:t>C6502 C6507 C6516 C6522 C6523 C6532 C6535 C6634 C6644 C6653 C6654 C6657 C6673 C6682 C9226 C9227 C9229 C9230 C9231 C9263 C9264 C9265 C9266 C9314 C9324 C9325 C9326 C9327</w:t>
            </w:r>
          </w:p>
        </w:tc>
        <w:tc>
          <w:tcPr>
            <w:tcW w:w="376" w:type="pct"/>
          </w:tcPr>
          <w:p w14:paraId="219D007A" w14:textId="77777777" w:rsidR="00D63B70" w:rsidRPr="006D52A9" w:rsidRDefault="00D63B70" w:rsidP="00D63B70">
            <w:pPr>
              <w:rPr>
                <w:rFonts w:ascii="Arial" w:hAnsi="Arial" w:cs="Arial"/>
                <w:sz w:val="16"/>
                <w:szCs w:val="16"/>
              </w:rPr>
            </w:pPr>
          </w:p>
        </w:tc>
        <w:tc>
          <w:tcPr>
            <w:tcW w:w="499" w:type="pct"/>
          </w:tcPr>
          <w:p w14:paraId="1F2800F8" w14:textId="77777777" w:rsidR="00D63B70" w:rsidRPr="006D52A9"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5CB9E9DB"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242C09A3" w14:textId="77777777" w:rsidTr="00A91628">
        <w:tblPrEx>
          <w:tblBorders>
            <w:top w:val="single" w:sz="4" w:space="0" w:color="auto"/>
          </w:tblBorders>
        </w:tblPrEx>
        <w:trPr>
          <w:tblCellSpacing w:w="22" w:type="dxa"/>
        </w:trPr>
        <w:tc>
          <w:tcPr>
            <w:tcW w:w="508" w:type="pct"/>
          </w:tcPr>
          <w:p w14:paraId="2B622494" w14:textId="77777777" w:rsidR="00D63B70" w:rsidRPr="006D52A9" w:rsidRDefault="00D63B70" w:rsidP="00D63B70">
            <w:pPr>
              <w:rPr>
                <w:rFonts w:ascii="Arial" w:hAnsi="Arial" w:cs="Arial"/>
                <w:sz w:val="16"/>
                <w:szCs w:val="16"/>
              </w:rPr>
            </w:pPr>
          </w:p>
        </w:tc>
        <w:tc>
          <w:tcPr>
            <w:tcW w:w="943" w:type="pct"/>
          </w:tcPr>
          <w:p w14:paraId="6F2200B4"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33,600,000 I.U. (263 micrograms)</w:t>
            </w:r>
          </w:p>
        </w:tc>
        <w:tc>
          <w:tcPr>
            <w:tcW w:w="540" w:type="pct"/>
          </w:tcPr>
          <w:p w14:paraId="0681E96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0E429E6" w14:textId="77777777" w:rsidR="00D63B70" w:rsidRPr="006D52A9" w:rsidRDefault="00D63B70" w:rsidP="00D63B70">
            <w:pPr>
              <w:rPr>
                <w:rFonts w:ascii="Arial" w:hAnsi="Arial" w:cs="Arial"/>
                <w:sz w:val="16"/>
                <w:szCs w:val="16"/>
              </w:rPr>
            </w:pPr>
            <w:r w:rsidRPr="006D52A9">
              <w:rPr>
                <w:rFonts w:ascii="Arial" w:hAnsi="Arial" w:cs="Arial"/>
                <w:sz w:val="16"/>
                <w:szCs w:val="16"/>
              </w:rPr>
              <w:t>Granocyte 34</w:t>
            </w:r>
          </w:p>
        </w:tc>
        <w:tc>
          <w:tcPr>
            <w:tcW w:w="894" w:type="pct"/>
          </w:tcPr>
          <w:p w14:paraId="0C2844B5" w14:textId="77777777" w:rsidR="00D63B70" w:rsidRPr="006D52A9" w:rsidRDefault="00D63B70" w:rsidP="00D63B70">
            <w:pPr>
              <w:rPr>
                <w:rFonts w:ascii="Arial" w:hAnsi="Arial" w:cs="Arial"/>
                <w:bCs/>
                <w:sz w:val="16"/>
                <w:szCs w:val="16"/>
              </w:rPr>
            </w:pPr>
            <w:r w:rsidRPr="006D52A9">
              <w:rPr>
                <w:rFonts w:ascii="Arial" w:hAnsi="Arial" w:cs="Arial"/>
                <w:sz w:val="16"/>
                <w:szCs w:val="16"/>
              </w:rPr>
              <w:t>C6502 C6507 C6516 C6522 C6523 C6532 C6535 C6634 C6644 C6653 C6654 C6657 C6673 C6682 C9226 C9227 C9229 C9230 C9231 C9263 C9264 C9265 C9266 C9314 C9324 C9325 C9326 C9327</w:t>
            </w:r>
          </w:p>
        </w:tc>
        <w:tc>
          <w:tcPr>
            <w:tcW w:w="376" w:type="pct"/>
          </w:tcPr>
          <w:p w14:paraId="7FE099A9" w14:textId="77777777" w:rsidR="00D63B70" w:rsidRPr="006D52A9" w:rsidRDefault="00D63B70" w:rsidP="00D63B70">
            <w:pPr>
              <w:rPr>
                <w:rFonts w:ascii="Arial" w:hAnsi="Arial" w:cs="Arial"/>
                <w:sz w:val="16"/>
                <w:szCs w:val="16"/>
              </w:rPr>
            </w:pPr>
          </w:p>
        </w:tc>
        <w:tc>
          <w:tcPr>
            <w:tcW w:w="499" w:type="pct"/>
          </w:tcPr>
          <w:p w14:paraId="6673D44A" w14:textId="77777777" w:rsidR="00D63B70" w:rsidRPr="006D52A9" w:rsidRDefault="00D63B70" w:rsidP="00D63B70">
            <w:pPr>
              <w:rPr>
                <w:rFonts w:ascii="Arial" w:hAnsi="Arial" w:cs="Arial"/>
                <w:sz w:val="16"/>
                <w:szCs w:val="16"/>
              </w:rPr>
            </w:pPr>
            <w:r w:rsidRPr="006D52A9">
              <w:rPr>
                <w:rFonts w:ascii="Arial" w:hAnsi="Arial" w:cs="Arial"/>
                <w:sz w:val="16"/>
                <w:szCs w:val="16"/>
              </w:rPr>
              <w:t>20</w:t>
            </w:r>
          </w:p>
        </w:tc>
        <w:tc>
          <w:tcPr>
            <w:tcW w:w="502" w:type="pct"/>
          </w:tcPr>
          <w:p w14:paraId="04A40A4E"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rsidDel="00727D86" w14:paraId="0BCA677D" w14:textId="77777777" w:rsidTr="00A91628">
        <w:tblPrEx>
          <w:tblBorders>
            <w:top w:val="single" w:sz="4" w:space="0" w:color="auto"/>
          </w:tblBorders>
        </w:tblPrEx>
        <w:trPr>
          <w:cantSplit/>
          <w:tblCellSpacing w:w="22" w:type="dxa"/>
        </w:trPr>
        <w:tc>
          <w:tcPr>
            <w:tcW w:w="508" w:type="pct"/>
          </w:tcPr>
          <w:p w14:paraId="487A67A3"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lastRenderedPageBreak/>
              <w:t>Levodopa with carbidopa</w:t>
            </w:r>
          </w:p>
        </w:tc>
        <w:tc>
          <w:tcPr>
            <w:tcW w:w="943" w:type="pct"/>
          </w:tcPr>
          <w:p w14:paraId="1AE6C59D"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 xml:space="preserve">Intestinal gel containing levodopa 20 mg with carbidopa monohydrate 5 mg per mL, </w:t>
            </w:r>
            <w:r w:rsidRPr="006D52A9">
              <w:rPr>
                <w:rFonts w:ascii="Arial" w:hAnsi="Arial" w:cs="Arial"/>
                <w:sz w:val="16"/>
                <w:szCs w:val="16"/>
              </w:rPr>
              <w:br/>
              <w:t>100 mL</w:t>
            </w:r>
          </w:p>
        </w:tc>
        <w:tc>
          <w:tcPr>
            <w:tcW w:w="540" w:type="pct"/>
          </w:tcPr>
          <w:p w14:paraId="2237D302"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Intra</w:t>
            </w:r>
            <w:r w:rsidR="0026100E">
              <w:rPr>
                <w:rFonts w:ascii="Arial" w:hAnsi="Arial" w:cs="Arial"/>
                <w:sz w:val="16"/>
                <w:szCs w:val="16"/>
              </w:rPr>
              <w:noBreakHyphen/>
            </w:r>
            <w:r w:rsidRPr="006D52A9">
              <w:rPr>
                <w:rFonts w:ascii="Arial" w:hAnsi="Arial" w:cs="Arial"/>
                <w:sz w:val="16"/>
                <w:szCs w:val="16"/>
              </w:rPr>
              <w:br/>
              <w:t>intestinal</w:t>
            </w:r>
          </w:p>
        </w:tc>
        <w:tc>
          <w:tcPr>
            <w:tcW w:w="591" w:type="pct"/>
          </w:tcPr>
          <w:p w14:paraId="52A6A554"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Duodopa</w:t>
            </w:r>
          </w:p>
        </w:tc>
        <w:tc>
          <w:tcPr>
            <w:tcW w:w="894" w:type="pct"/>
          </w:tcPr>
          <w:p w14:paraId="5E216ACB"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 xml:space="preserve">C10138 C10161 </w:t>
            </w:r>
            <w:r w:rsidRPr="006D52A9">
              <w:rPr>
                <w:rFonts w:ascii="Arial" w:hAnsi="Arial" w:cs="Arial"/>
                <w:bCs/>
                <w:sz w:val="16"/>
                <w:szCs w:val="16"/>
              </w:rPr>
              <w:t>C10363 C10375</w:t>
            </w:r>
          </w:p>
        </w:tc>
        <w:tc>
          <w:tcPr>
            <w:tcW w:w="376" w:type="pct"/>
          </w:tcPr>
          <w:p w14:paraId="430AE16F"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P10138 P10161</w:t>
            </w:r>
          </w:p>
        </w:tc>
        <w:tc>
          <w:tcPr>
            <w:tcW w:w="499" w:type="pct"/>
          </w:tcPr>
          <w:p w14:paraId="13774A8D"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6273B3ED"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727D86" w14:paraId="562DD265" w14:textId="77777777" w:rsidTr="00A91628">
        <w:tblPrEx>
          <w:tblBorders>
            <w:top w:val="single" w:sz="4" w:space="0" w:color="auto"/>
          </w:tblBorders>
        </w:tblPrEx>
        <w:trPr>
          <w:cantSplit/>
          <w:tblCellSpacing w:w="22" w:type="dxa"/>
        </w:trPr>
        <w:tc>
          <w:tcPr>
            <w:tcW w:w="508" w:type="pct"/>
          </w:tcPr>
          <w:p w14:paraId="6EF0D876" w14:textId="77777777" w:rsidR="00D63B70" w:rsidRPr="006D52A9" w:rsidDel="00727D86" w:rsidRDefault="00D63B70" w:rsidP="00D63B70">
            <w:pPr>
              <w:rPr>
                <w:rFonts w:ascii="Arial" w:hAnsi="Arial" w:cs="Arial"/>
                <w:sz w:val="16"/>
                <w:szCs w:val="16"/>
              </w:rPr>
            </w:pPr>
          </w:p>
        </w:tc>
        <w:tc>
          <w:tcPr>
            <w:tcW w:w="943" w:type="pct"/>
          </w:tcPr>
          <w:p w14:paraId="28AD0D98" w14:textId="77777777" w:rsidR="00D63B70" w:rsidRPr="006D52A9" w:rsidDel="00727D86" w:rsidRDefault="00D63B70" w:rsidP="00D63B70">
            <w:pPr>
              <w:rPr>
                <w:rFonts w:ascii="Arial" w:hAnsi="Arial" w:cs="Arial"/>
                <w:sz w:val="16"/>
                <w:szCs w:val="16"/>
              </w:rPr>
            </w:pPr>
          </w:p>
        </w:tc>
        <w:tc>
          <w:tcPr>
            <w:tcW w:w="540" w:type="pct"/>
          </w:tcPr>
          <w:p w14:paraId="11EF5B42" w14:textId="77777777" w:rsidR="00D63B70" w:rsidRPr="006D52A9" w:rsidDel="00727D86" w:rsidRDefault="00D63B70" w:rsidP="00D63B70">
            <w:pPr>
              <w:rPr>
                <w:rFonts w:ascii="Arial" w:hAnsi="Arial" w:cs="Arial"/>
                <w:sz w:val="16"/>
                <w:szCs w:val="16"/>
              </w:rPr>
            </w:pPr>
          </w:p>
        </w:tc>
        <w:tc>
          <w:tcPr>
            <w:tcW w:w="591" w:type="pct"/>
          </w:tcPr>
          <w:p w14:paraId="268CC10E" w14:textId="77777777" w:rsidR="00D63B70" w:rsidRPr="006D52A9" w:rsidDel="00727D86" w:rsidRDefault="00D63B70" w:rsidP="00D63B70">
            <w:pPr>
              <w:rPr>
                <w:rFonts w:ascii="Arial" w:hAnsi="Arial" w:cs="Arial"/>
                <w:sz w:val="16"/>
                <w:szCs w:val="16"/>
              </w:rPr>
            </w:pPr>
          </w:p>
        </w:tc>
        <w:tc>
          <w:tcPr>
            <w:tcW w:w="894" w:type="pct"/>
          </w:tcPr>
          <w:p w14:paraId="00D6F3E8"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 xml:space="preserve">C10138 C10161 </w:t>
            </w:r>
            <w:r w:rsidRPr="006D52A9">
              <w:rPr>
                <w:rFonts w:ascii="Arial" w:hAnsi="Arial" w:cs="Arial"/>
                <w:bCs/>
                <w:sz w:val="16"/>
                <w:szCs w:val="16"/>
              </w:rPr>
              <w:t>C10363 C10375</w:t>
            </w:r>
          </w:p>
        </w:tc>
        <w:tc>
          <w:tcPr>
            <w:tcW w:w="376" w:type="pct"/>
          </w:tcPr>
          <w:p w14:paraId="5157B923" w14:textId="77777777" w:rsidR="00D63B70" w:rsidRPr="006D52A9" w:rsidDel="00727D86" w:rsidRDefault="00D63B70" w:rsidP="00D63B70">
            <w:pPr>
              <w:rPr>
                <w:rFonts w:ascii="Arial" w:hAnsi="Arial" w:cs="Arial"/>
                <w:sz w:val="16"/>
                <w:szCs w:val="16"/>
              </w:rPr>
            </w:pPr>
            <w:r w:rsidRPr="006D52A9">
              <w:rPr>
                <w:rFonts w:ascii="Arial" w:hAnsi="Arial" w:cs="Arial"/>
                <w:bCs/>
                <w:sz w:val="16"/>
                <w:szCs w:val="16"/>
              </w:rPr>
              <w:t>P10363 P10375</w:t>
            </w:r>
          </w:p>
        </w:tc>
        <w:tc>
          <w:tcPr>
            <w:tcW w:w="499" w:type="pct"/>
          </w:tcPr>
          <w:p w14:paraId="2D6653DA"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56</w:t>
            </w:r>
          </w:p>
        </w:tc>
        <w:tc>
          <w:tcPr>
            <w:tcW w:w="502" w:type="pct"/>
          </w:tcPr>
          <w:p w14:paraId="49AB92DC" w14:textId="77777777" w:rsidR="00D63B70" w:rsidRPr="006D52A9" w:rsidDel="00727D86"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CA45754" w14:textId="77777777" w:rsidTr="00A91628">
        <w:tblPrEx>
          <w:tblBorders>
            <w:top w:val="single" w:sz="4" w:space="0" w:color="auto"/>
          </w:tblBorders>
        </w:tblPrEx>
        <w:trPr>
          <w:cantSplit/>
          <w:tblCellSpacing w:w="22" w:type="dxa"/>
        </w:trPr>
        <w:tc>
          <w:tcPr>
            <w:tcW w:w="508" w:type="pct"/>
          </w:tcPr>
          <w:p w14:paraId="36ED49AE" w14:textId="77777777" w:rsidR="00D63B70" w:rsidRPr="006D52A9" w:rsidRDefault="00D63B70" w:rsidP="00D63B70">
            <w:pPr>
              <w:rPr>
                <w:rFonts w:ascii="Arial" w:hAnsi="Arial" w:cs="Arial"/>
                <w:sz w:val="16"/>
                <w:szCs w:val="16"/>
              </w:rPr>
            </w:pPr>
            <w:r w:rsidRPr="006D52A9">
              <w:rPr>
                <w:rFonts w:ascii="Arial" w:hAnsi="Arial" w:cs="Arial"/>
                <w:sz w:val="16"/>
                <w:szCs w:val="16"/>
              </w:rPr>
              <w:t>Lipegfilgrastim</w:t>
            </w:r>
          </w:p>
          <w:p w14:paraId="48305BA5" w14:textId="77777777" w:rsidR="00D63B70" w:rsidRPr="006D52A9" w:rsidRDefault="00D63B70" w:rsidP="00D63B70">
            <w:pPr>
              <w:rPr>
                <w:rFonts w:ascii="Arial" w:hAnsi="Arial" w:cs="Arial"/>
                <w:sz w:val="16"/>
                <w:szCs w:val="16"/>
              </w:rPr>
            </w:pPr>
          </w:p>
        </w:tc>
        <w:tc>
          <w:tcPr>
            <w:tcW w:w="943" w:type="pct"/>
          </w:tcPr>
          <w:p w14:paraId="0238B51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 mg in 0.6 mL single 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48704C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ACEF13A" w14:textId="77777777" w:rsidR="00D63B70" w:rsidRPr="006D52A9" w:rsidRDefault="00D63B70" w:rsidP="00D63B70">
            <w:pPr>
              <w:rPr>
                <w:rFonts w:ascii="Arial" w:hAnsi="Arial" w:cs="Arial"/>
                <w:sz w:val="16"/>
                <w:szCs w:val="16"/>
              </w:rPr>
            </w:pPr>
            <w:r w:rsidRPr="006D52A9">
              <w:rPr>
                <w:rFonts w:ascii="Arial" w:hAnsi="Arial" w:cs="Arial"/>
                <w:sz w:val="16"/>
                <w:szCs w:val="16"/>
              </w:rPr>
              <w:t>Lonquex</w:t>
            </w:r>
          </w:p>
        </w:tc>
        <w:tc>
          <w:tcPr>
            <w:tcW w:w="894" w:type="pct"/>
          </w:tcPr>
          <w:p w14:paraId="500931FC"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C9224 C9322</w:t>
            </w:r>
          </w:p>
        </w:tc>
        <w:tc>
          <w:tcPr>
            <w:tcW w:w="376" w:type="pct"/>
          </w:tcPr>
          <w:p w14:paraId="0BCF6A51" w14:textId="77777777" w:rsidR="00D63B70" w:rsidRPr="006D52A9" w:rsidRDefault="00D63B70" w:rsidP="00D63B70">
            <w:pPr>
              <w:rPr>
                <w:rFonts w:ascii="Arial" w:hAnsi="Arial" w:cs="Arial"/>
                <w:sz w:val="16"/>
                <w:szCs w:val="16"/>
              </w:rPr>
            </w:pPr>
          </w:p>
        </w:tc>
        <w:tc>
          <w:tcPr>
            <w:tcW w:w="499" w:type="pct"/>
          </w:tcPr>
          <w:p w14:paraId="2F2E49C4"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1DD0C1B7"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48221EE" w14:textId="77777777" w:rsidTr="00A91628">
        <w:tblPrEx>
          <w:tblBorders>
            <w:top w:val="single" w:sz="4" w:space="0" w:color="auto"/>
          </w:tblBorders>
        </w:tblPrEx>
        <w:trPr>
          <w:tblCellSpacing w:w="22" w:type="dxa"/>
        </w:trPr>
        <w:tc>
          <w:tcPr>
            <w:tcW w:w="508" w:type="pct"/>
          </w:tcPr>
          <w:p w14:paraId="77B72726" w14:textId="77777777" w:rsidR="00D63B70" w:rsidRPr="006D52A9" w:rsidRDefault="00D63B70" w:rsidP="00D63B70">
            <w:pPr>
              <w:rPr>
                <w:rFonts w:ascii="Arial" w:hAnsi="Arial" w:cs="Arial"/>
                <w:sz w:val="16"/>
                <w:szCs w:val="16"/>
              </w:rPr>
            </w:pPr>
            <w:r w:rsidRPr="006D52A9">
              <w:rPr>
                <w:rFonts w:ascii="Arial" w:hAnsi="Arial" w:cs="Arial"/>
                <w:sz w:val="16"/>
                <w:szCs w:val="16"/>
              </w:rPr>
              <w:t>Lopinavir with Ritonavir</w:t>
            </w:r>
          </w:p>
        </w:tc>
        <w:tc>
          <w:tcPr>
            <w:tcW w:w="943" w:type="pct"/>
          </w:tcPr>
          <w:p w14:paraId="4865E3E6" w14:textId="77777777" w:rsidR="00D63B70" w:rsidRPr="006D52A9" w:rsidRDefault="00D63B70" w:rsidP="00D63B70">
            <w:pPr>
              <w:rPr>
                <w:rFonts w:ascii="Arial" w:hAnsi="Arial" w:cs="Arial"/>
                <w:sz w:val="16"/>
                <w:szCs w:val="16"/>
              </w:rPr>
            </w:pPr>
            <w:r w:rsidRPr="006D52A9">
              <w:rPr>
                <w:rFonts w:ascii="Arial" w:hAnsi="Arial" w:cs="Arial"/>
                <w:sz w:val="16"/>
                <w:szCs w:val="16"/>
              </w:rPr>
              <w:t>Tablet 100 mg</w:t>
            </w:r>
            <w:r w:rsidR="0026100E">
              <w:rPr>
                <w:rFonts w:ascii="Arial" w:hAnsi="Arial" w:cs="Arial"/>
                <w:sz w:val="16"/>
                <w:szCs w:val="16"/>
              </w:rPr>
              <w:noBreakHyphen/>
            </w:r>
            <w:r w:rsidRPr="006D52A9">
              <w:rPr>
                <w:rFonts w:ascii="Arial" w:hAnsi="Arial" w:cs="Arial"/>
                <w:sz w:val="16"/>
                <w:szCs w:val="16"/>
              </w:rPr>
              <w:t>25 mg</w:t>
            </w:r>
          </w:p>
        </w:tc>
        <w:tc>
          <w:tcPr>
            <w:tcW w:w="540" w:type="pct"/>
          </w:tcPr>
          <w:p w14:paraId="07E4DB94"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1C87B41" w14:textId="77777777" w:rsidR="00D63B70" w:rsidRPr="006D52A9" w:rsidRDefault="00D63B70" w:rsidP="00D63B70">
            <w:pPr>
              <w:rPr>
                <w:rFonts w:ascii="Arial" w:hAnsi="Arial" w:cs="Arial"/>
                <w:sz w:val="16"/>
                <w:szCs w:val="16"/>
              </w:rPr>
            </w:pPr>
            <w:r w:rsidRPr="006D52A9">
              <w:rPr>
                <w:rFonts w:ascii="Arial" w:hAnsi="Arial" w:cs="Arial"/>
                <w:sz w:val="16"/>
                <w:szCs w:val="16"/>
              </w:rPr>
              <w:t>Kaletra</w:t>
            </w:r>
          </w:p>
        </w:tc>
        <w:tc>
          <w:tcPr>
            <w:tcW w:w="894" w:type="pct"/>
          </w:tcPr>
          <w:p w14:paraId="332D592F"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6DC3418E" w14:textId="77777777" w:rsidR="00D63B70" w:rsidRPr="006D52A9" w:rsidRDefault="00D63B70" w:rsidP="00D63B70">
            <w:pPr>
              <w:rPr>
                <w:rFonts w:ascii="Arial" w:hAnsi="Arial" w:cs="Arial"/>
                <w:sz w:val="16"/>
                <w:szCs w:val="16"/>
              </w:rPr>
            </w:pPr>
          </w:p>
        </w:tc>
        <w:tc>
          <w:tcPr>
            <w:tcW w:w="499" w:type="pct"/>
          </w:tcPr>
          <w:p w14:paraId="76B6CA7C"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5D82F87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3BC30CF" w14:textId="77777777" w:rsidTr="00A91628">
        <w:tblPrEx>
          <w:tblBorders>
            <w:top w:val="single" w:sz="4" w:space="0" w:color="auto"/>
          </w:tblBorders>
        </w:tblPrEx>
        <w:trPr>
          <w:tblCellSpacing w:w="22" w:type="dxa"/>
        </w:trPr>
        <w:tc>
          <w:tcPr>
            <w:tcW w:w="508" w:type="pct"/>
          </w:tcPr>
          <w:p w14:paraId="0F5C6C40" w14:textId="77777777" w:rsidR="00D63B70" w:rsidRPr="006D52A9" w:rsidRDefault="00D63B70" w:rsidP="00D63B70">
            <w:pPr>
              <w:rPr>
                <w:rFonts w:ascii="Arial" w:hAnsi="Arial" w:cs="Arial"/>
                <w:sz w:val="16"/>
                <w:szCs w:val="16"/>
              </w:rPr>
            </w:pPr>
          </w:p>
        </w:tc>
        <w:tc>
          <w:tcPr>
            <w:tcW w:w="943" w:type="pct"/>
          </w:tcPr>
          <w:p w14:paraId="67B17CFC" w14:textId="77777777" w:rsidR="00D63B70" w:rsidRPr="006D52A9" w:rsidRDefault="00D63B70" w:rsidP="00D63B70">
            <w:pPr>
              <w:rPr>
                <w:rFonts w:ascii="Arial" w:hAnsi="Arial" w:cs="Arial"/>
                <w:sz w:val="16"/>
                <w:szCs w:val="16"/>
              </w:rPr>
            </w:pPr>
            <w:r w:rsidRPr="006D52A9">
              <w:rPr>
                <w:rFonts w:ascii="Arial" w:hAnsi="Arial" w:cs="Arial"/>
                <w:sz w:val="16"/>
                <w:szCs w:val="16"/>
              </w:rPr>
              <w:t>Tablet 200 mg</w:t>
            </w:r>
            <w:r w:rsidR="0026100E">
              <w:rPr>
                <w:rFonts w:ascii="Arial" w:hAnsi="Arial" w:cs="Arial"/>
                <w:sz w:val="16"/>
                <w:szCs w:val="16"/>
              </w:rPr>
              <w:noBreakHyphen/>
            </w:r>
            <w:r w:rsidRPr="006D52A9">
              <w:rPr>
                <w:rFonts w:ascii="Arial" w:hAnsi="Arial" w:cs="Arial"/>
                <w:sz w:val="16"/>
                <w:szCs w:val="16"/>
              </w:rPr>
              <w:t>50 mg</w:t>
            </w:r>
          </w:p>
        </w:tc>
        <w:tc>
          <w:tcPr>
            <w:tcW w:w="540" w:type="pct"/>
          </w:tcPr>
          <w:p w14:paraId="1F14B00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7B2E120" w14:textId="77777777" w:rsidR="00D63B70" w:rsidRPr="006D52A9" w:rsidRDefault="00D63B70" w:rsidP="00D63B70">
            <w:pPr>
              <w:rPr>
                <w:rFonts w:ascii="Arial" w:hAnsi="Arial" w:cs="Arial"/>
                <w:sz w:val="16"/>
                <w:szCs w:val="16"/>
              </w:rPr>
            </w:pPr>
            <w:r w:rsidRPr="006D52A9">
              <w:rPr>
                <w:rFonts w:ascii="Arial" w:hAnsi="Arial" w:cs="Arial"/>
                <w:sz w:val="16"/>
                <w:szCs w:val="16"/>
              </w:rPr>
              <w:t>Kaletra</w:t>
            </w:r>
          </w:p>
        </w:tc>
        <w:tc>
          <w:tcPr>
            <w:tcW w:w="894" w:type="pct"/>
          </w:tcPr>
          <w:p w14:paraId="247372E0"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7C0AC4BA" w14:textId="77777777" w:rsidR="00D63B70" w:rsidRPr="006D52A9" w:rsidRDefault="00D63B70" w:rsidP="00D63B70">
            <w:pPr>
              <w:rPr>
                <w:rFonts w:ascii="Arial" w:hAnsi="Arial" w:cs="Arial"/>
                <w:sz w:val="16"/>
                <w:szCs w:val="16"/>
              </w:rPr>
            </w:pPr>
          </w:p>
        </w:tc>
        <w:tc>
          <w:tcPr>
            <w:tcW w:w="499" w:type="pct"/>
          </w:tcPr>
          <w:p w14:paraId="442A0D1B"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1C45904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E17DC7C" w14:textId="77777777" w:rsidTr="00A91628">
        <w:tblPrEx>
          <w:tblBorders>
            <w:top w:val="single" w:sz="4" w:space="0" w:color="auto"/>
          </w:tblBorders>
        </w:tblPrEx>
        <w:trPr>
          <w:tblCellSpacing w:w="22" w:type="dxa"/>
        </w:trPr>
        <w:tc>
          <w:tcPr>
            <w:tcW w:w="508" w:type="pct"/>
          </w:tcPr>
          <w:p w14:paraId="55A94034" w14:textId="77777777" w:rsidR="00D63B70" w:rsidRPr="006D52A9" w:rsidRDefault="00D63B70" w:rsidP="00D63B70">
            <w:pPr>
              <w:rPr>
                <w:rFonts w:ascii="Arial" w:hAnsi="Arial" w:cs="Arial"/>
                <w:sz w:val="16"/>
                <w:szCs w:val="16"/>
              </w:rPr>
            </w:pPr>
          </w:p>
        </w:tc>
        <w:tc>
          <w:tcPr>
            <w:tcW w:w="943" w:type="pct"/>
          </w:tcPr>
          <w:p w14:paraId="5910DDE9" w14:textId="77777777" w:rsidR="00D63B70" w:rsidRPr="006D52A9" w:rsidRDefault="00D63B70" w:rsidP="00D63B70">
            <w:pPr>
              <w:rPr>
                <w:rFonts w:ascii="Arial" w:hAnsi="Arial" w:cs="Arial"/>
                <w:sz w:val="16"/>
                <w:szCs w:val="16"/>
              </w:rPr>
            </w:pPr>
            <w:r w:rsidRPr="006D52A9">
              <w:rPr>
                <w:rFonts w:ascii="Arial" w:hAnsi="Arial" w:cs="Arial"/>
                <w:sz w:val="16"/>
                <w:szCs w:val="16"/>
              </w:rPr>
              <w:t>Oral liquid 400 mg</w:t>
            </w:r>
            <w:r w:rsidR="0026100E">
              <w:rPr>
                <w:rFonts w:ascii="Arial" w:hAnsi="Arial" w:cs="Arial"/>
                <w:sz w:val="16"/>
                <w:szCs w:val="16"/>
              </w:rPr>
              <w:noBreakHyphen/>
            </w:r>
            <w:r w:rsidRPr="006D52A9">
              <w:rPr>
                <w:rFonts w:ascii="Arial" w:hAnsi="Arial" w:cs="Arial"/>
                <w:sz w:val="16"/>
                <w:szCs w:val="16"/>
              </w:rPr>
              <w:t>100 mg per 5 mL, 60 mL</w:t>
            </w:r>
          </w:p>
        </w:tc>
        <w:tc>
          <w:tcPr>
            <w:tcW w:w="540" w:type="pct"/>
          </w:tcPr>
          <w:p w14:paraId="771E175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8738EA6" w14:textId="77777777" w:rsidR="00D63B70" w:rsidRPr="006D52A9" w:rsidRDefault="00D63B70" w:rsidP="00D63B70">
            <w:pPr>
              <w:rPr>
                <w:rFonts w:ascii="Arial" w:hAnsi="Arial" w:cs="Arial"/>
                <w:sz w:val="16"/>
                <w:szCs w:val="16"/>
              </w:rPr>
            </w:pPr>
            <w:r w:rsidRPr="006D52A9">
              <w:rPr>
                <w:rFonts w:ascii="Arial" w:hAnsi="Arial" w:cs="Arial"/>
                <w:sz w:val="16"/>
                <w:szCs w:val="16"/>
              </w:rPr>
              <w:t>Kaletra</w:t>
            </w:r>
          </w:p>
        </w:tc>
        <w:tc>
          <w:tcPr>
            <w:tcW w:w="894" w:type="pct"/>
          </w:tcPr>
          <w:p w14:paraId="643448F3"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44DF7987" w14:textId="77777777" w:rsidR="00D63B70" w:rsidRPr="006D52A9" w:rsidRDefault="00D63B70" w:rsidP="00D63B70">
            <w:pPr>
              <w:rPr>
                <w:rFonts w:ascii="Arial" w:hAnsi="Arial" w:cs="Arial"/>
                <w:sz w:val="16"/>
                <w:szCs w:val="16"/>
              </w:rPr>
            </w:pPr>
          </w:p>
        </w:tc>
        <w:tc>
          <w:tcPr>
            <w:tcW w:w="499" w:type="pct"/>
          </w:tcPr>
          <w:p w14:paraId="4C46156C"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Pr>
          <w:p w14:paraId="37B0A0DC"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39AAA0B" w14:textId="77777777" w:rsidTr="00A91628">
        <w:tblPrEx>
          <w:tblBorders>
            <w:top w:val="single" w:sz="4" w:space="0" w:color="auto"/>
          </w:tblBorders>
        </w:tblPrEx>
        <w:trPr>
          <w:tblCellSpacing w:w="22" w:type="dxa"/>
        </w:trPr>
        <w:tc>
          <w:tcPr>
            <w:tcW w:w="508" w:type="pct"/>
          </w:tcPr>
          <w:p w14:paraId="44723C3E" w14:textId="77777777" w:rsidR="00D63B70" w:rsidRPr="006D52A9" w:rsidRDefault="00D63B70" w:rsidP="00D63B70">
            <w:pPr>
              <w:rPr>
                <w:rFonts w:ascii="Arial" w:hAnsi="Arial" w:cs="Arial"/>
                <w:sz w:val="16"/>
                <w:szCs w:val="16"/>
              </w:rPr>
            </w:pPr>
            <w:r w:rsidRPr="006D52A9">
              <w:rPr>
                <w:rFonts w:ascii="Arial" w:hAnsi="Arial" w:cs="Arial"/>
                <w:sz w:val="16"/>
                <w:szCs w:val="16"/>
              </w:rPr>
              <w:t>Lumacaftor with ivacaftor</w:t>
            </w:r>
          </w:p>
        </w:tc>
        <w:tc>
          <w:tcPr>
            <w:tcW w:w="943" w:type="pct"/>
          </w:tcPr>
          <w:p w14:paraId="6D7DDD07" w14:textId="77777777" w:rsidR="00D63B70" w:rsidRPr="006D52A9" w:rsidRDefault="00D63B70" w:rsidP="00D63B70">
            <w:pPr>
              <w:rPr>
                <w:rFonts w:ascii="Arial" w:hAnsi="Arial" w:cs="Arial"/>
                <w:sz w:val="16"/>
                <w:szCs w:val="16"/>
              </w:rPr>
            </w:pPr>
            <w:r w:rsidRPr="006D52A9">
              <w:rPr>
                <w:rFonts w:ascii="Arial" w:hAnsi="Arial" w:cs="Arial"/>
                <w:sz w:val="16"/>
                <w:szCs w:val="16"/>
              </w:rPr>
              <w:t>Sachet containing granules, lumacaftor 100 mg and ivacaftor 125 mg</w:t>
            </w:r>
          </w:p>
        </w:tc>
        <w:tc>
          <w:tcPr>
            <w:tcW w:w="540" w:type="pct"/>
          </w:tcPr>
          <w:p w14:paraId="109552D4"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B97371A" w14:textId="77777777" w:rsidR="00D63B70" w:rsidRPr="006D52A9" w:rsidRDefault="00D63B70" w:rsidP="00D63B70">
            <w:pPr>
              <w:rPr>
                <w:rFonts w:ascii="Arial" w:hAnsi="Arial" w:cs="Arial"/>
                <w:sz w:val="16"/>
                <w:szCs w:val="16"/>
              </w:rPr>
            </w:pPr>
            <w:r w:rsidRPr="006D52A9">
              <w:rPr>
                <w:rFonts w:ascii="Arial" w:hAnsi="Arial" w:cs="Arial"/>
                <w:sz w:val="16"/>
                <w:szCs w:val="16"/>
              </w:rPr>
              <w:t>Orkambi</w:t>
            </w:r>
          </w:p>
        </w:tc>
        <w:tc>
          <w:tcPr>
            <w:tcW w:w="894" w:type="pct"/>
          </w:tcPr>
          <w:p w14:paraId="0329C11B" w14:textId="77777777" w:rsidR="00D63B70" w:rsidRPr="006D52A9" w:rsidRDefault="00D63B70" w:rsidP="00D63B70">
            <w:pPr>
              <w:rPr>
                <w:rFonts w:ascii="Arial" w:hAnsi="Arial" w:cs="Arial"/>
                <w:sz w:val="16"/>
                <w:szCs w:val="16"/>
              </w:rPr>
            </w:pPr>
            <w:r w:rsidRPr="006D52A9">
              <w:rPr>
                <w:rFonts w:ascii="Arial" w:hAnsi="Arial" w:cs="Arial"/>
                <w:sz w:val="16"/>
                <w:szCs w:val="16"/>
              </w:rPr>
              <w:t>C10005 C10007</w:t>
            </w:r>
          </w:p>
        </w:tc>
        <w:tc>
          <w:tcPr>
            <w:tcW w:w="376" w:type="pct"/>
          </w:tcPr>
          <w:p w14:paraId="73E1E86B" w14:textId="77777777" w:rsidR="00D63B70" w:rsidRPr="006D52A9" w:rsidRDefault="00D63B70" w:rsidP="00D63B70">
            <w:pPr>
              <w:rPr>
                <w:rFonts w:ascii="Arial" w:hAnsi="Arial" w:cs="Arial"/>
                <w:sz w:val="16"/>
                <w:szCs w:val="16"/>
              </w:rPr>
            </w:pPr>
          </w:p>
        </w:tc>
        <w:tc>
          <w:tcPr>
            <w:tcW w:w="499" w:type="pct"/>
          </w:tcPr>
          <w:p w14:paraId="3C9E593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1D2808F"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5331B883" w14:textId="77777777" w:rsidTr="00A91628">
        <w:tblPrEx>
          <w:tblBorders>
            <w:top w:val="single" w:sz="4" w:space="0" w:color="auto"/>
          </w:tblBorders>
        </w:tblPrEx>
        <w:trPr>
          <w:tblCellSpacing w:w="22" w:type="dxa"/>
        </w:trPr>
        <w:tc>
          <w:tcPr>
            <w:tcW w:w="508" w:type="pct"/>
          </w:tcPr>
          <w:p w14:paraId="7F7A3565" w14:textId="77777777" w:rsidR="00D63B70" w:rsidRPr="006D52A9" w:rsidRDefault="00D63B70" w:rsidP="00D63B70">
            <w:pPr>
              <w:rPr>
                <w:rFonts w:ascii="Arial" w:hAnsi="Arial" w:cs="Arial"/>
                <w:sz w:val="16"/>
                <w:szCs w:val="16"/>
              </w:rPr>
            </w:pPr>
          </w:p>
        </w:tc>
        <w:tc>
          <w:tcPr>
            <w:tcW w:w="943" w:type="pct"/>
          </w:tcPr>
          <w:p w14:paraId="0E5F55E3" w14:textId="77777777" w:rsidR="00D63B70" w:rsidRPr="006D52A9" w:rsidRDefault="00D63B70" w:rsidP="00D63B70">
            <w:pPr>
              <w:rPr>
                <w:rFonts w:ascii="Arial" w:hAnsi="Arial" w:cs="Arial"/>
                <w:sz w:val="16"/>
                <w:szCs w:val="16"/>
              </w:rPr>
            </w:pPr>
            <w:r w:rsidRPr="006D52A9">
              <w:rPr>
                <w:rFonts w:ascii="Arial" w:hAnsi="Arial" w:cs="Arial"/>
                <w:sz w:val="16"/>
                <w:szCs w:val="16"/>
              </w:rPr>
              <w:t>Sachet containing granules, lumacaftor 150 mg and ivacaftor 188 mg</w:t>
            </w:r>
          </w:p>
        </w:tc>
        <w:tc>
          <w:tcPr>
            <w:tcW w:w="540" w:type="pct"/>
          </w:tcPr>
          <w:p w14:paraId="7A6E920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EE5B31E" w14:textId="77777777" w:rsidR="00D63B70" w:rsidRPr="006D52A9" w:rsidRDefault="00D63B70" w:rsidP="00D63B70">
            <w:pPr>
              <w:rPr>
                <w:rFonts w:ascii="Arial" w:hAnsi="Arial" w:cs="Arial"/>
                <w:sz w:val="16"/>
                <w:szCs w:val="16"/>
              </w:rPr>
            </w:pPr>
            <w:r w:rsidRPr="006D52A9">
              <w:rPr>
                <w:rFonts w:ascii="Arial" w:hAnsi="Arial" w:cs="Arial"/>
                <w:sz w:val="16"/>
                <w:szCs w:val="16"/>
              </w:rPr>
              <w:t>Orkambi</w:t>
            </w:r>
          </w:p>
        </w:tc>
        <w:tc>
          <w:tcPr>
            <w:tcW w:w="894" w:type="pct"/>
          </w:tcPr>
          <w:p w14:paraId="4D15814E" w14:textId="77777777" w:rsidR="00D63B70" w:rsidRPr="006D52A9" w:rsidRDefault="00D63B70" w:rsidP="00D63B70">
            <w:pPr>
              <w:rPr>
                <w:rFonts w:ascii="Arial" w:hAnsi="Arial" w:cs="Arial"/>
                <w:sz w:val="16"/>
                <w:szCs w:val="16"/>
              </w:rPr>
            </w:pPr>
            <w:r w:rsidRPr="006D52A9">
              <w:rPr>
                <w:rFonts w:ascii="Arial" w:hAnsi="Arial" w:cs="Arial"/>
                <w:sz w:val="16"/>
                <w:szCs w:val="16"/>
              </w:rPr>
              <w:t>C10005 C10007</w:t>
            </w:r>
          </w:p>
        </w:tc>
        <w:tc>
          <w:tcPr>
            <w:tcW w:w="376" w:type="pct"/>
          </w:tcPr>
          <w:p w14:paraId="4D0E6D78" w14:textId="77777777" w:rsidR="00D63B70" w:rsidRPr="006D52A9" w:rsidRDefault="00D63B70" w:rsidP="00D63B70">
            <w:pPr>
              <w:rPr>
                <w:rFonts w:ascii="Arial" w:hAnsi="Arial" w:cs="Arial"/>
                <w:sz w:val="16"/>
                <w:szCs w:val="16"/>
              </w:rPr>
            </w:pPr>
          </w:p>
        </w:tc>
        <w:tc>
          <w:tcPr>
            <w:tcW w:w="499" w:type="pct"/>
          </w:tcPr>
          <w:p w14:paraId="3D8A7028"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2FD8707"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62AA8415" w14:textId="77777777" w:rsidTr="00A91628">
        <w:tblPrEx>
          <w:tblBorders>
            <w:top w:val="single" w:sz="4" w:space="0" w:color="auto"/>
          </w:tblBorders>
        </w:tblPrEx>
        <w:trPr>
          <w:tblCellSpacing w:w="22" w:type="dxa"/>
        </w:trPr>
        <w:tc>
          <w:tcPr>
            <w:tcW w:w="508" w:type="pct"/>
          </w:tcPr>
          <w:p w14:paraId="3580506F" w14:textId="77777777" w:rsidR="00D63B70" w:rsidRPr="006D52A9" w:rsidRDefault="00D63B70" w:rsidP="00D63B70">
            <w:pPr>
              <w:rPr>
                <w:rFonts w:ascii="Arial" w:hAnsi="Arial" w:cs="Arial"/>
                <w:sz w:val="16"/>
                <w:szCs w:val="16"/>
              </w:rPr>
            </w:pPr>
          </w:p>
        </w:tc>
        <w:tc>
          <w:tcPr>
            <w:tcW w:w="943" w:type="pct"/>
          </w:tcPr>
          <w:p w14:paraId="169A90D0"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Tablet containing lumacaftor </w:t>
            </w:r>
            <w:r w:rsidRPr="006D52A9">
              <w:rPr>
                <w:rFonts w:ascii="Arial" w:hAnsi="Arial" w:cs="Arial"/>
                <w:sz w:val="16"/>
                <w:szCs w:val="16"/>
              </w:rPr>
              <w:br/>
              <w:t>100 mg with ivacaftor 125 mg</w:t>
            </w:r>
          </w:p>
        </w:tc>
        <w:tc>
          <w:tcPr>
            <w:tcW w:w="540" w:type="pct"/>
          </w:tcPr>
          <w:p w14:paraId="42B230E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90B4112" w14:textId="77777777" w:rsidR="00D63B70" w:rsidRPr="006D52A9" w:rsidRDefault="00D63B70" w:rsidP="00D63B70">
            <w:pPr>
              <w:rPr>
                <w:rFonts w:ascii="Arial" w:hAnsi="Arial" w:cs="Arial"/>
                <w:sz w:val="16"/>
                <w:szCs w:val="16"/>
              </w:rPr>
            </w:pPr>
            <w:r w:rsidRPr="006D52A9">
              <w:rPr>
                <w:rFonts w:ascii="Arial" w:hAnsi="Arial" w:cs="Arial"/>
                <w:sz w:val="16"/>
                <w:szCs w:val="16"/>
              </w:rPr>
              <w:t>Orkambi</w:t>
            </w:r>
          </w:p>
        </w:tc>
        <w:tc>
          <w:tcPr>
            <w:tcW w:w="894" w:type="pct"/>
          </w:tcPr>
          <w:p w14:paraId="4FCC34FE" w14:textId="77777777" w:rsidR="00D63B70" w:rsidRPr="006D52A9" w:rsidRDefault="00D63B70" w:rsidP="00D63B70">
            <w:pPr>
              <w:rPr>
                <w:rFonts w:ascii="Arial" w:hAnsi="Arial" w:cs="Arial"/>
                <w:sz w:val="16"/>
                <w:szCs w:val="16"/>
              </w:rPr>
            </w:pPr>
            <w:r w:rsidRPr="006D52A9">
              <w:rPr>
                <w:rFonts w:ascii="Arial" w:hAnsi="Arial" w:cs="Arial"/>
                <w:sz w:val="16"/>
                <w:szCs w:val="16"/>
              </w:rPr>
              <w:t>C9891 C9920</w:t>
            </w:r>
          </w:p>
        </w:tc>
        <w:tc>
          <w:tcPr>
            <w:tcW w:w="376" w:type="pct"/>
          </w:tcPr>
          <w:p w14:paraId="6819CBDD" w14:textId="77777777" w:rsidR="00D63B70" w:rsidRPr="006D52A9" w:rsidRDefault="00D63B70" w:rsidP="00D63B70">
            <w:pPr>
              <w:rPr>
                <w:rFonts w:ascii="Arial" w:hAnsi="Arial" w:cs="Arial"/>
                <w:sz w:val="16"/>
                <w:szCs w:val="16"/>
              </w:rPr>
            </w:pPr>
          </w:p>
        </w:tc>
        <w:tc>
          <w:tcPr>
            <w:tcW w:w="499" w:type="pct"/>
          </w:tcPr>
          <w:p w14:paraId="40AEC41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BA561ED"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3ADBDEDD" w14:textId="77777777" w:rsidTr="00A91628">
        <w:tblPrEx>
          <w:tblBorders>
            <w:top w:val="single" w:sz="4" w:space="0" w:color="auto"/>
          </w:tblBorders>
        </w:tblPrEx>
        <w:trPr>
          <w:tblCellSpacing w:w="22" w:type="dxa"/>
        </w:trPr>
        <w:tc>
          <w:tcPr>
            <w:tcW w:w="508" w:type="pct"/>
          </w:tcPr>
          <w:p w14:paraId="429A024E" w14:textId="77777777" w:rsidR="00D63B70" w:rsidRPr="006D52A9" w:rsidRDefault="00D63B70" w:rsidP="00D63B70">
            <w:pPr>
              <w:rPr>
                <w:rFonts w:ascii="Arial" w:hAnsi="Arial" w:cs="Arial"/>
                <w:sz w:val="16"/>
                <w:szCs w:val="16"/>
              </w:rPr>
            </w:pPr>
          </w:p>
        </w:tc>
        <w:tc>
          <w:tcPr>
            <w:tcW w:w="943" w:type="pct"/>
          </w:tcPr>
          <w:p w14:paraId="29573AA9"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Tablet containing lumacaftor </w:t>
            </w:r>
            <w:r w:rsidRPr="006D52A9">
              <w:rPr>
                <w:rFonts w:ascii="Arial" w:hAnsi="Arial" w:cs="Arial"/>
                <w:sz w:val="16"/>
                <w:szCs w:val="16"/>
              </w:rPr>
              <w:br/>
              <w:t>200 mg with ivacaftor 125 mg</w:t>
            </w:r>
          </w:p>
        </w:tc>
        <w:tc>
          <w:tcPr>
            <w:tcW w:w="540" w:type="pct"/>
          </w:tcPr>
          <w:p w14:paraId="1272347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252C518" w14:textId="77777777" w:rsidR="00D63B70" w:rsidRPr="006D52A9" w:rsidRDefault="00D63B70" w:rsidP="00D63B70">
            <w:pPr>
              <w:rPr>
                <w:rFonts w:ascii="Arial" w:hAnsi="Arial" w:cs="Arial"/>
                <w:sz w:val="16"/>
                <w:szCs w:val="16"/>
              </w:rPr>
            </w:pPr>
            <w:r w:rsidRPr="006D52A9">
              <w:rPr>
                <w:rFonts w:ascii="Arial" w:hAnsi="Arial" w:cs="Arial"/>
                <w:sz w:val="16"/>
                <w:szCs w:val="16"/>
              </w:rPr>
              <w:t>Orkambi</w:t>
            </w:r>
          </w:p>
        </w:tc>
        <w:tc>
          <w:tcPr>
            <w:tcW w:w="894" w:type="pct"/>
          </w:tcPr>
          <w:p w14:paraId="7C5FEEB9" w14:textId="77777777" w:rsidR="00D63B70" w:rsidRPr="006D52A9" w:rsidRDefault="00D63B70" w:rsidP="00D63B70">
            <w:pPr>
              <w:rPr>
                <w:rFonts w:ascii="Arial" w:hAnsi="Arial" w:cs="Arial"/>
                <w:sz w:val="16"/>
                <w:szCs w:val="16"/>
              </w:rPr>
            </w:pPr>
            <w:r w:rsidRPr="006D52A9">
              <w:rPr>
                <w:rFonts w:ascii="Arial" w:hAnsi="Arial" w:cs="Arial"/>
                <w:sz w:val="16"/>
                <w:szCs w:val="16"/>
              </w:rPr>
              <w:t>C9857 C9943</w:t>
            </w:r>
          </w:p>
        </w:tc>
        <w:tc>
          <w:tcPr>
            <w:tcW w:w="376" w:type="pct"/>
          </w:tcPr>
          <w:p w14:paraId="07563A94" w14:textId="77777777" w:rsidR="00D63B70" w:rsidRPr="006D52A9" w:rsidRDefault="00D63B70" w:rsidP="00D63B70">
            <w:pPr>
              <w:rPr>
                <w:rFonts w:ascii="Arial" w:hAnsi="Arial" w:cs="Arial"/>
                <w:sz w:val="16"/>
                <w:szCs w:val="16"/>
              </w:rPr>
            </w:pPr>
          </w:p>
        </w:tc>
        <w:tc>
          <w:tcPr>
            <w:tcW w:w="499" w:type="pct"/>
          </w:tcPr>
          <w:p w14:paraId="1211ED8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4D2ED06"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rsidDel="00BB316B" w14:paraId="260E1704" w14:textId="77777777" w:rsidTr="00A91628">
        <w:tblPrEx>
          <w:tblBorders>
            <w:top w:val="single" w:sz="4" w:space="0" w:color="auto"/>
          </w:tblBorders>
        </w:tblPrEx>
        <w:trPr>
          <w:tblCellSpacing w:w="22" w:type="dxa"/>
        </w:trPr>
        <w:tc>
          <w:tcPr>
            <w:tcW w:w="508" w:type="pct"/>
          </w:tcPr>
          <w:p w14:paraId="20019C67" w14:textId="77777777" w:rsidR="00D63B70" w:rsidRPr="006D52A9" w:rsidDel="00BB316B" w:rsidRDefault="00D63B70" w:rsidP="00D63B70">
            <w:pPr>
              <w:rPr>
                <w:rFonts w:ascii="Arial" w:hAnsi="Arial" w:cs="Arial"/>
                <w:sz w:val="16"/>
                <w:szCs w:val="16"/>
              </w:rPr>
            </w:pPr>
            <w:r w:rsidRPr="006D52A9">
              <w:rPr>
                <w:rFonts w:ascii="Arial" w:hAnsi="Arial" w:cs="Arial"/>
                <w:sz w:val="16"/>
                <w:szCs w:val="16"/>
              </w:rPr>
              <w:lastRenderedPageBreak/>
              <w:t>Macitentan</w:t>
            </w:r>
          </w:p>
        </w:tc>
        <w:tc>
          <w:tcPr>
            <w:tcW w:w="943" w:type="pct"/>
          </w:tcPr>
          <w:p w14:paraId="78D9E645" w14:textId="77777777" w:rsidR="00D63B70" w:rsidRPr="006D52A9" w:rsidRDefault="00D63B70" w:rsidP="00D63B70">
            <w:pPr>
              <w:rPr>
                <w:rFonts w:ascii="Arial" w:hAnsi="Arial" w:cs="Arial"/>
                <w:sz w:val="16"/>
                <w:szCs w:val="16"/>
              </w:rPr>
            </w:pPr>
            <w:r w:rsidRPr="006D52A9">
              <w:rPr>
                <w:rFonts w:ascii="Arial" w:hAnsi="Arial" w:cs="Arial"/>
                <w:sz w:val="16"/>
                <w:szCs w:val="16"/>
              </w:rPr>
              <w:t>Tablet 10 mg</w:t>
            </w:r>
          </w:p>
        </w:tc>
        <w:tc>
          <w:tcPr>
            <w:tcW w:w="540" w:type="pct"/>
          </w:tcPr>
          <w:p w14:paraId="5A63D083"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2431DB6" w14:textId="77777777" w:rsidR="00D63B70" w:rsidRPr="006D52A9" w:rsidRDefault="00D63B70" w:rsidP="00D63B70">
            <w:pPr>
              <w:rPr>
                <w:rFonts w:ascii="Arial" w:hAnsi="Arial" w:cs="Arial"/>
                <w:sz w:val="16"/>
                <w:szCs w:val="16"/>
              </w:rPr>
            </w:pPr>
            <w:r w:rsidRPr="006D52A9">
              <w:rPr>
                <w:rFonts w:ascii="Arial" w:hAnsi="Arial" w:cs="Arial"/>
                <w:sz w:val="16"/>
                <w:szCs w:val="16"/>
              </w:rPr>
              <w:t>Opsumit</w:t>
            </w:r>
          </w:p>
        </w:tc>
        <w:tc>
          <w:tcPr>
            <w:tcW w:w="894" w:type="pct"/>
          </w:tcPr>
          <w:p w14:paraId="23D7AD14"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C10236 C10285 C11229 C11312 C11313 C11314 C11317 C11321</w:t>
            </w:r>
          </w:p>
        </w:tc>
        <w:tc>
          <w:tcPr>
            <w:tcW w:w="376" w:type="pct"/>
          </w:tcPr>
          <w:p w14:paraId="2417A991" w14:textId="77777777" w:rsidR="00D63B70" w:rsidRPr="006D52A9" w:rsidDel="00BB316B" w:rsidRDefault="00D63B70" w:rsidP="00D63B70">
            <w:pPr>
              <w:rPr>
                <w:rFonts w:ascii="Arial" w:hAnsi="Arial" w:cs="Arial"/>
                <w:sz w:val="16"/>
                <w:szCs w:val="16"/>
              </w:rPr>
            </w:pPr>
          </w:p>
        </w:tc>
        <w:tc>
          <w:tcPr>
            <w:tcW w:w="499" w:type="pct"/>
          </w:tcPr>
          <w:p w14:paraId="3AD0D639"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8B72B89"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5D76DE97" w14:textId="77777777" w:rsidTr="00A91628">
        <w:tblPrEx>
          <w:tblBorders>
            <w:top w:val="single" w:sz="4" w:space="0" w:color="auto"/>
          </w:tblBorders>
        </w:tblPrEx>
        <w:trPr>
          <w:cantSplit/>
          <w:tblCellSpacing w:w="22" w:type="dxa"/>
        </w:trPr>
        <w:tc>
          <w:tcPr>
            <w:tcW w:w="508" w:type="pct"/>
          </w:tcPr>
          <w:p w14:paraId="0595ABD4" w14:textId="77777777" w:rsidR="00D63B70" w:rsidRPr="006D52A9" w:rsidRDefault="00D63B70" w:rsidP="00D63B70">
            <w:pPr>
              <w:rPr>
                <w:rFonts w:ascii="Arial" w:hAnsi="Arial" w:cs="Arial"/>
                <w:sz w:val="16"/>
                <w:szCs w:val="16"/>
              </w:rPr>
            </w:pPr>
            <w:r w:rsidRPr="006D52A9">
              <w:rPr>
                <w:rFonts w:ascii="Arial" w:hAnsi="Arial" w:cs="Arial"/>
                <w:sz w:val="16"/>
                <w:szCs w:val="16"/>
              </w:rPr>
              <w:t>Mannitol</w:t>
            </w:r>
          </w:p>
        </w:tc>
        <w:tc>
          <w:tcPr>
            <w:tcW w:w="943" w:type="pct"/>
          </w:tcPr>
          <w:p w14:paraId="59EDA068" w14:textId="77777777" w:rsidR="00D63B70" w:rsidRPr="006D52A9" w:rsidRDefault="00D63B70" w:rsidP="00D63B70">
            <w:pPr>
              <w:rPr>
                <w:rFonts w:ascii="Arial" w:hAnsi="Arial" w:cs="Arial"/>
                <w:sz w:val="16"/>
                <w:szCs w:val="16"/>
              </w:rPr>
            </w:pPr>
            <w:r w:rsidRPr="006D52A9">
              <w:rPr>
                <w:rFonts w:ascii="Arial" w:hAnsi="Arial" w:cs="Arial"/>
                <w:sz w:val="16"/>
                <w:szCs w:val="16"/>
              </w:rPr>
              <w:t>Pack containing 280 capsules containing powder for inhalation 40 mg and 2 inhalers</w:t>
            </w:r>
          </w:p>
        </w:tc>
        <w:tc>
          <w:tcPr>
            <w:tcW w:w="540" w:type="pct"/>
          </w:tcPr>
          <w:p w14:paraId="0C2F9F0F" w14:textId="77777777" w:rsidR="00D63B70" w:rsidRPr="006D52A9" w:rsidRDefault="00D63B70" w:rsidP="00D63B70">
            <w:pPr>
              <w:rPr>
                <w:rFonts w:ascii="Arial" w:hAnsi="Arial" w:cs="Arial"/>
                <w:sz w:val="16"/>
                <w:szCs w:val="16"/>
              </w:rPr>
            </w:pPr>
            <w:r w:rsidRPr="006D52A9">
              <w:rPr>
                <w:rFonts w:ascii="Arial" w:hAnsi="Arial" w:cs="Arial"/>
                <w:sz w:val="16"/>
                <w:szCs w:val="16"/>
              </w:rPr>
              <w:t>Inhalation by mouth</w:t>
            </w:r>
          </w:p>
        </w:tc>
        <w:tc>
          <w:tcPr>
            <w:tcW w:w="591" w:type="pct"/>
          </w:tcPr>
          <w:p w14:paraId="19F5BDCC" w14:textId="77777777" w:rsidR="00D63B70" w:rsidRPr="006D52A9" w:rsidRDefault="00D63B70" w:rsidP="00D63B70">
            <w:pPr>
              <w:rPr>
                <w:rFonts w:ascii="Arial" w:hAnsi="Arial" w:cs="Arial"/>
                <w:sz w:val="16"/>
                <w:szCs w:val="16"/>
              </w:rPr>
            </w:pPr>
            <w:r w:rsidRPr="006D52A9">
              <w:rPr>
                <w:rFonts w:ascii="Arial" w:hAnsi="Arial" w:cs="Arial"/>
                <w:sz w:val="16"/>
                <w:szCs w:val="16"/>
              </w:rPr>
              <w:t>bronchitol</w:t>
            </w:r>
          </w:p>
        </w:tc>
        <w:tc>
          <w:tcPr>
            <w:tcW w:w="894" w:type="pct"/>
          </w:tcPr>
          <w:p w14:paraId="037EE932" w14:textId="77777777" w:rsidR="00D63B70" w:rsidRPr="006D52A9" w:rsidRDefault="00D63B70" w:rsidP="00D63B70">
            <w:pPr>
              <w:rPr>
                <w:rFonts w:ascii="Arial" w:hAnsi="Arial" w:cs="Arial"/>
                <w:sz w:val="16"/>
                <w:szCs w:val="16"/>
              </w:rPr>
            </w:pPr>
            <w:r w:rsidRPr="006D52A9">
              <w:rPr>
                <w:rFonts w:ascii="Arial" w:hAnsi="Arial" w:cs="Arial"/>
                <w:sz w:val="16"/>
                <w:szCs w:val="16"/>
              </w:rPr>
              <w:t>C7362 C7367 C9527 C9593</w:t>
            </w:r>
          </w:p>
        </w:tc>
        <w:tc>
          <w:tcPr>
            <w:tcW w:w="376" w:type="pct"/>
          </w:tcPr>
          <w:p w14:paraId="36C4CB7A" w14:textId="77777777" w:rsidR="00D63B70" w:rsidRPr="006D52A9" w:rsidRDefault="00D63B70" w:rsidP="00D63B70">
            <w:pPr>
              <w:rPr>
                <w:rFonts w:ascii="Arial" w:hAnsi="Arial" w:cs="Arial"/>
                <w:sz w:val="16"/>
                <w:szCs w:val="16"/>
              </w:rPr>
            </w:pPr>
          </w:p>
        </w:tc>
        <w:tc>
          <w:tcPr>
            <w:tcW w:w="499" w:type="pct"/>
          </w:tcPr>
          <w:p w14:paraId="36BED685" w14:textId="77777777" w:rsidR="00D63B70" w:rsidRPr="006D52A9" w:rsidRDefault="00D63B70" w:rsidP="00D63B70">
            <w:pPr>
              <w:rPr>
                <w:rFonts w:ascii="Arial" w:hAnsi="Arial" w:cs="Arial"/>
                <w:sz w:val="16"/>
                <w:szCs w:val="16"/>
              </w:rPr>
            </w:pPr>
            <w:r w:rsidRPr="006D52A9">
              <w:rPr>
                <w:rFonts w:ascii="Arial" w:hAnsi="Arial" w:cs="Arial"/>
                <w:sz w:val="16"/>
                <w:szCs w:val="16"/>
              </w:rPr>
              <w:t>4</w:t>
            </w:r>
          </w:p>
        </w:tc>
        <w:tc>
          <w:tcPr>
            <w:tcW w:w="502" w:type="pct"/>
          </w:tcPr>
          <w:p w14:paraId="523885E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B6E1BB7" w14:textId="77777777" w:rsidTr="00A91628">
        <w:tblPrEx>
          <w:tblBorders>
            <w:top w:val="single" w:sz="4" w:space="0" w:color="auto"/>
          </w:tblBorders>
        </w:tblPrEx>
        <w:trPr>
          <w:tblCellSpacing w:w="22" w:type="dxa"/>
        </w:trPr>
        <w:tc>
          <w:tcPr>
            <w:tcW w:w="508" w:type="pct"/>
          </w:tcPr>
          <w:p w14:paraId="34462C9C" w14:textId="77777777" w:rsidR="00D63B70" w:rsidRPr="006D52A9" w:rsidRDefault="00D63B70" w:rsidP="00D63B70">
            <w:pPr>
              <w:rPr>
                <w:rFonts w:ascii="Arial" w:hAnsi="Arial" w:cs="Arial"/>
                <w:sz w:val="16"/>
                <w:szCs w:val="16"/>
              </w:rPr>
            </w:pPr>
            <w:r w:rsidRPr="006D52A9">
              <w:rPr>
                <w:rFonts w:ascii="Arial" w:hAnsi="Arial" w:cs="Arial"/>
                <w:sz w:val="16"/>
                <w:szCs w:val="16"/>
              </w:rPr>
              <w:t>Maraviroc</w:t>
            </w:r>
          </w:p>
        </w:tc>
        <w:tc>
          <w:tcPr>
            <w:tcW w:w="943" w:type="pct"/>
          </w:tcPr>
          <w:p w14:paraId="032A29C7" w14:textId="77777777" w:rsidR="00D63B70" w:rsidRPr="006D52A9" w:rsidRDefault="00D63B70" w:rsidP="00D63B70">
            <w:pPr>
              <w:rPr>
                <w:rFonts w:ascii="Arial" w:hAnsi="Arial" w:cs="Arial"/>
                <w:sz w:val="16"/>
                <w:szCs w:val="16"/>
              </w:rPr>
            </w:pPr>
            <w:r w:rsidRPr="006D52A9">
              <w:rPr>
                <w:rFonts w:ascii="Arial" w:hAnsi="Arial" w:cs="Arial"/>
                <w:sz w:val="16"/>
                <w:szCs w:val="16"/>
              </w:rPr>
              <w:t>Tablet 150 mg</w:t>
            </w:r>
          </w:p>
        </w:tc>
        <w:tc>
          <w:tcPr>
            <w:tcW w:w="540" w:type="pct"/>
          </w:tcPr>
          <w:p w14:paraId="0391674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C32BF51" w14:textId="77777777" w:rsidR="00D63B70" w:rsidRPr="006D52A9" w:rsidRDefault="00D63B70" w:rsidP="00D63B70">
            <w:pPr>
              <w:rPr>
                <w:rFonts w:ascii="Arial" w:hAnsi="Arial" w:cs="Arial"/>
                <w:sz w:val="16"/>
                <w:szCs w:val="16"/>
              </w:rPr>
            </w:pPr>
            <w:r w:rsidRPr="006D52A9">
              <w:rPr>
                <w:rFonts w:ascii="Arial" w:hAnsi="Arial" w:cs="Arial"/>
                <w:sz w:val="16"/>
                <w:szCs w:val="16"/>
              </w:rPr>
              <w:t>Celsentri</w:t>
            </w:r>
          </w:p>
        </w:tc>
        <w:tc>
          <w:tcPr>
            <w:tcW w:w="894" w:type="pct"/>
          </w:tcPr>
          <w:p w14:paraId="41E278AF" w14:textId="77777777" w:rsidR="00D63B70" w:rsidRPr="006D52A9" w:rsidRDefault="00D63B70" w:rsidP="00D63B70">
            <w:pPr>
              <w:rPr>
                <w:rFonts w:ascii="Arial" w:hAnsi="Arial" w:cs="Arial"/>
                <w:sz w:val="16"/>
                <w:szCs w:val="16"/>
              </w:rPr>
            </w:pPr>
            <w:r w:rsidRPr="006D52A9">
              <w:rPr>
                <w:rFonts w:ascii="Arial" w:hAnsi="Arial" w:cs="Arial"/>
                <w:sz w:val="16"/>
                <w:szCs w:val="16"/>
              </w:rPr>
              <w:t>C5008</w:t>
            </w:r>
          </w:p>
        </w:tc>
        <w:tc>
          <w:tcPr>
            <w:tcW w:w="376" w:type="pct"/>
          </w:tcPr>
          <w:p w14:paraId="283C9C48" w14:textId="77777777" w:rsidR="00D63B70" w:rsidRPr="006D52A9" w:rsidRDefault="00D63B70" w:rsidP="00D63B70">
            <w:pPr>
              <w:rPr>
                <w:rFonts w:ascii="Arial" w:hAnsi="Arial" w:cs="Arial"/>
                <w:sz w:val="16"/>
                <w:szCs w:val="16"/>
              </w:rPr>
            </w:pPr>
          </w:p>
        </w:tc>
        <w:tc>
          <w:tcPr>
            <w:tcW w:w="499" w:type="pct"/>
          </w:tcPr>
          <w:p w14:paraId="38442D4E"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2A8AD73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B44D137" w14:textId="77777777" w:rsidTr="00A91628">
        <w:tblPrEx>
          <w:tblBorders>
            <w:top w:val="single" w:sz="4" w:space="0" w:color="auto"/>
          </w:tblBorders>
        </w:tblPrEx>
        <w:trPr>
          <w:tblCellSpacing w:w="22" w:type="dxa"/>
        </w:trPr>
        <w:tc>
          <w:tcPr>
            <w:tcW w:w="508" w:type="pct"/>
          </w:tcPr>
          <w:p w14:paraId="3A29F5B3" w14:textId="77777777" w:rsidR="00D63B70" w:rsidRPr="006D52A9" w:rsidRDefault="00D63B70" w:rsidP="00D63B70">
            <w:pPr>
              <w:rPr>
                <w:rFonts w:ascii="Arial" w:hAnsi="Arial" w:cs="Arial"/>
                <w:sz w:val="16"/>
                <w:szCs w:val="16"/>
              </w:rPr>
            </w:pPr>
          </w:p>
        </w:tc>
        <w:tc>
          <w:tcPr>
            <w:tcW w:w="943" w:type="pct"/>
          </w:tcPr>
          <w:p w14:paraId="76C3B309" w14:textId="77777777" w:rsidR="00D63B70" w:rsidRPr="006D52A9" w:rsidRDefault="00D63B70" w:rsidP="00D63B70">
            <w:pPr>
              <w:rPr>
                <w:rFonts w:ascii="Arial" w:hAnsi="Arial" w:cs="Arial"/>
                <w:sz w:val="16"/>
                <w:szCs w:val="16"/>
              </w:rPr>
            </w:pPr>
            <w:r w:rsidRPr="006D52A9">
              <w:rPr>
                <w:rFonts w:ascii="Arial" w:hAnsi="Arial" w:cs="Arial"/>
                <w:sz w:val="16"/>
                <w:szCs w:val="16"/>
              </w:rPr>
              <w:t>Tablet 300 mg</w:t>
            </w:r>
          </w:p>
        </w:tc>
        <w:tc>
          <w:tcPr>
            <w:tcW w:w="540" w:type="pct"/>
          </w:tcPr>
          <w:p w14:paraId="4CB8466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47180B5" w14:textId="77777777" w:rsidR="00D63B70" w:rsidRPr="006D52A9" w:rsidRDefault="00D63B70" w:rsidP="00D63B70">
            <w:pPr>
              <w:rPr>
                <w:rFonts w:ascii="Arial" w:hAnsi="Arial" w:cs="Arial"/>
                <w:sz w:val="16"/>
                <w:szCs w:val="16"/>
              </w:rPr>
            </w:pPr>
            <w:r w:rsidRPr="006D52A9">
              <w:rPr>
                <w:rFonts w:ascii="Arial" w:hAnsi="Arial" w:cs="Arial"/>
                <w:sz w:val="16"/>
                <w:szCs w:val="16"/>
              </w:rPr>
              <w:t>Celsentri</w:t>
            </w:r>
          </w:p>
        </w:tc>
        <w:tc>
          <w:tcPr>
            <w:tcW w:w="894" w:type="pct"/>
          </w:tcPr>
          <w:p w14:paraId="21638ECD" w14:textId="77777777" w:rsidR="00D63B70" w:rsidRPr="006D52A9" w:rsidRDefault="00D63B70" w:rsidP="00D63B70">
            <w:pPr>
              <w:rPr>
                <w:rFonts w:ascii="Arial" w:hAnsi="Arial" w:cs="Arial"/>
                <w:sz w:val="16"/>
                <w:szCs w:val="16"/>
              </w:rPr>
            </w:pPr>
            <w:r w:rsidRPr="006D52A9">
              <w:rPr>
                <w:rFonts w:ascii="Arial" w:hAnsi="Arial" w:cs="Arial"/>
                <w:sz w:val="16"/>
                <w:szCs w:val="16"/>
              </w:rPr>
              <w:t>C5008</w:t>
            </w:r>
          </w:p>
        </w:tc>
        <w:tc>
          <w:tcPr>
            <w:tcW w:w="376" w:type="pct"/>
          </w:tcPr>
          <w:p w14:paraId="036A094C" w14:textId="77777777" w:rsidR="00D63B70" w:rsidRPr="006D52A9" w:rsidRDefault="00D63B70" w:rsidP="00D63B70">
            <w:pPr>
              <w:rPr>
                <w:rFonts w:ascii="Arial" w:hAnsi="Arial" w:cs="Arial"/>
                <w:sz w:val="16"/>
                <w:szCs w:val="16"/>
              </w:rPr>
            </w:pPr>
          </w:p>
        </w:tc>
        <w:tc>
          <w:tcPr>
            <w:tcW w:w="499" w:type="pct"/>
          </w:tcPr>
          <w:p w14:paraId="15F34C47"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31C204F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FBEB566" w14:textId="77777777" w:rsidTr="00A91628">
        <w:tblPrEx>
          <w:tblBorders>
            <w:top w:val="single" w:sz="4" w:space="0" w:color="auto"/>
          </w:tblBorders>
        </w:tblPrEx>
        <w:trPr>
          <w:tblCellSpacing w:w="22" w:type="dxa"/>
        </w:trPr>
        <w:tc>
          <w:tcPr>
            <w:tcW w:w="508" w:type="pct"/>
          </w:tcPr>
          <w:p w14:paraId="1A1B1D40" w14:textId="77777777" w:rsidR="00D63B70" w:rsidRPr="006D52A9" w:rsidRDefault="00D63B70" w:rsidP="00D63B70">
            <w:pPr>
              <w:rPr>
                <w:rFonts w:ascii="Arial" w:hAnsi="Arial" w:cs="Arial"/>
                <w:sz w:val="16"/>
                <w:szCs w:val="16"/>
              </w:rPr>
            </w:pPr>
            <w:r w:rsidRPr="006D52A9">
              <w:rPr>
                <w:rFonts w:ascii="Arial" w:hAnsi="Arial" w:cs="Arial"/>
                <w:sz w:val="16"/>
                <w:szCs w:val="16"/>
              </w:rPr>
              <w:t>Mepolizumab</w:t>
            </w:r>
          </w:p>
        </w:tc>
        <w:tc>
          <w:tcPr>
            <w:tcW w:w="943" w:type="pct"/>
          </w:tcPr>
          <w:p w14:paraId="1D3DD3E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 mg in 1 mL single dose pre</w:t>
            </w:r>
            <w:r w:rsidR="0026100E">
              <w:rPr>
                <w:rFonts w:ascii="Arial" w:hAnsi="Arial" w:cs="Arial"/>
                <w:sz w:val="16"/>
                <w:szCs w:val="16"/>
              </w:rPr>
              <w:noBreakHyphen/>
            </w:r>
            <w:r w:rsidRPr="006D52A9">
              <w:rPr>
                <w:rFonts w:ascii="Arial" w:hAnsi="Arial" w:cs="Arial"/>
                <w:sz w:val="16"/>
                <w:szCs w:val="16"/>
              </w:rPr>
              <w:t>filled pen</w:t>
            </w:r>
          </w:p>
        </w:tc>
        <w:tc>
          <w:tcPr>
            <w:tcW w:w="540" w:type="pct"/>
          </w:tcPr>
          <w:p w14:paraId="67F617F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702EFB1" w14:textId="77777777" w:rsidR="00D63B70" w:rsidRPr="006D52A9" w:rsidRDefault="00D63B70" w:rsidP="00D63B70">
            <w:pPr>
              <w:rPr>
                <w:rFonts w:ascii="Arial" w:hAnsi="Arial" w:cs="Arial"/>
                <w:sz w:val="16"/>
                <w:szCs w:val="16"/>
              </w:rPr>
            </w:pPr>
            <w:r w:rsidRPr="006D52A9">
              <w:rPr>
                <w:rFonts w:ascii="Arial" w:hAnsi="Arial" w:cs="Arial"/>
                <w:sz w:val="16"/>
                <w:szCs w:val="16"/>
              </w:rPr>
              <w:t>Nucala</w:t>
            </w:r>
          </w:p>
        </w:tc>
        <w:tc>
          <w:tcPr>
            <w:tcW w:w="894" w:type="pct"/>
          </w:tcPr>
          <w:p w14:paraId="76B24EA3" w14:textId="77777777" w:rsidR="00D63B70" w:rsidRPr="006D52A9" w:rsidRDefault="00D63B70" w:rsidP="00D63B70">
            <w:pPr>
              <w:rPr>
                <w:rFonts w:ascii="Arial" w:hAnsi="Arial" w:cs="Arial"/>
                <w:sz w:val="16"/>
                <w:szCs w:val="16"/>
              </w:rPr>
            </w:pPr>
            <w:r w:rsidRPr="006D52A9">
              <w:rPr>
                <w:rFonts w:ascii="Arial" w:hAnsi="Arial" w:cs="Arial"/>
                <w:sz w:val="16"/>
                <w:szCs w:val="16"/>
              </w:rPr>
              <w:t>C9885 C10221 C10222 C10280 C10483 C10484</w:t>
            </w:r>
          </w:p>
        </w:tc>
        <w:tc>
          <w:tcPr>
            <w:tcW w:w="376" w:type="pct"/>
          </w:tcPr>
          <w:p w14:paraId="317FAE4A" w14:textId="77777777" w:rsidR="00D63B70" w:rsidRPr="006D52A9" w:rsidRDefault="00D63B70" w:rsidP="00D63B70">
            <w:pPr>
              <w:rPr>
                <w:rFonts w:ascii="Arial" w:hAnsi="Arial" w:cs="Arial"/>
                <w:sz w:val="16"/>
                <w:szCs w:val="16"/>
              </w:rPr>
            </w:pPr>
          </w:p>
        </w:tc>
        <w:tc>
          <w:tcPr>
            <w:tcW w:w="499" w:type="pct"/>
          </w:tcPr>
          <w:p w14:paraId="0A4E161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0B23596"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65252560" w14:textId="77777777" w:rsidTr="00A91628">
        <w:tblPrEx>
          <w:tblBorders>
            <w:top w:val="single" w:sz="4" w:space="0" w:color="auto"/>
          </w:tblBorders>
        </w:tblPrEx>
        <w:trPr>
          <w:tblCellSpacing w:w="22" w:type="dxa"/>
        </w:trPr>
        <w:tc>
          <w:tcPr>
            <w:tcW w:w="508" w:type="pct"/>
          </w:tcPr>
          <w:p w14:paraId="5241F846" w14:textId="77777777" w:rsidR="00D63B70" w:rsidRPr="006D52A9" w:rsidRDefault="00D63B70" w:rsidP="00D63B70">
            <w:pPr>
              <w:rPr>
                <w:rFonts w:ascii="Arial" w:hAnsi="Arial" w:cs="Arial"/>
                <w:sz w:val="16"/>
                <w:szCs w:val="16"/>
              </w:rPr>
            </w:pPr>
          </w:p>
        </w:tc>
        <w:tc>
          <w:tcPr>
            <w:tcW w:w="943" w:type="pct"/>
          </w:tcPr>
          <w:p w14:paraId="47DE76C3"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100 mg</w:t>
            </w:r>
          </w:p>
        </w:tc>
        <w:tc>
          <w:tcPr>
            <w:tcW w:w="540" w:type="pct"/>
          </w:tcPr>
          <w:p w14:paraId="3C7EEEC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C9C381D" w14:textId="77777777" w:rsidR="00D63B70" w:rsidRPr="006D52A9" w:rsidRDefault="00D63B70" w:rsidP="00D63B70">
            <w:pPr>
              <w:rPr>
                <w:rFonts w:ascii="Arial" w:hAnsi="Arial" w:cs="Arial"/>
                <w:sz w:val="16"/>
                <w:szCs w:val="16"/>
              </w:rPr>
            </w:pPr>
            <w:r w:rsidRPr="006D52A9">
              <w:rPr>
                <w:rFonts w:ascii="Arial" w:hAnsi="Arial" w:cs="Arial"/>
                <w:sz w:val="16"/>
                <w:szCs w:val="16"/>
              </w:rPr>
              <w:t>Nucala</w:t>
            </w:r>
          </w:p>
        </w:tc>
        <w:tc>
          <w:tcPr>
            <w:tcW w:w="894" w:type="pct"/>
          </w:tcPr>
          <w:p w14:paraId="4021A43A" w14:textId="77777777" w:rsidR="00D63B70" w:rsidRPr="006D52A9" w:rsidRDefault="00D63B70" w:rsidP="00D63B70">
            <w:pPr>
              <w:rPr>
                <w:rFonts w:ascii="Arial" w:hAnsi="Arial" w:cs="Arial"/>
                <w:sz w:val="16"/>
                <w:szCs w:val="16"/>
              </w:rPr>
            </w:pPr>
            <w:r w:rsidRPr="006D52A9">
              <w:rPr>
                <w:rFonts w:ascii="Arial" w:hAnsi="Arial" w:cs="Arial"/>
                <w:sz w:val="16"/>
                <w:szCs w:val="16"/>
              </w:rPr>
              <w:t>C9885 C10221 C10222 C10280</w:t>
            </w:r>
          </w:p>
        </w:tc>
        <w:tc>
          <w:tcPr>
            <w:tcW w:w="376" w:type="pct"/>
          </w:tcPr>
          <w:p w14:paraId="65A609ED" w14:textId="77777777" w:rsidR="00D63B70" w:rsidRPr="006D52A9" w:rsidRDefault="00D63B70" w:rsidP="00D63B70">
            <w:pPr>
              <w:rPr>
                <w:rFonts w:ascii="Arial" w:hAnsi="Arial" w:cs="Arial"/>
                <w:sz w:val="16"/>
                <w:szCs w:val="16"/>
              </w:rPr>
            </w:pPr>
          </w:p>
        </w:tc>
        <w:tc>
          <w:tcPr>
            <w:tcW w:w="499" w:type="pct"/>
          </w:tcPr>
          <w:p w14:paraId="2DD7C68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9E8056E"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rsidDel="00476F09" w14:paraId="28F114A6" w14:textId="77777777" w:rsidTr="00A91628">
        <w:tblPrEx>
          <w:tblBorders>
            <w:top w:val="single" w:sz="4" w:space="0" w:color="auto"/>
          </w:tblBorders>
        </w:tblPrEx>
        <w:trPr>
          <w:tblCellSpacing w:w="22" w:type="dxa"/>
        </w:trPr>
        <w:tc>
          <w:tcPr>
            <w:tcW w:w="508" w:type="pct"/>
          </w:tcPr>
          <w:p w14:paraId="5D17BA9A" w14:textId="77777777" w:rsidR="00D63B70" w:rsidRPr="006D52A9" w:rsidDel="00476F09" w:rsidRDefault="00D63B70" w:rsidP="00D63B70">
            <w:pPr>
              <w:rPr>
                <w:rFonts w:ascii="Arial" w:hAnsi="Arial" w:cs="Arial"/>
                <w:sz w:val="16"/>
                <w:szCs w:val="16"/>
              </w:rPr>
            </w:pPr>
            <w:r w:rsidRPr="006D52A9">
              <w:rPr>
                <w:rFonts w:ascii="Arial" w:hAnsi="Arial" w:cs="Arial"/>
                <w:sz w:val="16"/>
                <w:szCs w:val="16"/>
              </w:rPr>
              <w:t>Methoxsalen</w:t>
            </w:r>
          </w:p>
        </w:tc>
        <w:tc>
          <w:tcPr>
            <w:tcW w:w="943" w:type="pct"/>
          </w:tcPr>
          <w:p w14:paraId="725E80E8" w14:textId="77777777" w:rsidR="00D63B70" w:rsidRPr="006D52A9" w:rsidDel="00476F09" w:rsidRDefault="00D63B70" w:rsidP="00D63B70">
            <w:pPr>
              <w:rPr>
                <w:rFonts w:ascii="Arial" w:hAnsi="Arial" w:cs="Arial"/>
                <w:sz w:val="16"/>
                <w:szCs w:val="16"/>
              </w:rPr>
            </w:pPr>
            <w:r w:rsidRPr="006D52A9">
              <w:rPr>
                <w:rFonts w:ascii="Arial" w:hAnsi="Arial" w:cs="Arial"/>
                <w:sz w:val="16"/>
                <w:szCs w:val="16"/>
              </w:rPr>
              <w:t>Solution for blood fraction 20 microgram per mL, 10 mL</w:t>
            </w:r>
          </w:p>
        </w:tc>
        <w:tc>
          <w:tcPr>
            <w:tcW w:w="540" w:type="pct"/>
          </w:tcPr>
          <w:p w14:paraId="2E8431C1" w14:textId="77777777" w:rsidR="00D63B70" w:rsidRPr="006D52A9" w:rsidDel="00476F09" w:rsidRDefault="00D63B70" w:rsidP="00D63B70">
            <w:pPr>
              <w:rPr>
                <w:rFonts w:ascii="Arial" w:hAnsi="Arial" w:cs="Arial"/>
                <w:sz w:val="16"/>
                <w:szCs w:val="16"/>
              </w:rPr>
            </w:pPr>
            <w:r w:rsidRPr="006D52A9">
              <w:rPr>
                <w:rFonts w:ascii="Arial" w:hAnsi="Arial" w:cs="Arial"/>
                <w:sz w:val="16"/>
                <w:szCs w:val="16"/>
              </w:rPr>
              <w:t>Extracorporeal Circulation</w:t>
            </w:r>
          </w:p>
        </w:tc>
        <w:tc>
          <w:tcPr>
            <w:tcW w:w="591" w:type="pct"/>
          </w:tcPr>
          <w:p w14:paraId="20757B21" w14:textId="77777777" w:rsidR="00D63B70" w:rsidRPr="006D52A9" w:rsidDel="00476F09" w:rsidRDefault="00D63B70" w:rsidP="00D63B70">
            <w:pPr>
              <w:rPr>
                <w:rFonts w:ascii="Arial" w:hAnsi="Arial" w:cs="Arial"/>
                <w:sz w:val="16"/>
                <w:szCs w:val="16"/>
              </w:rPr>
            </w:pPr>
            <w:r w:rsidRPr="006D52A9">
              <w:rPr>
                <w:rFonts w:ascii="Arial" w:hAnsi="Arial" w:cs="Arial"/>
                <w:sz w:val="16"/>
                <w:szCs w:val="16"/>
              </w:rPr>
              <w:t>Uvadex</w:t>
            </w:r>
          </w:p>
        </w:tc>
        <w:tc>
          <w:tcPr>
            <w:tcW w:w="894" w:type="pct"/>
          </w:tcPr>
          <w:p w14:paraId="56015570" w14:textId="77777777" w:rsidR="00D63B70" w:rsidRPr="006D52A9" w:rsidRDefault="00D63B70" w:rsidP="00D63B70">
            <w:pPr>
              <w:rPr>
                <w:rFonts w:ascii="Arial" w:hAnsi="Arial" w:cs="Arial"/>
                <w:sz w:val="16"/>
                <w:szCs w:val="16"/>
              </w:rPr>
            </w:pPr>
            <w:r w:rsidRPr="006D52A9">
              <w:rPr>
                <w:rFonts w:ascii="Arial" w:hAnsi="Arial" w:cs="Arial"/>
                <w:sz w:val="16"/>
                <w:szCs w:val="16"/>
              </w:rPr>
              <w:t>C10971 C10985 C10988 C10989</w:t>
            </w:r>
          </w:p>
        </w:tc>
        <w:tc>
          <w:tcPr>
            <w:tcW w:w="376" w:type="pct"/>
          </w:tcPr>
          <w:p w14:paraId="0C378939" w14:textId="77777777" w:rsidR="00D63B70" w:rsidRPr="006D52A9" w:rsidRDefault="00D63B70" w:rsidP="00D63B70">
            <w:pPr>
              <w:rPr>
                <w:rFonts w:cs="Arial"/>
              </w:rPr>
            </w:pPr>
            <w:r w:rsidRPr="006D52A9">
              <w:rPr>
                <w:rFonts w:ascii="Arial" w:hAnsi="Arial" w:cs="Arial"/>
                <w:sz w:val="16"/>
                <w:szCs w:val="16"/>
              </w:rPr>
              <w:t>P10988 P10989</w:t>
            </w:r>
          </w:p>
        </w:tc>
        <w:tc>
          <w:tcPr>
            <w:tcW w:w="499" w:type="pct"/>
          </w:tcPr>
          <w:p w14:paraId="499819E3"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6B25EC8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76F09" w14:paraId="4569D547" w14:textId="77777777" w:rsidTr="00A91628">
        <w:tblPrEx>
          <w:tblBorders>
            <w:top w:val="single" w:sz="4" w:space="0" w:color="auto"/>
          </w:tblBorders>
        </w:tblPrEx>
        <w:trPr>
          <w:tblCellSpacing w:w="22" w:type="dxa"/>
        </w:trPr>
        <w:tc>
          <w:tcPr>
            <w:tcW w:w="508" w:type="pct"/>
          </w:tcPr>
          <w:p w14:paraId="43B1F0F5" w14:textId="77777777" w:rsidR="00D63B70" w:rsidRPr="006D52A9" w:rsidDel="00476F09" w:rsidRDefault="00D63B70" w:rsidP="00D63B70">
            <w:pPr>
              <w:rPr>
                <w:rFonts w:ascii="Arial" w:hAnsi="Arial" w:cs="Arial"/>
                <w:sz w:val="16"/>
                <w:szCs w:val="16"/>
              </w:rPr>
            </w:pPr>
          </w:p>
        </w:tc>
        <w:tc>
          <w:tcPr>
            <w:tcW w:w="943" w:type="pct"/>
          </w:tcPr>
          <w:p w14:paraId="1C75B9E1" w14:textId="77777777" w:rsidR="00D63B70" w:rsidRPr="006D52A9" w:rsidDel="00476F09" w:rsidRDefault="00D63B70" w:rsidP="00D63B70">
            <w:pPr>
              <w:rPr>
                <w:rFonts w:ascii="Arial" w:hAnsi="Arial" w:cs="Arial"/>
                <w:sz w:val="16"/>
                <w:szCs w:val="16"/>
              </w:rPr>
            </w:pPr>
          </w:p>
        </w:tc>
        <w:tc>
          <w:tcPr>
            <w:tcW w:w="540" w:type="pct"/>
          </w:tcPr>
          <w:p w14:paraId="6B689C2A" w14:textId="77777777" w:rsidR="00D63B70" w:rsidRPr="006D52A9" w:rsidDel="00476F09" w:rsidRDefault="00D63B70" w:rsidP="00D63B70">
            <w:pPr>
              <w:rPr>
                <w:rFonts w:ascii="Arial" w:hAnsi="Arial" w:cs="Arial"/>
                <w:sz w:val="16"/>
                <w:szCs w:val="16"/>
              </w:rPr>
            </w:pPr>
          </w:p>
        </w:tc>
        <w:tc>
          <w:tcPr>
            <w:tcW w:w="591" w:type="pct"/>
          </w:tcPr>
          <w:p w14:paraId="273BF6A3" w14:textId="77777777" w:rsidR="00D63B70" w:rsidRPr="006D52A9" w:rsidDel="00476F09" w:rsidRDefault="00D63B70" w:rsidP="00D63B70">
            <w:pPr>
              <w:rPr>
                <w:rFonts w:ascii="Arial" w:hAnsi="Arial" w:cs="Arial"/>
                <w:sz w:val="16"/>
                <w:szCs w:val="16"/>
              </w:rPr>
            </w:pPr>
          </w:p>
        </w:tc>
        <w:tc>
          <w:tcPr>
            <w:tcW w:w="894" w:type="pct"/>
          </w:tcPr>
          <w:p w14:paraId="42719CF6" w14:textId="77777777" w:rsidR="00D63B70" w:rsidRPr="006D52A9" w:rsidRDefault="00D63B70" w:rsidP="00D63B70">
            <w:pPr>
              <w:rPr>
                <w:rFonts w:ascii="Arial" w:hAnsi="Arial" w:cs="Arial"/>
                <w:sz w:val="16"/>
                <w:szCs w:val="16"/>
              </w:rPr>
            </w:pPr>
            <w:r w:rsidRPr="006D52A9">
              <w:rPr>
                <w:rFonts w:ascii="Arial" w:hAnsi="Arial" w:cs="Arial"/>
                <w:sz w:val="16"/>
                <w:szCs w:val="16"/>
              </w:rPr>
              <w:t>C10971 C10985 C10988 C10989</w:t>
            </w:r>
          </w:p>
        </w:tc>
        <w:tc>
          <w:tcPr>
            <w:tcW w:w="376" w:type="pct"/>
          </w:tcPr>
          <w:p w14:paraId="1B9F69BA" w14:textId="77777777" w:rsidR="00D63B70" w:rsidRPr="006D52A9" w:rsidRDefault="00D63B70" w:rsidP="00D63B70">
            <w:pPr>
              <w:rPr>
                <w:rFonts w:cs="Arial"/>
              </w:rPr>
            </w:pPr>
            <w:r w:rsidRPr="006D52A9">
              <w:rPr>
                <w:rFonts w:ascii="Arial" w:hAnsi="Arial" w:cs="Arial"/>
                <w:sz w:val="16"/>
                <w:szCs w:val="16"/>
              </w:rPr>
              <w:t>P10971 P10985</w:t>
            </w:r>
          </w:p>
        </w:tc>
        <w:tc>
          <w:tcPr>
            <w:tcW w:w="499" w:type="pct"/>
          </w:tcPr>
          <w:p w14:paraId="4DA7CEAD"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39B08EFA" w14:textId="77777777" w:rsidR="00D63B70" w:rsidRPr="006D52A9" w:rsidRDefault="00D63B70" w:rsidP="00D63B70">
            <w:pPr>
              <w:rPr>
                <w:rFonts w:ascii="Arial" w:hAnsi="Arial" w:cs="Arial"/>
                <w:sz w:val="16"/>
                <w:szCs w:val="16"/>
              </w:rPr>
            </w:pPr>
            <w:r w:rsidRPr="006D52A9">
              <w:rPr>
                <w:rFonts w:ascii="Arial" w:hAnsi="Arial" w:cs="Arial"/>
                <w:sz w:val="16"/>
                <w:szCs w:val="16"/>
              </w:rPr>
              <w:t>6</w:t>
            </w:r>
          </w:p>
        </w:tc>
      </w:tr>
      <w:tr w:rsidR="00D63B70" w:rsidRPr="006D52A9" w14:paraId="60CA89EB" w14:textId="77777777" w:rsidTr="00A91628">
        <w:tblPrEx>
          <w:tblBorders>
            <w:top w:val="single" w:sz="4" w:space="0" w:color="auto"/>
          </w:tblBorders>
        </w:tblPrEx>
        <w:trPr>
          <w:cantSplit/>
          <w:tblCellSpacing w:w="22" w:type="dxa"/>
        </w:trPr>
        <w:tc>
          <w:tcPr>
            <w:tcW w:w="508" w:type="pct"/>
          </w:tcPr>
          <w:p w14:paraId="0827D113" w14:textId="77777777" w:rsidR="00D63B70" w:rsidRPr="006D52A9" w:rsidRDefault="00D63B70" w:rsidP="00D63B70">
            <w:pPr>
              <w:rPr>
                <w:rFonts w:ascii="Arial" w:hAnsi="Arial" w:cs="Arial"/>
                <w:sz w:val="16"/>
                <w:szCs w:val="16"/>
              </w:rPr>
            </w:pPr>
            <w:r w:rsidRPr="006D52A9">
              <w:rPr>
                <w:rFonts w:ascii="Arial" w:hAnsi="Arial" w:cs="Arial"/>
                <w:sz w:val="16"/>
                <w:szCs w:val="16"/>
              </w:rPr>
              <w:t>Methoxy polyethylene glycol</w:t>
            </w:r>
            <w:r w:rsidR="0026100E">
              <w:rPr>
                <w:rFonts w:ascii="Arial" w:hAnsi="Arial" w:cs="Arial"/>
                <w:sz w:val="16"/>
                <w:szCs w:val="16"/>
              </w:rPr>
              <w:noBreakHyphen/>
            </w:r>
            <w:r w:rsidRPr="006D52A9">
              <w:rPr>
                <w:rFonts w:ascii="Arial" w:hAnsi="Arial" w:cs="Arial"/>
                <w:sz w:val="16"/>
                <w:szCs w:val="16"/>
              </w:rPr>
              <w:t>epoetin beta</w:t>
            </w:r>
          </w:p>
        </w:tc>
        <w:tc>
          <w:tcPr>
            <w:tcW w:w="943" w:type="pct"/>
          </w:tcPr>
          <w:p w14:paraId="7A8C75E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30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799515D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7747010"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78FBF93D"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75959AC8" w14:textId="77777777" w:rsidR="00D63B70" w:rsidRPr="006D52A9" w:rsidRDefault="00D63B70" w:rsidP="00D63B70">
            <w:pPr>
              <w:rPr>
                <w:rFonts w:ascii="Arial" w:hAnsi="Arial" w:cs="Arial"/>
                <w:sz w:val="16"/>
                <w:szCs w:val="16"/>
              </w:rPr>
            </w:pPr>
          </w:p>
        </w:tc>
        <w:tc>
          <w:tcPr>
            <w:tcW w:w="499" w:type="pct"/>
          </w:tcPr>
          <w:p w14:paraId="075FF427"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07263BA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796157F" w14:textId="77777777" w:rsidTr="00A91628">
        <w:tblPrEx>
          <w:tblBorders>
            <w:top w:val="single" w:sz="4" w:space="0" w:color="auto"/>
          </w:tblBorders>
        </w:tblPrEx>
        <w:trPr>
          <w:tblCellSpacing w:w="22" w:type="dxa"/>
        </w:trPr>
        <w:tc>
          <w:tcPr>
            <w:tcW w:w="508" w:type="pct"/>
          </w:tcPr>
          <w:p w14:paraId="5519F4EE" w14:textId="77777777" w:rsidR="00D63B70" w:rsidRPr="006D52A9" w:rsidRDefault="00D63B70" w:rsidP="00D63B70">
            <w:pPr>
              <w:rPr>
                <w:rFonts w:ascii="Arial" w:hAnsi="Arial" w:cs="Arial"/>
                <w:sz w:val="16"/>
                <w:szCs w:val="16"/>
              </w:rPr>
            </w:pPr>
          </w:p>
        </w:tc>
        <w:tc>
          <w:tcPr>
            <w:tcW w:w="943" w:type="pct"/>
          </w:tcPr>
          <w:p w14:paraId="5FD63244"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753327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DC30DCB"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0EF4D813"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21214A3" w14:textId="77777777" w:rsidR="00D63B70" w:rsidRPr="006D52A9" w:rsidRDefault="00D63B70" w:rsidP="00D63B70">
            <w:pPr>
              <w:rPr>
                <w:rFonts w:ascii="Arial" w:hAnsi="Arial" w:cs="Arial"/>
                <w:sz w:val="16"/>
                <w:szCs w:val="16"/>
              </w:rPr>
            </w:pPr>
          </w:p>
        </w:tc>
        <w:tc>
          <w:tcPr>
            <w:tcW w:w="499" w:type="pct"/>
          </w:tcPr>
          <w:p w14:paraId="6AAE92D8"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46445C4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4151F5E" w14:textId="77777777" w:rsidTr="00A91628">
        <w:tblPrEx>
          <w:tblBorders>
            <w:top w:val="single" w:sz="4" w:space="0" w:color="auto"/>
          </w:tblBorders>
        </w:tblPrEx>
        <w:trPr>
          <w:tblCellSpacing w:w="22" w:type="dxa"/>
        </w:trPr>
        <w:tc>
          <w:tcPr>
            <w:tcW w:w="508" w:type="pct"/>
          </w:tcPr>
          <w:p w14:paraId="63C377F6" w14:textId="77777777" w:rsidR="00D63B70" w:rsidRPr="006D52A9" w:rsidRDefault="00D63B70" w:rsidP="00D63B70">
            <w:pPr>
              <w:keepNext/>
              <w:keepLines/>
              <w:rPr>
                <w:rFonts w:ascii="Arial" w:hAnsi="Arial" w:cs="Arial"/>
                <w:sz w:val="16"/>
                <w:szCs w:val="16"/>
              </w:rPr>
            </w:pPr>
          </w:p>
        </w:tc>
        <w:tc>
          <w:tcPr>
            <w:tcW w:w="943" w:type="pct"/>
          </w:tcPr>
          <w:p w14:paraId="5CDDF580"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 75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4A20273C"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Injection</w:t>
            </w:r>
          </w:p>
        </w:tc>
        <w:tc>
          <w:tcPr>
            <w:tcW w:w="591" w:type="pct"/>
          </w:tcPr>
          <w:p w14:paraId="4E8E0CA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Mircera</w:t>
            </w:r>
          </w:p>
        </w:tc>
        <w:tc>
          <w:tcPr>
            <w:tcW w:w="894" w:type="pct"/>
          </w:tcPr>
          <w:p w14:paraId="3A89278F"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ABF6334" w14:textId="77777777" w:rsidR="00D63B70" w:rsidRPr="006D52A9" w:rsidRDefault="00D63B70" w:rsidP="00D63B70">
            <w:pPr>
              <w:keepNext/>
              <w:keepLines/>
              <w:rPr>
                <w:rFonts w:ascii="Arial" w:hAnsi="Arial" w:cs="Arial"/>
                <w:sz w:val="16"/>
                <w:szCs w:val="16"/>
              </w:rPr>
            </w:pPr>
          </w:p>
        </w:tc>
        <w:tc>
          <w:tcPr>
            <w:tcW w:w="499" w:type="pct"/>
          </w:tcPr>
          <w:p w14:paraId="5B4D9BF4"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2</w:t>
            </w:r>
          </w:p>
        </w:tc>
        <w:tc>
          <w:tcPr>
            <w:tcW w:w="502" w:type="pct"/>
          </w:tcPr>
          <w:p w14:paraId="4B64C63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347D3104" w14:textId="77777777" w:rsidTr="00A91628">
        <w:tblPrEx>
          <w:tblBorders>
            <w:top w:val="single" w:sz="4" w:space="0" w:color="auto"/>
          </w:tblBorders>
        </w:tblPrEx>
        <w:trPr>
          <w:tblCellSpacing w:w="22" w:type="dxa"/>
        </w:trPr>
        <w:tc>
          <w:tcPr>
            <w:tcW w:w="508" w:type="pct"/>
          </w:tcPr>
          <w:p w14:paraId="69614EDC" w14:textId="77777777" w:rsidR="00D63B70" w:rsidRPr="006D52A9" w:rsidRDefault="00D63B70" w:rsidP="00D63B70">
            <w:pPr>
              <w:rPr>
                <w:rFonts w:ascii="Arial" w:hAnsi="Arial" w:cs="Arial"/>
                <w:sz w:val="16"/>
                <w:szCs w:val="16"/>
              </w:rPr>
            </w:pPr>
          </w:p>
        </w:tc>
        <w:tc>
          <w:tcPr>
            <w:tcW w:w="943" w:type="pct"/>
          </w:tcPr>
          <w:p w14:paraId="551B358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FE21DB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09AD7DC"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7F57FFB7"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DFA05CA" w14:textId="77777777" w:rsidR="00D63B70" w:rsidRPr="006D52A9" w:rsidRDefault="00D63B70" w:rsidP="00D63B70">
            <w:pPr>
              <w:rPr>
                <w:rFonts w:ascii="Arial" w:hAnsi="Arial" w:cs="Arial"/>
                <w:sz w:val="16"/>
                <w:szCs w:val="16"/>
              </w:rPr>
            </w:pPr>
          </w:p>
        </w:tc>
        <w:tc>
          <w:tcPr>
            <w:tcW w:w="499" w:type="pct"/>
          </w:tcPr>
          <w:p w14:paraId="2BBD0F65"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0F0456A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70E6DAC" w14:textId="77777777" w:rsidTr="00A91628">
        <w:tblPrEx>
          <w:tblBorders>
            <w:top w:val="single" w:sz="4" w:space="0" w:color="auto"/>
          </w:tblBorders>
        </w:tblPrEx>
        <w:trPr>
          <w:tblCellSpacing w:w="22" w:type="dxa"/>
        </w:trPr>
        <w:tc>
          <w:tcPr>
            <w:tcW w:w="508" w:type="pct"/>
          </w:tcPr>
          <w:p w14:paraId="41CE32F5" w14:textId="77777777" w:rsidR="00D63B70" w:rsidRPr="006D52A9" w:rsidRDefault="00D63B70" w:rsidP="00D63B70">
            <w:pPr>
              <w:rPr>
                <w:rFonts w:ascii="Arial" w:hAnsi="Arial" w:cs="Arial"/>
                <w:sz w:val="16"/>
                <w:szCs w:val="16"/>
              </w:rPr>
            </w:pPr>
          </w:p>
        </w:tc>
        <w:tc>
          <w:tcPr>
            <w:tcW w:w="943" w:type="pct"/>
          </w:tcPr>
          <w:p w14:paraId="1E85A5F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120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83BC63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83050F8"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709F393F"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2764092B" w14:textId="77777777" w:rsidR="00D63B70" w:rsidRPr="006D52A9" w:rsidRDefault="00D63B70" w:rsidP="00D63B70">
            <w:pPr>
              <w:rPr>
                <w:rFonts w:ascii="Arial" w:hAnsi="Arial" w:cs="Arial"/>
                <w:sz w:val="16"/>
                <w:szCs w:val="16"/>
              </w:rPr>
            </w:pPr>
          </w:p>
        </w:tc>
        <w:tc>
          <w:tcPr>
            <w:tcW w:w="499" w:type="pct"/>
          </w:tcPr>
          <w:p w14:paraId="43C08406"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4B95A60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A60DBBD" w14:textId="77777777" w:rsidTr="00A91628">
        <w:tblPrEx>
          <w:tblBorders>
            <w:top w:val="single" w:sz="4" w:space="0" w:color="auto"/>
          </w:tblBorders>
        </w:tblPrEx>
        <w:trPr>
          <w:tblCellSpacing w:w="22" w:type="dxa"/>
        </w:trPr>
        <w:tc>
          <w:tcPr>
            <w:tcW w:w="508" w:type="pct"/>
          </w:tcPr>
          <w:p w14:paraId="0F923C40" w14:textId="77777777" w:rsidR="00D63B70" w:rsidRPr="006D52A9" w:rsidRDefault="00D63B70" w:rsidP="00D63B70">
            <w:pPr>
              <w:rPr>
                <w:rFonts w:ascii="Arial" w:hAnsi="Arial" w:cs="Arial"/>
                <w:sz w:val="16"/>
                <w:szCs w:val="16"/>
              </w:rPr>
            </w:pPr>
          </w:p>
        </w:tc>
        <w:tc>
          <w:tcPr>
            <w:tcW w:w="943" w:type="pct"/>
          </w:tcPr>
          <w:p w14:paraId="781E11C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200 micrograms in 0.3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49CF7C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4DA6A22"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4A264FDA"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3AD22C32" w14:textId="77777777" w:rsidR="00D63B70" w:rsidRPr="006D52A9" w:rsidRDefault="00D63B70" w:rsidP="00D63B70">
            <w:pPr>
              <w:rPr>
                <w:rFonts w:ascii="Arial" w:hAnsi="Arial" w:cs="Arial"/>
                <w:sz w:val="16"/>
                <w:szCs w:val="16"/>
              </w:rPr>
            </w:pPr>
          </w:p>
        </w:tc>
        <w:tc>
          <w:tcPr>
            <w:tcW w:w="499" w:type="pct"/>
          </w:tcPr>
          <w:p w14:paraId="2BF65760"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2482D63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3D38276" w14:textId="77777777" w:rsidTr="00A91628">
        <w:tblPrEx>
          <w:tblBorders>
            <w:top w:val="single" w:sz="4" w:space="0" w:color="auto"/>
          </w:tblBorders>
        </w:tblPrEx>
        <w:trPr>
          <w:tblCellSpacing w:w="22" w:type="dxa"/>
        </w:trPr>
        <w:tc>
          <w:tcPr>
            <w:tcW w:w="508" w:type="pct"/>
          </w:tcPr>
          <w:p w14:paraId="00DAC0C0" w14:textId="77777777" w:rsidR="00D63B70" w:rsidRPr="006D52A9" w:rsidRDefault="00D63B70" w:rsidP="00D63B70">
            <w:pPr>
              <w:rPr>
                <w:rFonts w:ascii="Arial" w:hAnsi="Arial" w:cs="Arial"/>
                <w:sz w:val="16"/>
                <w:szCs w:val="16"/>
              </w:rPr>
            </w:pPr>
          </w:p>
        </w:tc>
        <w:tc>
          <w:tcPr>
            <w:tcW w:w="943" w:type="pct"/>
          </w:tcPr>
          <w:p w14:paraId="6321261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360 micrograms in 0.6 mL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09C038B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E4CDEC2" w14:textId="77777777" w:rsidR="00D63B70" w:rsidRPr="006D52A9" w:rsidRDefault="00D63B70" w:rsidP="00D63B70">
            <w:pPr>
              <w:rPr>
                <w:rFonts w:ascii="Arial" w:hAnsi="Arial" w:cs="Arial"/>
                <w:sz w:val="16"/>
                <w:szCs w:val="16"/>
              </w:rPr>
            </w:pPr>
            <w:r w:rsidRPr="006D52A9">
              <w:rPr>
                <w:rFonts w:ascii="Arial" w:hAnsi="Arial" w:cs="Arial"/>
                <w:sz w:val="16"/>
                <w:szCs w:val="16"/>
              </w:rPr>
              <w:t>Mircera</w:t>
            </w:r>
          </w:p>
        </w:tc>
        <w:tc>
          <w:tcPr>
            <w:tcW w:w="894" w:type="pct"/>
          </w:tcPr>
          <w:p w14:paraId="560A923D" w14:textId="77777777" w:rsidR="00D63B70" w:rsidRPr="006D52A9" w:rsidRDefault="00D63B70" w:rsidP="00D63B70">
            <w:pPr>
              <w:rPr>
                <w:rFonts w:ascii="Arial" w:hAnsi="Arial" w:cs="Arial"/>
                <w:sz w:val="16"/>
                <w:szCs w:val="16"/>
              </w:rPr>
            </w:pPr>
            <w:r w:rsidRPr="006D52A9">
              <w:rPr>
                <w:rFonts w:ascii="Arial" w:hAnsi="Arial" w:cs="Arial"/>
                <w:sz w:val="16"/>
                <w:szCs w:val="16"/>
              </w:rPr>
              <w:t>C6294 C9688</w:t>
            </w:r>
          </w:p>
        </w:tc>
        <w:tc>
          <w:tcPr>
            <w:tcW w:w="376" w:type="pct"/>
          </w:tcPr>
          <w:p w14:paraId="6E991F39" w14:textId="77777777" w:rsidR="00D63B70" w:rsidRPr="006D52A9" w:rsidRDefault="00D63B70" w:rsidP="00D63B70">
            <w:pPr>
              <w:rPr>
                <w:rFonts w:ascii="Arial" w:hAnsi="Arial" w:cs="Arial"/>
                <w:sz w:val="16"/>
                <w:szCs w:val="16"/>
              </w:rPr>
            </w:pPr>
          </w:p>
        </w:tc>
        <w:tc>
          <w:tcPr>
            <w:tcW w:w="499" w:type="pct"/>
          </w:tcPr>
          <w:p w14:paraId="034FD196"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28280EF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93FB581" w14:textId="77777777" w:rsidTr="00A91628">
        <w:tblPrEx>
          <w:tblBorders>
            <w:top w:val="single" w:sz="4" w:space="0" w:color="auto"/>
          </w:tblBorders>
        </w:tblPrEx>
        <w:trPr>
          <w:tblCellSpacing w:w="22" w:type="dxa"/>
        </w:trPr>
        <w:tc>
          <w:tcPr>
            <w:tcW w:w="508" w:type="pct"/>
          </w:tcPr>
          <w:p w14:paraId="0440BA18" w14:textId="77777777" w:rsidR="00D63B70" w:rsidRPr="006D52A9" w:rsidRDefault="00D63B70" w:rsidP="00D63B70">
            <w:pPr>
              <w:rPr>
                <w:rFonts w:ascii="Arial" w:hAnsi="Arial" w:cs="Arial"/>
                <w:sz w:val="16"/>
                <w:szCs w:val="16"/>
              </w:rPr>
            </w:pPr>
            <w:r w:rsidRPr="006D52A9">
              <w:rPr>
                <w:rFonts w:ascii="Arial" w:hAnsi="Arial" w:cs="Arial"/>
                <w:sz w:val="16"/>
                <w:szCs w:val="16"/>
              </w:rPr>
              <w:t>Midostaurin</w:t>
            </w:r>
          </w:p>
        </w:tc>
        <w:tc>
          <w:tcPr>
            <w:tcW w:w="943" w:type="pct"/>
          </w:tcPr>
          <w:p w14:paraId="422FDA4C" w14:textId="77777777" w:rsidR="00D63B70" w:rsidRPr="006D52A9" w:rsidRDefault="00D63B70" w:rsidP="00D63B70">
            <w:pPr>
              <w:rPr>
                <w:rFonts w:ascii="Arial" w:hAnsi="Arial" w:cs="Arial"/>
                <w:sz w:val="16"/>
                <w:szCs w:val="16"/>
              </w:rPr>
            </w:pPr>
            <w:r w:rsidRPr="006D52A9">
              <w:rPr>
                <w:rFonts w:ascii="Arial" w:hAnsi="Arial" w:cs="Arial"/>
                <w:sz w:val="16"/>
                <w:szCs w:val="16"/>
              </w:rPr>
              <w:t>Capsule 25 mg</w:t>
            </w:r>
          </w:p>
        </w:tc>
        <w:tc>
          <w:tcPr>
            <w:tcW w:w="540" w:type="pct"/>
          </w:tcPr>
          <w:p w14:paraId="40D67C9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F7569D0" w14:textId="77777777" w:rsidR="00D63B70" w:rsidRPr="006D52A9" w:rsidRDefault="00D63B70" w:rsidP="00D63B70">
            <w:pPr>
              <w:rPr>
                <w:rFonts w:ascii="Arial" w:hAnsi="Arial" w:cs="Arial"/>
                <w:sz w:val="16"/>
                <w:szCs w:val="16"/>
              </w:rPr>
            </w:pPr>
            <w:r w:rsidRPr="006D52A9">
              <w:rPr>
                <w:rFonts w:ascii="Arial" w:hAnsi="Arial" w:cs="Arial"/>
                <w:sz w:val="16"/>
                <w:szCs w:val="16"/>
              </w:rPr>
              <w:t>Rydapt</w:t>
            </w:r>
          </w:p>
        </w:tc>
        <w:tc>
          <w:tcPr>
            <w:tcW w:w="894" w:type="pct"/>
          </w:tcPr>
          <w:p w14:paraId="56695808" w14:textId="77777777" w:rsidR="00D63B70" w:rsidRPr="006D52A9" w:rsidRDefault="00D63B70" w:rsidP="00D63B70">
            <w:pPr>
              <w:rPr>
                <w:rFonts w:ascii="Arial" w:hAnsi="Arial" w:cs="Arial"/>
                <w:sz w:val="16"/>
                <w:szCs w:val="16"/>
              </w:rPr>
            </w:pPr>
            <w:r w:rsidRPr="006D52A9">
              <w:rPr>
                <w:rFonts w:ascii="Arial" w:hAnsi="Arial" w:cs="Arial"/>
                <w:sz w:val="16"/>
                <w:szCs w:val="16"/>
              </w:rPr>
              <w:t>C8138 C8177 C8193 C8218</w:t>
            </w:r>
          </w:p>
        </w:tc>
        <w:tc>
          <w:tcPr>
            <w:tcW w:w="376" w:type="pct"/>
          </w:tcPr>
          <w:p w14:paraId="22631455" w14:textId="77777777" w:rsidR="00D63B70" w:rsidRPr="006D52A9" w:rsidRDefault="00D63B70" w:rsidP="00D63B70">
            <w:pPr>
              <w:rPr>
                <w:rFonts w:ascii="Arial" w:hAnsi="Arial" w:cs="Arial"/>
                <w:sz w:val="16"/>
                <w:szCs w:val="16"/>
              </w:rPr>
            </w:pPr>
          </w:p>
        </w:tc>
        <w:tc>
          <w:tcPr>
            <w:tcW w:w="499" w:type="pct"/>
          </w:tcPr>
          <w:p w14:paraId="4E0FCA29"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ECB5319"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786567BB" w14:textId="77777777" w:rsidTr="00A91628">
        <w:tblPrEx>
          <w:tblBorders>
            <w:top w:val="single" w:sz="4" w:space="0" w:color="auto"/>
          </w:tblBorders>
        </w:tblPrEx>
        <w:trPr>
          <w:tblCellSpacing w:w="22" w:type="dxa"/>
        </w:trPr>
        <w:tc>
          <w:tcPr>
            <w:tcW w:w="508" w:type="pct"/>
          </w:tcPr>
          <w:p w14:paraId="4C230462" w14:textId="77777777" w:rsidR="00D63B70" w:rsidRPr="006D52A9" w:rsidRDefault="00D63B70" w:rsidP="00D63B70">
            <w:pPr>
              <w:rPr>
                <w:rFonts w:ascii="Arial" w:hAnsi="Arial" w:cs="Arial"/>
                <w:sz w:val="16"/>
                <w:szCs w:val="16"/>
              </w:rPr>
            </w:pPr>
            <w:r w:rsidRPr="006D52A9">
              <w:rPr>
                <w:rFonts w:ascii="Arial" w:hAnsi="Arial" w:cs="Arial"/>
                <w:sz w:val="16"/>
                <w:szCs w:val="16"/>
              </w:rPr>
              <w:t>Mycophenolic Acid</w:t>
            </w:r>
          </w:p>
        </w:tc>
        <w:tc>
          <w:tcPr>
            <w:tcW w:w="943" w:type="pct"/>
          </w:tcPr>
          <w:p w14:paraId="766BFA5E"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Tablet (enteric coated) containing mycophenolate sodium equivalent to 180 mg mycophenolic acid</w:t>
            </w:r>
          </w:p>
        </w:tc>
        <w:tc>
          <w:tcPr>
            <w:tcW w:w="540" w:type="pct"/>
          </w:tcPr>
          <w:p w14:paraId="2770CF07"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DC30228"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Myfortic</w:t>
            </w:r>
          </w:p>
        </w:tc>
        <w:tc>
          <w:tcPr>
            <w:tcW w:w="894" w:type="pct"/>
          </w:tcPr>
          <w:p w14:paraId="2D367E5E"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C4084 C4095 C9692 C9809</w:t>
            </w:r>
          </w:p>
        </w:tc>
        <w:tc>
          <w:tcPr>
            <w:tcW w:w="376" w:type="pct"/>
          </w:tcPr>
          <w:p w14:paraId="1E9A9AB7" w14:textId="77777777" w:rsidR="00D63B70" w:rsidRPr="006D52A9" w:rsidRDefault="00D63B70" w:rsidP="00D63B70">
            <w:pPr>
              <w:rPr>
                <w:rFonts w:ascii="Arial" w:hAnsi="Arial" w:cs="Arial"/>
                <w:sz w:val="16"/>
                <w:szCs w:val="16"/>
              </w:rPr>
            </w:pPr>
          </w:p>
        </w:tc>
        <w:tc>
          <w:tcPr>
            <w:tcW w:w="499" w:type="pct"/>
          </w:tcPr>
          <w:p w14:paraId="2C2E2BA8"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024DA952"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5A3C7DE" w14:textId="77777777" w:rsidTr="00A91628">
        <w:tblPrEx>
          <w:tblBorders>
            <w:top w:val="single" w:sz="4" w:space="0" w:color="auto"/>
          </w:tblBorders>
        </w:tblPrEx>
        <w:trPr>
          <w:tblCellSpacing w:w="22" w:type="dxa"/>
        </w:trPr>
        <w:tc>
          <w:tcPr>
            <w:tcW w:w="508" w:type="pct"/>
          </w:tcPr>
          <w:p w14:paraId="654972EF" w14:textId="77777777" w:rsidR="00D63B70" w:rsidRPr="006D52A9" w:rsidRDefault="00D63B70" w:rsidP="00D63B70">
            <w:pPr>
              <w:rPr>
                <w:rFonts w:ascii="Arial" w:hAnsi="Arial" w:cs="Arial"/>
                <w:sz w:val="16"/>
                <w:szCs w:val="16"/>
              </w:rPr>
            </w:pPr>
          </w:p>
        </w:tc>
        <w:tc>
          <w:tcPr>
            <w:tcW w:w="943" w:type="pct"/>
          </w:tcPr>
          <w:p w14:paraId="4DCB3149"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Tablet (enteric coated) containing mycophenolate sodium equivalent to 360 mg mycophenolic acid</w:t>
            </w:r>
          </w:p>
        </w:tc>
        <w:tc>
          <w:tcPr>
            <w:tcW w:w="540" w:type="pct"/>
          </w:tcPr>
          <w:p w14:paraId="072E9E08"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2714A96"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Myfortic</w:t>
            </w:r>
          </w:p>
        </w:tc>
        <w:tc>
          <w:tcPr>
            <w:tcW w:w="894" w:type="pct"/>
          </w:tcPr>
          <w:p w14:paraId="6F472060"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C4084 C4095 C9692 C9809</w:t>
            </w:r>
          </w:p>
        </w:tc>
        <w:tc>
          <w:tcPr>
            <w:tcW w:w="376" w:type="pct"/>
          </w:tcPr>
          <w:p w14:paraId="16B1F272" w14:textId="77777777" w:rsidR="00D63B70" w:rsidRPr="006D52A9" w:rsidRDefault="00D63B70" w:rsidP="00D63B70">
            <w:pPr>
              <w:rPr>
                <w:rFonts w:ascii="Arial" w:hAnsi="Arial" w:cs="Arial"/>
                <w:sz w:val="16"/>
                <w:szCs w:val="16"/>
              </w:rPr>
            </w:pPr>
          </w:p>
        </w:tc>
        <w:tc>
          <w:tcPr>
            <w:tcW w:w="499" w:type="pct"/>
          </w:tcPr>
          <w:p w14:paraId="43AEC4B9"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22BDC7B9"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45873D0" w14:textId="77777777" w:rsidTr="00A91628">
        <w:tblPrEx>
          <w:tblBorders>
            <w:top w:val="single" w:sz="4" w:space="0" w:color="auto"/>
          </w:tblBorders>
        </w:tblPrEx>
        <w:trPr>
          <w:cantSplit/>
          <w:tblCellSpacing w:w="22" w:type="dxa"/>
        </w:trPr>
        <w:tc>
          <w:tcPr>
            <w:tcW w:w="508" w:type="pct"/>
          </w:tcPr>
          <w:p w14:paraId="57376A50" w14:textId="77777777" w:rsidR="00D63B70" w:rsidRPr="006D52A9" w:rsidRDefault="00D63B70" w:rsidP="00D63B70">
            <w:pPr>
              <w:rPr>
                <w:rFonts w:ascii="Arial" w:hAnsi="Arial" w:cs="Arial"/>
                <w:sz w:val="16"/>
                <w:szCs w:val="16"/>
              </w:rPr>
            </w:pPr>
          </w:p>
        </w:tc>
        <w:tc>
          <w:tcPr>
            <w:tcW w:w="943" w:type="pct"/>
          </w:tcPr>
          <w:p w14:paraId="03F650AA" w14:textId="77777777" w:rsidR="00D63B70" w:rsidRPr="006D52A9" w:rsidRDefault="00D63B70" w:rsidP="00D63B70">
            <w:pPr>
              <w:rPr>
                <w:rFonts w:ascii="Arial" w:hAnsi="Arial" w:cs="Arial"/>
                <w:sz w:val="16"/>
                <w:szCs w:val="16"/>
              </w:rPr>
            </w:pPr>
            <w:r w:rsidRPr="006D52A9">
              <w:rPr>
                <w:rFonts w:ascii="Arial" w:hAnsi="Arial" w:cs="Arial"/>
                <w:sz w:val="16"/>
                <w:szCs w:val="16"/>
              </w:rPr>
              <w:t>Capsule containing mycophenolate mofetil 250 mg</w:t>
            </w:r>
          </w:p>
        </w:tc>
        <w:tc>
          <w:tcPr>
            <w:tcW w:w="540" w:type="pct"/>
          </w:tcPr>
          <w:p w14:paraId="1B8135D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6FA6546" w14:textId="77777777" w:rsidR="00D63B70" w:rsidRPr="006D52A9" w:rsidRDefault="00D63B70" w:rsidP="00D63B70">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Mycophenolate</w:t>
            </w:r>
          </w:p>
        </w:tc>
        <w:tc>
          <w:tcPr>
            <w:tcW w:w="894" w:type="pct"/>
          </w:tcPr>
          <w:p w14:paraId="0F0BF9D0" w14:textId="77777777" w:rsidR="00D63B70" w:rsidRPr="006D52A9" w:rsidRDefault="00D63B70" w:rsidP="00D63B70">
            <w:pPr>
              <w:rPr>
                <w:rFonts w:ascii="Arial" w:hAnsi="Arial" w:cs="Arial"/>
                <w:sz w:val="16"/>
                <w:szCs w:val="16"/>
              </w:rPr>
            </w:pPr>
            <w:r w:rsidRPr="006D52A9">
              <w:rPr>
                <w:rFonts w:ascii="Arial" w:hAnsi="Arial" w:cs="Arial"/>
                <w:sz w:val="16"/>
                <w:szCs w:val="16"/>
              </w:rPr>
              <w:t>C5600 C5653 C9689 C9690</w:t>
            </w:r>
          </w:p>
        </w:tc>
        <w:tc>
          <w:tcPr>
            <w:tcW w:w="376" w:type="pct"/>
          </w:tcPr>
          <w:p w14:paraId="597B49B2" w14:textId="77777777" w:rsidR="00D63B70" w:rsidRPr="006D52A9" w:rsidRDefault="00D63B70" w:rsidP="00D63B70">
            <w:pPr>
              <w:rPr>
                <w:rFonts w:ascii="Arial" w:hAnsi="Arial" w:cs="Arial"/>
                <w:sz w:val="16"/>
                <w:szCs w:val="16"/>
              </w:rPr>
            </w:pPr>
          </w:p>
        </w:tc>
        <w:tc>
          <w:tcPr>
            <w:tcW w:w="499" w:type="pct"/>
          </w:tcPr>
          <w:p w14:paraId="69C72726" w14:textId="77777777" w:rsidR="00D63B70" w:rsidRPr="006D52A9" w:rsidRDefault="00D63B70" w:rsidP="00D63B70">
            <w:pPr>
              <w:rPr>
                <w:rFonts w:ascii="Arial" w:hAnsi="Arial" w:cs="Arial"/>
                <w:sz w:val="16"/>
                <w:szCs w:val="16"/>
              </w:rPr>
            </w:pPr>
            <w:r w:rsidRPr="006D52A9">
              <w:rPr>
                <w:rFonts w:ascii="Arial" w:hAnsi="Arial" w:cs="Arial"/>
                <w:sz w:val="16"/>
                <w:szCs w:val="16"/>
              </w:rPr>
              <w:t>600</w:t>
            </w:r>
          </w:p>
        </w:tc>
        <w:tc>
          <w:tcPr>
            <w:tcW w:w="502" w:type="pct"/>
          </w:tcPr>
          <w:p w14:paraId="1835D5D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F727611" w14:textId="77777777" w:rsidTr="00A91628">
        <w:tblPrEx>
          <w:tblBorders>
            <w:top w:val="single" w:sz="4" w:space="0" w:color="auto"/>
          </w:tblBorders>
        </w:tblPrEx>
        <w:trPr>
          <w:cantSplit/>
          <w:tblCellSpacing w:w="22" w:type="dxa"/>
        </w:trPr>
        <w:tc>
          <w:tcPr>
            <w:tcW w:w="508" w:type="pct"/>
          </w:tcPr>
          <w:p w14:paraId="305FD7F1" w14:textId="77777777" w:rsidR="00D63B70" w:rsidRPr="006D52A9" w:rsidRDefault="00D63B70" w:rsidP="00D63B70">
            <w:pPr>
              <w:rPr>
                <w:rFonts w:ascii="Arial" w:hAnsi="Arial" w:cs="Arial"/>
                <w:sz w:val="16"/>
                <w:szCs w:val="16"/>
              </w:rPr>
            </w:pPr>
          </w:p>
        </w:tc>
        <w:tc>
          <w:tcPr>
            <w:tcW w:w="943" w:type="pct"/>
          </w:tcPr>
          <w:p w14:paraId="67EC092C" w14:textId="77777777" w:rsidR="00D63B70" w:rsidRPr="006D52A9" w:rsidRDefault="00D63B70" w:rsidP="00D63B70">
            <w:pPr>
              <w:rPr>
                <w:rFonts w:ascii="Arial" w:hAnsi="Arial" w:cs="Arial"/>
                <w:sz w:val="16"/>
                <w:szCs w:val="16"/>
              </w:rPr>
            </w:pPr>
          </w:p>
        </w:tc>
        <w:tc>
          <w:tcPr>
            <w:tcW w:w="540" w:type="pct"/>
          </w:tcPr>
          <w:p w14:paraId="6528C7E8" w14:textId="77777777" w:rsidR="00D63B70" w:rsidRPr="006D52A9" w:rsidRDefault="00D63B70" w:rsidP="00D63B70">
            <w:pPr>
              <w:rPr>
                <w:rFonts w:ascii="Arial" w:hAnsi="Arial" w:cs="Arial"/>
                <w:sz w:val="16"/>
                <w:szCs w:val="16"/>
              </w:rPr>
            </w:pPr>
          </w:p>
        </w:tc>
        <w:tc>
          <w:tcPr>
            <w:tcW w:w="591" w:type="pct"/>
          </w:tcPr>
          <w:p w14:paraId="6889F0D6" w14:textId="77777777" w:rsidR="00D63B70" w:rsidRPr="006D52A9" w:rsidRDefault="00D63B70" w:rsidP="00D63B70">
            <w:pPr>
              <w:rPr>
                <w:rFonts w:ascii="Arial" w:hAnsi="Arial" w:cs="Arial"/>
                <w:sz w:val="16"/>
                <w:szCs w:val="16"/>
              </w:rPr>
            </w:pPr>
            <w:r w:rsidRPr="006D52A9">
              <w:rPr>
                <w:rFonts w:ascii="Arial" w:hAnsi="Arial" w:cs="Arial"/>
                <w:sz w:val="16"/>
                <w:szCs w:val="16"/>
              </w:rPr>
              <w:t>CellCept</w:t>
            </w:r>
          </w:p>
        </w:tc>
        <w:tc>
          <w:tcPr>
            <w:tcW w:w="894" w:type="pct"/>
          </w:tcPr>
          <w:p w14:paraId="0EE92E9E" w14:textId="77777777" w:rsidR="00D63B70" w:rsidRPr="006D52A9" w:rsidRDefault="00D63B70" w:rsidP="00D63B70">
            <w:pPr>
              <w:rPr>
                <w:rFonts w:ascii="Arial" w:hAnsi="Arial" w:cs="Arial"/>
                <w:sz w:val="16"/>
                <w:szCs w:val="16"/>
              </w:rPr>
            </w:pPr>
            <w:r w:rsidRPr="006D52A9">
              <w:rPr>
                <w:rFonts w:ascii="Arial" w:hAnsi="Arial" w:cs="Arial"/>
                <w:sz w:val="16"/>
                <w:szCs w:val="16"/>
              </w:rPr>
              <w:t>C5600 C5653 C9689 C9690</w:t>
            </w:r>
          </w:p>
        </w:tc>
        <w:tc>
          <w:tcPr>
            <w:tcW w:w="376" w:type="pct"/>
          </w:tcPr>
          <w:p w14:paraId="22AE13F4" w14:textId="77777777" w:rsidR="00D63B70" w:rsidRPr="006D52A9" w:rsidRDefault="00D63B70" w:rsidP="00D63B70">
            <w:pPr>
              <w:rPr>
                <w:rFonts w:ascii="Arial" w:hAnsi="Arial" w:cs="Arial"/>
                <w:sz w:val="16"/>
                <w:szCs w:val="16"/>
              </w:rPr>
            </w:pPr>
          </w:p>
        </w:tc>
        <w:tc>
          <w:tcPr>
            <w:tcW w:w="499" w:type="pct"/>
          </w:tcPr>
          <w:p w14:paraId="0B404618" w14:textId="77777777" w:rsidR="00D63B70" w:rsidRPr="006D52A9" w:rsidRDefault="00D63B70" w:rsidP="00D63B70">
            <w:pPr>
              <w:rPr>
                <w:rFonts w:ascii="Arial" w:hAnsi="Arial" w:cs="Arial"/>
                <w:sz w:val="16"/>
                <w:szCs w:val="16"/>
              </w:rPr>
            </w:pPr>
            <w:r w:rsidRPr="006D52A9">
              <w:rPr>
                <w:rFonts w:ascii="Arial" w:hAnsi="Arial" w:cs="Arial"/>
                <w:sz w:val="16"/>
                <w:szCs w:val="16"/>
              </w:rPr>
              <w:t>600</w:t>
            </w:r>
          </w:p>
        </w:tc>
        <w:tc>
          <w:tcPr>
            <w:tcW w:w="502" w:type="pct"/>
          </w:tcPr>
          <w:p w14:paraId="3BCDC10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4F92CCB" w14:textId="77777777" w:rsidTr="00A91628">
        <w:tblPrEx>
          <w:tblBorders>
            <w:top w:val="single" w:sz="4" w:space="0" w:color="auto"/>
          </w:tblBorders>
        </w:tblPrEx>
        <w:trPr>
          <w:tblCellSpacing w:w="22" w:type="dxa"/>
        </w:trPr>
        <w:tc>
          <w:tcPr>
            <w:tcW w:w="508" w:type="pct"/>
          </w:tcPr>
          <w:p w14:paraId="45284C2F" w14:textId="77777777" w:rsidR="00D63B70" w:rsidRPr="006D52A9" w:rsidRDefault="00D63B70" w:rsidP="00D63B70">
            <w:pPr>
              <w:rPr>
                <w:rFonts w:ascii="Arial" w:hAnsi="Arial" w:cs="Arial"/>
                <w:sz w:val="16"/>
                <w:szCs w:val="16"/>
              </w:rPr>
            </w:pPr>
          </w:p>
        </w:tc>
        <w:tc>
          <w:tcPr>
            <w:tcW w:w="943" w:type="pct"/>
          </w:tcPr>
          <w:p w14:paraId="35FF7108" w14:textId="77777777" w:rsidR="00D63B70" w:rsidRPr="006D52A9" w:rsidRDefault="00D63B70" w:rsidP="00D63B70">
            <w:pPr>
              <w:rPr>
                <w:rFonts w:ascii="Arial" w:hAnsi="Arial" w:cs="Arial"/>
                <w:sz w:val="16"/>
                <w:szCs w:val="16"/>
              </w:rPr>
            </w:pPr>
          </w:p>
        </w:tc>
        <w:tc>
          <w:tcPr>
            <w:tcW w:w="540" w:type="pct"/>
          </w:tcPr>
          <w:p w14:paraId="239FFE19" w14:textId="77777777" w:rsidR="00D63B70" w:rsidRPr="006D52A9" w:rsidRDefault="00D63B70" w:rsidP="00D63B70">
            <w:pPr>
              <w:rPr>
                <w:rFonts w:ascii="Arial" w:hAnsi="Arial" w:cs="Arial"/>
                <w:sz w:val="16"/>
                <w:szCs w:val="16"/>
              </w:rPr>
            </w:pPr>
          </w:p>
        </w:tc>
        <w:tc>
          <w:tcPr>
            <w:tcW w:w="591" w:type="pct"/>
          </w:tcPr>
          <w:p w14:paraId="4BE3D5C8" w14:textId="77777777" w:rsidR="00D63B70" w:rsidRPr="006D52A9" w:rsidRDefault="00D63B70" w:rsidP="00D63B70">
            <w:pPr>
              <w:rPr>
                <w:rFonts w:ascii="Arial" w:hAnsi="Arial" w:cs="Arial"/>
                <w:sz w:val="16"/>
                <w:szCs w:val="16"/>
              </w:rPr>
            </w:pPr>
            <w:r w:rsidRPr="006D52A9">
              <w:rPr>
                <w:rFonts w:ascii="Arial" w:hAnsi="Arial" w:cs="Arial"/>
                <w:sz w:val="16"/>
                <w:szCs w:val="16"/>
              </w:rPr>
              <w:t>Ceptolate</w:t>
            </w:r>
          </w:p>
        </w:tc>
        <w:tc>
          <w:tcPr>
            <w:tcW w:w="894" w:type="pct"/>
          </w:tcPr>
          <w:p w14:paraId="7E8D252E" w14:textId="77777777" w:rsidR="00D63B70" w:rsidRPr="006D52A9" w:rsidRDefault="00D63B70" w:rsidP="00D63B70">
            <w:pPr>
              <w:rPr>
                <w:rFonts w:ascii="Arial" w:hAnsi="Arial" w:cs="Arial"/>
                <w:sz w:val="16"/>
                <w:szCs w:val="16"/>
              </w:rPr>
            </w:pPr>
            <w:r w:rsidRPr="006D52A9">
              <w:rPr>
                <w:rFonts w:ascii="Arial" w:hAnsi="Arial" w:cs="Arial"/>
                <w:sz w:val="16"/>
                <w:szCs w:val="16"/>
              </w:rPr>
              <w:t>C5600 C5653 C9689 C9690</w:t>
            </w:r>
          </w:p>
        </w:tc>
        <w:tc>
          <w:tcPr>
            <w:tcW w:w="376" w:type="pct"/>
          </w:tcPr>
          <w:p w14:paraId="07D85983" w14:textId="77777777" w:rsidR="00D63B70" w:rsidRPr="006D52A9" w:rsidRDefault="00D63B70" w:rsidP="00D63B70">
            <w:pPr>
              <w:rPr>
                <w:rFonts w:ascii="Arial" w:hAnsi="Arial" w:cs="Arial"/>
                <w:sz w:val="16"/>
                <w:szCs w:val="16"/>
              </w:rPr>
            </w:pPr>
          </w:p>
        </w:tc>
        <w:tc>
          <w:tcPr>
            <w:tcW w:w="499" w:type="pct"/>
          </w:tcPr>
          <w:p w14:paraId="11EEBD8D" w14:textId="77777777" w:rsidR="00D63B70" w:rsidRPr="006D52A9" w:rsidRDefault="00D63B70" w:rsidP="00D63B70">
            <w:pPr>
              <w:rPr>
                <w:rFonts w:ascii="Arial" w:hAnsi="Arial" w:cs="Arial"/>
                <w:sz w:val="16"/>
                <w:szCs w:val="16"/>
              </w:rPr>
            </w:pPr>
            <w:r w:rsidRPr="006D52A9">
              <w:rPr>
                <w:rFonts w:ascii="Arial" w:hAnsi="Arial" w:cs="Arial"/>
                <w:sz w:val="16"/>
                <w:szCs w:val="16"/>
              </w:rPr>
              <w:t>600</w:t>
            </w:r>
          </w:p>
        </w:tc>
        <w:tc>
          <w:tcPr>
            <w:tcW w:w="502" w:type="pct"/>
          </w:tcPr>
          <w:p w14:paraId="0EEA7E3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4E5F174" w14:textId="77777777" w:rsidTr="00A91628">
        <w:tblPrEx>
          <w:tblBorders>
            <w:top w:val="single" w:sz="4" w:space="0" w:color="auto"/>
          </w:tblBorders>
        </w:tblPrEx>
        <w:trPr>
          <w:tblCellSpacing w:w="22" w:type="dxa"/>
        </w:trPr>
        <w:tc>
          <w:tcPr>
            <w:tcW w:w="508" w:type="pct"/>
          </w:tcPr>
          <w:p w14:paraId="76384AA6" w14:textId="77777777" w:rsidR="00D63B70" w:rsidRPr="006D52A9" w:rsidRDefault="00D63B70" w:rsidP="00D63B70">
            <w:pPr>
              <w:rPr>
                <w:rFonts w:ascii="Arial" w:hAnsi="Arial" w:cs="Arial"/>
                <w:sz w:val="16"/>
                <w:szCs w:val="16"/>
              </w:rPr>
            </w:pPr>
          </w:p>
        </w:tc>
        <w:tc>
          <w:tcPr>
            <w:tcW w:w="943" w:type="pct"/>
          </w:tcPr>
          <w:p w14:paraId="6894B983" w14:textId="77777777" w:rsidR="00D63B70" w:rsidRPr="006D52A9" w:rsidRDefault="00D63B70" w:rsidP="00D63B70">
            <w:pPr>
              <w:rPr>
                <w:rFonts w:ascii="Arial" w:hAnsi="Arial" w:cs="Arial"/>
                <w:sz w:val="16"/>
                <w:szCs w:val="16"/>
              </w:rPr>
            </w:pPr>
          </w:p>
        </w:tc>
        <w:tc>
          <w:tcPr>
            <w:tcW w:w="540" w:type="pct"/>
          </w:tcPr>
          <w:p w14:paraId="2C9DD67E" w14:textId="77777777" w:rsidR="00D63B70" w:rsidRPr="006D52A9" w:rsidRDefault="00D63B70" w:rsidP="00D63B70">
            <w:pPr>
              <w:rPr>
                <w:rFonts w:ascii="Arial" w:hAnsi="Arial" w:cs="Arial"/>
                <w:sz w:val="16"/>
                <w:szCs w:val="16"/>
              </w:rPr>
            </w:pPr>
          </w:p>
        </w:tc>
        <w:tc>
          <w:tcPr>
            <w:tcW w:w="591" w:type="pct"/>
          </w:tcPr>
          <w:p w14:paraId="3E3A7BF0" w14:textId="77777777" w:rsidR="00D63B70" w:rsidRPr="006D52A9" w:rsidRDefault="00D63B70" w:rsidP="00D63B70">
            <w:pPr>
              <w:rPr>
                <w:rFonts w:ascii="Arial" w:hAnsi="Arial" w:cs="Arial"/>
                <w:sz w:val="16"/>
                <w:szCs w:val="16"/>
              </w:rPr>
            </w:pPr>
            <w:r w:rsidRPr="006D52A9">
              <w:rPr>
                <w:rFonts w:ascii="Arial" w:hAnsi="Arial" w:cs="Arial"/>
                <w:sz w:val="16"/>
                <w:szCs w:val="16"/>
              </w:rPr>
              <w:t>Mycophenolate Sandoz</w:t>
            </w:r>
          </w:p>
        </w:tc>
        <w:tc>
          <w:tcPr>
            <w:tcW w:w="894" w:type="pct"/>
          </w:tcPr>
          <w:p w14:paraId="64B169B2" w14:textId="77777777" w:rsidR="00D63B70" w:rsidRPr="006D52A9" w:rsidRDefault="00D63B70" w:rsidP="00D63B70">
            <w:pPr>
              <w:rPr>
                <w:rFonts w:ascii="Arial" w:hAnsi="Arial" w:cs="Arial"/>
                <w:sz w:val="16"/>
                <w:szCs w:val="16"/>
              </w:rPr>
            </w:pPr>
            <w:r w:rsidRPr="006D52A9">
              <w:rPr>
                <w:rFonts w:ascii="Arial" w:hAnsi="Arial" w:cs="Arial"/>
                <w:sz w:val="16"/>
                <w:szCs w:val="16"/>
              </w:rPr>
              <w:t>C5600 C5653 C9689 C9690</w:t>
            </w:r>
          </w:p>
        </w:tc>
        <w:tc>
          <w:tcPr>
            <w:tcW w:w="376" w:type="pct"/>
          </w:tcPr>
          <w:p w14:paraId="0530C4C2" w14:textId="77777777" w:rsidR="00D63B70" w:rsidRPr="006D52A9" w:rsidRDefault="00D63B70" w:rsidP="00D63B70">
            <w:pPr>
              <w:rPr>
                <w:rFonts w:ascii="Arial" w:hAnsi="Arial" w:cs="Arial"/>
                <w:sz w:val="16"/>
                <w:szCs w:val="16"/>
              </w:rPr>
            </w:pPr>
          </w:p>
        </w:tc>
        <w:tc>
          <w:tcPr>
            <w:tcW w:w="499" w:type="pct"/>
          </w:tcPr>
          <w:p w14:paraId="3AF8F9F4" w14:textId="77777777" w:rsidR="00D63B70" w:rsidRPr="006D52A9" w:rsidRDefault="00D63B70" w:rsidP="00D63B70">
            <w:pPr>
              <w:rPr>
                <w:rFonts w:ascii="Arial" w:hAnsi="Arial" w:cs="Arial"/>
                <w:sz w:val="16"/>
                <w:szCs w:val="16"/>
              </w:rPr>
            </w:pPr>
            <w:r w:rsidRPr="006D52A9">
              <w:rPr>
                <w:rFonts w:ascii="Arial" w:hAnsi="Arial" w:cs="Arial"/>
                <w:sz w:val="16"/>
                <w:szCs w:val="16"/>
              </w:rPr>
              <w:t>600</w:t>
            </w:r>
          </w:p>
        </w:tc>
        <w:tc>
          <w:tcPr>
            <w:tcW w:w="502" w:type="pct"/>
          </w:tcPr>
          <w:p w14:paraId="7C99D74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C69B56B" w14:textId="77777777" w:rsidTr="00A91628">
        <w:tblPrEx>
          <w:tblBorders>
            <w:top w:val="single" w:sz="4" w:space="0" w:color="auto"/>
          </w:tblBorders>
        </w:tblPrEx>
        <w:trPr>
          <w:cantSplit/>
          <w:tblCellSpacing w:w="22" w:type="dxa"/>
        </w:trPr>
        <w:tc>
          <w:tcPr>
            <w:tcW w:w="508" w:type="pct"/>
          </w:tcPr>
          <w:p w14:paraId="746CBD70" w14:textId="77777777" w:rsidR="00D63B70" w:rsidRPr="006D52A9" w:rsidRDefault="00D63B70" w:rsidP="00D63B70">
            <w:pPr>
              <w:rPr>
                <w:rFonts w:ascii="Arial" w:hAnsi="Arial" w:cs="Arial"/>
                <w:sz w:val="16"/>
                <w:szCs w:val="16"/>
              </w:rPr>
            </w:pPr>
          </w:p>
        </w:tc>
        <w:tc>
          <w:tcPr>
            <w:tcW w:w="943" w:type="pct"/>
          </w:tcPr>
          <w:p w14:paraId="0AAC6AC6" w14:textId="77777777" w:rsidR="00D63B70" w:rsidRPr="006D52A9" w:rsidRDefault="00D63B70" w:rsidP="00D63B70">
            <w:pPr>
              <w:rPr>
                <w:rFonts w:ascii="Arial" w:hAnsi="Arial" w:cs="Arial"/>
                <w:sz w:val="16"/>
                <w:szCs w:val="16"/>
              </w:rPr>
            </w:pPr>
          </w:p>
        </w:tc>
        <w:tc>
          <w:tcPr>
            <w:tcW w:w="540" w:type="pct"/>
          </w:tcPr>
          <w:p w14:paraId="1388F5CA" w14:textId="77777777" w:rsidR="00D63B70" w:rsidRPr="006D52A9" w:rsidRDefault="00D63B70" w:rsidP="00D63B70">
            <w:pPr>
              <w:rPr>
                <w:rFonts w:ascii="Arial" w:hAnsi="Arial" w:cs="Arial"/>
                <w:sz w:val="16"/>
                <w:szCs w:val="16"/>
              </w:rPr>
            </w:pPr>
          </w:p>
        </w:tc>
        <w:tc>
          <w:tcPr>
            <w:tcW w:w="591" w:type="pct"/>
          </w:tcPr>
          <w:p w14:paraId="084A0148" w14:textId="77777777" w:rsidR="00D63B70" w:rsidRPr="006D52A9" w:rsidRDefault="00D63B70" w:rsidP="00D63B70">
            <w:pPr>
              <w:rPr>
                <w:rFonts w:ascii="Arial" w:hAnsi="Arial" w:cs="Arial"/>
                <w:sz w:val="16"/>
                <w:szCs w:val="16"/>
              </w:rPr>
            </w:pPr>
            <w:r w:rsidRPr="006D52A9">
              <w:rPr>
                <w:rFonts w:ascii="Arial" w:hAnsi="Arial" w:cs="Arial"/>
                <w:sz w:val="16"/>
                <w:szCs w:val="16"/>
              </w:rPr>
              <w:t>Pharmacor Mycophenolate 250</w:t>
            </w:r>
          </w:p>
        </w:tc>
        <w:tc>
          <w:tcPr>
            <w:tcW w:w="894" w:type="pct"/>
          </w:tcPr>
          <w:p w14:paraId="1A1FD1CB" w14:textId="77777777" w:rsidR="00D63B70" w:rsidRPr="006D52A9" w:rsidRDefault="00D63B70" w:rsidP="00D63B70">
            <w:pPr>
              <w:rPr>
                <w:rFonts w:ascii="Arial" w:hAnsi="Arial" w:cs="Arial"/>
                <w:sz w:val="16"/>
                <w:szCs w:val="16"/>
              </w:rPr>
            </w:pPr>
            <w:r w:rsidRPr="006D52A9">
              <w:rPr>
                <w:rFonts w:ascii="Arial" w:hAnsi="Arial" w:cs="Arial"/>
                <w:sz w:val="16"/>
                <w:szCs w:val="16"/>
              </w:rPr>
              <w:t>C5600 C5653 C9689 C9690</w:t>
            </w:r>
          </w:p>
        </w:tc>
        <w:tc>
          <w:tcPr>
            <w:tcW w:w="376" w:type="pct"/>
          </w:tcPr>
          <w:p w14:paraId="51C019C8" w14:textId="77777777" w:rsidR="00D63B70" w:rsidRPr="006D52A9" w:rsidRDefault="00D63B70" w:rsidP="00D63B70">
            <w:pPr>
              <w:rPr>
                <w:rFonts w:ascii="Arial" w:hAnsi="Arial" w:cs="Arial"/>
                <w:sz w:val="16"/>
                <w:szCs w:val="16"/>
              </w:rPr>
            </w:pPr>
          </w:p>
        </w:tc>
        <w:tc>
          <w:tcPr>
            <w:tcW w:w="499" w:type="pct"/>
          </w:tcPr>
          <w:p w14:paraId="51AA00F8" w14:textId="77777777" w:rsidR="00D63B70" w:rsidRPr="006D52A9" w:rsidRDefault="00D63B70" w:rsidP="00D63B70">
            <w:pPr>
              <w:rPr>
                <w:rFonts w:ascii="Arial" w:hAnsi="Arial" w:cs="Arial"/>
                <w:sz w:val="16"/>
                <w:szCs w:val="16"/>
              </w:rPr>
            </w:pPr>
            <w:r w:rsidRPr="006D52A9">
              <w:rPr>
                <w:rFonts w:ascii="Arial" w:hAnsi="Arial" w:cs="Arial"/>
                <w:sz w:val="16"/>
                <w:szCs w:val="16"/>
              </w:rPr>
              <w:t>600</w:t>
            </w:r>
          </w:p>
        </w:tc>
        <w:tc>
          <w:tcPr>
            <w:tcW w:w="502" w:type="pct"/>
          </w:tcPr>
          <w:p w14:paraId="01F418D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46D46E2C" w14:textId="77777777" w:rsidTr="00A91628">
        <w:tblPrEx>
          <w:tblBorders>
            <w:top w:val="single" w:sz="4" w:space="0" w:color="auto"/>
          </w:tblBorders>
        </w:tblPrEx>
        <w:trPr>
          <w:cantSplit/>
          <w:tblCellSpacing w:w="22" w:type="dxa"/>
        </w:trPr>
        <w:tc>
          <w:tcPr>
            <w:tcW w:w="508" w:type="pct"/>
          </w:tcPr>
          <w:p w14:paraId="4E617E06" w14:textId="77777777" w:rsidR="00D63B70" w:rsidRPr="006D52A9" w:rsidDel="00404472" w:rsidRDefault="00D63B70" w:rsidP="00D63B70">
            <w:pPr>
              <w:rPr>
                <w:rFonts w:ascii="Arial" w:hAnsi="Arial" w:cs="Arial"/>
                <w:sz w:val="16"/>
                <w:szCs w:val="16"/>
              </w:rPr>
            </w:pPr>
          </w:p>
        </w:tc>
        <w:tc>
          <w:tcPr>
            <w:tcW w:w="943" w:type="pct"/>
          </w:tcPr>
          <w:p w14:paraId="0D2C86D6"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Tablet containing mycophenolate mofetil 500 mg</w:t>
            </w:r>
          </w:p>
        </w:tc>
        <w:tc>
          <w:tcPr>
            <w:tcW w:w="540" w:type="pct"/>
          </w:tcPr>
          <w:p w14:paraId="003D820F"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2B32369"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Mycophenolate</w:t>
            </w:r>
          </w:p>
        </w:tc>
        <w:tc>
          <w:tcPr>
            <w:tcW w:w="894" w:type="pct"/>
          </w:tcPr>
          <w:p w14:paraId="3D624232"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7D925239" w14:textId="77777777" w:rsidR="00D63B70" w:rsidRPr="006D52A9" w:rsidDel="00404472" w:rsidRDefault="00D63B70" w:rsidP="00D63B70">
            <w:pPr>
              <w:rPr>
                <w:rFonts w:ascii="Arial" w:hAnsi="Arial" w:cs="Arial"/>
                <w:sz w:val="16"/>
                <w:szCs w:val="16"/>
              </w:rPr>
            </w:pPr>
          </w:p>
        </w:tc>
        <w:tc>
          <w:tcPr>
            <w:tcW w:w="499" w:type="pct"/>
          </w:tcPr>
          <w:p w14:paraId="716961A5"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72D3EA67"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0E435F65" w14:textId="77777777" w:rsidTr="00A91628">
        <w:tblPrEx>
          <w:tblBorders>
            <w:top w:val="single" w:sz="4" w:space="0" w:color="auto"/>
          </w:tblBorders>
        </w:tblPrEx>
        <w:trPr>
          <w:cantSplit/>
          <w:tblCellSpacing w:w="22" w:type="dxa"/>
        </w:trPr>
        <w:tc>
          <w:tcPr>
            <w:tcW w:w="508" w:type="pct"/>
          </w:tcPr>
          <w:p w14:paraId="5E937875" w14:textId="77777777" w:rsidR="00D63B70" w:rsidRPr="006D52A9" w:rsidDel="00404472" w:rsidRDefault="00D63B70" w:rsidP="00D63B70">
            <w:pPr>
              <w:rPr>
                <w:rFonts w:ascii="Arial" w:hAnsi="Arial" w:cs="Arial"/>
                <w:sz w:val="16"/>
                <w:szCs w:val="16"/>
              </w:rPr>
            </w:pPr>
          </w:p>
        </w:tc>
        <w:tc>
          <w:tcPr>
            <w:tcW w:w="943" w:type="pct"/>
          </w:tcPr>
          <w:p w14:paraId="5A80FE9D" w14:textId="77777777" w:rsidR="00D63B70" w:rsidRPr="006D52A9" w:rsidDel="00404472" w:rsidRDefault="00D63B70" w:rsidP="00D63B70">
            <w:pPr>
              <w:rPr>
                <w:rFonts w:ascii="Arial" w:hAnsi="Arial" w:cs="Arial"/>
                <w:sz w:val="16"/>
                <w:szCs w:val="16"/>
              </w:rPr>
            </w:pPr>
          </w:p>
        </w:tc>
        <w:tc>
          <w:tcPr>
            <w:tcW w:w="540" w:type="pct"/>
          </w:tcPr>
          <w:p w14:paraId="21B4AC45" w14:textId="77777777" w:rsidR="00D63B70" w:rsidRPr="006D52A9" w:rsidDel="00404472" w:rsidRDefault="00D63B70" w:rsidP="00D63B70">
            <w:pPr>
              <w:rPr>
                <w:rFonts w:ascii="Arial" w:hAnsi="Arial" w:cs="Arial"/>
                <w:sz w:val="16"/>
                <w:szCs w:val="16"/>
              </w:rPr>
            </w:pPr>
          </w:p>
        </w:tc>
        <w:tc>
          <w:tcPr>
            <w:tcW w:w="591" w:type="pct"/>
          </w:tcPr>
          <w:p w14:paraId="2B41A7BD"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CellCept</w:t>
            </w:r>
          </w:p>
        </w:tc>
        <w:tc>
          <w:tcPr>
            <w:tcW w:w="894" w:type="pct"/>
          </w:tcPr>
          <w:p w14:paraId="10CCBAE1"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192A0C94" w14:textId="77777777" w:rsidR="00D63B70" w:rsidRPr="006D52A9" w:rsidDel="00404472" w:rsidRDefault="00D63B70" w:rsidP="00D63B70">
            <w:pPr>
              <w:rPr>
                <w:rFonts w:ascii="Arial" w:hAnsi="Arial" w:cs="Arial"/>
                <w:sz w:val="16"/>
                <w:szCs w:val="16"/>
              </w:rPr>
            </w:pPr>
          </w:p>
        </w:tc>
        <w:tc>
          <w:tcPr>
            <w:tcW w:w="499" w:type="pct"/>
          </w:tcPr>
          <w:p w14:paraId="7D313E23"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6529C3A4"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0B65DA5F" w14:textId="77777777" w:rsidTr="00A91628">
        <w:tblPrEx>
          <w:tblBorders>
            <w:top w:val="single" w:sz="4" w:space="0" w:color="auto"/>
          </w:tblBorders>
        </w:tblPrEx>
        <w:trPr>
          <w:cantSplit/>
          <w:tblCellSpacing w:w="22" w:type="dxa"/>
        </w:trPr>
        <w:tc>
          <w:tcPr>
            <w:tcW w:w="508" w:type="pct"/>
          </w:tcPr>
          <w:p w14:paraId="49AF5FFC" w14:textId="77777777" w:rsidR="00D63B70" w:rsidRPr="006D52A9" w:rsidDel="00404472" w:rsidRDefault="00D63B70" w:rsidP="00D63B70">
            <w:pPr>
              <w:rPr>
                <w:rFonts w:ascii="Arial" w:hAnsi="Arial" w:cs="Arial"/>
                <w:sz w:val="16"/>
                <w:szCs w:val="16"/>
              </w:rPr>
            </w:pPr>
          </w:p>
        </w:tc>
        <w:tc>
          <w:tcPr>
            <w:tcW w:w="943" w:type="pct"/>
          </w:tcPr>
          <w:p w14:paraId="68022C86" w14:textId="77777777" w:rsidR="00D63B70" w:rsidRPr="006D52A9" w:rsidDel="00404472" w:rsidRDefault="00D63B70" w:rsidP="00D63B70">
            <w:pPr>
              <w:rPr>
                <w:rFonts w:ascii="Arial" w:hAnsi="Arial" w:cs="Arial"/>
                <w:sz w:val="16"/>
                <w:szCs w:val="16"/>
              </w:rPr>
            </w:pPr>
          </w:p>
        </w:tc>
        <w:tc>
          <w:tcPr>
            <w:tcW w:w="540" w:type="pct"/>
          </w:tcPr>
          <w:p w14:paraId="3672F2B0" w14:textId="77777777" w:rsidR="00D63B70" w:rsidRPr="006D52A9" w:rsidDel="00404472" w:rsidRDefault="00D63B70" w:rsidP="00D63B70">
            <w:pPr>
              <w:rPr>
                <w:rFonts w:ascii="Arial" w:hAnsi="Arial" w:cs="Arial"/>
                <w:sz w:val="16"/>
                <w:szCs w:val="16"/>
              </w:rPr>
            </w:pPr>
          </w:p>
        </w:tc>
        <w:tc>
          <w:tcPr>
            <w:tcW w:w="591" w:type="pct"/>
          </w:tcPr>
          <w:p w14:paraId="72D513E4"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Ceptolate</w:t>
            </w:r>
          </w:p>
        </w:tc>
        <w:tc>
          <w:tcPr>
            <w:tcW w:w="894" w:type="pct"/>
          </w:tcPr>
          <w:p w14:paraId="7368F661"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1CC0DE74" w14:textId="77777777" w:rsidR="00D63B70" w:rsidRPr="006D52A9" w:rsidDel="00404472" w:rsidRDefault="00D63B70" w:rsidP="00D63B70">
            <w:pPr>
              <w:rPr>
                <w:rFonts w:ascii="Arial" w:hAnsi="Arial" w:cs="Arial"/>
                <w:sz w:val="16"/>
                <w:szCs w:val="16"/>
              </w:rPr>
            </w:pPr>
          </w:p>
        </w:tc>
        <w:tc>
          <w:tcPr>
            <w:tcW w:w="499" w:type="pct"/>
          </w:tcPr>
          <w:p w14:paraId="2E22BB51"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0578EE97"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071885EC" w14:textId="77777777" w:rsidTr="00A91628">
        <w:tblPrEx>
          <w:tblBorders>
            <w:top w:val="single" w:sz="4" w:space="0" w:color="auto"/>
          </w:tblBorders>
        </w:tblPrEx>
        <w:trPr>
          <w:cantSplit/>
          <w:tblCellSpacing w:w="22" w:type="dxa"/>
        </w:trPr>
        <w:tc>
          <w:tcPr>
            <w:tcW w:w="508" w:type="pct"/>
          </w:tcPr>
          <w:p w14:paraId="5D7714E0" w14:textId="77777777" w:rsidR="00D63B70" w:rsidRPr="006D52A9" w:rsidDel="00404472" w:rsidRDefault="00D63B70" w:rsidP="00D63B70">
            <w:pPr>
              <w:rPr>
                <w:rFonts w:ascii="Arial" w:hAnsi="Arial" w:cs="Arial"/>
                <w:sz w:val="16"/>
                <w:szCs w:val="16"/>
              </w:rPr>
            </w:pPr>
          </w:p>
        </w:tc>
        <w:tc>
          <w:tcPr>
            <w:tcW w:w="943" w:type="pct"/>
          </w:tcPr>
          <w:p w14:paraId="3C68AF37" w14:textId="77777777" w:rsidR="00D63B70" w:rsidRPr="006D52A9" w:rsidDel="00404472" w:rsidRDefault="00D63B70" w:rsidP="00D63B70">
            <w:pPr>
              <w:rPr>
                <w:rFonts w:ascii="Arial" w:hAnsi="Arial" w:cs="Arial"/>
                <w:sz w:val="16"/>
                <w:szCs w:val="16"/>
              </w:rPr>
            </w:pPr>
          </w:p>
        </w:tc>
        <w:tc>
          <w:tcPr>
            <w:tcW w:w="540" w:type="pct"/>
          </w:tcPr>
          <w:p w14:paraId="1716A2A8" w14:textId="77777777" w:rsidR="00D63B70" w:rsidRPr="006D52A9" w:rsidDel="00404472" w:rsidRDefault="00D63B70" w:rsidP="00D63B70">
            <w:pPr>
              <w:rPr>
                <w:rFonts w:ascii="Arial" w:hAnsi="Arial" w:cs="Arial"/>
                <w:sz w:val="16"/>
                <w:szCs w:val="16"/>
              </w:rPr>
            </w:pPr>
          </w:p>
        </w:tc>
        <w:tc>
          <w:tcPr>
            <w:tcW w:w="591" w:type="pct"/>
          </w:tcPr>
          <w:p w14:paraId="5A6ABA0E"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MycoCept </w:t>
            </w:r>
          </w:p>
        </w:tc>
        <w:tc>
          <w:tcPr>
            <w:tcW w:w="894" w:type="pct"/>
          </w:tcPr>
          <w:p w14:paraId="4B709FAD"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3AAA7B9A" w14:textId="77777777" w:rsidR="00D63B70" w:rsidRPr="006D52A9" w:rsidDel="00404472" w:rsidRDefault="00D63B70" w:rsidP="00D63B70">
            <w:pPr>
              <w:rPr>
                <w:rFonts w:ascii="Arial" w:hAnsi="Arial" w:cs="Arial"/>
                <w:sz w:val="16"/>
                <w:szCs w:val="16"/>
              </w:rPr>
            </w:pPr>
          </w:p>
        </w:tc>
        <w:tc>
          <w:tcPr>
            <w:tcW w:w="499" w:type="pct"/>
          </w:tcPr>
          <w:p w14:paraId="39548EEC" w14:textId="77777777" w:rsidR="00D63B70" w:rsidRPr="006D52A9" w:rsidRDefault="00D63B70" w:rsidP="00D63B70">
            <w:pPr>
              <w:rPr>
                <w:rFonts w:ascii="Arial" w:hAnsi="Arial" w:cs="Arial"/>
                <w:sz w:val="16"/>
                <w:szCs w:val="16"/>
              </w:rPr>
            </w:pPr>
            <w:r w:rsidRPr="006D52A9">
              <w:rPr>
                <w:rFonts w:ascii="Arial" w:eastAsia="Arial" w:hAnsi="Arial" w:cs="Arial"/>
                <w:sz w:val="16"/>
                <w:szCs w:val="22"/>
                <w:lang w:eastAsia="zh-CN"/>
              </w:rPr>
              <w:t>300</w:t>
            </w:r>
          </w:p>
        </w:tc>
        <w:tc>
          <w:tcPr>
            <w:tcW w:w="502" w:type="pct"/>
          </w:tcPr>
          <w:p w14:paraId="7BFBD49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45E90FDB" w14:textId="77777777" w:rsidTr="00A91628">
        <w:tblPrEx>
          <w:tblBorders>
            <w:top w:val="single" w:sz="4" w:space="0" w:color="auto"/>
          </w:tblBorders>
        </w:tblPrEx>
        <w:trPr>
          <w:cantSplit/>
          <w:tblCellSpacing w:w="22" w:type="dxa"/>
        </w:trPr>
        <w:tc>
          <w:tcPr>
            <w:tcW w:w="508" w:type="pct"/>
          </w:tcPr>
          <w:p w14:paraId="52D65E03" w14:textId="77777777" w:rsidR="00D63B70" w:rsidRPr="006D52A9" w:rsidDel="00404472" w:rsidRDefault="00D63B70" w:rsidP="00D63B70">
            <w:pPr>
              <w:rPr>
                <w:rFonts w:ascii="Arial" w:hAnsi="Arial" w:cs="Arial"/>
                <w:sz w:val="16"/>
                <w:szCs w:val="16"/>
              </w:rPr>
            </w:pPr>
          </w:p>
        </w:tc>
        <w:tc>
          <w:tcPr>
            <w:tcW w:w="943" w:type="pct"/>
          </w:tcPr>
          <w:p w14:paraId="04E18A89" w14:textId="77777777" w:rsidR="00D63B70" w:rsidRPr="006D52A9" w:rsidDel="00404472" w:rsidRDefault="00D63B70" w:rsidP="00D63B70">
            <w:pPr>
              <w:rPr>
                <w:rFonts w:ascii="Arial" w:hAnsi="Arial" w:cs="Arial"/>
                <w:sz w:val="16"/>
                <w:szCs w:val="16"/>
              </w:rPr>
            </w:pPr>
          </w:p>
        </w:tc>
        <w:tc>
          <w:tcPr>
            <w:tcW w:w="540" w:type="pct"/>
          </w:tcPr>
          <w:p w14:paraId="5B8C5D65" w14:textId="77777777" w:rsidR="00D63B70" w:rsidRPr="006D52A9" w:rsidDel="00404472" w:rsidRDefault="00D63B70" w:rsidP="00D63B70">
            <w:pPr>
              <w:rPr>
                <w:rFonts w:ascii="Arial" w:hAnsi="Arial" w:cs="Arial"/>
                <w:sz w:val="16"/>
                <w:szCs w:val="16"/>
              </w:rPr>
            </w:pPr>
          </w:p>
        </w:tc>
        <w:tc>
          <w:tcPr>
            <w:tcW w:w="591" w:type="pct"/>
          </w:tcPr>
          <w:p w14:paraId="32E7CB4D"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Mycophenolate AN</w:t>
            </w:r>
          </w:p>
        </w:tc>
        <w:tc>
          <w:tcPr>
            <w:tcW w:w="894" w:type="pct"/>
          </w:tcPr>
          <w:p w14:paraId="016F1A20"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1E49E63D" w14:textId="77777777" w:rsidR="00D63B70" w:rsidRPr="006D52A9" w:rsidDel="00404472" w:rsidRDefault="00D63B70" w:rsidP="00D63B70">
            <w:pPr>
              <w:rPr>
                <w:rFonts w:ascii="Arial" w:hAnsi="Arial" w:cs="Arial"/>
                <w:sz w:val="16"/>
                <w:szCs w:val="16"/>
              </w:rPr>
            </w:pPr>
          </w:p>
        </w:tc>
        <w:tc>
          <w:tcPr>
            <w:tcW w:w="499" w:type="pct"/>
          </w:tcPr>
          <w:p w14:paraId="141276E0"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23671DA5"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52BEB299" w14:textId="77777777" w:rsidTr="00A91628">
        <w:tblPrEx>
          <w:tblBorders>
            <w:top w:val="single" w:sz="4" w:space="0" w:color="auto"/>
          </w:tblBorders>
        </w:tblPrEx>
        <w:trPr>
          <w:cantSplit/>
          <w:tblCellSpacing w:w="22" w:type="dxa"/>
        </w:trPr>
        <w:tc>
          <w:tcPr>
            <w:tcW w:w="508" w:type="pct"/>
          </w:tcPr>
          <w:p w14:paraId="19121CA4" w14:textId="77777777" w:rsidR="00D63B70" w:rsidRPr="006D52A9" w:rsidDel="00404472" w:rsidRDefault="00D63B70" w:rsidP="00D63B70">
            <w:pPr>
              <w:rPr>
                <w:rFonts w:ascii="Arial" w:hAnsi="Arial" w:cs="Arial"/>
                <w:sz w:val="16"/>
                <w:szCs w:val="16"/>
              </w:rPr>
            </w:pPr>
          </w:p>
        </w:tc>
        <w:tc>
          <w:tcPr>
            <w:tcW w:w="943" w:type="pct"/>
          </w:tcPr>
          <w:p w14:paraId="66E173BA" w14:textId="77777777" w:rsidR="00D63B70" w:rsidRPr="006D52A9" w:rsidDel="00404472" w:rsidRDefault="00D63B70" w:rsidP="00D63B70">
            <w:pPr>
              <w:rPr>
                <w:rFonts w:ascii="Arial" w:hAnsi="Arial" w:cs="Arial"/>
                <w:sz w:val="16"/>
                <w:szCs w:val="16"/>
              </w:rPr>
            </w:pPr>
          </w:p>
        </w:tc>
        <w:tc>
          <w:tcPr>
            <w:tcW w:w="540" w:type="pct"/>
          </w:tcPr>
          <w:p w14:paraId="72219097" w14:textId="77777777" w:rsidR="00D63B70" w:rsidRPr="006D52A9" w:rsidDel="00404472" w:rsidRDefault="00D63B70" w:rsidP="00D63B70">
            <w:pPr>
              <w:rPr>
                <w:rFonts w:ascii="Arial" w:hAnsi="Arial" w:cs="Arial"/>
                <w:sz w:val="16"/>
                <w:szCs w:val="16"/>
              </w:rPr>
            </w:pPr>
          </w:p>
        </w:tc>
        <w:tc>
          <w:tcPr>
            <w:tcW w:w="591" w:type="pct"/>
          </w:tcPr>
          <w:p w14:paraId="0CB4F1E3" w14:textId="77777777" w:rsidR="00D63B70" w:rsidRPr="006D52A9" w:rsidRDefault="00D63B70" w:rsidP="00D63B70">
            <w:pPr>
              <w:rPr>
                <w:rFonts w:ascii="Arial" w:hAnsi="Arial" w:cs="Arial"/>
                <w:sz w:val="16"/>
                <w:szCs w:val="16"/>
              </w:rPr>
            </w:pPr>
            <w:r w:rsidRPr="006D52A9">
              <w:rPr>
                <w:rFonts w:ascii="Arial" w:hAnsi="Arial" w:cs="Arial"/>
                <w:sz w:val="16"/>
                <w:szCs w:val="16"/>
              </w:rPr>
              <w:t>Mycophenolate APOTEX</w:t>
            </w:r>
          </w:p>
        </w:tc>
        <w:tc>
          <w:tcPr>
            <w:tcW w:w="894" w:type="pct"/>
          </w:tcPr>
          <w:p w14:paraId="14B03CDA"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481B3131" w14:textId="77777777" w:rsidR="00D63B70" w:rsidRPr="006D52A9" w:rsidDel="00404472" w:rsidRDefault="00D63B70" w:rsidP="00D63B70">
            <w:pPr>
              <w:rPr>
                <w:rFonts w:ascii="Arial" w:hAnsi="Arial" w:cs="Arial"/>
                <w:sz w:val="16"/>
                <w:szCs w:val="16"/>
              </w:rPr>
            </w:pPr>
          </w:p>
        </w:tc>
        <w:tc>
          <w:tcPr>
            <w:tcW w:w="499" w:type="pct"/>
          </w:tcPr>
          <w:p w14:paraId="563AEEE7" w14:textId="77777777" w:rsidR="00D63B70" w:rsidRPr="006D52A9"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2DEC066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5A591895" w14:textId="77777777" w:rsidTr="00A91628">
        <w:tblPrEx>
          <w:tblBorders>
            <w:top w:val="single" w:sz="4" w:space="0" w:color="auto"/>
          </w:tblBorders>
        </w:tblPrEx>
        <w:trPr>
          <w:cantSplit/>
          <w:tblCellSpacing w:w="22" w:type="dxa"/>
        </w:trPr>
        <w:tc>
          <w:tcPr>
            <w:tcW w:w="508" w:type="pct"/>
          </w:tcPr>
          <w:p w14:paraId="78D68A38" w14:textId="77777777" w:rsidR="00D63B70" w:rsidRPr="006D52A9" w:rsidDel="00404472" w:rsidRDefault="00D63B70" w:rsidP="00D63B70">
            <w:pPr>
              <w:rPr>
                <w:rFonts w:ascii="Arial" w:hAnsi="Arial" w:cs="Arial"/>
                <w:sz w:val="16"/>
                <w:szCs w:val="16"/>
              </w:rPr>
            </w:pPr>
          </w:p>
        </w:tc>
        <w:tc>
          <w:tcPr>
            <w:tcW w:w="943" w:type="pct"/>
          </w:tcPr>
          <w:p w14:paraId="59818319" w14:textId="77777777" w:rsidR="00D63B70" w:rsidRPr="006D52A9" w:rsidDel="00404472" w:rsidRDefault="00D63B70" w:rsidP="00D63B70">
            <w:pPr>
              <w:rPr>
                <w:rFonts w:ascii="Arial" w:hAnsi="Arial" w:cs="Arial"/>
                <w:sz w:val="16"/>
                <w:szCs w:val="16"/>
              </w:rPr>
            </w:pPr>
          </w:p>
        </w:tc>
        <w:tc>
          <w:tcPr>
            <w:tcW w:w="540" w:type="pct"/>
          </w:tcPr>
          <w:p w14:paraId="588F408E" w14:textId="77777777" w:rsidR="00D63B70" w:rsidRPr="006D52A9" w:rsidDel="00404472" w:rsidRDefault="00D63B70" w:rsidP="00D63B70">
            <w:pPr>
              <w:rPr>
                <w:rFonts w:ascii="Arial" w:hAnsi="Arial" w:cs="Arial"/>
                <w:sz w:val="16"/>
                <w:szCs w:val="16"/>
              </w:rPr>
            </w:pPr>
          </w:p>
        </w:tc>
        <w:tc>
          <w:tcPr>
            <w:tcW w:w="591" w:type="pct"/>
          </w:tcPr>
          <w:p w14:paraId="0AAC65B3" w14:textId="77777777" w:rsidR="00D63B70" w:rsidRPr="006D52A9" w:rsidRDefault="00D63B70" w:rsidP="00D63B70">
            <w:pPr>
              <w:rPr>
                <w:rFonts w:ascii="Arial" w:hAnsi="Arial" w:cs="Arial"/>
                <w:sz w:val="16"/>
                <w:szCs w:val="16"/>
              </w:rPr>
            </w:pPr>
            <w:r w:rsidRPr="006D52A9">
              <w:rPr>
                <w:rFonts w:ascii="Arial" w:hAnsi="Arial" w:cs="Arial"/>
                <w:sz w:val="16"/>
                <w:szCs w:val="16"/>
              </w:rPr>
              <w:t>Mycophenolate GH</w:t>
            </w:r>
          </w:p>
        </w:tc>
        <w:tc>
          <w:tcPr>
            <w:tcW w:w="894" w:type="pct"/>
          </w:tcPr>
          <w:p w14:paraId="12C63CE7" w14:textId="77777777" w:rsidR="00D63B70" w:rsidRPr="006D52A9"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5A1B1839" w14:textId="77777777" w:rsidR="00D63B70" w:rsidRPr="006D52A9" w:rsidDel="00404472" w:rsidRDefault="00D63B70" w:rsidP="00D63B70">
            <w:pPr>
              <w:rPr>
                <w:rFonts w:ascii="Arial" w:hAnsi="Arial" w:cs="Arial"/>
                <w:sz w:val="16"/>
                <w:szCs w:val="16"/>
              </w:rPr>
            </w:pPr>
          </w:p>
        </w:tc>
        <w:tc>
          <w:tcPr>
            <w:tcW w:w="499" w:type="pct"/>
          </w:tcPr>
          <w:p w14:paraId="5C7D2649" w14:textId="77777777" w:rsidR="00D63B70" w:rsidRPr="006D52A9"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4832A7B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1EC162D5" w14:textId="77777777" w:rsidTr="00A91628">
        <w:tblPrEx>
          <w:tblBorders>
            <w:top w:val="single" w:sz="4" w:space="0" w:color="auto"/>
          </w:tblBorders>
        </w:tblPrEx>
        <w:trPr>
          <w:cantSplit/>
          <w:tblCellSpacing w:w="22" w:type="dxa"/>
        </w:trPr>
        <w:tc>
          <w:tcPr>
            <w:tcW w:w="508" w:type="pct"/>
          </w:tcPr>
          <w:p w14:paraId="2710E4B2" w14:textId="77777777" w:rsidR="00D63B70" w:rsidRPr="006D52A9" w:rsidDel="00404472" w:rsidRDefault="00D63B70" w:rsidP="00D63B70">
            <w:pPr>
              <w:rPr>
                <w:rFonts w:ascii="Arial" w:hAnsi="Arial" w:cs="Arial"/>
                <w:sz w:val="16"/>
                <w:szCs w:val="16"/>
              </w:rPr>
            </w:pPr>
          </w:p>
        </w:tc>
        <w:tc>
          <w:tcPr>
            <w:tcW w:w="943" w:type="pct"/>
          </w:tcPr>
          <w:p w14:paraId="4E224EF7" w14:textId="77777777" w:rsidR="00D63B70" w:rsidRPr="006D52A9" w:rsidDel="00404472" w:rsidRDefault="00D63B70" w:rsidP="00D63B70">
            <w:pPr>
              <w:rPr>
                <w:rFonts w:ascii="Arial" w:hAnsi="Arial" w:cs="Arial"/>
                <w:sz w:val="16"/>
                <w:szCs w:val="16"/>
              </w:rPr>
            </w:pPr>
          </w:p>
        </w:tc>
        <w:tc>
          <w:tcPr>
            <w:tcW w:w="540" w:type="pct"/>
          </w:tcPr>
          <w:p w14:paraId="153C2C74" w14:textId="77777777" w:rsidR="00D63B70" w:rsidRPr="006D52A9" w:rsidDel="00404472" w:rsidRDefault="00D63B70" w:rsidP="00D63B70">
            <w:pPr>
              <w:rPr>
                <w:rFonts w:ascii="Arial" w:hAnsi="Arial" w:cs="Arial"/>
                <w:sz w:val="16"/>
                <w:szCs w:val="16"/>
              </w:rPr>
            </w:pPr>
          </w:p>
        </w:tc>
        <w:tc>
          <w:tcPr>
            <w:tcW w:w="591" w:type="pct"/>
          </w:tcPr>
          <w:p w14:paraId="408225FF"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Mycophenolate Sandoz</w:t>
            </w:r>
          </w:p>
        </w:tc>
        <w:tc>
          <w:tcPr>
            <w:tcW w:w="894" w:type="pct"/>
          </w:tcPr>
          <w:p w14:paraId="5BF888E4"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68A88A30" w14:textId="77777777" w:rsidR="00D63B70" w:rsidRPr="006D52A9" w:rsidDel="00404472" w:rsidRDefault="00D63B70" w:rsidP="00D63B70">
            <w:pPr>
              <w:rPr>
                <w:rFonts w:ascii="Arial" w:hAnsi="Arial" w:cs="Arial"/>
                <w:sz w:val="16"/>
                <w:szCs w:val="16"/>
              </w:rPr>
            </w:pPr>
          </w:p>
        </w:tc>
        <w:tc>
          <w:tcPr>
            <w:tcW w:w="499" w:type="pct"/>
          </w:tcPr>
          <w:p w14:paraId="24CA3AD7"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7D40170E"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404472" w14:paraId="44243DF1" w14:textId="77777777" w:rsidTr="00A91628">
        <w:tblPrEx>
          <w:tblBorders>
            <w:top w:val="single" w:sz="4" w:space="0" w:color="auto"/>
          </w:tblBorders>
        </w:tblPrEx>
        <w:trPr>
          <w:cantSplit/>
          <w:tblCellSpacing w:w="22" w:type="dxa"/>
        </w:trPr>
        <w:tc>
          <w:tcPr>
            <w:tcW w:w="508" w:type="pct"/>
          </w:tcPr>
          <w:p w14:paraId="7BF94AD6" w14:textId="77777777" w:rsidR="00D63B70" w:rsidRPr="006D52A9" w:rsidDel="00404472" w:rsidRDefault="00D63B70" w:rsidP="00D63B70">
            <w:pPr>
              <w:rPr>
                <w:rFonts w:ascii="Arial" w:hAnsi="Arial" w:cs="Arial"/>
                <w:sz w:val="16"/>
                <w:szCs w:val="16"/>
              </w:rPr>
            </w:pPr>
          </w:p>
        </w:tc>
        <w:tc>
          <w:tcPr>
            <w:tcW w:w="943" w:type="pct"/>
          </w:tcPr>
          <w:p w14:paraId="25B8DC32" w14:textId="77777777" w:rsidR="00D63B70" w:rsidRPr="006D52A9" w:rsidDel="00404472" w:rsidRDefault="00D63B70" w:rsidP="00D63B70">
            <w:pPr>
              <w:rPr>
                <w:rFonts w:ascii="Arial" w:hAnsi="Arial" w:cs="Arial"/>
                <w:sz w:val="16"/>
                <w:szCs w:val="16"/>
              </w:rPr>
            </w:pPr>
          </w:p>
        </w:tc>
        <w:tc>
          <w:tcPr>
            <w:tcW w:w="540" w:type="pct"/>
          </w:tcPr>
          <w:p w14:paraId="3FE425BB" w14:textId="77777777" w:rsidR="00D63B70" w:rsidRPr="006D52A9" w:rsidDel="00404472" w:rsidRDefault="00D63B70" w:rsidP="00D63B70">
            <w:pPr>
              <w:rPr>
                <w:rFonts w:ascii="Arial" w:hAnsi="Arial" w:cs="Arial"/>
                <w:sz w:val="16"/>
                <w:szCs w:val="16"/>
              </w:rPr>
            </w:pPr>
          </w:p>
        </w:tc>
        <w:tc>
          <w:tcPr>
            <w:tcW w:w="591" w:type="pct"/>
          </w:tcPr>
          <w:p w14:paraId="2E886049"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Pharmacor Mycophenolate 500</w:t>
            </w:r>
          </w:p>
        </w:tc>
        <w:tc>
          <w:tcPr>
            <w:tcW w:w="894" w:type="pct"/>
          </w:tcPr>
          <w:p w14:paraId="40E292D5"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4F27C5B4" w14:textId="77777777" w:rsidR="00D63B70" w:rsidRPr="006D52A9" w:rsidDel="00404472" w:rsidRDefault="00D63B70" w:rsidP="00D63B70">
            <w:pPr>
              <w:rPr>
                <w:rFonts w:ascii="Arial" w:hAnsi="Arial" w:cs="Arial"/>
                <w:sz w:val="16"/>
                <w:szCs w:val="16"/>
              </w:rPr>
            </w:pPr>
          </w:p>
        </w:tc>
        <w:tc>
          <w:tcPr>
            <w:tcW w:w="499" w:type="pct"/>
          </w:tcPr>
          <w:p w14:paraId="43D85971"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300</w:t>
            </w:r>
          </w:p>
        </w:tc>
        <w:tc>
          <w:tcPr>
            <w:tcW w:w="502" w:type="pct"/>
          </w:tcPr>
          <w:p w14:paraId="5DEC0FBA" w14:textId="77777777" w:rsidR="00D63B70" w:rsidRPr="006D52A9" w:rsidDel="00404472"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73F6AC3" w14:textId="77777777" w:rsidTr="00A91628">
        <w:tblPrEx>
          <w:tblBorders>
            <w:top w:val="single" w:sz="4" w:space="0" w:color="auto"/>
          </w:tblBorders>
        </w:tblPrEx>
        <w:trPr>
          <w:cantSplit/>
          <w:tblCellSpacing w:w="22" w:type="dxa"/>
        </w:trPr>
        <w:tc>
          <w:tcPr>
            <w:tcW w:w="508" w:type="pct"/>
          </w:tcPr>
          <w:p w14:paraId="3D692B8E" w14:textId="77777777" w:rsidR="00D63B70" w:rsidRPr="006D52A9" w:rsidRDefault="00D63B70" w:rsidP="00D63B70">
            <w:pPr>
              <w:rPr>
                <w:rFonts w:ascii="Arial" w:hAnsi="Arial" w:cs="Arial"/>
                <w:sz w:val="16"/>
                <w:szCs w:val="16"/>
              </w:rPr>
            </w:pPr>
          </w:p>
        </w:tc>
        <w:tc>
          <w:tcPr>
            <w:tcW w:w="943" w:type="pct"/>
          </w:tcPr>
          <w:p w14:paraId="06B8BABC"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Powder for oral suspension containing mycophenolate mofetil 1 g per 5 mL, 165 mL</w:t>
            </w:r>
          </w:p>
        </w:tc>
        <w:tc>
          <w:tcPr>
            <w:tcW w:w="540" w:type="pct"/>
          </w:tcPr>
          <w:p w14:paraId="77E07118"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85FABC3"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CellCept</w:t>
            </w:r>
          </w:p>
        </w:tc>
        <w:tc>
          <w:tcPr>
            <w:tcW w:w="894" w:type="pct"/>
          </w:tcPr>
          <w:p w14:paraId="094D5666"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C5554 C5795 C9691 C9693</w:t>
            </w:r>
          </w:p>
        </w:tc>
        <w:tc>
          <w:tcPr>
            <w:tcW w:w="376" w:type="pct"/>
          </w:tcPr>
          <w:p w14:paraId="76F83296" w14:textId="77777777" w:rsidR="00D63B70" w:rsidRPr="006D52A9" w:rsidRDefault="00D63B70" w:rsidP="00D63B70">
            <w:pPr>
              <w:rPr>
                <w:rFonts w:ascii="Arial" w:hAnsi="Arial" w:cs="Arial"/>
                <w:sz w:val="16"/>
                <w:szCs w:val="16"/>
              </w:rPr>
            </w:pPr>
          </w:p>
        </w:tc>
        <w:tc>
          <w:tcPr>
            <w:tcW w:w="499" w:type="pct"/>
          </w:tcPr>
          <w:p w14:paraId="2AB992CA"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2C41113F" w14:textId="77777777" w:rsidR="00D63B70" w:rsidRPr="006D52A9" w:rsidDel="000467C4"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62717C0" w14:textId="77777777" w:rsidTr="00A91628">
        <w:tblPrEx>
          <w:tblBorders>
            <w:top w:val="single" w:sz="4" w:space="0" w:color="auto"/>
          </w:tblBorders>
        </w:tblPrEx>
        <w:trPr>
          <w:cantSplit/>
          <w:tblCellSpacing w:w="22" w:type="dxa"/>
        </w:trPr>
        <w:tc>
          <w:tcPr>
            <w:tcW w:w="508" w:type="pct"/>
          </w:tcPr>
          <w:p w14:paraId="36EFA29E" w14:textId="77777777" w:rsidR="00D63B70" w:rsidRPr="006D52A9" w:rsidRDefault="00D63B70" w:rsidP="00D63B70">
            <w:pPr>
              <w:rPr>
                <w:rFonts w:ascii="Arial" w:hAnsi="Arial" w:cs="Arial"/>
                <w:sz w:val="16"/>
                <w:szCs w:val="16"/>
              </w:rPr>
            </w:pPr>
            <w:r w:rsidRPr="006D52A9">
              <w:rPr>
                <w:rFonts w:ascii="Arial" w:hAnsi="Arial" w:cs="Arial"/>
                <w:sz w:val="16"/>
                <w:szCs w:val="16"/>
              </w:rPr>
              <w:t>Natalizumab</w:t>
            </w:r>
          </w:p>
        </w:tc>
        <w:tc>
          <w:tcPr>
            <w:tcW w:w="943" w:type="pct"/>
          </w:tcPr>
          <w:p w14:paraId="223E50D5" w14:textId="77777777" w:rsidR="00D63B70" w:rsidRPr="006D52A9" w:rsidRDefault="00D63B70" w:rsidP="00D63B70">
            <w:pPr>
              <w:rPr>
                <w:rFonts w:ascii="Arial" w:hAnsi="Arial" w:cs="Arial"/>
                <w:sz w:val="16"/>
                <w:szCs w:val="16"/>
              </w:rPr>
            </w:pPr>
            <w:r w:rsidRPr="006D52A9">
              <w:rPr>
                <w:rFonts w:ascii="Arial" w:hAnsi="Arial" w:cs="Arial"/>
                <w:sz w:val="16"/>
                <w:szCs w:val="16"/>
              </w:rPr>
              <w:t>Solution concentrate for I.V. infusion 300 mg in 15 mL</w:t>
            </w:r>
          </w:p>
        </w:tc>
        <w:tc>
          <w:tcPr>
            <w:tcW w:w="540" w:type="pct"/>
          </w:tcPr>
          <w:p w14:paraId="4BAFAF27"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DDF58B7" w14:textId="77777777" w:rsidR="00D63B70" w:rsidRPr="006D52A9" w:rsidRDefault="00D63B70" w:rsidP="00D63B70">
            <w:pPr>
              <w:rPr>
                <w:rFonts w:ascii="Arial" w:hAnsi="Arial" w:cs="Arial"/>
                <w:sz w:val="16"/>
                <w:szCs w:val="16"/>
              </w:rPr>
            </w:pPr>
            <w:r w:rsidRPr="006D52A9">
              <w:rPr>
                <w:rFonts w:ascii="Arial" w:hAnsi="Arial" w:cs="Arial"/>
                <w:sz w:val="16"/>
                <w:szCs w:val="16"/>
              </w:rPr>
              <w:t>Tysabri</w:t>
            </w:r>
          </w:p>
        </w:tc>
        <w:tc>
          <w:tcPr>
            <w:tcW w:w="894" w:type="pct"/>
          </w:tcPr>
          <w:p w14:paraId="6C5B2D62" w14:textId="77777777" w:rsidR="00D63B70" w:rsidRPr="006D52A9" w:rsidRDefault="00D63B70" w:rsidP="00D63B70">
            <w:pPr>
              <w:rPr>
                <w:rFonts w:ascii="Arial" w:hAnsi="Arial" w:cs="Arial"/>
                <w:sz w:val="16"/>
                <w:szCs w:val="16"/>
              </w:rPr>
            </w:pPr>
            <w:r w:rsidRPr="006D52A9">
              <w:rPr>
                <w:rFonts w:ascii="Arial" w:hAnsi="Arial" w:cs="Arial"/>
                <w:sz w:val="16"/>
                <w:szCs w:val="16"/>
              </w:rPr>
              <w:t>C9744 C9818</w:t>
            </w:r>
          </w:p>
        </w:tc>
        <w:tc>
          <w:tcPr>
            <w:tcW w:w="376" w:type="pct"/>
          </w:tcPr>
          <w:p w14:paraId="00E8FEB1" w14:textId="77777777" w:rsidR="00D63B70" w:rsidRPr="006D52A9" w:rsidRDefault="00D63B70" w:rsidP="00D63B70">
            <w:pPr>
              <w:rPr>
                <w:rFonts w:ascii="Arial" w:hAnsi="Arial" w:cs="Arial"/>
                <w:sz w:val="16"/>
                <w:szCs w:val="16"/>
              </w:rPr>
            </w:pPr>
          </w:p>
        </w:tc>
        <w:tc>
          <w:tcPr>
            <w:tcW w:w="499" w:type="pct"/>
          </w:tcPr>
          <w:p w14:paraId="057F89F8"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08DCB56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982274" w14:paraId="72E7F002" w14:textId="77777777" w:rsidTr="00A91628">
        <w:tblPrEx>
          <w:tblBorders>
            <w:top w:val="single" w:sz="4" w:space="0" w:color="auto"/>
          </w:tblBorders>
        </w:tblPrEx>
        <w:trPr>
          <w:cantSplit/>
          <w:tblCellSpacing w:w="22" w:type="dxa"/>
        </w:trPr>
        <w:tc>
          <w:tcPr>
            <w:tcW w:w="508" w:type="pct"/>
          </w:tcPr>
          <w:p w14:paraId="74C6DC39"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lastRenderedPageBreak/>
              <w:t>Nevirapine</w:t>
            </w:r>
          </w:p>
        </w:tc>
        <w:tc>
          <w:tcPr>
            <w:tcW w:w="943" w:type="pct"/>
          </w:tcPr>
          <w:p w14:paraId="0BFB60F1"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Tablet 200 mg</w:t>
            </w:r>
          </w:p>
        </w:tc>
        <w:tc>
          <w:tcPr>
            <w:tcW w:w="540" w:type="pct"/>
          </w:tcPr>
          <w:p w14:paraId="45C2A856"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7C0BA37"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Nevirapine Alphapharm</w:t>
            </w:r>
          </w:p>
        </w:tc>
        <w:tc>
          <w:tcPr>
            <w:tcW w:w="894" w:type="pct"/>
          </w:tcPr>
          <w:p w14:paraId="17B4BB0E"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0B78D138" w14:textId="77777777" w:rsidR="00D63B70" w:rsidRPr="006D52A9" w:rsidDel="00982274" w:rsidRDefault="00D63B70" w:rsidP="00D63B70">
            <w:pPr>
              <w:rPr>
                <w:rFonts w:ascii="Arial" w:hAnsi="Arial" w:cs="Arial"/>
                <w:sz w:val="16"/>
                <w:szCs w:val="16"/>
              </w:rPr>
            </w:pPr>
          </w:p>
        </w:tc>
        <w:tc>
          <w:tcPr>
            <w:tcW w:w="499" w:type="pct"/>
          </w:tcPr>
          <w:p w14:paraId="34FF0F9C"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3806AB57"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982274" w14:paraId="78D73F33" w14:textId="77777777" w:rsidTr="00A91628">
        <w:tblPrEx>
          <w:tblBorders>
            <w:top w:val="single" w:sz="4" w:space="0" w:color="auto"/>
          </w:tblBorders>
        </w:tblPrEx>
        <w:trPr>
          <w:cantSplit/>
          <w:tblCellSpacing w:w="22" w:type="dxa"/>
        </w:trPr>
        <w:tc>
          <w:tcPr>
            <w:tcW w:w="508" w:type="pct"/>
          </w:tcPr>
          <w:p w14:paraId="46EF80E6" w14:textId="77777777" w:rsidR="00D63B70" w:rsidRPr="006D52A9" w:rsidDel="00982274" w:rsidRDefault="00D63B70" w:rsidP="00D63B70">
            <w:pPr>
              <w:rPr>
                <w:rFonts w:ascii="Arial" w:hAnsi="Arial" w:cs="Arial"/>
                <w:sz w:val="16"/>
                <w:szCs w:val="16"/>
              </w:rPr>
            </w:pPr>
          </w:p>
        </w:tc>
        <w:tc>
          <w:tcPr>
            <w:tcW w:w="943" w:type="pct"/>
          </w:tcPr>
          <w:p w14:paraId="6D30E147"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Tablet 400 mg (extended release)</w:t>
            </w:r>
          </w:p>
        </w:tc>
        <w:tc>
          <w:tcPr>
            <w:tcW w:w="540" w:type="pct"/>
          </w:tcPr>
          <w:p w14:paraId="073F45F3" w14:textId="77777777" w:rsidR="00D63B70" w:rsidRPr="006D52A9" w:rsidDel="00982274"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16B3726" w14:textId="77777777" w:rsidR="00D63B70" w:rsidRPr="006D52A9" w:rsidRDefault="00D63B70" w:rsidP="00D63B70">
            <w:pPr>
              <w:rPr>
                <w:rFonts w:ascii="Arial" w:hAnsi="Arial" w:cs="Arial"/>
                <w:sz w:val="16"/>
                <w:szCs w:val="16"/>
              </w:rPr>
            </w:pPr>
            <w:r w:rsidRPr="006D52A9">
              <w:rPr>
                <w:rFonts w:ascii="Arial" w:hAnsi="Arial" w:cs="Arial"/>
                <w:sz w:val="16"/>
                <w:szCs w:val="16"/>
              </w:rPr>
              <w:t>Nevirapine XR APOTEX</w:t>
            </w:r>
          </w:p>
        </w:tc>
        <w:tc>
          <w:tcPr>
            <w:tcW w:w="894" w:type="pct"/>
          </w:tcPr>
          <w:p w14:paraId="292F654D" w14:textId="77777777" w:rsidR="00D63B70" w:rsidRPr="006D52A9" w:rsidRDefault="00D63B70" w:rsidP="00D63B70">
            <w:pPr>
              <w:rPr>
                <w:rFonts w:ascii="Arial" w:hAnsi="Arial" w:cs="Arial"/>
                <w:sz w:val="16"/>
                <w:szCs w:val="16"/>
              </w:rPr>
            </w:pPr>
            <w:r w:rsidRPr="006D52A9">
              <w:rPr>
                <w:rFonts w:ascii="Arial" w:hAnsi="Arial" w:cs="Arial"/>
                <w:sz w:val="16"/>
                <w:szCs w:val="16"/>
              </w:rPr>
              <w:t>C4454 C4526</w:t>
            </w:r>
          </w:p>
        </w:tc>
        <w:tc>
          <w:tcPr>
            <w:tcW w:w="376" w:type="pct"/>
          </w:tcPr>
          <w:p w14:paraId="1A4E132A" w14:textId="77777777" w:rsidR="00D63B70" w:rsidRPr="006D52A9" w:rsidDel="00982274" w:rsidRDefault="00D63B70" w:rsidP="00D63B70">
            <w:pPr>
              <w:rPr>
                <w:rFonts w:ascii="Arial" w:hAnsi="Arial" w:cs="Arial"/>
                <w:sz w:val="16"/>
                <w:szCs w:val="16"/>
              </w:rPr>
            </w:pPr>
          </w:p>
        </w:tc>
        <w:tc>
          <w:tcPr>
            <w:tcW w:w="499" w:type="pct"/>
          </w:tcPr>
          <w:p w14:paraId="40420414"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FA35A98"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4158E18" w14:textId="77777777" w:rsidTr="00A91628">
        <w:tblPrEx>
          <w:tblBorders>
            <w:top w:val="single" w:sz="4" w:space="0" w:color="auto"/>
          </w:tblBorders>
        </w:tblPrEx>
        <w:trPr>
          <w:cantSplit/>
          <w:tblCellSpacing w:w="22" w:type="dxa"/>
        </w:trPr>
        <w:tc>
          <w:tcPr>
            <w:tcW w:w="508" w:type="pct"/>
          </w:tcPr>
          <w:p w14:paraId="74A07A64" w14:textId="77777777" w:rsidR="00D63B70" w:rsidRPr="006D52A9" w:rsidRDefault="00D63B70" w:rsidP="00D63B70">
            <w:pPr>
              <w:keepNext/>
              <w:keepLines/>
              <w:rPr>
                <w:rFonts w:ascii="Arial" w:hAnsi="Arial" w:cs="Arial"/>
                <w:sz w:val="16"/>
                <w:szCs w:val="16"/>
              </w:rPr>
            </w:pPr>
          </w:p>
        </w:tc>
        <w:tc>
          <w:tcPr>
            <w:tcW w:w="943" w:type="pct"/>
          </w:tcPr>
          <w:p w14:paraId="4B8439B3" w14:textId="77777777" w:rsidR="00D63B70" w:rsidRPr="006D52A9" w:rsidRDefault="00D63B70" w:rsidP="00D63B70">
            <w:pPr>
              <w:keepNext/>
              <w:keepLines/>
              <w:rPr>
                <w:rFonts w:ascii="Arial" w:hAnsi="Arial" w:cs="Arial"/>
                <w:sz w:val="16"/>
                <w:szCs w:val="16"/>
              </w:rPr>
            </w:pPr>
          </w:p>
        </w:tc>
        <w:tc>
          <w:tcPr>
            <w:tcW w:w="540" w:type="pct"/>
          </w:tcPr>
          <w:p w14:paraId="2AA66D1B" w14:textId="77777777" w:rsidR="00D63B70" w:rsidRPr="006D52A9" w:rsidRDefault="00D63B70" w:rsidP="00D63B70">
            <w:pPr>
              <w:keepNext/>
              <w:keepLines/>
              <w:rPr>
                <w:rFonts w:ascii="Arial" w:hAnsi="Arial" w:cs="Arial"/>
                <w:sz w:val="16"/>
                <w:szCs w:val="16"/>
              </w:rPr>
            </w:pPr>
          </w:p>
        </w:tc>
        <w:tc>
          <w:tcPr>
            <w:tcW w:w="591" w:type="pct"/>
          </w:tcPr>
          <w:p w14:paraId="4DB47FEC"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Viramune XR</w:t>
            </w:r>
          </w:p>
        </w:tc>
        <w:tc>
          <w:tcPr>
            <w:tcW w:w="894" w:type="pct"/>
          </w:tcPr>
          <w:p w14:paraId="209C55C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C4454 C4526</w:t>
            </w:r>
          </w:p>
        </w:tc>
        <w:tc>
          <w:tcPr>
            <w:tcW w:w="376" w:type="pct"/>
          </w:tcPr>
          <w:p w14:paraId="2893935A" w14:textId="77777777" w:rsidR="00D63B70" w:rsidRPr="006D52A9" w:rsidRDefault="00D63B70" w:rsidP="00D63B70">
            <w:pPr>
              <w:keepNext/>
              <w:keepLines/>
              <w:rPr>
                <w:rFonts w:ascii="Arial" w:hAnsi="Arial" w:cs="Arial"/>
                <w:sz w:val="16"/>
                <w:szCs w:val="16"/>
              </w:rPr>
            </w:pPr>
          </w:p>
        </w:tc>
        <w:tc>
          <w:tcPr>
            <w:tcW w:w="499" w:type="pct"/>
          </w:tcPr>
          <w:p w14:paraId="4088B84A"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60</w:t>
            </w:r>
          </w:p>
        </w:tc>
        <w:tc>
          <w:tcPr>
            <w:tcW w:w="502" w:type="pct"/>
          </w:tcPr>
          <w:p w14:paraId="5812CB7E"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682316F1" w14:textId="77777777" w:rsidTr="00A91628">
        <w:tblPrEx>
          <w:tblBorders>
            <w:top w:val="single" w:sz="4" w:space="0" w:color="auto"/>
          </w:tblBorders>
        </w:tblPrEx>
        <w:trPr>
          <w:cantSplit/>
          <w:tblCellSpacing w:w="22" w:type="dxa"/>
        </w:trPr>
        <w:tc>
          <w:tcPr>
            <w:tcW w:w="508" w:type="pct"/>
          </w:tcPr>
          <w:p w14:paraId="29F90915" w14:textId="77777777" w:rsidR="00D63B70" w:rsidRPr="006D52A9" w:rsidRDefault="00D63B70" w:rsidP="00D63B70">
            <w:pPr>
              <w:rPr>
                <w:rFonts w:ascii="Arial" w:hAnsi="Arial" w:cs="Arial"/>
                <w:sz w:val="16"/>
                <w:szCs w:val="16"/>
              </w:rPr>
            </w:pPr>
          </w:p>
        </w:tc>
        <w:tc>
          <w:tcPr>
            <w:tcW w:w="943" w:type="pct"/>
          </w:tcPr>
          <w:p w14:paraId="51DE46B7" w14:textId="77777777" w:rsidR="00D63B70" w:rsidRPr="006D52A9" w:rsidRDefault="00D63B70" w:rsidP="00D63B70">
            <w:pPr>
              <w:rPr>
                <w:rFonts w:ascii="Arial" w:hAnsi="Arial" w:cs="Arial"/>
                <w:sz w:val="16"/>
                <w:szCs w:val="16"/>
              </w:rPr>
            </w:pPr>
            <w:r w:rsidRPr="006D52A9">
              <w:rPr>
                <w:rFonts w:ascii="Arial" w:hAnsi="Arial" w:cs="Arial"/>
                <w:sz w:val="16"/>
                <w:szCs w:val="16"/>
              </w:rPr>
              <w:t>Oral suspension 50 mg (as hemihydrate) per 5 mL, 240 mL</w:t>
            </w:r>
          </w:p>
        </w:tc>
        <w:tc>
          <w:tcPr>
            <w:tcW w:w="540" w:type="pct"/>
          </w:tcPr>
          <w:p w14:paraId="574BBD6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FAD4FD1" w14:textId="77777777" w:rsidR="00D63B70" w:rsidRPr="006D52A9" w:rsidRDefault="00D63B70" w:rsidP="00D63B70">
            <w:pPr>
              <w:rPr>
                <w:rFonts w:ascii="Arial" w:hAnsi="Arial" w:cs="Arial"/>
                <w:sz w:val="16"/>
                <w:szCs w:val="16"/>
              </w:rPr>
            </w:pPr>
            <w:r w:rsidRPr="006D52A9">
              <w:rPr>
                <w:rFonts w:ascii="Arial" w:hAnsi="Arial" w:cs="Arial"/>
                <w:sz w:val="16"/>
                <w:szCs w:val="16"/>
              </w:rPr>
              <w:t>Viramune</w:t>
            </w:r>
          </w:p>
        </w:tc>
        <w:tc>
          <w:tcPr>
            <w:tcW w:w="894" w:type="pct"/>
          </w:tcPr>
          <w:p w14:paraId="06DBB808"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362FB9BD" w14:textId="77777777" w:rsidR="00D63B70" w:rsidRPr="006D52A9" w:rsidRDefault="00D63B70" w:rsidP="00D63B70">
            <w:pPr>
              <w:rPr>
                <w:rFonts w:ascii="Arial" w:hAnsi="Arial" w:cs="Arial"/>
                <w:sz w:val="16"/>
                <w:szCs w:val="16"/>
              </w:rPr>
            </w:pPr>
          </w:p>
        </w:tc>
        <w:tc>
          <w:tcPr>
            <w:tcW w:w="499" w:type="pct"/>
          </w:tcPr>
          <w:p w14:paraId="5FF54F4A" w14:textId="77777777" w:rsidR="00D63B70" w:rsidRPr="006D52A9" w:rsidRDefault="00D63B70" w:rsidP="00D63B70">
            <w:pPr>
              <w:rPr>
                <w:rFonts w:ascii="Arial" w:hAnsi="Arial" w:cs="Arial"/>
                <w:sz w:val="16"/>
                <w:szCs w:val="16"/>
              </w:rPr>
            </w:pPr>
            <w:r w:rsidRPr="006D52A9">
              <w:rPr>
                <w:rFonts w:ascii="Arial" w:hAnsi="Arial" w:cs="Arial"/>
                <w:sz w:val="16"/>
                <w:szCs w:val="16"/>
              </w:rPr>
              <w:t>10</w:t>
            </w:r>
          </w:p>
        </w:tc>
        <w:tc>
          <w:tcPr>
            <w:tcW w:w="502" w:type="pct"/>
          </w:tcPr>
          <w:p w14:paraId="60EFBC9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4C93FD46" w14:textId="77777777" w:rsidTr="00A91628">
        <w:tblPrEx>
          <w:tblBorders>
            <w:top w:val="single" w:sz="4" w:space="0" w:color="auto"/>
          </w:tblBorders>
        </w:tblPrEx>
        <w:trPr>
          <w:cantSplit/>
          <w:tblCellSpacing w:w="22" w:type="dxa"/>
        </w:trPr>
        <w:tc>
          <w:tcPr>
            <w:tcW w:w="508" w:type="pct"/>
          </w:tcPr>
          <w:p w14:paraId="253401D4" w14:textId="77777777" w:rsidR="00D63B70" w:rsidRPr="006D52A9" w:rsidRDefault="00D63B70" w:rsidP="00D63B70">
            <w:pPr>
              <w:rPr>
                <w:rFonts w:ascii="Arial" w:hAnsi="Arial" w:cs="Arial"/>
                <w:sz w:val="16"/>
                <w:szCs w:val="16"/>
              </w:rPr>
            </w:pPr>
            <w:r w:rsidRPr="006D52A9">
              <w:rPr>
                <w:rFonts w:ascii="Arial" w:hAnsi="Arial" w:cs="Arial"/>
                <w:sz w:val="16"/>
                <w:szCs w:val="16"/>
              </w:rPr>
              <w:t>Nusinersen</w:t>
            </w:r>
          </w:p>
        </w:tc>
        <w:tc>
          <w:tcPr>
            <w:tcW w:w="943" w:type="pct"/>
          </w:tcPr>
          <w:p w14:paraId="5736F988"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injection 12 mg in 5 mL</w:t>
            </w:r>
          </w:p>
        </w:tc>
        <w:tc>
          <w:tcPr>
            <w:tcW w:w="540" w:type="pct"/>
          </w:tcPr>
          <w:p w14:paraId="730FB63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CCF2837" w14:textId="77777777" w:rsidR="00D63B70" w:rsidRPr="006D52A9" w:rsidRDefault="00D63B70" w:rsidP="00D63B70">
            <w:pPr>
              <w:rPr>
                <w:rFonts w:ascii="Arial" w:hAnsi="Arial" w:cs="Arial"/>
                <w:sz w:val="16"/>
                <w:szCs w:val="16"/>
              </w:rPr>
            </w:pPr>
            <w:r w:rsidRPr="006D52A9">
              <w:rPr>
                <w:rFonts w:ascii="Arial" w:hAnsi="Arial" w:cs="Arial"/>
                <w:sz w:val="16"/>
                <w:szCs w:val="16"/>
              </w:rPr>
              <w:t>Spinraza</w:t>
            </w:r>
          </w:p>
        </w:tc>
        <w:tc>
          <w:tcPr>
            <w:tcW w:w="894" w:type="pct"/>
          </w:tcPr>
          <w:p w14:paraId="724688BD" w14:textId="77777777" w:rsidR="00D63B70" w:rsidRPr="006D52A9" w:rsidRDefault="00D63B70" w:rsidP="00D63B70">
            <w:pPr>
              <w:rPr>
                <w:rFonts w:ascii="Arial" w:hAnsi="Arial" w:cs="Arial"/>
                <w:sz w:val="16"/>
                <w:szCs w:val="16"/>
              </w:rPr>
            </w:pPr>
            <w:r w:rsidRPr="006D52A9">
              <w:rPr>
                <w:rFonts w:ascii="Arial" w:hAnsi="Arial" w:cs="Arial"/>
                <w:sz w:val="16"/>
                <w:szCs w:val="16"/>
              </w:rPr>
              <w:t>C11049 C11050 C11058</w:t>
            </w:r>
          </w:p>
        </w:tc>
        <w:tc>
          <w:tcPr>
            <w:tcW w:w="376" w:type="pct"/>
          </w:tcPr>
          <w:p w14:paraId="16F8B4CC" w14:textId="77777777" w:rsidR="00D63B70" w:rsidRPr="006D52A9" w:rsidRDefault="00D63B70" w:rsidP="00D63B70">
            <w:pPr>
              <w:rPr>
                <w:rFonts w:ascii="Arial" w:hAnsi="Arial" w:cs="Arial"/>
                <w:sz w:val="16"/>
                <w:szCs w:val="16"/>
              </w:rPr>
            </w:pPr>
          </w:p>
        </w:tc>
        <w:tc>
          <w:tcPr>
            <w:tcW w:w="499" w:type="pct"/>
          </w:tcPr>
          <w:p w14:paraId="5E3CAC95"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8B5ABF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526CCBA" w14:textId="77777777" w:rsidTr="00A91628">
        <w:tblPrEx>
          <w:tblBorders>
            <w:top w:val="single" w:sz="4" w:space="0" w:color="auto"/>
          </w:tblBorders>
        </w:tblPrEx>
        <w:trPr>
          <w:cantSplit/>
          <w:tblCellSpacing w:w="22" w:type="dxa"/>
        </w:trPr>
        <w:tc>
          <w:tcPr>
            <w:tcW w:w="508" w:type="pct"/>
          </w:tcPr>
          <w:p w14:paraId="646843A3" w14:textId="77777777" w:rsidR="00D63B70" w:rsidRPr="006D52A9" w:rsidRDefault="00D63B70" w:rsidP="00D63B70">
            <w:pPr>
              <w:rPr>
                <w:rFonts w:ascii="Arial" w:hAnsi="Arial" w:cs="Arial"/>
                <w:sz w:val="16"/>
                <w:szCs w:val="16"/>
              </w:rPr>
            </w:pPr>
            <w:r w:rsidRPr="006D52A9">
              <w:rPr>
                <w:rFonts w:ascii="Arial" w:hAnsi="Arial" w:cs="Arial"/>
                <w:sz w:val="16"/>
                <w:szCs w:val="16"/>
              </w:rPr>
              <w:t>Ocrelizumab</w:t>
            </w:r>
          </w:p>
        </w:tc>
        <w:tc>
          <w:tcPr>
            <w:tcW w:w="943" w:type="pct"/>
          </w:tcPr>
          <w:p w14:paraId="0EF7C2EC" w14:textId="77777777" w:rsidR="00D63B70" w:rsidRPr="006D52A9" w:rsidRDefault="00D63B70" w:rsidP="00D63B70">
            <w:pPr>
              <w:rPr>
                <w:rFonts w:ascii="Arial" w:hAnsi="Arial" w:cs="Arial"/>
                <w:sz w:val="16"/>
                <w:szCs w:val="16"/>
              </w:rPr>
            </w:pPr>
            <w:r w:rsidRPr="006D52A9">
              <w:rPr>
                <w:rFonts w:ascii="Arial" w:hAnsi="Arial" w:cs="Arial"/>
                <w:sz w:val="16"/>
                <w:szCs w:val="16"/>
              </w:rPr>
              <w:t>Solution concentrate for I.V. infusion 300 mg in 10 mL</w:t>
            </w:r>
          </w:p>
        </w:tc>
        <w:tc>
          <w:tcPr>
            <w:tcW w:w="540" w:type="pct"/>
          </w:tcPr>
          <w:p w14:paraId="51FD912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7B57E13" w14:textId="77777777" w:rsidR="00D63B70" w:rsidRPr="006D52A9" w:rsidRDefault="00D63B70" w:rsidP="00D63B70">
            <w:pPr>
              <w:rPr>
                <w:rFonts w:ascii="Arial" w:hAnsi="Arial" w:cs="Arial"/>
                <w:sz w:val="16"/>
                <w:szCs w:val="16"/>
              </w:rPr>
            </w:pPr>
            <w:r w:rsidRPr="006D52A9">
              <w:rPr>
                <w:rFonts w:ascii="Arial" w:hAnsi="Arial" w:cs="Arial"/>
                <w:sz w:val="16"/>
                <w:szCs w:val="16"/>
              </w:rPr>
              <w:t>Ocrevus</w:t>
            </w:r>
          </w:p>
        </w:tc>
        <w:tc>
          <w:tcPr>
            <w:tcW w:w="894" w:type="pct"/>
          </w:tcPr>
          <w:p w14:paraId="58B265A2" w14:textId="77777777" w:rsidR="00D63B70" w:rsidRPr="006D52A9" w:rsidRDefault="00D63B70" w:rsidP="00D63B70">
            <w:pPr>
              <w:rPr>
                <w:rFonts w:ascii="Arial" w:hAnsi="Arial" w:cs="Arial"/>
                <w:sz w:val="16"/>
                <w:szCs w:val="16"/>
              </w:rPr>
            </w:pPr>
            <w:r w:rsidRPr="006D52A9">
              <w:rPr>
                <w:rFonts w:ascii="Arial" w:hAnsi="Arial" w:cs="Arial"/>
                <w:sz w:val="16"/>
                <w:szCs w:val="16"/>
              </w:rPr>
              <w:t>C7386 C7699 C9523 C9635</w:t>
            </w:r>
          </w:p>
        </w:tc>
        <w:tc>
          <w:tcPr>
            <w:tcW w:w="376" w:type="pct"/>
          </w:tcPr>
          <w:p w14:paraId="4EF1E3AC" w14:textId="77777777" w:rsidR="00D63B70" w:rsidRPr="006D52A9" w:rsidRDefault="00D63B70" w:rsidP="00D63B70">
            <w:pPr>
              <w:rPr>
                <w:rFonts w:ascii="Arial" w:hAnsi="Arial" w:cs="Arial"/>
                <w:sz w:val="16"/>
                <w:szCs w:val="16"/>
              </w:rPr>
            </w:pPr>
          </w:p>
        </w:tc>
        <w:tc>
          <w:tcPr>
            <w:tcW w:w="499" w:type="pct"/>
          </w:tcPr>
          <w:p w14:paraId="30B825F0"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2394239C"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14:paraId="38D7DC37" w14:textId="77777777" w:rsidTr="00A91628">
        <w:tblPrEx>
          <w:tblBorders>
            <w:top w:val="single" w:sz="4" w:space="0" w:color="auto"/>
          </w:tblBorders>
        </w:tblPrEx>
        <w:trPr>
          <w:cantSplit/>
          <w:tblCellSpacing w:w="22" w:type="dxa"/>
        </w:trPr>
        <w:tc>
          <w:tcPr>
            <w:tcW w:w="508" w:type="pct"/>
          </w:tcPr>
          <w:p w14:paraId="3C889FC3"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w:t>
            </w:r>
          </w:p>
        </w:tc>
        <w:tc>
          <w:tcPr>
            <w:tcW w:w="943" w:type="pct"/>
          </w:tcPr>
          <w:p w14:paraId="6065CB6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 micrograms (as acetate) in 1 mL</w:t>
            </w:r>
          </w:p>
        </w:tc>
        <w:tc>
          <w:tcPr>
            <w:tcW w:w="540" w:type="pct"/>
          </w:tcPr>
          <w:p w14:paraId="3C39779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3AE1D79"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GH</w:t>
            </w:r>
          </w:p>
        </w:tc>
        <w:tc>
          <w:tcPr>
            <w:tcW w:w="894" w:type="pct"/>
          </w:tcPr>
          <w:p w14:paraId="49AD6C38"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1D1D8234" w14:textId="77777777" w:rsidR="00D63B70" w:rsidRPr="006D52A9" w:rsidRDefault="00D63B70" w:rsidP="00D63B70">
            <w:pPr>
              <w:rPr>
                <w:rFonts w:ascii="Arial" w:hAnsi="Arial" w:cs="Arial"/>
                <w:sz w:val="16"/>
                <w:szCs w:val="16"/>
              </w:rPr>
            </w:pPr>
          </w:p>
        </w:tc>
        <w:tc>
          <w:tcPr>
            <w:tcW w:w="499" w:type="pct"/>
          </w:tcPr>
          <w:p w14:paraId="1018C0E9"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20AD7114"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B83B300" w14:textId="77777777" w:rsidTr="00A91628">
        <w:tblPrEx>
          <w:tblBorders>
            <w:top w:val="single" w:sz="4" w:space="0" w:color="auto"/>
          </w:tblBorders>
        </w:tblPrEx>
        <w:trPr>
          <w:cantSplit/>
          <w:tblCellSpacing w:w="22" w:type="dxa"/>
        </w:trPr>
        <w:tc>
          <w:tcPr>
            <w:tcW w:w="508" w:type="pct"/>
          </w:tcPr>
          <w:p w14:paraId="4C27FC8D" w14:textId="77777777" w:rsidR="00D63B70" w:rsidRPr="006D52A9" w:rsidRDefault="00D63B70" w:rsidP="00D63B70">
            <w:pPr>
              <w:rPr>
                <w:rFonts w:ascii="Arial" w:hAnsi="Arial" w:cs="Arial"/>
                <w:sz w:val="16"/>
                <w:szCs w:val="16"/>
              </w:rPr>
            </w:pPr>
          </w:p>
        </w:tc>
        <w:tc>
          <w:tcPr>
            <w:tcW w:w="943" w:type="pct"/>
          </w:tcPr>
          <w:p w14:paraId="35108D82" w14:textId="77777777" w:rsidR="00D63B70" w:rsidRPr="006D52A9" w:rsidRDefault="00D63B70" w:rsidP="00D63B70">
            <w:pPr>
              <w:rPr>
                <w:rFonts w:ascii="Arial" w:hAnsi="Arial" w:cs="Arial"/>
                <w:sz w:val="16"/>
                <w:szCs w:val="16"/>
              </w:rPr>
            </w:pPr>
          </w:p>
        </w:tc>
        <w:tc>
          <w:tcPr>
            <w:tcW w:w="540" w:type="pct"/>
          </w:tcPr>
          <w:p w14:paraId="5711775C" w14:textId="77777777" w:rsidR="00D63B70" w:rsidRPr="006D52A9" w:rsidRDefault="00D63B70" w:rsidP="00D63B70">
            <w:pPr>
              <w:rPr>
                <w:rFonts w:ascii="Arial" w:hAnsi="Arial" w:cs="Arial"/>
                <w:sz w:val="16"/>
                <w:szCs w:val="16"/>
              </w:rPr>
            </w:pPr>
          </w:p>
        </w:tc>
        <w:tc>
          <w:tcPr>
            <w:tcW w:w="591" w:type="pct"/>
          </w:tcPr>
          <w:p w14:paraId="541CFB08"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MaxRx</w:t>
            </w:r>
          </w:p>
        </w:tc>
        <w:tc>
          <w:tcPr>
            <w:tcW w:w="894" w:type="pct"/>
          </w:tcPr>
          <w:p w14:paraId="76D75059"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3D325C7F" w14:textId="77777777" w:rsidR="00D63B70" w:rsidRPr="006D52A9" w:rsidRDefault="00D63B70" w:rsidP="00D63B70">
            <w:pPr>
              <w:rPr>
                <w:rFonts w:ascii="Arial" w:hAnsi="Arial" w:cs="Arial"/>
                <w:sz w:val="16"/>
                <w:szCs w:val="16"/>
              </w:rPr>
            </w:pPr>
          </w:p>
        </w:tc>
        <w:tc>
          <w:tcPr>
            <w:tcW w:w="499" w:type="pct"/>
          </w:tcPr>
          <w:p w14:paraId="501338D8"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0C78A5F7"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53F0F303" w14:textId="77777777" w:rsidTr="00A91628">
        <w:tblPrEx>
          <w:tblBorders>
            <w:top w:val="single" w:sz="4" w:space="0" w:color="auto"/>
          </w:tblBorders>
        </w:tblPrEx>
        <w:trPr>
          <w:cantSplit/>
          <w:tblCellSpacing w:w="22" w:type="dxa"/>
        </w:trPr>
        <w:tc>
          <w:tcPr>
            <w:tcW w:w="508" w:type="pct"/>
          </w:tcPr>
          <w:p w14:paraId="5676B84D" w14:textId="77777777" w:rsidR="00D63B70" w:rsidRPr="006D52A9" w:rsidRDefault="00D63B70" w:rsidP="00D63B70">
            <w:pPr>
              <w:rPr>
                <w:rFonts w:ascii="Arial" w:hAnsi="Arial" w:cs="Arial"/>
                <w:sz w:val="16"/>
                <w:szCs w:val="16"/>
              </w:rPr>
            </w:pPr>
          </w:p>
        </w:tc>
        <w:tc>
          <w:tcPr>
            <w:tcW w:w="943" w:type="pct"/>
          </w:tcPr>
          <w:p w14:paraId="23894FBF" w14:textId="77777777" w:rsidR="00D63B70" w:rsidRPr="006D52A9" w:rsidRDefault="00D63B70" w:rsidP="00D63B70">
            <w:pPr>
              <w:rPr>
                <w:rFonts w:ascii="Arial" w:hAnsi="Arial" w:cs="Arial"/>
                <w:sz w:val="16"/>
                <w:szCs w:val="16"/>
              </w:rPr>
            </w:pPr>
          </w:p>
        </w:tc>
        <w:tc>
          <w:tcPr>
            <w:tcW w:w="540" w:type="pct"/>
          </w:tcPr>
          <w:p w14:paraId="65C509D5" w14:textId="77777777" w:rsidR="00D63B70" w:rsidRPr="006D52A9" w:rsidRDefault="00D63B70" w:rsidP="00D63B70">
            <w:pPr>
              <w:rPr>
                <w:rFonts w:ascii="Arial" w:hAnsi="Arial" w:cs="Arial"/>
                <w:sz w:val="16"/>
                <w:szCs w:val="16"/>
              </w:rPr>
            </w:pPr>
          </w:p>
        </w:tc>
        <w:tc>
          <w:tcPr>
            <w:tcW w:w="591" w:type="pct"/>
          </w:tcPr>
          <w:p w14:paraId="53171A1A"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(SUN)</w:t>
            </w:r>
          </w:p>
        </w:tc>
        <w:tc>
          <w:tcPr>
            <w:tcW w:w="894" w:type="pct"/>
          </w:tcPr>
          <w:p w14:paraId="38513C99"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1F8E9BAA" w14:textId="77777777" w:rsidR="00D63B70" w:rsidRPr="006D52A9" w:rsidRDefault="00D63B70" w:rsidP="00D63B70">
            <w:pPr>
              <w:rPr>
                <w:rFonts w:ascii="Arial" w:hAnsi="Arial" w:cs="Arial"/>
                <w:sz w:val="16"/>
                <w:szCs w:val="16"/>
              </w:rPr>
            </w:pPr>
          </w:p>
        </w:tc>
        <w:tc>
          <w:tcPr>
            <w:tcW w:w="499" w:type="pct"/>
          </w:tcPr>
          <w:p w14:paraId="3CF699AE"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5B7288A4"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C6B91B6" w14:textId="77777777" w:rsidTr="00A91628">
        <w:tblPrEx>
          <w:tblBorders>
            <w:top w:val="single" w:sz="4" w:space="0" w:color="auto"/>
          </w:tblBorders>
        </w:tblPrEx>
        <w:trPr>
          <w:cantSplit/>
          <w:tblCellSpacing w:w="22" w:type="dxa"/>
        </w:trPr>
        <w:tc>
          <w:tcPr>
            <w:tcW w:w="508" w:type="pct"/>
          </w:tcPr>
          <w:p w14:paraId="5DA7A875" w14:textId="77777777" w:rsidR="00D63B70" w:rsidRPr="006D52A9" w:rsidRDefault="00D63B70" w:rsidP="00D63B70">
            <w:pPr>
              <w:rPr>
                <w:rFonts w:ascii="Arial" w:hAnsi="Arial" w:cs="Arial"/>
                <w:sz w:val="16"/>
                <w:szCs w:val="16"/>
              </w:rPr>
            </w:pPr>
          </w:p>
        </w:tc>
        <w:tc>
          <w:tcPr>
            <w:tcW w:w="943" w:type="pct"/>
          </w:tcPr>
          <w:p w14:paraId="03F67FB4" w14:textId="77777777" w:rsidR="00D63B70" w:rsidRPr="006D52A9" w:rsidRDefault="00D63B70" w:rsidP="00D63B70">
            <w:pPr>
              <w:rPr>
                <w:rFonts w:ascii="Arial" w:hAnsi="Arial" w:cs="Arial"/>
                <w:sz w:val="16"/>
                <w:szCs w:val="16"/>
              </w:rPr>
            </w:pPr>
          </w:p>
        </w:tc>
        <w:tc>
          <w:tcPr>
            <w:tcW w:w="540" w:type="pct"/>
          </w:tcPr>
          <w:p w14:paraId="228DBEC9" w14:textId="77777777" w:rsidR="00D63B70" w:rsidRPr="006D52A9" w:rsidRDefault="00D63B70" w:rsidP="00D63B70">
            <w:pPr>
              <w:rPr>
                <w:rFonts w:ascii="Arial" w:hAnsi="Arial" w:cs="Arial"/>
                <w:sz w:val="16"/>
                <w:szCs w:val="16"/>
              </w:rPr>
            </w:pPr>
          </w:p>
        </w:tc>
        <w:tc>
          <w:tcPr>
            <w:tcW w:w="591" w:type="pct"/>
          </w:tcPr>
          <w:p w14:paraId="32DCE6CF"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0.05</w:t>
            </w:r>
          </w:p>
        </w:tc>
        <w:tc>
          <w:tcPr>
            <w:tcW w:w="894" w:type="pct"/>
          </w:tcPr>
          <w:p w14:paraId="5F8F591B"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195A4CB5" w14:textId="77777777" w:rsidR="00D63B70" w:rsidRPr="006D52A9" w:rsidRDefault="00D63B70" w:rsidP="00D63B70">
            <w:pPr>
              <w:rPr>
                <w:rFonts w:ascii="Arial" w:hAnsi="Arial" w:cs="Arial"/>
                <w:sz w:val="16"/>
                <w:szCs w:val="16"/>
              </w:rPr>
            </w:pPr>
          </w:p>
        </w:tc>
        <w:tc>
          <w:tcPr>
            <w:tcW w:w="499" w:type="pct"/>
          </w:tcPr>
          <w:p w14:paraId="383D84CF"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2B1CD6DC"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19397D25" w14:textId="77777777" w:rsidTr="00A91628">
        <w:tblPrEx>
          <w:tblBorders>
            <w:top w:val="single" w:sz="4" w:space="0" w:color="auto"/>
          </w:tblBorders>
        </w:tblPrEx>
        <w:trPr>
          <w:cantSplit/>
          <w:tblCellSpacing w:w="22" w:type="dxa"/>
        </w:trPr>
        <w:tc>
          <w:tcPr>
            <w:tcW w:w="508" w:type="pct"/>
          </w:tcPr>
          <w:p w14:paraId="15C1BA27" w14:textId="77777777" w:rsidR="00D63B70" w:rsidRPr="006D52A9" w:rsidRDefault="00D63B70" w:rsidP="00D63B70">
            <w:pPr>
              <w:rPr>
                <w:rFonts w:ascii="Arial" w:hAnsi="Arial" w:cs="Arial"/>
                <w:sz w:val="16"/>
                <w:szCs w:val="16"/>
              </w:rPr>
            </w:pPr>
          </w:p>
        </w:tc>
        <w:tc>
          <w:tcPr>
            <w:tcW w:w="943" w:type="pct"/>
          </w:tcPr>
          <w:p w14:paraId="440F252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100 micrograms (as acetate) in 1 mL</w:t>
            </w:r>
          </w:p>
        </w:tc>
        <w:tc>
          <w:tcPr>
            <w:tcW w:w="540" w:type="pct"/>
          </w:tcPr>
          <w:p w14:paraId="141087A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932017D"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GH</w:t>
            </w:r>
          </w:p>
        </w:tc>
        <w:tc>
          <w:tcPr>
            <w:tcW w:w="894" w:type="pct"/>
          </w:tcPr>
          <w:p w14:paraId="6E700C19"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5B8D064E" w14:textId="77777777" w:rsidR="00D63B70" w:rsidRPr="006D52A9" w:rsidRDefault="00D63B70" w:rsidP="00D63B70">
            <w:pPr>
              <w:rPr>
                <w:rFonts w:ascii="Arial" w:hAnsi="Arial" w:cs="Arial"/>
                <w:sz w:val="16"/>
                <w:szCs w:val="16"/>
              </w:rPr>
            </w:pPr>
          </w:p>
        </w:tc>
        <w:tc>
          <w:tcPr>
            <w:tcW w:w="499" w:type="pct"/>
          </w:tcPr>
          <w:p w14:paraId="4C37B57A"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1039ECAE"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18D8492E" w14:textId="77777777" w:rsidTr="00A91628">
        <w:tblPrEx>
          <w:tblBorders>
            <w:top w:val="single" w:sz="4" w:space="0" w:color="auto"/>
          </w:tblBorders>
        </w:tblPrEx>
        <w:trPr>
          <w:cantSplit/>
          <w:tblCellSpacing w:w="22" w:type="dxa"/>
        </w:trPr>
        <w:tc>
          <w:tcPr>
            <w:tcW w:w="508" w:type="pct"/>
          </w:tcPr>
          <w:p w14:paraId="4D82B52E" w14:textId="77777777" w:rsidR="00D63B70" w:rsidRPr="006D52A9" w:rsidRDefault="00D63B70" w:rsidP="00D63B70">
            <w:pPr>
              <w:rPr>
                <w:rFonts w:ascii="Arial" w:hAnsi="Arial" w:cs="Arial"/>
                <w:sz w:val="16"/>
                <w:szCs w:val="16"/>
              </w:rPr>
            </w:pPr>
          </w:p>
        </w:tc>
        <w:tc>
          <w:tcPr>
            <w:tcW w:w="943" w:type="pct"/>
          </w:tcPr>
          <w:p w14:paraId="2A6D7D27" w14:textId="77777777" w:rsidR="00D63B70" w:rsidRPr="006D52A9" w:rsidRDefault="00D63B70" w:rsidP="00D63B70">
            <w:pPr>
              <w:rPr>
                <w:rFonts w:ascii="Arial" w:hAnsi="Arial" w:cs="Arial"/>
                <w:sz w:val="16"/>
                <w:szCs w:val="16"/>
              </w:rPr>
            </w:pPr>
          </w:p>
        </w:tc>
        <w:tc>
          <w:tcPr>
            <w:tcW w:w="540" w:type="pct"/>
          </w:tcPr>
          <w:p w14:paraId="45671A08" w14:textId="77777777" w:rsidR="00D63B70" w:rsidRPr="006D52A9" w:rsidRDefault="00D63B70" w:rsidP="00D63B70">
            <w:pPr>
              <w:rPr>
                <w:rFonts w:ascii="Arial" w:hAnsi="Arial" w:cs="Arial"/>
                <w:sz w:val="16"/>
                <w:szCs w:val="16"/>
              </w:rPr>
            </w:pPr>
          </w:p>
        </w:tc>
        <w:tc>
          <w:tcPr>
            <w:tcW w:w="591" w:type="pct"/>
          </w:tcPr>
          <w:p w14:paraId="1F5E8F15"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MaxRx</w:t>
            </w:r>
          </w:p>
        </w:tc>
        <w:tc>
          <w:tcPr>
            <w:tcW w:w="894" w:type="pct"/>
          </w:tcPr>
          <w:p w14:paraId="09A3DADF"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6E104000" w14:textId="77777777" w:rsidR="00D63B70" w:rsidRPr="006D52A9" w:rsidRDefault="00D63B70" w:rsidP="00D63B70">
            <w:pPr>
              <w:rPr>
                <w:rFonts w:ascii="Arial" w:hAnsi="Arial" w:cs="Arial"/>
                <w:sz w:val="16"/>
                <w:szCs w:val="16"/>
              </w:rPr>
            </w:pPr>
          </w:p>
        </w:tc>
        <w:tc>
          <w:tcPr>
            <w:tcW w:w="499" w:type="pct"/>
          </w:tcPr>
          <w:p w14:paraId="0074398A"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05D0083A"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BA16747" w14:textId="77777777" w:rsidTr="00A91628">
        <w:tblPrEx>
          <w:tblBorders>
            <w:top w:val="single" w:sz="4" w:space="0" w:color="auto"/>
          </w:tblBorders>
        </w:tblPrEx>
        <w:trPr>
          <w:cantSplit/>
          <w:tblCellSpacing w:w="22" w:type="dxa"/>
        </w:trPr>
        <w:tc>
          <w:tcPr>
            <w:tcW w:w="508" w:type="pct"/>
          </w:tcPr>
          <w:p w14:paraId="3C7C19D9" w14:textId="77777777" w:rsidR="00D63B70" w:rsidRPr="006D52A9" w:rsidRDefault="00D63B70" w:rsidP="00D63B70">
            <w:pPr>
              <w:rPr>
                <w:rFonts w:ascii="Arial" w:hAnsi="Arial" w:cs="Arial"/>
                <w:sz w:val="16"/>
                <w:szCs w:val="16"/>
              </w:rPr>
            </w:pPr>
          </w:p>
        </w:tc>
        <w:tc>
          <w:tcPr>
            <w:tcW w:w="943" w:type="pct"/>
          </w:tcPr>
          <w:p w14:paraId="7FF873E0" w14:textId="77777777" w:rsidR="00D63B70" w:rsidRPr="006D52A9" w:rsidRDefault="00D63B70" w:rsidP="00D63B70">
            <w:pPr>
              <w:rPr>
                <w:rFonts w:ascii="Arial" w:hAnsi="Arial" w:cs="Arial"/>
                <w:sz w:val="16"/>
                <w:szCs w:val="16"/>
              </w:rPr>
            </w:pPr>
          </w:p>
        </w:tc>
        <w:tc>
          <w:tcPr>
            <w:tcW w:w="540" w:type="pct"/>
          </w:tcPr>
          <w:p w14:paraId="798246D1" w14:textId="77777777" w:rsidR="00D63B70" w:rsidRPr="006D52A9" w:rsidRDefault="00D63B70" w:rsidP="00D63B70">
            <w:pPr>
              <w:rPr>
                <w:rFonts w:ascii="Arial" w:hAnsi="Arial" w:cs="Arial"/>
                <w:sz w:val="16"/>
                <w:szCs w:val="16"/>
              </w:rPr>
            </w:pPr>
          </w:p>
        </w:tc>
        <w:tc>
          <w:tcPr>
            <w:tcW w:w="591" w:type="pct"/>
          </w:tcPr>
          <w:p w14:paraId="15E3B63E"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(SUN)</w:t>
            </w:r>
          </w:p>
        </w:tc>
        <w:tc>
          <w:tcPr>
            <w:tcW w:w="894" w:type="pct"/>
          </w:tcPr>
          <w:p w14:paraId="5BD314CE"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4BD20A16" w14:textId="77777777" w:rsidR="00D63B70" w:rsidRPr="006D52A9" w:rsidRDefault="00D63B70" w:rsidP="00D63B70">
            <w:pPr>
              <w:rPr>
                <w:rFonts w:ascii="Arial" w:hAnsi="Arial" w:cs="Arial"/>
                <w:sz w:val="16"/>
                <w:szCs w:val="16"/>
              </w:rPr>
            </w:pPr>
          </w:p>
        </w:tc>
        <w:tc>
          <w:tcPr>
            <w:tcW w:w="499" w:type="pct"/>
          </w:tcPr>
          <w:p w14:paraId="53D9D35F"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668EB422"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58AF9EFE" w14:textId="77777777" w:rsidTr="00A91628">
        <w:tblPrEx>
          <w:tblBorders>
            <w:top w:val="single" w:sz="4" w:space="0" w:color="auto"/>
          </w:tblBorders>
        </w:tblPrEx>
        <w:trPr>
          <w:cantSplit/>
          <w:tblCellSpacing w:w="22" w:type="dxa"/>
        </w:trPr>
        <w:tc>
          <w:tcPr>
            <w:tcW w:w="508" w:type="pct"/>
          </w:tcPr>
          <w:p w14:paraId="4A03C9FC" w14:textId="77777777" w:rsidR="00D63B70" w:rsidRPr="006D52A9" w:rsidRDefault="00D63B70" w:rsidP="00D63B70">
            <w:pPr>
              <w:rPr>
                <w:rFonts w:ascii="Arial" w:hAnsi="Arial" w:cs="Arial"/>
                <w:sz w:val="16"/>
                <w:szCs w:val="16"/>
              </w:rPr>
            </w:pPr>
          </w:p>
        </w:tc>
        <w:tc>
          <w:tcPr>
            <w:tcW w:w="943" w:type="pct"/>
          </w:tcPr>
          <w:p w14:paraId="0E68B56C" w14:textId="77777777" w:rsidR="00D63B70" w:rsidRPr="006D52A9" w:rsidRDefault="00D63B70" w:rsidP="00D63B70">
            <w:pPr>
              <w:rPr>
                <w:rFonts w:ascii="Arial" w:hAnsi="Arial" w:cs="Arial"/>
                <w:sz w:val="16"/>
                <w:szCs w:val="16"/>
              </w:rPr>
            </w:pPr>
          </w:p>
        </w:tc>
        <w:tc>
          <w:tcPr>
            <w:tcW w:w="540" w:type="pct"/>
          </w:tcPr>
          <w:p w14:paraId="6204A0C9" w14:textId="77777777" w:rsidR="00D63B70" w:rsidRPr="006D52A9" w:rsidRDefault="00D63B70" w:rsidP="00D63B70">
            <w:pPr>
              <w:rPr>
                <w:rFonts w:ascii="Arial" w:hAnsi="Arial" w:cs="Arial"/>
                <w:sz w:val="16"/>
                <w:szCs w:val="16"/>
              </w:rPr>
            </w:pPr>
          </w:p>
        </w:tc>
        <w:tc>
          <w:tcPr>
            <w:tcW w:w="591" w:type="pct"/>
          </w:tcPr>
          <w:p w14:paraId="669933D5"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0.1</w:t>
            </w:r>
          </w:p>
        </w:tc>
        <w:tc>
          <w:tcPr>
            <w:tcW w:w="894" w:type="pct"/>
          </w:tcPr>
          <w:p w14:paraId="1E66530A"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568C663F" w14:textId="77777777" w:rsidR="00D63B70" w:rsidRPr="006D52A9" w:rsidRDefault="00D63B70" w:rsidP="00D63B70">
            <w:pPr>
              <w:rPr>
                <w:rFonts w:ascii="Arial" w:hAnsi="Arial" w:cs="Arial"/>
                <w:sz w:val="16"/>
                <w:szCs w:val="16"/>
              </w:rPr>
            </w:pPr>
          </w:p>
        </w:tc>
        <w:tc>
          <w:tcPr>
            <w:tcW w:w="499" w:type="pct"/>
          </w:tcPr>
          <w:p w14:paraId="633B60E4"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7800FB24"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6E0A5331" w14:textId="77777777" w:rsidTr="00A91628">
        <w:tblPrEx>
          <w:tblBorders>
            <w:top w:val="single" w:sz="4" w:space="0" w:color="auto"/>
          </w:tblBorders>
        </w:tblPrEx>
        <w:trPr>
          <w:cantSplit/>
          <w:tblCellSpacing w:w="22" w:type="dxa"/>
        </w:trPr>
        <w:tc>
          <w:tcPr>
            <w:tcW w:w="508" w:type="pct"/>
          </w:tcPr>
          <w:p w14:paraId="64736D7C" w14:textId="77777777" w:rsidR="00D63B70" w:rsidRPr="006D52A9" w:rsidRDefault="00D63B70" w:rsidP="00D63B70">
            <w:pPr>
              <w:rPr>
                <w:rFonts w:ascii="Arial" w:hAnsi="Arial" w:cs="Arial"/>
                <w:sz w:val="16"/>
                <w:szCs w:val="16"/>
              </w:rPr>
            </w:pPr>
          </w:p>
        </w:tc>
        <w:tc>
          <w:tcPr>
            <w:tcW w:w="943" w:type="pct"/>
          </w:tcPr>
          <w:p w14:paraId="3B3C078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500 micrograms (as acetate) in 1 mL</w:t>
            </w:r>
          </w:p>
        </w:tc>
        <w:tc>
          <w:tcPr>
            <w:tcW w:w="540" w:type="pct"/>
          </w:tcPr>
          <w:p w14:paraId="08F901C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3C643A6"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GH</w:t>
            </w:r>
          </w:p>
        </w:tc>
        <w:tc>
          <w:tcPr>
            <w:tcW w:w="894" w:type="pct"/>
          </w:tcPr>
          <w:p w14:paraId="781E2A04"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383EDF2E" w14:textId="77777777" w:rsidR="00D63B70" w:rsidRPr="006D52A9" w:rsidRDefault="00D63B70" w:rsidP="00D63B70">
            <w:pPr>
              <w:rPr>
                <w:rFonts w:ascii="Arial" w:hAnsi="Arial" w:cs="Arial"/>
                <w:sz w:val="16"/>
                <w:szCs w:val="16"/>
              </w:rPr>
            </w:pPr>
          </w:p>
        </w:tc>
        <w:tc>
          <w:tcPr>
            <w:tcW w:w="499" w:type="pct"/>
          </w:tcPr>
          <w:p w14:paraId="5F04A7C6"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50A53C62"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41BE2E97" w14:textId="77777777" w:rsidTr="00A91628">
        <w:tblPrEx>
          <w:tblBorders>
            <w:top w:val="single" w:sz="4" w:space="0" w:color="auto"/>
          </w:tblBorders>
        </w:tblPrEx>
        <w:trPr>
          <w:cantSplit/>
          <w:tblCellSpacing w:w="22" w:type="dxa"/>
        </w:trPr>
        <w:tc>
          <w:tcPr>
            <w:tcW w:w="508" w:type="pct"/>
          </w:tcPr>
          <w:p w14:paraId="1D26659B" w14:textId="77777777" w:rsidR="00D63B70" w:rsidRPr="006D52A9" w:rsidRDefault="00D63B70" w:rsidP="00D63B70">
            <w:pPr>
              <w:keepNext/>
              <w:keepLines/>
              <w:rPr>
                <w:rFonts w:ascii="Arial" w:hAnsi="Arial" w:cs="Arial"/>
                <w:sz w:val="16"/>
                <w:szCs w:val="16"/>
              </w:rPr>
            </w:pPr>
          </w:p>
        </w:tc>
        <w:tc>
          <w:tcPr>
            <w:tcW w:w="943" w:type="pct"/>
          </w:tcPr>
          <w:p w14:paraId="6514A6E0" w14:textId="77777777" w:rsidR="00D63B70" w:rsidRPr="006D52A9" w:rsidRDefault="00D63B70" w:rsidP="00D63B70">
            <w:pPr>
              <w:keepNext/>
              <w:keepLines/>
              <w:rPr>
                <w:rFonts w:ascii="Arial" w:hAnsi="Arial" w:cs="Arial"/>
                <w:sz w:val="16"/>
                <w:szCs w:val="16"/>
              </w:rPr>
            </w:pPr>
          </w:p>
        </w:tc>
        <w:tc>
          <w:tcPr>
            <w:tcW w:w="540" w:type="pct"/>
          </w:tcPr>
          <w:p w14:paraId="6452C8B9" w14:textId="77777777" w:rsidR="00D63B70" w:rsidRPr="006D52A9" w:rsidRDefault="00D63B70" w:rsidP="00D63B70">
            <w:pPr>
              <w:keepNext/>
              <w:keepLines/>
              <w:rPr>
                <w:rFonts w:ascii="Arial" w:hAnsi="Arial" w:cs="Arial"/>
                <w:sz w:val="16"/>
                <w:szCs w:val="16"/>
              </w:rPr>
            </w:pPr>
          </w:p>
        </w:tc>
        <w:tc>
          <w:tcPr>
            <w:tcW w:w="591" w:type="pct"/>
          </w:tcPr>
          <w:p w14:paraId="56EB49E1"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Octreotide MaxRx</w:t>
            </w:r>
          </w:p>
        </w:tc>
        <w:tc>
          <w:tcPr>
            <w:tcW w:w="894" w:type="pct"/>
          </w:tcPr>
          <w:p w14:paraId="1B7E336D"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C6369 C6390 C8165 C9232 C9233 C9289</w:t>
            </w:r>
          </w:p>
        </w:tc>
        <w:tc>
          <w:tcPr>
            <w:tcW w:w="376" w:type="pct"/>
          </w:tcPr>
          <w:p w14:paraId="5387ABA5" w14:textId="77777777" w:rsidR="00D63B70" w:rsidRPr="006D52A9" w:rsidRDefault="00D63B70" w:rsidP="00D63B70">
            <w:pPr>
              <w:keepNext/>
              <w:keepLines/>
              <w:rPr>
                <w:rFonts w:ascii="Arial" w:hAnsi="Arial" w:cs="Arial"/>
                <w:sz w:val="16"/>
                <w:szCs w:val="16"/>
              </w:rPr>
            </w:pPr>
          </w:p>
        </w:tc>
        <w:tc>
          <w:tcPr>
            <w:tcW w:w="499" w:type="pct"/>
          </w:tcPr>
          <w:p w14:paraId="16D0CAFC"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90</w:t>
            </w:r>
          </w:p>
        </w:tc>
        <w:tc>
          <w:tcPr>
            <w:tcW w:w="502" w:type="pct"/>
          </w:tcPr>
          <w:p w14:paraId="6307EA8E"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11</w:t>
            </w:r>
          </w:p>
        </w:tc>
      </w:tr>
      <w:tr w:rsidR="00D63B70" w:rsidRPr="006D52A9" w14:paraId="685E3B9A" w14:textId="77777777" w:rsidTr="00A91628">
        <w:tblPrEx>
          <w:tblBorders>
            <w:top w:val="single" w:sz="4" w:space="0" w:color="auto"/>
          </w:tblBorders>
        </w:tblPrEx>
        <w:trPr>
          <w:cantSplit/>
          <w:tblCellSpacing w:w="22" w:type="dxa"/>
        </w:trPr>
        <w:tc>
          <w:tcPr>
            <w:tcW w:w="508" w:type="pct"/>
          </w:tcPr>
          <w:p w14:paraId="380E2B00" w14:textId="77777777" w:rsidR="00D63B70" w:rsidRPr="006D52A9" w:rsidRDefault="00D63B70" w:rsidP="00D63B70">
            <w:pPr>
              <w:rPr>
                <w:rFonts w:ascii="Arial" w:hAnsi="Arial" w:cs="Arial"/>
                <w:sz w:val="16"/>
                <w:szCs w:val="16"/>
              </w:rPr>
            </w:pPr>
          </w:p>
        </w:tc>
        <w:tc>
          <w:tcPr>
            <w:tcW w:w="943" w:type="pct"/>
          </w:tcPr>
          <w:p w14:paraId="1294782B" w14:textId="77777777" w:rsidR="00D63B70" w:rsidRPr="006D52A9" w:rsidRDefault="00D63B70" w:rsidP="00D63B70">
            <w:pPr>
              <w:rPr>
                <w:rFonts w:ascii="Arial" w:hAnsi="Arial" w:cs="Arial"/>
                <w:sz w:val="16"/>
                <w:szCs w:val="16"/>
              </w:rPr>
            </w:pPr>
          </w:p>
        </w:tc>
        <w:tc>
          <w:tcPr>
            <w:tcW w:w="540" w:type="pct"/>
          </w:tcPr>
          <w:p w14:paraId="64D2C2F0" w14:textId="77777777" w:rsidR="00D63B70" w:rsidRPr="006D52A9" w:rsidRDefault="00D63B70" w:rsidP="00D63B70">
            <w:pPr>
              <w:rPr>
                <w:rFonts w:ascii="Arial" w:hAnsi="Arial" w:cs="Arial"/>
                <w:sz w:val="16"/>
                <w:szCs w:val="16"/>
              </w:rPr>
            </w:pPr>
          </w:p>
        </w:tc>
        <w:tc>
          <w:tcPr>
            <w:tcW w:w="591" w:type="pct"/>
          </w:tcPr>
          <w:p w14:paraId="048D6FAC" w14:textId="77777777" w:rsidR="00D63B70" w:rsidRPr="006D52A9" w:rsidRDefault="00D63B70" w:rsidP="00D63B70">
            <w:pPr>
              <w:rPr>
                <w:rFonts w:ascii="Arial" w:hAnsi="Arial" w:cs="Arial"/>
                <w:sz w:val="16"/>
                <w:szCs w:val="16"/>
              </w:rPr>
            </w:pPr>
            <w:r w:rsidRPr="006D52A9">
              <w:rPr>
                <w:rFonts w:ascii="Arial" w:hAnsi="Arial" w:cs="Arial"/>
                <w:sz w:val="16"/>
                <w:szCs w:val="16"/>
              </w:rPr>
              <w:t>Octreotide (SUN)</w:t>
            </w:r>
          </w:p>
        </w:tc>
        <w:tc>
          <w:tcPr>
            <w:tcW w:w="894" w:type="pct"/>
          </w:tcPr>
          <w:p w14:paraId="4101BDFA"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7AE1E4E7" w14:textId="77777777" w:rsidR="00D63B70" w:rsidRPr="006D52A9" w:rsidRDefault="00D63B70" w:rsidP="00D63B70">
            <w:pPr>
              <w:rPr>
                <w:rFonts w:ascii="Arial" w:hAnsi="Arial" w:cs="Arial"/>
                <w:sz w:val="16"/>
                <w:szCs w:val="16"/>
              </w:rPr>
            </w:pPr>
          </w:p>
        </w:tc>
        <w:tc>
          <w:tcPr>
            <w:tcW w:w="499" w:type="pct"/>
          </w:tcPr>
          <w:p w14:paraId="47175DE4"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6679C3ED"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394E4C99" w14:textId="77777777" w:rsidTr="00A91628">
        <w:tblPrEx>
          <w:tblBorders>
            <w:top w:val="single" w:sz="4" w:space="0" w:color="auto"/>
          </w:tblBorders>
        </w:tblPrEx>
        <w:trPr>
          <w:cantSplit/>
          <w:tblCellSpacing w:w="22" w:type="dxa"/>
        </w:trPr>
        <w:tc>
          <w:tcPr>
            <w:tcW w:w="508" w:type="pct"/>
          </w:tcPr>
          <w:p w14:paraId="0221815A" w14:textId="77777777" w:rsidR="00D63B70" w:rsidRPr="006D52A9" w:rsidRDefault="00D63B70" w:rsidP="00D63B70">
            <w:pPr>
              <w:rPr>
                <w:rFonts w:ascii="Arial" w:hAnsi="Arial" w:cs="Arial"/>
                <w:sz w:val="16"/>
                <w:szCs w:val="16"/>
              </w:rPr>
            </w:pPr>
          </w:p>
        </w:tc>
        <w:tc>
          <w:tcPr>
            <w:tcW w:w="943" w:type="pct"/>
          </w:tcPr>
          <w:p w14:paraId="5A6C1D94" w14:textId="77777777" w:rsidR="00D63B70" w:rsidRPr="006D52A9" w:rsidRDefault="00D63B70" w:rsidP="00D63B70">
            <w:pPr>
              <w:rPr>
                <w:rFonts w:ascii="Arial" w:hAnsi="Arial" w:cs="Arial"/>
                <w:sz w:val="16"/>
                <w:szCs w:val="16"/>
              </w:rPr>
            </w:pPr>
          </w:p>
        </w:tc>
        <w:tc>
          <w:tcPr>
            <w:tcW w:w="540" w:type="pct"/>
          </w:tcPr>
          <w:p w14:paraId="00B7A657" w14:textId="77777777" w:rsidR="00D63B70" w:rsidRPr="006D52A9" w:rsidRDefault="00D63B70" w:rsidP="00D63B70">
            <w:pPr>
              <w:rPr>
                <w:rFonts w:ascii="Arial" w:hAnsi="Arial" w:cs="Arial"/>
                <w:sz w:val="16"/>
                <w:szCs w:val="16"/>
              </w:rPr>
            </w:pPr>
          </w:p>
        </w:tc>
        <w:tc>
          <w:tcPr>
            <w:tcW w:w="591" w:type="pct"/>
          </w:tcPr>
          <w:p w14:paraId="20750D7B"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0.5</w:t>
            </w:r>
          </w:p>
        </w:tc>
        <w:tc>
          <w:tcPr>
            <w:tcW w:w="894" w:type="pct"/>
          </w:tcPr>
          <w:p w14:paraId="4592F22A" w14:textId="77777777" w:rsidR="00D63B70" w:rsidRPr="006D52A9" w:rsidRDefault="00D63B70" w:rsidP="00D63B70">
            <w:pPr>
              <w:rPr>
                <w:rFonts w:ascii="Arial" w:hAnsi="Arial" w:cs="Arial"/>
                <w:sz w:val="16"/>
                <w:szCs w:val="16"/>
              </w:rPr>
            </w:pPr>
            <w:r w:rsidRPr="006D52A9">
              <w:rPr>
                <w:rFonts w:ascii="Arial" w:hAnsi="Arial" w:cs="Arial"/>
                <w:sz w:val="16"/>
                <w:szCs w:val="16"/>
              </w:rPr>
              <w:t>C6369 C6390 C8165 C9232 C9233 C9289</w:t>
            </w:r>
          </w:p>
        </w:tc>
        <w:tc>
          <w:tcPr>
            <w:tcW w:w="376" w:type="pct"/>
          </w:tcPr>
          <w:p w14:paraId="3161095E" w14:textId="77777777" w:rsidR="00D63B70" w:rsidRPr="006D52A9" w:rsidRDefault="00D63B70" w:rsidP="00D63B70">
            <w:pPr>
              <w:rPr>
                <w:rFonts w:ascii="Arial" w:hAnsi="Arial" w:cs="Arial"/>
                <w:i/>
                <w:sz w:val="16"/>
                <w:szCs w:val="16"/>
              </w:rPr>
            </w:pPr>
          </w:p>
        </w:tc>
        <w:tc>
          <w:tcPr>
            <w:tcW w:w="499" w:type="pct"/>
          </w:tcPr>
          <w:p w14:paraId="72B11DAF" w14:textId="77777777" w:rsidR="00D63B70" w:rsidRPr="006D52A9" w:rsidRDefault="00D63B70" w:rsidP="00D63B70">
            <w:pPr>
              <w:rPr>
                <w:rFonts w:ascii="Arial" w:hAnsi="Arial" w:cs="Arial"/>
                <w:sz w:val="16"/>
                <w:szCs w:val="16"/>
              </w:rPr>
            </w:pPr>
            <w:r w:rsidRPr="006D52A9">
              <w:rPr>
                <w:rFonts w:ascii="Arial" w:hAnsi="Arial" w:cs="Arial"/>
                <w:sz w:val="16"/>
                <w:szCs w:val="16"/>
              </w:rPr>
              <w:t>90</w:t>
            </w:r>
          </w:p>
        </w:tc>
        <w:tc>
          <w:tcPr>
            <w:tcW w:w="502" w:type="pct"/>
          </w:tcPr>
          <w:p w14:paraId="0FCCA7CE"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293DDD4C" w14:textId="77777777" w:rsidTr="00A91628">
        <w:tblPrEx>
          <w:tblBorders>
            <w:top w:val="single" w:sz="4" w:space="0" w:color="auto"/>
          </w:tblBorders>
        </w:tblPrEx>
        <w:trPr>
          <w:cantSplit/>
          <w:tblCellSpacing w:w="22" w:type="dxa"/>
        </w:trPr>
        <w:tc>
          <w:tcPr>
            <w:tcW w:w="508" w:type="pct"/>
          </w:tcPr>
          <w:p w14:paraId="0BDD5D5B" w14:textId="77777777" w:rsidR="00D63B70" w:rsidRPr="006D52A9" w:rsidRDefault="00D63B70" w:rsidP="00D63B70">
            <w:pPr>
              <w:rPr>
                <w:rFonts w:ascii="Arial" w:hAnsi="Arial" w:cs="Arial"/>
                <w:sz w:val="16"/>
                <w:szCs w:val="16"/>
              </w:rPr>
            </w:pPr>
          </w:p>
        </w:tc>
        <w:tc>
          <w:tcPr>
            <w:tcW w:w="943" w:type="pct"/>
          </w:tcPr>
          <w:p w14:paraId="4653226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(modified release) 10 mg (as acetate), vial and diluent syringe</w:t>
            </w:r>
          </w:p>
        </w:tc>
        <w:tc>
          <w:tcPr>
            <w:tcW w:w="540" w:type="pct"/>
          </w:tcPr>
          <w:p w14:paraId="7E5AD78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E0B2C48"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LAR</w:t>
            </w:r>
          </w:p>
        </w:tc>
        <w:tc>
          <w:tcPr>
            <w:tcW w:w="894" w:type="pct"/>
          </w:tcPr>
          <w:p w14:paraId="0DAEC90F" w14:textId="77777777" w:rsidR="00D63B70" w:rsidRPr="006D52A9" w:rsidRDefault="00D63B70" w:rsidP="00D63B70">
            <w:pPr>
              <w:rPr>
                <w:rFonts w:ascii="Arial" w:hAnsi="Arial" w:cs="Arial"/>
                <w:sz w:val="16"/>
                <w:szCs w:val="16"/>
              </w:rPr>
            </w:pPr>
            <w:r w:rsidRPr="006D52A9">
              <w:rPr>
                <w:rFonts w:ascii="Arial" w:hAnsi="Arial" w:cs="Arial"/>
                <w:sz w:val="16"/>
                <w:szCs w:val="16"/>
              </w:rPr>
              <w:t>C5901 C5906 C8161 C8197 C8198 C8208 C9262 C9288 C9313</w:t>
            </w:r>
          </w:p>
        </w:tc>
        <w:tc>
          <w:tcPr>
            <w:tcW w:w="376" w:type="pct"/>
          </w:tcPr>
          <w:p w14:paraId="05640484" w14:textId="77777777" w:rsidR="00D63B70" w:rsidRPr="006D52A9" w:rsidRDefault="00D63B70" w:rsidP="00D63B70">
            <w:pPr>
              <w:rPr>
                <w:rFonts w:ascii="Arial" w:hAnsi="Arial" w:cs="Arial"/>
                <w:sz w:val="16"/>
                <w:szCs w:val="16"/>
              </w:rPr>
            </w:pPr>
          </w:p>
        </w:tc>
        <w:tc>
          <w:tcPr>
            <w:tcW w:w="499" w:type="pct"/>
          </w:tcPr>
          <w:p w14:paraId="690DFB0A"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5864AC9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95BB713" w14:textId="77777777" w:rsidTr="00A91628">
        <w:tblPrEx>
          <w:tblBorders>
            <w:top w:val="single" w:sz="4" w:space="0" w:color="auto"/>
          </w:tblBorders>
        </w:tblPrEx>
        <w:trPr>
          <w:cantSplit/>
          <w:tblCellSpacing w:w="22" w:type="dxa"/>
        </w:trPr>
        <w:tc>
          <w:tcPr>
            <w:tcW w:w="508" w:type="pct"/>
          </w:tcPr>
          <w:p w14:paraId="455F682D" w14:textId="77777777" w:rsidR="00D63B70" w:rsidRPr="006D52A9" w:rsidRDefault="00D63B70" w:rsidP="00D63B70">
            <w:pPr>
              <w:rPr>
                <w:rFonts w:ascii="Arial" w:hAnsi="Arial" w:cs="Arial"/>
                <w:sz w:val="16"/>
                <w:szCs w:val="16"/>
              </w:rPr>
            </w:pPr>
          </w:p>
        </w:tc>
        <w:tc>
          <w:tcPr>
            <w:tcW w:w="943" w:type="pct"/>
          </w:tcPr>
          <w:p w14:paraId="782C6FB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(modified release) 20 mg (as acetate), vial and diluent syringe</w:t>
            </w:r>
          </w:p>
        </w:tc>
        <w:tc>
          <w:tcPr>
            <w:tcW w:w="540" w:type="pct"/>
          </w:tcPr>
          <w:p w14:paraId="5BC5E85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26F2201"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LAR</w:t>
            </w:r>
          </w:p>
        </w:tc>
        <w:tc>
          <w:tcPr>
            <w:tcW w:w="894" w:type="pct"/>
          </w:tcPr>
          <w:p w14:paraId="0C785662" w14:textId="77777777" w:rsidR="00D63B70" w:rsidRPr="006D52A9" w:rsidRDefault="00D63B70" w:rsidP="00D63B70">
            <w:pPr>
              <w:rPr>
                <w:rFonts w:ascii="Arial" w:hAnsi="Arial" w:cs="Arial"/>
                <w:sz w:val="16"/>
                <w:szCs w:val="16"/>
              </w:rPr>
            </w:pPr>
            <w:r w:rsidRPr="006D52A9">
              <w:rPr>
                <w:rFonts w:ascii="Arial" w:hAnsi="Arial" w:cs="Arial"/>
                <w:sz w:val="16"/>
                <w:szCs w:val="16"/>
              </w:rPr>
              <w:t>C5901 C5906 C8161 C8197 C8198 C8208 C9262 C9288 C9313</w:t>
            </w:r>
          </w:p>
        </w:tc>
        <w:tc>
          <w:tcPr>
            <w:tcW w:w="376" w:type="pct"/>
          </w:tcPr>
          <w:p w14:paraId="7F96B528" w14:textId="77777777" w:rsidR="00D63B70" w:rsidRPr="006D52A9" w:rsidRDefault="00D63B70" w:rsidP="00D63B70">
            <w:pPr>
              <w:rPr>
                <w:rFonts w:ascii="Arial" w:hAnsi="Arial" w:cs="Arial"/>
                <w:sz w:val="16"/>
                <w:szCs w:val="16"/>
              </w:rPr>
            </w:pPr>
          </w:p>
        </w:tc>
        <w:tc>
          <w:tcPr>
            <w:tcW w:w="499" w:type="pct"/>
          </w:tcPr>
          <w:p w14:paraId="53B0AB47"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3BA7A46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182BAD3" w14:textId="77777777" w:rsidTr="00A91628">
        <w:tblPrEx>
          <w:tblBorders>
            <w:top w:val="single" w:sz="4" w:space="0" w:color="auto"/>
          </w:tblBorders>
        </w:tblPrEx>
        <w:trPr>
          <w:cantSplit/>
          <w:tblCellSpacing w:w="22" w:type="dxa"/>
        </w:trPr>
        <w:tc>
          <w:tcPr>
            <w:tcW w:w="508" w:type="pct"/>
          </w:tcPr>
          <w:p w14:paraId="3E8B26B3" w14:textId="77777777" w:rsidR="00D63B70" w:rsidRPr="006D52A9" w:rsidRDefault="00D63B70" w:rsidP="00D63B70">
            <w:pPr>
              <w:rPr>
                <w:rFonts w:ascii="Arial" w:hAnsi="Arial" w:cs="Arial"/>
                <w:sz w:val="16"/>
                <w:szCs w:val="16"/>
              </w:rPr>
            </w:pPr>
          </w:p>
        </w:tc>
        <w:tc>
          <w:tcPr>
            <w:tcW w:w="943" w:type="pct"/>
          </w:tcPr>
          <w:p w14:paraId="7B586FD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(modified release) 30 mg (as acetate), vial and diluent syringe</w:t>
            </w:r>
          </w:p>
        </w:tc>
        <w:tc>
          <w:tcPr>
            <w:tcW w:w="540" w:type="pct"/>
          </w:tcPr>
          <w:p w14:paraId="0AC7DB5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0361D54" w14:textId="77777777" w:rsidR="00D63B70" w:rsidRPr="006D52A9" w:rsidRDefault="00D63B70" w:rsidP="00D63B70">
            <w:pPr>
              <w:rPr>
                <w:rFonts w:ascii="Arial" w:hAnsi="Arial" w:cs="Arial"/>
                <w:sz w:val="16"/>
                <w:szCs w:val="16"/>
              </w:rPr>
            </w:pPr>
            <w:r w:rsidRPr="006D52A9">
              <w:rPr>
                <w:rFonts w:ascii="Arial" w:hAnsi="Arial" w:cs="Arial"/>
                <w:sz w:val="16"/>
                <w:szCs w:val="16"/>
              </w:rPr>
              <w:t>Sandostatin LAR</w:t>
            </w:r>
          </w:p>
        </w:tc>
        <w:tc>
          <w:tcPr>
            <w:tcW w:w="894" w:type="pct"/>
          </w:tcPr>
          <w:p w14:paraId="270FE400" w14:textId="77777777" w:rsidR="00D63B70" w:rsidRPr="006D52A9" w:rsidRDefault="00D63B70" w:rsidP="00D63B70">
            <w:pPr>
              <w:rPr>
                <w:rFonts w:ascii="Arial" w:hAnsi="Arial" w:cs="Arial"/>
                <w:sz w:val="16"/>
                <w:szCs w:val="16"/>
              </w:rPr>
            </w:pPr>
            <w:r w:rsidRPr="006D52A9">
              <w:rPr>
                <w:rFonts w:ascii="Arial" w:hAnsi="Arial" w:cs="Arial"/>
                <w:sz w:val="16"/>
                <w:szCs w:val="16"/>
              </w:rPr>
              <w:t>C5901 C5906 C8161 C8197 C8198 C8208 C9262 C9288 C9313 C10061 C10075 C10077</w:t>
            </w:r>
          </w:p>
        </w:tc>
        <w:tc>
          <w:tcPr>
            <w:tcW w:w="376" w:type="pct"/>
          </w:tcPr>
          <w:p w14:paraId="27AAAE97" w14:textId="77777777" w:rsidR="00D63B70" w:rsidRPr="006D52A9" w:rsidRDefault="00D63B70" w:rsidP="00D63B70">
            <w:pPr>
              <w:rPr>
                <w:rFonts w:ascii="Arial" w:hAnsi="Arial" w:cs="Arial"/>
                <w:sz w:val="16"/>
                <w:szCs w:val="16"/>
              </w:rPr>
            </w:pPr>
          </w:p>
        </w:tc>
        <w:tc>
          <w:tcPr>
            <w:tcW w:w="499" w:type="pct"/>
          </w:tcPr>
          <w:p w14:paraId="59F8A17C"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3257E89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6B340E" w14:paraId="14B72FEA" w14:textId="77777777" w:rsidTr="00A91628">
        <w:tblPrEx>
          <w:tblBorders>
            <w:top w:val="single" w:sz="4" w:space="0" w:color="auto"/>
          </w:tblBorders>
        </w:tblPrEx>
        <w:trPr>
          <w:cantSplit/>
          <w:tblCellSpacing w:w="22" w:type="dxa"/>
        </w:trPr>
        <w:tc>
          <w:tcPr>
            <w:tcW w:w="508" w:type="pct"/>
          </w:tcPr>
          <w:p w14:paraId="3F4625EA"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Omalizumab</w:t>
            </w:r>
          </w:p>
        </w:tc>
        <w:tc>
          <w:tcPr>
            <w:tcW w:w="943" w:type="pct"/>
          </w:tcPr>
          <w:p w14:paraId="01296631"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Injection 75 mg in 0.5 mL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2C4213A9"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Injection </w:t>
            </w:r>
          </w:p>
        </w:tc>
        <w:tc>
          <w:tcPr>
            <w:tcW w:w="591" w:type="pct"/>
          </w:tcPr>
          <w:p w14:paraId="7DF8F429"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Xolair</w:t>
            </w:r>
          </w:p>
        </w:tc>
        <w:tc>
          <w:tcPr>
            <w:tcW w:w="894" w:type="pct"/>
          </w:tcPr>
          <w:p w14:paraId="52BBD652"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C9855 </w:t>
            </w:r>
            <w:r w:rsidRPr="006D52A9">
              <w:rPr>
                <w:sz w:val="16"/>
                <w:szCs w:val="16"/>
              </w:rPr>
              <w:t>C10219 C10223 C10226 C10265 C10279 C10299</w:t>
            </w:r>
          </w:p>
        </w:tc>
        <w:tc>
          <w:tcPr>
            <w:tcW w:w="376" w:type="pct"/>
          </w:tcPr>
          <w:p w14:paraId="0B19EEF8" w14:textId="77777777" w:rsidR="00D63B70" w:rsidRPr="006D52A9" w:rsidDel="006B340E" w:rsidRDefault="00D63B70" w:rsidP="00D63B70">
            <w:pPr>
              <w:rPr>
                <w:rFonts w:ascii="Arial" w:hAnsi="Arial" w:cs="Arial"/>
                <w:sz w:val="16"/>
                <w:szCs w:val="16"/>
              </w:rPr>
            </w:pPr>
          </w:p>
        </w:tc>
        <w:tc>
          <w:tcPr>
            <w:tcW w:w="499" w:type="pct"/>
          </w:tcPr>
          <w:p w14:paraId="7CF1582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1CF31D2"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B340E" w14:paraId="6E820A47" w14:textId="77777777" w:rsidTr="00A91628">
        <w:tblPrEx>
          <w:tblBorders>
            <w:top w:val="single" w:sz="4" w:space="0" w:color="auto"/>
          </w:tblBorders>
        </w:tblPrEx>
        <w:trPr>
          <w:cantSplit/>
          <w:tblCellSpacing w:w="22" w:type="dxa"/>
        </w:trPr>
        <w:tc>
          <w:tcPr>
            <w:tcW w:w="508" w:type="pct"/>
          </w:tcPr>
          <w:p w14:paraId="52B5E9B1" w14:textId="77777777" w:rsidR="00D63B70" w:rsidRPr="006D52A9" w:rsidDel="006B340E" w:rsidRDefault="00D63B70" w:rsidP="00D63B70">
            <w:pPr>
              <w:rPr>
                <w:rFonts w:ascii="Arial" w:hAnsi="Arial" w:cs="Arial"/>
                <w:sz w:val="16"/>
                <w:szCs w:val="16"/>
              </w:rPr>
            </w:pPr>
          </w:p>
        </w:tc>
        <w:tc>
          <w:tcPr>
            <w:tcW w:w="943" w:type="pct"/>
          </w:tcPr>
          <w:p w14:paraId="27D3024B"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Injection 150 mg in 1 mL single dose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650BCCAA"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Injection </w:t>
            </w:r>
          </w:p>
        </w:tc>
        <w:tc>
          <w:tcPr>
            <w:tcW w:w="591" w:type="pct"/>
          </w:tcPr>
          <w:p w14:paraId="10B7724C"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Xolair</w:t>
            </w:r>
          </w:p>
        </w:tc>
        <w:tc>
          <w:tcPr>
            <w:tcW w:w="894" w:type="pct"/>
          </w:tcPr>
          <w:p w14:paraId="68A88D99"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C7046 C7055 C9855 </w:t>
            </w:r>
            <w:r w:rsidRPr="006D52A9">
              <w:rPr>
                <w:sz w:val="16"/>
                <w:szCs w:val="16"/>
              </w:rPr>
              <w:t>C10219 C10223 C10226 C10265 C10279 C10299</w:t>
            </w:r>
          </w:p>
        </w:tc>
        <w:tc>
          <w:tcPr>
            <w:tcW w:w="376" w:type="pct"/>
          </w:tcPr>
          <w:p w14:paraId="254D0512" w14:textId="77777777" w:rsidR="00D63B70" w:rsidRPr="006D52A9" w:rsidDel="006B340E" w:rsidRDefault="00D63B70" w:rsidP="00D63B70">
            <w:pPr>
              <w:rPr>
                <w:rFonts w:ascii="Arial" w:hAnsi="Arial" w:cs="Arial"/>
                <w:sz w:val="16"/>
                <w:szCs w:val="16"/>
              </w:rPr>
            </w:pPr>
          </w:p>
        </w:tc>
        <w:tc>
          <w:tcPr>
            <w:tcW w:w="499" w:type="pct"/>
          </w:tcPr>
          <w:p w14:paraId="16C838E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A3B42E5" w14:textId="77777777" w:rsidR="00D63B70" w:rsidRPr="006D52A9" w:rsidDel="006B340E"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BB85BEF" w14:textId="77777777" w:rsidTr="00A91628">
        <w:tblPrEx>
          <w:tblBorders>
            <w:top w:val="single" w:sz="4" w:space="0" w:color="auto"/>
          </w:tblBorders>
        </w:tblPrEx>
        <w:trPr>
          <w:cantSplit/>
          <w:tblCellSpacing w:w="22" w:type="dxa"/>
        </w:trPr>
        <w:tc>
          <w:tcPr>
            <w:tcW w:w="508" w:type="pct"/>
          </w:tcPr>
          <w:p w14:paraId="0DD143C0" w14:textId="77777777" w:rsidR="00D63B70" w:rsidRPr="006D52A9" w:rsidRDefault="00D63B70" w:rsidP="00D63B70">
            <w:pPr>
              <w:rPr>
                <w:rFonts w:ascii="Arial" w:hAnsi="Arial" w:cs="Arial"/>
                <w:sz w:val="16"/>
                <w:szCs w:val="16"/>
              </w:rPr>
            </w:pPr>
            <w:r w:rsidRPr="006D52A9">
              <w:rPr>
                <w:rFonts w:ascii="Arial" w:hAnsi="Arial" w:cs="Arial"/>
                <w:sz w:val="16"/>
                <w:szCs w:val="16"/>
              </w:rPr>
              <w:t>Pamidronic Acid</w:t>
            </w:r>
          </w:p>
        </w:tc>
        <w:tc>
          <w:tcPr>
            <w:tcW w:w="943" w:type="pct"/>
          </w:tcPr>
          <w:p w14:paraId="3020DD44" w14:textId="77777777" w:rsidR="00D63B70" w:rsidRPr="006D52A9" w:rsidRDefault="00D63B70" w:rsidP="00D63B70">
            <w:pPr>
              <w:rPr>
                <w:rFonts w:ascii="Arial" w:hAnsi="Arial" w:cs="Arial"/>
                <w:sz w:val="16"/>
                <w:szCs w:val="16"/>
              </w:rPr>
            </w:pPr>
            <w:r w:rsidRPr="006D52A9">
              <w:rPr>
                <w:rFonts w:ascii="Arial" w:hAnsi="Arial" w:cs="Arial"/>
                <w:sz w:val="16"/>
                <w:szCs w:val="16"/>
              </w:rPr>
              <w:t>Concentrated injection containing pamidronate disodium 15 mg in 5 mL</w:t>
            </w:r>
          </w:p>
        </w:tc>
        <w:tc>
          <w:tcPr>
            <w:tcW w:w="540" w:type="pct"/>
          </w:tcPr>
          <w:p w14:paraId="77D53C3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A74D563" w14:textId="77777777" w:rsidR="00D63B70" w:rsidRPr="006D52A9" w:rsidRDefault="00D63B70" w:rsidP="00D63B70">
            <w:pPr>
              <w:rPr>
                <w:rFonts w:ascii="Arial" w:hAnsi="Arial" w:cs="Arial"/>
                <w:sz w:val="16"/>
                <w:szCs w:val="16"/>
              </w:rPr>
            </w:pPr>
            <w:r w:rsidRPr="006D52A9">
              <w:rPr>
                <w:rFonts w:ascii="Arial" w:hAnsi="Arial" w:cs="Arial"/>
                <w:sz w:val="16"/>
                <w:szCs w:val="16"/>
              </w:rPr>
              <w:t>Pamisol</w:t>
            </w:r>
          </w:p>
        </w:tc>
        <w:tc>
          <w:tcPr>
            <w:tcW w:w="894" w:type="pct"/>
          </w:tcPr>
          <w:p w14:paraId="7F2B2016" w14:textId="77777777" w:rsidR="00D63B70" w:rsidRPr="006D52A9" w:rsidRDefault="00D63B70" w:rsidP="00D63B70">
            <w:pPr>
              <w:rPr>
                <w:rFonts w:ascii="Arial" w:hAnsi="Arial" w:cs="Arial"/>
                <w:sz w:val="16"/>
                <w:szCs w:val="16"/>
              </w:rPr>
            </w:pPr>
            <w:r w:rsidRPr="006D52A9">
              <w:rPr>
                <w:rFonts w:ascii="Arial" w:hAnsi="Arial" w:cs="Arial"/>
                <w:sz w:val="16"/>
                <w:szCs w:val="16"/>
              </w:rPr>
              <w:t>C4433 C9234</w:t>
            </w:r>
          </w:p>
        </w:tc>
        <w:tc>
          <w:tcPr>
            <w:tcW w:w="376" w:type="pct"/>
          </w:tcPr>
          <w:p w14:paraId="347AE620" w14:textId="77777777" w:rsidR="00D63B70" w:rsidRPr="006D52A9" w:rsidRDefault="00D63B70" w:rsidP="00D63B70">
            <w:pPr>
              <w:rPr>
                <w:rFonts w:ascii="Arial" w:hAnsi="Arial" w:cs="Arial"/>
                <w:sz w:val="16"/>
                <w:szCs w:val="16"/>
              </w:rPr>
            </w:pPr>
          </w:p>
        </w:tc>
        <w:tc>
          <w:tcPr>
            <w:tcW w:w="499" w:type="pct"/>
          </w:tcPr>
          <w:p w14:paraId="69DB3675" w14:textId="77777777" w:rsidR="00D63B70" w:rsidRPr="006D52A9" w:rsidRDefault="00D63B70" w:rsidP="00D63B70">
            <w:pPr>
              <w:rPr>
                <w:rFonts w:ascii="Arial" w:hAnsi="Arial" w:cs="Arial"/>
                <w:sz w:val="16"/>
                <w:szCs w:val="16"/>
              </w:rPr>
            </w:pPr>
            <w:r w:rsidRPr="006D52A9">
              <w:rPr>
                <w:rFonts w:ascii="Arial" w:hAnsi="Arial" w:cs="Arial"/>
                <w:sz w:val="16"/>
                <w:szCs w:val="16"/>
              </w:rPr>
              <w:t>4</w:t>
            </w:r>
          </w:p>
        </w:tc>
        <w:tc>
          <w:tcPr>
            <w:tcW w:w="502" w:type="pct"/>
          </w:tcPr>
          <w:p w14:paraId="19C528BB"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BA48CD" w14:paraId="13205D52" w14:textId="77777777" w:rsidTr="00A91628">
        <w:tblPrEx>
          <w:tblBorders>
            <w:top w:val="single" w:sz="4" w:space="0" w:color="auto"/>
          </w:tblBorders>
        </w:tblPrEx>
        <w:trPr>
          <w:cantSplit/>
          <w:tblCellSpacing w:w="22" w:type="dxa"/>
        </w:trPr>
        <w:tc>
          <w:tcPr>
            <w:tcW w:w="508" w:type="pct"/>
          </w:tcPr>
          <w:p w14:paraId="2AABBD09" w14:textId="77777777" w:rsidR="00D63B70" w:rsidRPr="006D52A9" w:rsidDel="00BA48CD" w:rsidRDefault="00D63B70" w:rsidP="00D63B70">
            <w:pPr>
              <w:rPr>
                <w:rFonts w:ascii="Arial" w:hAnsi="Arial" w:cs="Arial"/>
                <w:sz w:val="16"/>
                <w:szCs w:val="16"/>
              </w:rPr>
            </w:pPr>
          </w:p>
        </w:tc>
        <w:tc>
          <w:tcPr>
            <w:tcW w:w="943" w:type="pct"/>
          </w:tcPr>
          <w:p w14:paraId="197FDA9D"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Concentrated injection containing pamidronate disodium 30 mg in 10 mL</w:t>
            </w:r>
          </w:p>
        </w:tc>
        <w:tc>
          <w:tcPr>
            <w:tcW w:w="540" w:type="pct"/>
          </w:tcPr>
          <w:p w14:paraId="58F2726E"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81CC50B"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Pamisol</w:t>
            </w:r>
          </w:p>
        </w:tc>
        <w:tc>
          <w:tcPr>
            <w:tcW w:w="894" w:type="pct"/>
          </w:tcPr>
          <w:p w14:paraId="32C02418"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C4433 C9234</w:t>
            </w:r>
          </w:p>
        </w:tc>
        <w:tc>
          <w:tcPr>
            <w:tcW w:w="376" w:type="pct"/>
          </w:tcPr>
          <w:p w14:paraId="1035722E" w14:textId="77777777" w:rsidR="00D63B70" w:rsidRPr="006D52A9" w:rsidDel="00BA48CD" w:rsidRDefault="00D63B70" w:rsidP="00D63B70">
            <w:pPr>
              <w:rPr>
                <w:rFonts w:ascii="Arial" w:hAnsi="Arial" w:cs="Arial"/>
                <w:sz w:val="16"/>
                <w:szCs w:val="16"/>
              </w:rPr>
            </w:pPr>
          </w:p>
        </w:tc>
        <w:tc>
          <w:tcPr>
            <w:tcW w:w="499" w:type="pct"/>
          </w:tcPr>
          <w:p w14:paraId="6D6A10CC"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191343E5"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24A1B772" w14:textId="77777777" w:rsidTr="00A91628">
        <w:tblPrEx>
          <w:tblBorders>
            <w:top w:val="single" w:sz="4" w:space="0" w:color="auto"/>
          </w:tblBorders>
        </w:tblPrEx>
        <w:trPr>
          <w:cantSplit/>
          <w:tblCellSpacing w:w="22" w:type="dxa"/>
        </w:trPr>
        <w:tc>
          <w:tcPr>
            <w:tcW w:w="508" w:type="pct"/>
          </w:tcPr>
          <w:p w14:paraId="5BA8BDF2" w14:textId="77777777" w:rsidR="00D63B70" w:rsidRPr="006D52A9" w:rsidRDefault="00D63B70" w:rsidP="00D63B70">
            <w:pPr>
              <w:rPr>
                <w:rFonts w:ascii="Arial" w:hAnsi="Arial" w:cs="Arial"/>
                <w:sz w:val="16"/>
                <w:szCs w:val="16"/>
              </w:rPr>
            </w:pPr>
          </w:p>
        </w:tc>
        <w:tc>
          <w:tcPr>
            <w:tcW w:w="943" w:type="pct"/>
          </w:tcPr>
          <w:p w14:paraId="738BDEBA" w14:textId="77777777" w:rsidR="00D63B70" w:rsidRPr="006D52A9" w:rsidRDefault="00D63B70" w:rsidP="00D63B70">
            <w:pPr>
              <w:rPr>
                <w:rFonts w:ascii="Arial" w:hAnsi="Arial" w:cs="Arial"/>
                <w:sz w:val="16"/>
                <w:szCs w:val="16"/>
              </w:rPr>
            </w:pPr>
            <w:r w:rsidRPr="006D52A9">
              <w:rPr>
                <w:rFonts w:ascii="Arial" w:hAnsi="Arial" w:cs="Arial"/>
                <w:sz w:val="16"/>
                <w:szCs w:val="16"/>
              </w:rPr>
              <w:t>Concentrated injection containing pamidronate disodium 60 mg in 10 mL</w:t>
            </w:r>
          </w:p>
        </w:tc>
        <w:tc>
          <w:tcPr>
            <w:tcW w:w="540" w:type="pct"/>
          </w:tcPr>
          <w:p w14:paraId="57EC826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7537493" w14:textId="77777777" w:rsidR="00D63B70" w:rsidRPr="006D52A9" w:rsidRDefault="00D63B70" w:rsidP="00D63B70">
            <w:pPr>
              <w:rPr>
                <w:rFonts w:ascii="Arial" w:hAnsi="Arial" w:cs="Arial"/>
                <w:sz w:val="16"/>
                <w:szCs w:val="16"/>
              </w:rPr>
            </w:pPr>
            <w:r w:rsidRPr="006D52A9">
              <w:rPr>
                <w:rFonts w:ascii="Arial" w:hAnsi="Arial" w:cs="Arial"/>
                <w:sz w:val="16"/>
                <w:szCs w:val="16"/>
              </w:rPr>
              <w:t>Pamisol</w:t>
            </w:r>
          </w:p>
        </w:tc>
        <w:tc>
          <w:tcPr>
            <w:tcW w:w="894" w:type="pct"/>
          </w:tcPr>
          <w:p w14:paraId="47ABE5FF" w14:textId="77777777" w:rsidR="00D63B70" w:rsidRPr="006D52A9" w:rsidRDefault="00D63B70" w:rsidP="00D63B70">
            <w:pPr>
              <w:rPr>
                <w:rFonts w:ascii="Arial" w:hAnsi="Arial" w:cs="Arial"/>
                <w:sz w:val="16"/>
                <w:szCs w:val="16"/>
              </w:rPr>
            </w:pPr>
            <w:r w:rsidRPr="006D52A9">
              <w:rPr>
                <w:rFonts w:ascii="Arial" w:hAnsi="Arial" w:cs="Arial"/>
                <w:sz w:val="16"/>
                <w:szCs w:val="16"/>
              </w:rPr>
              <w:t>C4433 C9234</w:t>
            </w:r>
          </w:p>
        </w:tc>
        <w:tc>
          <w:tcPr>
            <w:tcW w:w="376" w:type="pct"/>
          </w:tcPr>
          <w:p w14:paraId="28A34320" w14:textId="77777777" w:rsidR="00D63B70" w:rsidRPr="006D52A9" w:rsidRDefault="00D63B70" w:rsidP="00D63B70">
            <w:pPr>
              <w:rPr>
                <w:rFonts w:ascii="Arial" w:hAnsi="Arial" w:cs="Arial"/>
                <w:sz w:val="16"/>
                <w:szCs w:val="16"/>
              </w:rPr>
            </w:pPr>
          </w:p>
        </w:tc>
        <w:tc>
          <w:tcPr>
            <w:tcW w:w="499" w:type="pct"/>
          </w:tcPr>
          <w:p w14:paraId="1A52F426"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7B6D2141"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BA48CD" w14:paraId="2B3FADFA" w14:textId="77777777" w:rsidTr="00A91628">
        <w:tblPrEx>
          <w:tblBorders>
            <w:top w:val="single" w:sz="4" w:space="0" w:color="auto"/>
          </w:tblBorders>
        </w:tblPrEx>
        <w:trPr>
          <w:cantSplit/>
          <w:tblCellSpacing w:w="22" w:type="dxa"/>
        </w:trPr>
        <w:tc>
          <w:tcPr>
            <w:tcW w:w="508" w:type="pct"/>
          </w:tcPr>
          <w:p w14:paraId="6B075B91" w14:textId="77777777" w:rsidR="00D63B70" w:rsidRPr="006D52A9" w:rsidDel="00BA48CD" w:rsidRDefault="00D63B70" w:rsidP="00D63B70">
            <w:pPr>
              <w:rPr>
                <w:rFonts w:ascii="Arial" w:hAnsi="Arial" w:cs="Arial"/>
                <w:sz w:val="16"/>
                <w:szCs w:val="16"/>
                <w:vertAlign w:val="subscript"/>
              </w:rPr>
            </w:pPr>
          </w:p>
        </w:tc>
        <w:tc>
          <w:tcPr>
            <w:tcW w:w="943" w:type="pct"/>
          </w:tcPr>
          <w:p w14:paraId="1450AAA3" w14:textId="77777777" w:rsidR="00D63B70" w:rsidRPr="006D52A9" w:rsidDel="00BA48CD" w:rsidRDefault="00D63B70" w:rsidP="00D63B70">
            <w:pPr>
              <w:rPr>
                <w:rFonts w:ascii="Arial" w:hAnsi="Arial" w:cs="Arial"/>
                <w:sz w:val="16"/>
                <w:szCs w:val="16"/>
                <w:vertAlign w:val="subscript"/>
              </w:rPr>
            </w:pPr>
            <w:r w:rsidRPr="006D52A9">
              <w:rPr>
                <w:rFonts w:ascii="Arial" w:hAnsi="Arial" w:cs="Arial"/>
                <w:sz w:val="16"/>
                <w:szCs w:val="16"/>
              </w:rPr>
              <w:t>Concentrated injection containing pamidronate disodium 90 mg in 10 mL</w:t>
            </w:r>
          </w:p>
        </w:tc>
        <w:tc>
          <w:tcPr>
            <w:tcW w:w="540" w:type="pct"/>
          </w:tcPr>
          <w:p w14:paraId="75AEE47C" w14:textId="77777777" w:rsidR="00D63B70" w:rsidRPr="006D52A9" w:rsidDel="00BA48CD" w:rsidRDefault="00D63B70" w:rsidP="00D63B70">
            <w:pPr>
              <w:rPr>
                <w:rFonts w:ascii="Arial" w:hAnsi="Arial" w:cs="Arial"/>
                <w:sz w:val="16"/>
                <w:szCs w:val="16"/>
                <w:vertAlign w:val="subscript"/>
              </w:rPr>
            </w:pPr>
            <w:r w:rsidRPr="006D52A9">
              <w:rPr>
                <w:rFonts w:ascii="Arial" w:hAnsi="Arial" w:cs="Arial"/>
                <w:sz w:val="16"/>
                <w:szCs w:val="16"/>
              </w:rPr>
              <w:t>Injection</w:t>
            </w:r>
          </w:p>
        </w:tc>
        <w:tc>
          <w:tcPr>
            <w:tcW w:w="591" w:type="pct"/>
          </w:tcPr>
          <w:p w14:paraId="51806EDE" w14:textId="77777777" w:rsidR="00D63B70" w:rsidRPr="006D52A9" w:rsidDel="00BA48CD" w:rsidRDefault="00D63B70" w:rsidP="00D63B70">
            <w:pPr>
              <w:rPr>
                <w:rFonts w:ascii="Arial" w:hAnsi="Arial" w:cs="Arial"/>
                <w:sz w:val="16"/>
                <w:szCs w:val="16"/>
                <w:vertAlign w:val="subscript"/>
              </w:rPr>
            </w:pPr>
            <w:r w:rsidRPr="006D52A9">
              <w:rPr>
                <w:rFonts w:ascii="Arial" w:hAnsi="Arial" w:cs="Arial"/>
                <w:sz w:val="16"/>
                <w:szCs w:val="16"/>
              </w:rPr>
              <w:t>Pamisol</w:t>
            </w:r>
          </w:p>
        </w:tc>
        <w:tc>
          <w:tcPr>
            <w:tcW w:w="894" w:type="pct"/>
          </w:tcPr>
          <w:p w14:paraId="472A245F" w14:textId="77777777" w:rsidR="00D63B70" w:rsidRPr="006D52A9" w:rsidDel="00BA48CD" w:rsidRDefault="00D63B70" w:rsidP="00D63B70">
            <w:pPr>
              <w:rPr>
                <w:rFonts w:ascii="Arial" w:hAnsi="Arial" w:cs="Arial"/>
                <w:sz w:val="16"/>
                <w:szCs w:val="16"/>
                <w:vertAlign w:val="subscript"/>
              </w:rPr>
            </w:pPr>
            <w:r w:rsidRPr="006D52A9">
              <w:rPr>
                <w:rFonts w:ascii="Arial" w:hAnsi="Arial" w:cs="Arial"/>
                <w:sz w:val="16"/>
                <w:szCs w:val="16"/>
              </w:rPr>
              <w:t>C4433 C5218 C5291 C9234 C9315 C9335</w:t>
            </w:r>
          </w:p>
        </w:tc>
        <w:tc>
          <w:tcPr>
            <w:tcW w:w="376" w:type="pct"/>
          </w:tcPr>
          <w:p w14:paraId="36C235AA" w14:textId="77777777" w:rsidR="00D63B70" w:rsidRPr="006D52A9" w:rsidDel="00BA48CD" w:rsidRDefault="00D63B70" w:rsidP="00D63B70">
            <w:pPr>
              <w:rPr>
                <w:rFonts w:ascii="Arial" w:hAnsi="Arial" w:cs="Arial"/>
                <w:sz w:val="16"/>
                <w:szCs w:val="16"/>
              </w:rPr>
            </w:pPr>
          </w:p>
        </w:tc>
        <w:tc>
          <w:tcPr>
            <w:tcW w:w="499" w:type="pct"/>
          </w:tcPr>
          <w:p w14:paraId="53919CD7"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143AB508" w14:textId="77777777" w:rsidR="00D63B70" w:rsidRPr="006D52A9" w:rsidDel="00BA48CD"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77D9895C" w14:textId="77777777" w:rsidTr="00A91628">
        <w:tblPrEx>
          <w:tblBorders>
            <w:top w:val="single" w:sz="4" w:space="0" w:color="auto"/>
          </w:tblBorders>
        </w:tblPrEx>
        <w:trPr>
          <w:tblCellSpacing w:w="22" w:type="dxa"/>
        </w:trPr>
        <w:tc>
          <w:tcPr>
            <w:tcW w:w="508" w:type="pct"/>
          </w:tcPr>
          <w:p w14:paraId="450220E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Pasireotide</w:t>
            </w:r>
          </w:p>
        </w:tc>
        <w:tc>
          <w:tcPr>
            <w:tcW w:w="943" w:type="pct"/>
          </w:tcPr>
          <w:p w14:paraId="7DB4B932"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 (modified release) 20 mg (as embonate), vial and diluent syringe</w:t>
            </w:r>
          </w:p>
        </w:tc>
        <w:tc>
          <w:tcPr>
            <w:tcW w:w="540" w:type="pct"/>
          </w:tcPr>
          <w:p w14:paraId="1931A25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202E6C2E"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Signifor LAR</w:t>
            </w:r>
          </w:p>
        </w:tc>
        <w:tc>
          <w:tcPr>
            <w:tcW w:w="894" w:type="pct"/>
          </w:tcPr>
          <w:p w14:paraId="2FF8E280"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C9088 C9089</w:t>
            </w:r>
          </w:p>
        </w:tc>
        <w:tc>
          <w:tcPr>
            <w:tcW w:w="376" w:type="pct"/>
          </w:tcPr>
          <w:p w14:paraId="7A160E68" w14:textId="77777777" w:rsidR="00D63B70" w:rsidRPr="006D52A9" w:rsidRDefault="00D63B70" w:rsidP="00D63B70">
            <w:pPr>
              <w:keepNext/>
              <w:rPr>
                <w:rFonts w:ascii="Arial" w:hAnsi="Arial" w:cs="Arial"/>
                <w:sz w:val="16"/>
                <w:szCs w:val="16"/>
              </w:rPr>
            </w:pPr>
          </w:p>
        </w:tc>
        <w:tc>
          <w:tcPr>
            <w:tcW w:w="499" w:type="pct"/>
          </w:tcPr>
          <w:p w14:paraId="3B3397A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54EB74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7A530EA6" w14:textId="77777777" w:rsidTr="00A91628">
        <w:tblPrEx>
          <w:tblBorders>
            <w:top w:val="single" w:sz="4" w:space="0" w:color="auto"/>
          </w:tblBorders>
        </w:tblPrEx>
        <w:trPr>
          <w:cantSplit/>
          <w:tblCellSpacing w:w="22" w:type="dxa"/>
        </w:trPr>
        <w:tc>
          <w:tcPr>
            <w:tcW w:w="508" w:type="pct"/>
          </w:tcPr>
          <w:p w14:paraId="6F779092" w14:textId="77777777" w:rsidR="00D63B70" w:rsidRPr="006D52A9" w:rsidRDefault="00D63B70" w:rsidP="00D63B70">
            <w:pPr>
              <w:rPr>
                <w:rFonts w:ascii="Arial" w:hAnsi="Arial" w:cs="Arial"/>
                <w:sz w:val="16"/>
                <w:szCs w:val="16"/>
              </w:rPr>
            </w:pPr>
          </w:p>
        </w:tc>
        <w:tc>
          <w:tcPr>
            <w:tcW w:w="943" w:type="pct"/>
          </w:tcPr>
          <w:p w14:paraId="58F21E8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(modified release) 40 mg (as embonate), vial and diluent syringe</w:t>
            </w:r>
          </w:p>
        </w:tc>
        <w:tc>
          <w:tcPr>
            <w:tcW w:w="540" w:type="pct"/>
          </w:tcPr>
          <w:p w14:paraId="5B89499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CD973C2" w14:textId="77777777" w:rsidR="00D63B70" w:rsidRPr="006D52A9" w:rsidRDefault="00D63B70" w:rsidP="00D63B70">
            <w:pPr>
              <w:rPr>
                <w:rFonts w:ascii="Arial" w:hAnsi="Arial" w:cs="Arial"/>
                <w:sz w:val="16"/>
                <w:szCs w:val="16"/>
              </w:rPr>
            </w:pPr>
            <w:r w:rsidRPr="006D52A9">
              <w:rPr>
                <w:rFonts w:ascii="Arial" w:hAnsi="Arial" w:cs="Arial"/>
                <w:sz w:val="16"/>
                <w:szCs w:val="16"/>
              </w:rPr>
              <w:t>Signifor LAR</w:t>
            </w:r>
          </w:p>
        </w:tc>
        <w:tc>
          <w:tcPr>
            <w:tcW w:w="894" w:type="pct"/>
          </w:tcPr>
          <w:p w14:paraId="7D3AB902" w14:textId="77777777" w:rsidR="00D63B70" w:rsidRPr="006D52A9" w:rsidRDefault="00D63B70" w:rsidP="00D63B70">
            <w:pPr>
              <w:rPr>
                <w:rFonts w:ascii="Arial" w:hAnsi="Arial" w:cs="Arial"/>
                <w:sz w:val="16"/>
                <w:szCs w:val="16"/>
              </w:rPr>
            </w:pPr>
            <w:r w:rsidRPr="006D52A9">
              <w:rPr>
                <w:rFonts w:ascii="Arial" w:hAnsi="Arial" w:cs="Arial"/>
                <w:sz w:val="16"/>
                <w:szCs w:val="16"/>
              </w:rPr>
              <w:t>C9088 C9089</w:t>
            </w:r>
          </w:p>
        </w:tc>
        <w:tc>
          <w:tcPr>
            <w:tcW w:w="376" w:type="pct"/>
          </w:tcPr>
          <w:p w14:paraId="50D87245" w14:textId="77777777" w:rsidR="00D63B70" w:rsidRPr="006D52A9" w:rsidRDefault="00D63B70" w:rsidP="00D63B70">
            <w:pPr>
              <w:rPr>
                <w:rFonts w:ascii="Arial" w:hAnsi="Arial" w:cs="Arial"/>
                <w:sz w:val="16"/>
                <w:szCs w:val="16"/>
              </w:rPr>
            </w:pPr>
          </w:p>
        </w:tc>
        <w:tc>
          <w:tcPr>
            <w:tcW w:w="499" w:type="pct"/>
          </w:tcPr>
          <w:p w14:paraId="1AA4945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6DA9356"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03BFAF7" w14:textId="77777777" w:rsidTr="00A91628">
        <w:tblPrEx>
          <w:tblBorders>
            <w:top w:val="single" w:sz="4" w:space="0" w:color="auto"/>
          </w:tblBorders>
        </w:tblPrEx>
        <w:trPr>
          <w:cantSplit/>
          <w:tblCellSpacing w:w="22" w:type="dxa"/>
        </w:trPr>
        <w:tc>
          <w:tcPr>
            <w:tcW w:w="508" w:type="pct"/>
          </w:tcPr>
          <w:p w14:paraId="5F65F049" w14:textId="77777777" w:rsidR="00D63B70" w:rsidRPr="006D52A9" w:rsidRDefault="00D63B70" w:rsidP="00D63B70">
            <w:pPr>
              <w:rPr>
                <w:rFonts w:ascii="Arial" w:hAnsi="Arial" w:cs="Arial"/>
                <w:sz w:val="16"/>
                <w:szCs w:val="16"/>
              </w:rPr>
            </w:pPr>
          </w:p>
        </w:tc>
        <w:tc>
          <w:tcPr>
            <w:tcW w:w="943" w:type="pct"/>
          </w:tcPr>
          <w:p w14:paraId="64C015A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(modified release) 60 mg (as embonate), vial and diluent syringe</w:t>
            </w:r>
          </w:p>
        </w:tc>
        <w:tc>
          <w:tcPr>
            <w:tcW w:w="540" w:type="pct"/>
          </w:tcPr>
          <w:p w14:paraId="380ABE05"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F289B50" w14:textId="77777777" w:rsidR="00D63B70" w:rsidRPr="006D52A9" w:rsidRDefault="00D63B70" w:rsidP="00D63B70">
            <w:pPr>
              <w:rPr>
                <w:rFonts w:ascii="Arial" w:hAnsi="Arial" w:cs="Arial"/>
                <w:sz w:val="16"/>
                <w:szCs w:val="16"/>
              </w:rPr>
            </w:pPr>
            <w:r w:rsidRPr="006D52A9">
              <w:rPr>
                <w:rFonts w:ascii="Arial" w:hAnsi="Arial" w:cs="Arial"/>
                <w:sz w:val="16"/>
                <w:szCs w:val="16"/>
              </w:rPr>
              <w:t>Signifor LAR</w:t>
            </w:r>
          </w:p>
        </w:tc>
        <w:tc>
          <w:tcPr>
            <w:tcW w:w="894" w:type="pct"/>
          </w:tcPr>
          <w:p w14:paraId="23DB0935" w14:textId="77777777" w:rsidR="00D63B70" w:rsidRPr="006D52A9" w:rsidRDefault="00D63B70" w:rsidP="00D63B70">
            <w:pPr>
              <w:rPr>
                <w:rFonts w:ascii="Arial" w:hAnsi="Arial" w:cs="Arial"/>
                <w:sz w:val="16"/>
                <w:szCs w:val="16"/>
              </w:rPr>
            </w:pPr>
            <w:r w:rsidRPr="006D52A9">
              <w:rPr>
                <w:rFonts w:ascii="Arial" w:hAnsi="Arial" w:cs="Arial"/>
                <w:sz w:val="16"/>
                <w:szCs w:val="16"/>
              </w:rPr>
              <w:t>C9088 C9089</w:t>
            </w:r>
          </w:p>
        </w:tc>
        <w:tc>
          <w:tcPr>
            <w:tcW w:w="376" w:type="pct"/>
          </w:tcPr>
          <w:p w14:paraId="24FCF220" w14:textId="77777777" w:rsidR="00D63B70" w:rsidRPr="006D52A9" w:rsidRDefault="00D63B70" w:rsidP="00D63B70">
            <w:pPr>
              <w:rPr>
                <w:rFonts w:ascii="Arial" w:hAnsi="Arial" w:cs="Arial"/>
                <w:sz w:val="16"/>
                <w:szCs w:val="16"/>
              </w:rPr>
            </w:pPr>
          </w:p>
        </w:tc>
        <w:tc>
          <w:tcPr>
            <w:tcW w:w="499" w:type="pct"/>
          </w:tcPr>
          <w:p w14:paraId="16E16E2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14A7373"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33FD8B6" w14:textId="77777777" w:rsidTr="00A91628">
        <w:tblPrEx>
          <w:tblBorders>
            <w:top w:val="single" w:sz="4" w:space="0" w:color="auto"/>
          </w:tblBorders>
        </w:tblPrEx>
        <w:trPr>
          <w:tblCellSpacing w:w="22" w:type="dxa"/>
        </w:trPr>
        <w:tc>
          <w:tcPr>
            <w:tcW w:w="508" w:type="pct"/>
          </w:tcPr>
          <w:p w14:paraId="181796B2"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Pegfilgrastim</w:t>
            </w:r>
          </w:p>
        </w:tc>
        <w:tc>
          <w:tcPr>
            <w:tcW w:w="943" w:type="pct"/>
          </w:tcPr>
          <w:p w14:paraId="5BFCF0A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6 mg in 0.6 mL single 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11A8EB2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852E55B" w14:textId="77777777" w:rsidR="00D63B70" w:rsidRPr="006D52A9" w:rsidRDefault="00D63B70" w:rsidP="00D63B70">
            <w:pPr>
              <w:rPr>
                <w:rFonts w:ascii="Arial" w:hAnsi="Arial" w:cs="Arial"/>
                <w:sz w:val="16"/>
                <w:szCs w:val="16"/>
              </w:rPr>
            </w:pPr>
            <w:r w:rsidRPr="006D52A9">
              <w:rPr>
                <w:rFonts w:ascii="Arial" w:hAnsi="Arial" w:cs="Arial"/>
                <w:sz w:val="16"/>
                <w:szCs w:val="16"/>
              </w:rPr>
              <w:t>Fulphila</w:t>
            </w:r>
          </w:p>
        </w:tc>
        <w:tc>
          <w:tcPr>
            <w:tcW w:w="894" w:type="pct"/>
          </w:tcPr>
          <w:p w14:paraId="3F359CE4"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06D09F96" w14:textId="77777777" w:rsidR="00D63B70" w:rsidRPr="006D52A9" w:rsidRDefault="00D63B70" w:rsidP="00D63B70">
            <w:pPr>
              <w:rPr>
                <w:rFonts w:ascii="Arial" w:hAnsi="Arial" w:cs="Arial"/>
                <w:sz w:val="16"/>
                <w:szCs w:val="16"/>
              </w:rPr>
            </w:pPr>
          </w:p>
        </w:tc>
        <w:tc>
          <w:tcPr>
            <w:tcW w:w="499" w:type="pct"/>
          </w:tcPr>
          <w:p w14:paraId="0C86FF48"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31FC3311"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51F43DC6" w14:textId="77777777" w:rsidTr="00A91628">
        <w:tblPrEx>
          <w:tblBorders>
            <w:top w:val="single" w:sz="4" w:space="0" w:color="auto"/>
          </w:tblBorders>
        </w:tblPrEx>
        <w:trPr>
          <w:tblCellSpacing w:w="22" w:type="dxa"/>
        </w:trPr>
        <w:tc>
          <w:tcPr>
            <w:tcW w:w="508" w:type="pct"/>
          </w:tcPr>
          <w:p w14:paraId="3369872C" w14:textId="77777777" w:rsidR="00D63B70" w:rsidRPr="006D52A9" w:rsidRDefault="00D63B70" w:rsidP="00D63B70">
            <w:pPr>
              <w:rPr>
                <w:rFonts w:ascii="Arial" w:hAnsi="Arial" w:cs="Arial"/>
                <w:sz w:val="16"/>
                <w:szCs w:val="16"/>
              </w:rPr>
            </w:pPr>
          </w:p>
        </w:tc>
        <w:tc>
          <w:tcPr>
            <w:tcW w:w="943" w:type="pct"/>
          </w:tcPr>
          <w:p w14:paraId="727380A4" w14:textId="77777777" w:rsidR="00D63B70" w:rsidRPr="006D52A9" w:rsidRDefault="00D63B70" w:rsidP="00D63B70">
            <w:pPr>
              <w:rPr>
                <w:rFonts w:ascii="Arial" w:hAnsi="Arial" w:cs="Arial"/>
                <w:sz w:val="16"/>
                <w:szCs w:val="16"/>
              </w:rPr>
            </w:pPr>
          </w:p>
        </w:tc>
        <w:tc>
          <w:tcPr>
            <w:tcW w:w="540" w:type="pct"/>
          </w:tcPr>
          <w:p w14:paraId="541B15BA" w14:textId="77777777" w:rsidR="00D63B70" w:rsidRPr="006D52A9" w:rsidRDefault="00D63B70" w:rsidP="00D63B70">
            <w:pPr>
              <w:rPr>
                <w:rFonts w:ascii="Arial" w:hAnsi="Arial" w:cs="Arial"/>
                <w:sz w:val="16"/>
                <w:szCs w:val="16"/>
              </w:rPr>
            </w:pPr>
          </w:p>
        </w:tc>
        <w:tc>
          <w:tcPr>
            <w:tcW w:w="591" w:type="pct"/>
          </w:tcPr>
          <w:p w14:paraId="2E1D6E0B" w14:textId="77777777" w:rsidR="00D63B70" w:rsidRPr="006D52A9" w:rsidRDefault="00D63B70" w:rsidP="00D63B70">
            <w:pPr>
              <w:rPr>
                <w:rFonts w:ascii="Arial" w:hAnsi="Arial" w:cs="Arial"/>
                <w:sz w:val="16"/>
                <w:szCs w:val="16"/>
              </w:rPr>
            </w:pPr>
            <w:r w:rsidRPr="006D52A9">
              <w:rPr>
                <w:rFonts w:ascii="Arial" w:hAnsi="Arial" w:cs="Arial"/>
                <w:sz w:val="16"/>
                <w:szCs w:val="16"/>
              </w:rPr>
              <w:t>Neulasta</w:t>
            </w:r>
          </w:p>
        </w:tc>
        <w:tc>
          <w:tcPr>
            <w:tcW w:w="894" w:type="pct"/>
          </w:tcPr>
          <w:p w14:paraId="3A135DEF"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14076DAC" w14:textId="77777777" w:rsidR="00D63B70" w:rsidRPr="006D52A9" w:rsidRDefault="00D63B70" w:rsidP="00D63B70">
            <w:pPr>
              <w:rPr>
                <w:rFonts w:ascii="Arial" w:hAnsi="Arial" w:cs="Arial"/>
                <w:sz w:val="16"/>
                <w:szCs w:val="16"/>
              </w:rPr>
            </w:pPr>
          </w:p>
        </w:tc>
        <w:tc>
          <w:tcPr>
            <w:tcW w:w="499" w:type="pct"/>
          </w:tcPr>
          <w:p w14:paraId="7C071CC6"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37E7C819"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7567C23C" w14:textId="77777777" w:rsidTr="00A91628">
        <w:tblPrEx>
          <w:tblBorders>
            <w:top w:val="single" w:sz="4" w:space="0" w:color="auto"/>
          </w:tblBorders>
        </w:tblPrEx>
        <w:trPr>
          <w:tblCellSpacing w:w="22" w:type="dxa"/>
        </w:trPr>
        <w:tc>
          <w:tcPr>
            <w:tcW w:w="508" w:type="pct"/>
          </w:tcPr>
          <w:p w14:paraId="21F2B4D7" w14:textId="77777777" w:rsidR="00D63B70" w:rsidRPr="006D52A9" w:rsidRDefault="00D63B70" w:rsidP="00D63B70">
            <w:pPr>
              <w:rPr>
                <w:rFonts w:ascii="Arial" w:hAnsi="Arial" w:cs="Arial"/>
                <w:sz w:val="16"/>
                <w:szCs w:val="16"/>
              </w:rPr>
            </w:pPr>
          </w:p>
        </w:tc>
        <w:tc>
          <w:tcPr>
            <w:tcW w:w="943" w:type="pct"/>
          </w:tcPr>
          <w:p w14:paraId="771062C3" w14:textId="77777777" w:rsidR="00D63B70" w:rsidRPr="006D52A9" w:rsidRDefault="00D63B70" w:rsidP="00D63B70">
            <w:pPr>
              <w:rPr>
                <w:rFonts w:ascii="Arial" w:hAnsi="Arial" w:cs="Arial"/>
                <w:sz w:val="16"/>
                <w:szCs w:val="16"/>
              </w:rPr>
            </w:pPr>
          </w:p>
        </w:tc>
        <w:tc>
          <w:tcPr>
            <w:tcW w:w="540" w:type="pct"/>
          </w:tcPr>
          <w:p w14:paraId="4AA9B7B1" w14:textId="77777777" w:rsidR="00D63B70" w:rsidRPr="006D52A9" w:rsidRDefault="00D63B70" w:rsidP="00D63B70">
            <w:pPr>
              <w:rPr>
                <w:rFonts w:ascii="Arial" w:hAnsi="Arial" w:cs="Arial"/>
                <w:sz w:val="16"/>
                <w:szCs w:val="16"/>
              </w:rPr>
            </w:pPr>
          </w:p>
        </w:tc>
        <w:tc>
          <w:tcPr>
            <w:tcW w:w="591" w:type="pct"/>
          </w:tcPr>
          <w:p w14:paraId="6BF8EE05" w14:textId="77777777" w:rsidR="00D63B70" w:rsidRPr="006D52A9" w:rsidRDefault="00D63B70" w:rsidP="00D63B70">
            <w:pPr>
              <w:rPr>
                <w:rFonts w:ascii="Arial" w:hAnsi="Arial" w:cs="Arial"/>
                <w:sz w:val="16"/>
                <w:szCs w:val="16"/>
              </w:rPr>
            </w:pPr>
            <w:r w:rsidRPr="006D52A9">
              <w:rPr>
                <w:rFonts w:ascii="Arial" w:hAnsi="Arial" w:cs="Arial"/>
                <w:sz w:val="16"/>
                <w:szCs w:val="16"/>
              </w:rPr>
              <w:t>Pelgraz</w:t>
            </w:r>
          </w:p>
        </w:tc>
        <w:tc>
          <w:tcPr>
            <w:tcW w:w="894" w:type="pct"/>
          </w:tcPr>
          <w:p w14:paraId="47D02529"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172E6CBD" w14:textId="77777777" w:rsidR="00D63B70" w:rsidRPr="006D52A9" w:rsidRDefault="00D63B70" w:rsidP="00D63B70">
            <w:pPr>
              <w:rPr>
                <w:rFonts w:ascii="Arial" w:hAnsi="Arial" w:cs="Arial"/>
                <w:sz w:val="16"/>
                <w:szCs w:val="16"/>
              </w:rPr>
            </w:pPr>
          </w:p>
        </w:tc>
        <w:tc>
          <w:tcPr>
            <w:tcW w:w="499" w:type="pct"/>
          </w:tcPr>
          <w:p w14:paraId="6B0E5624"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200B87DC"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10992799" w14:textId="77777777" w:rsidTr="00A91628">
        <w:tblPrEx>
          <w:tblBorders>
            <w:top w:val="single" w:sz="4" w:space="0" w:color="auto"/>
          </w:tblBorders>
        </w:tblPrEx>
        <w:trPr>
          <w:cantSplit/>
          <w:tblCellSpacing w:w="22" w:type="dxa"/>
        </w:trPr>
        <w:tc>
          <w:tcPr>
            <w:tcW w:w="508" w:type="pct"/>
          </w:tcPr>
          <w:p w14:paraId="2893644B" w14:textId="77777777" w:rsidR="00D63B70" w:rsidRPr="006D52A9" w:rsidRDefault="00D63B70" w:rsidP="00D63B70">
            <w:pPr>
              <w:rPr>
                <w:rFonts w:ascii="Arial" w:hAnsi="Arial" w:cs="Arial"/>
                <w:sz w:val="16"/>
                <w:szCs w:val="16"/>
              </w:rPr>
            </w:pPr>
          </w:p>
        </w:tc>
        <w:tc>
          <w:tcPr>
            <w:tcW w:w="943" w:type="pct"/>
          </w:tcPr>
          <w:p w14:paraId="397B6BAF" w14:textId="77777777" w:rsidR="00D63B70" w:rsidRPr="006D52A9" w:rsidRDefault="00D63B70" w:rsidP="00D63B70">
            <w:pPr>
              <w:rPr>
                <w:rFonts w:ascii="Arial" w:hAnsi="Arial" w:cs="Arial"/>
                <w:sz w:val="16"/>
                <w:szCs w:val="16"/>
              </w:rPr>
            </w:pPr>
          </w:p>
        </w:tc>
        <w:tc>
          <w:tcPr>
            <w:tcW w:w="540" w:type="pct"/>
          </w:tcPr>
          <w:p w14:paraId="4EDEFBA1" w14:textId="77777777" w:rsidR="00D63B70" w:rsidRPr="006D52A9" w:rsidRDefault="00D63B70" w:rsidP="00D63B70">
            <w:pPr>
              <w:rPr>
                <w:rFonts w:ascii="Arial" w:hAnsi="Arial" w:cs="Arial"/>
                <w:sz w:val="16"/>
                <w:szCs w:val="16"/>
              </w:rPr>
            </w:pPr>
          </w:p>
        </w:tc>
        <w:tc>
          <w:tcPr>
            <w:tcW w:w="591" w:type="pct"/>
          </w:tcPr>
          <w:p w14:paraId="5B682E45" w14:textId="77777777" w:rsidR="00D63B70" w:rsidRPr="006D52A9" w:rsidRDefault="00D63B70" w:rsidP="00D63B70">
            <w:pPr>
              <w:rPr>
                <w:rFonts w:ascii="Arial" w:hAnsi="Arial" w:cs="Arial"/>
                <w:sz w:val="16"/>
                <w:szCs w:val="16"/>
              </w:rPr>
            </w:pPr>
            <w:r w:rsidRPr="006D52A9">
              <w:rPr>
                <w:rFonts w:ascii="Arial" w:hAnsi="Arial" w:cs="Arial"/>
                <w:sz w:val="16"/>
                <w:szCs w:val="16"/>
              </w:rPr>
              <w:t>Ristempa</w:t>
            </w:r>
          </w:p>
        </w:tc>
        <w:tc>
          <w:tcPr>
            <w:tcW w:w="894" w:type="pct"/>
          </w:tcPr>
          <w:p w14:paraId="46C404A7"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68F3509C" w14:textId="77777777" w:rsidR="00D63B70" w:rsidRPr="006D52A9" w:rsidRDefault="00D63B70" w:rsidP="00D63B70">
            <w:pPr>
              <w:rPr>
                <w:rFonts w:ascii="Arial" w:hAnsi="Arial" w:cs="Arial"/>
                <w:sz w:val="16"/>
                <w:szCs w:val="16"/>
              </w:rPr>
            </w:pPr>
          </w:p>
        </w:tc>
        <w:tc>
          <w:tcPr>
            <w:tcW w:w="499" w:type="pct"/>
          </w:tcPr>
          <w:p w14:paraId="5968579F"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12F65EA2"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695FD1B4" w14:textId="77777777" w:rsidTr="00A91628">
        <w:tblPrEx>
          <w:tblBorders>
            <w:top w:val="single" w:sz="4" w:space="0" w:color="auto"/>
          </w:tblBorders>
        </w:tblPrEx>
        <w:trPr>
          <w:cantSplit/>
          <w:tblCellSpacing w:w="22" w:type="dxa"/>
        </w:trPr>
        <w:tc>
          <w:tcPr>
            <w:tcW w:w="508" w:type="pct"/>
          </w:tcPr>
          <w:p w14:paraId="5E90DBA4" w14:textId="77777777" w:rsidR="00D63B70" w:rsidRPr="006D52A9" w:rsidRDefault="00D63B70" w:rsidP="00D63B70">
            <w:pPr>
              <w:rPr>
                <w:rFonts w:ascii="Arial" w:hAnsi="Arial" w:cs="Arial"/>
                <w:sz w:val="16"/>
                <w:szCs w:val="16"/>
              </w:rPr>
            </w:pPr>
          </w:p>
        </w:tc>
        <w:tc>
          <w:tcPr>
            <w:tcW w:w="943" w:type="pct"/>
          </w:tcPr>
          <w:p w14:paraId="76471238" w14:textId="77777777" w:rsidR="00D63B70" w:rsidRPr="006D52A9" w:rsidRDefault="00D63B70" w:rsidP="00D63B70">
            <w:pPr>
              <w:rPr>
                <w:rFonts w:ascii="Arial" w:hAnsi="Arial" w:cs="Arial"/>
                <w:sz w:val="16"/>
                <w:szCs w:val="16"/>
              </w:rPr>
            </w:pPr>
          </w:p>
        </w:tc>
        <w:tc>
          <w:tcPr>
            <w:tcW w:w="540" w:type="pct"/>
          </w:tcPr>
          <w:p w14:paraId="1F92E0E9" w14:textId="77777777" w:rsidR="00D63B70" w:rsidRPr="006D52A9" w:rsidRDefault="00D63B70" w:rsidP="00D63B70">
            <w:pPr>
              <w:rPr>
                <w:rFonts w:ascii="Arial" w:hAnsi="Arial" w:cs="Arial"/>
                <w:sz w:val="16"/>
                <w:szCs w:val="16"/>
              </w:rPr>
            </w:pPr>
          </w:p>
        </w:tc>
        <w:tc>
          <w:tcPr>
            <w:tcW w:w="591" w:type="pct"/>
          </w:tcPr>
          <w:p w14:paraId="60CB1A24" w14:textId="77777777" w:rsidR="00D63B70" w:rsidRPr="006D52A9" w:rsidRDefault="00D63B70" w:rsidP="00D63B70">
            <w:pPr>
              <w:rPr>
                <w:rFonts w:ascii="Arial" w:hAnsi="Arial" w:cs="Arial"/>
                <w:sz w:val="16"/>
                <w:szCs w:val="16"/>
              </w:rPr>
            </w:pPr>
            <w:r w:rsidRPr="006D52A9">
              <w:rPr>
                <w:rFonts w:ascii="Arial" w:hAnsi="Arial" w:cs="Arial"/>
                <w:sz w:val="16"/>
                <w:szCs w:val="16"/>
              </w:rPr>
              <w:t>Tezmota</w:t>
            </w:r>
          </w:p>
        </w:tc>
        <w:tc>
          <w:tcPr>
            <w:tcW w:w="894" w:type="pct"/>
          </w:tcPr>
          <w:p w14:paraId="6AB6CC90"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01D2A953" w14:textId="77777777" w:rsidR="00D63B70" w:rsidRPr="006D52A9" w:rsidRDefault="00D63B70" w:rsidP="00D63B70">
            <w:pPr>
              <w:rPr>
                <w:rFonts w:ascii="Arial" w:hAnsi="Arial" w:cs="Arial"/>
                <w:sz w:val="16"/>
                <w:szCs w:val="16"/>
              </w:rPr>
            </w:pPr>
          </w:p>
        </w:tc>
        <w:tc>
          <w:tcPr>
            <w:tcW w:w="499" w:type="pct"/>
          </w:tcPr>
          <w:p w14:paraId="09B6960B"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3CA6E303"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424CF7A1" w14:textId="77777777" w:rsidTr="00A91628">
        <w:tblPrEx>
          <w:tblBorders>
            <w:top w:val="single" w:sz="4" w:space="0" w:color="auto"/>
          </w:tblBorders>
        </w:tblPrEx>
        <w:trPr>
          <w:cantSplit/>
          <w:tblCellSpacing w:w="22" w:type="dxa"/>
        </w:trPr>
        <w:tc>
          <w:tcPr>
            <w:tcW w:w="508" w:type="pct"/>
          </w:tcPr>
          <w:p w14:paraId="1BFCDF54" w14:textId="77777777" w:rsidR="00D63B70" w:rsidRPr="006D52A9" w:rsidRDefault="00D63B70" w:rsidP="00D63B70">
            <w:pPr>
              <w:rPr>
                <w:rFonts w:ascii="Arial" w:hAnsi="Arial" w:cs="Arial"/>
                <w:sz w:val="16"/>
                <w:szCs w:val="16"/>
              </w:rPr>
            </w:pPr>
          </w:p>
        </w:tc>
        <w:tc>
          <w:tcPr>
            <w:tcW w:w="943" w:type="pct"/>
          </w:tcPr>
          <w:p w14:paraId="4F10536F" w14:textId="77777777" w:rsidR="00D63B70" w:rsidRPr="006D52A9" w:rsidRDefault="00D63B70" w:rsidP="00D63B70">
            <w:pPr>
              <w:rPr>
                <w:rFonts w:ascii="Arial" w:hAnsi="Arial" w:cs="Arial"/>
                <w:sz w:val="16"/>
                <w:szCs w:val="16"/>
              </w:rPr>
            </w:pPr>
          </w:p>
        </w:tc>
        <w:tc>
          <w:tcPr>
            <w:tcW w:w="540" w:type="pct"/>
          </w:tcPr>
          <w:p w14:paraId="405DB2D3" w14:textId="77777777" w:rsidR="00D63B70" w:rsidRPr="006D52A9" w:rsidRDefault="00D63B70" w:rsidP="00D63B70">
            <w:pPr>
              <w:rPr>
                <w:rFonts w:ascii="Arial" w:hAnsi="Arial" w:cs="Arial"/>
                <w:sz w:val="16"/>
                <w:szCs w:val="16"/>
              </w:rPr>
            </w:pPr>
          </w:p>
        </w:tc>
        <w:tc>
          <w:tcPr>
            <w:tcW w:w="591" w:type="pct"/>
          </w:tcPr>
          <w:p w14:paraId="65A218E6" w14:textId="77777777" w:rsidR="00D63B70" w:rsidRPr="006D52A9" w:rsidRDefault="00D63B70" w:rsidP="00D63B70">
            <w:pPr>
              <w:rPr>
                <w:rFonts w:ascii="Arial" w:hAnsi="Arial" w:cs="Arial"/>
                <w:sz w:val="16"/>
                <w:szCs w:val="16"/>
              </w:rPr>
            </w:pPr>
            <w:r w:rsidRPr="006D52A9">
              <w:rPr>
                <w:rFonts w:ascii="Arial" w:hAnsi="Arial" w:cs="Arial"/>
                <w:sz w:val="16"/>
                <w:szCs w:val="16"/>
              </w:rPr>
              <w:t>Ziextenzo</w:t>
            </w:r>
          </w:p>
        </w:tc>
        <w:tc>
          <w:tcPr>
            <w:tcW w:w="894" w:type="pct"/>
          </w:tcPr>
          <w:p w14:paraId="16A21E00" w14:textId="77777777" w:rsidR="00D63B70" w:rsidRPr="006D52A9" w:rsidRDefault="00D63B70" w:rsidP="00D63B70">
            <w:pPr>
              <w:rPr>
                <w:rFonts w:ascii="Arial" w:hAnsi="Arial" w:cs="Arial"/>
                <w:sz w:val="16"/>
                <w:szCs w:val="16"/>
              </w:rPr>
            </w:pPr>
            <w:r w:rsidRPr="006D52A9">
              <w:rPr>
                <w:rFonts w:ascii="Arial" w:hAnsi="Arial" w:cs="Arial"/>
                <w:sz w:val="16"/>
                <w:szCs w:val="16"/>
              </w:rPr>
              <w:t>C7822 C7843 C9235 C9303</w:t>
            </w:r>
          </w:p>
        </w:tc>
        <w:tc>
          <w:tcPr>
            <w:tcW w:w="376" w:type="pct"/>
          </w:tcPr>
          <w:p w14:paraId="6465B5CC" w14:textId="77777777" w:rsidR="00D63B70" w:rsidRPr="006D52A9" w:rsidRDefault="00D63B70" w:rsidP="00D63B70">
            <w:pPr>
              <w:rPr>
                <w:rFonts w:ascii="Arial" w:hAnsi="Arial" w:cs="Arial"/>
                <w:sz w:val="16"/>
                <w:szCs w:val="16"/>
              </w:rPr>
            </w:pPr>
          </w:p>
        </w:tc>
        <w:tc>
          <w:tcPr>
            <w:tcW w:w="499" w:type="pct"/>
          </w:tcPr>
          <w:p w14:paraId="2CFC3E1C"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63E77A55"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199D2921" w14:textId="77777777" w:rsidTr="00A91628">
        <w:tblPrEx>
          <w:tblBorders>
            <w:top w:val="single" w:sz="4" w:space="0" w:color="auto"/>
          </w:tblBorders>
        </w:tblPrEx>
        <w:trPr>
          <w:cantSplit/>
          <w:tblCellSpacing w:w="22" w:type="dxa"/>
        </w:trPr>
        <w:tc>
          <w:tcPr>
            <w:tcW w:w="508" w:type="pct"/>
          </w:tcPr>
          <w:p w14:paraId="1DC4B2C8" w14:textId="77777777" w:rsidR="00D63B70" w:rsidRPr="006D52A9" w:rsidRDefault="00D63B70" w:rsidP="00D63B70">
            <w:pPr>
              <w:rPr>
                <w:rFonts w:ascii="Arial" w:hAnsi="Arial" w:cs="Arial"/>
                <w:sz w:val="16"/>
                <w:szCs w:val="16"/>
              </w:rPr>
            </w:pPr>
            <w:r w:rsidRPr="006D52A9">
              <w:rPr>
                <w:rFonts w:ascii="Arial" w:hAnsi="Arial" w:cs="Arial"/>
                <w:sz w:val="16"/>
                <w:szCs w:val="16"/>
              </w:rPr>
              <w:t>Peginterferon alfa</w:t>
            </w:r>
            <w:r w:rsidR="0026100E">
              <w:rPr>
                <w:rFonts w:ascii="Arial" w:hAnsi="Arial" w:cs="Arial"/>
                <w:sz w:val="16"/>
                <w:szCs w:val="16"/>
              </w:rPr>
              <w:noBreakHyphen/>
            </w:r>
            <w:r w:rsidRPr="006D52A9">
              <w:rPr>
                <w:rFonts w:ascii="Arial" w:hAnsi="Arial" w:cs="Arial"/>
                <w:sz w:val="16"/>
                <w:szCs w:val="16"/>
              </w:rPr>
              <w:t>2a</w:t>
            </w:r>
          </w:p>
        </w:tc>
        <w:tc>
          <w:tcPr>
            <w:tcW w:w="943" w:type="pct"/>
          </w:tcPr>
          <w:p w14:paraId="1E0B6D96"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135 micrograms in 0.5 mL single 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3777DF8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0CC7BF5A" w14:textId="77777777" w:rsidR="00D63B70" w:rsidRPr="006D52A9" w:rsidRDefault="00D63B70" w:rsidP="00D63B70">
            <w:pPr>
              <w:rPr>
                <w:rFonts w:ascii="Arial" w:hAnsi="Arial" w:cs="Arial"/>
                <w:sz w:val="16"/>
                <w:szCs w:val="16"/>
              </w:rPr>
            </w:pPr>
            <w:r w:rsidRPr="006D52A9">
              <w:rPr>
                <w:rFonts w:ascii="Arial" w:hAnsi="Arial" w:cs="Arial"/>
                <w:sz w:val="16"/>
                <w:szCs w:val="16"/>
              </w:rPr>
              <w:t>Pegasys</w:t>
            </w:r>
          </w:p>
        </w:tc>
        <w:tc>
          <w:tcPr>
            <w:tcW w:w="894" w:type="pct"/>
          </w:tcPr>
          <w:p w14:paraId="660489BA" w14:textId="77777777" w:rsidR="00D63B70" w:rsidRPr="006D52A9" w:rsidRDefault="00D63B70" w:rsidP="00D63B70">
            <w:pPr>
              <w:rPr>
                <w:rFonts w:ascii="Arial" w:hAnsi="Arial" w:cs="Arial"/>
                <w:sz w:val="16"/>
                <w:szCs w:val="16"/>
              </w:rPr>
            </w:pPr>
            <w:r w:rsidRPr="006D52A9">
              <w:rPr>
                <w:rFonts w:ascii="Arial" w:hAnsi="Arial" w:cs="Arial"/>
                <w:sz w:val="16"/>
                <w:szCs w:val="16"/>
              </w:rPr>
              <w:t>C5004 C9603</w:t>
            </w:r>
          </w:p>
        </w:tc>
        <w:tc>
          <w:tcPr>
            <w:tcW w:w="376" w:type="pct"/>
          </w:tcPr>
          <w:p w14:paraId="5724A0F3" w14:textId="77777777" w:rsidR="00D63B70" w:rsidRPr="006D52A9" w:rsidRDefault="00D63B70" w:rsidP="00D63B70">
            <w:pPr>
              <w:rPr>
                <w:rFonts w:ascii="Arial" w:hAnsi="Arial" w:cs="Arial"/>
                <w:sz w:val="16"/>
                <w:szCs w:val="16"/>
              </w:rPr>
            </w:pPr>
          </w:p>
        </w:tc>
        <w:tc>
          <w:tcPr>
            <w:tcW w:w="499" w:type="pct"/>
          </w:tcPr>
          <w:p w14:paraId="333F7833" w14:textId="77777777" w:rsidR="00D63B70" w:rsidRPr="006D52A9" w:rsidRDefault="00D63B70" w:rsidP="00D63B70">
            <w:pPr>
              <w:rPr>
                <w:rFonts w:ascii="Arial" w:hAnsi="Arial" w:cs="Arial"/>
                <w:sz w:val="16"/>
                <w:szCs w:val="16"/>
              </w:rPr>
            </w:pPr>
            <w:r w:rsidRPr="006D52A9">
              <w:rPr>
                <w:rFonts w:ascii="Arial" w:hAnsi="Arial" w:cs="Arial"/>
                <w:sz w:val="16"/>
                <w:szCs w:val="16"/>
              </w:rPr>
              <w:t>8</w:t>
            </w:r>
          </w:p>
        </w:tc>
        <w:tc>
          <w:tcPr>
            <w:tcW w:w="502" w:type="pct"/>
          </w:tcPr>
          <w:p w14:paraId="24F301E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EA0C6C9" w14:textId="77777777" w:rsidTr="00A91628">
        <w:tblPrEx>
          <w:tblBorders>
            <w:top w:val="single" w:sz="4" w:space="0" w:color="auto"/>
          </w:tblBorders>
        </w:tblPrEx>
        <w:trPr>
          <w:cantSplit/>
          <w:tblCellSpacing w:w="22" w:type="dxa"/>
        </w:trPr>
        <w:tc>
          <w:tcPr>
            <w:tcW w:w="508" w:type="pct"/>
          </w:tcPr>
          <w:p w14:paraId="3D3F9687" w14:textId="77777777" w:rsidR="00D63B70" w:rsidRPr="006D52A9" w:rsidRDefault="00D63B70" w:rsidP="00D63B70">
            <w:pPr>
              <w:rPr>
                <w:rFonts w:ascii="Arial" w:hAnsi="Arial" w:cs="Arial"/>
                <w:sz w:val="16"/>
                <w:szCs w:val="16"/>
              </w:rPr>
            </w:pPr>
          </w:p>
        </w:tc>
        <w:tc>
          <w:tcPr>
            <w:tcW w:w="943" w:type="pct"/>
          </w:tcPr>
          <w:p w14:paraId="4B7E9415"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 180 micrograms in 0.5 mL single use pre</w:t>
            </w:r>
            <w:r w:rsidR="0026100E">
              <w:rPr>
                <w:rFonts w:ascii="Arial" w:hAnsi="Arial" w:cs="Arial"/>
                <w:sz w:val="16"/>
                <w:szCs w:val="16"/>
              </w:rPr>
              <w:noBreakHyphen/>
            </w:r>
            <w:r w:rsidRPr="006D52A9">
              <w:rPr>
                <w:rFonts w:ascii="Arial" w:hAnsi="Arial" w:cs="Arial"/>
                <w:sz w:val="16"/>
                <w:szCs w:val="16"/>
              </w:rPr>
              <w:t>filled syringe</w:t>
            </w:r>
          </w:p>
        </w:tc>
        <w:tc>
          <w:tcPr>
            <w:tcW w:w="540" w:type="pct"/>
          </w:tcPr>
          <w:p w14:paraId="5203B7B4"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73AB5891"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Pegasys</w:t>
            </w:r>
          </w:p>
        </w:tc>
        <w:tc>
          <w:tcPr>
            <w:tcW w:w="894" w:type="pct"/>
          </w:tcPr>
          <w:p w14:paraId="0F71AD43"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C5004 C9603</w:t>
            </w:r>
          </w:p>
        </w:tc>
        <w:tc>
          <w:tcPr>
            <w:tcW w:w="376" w:type="pct"/>
          </w:tcPr>
          <w:p w14:paraId="17109D1D" w14:textId="77777777" w:rsidR="00D63B70" w:rsidRPr="006D52A9" w:rsidRDefault="00D63B70" w:rsidP="00D63B70">
            <w:pPr>
              <w:keepNext/>
              <w:rPr>
                <w:rFonts w:ascii="Arial" w:hAnsi="Arial" w:cs="Arial"/>
                <w:sz w:val="16"/>
                <w:szCs w:val="16"/>
              </w:rPr>
            </w:pPr>
          </w:p>
        </w:tc>
        <w:tc>
          <w:tcPr>
            <w:tcW w:w="499" w:type="pct"/>
          </w:tcPr>
          <w:p w14:paraId="736816BB"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8</w:t>
            </w:r>
          </w:p>
        </w:tc>
        <w:tc>
          <w:tcPr>
            <w:tcW w:w="502" w:type="pct"/>
          </w:tcPr>
          <w:p w14:paraId="7B3D02C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5</w:t>
            </w:r>
          </w:p>
        </w:tc>
      </w:tr>
      <w:tr w:rsidR="00D63B70" w:rsidRPr="006D52A9" w14:paraId="01549D1E" w14:textId="77777777" w:rsidTr="00A91628">
        <w:tblPrEx>
          <w:tblBorders>
            <w:top w:val="single" w:sz="4" w:space="0" w:color="auto"/>
          </w:tblBorders>
        </w:tblPrEx>
        <w:trPr>
          <w:cantSplit/>
          <w:tblCellSpacing w:w="22" w:type="dxa"/>
        </w:trPr>
        <w:tc>
          <w:tcPr>
            <w:tcW w:w="508" w:type="pct"/>
          </w:tcPr>
          <w:p w14:paraId="28F71145" w14:textId="77777777" w:rsidR="00D63B70" w:rsidRPr="006D52A9" w:rsidRDefault="00D63B70" w:rsidP="00D63B70">
            <w:pPr>
              <w:rPr>
                <w:rFonts w:ascii="Arial" w:hAnsi="Arial" w:cs="Arial"/>
                <w:sz w:val="16"/>
                <w:szCs w:val="16"/>
              </w:rPr>
            </w:pPr>
            <w:r w:rsidRPr="006D52A9">
              <w:rPr>
                <w:rFonts w:ascii="Arial" w:hAnsi="Arial" w:cs="Arial"/>
                <w:sz w:val="16"/>
                <w:szCs w:val="16"/>
              </w:rPr>
              <w:t>Pegvisomant</w:t>
            </w:r>
          </w:p>
        </w:tc>
        <w:tc>
          <w:tcPr>
            <w:tcW w:w="943" w:type="pct"/>
          </w:tcPr>
          <w:p w14:paraId="295E4E7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set containing powder for injection 10 mg, 30 and diluent, 30</w:t>
            </w:r>
          </w:p>
        </w:tc>
        <w:tc>
          <w:tcPr>
            <w:tcW w:w="540" w:type="pct"/>
          </w:tcPr>
          <w:p w14:paraId="21F53999"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7AF5A8D" w14:textId="77777777" w:rsidR="00D63B70" w:rsidRPr="006D52A9" w:rsidRDefault="00D63B70" w:rsidP="00D63B70">
            <w:pPr>
              <w:rPr>
                <w:rFonts w:ascii="Arial" w:hAnsi="Arial" w:cs="Arial"/>
                <w:sz w:val="16"/>
                <w:szCs w:val="16"/>
              </w:rPr>
            </w:pPr>
            <w:r w:rsidRPr="006D52A9">
              <w:rPr>
                <w:rFonts w:ascii="Arial" w:hAnsi="Arial" w:cs="Arial"/>
                <w:sz w:val="16"/>
                <w:szCs w:val="16"/>
              </w:rPr>
              <w:t>Somavert</w:t>
            </w:r>
          </w:p>
        </w:tc>
        <w:tc>
          <w:tcPr>
            <w:tcW w:w="894" w:type="pct"/>
          </w:tcPr>
          <w:p w14:paraId="7D31C75C" w14:textId="77777777" w:rsidR="00D63B70" w:rsidRPr="006D52A9" w:rsidRDefault="00D63B70" w:rsidP="00D63B70">
            <w:pPr>
              <w:rPr>
                <w:rFonts w:ascii="Arial" w:hAnsi="Arial" w:cs="Arial"/>
                <w:sz w:val="16"/>
                <w:szCs w:val="16"/>
              </w:rPr>
            </w:pPr>
            <w:r w:rsidRPr="006D52A9">
              <w:rPr>
                <w:rFonts w:ascii="Arial" w:hAnsi="Arial" w:cs="Arial"/>
                <w:sz w:val="16"/>
                <w:szCs w:val="16"/>
              </w:rPr>
              <w:t>C7087 C9041</w:t>
            </w:r>
          </w:p>
        </w:tc>
        <w:tc>
          <w:tcPr>
            <w:tcW w:w="376" w:type="pct"/>
          </w:tcPr>
          <w:p w14:paraId="79BA0316" w14:textId="77777777" w:rsidR="00D63B70" w:rsidRPr="006D52A9" w:rsidRDefault="00D63B70" w:rsidP="00D63B70">
            <w:pPr>
              <w:rPr>
                <w:rFonts w:ascii="Arial" w:hAnsi="Arial" w:cs="Arial"/>
                <w:sz w:val="16"/>
                <w:szCs w:val="16"/>
              </w:rPr>
            </w:pPr>
          </w:p>
        </w:tc>
        <w:tc>
          <w:tcPr>
            <w:tcW w:w="499" w:type="pct"/>
          </w:tcPr>
          <w:p w14:paraId="70156E2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12EF409"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D9F1A0D" w14:textId="77777777" w:rsidTr="00A91628">
        <w:tblPrEx>
          <w:tblBorders>
            <w:top w:val="single" w:sz="4" w:space="0" w:color="auto"/>
          </w:tblBorders>
        </w:tblPrEx>
        <w:trPr>
          <w:cantSplit/>
          <w:tblCellSpacing w:w="22" w:type="dxa"/>
        </w:trPr>
        <w:tc>
          <w:tcPr>
            <w:tcW w:w="508" w:type="pct"/>
          </w:tcPr>
          <w:p w14:paraId="261C42F2" w14:textId="77777777" w:rsidR="00D63B70" w:rsidRPr="006D52A9" w:rsidRDefault="00D63B70" w:rsidP="00D63B70">
            <w:pPr>
              <w:rPr>
                <w:rFonts w:ascii="Arial" w:hAnsi="Arial" w:cs="Arial"/>
                <w:sz w:val="16"/>
                <w:szCs w:val="16"/>
              </w:rPr>
            </w:pPr>
          </w:p>
        </w:tc>
        <w:tc>
          <w:tcPr>
            <w:tcW w:w="943" w:type="pct"/>
          </w:tcPr>
          <w:p w14:paraId="254101FC"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set containing powder for injection 15 mg, 30 and diluent, 30</w:t>
            </w:r>
          </w:p>
        </w:tc>
        <w:tc>
          <w:tcPr>
            <w:tcW w:w="540" w:type="pct"/>
          </w:tcPr>
          <w:p w14:paraId="49F5F75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C1F0EDF" w14:textId="77777777" w:rsidR="00D63B70" w:rsidRPr="006D52A9" w:rsidRDefault="00D63B70" w:rsidP="00D63B70">
            <w:pPr>
              <w:rPr>
                <w:rFonts w:ascii="Arial" w:hAnsi="Arial" w:cs="Arial"/>
                <w:sz w:val="16"/>
                <w:szCs w:val="16"/>
              </w:rPr>
            </w:pPr>
            <w:r w:rsidRPr="006D52A9">
              <w:rPr>
                <w:rFonts w:ascii="Arial" w:hAnsi="Arial" w:cs="Arial"/>
                <w:sz w:val="16"/>
                <w:szCs w:val="16"/>
              </w:rPr>
              <w:t>Somavert</w:t>
            </w:r>
          </w:p>
        </w:tc>
        <w:tc>
          <w:tcPr>
            <w:tcW w:w="894" w:type="pct"/>
          </w:tcPr>
          <w:p w14:paraId="4E8A7AFF" w14:textId="77777777" w:rsidR="00D63B70" w:rsidRPr="006D52A9" w:rsidRDefault="00D63B70" w:rsidP="00D63B70">
            <w:pPr>
              <w:rPr>
                <w:rFonts w:ascii="Arial" w:hAnsi="Arial" w:cs="Arial"/>
                <w:sz w:val="16"/>
                <w:szCs w:val="16"/>
              </w:rPr>
            </w:pPr>
            <w:r w:rsidRPr="006D52A9">
              <w:rPr>
                <w:rFonts w:ascii="Arial" w:hAnsi="Arial" w:cs="Arial"/>
                <w:sz w:val="16"/>
                <w:szCs w:val="16"/>
              </w:rPr>
              <w:t>C7087 C9041</w:t>
            </w:r>
          </w:p>
        </w:tc>
        <w:tc>
          <w:tcPr>
            <w:tcW w:w="376" w:type="pct"/>
          </w:tcPr>
          <w:p w14:paraId="319D5763" w14:textId="77777777" w:rsidR="00D63B70" w:rsidRPr="006D52A9" w:rsidRDefault="00D63B70" w:rsidP="00D63B70">
            <w:pPr>
              <w:rPr>
                <w:rFonts w:ascii="Arial" w:hAnsi="Arial" w:cs="Arial"/>
                <w:sz w:val="16"/>
                <w:szCs w:val="16"/>
              </w:rPr>
            </w:pPr>
          </w:p>
        </w:tc>
        <w:tc>
          <w:tcPr>
            <w:tcW w:w="499" w:type="pct"/>
          </w:tcPr>
          <w:p w14:paraId="7C2E472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66BB8D9"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71BB090D" w14:textId="77777777" w:rsidTr="00A91628">
        <w:tblPrEx>
          <w:tblBorders>
            <w:top w:val="single" w:sz="4" w:space="0" w:color="auto"/>
          </w:tblBorders>
        </w:tblPrEx>
        <w:trPr>
          <w:cantSplit/>
          <w:tblCellSpacing w:w="22" w:type="dxa"/>
        </w:trPr>
        <w:tc>
          <w:tcPr>
            <w:tcW w:w="508" w:type="pct"/>
          </w:tcPr>
          <w:p w14:paraId="1BB72790" w14:textId="77777777" w:rsidR="00D63B70" w:rsidRPr="006D52A9" w:rsidRDefault="00D63B70" w:rsidP="00D63B70">
            <w:pPr>
              <w:rPr>
                <w:rFonts w:ascii="Arial" w:hAnsi="Arial" w:cs="Arial"/>
                <w:sz w:val="16"/>
                <w:szCs w:val="16"/>
              </w:rPr>
            </w:pPr>
          </w:p>
        </w:tc>
        <w:tc>
          <w:tcPr>
            <w:tcW w:w="943" w:type="pct"/>
          </w:tcPr>
          <w:p w14:paraId="5C7573B0"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set containing powder for injection 20 mg, 1 and diluent, 1</w:t>
            </w:r>
          </w:p>
        </w:tc>
        <w:tc>
          <w:tcPr>
            <w:tcW w:w="540" w:type="pct"/>
          </w:tcPr>
          <w:p w14:paraId="20E3FF8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5CDC629" w14:textId="77777777" w:rsidR="00D63B70" w:rsidRPr="006D52A9" w:rsidRDefault="00D63B70" w:rsidP="00D63B70">
            <w:pPr>
              <w:rPr>
                <w:rFonts w:ascii="Arial" w:hAnsi="Arial" w:cs="Arial"/>
                <w:sz w:val="16"/>
                <w:szCs w:val="16"/>
              </w:rPr>
            </w:pPr>
            <w:r w:rsidRPr="006D52A9">
              <w:rPr>
                <w:rFonts w:ascii="Arial" w:hAnsi="Arial" w:cs="Arial"/>
                <w:sz w:val="16"/>
                <w:szCs w:val="16"/>
              </w:rPr>
              <w:t>Somavert</w:t>
            </w:r>
          </w:p>
        </w:tc>
        <w:tc>
          <w:tcPr>
            <w:tcW w:w="894" w:type="pct"/>
          </w:tcPr>
          <w:p w14:paraId="22380BFB" w14:textId="77777777" w:rsidR="00D63B70" w:rsidRPr="006D52A9" w:rsidRDefault="00D63B70" w:rsidP="00D63B70">
            <w:pPr>
              <w:rPr>
                <w:rFonts w:ascii="Arial" w:hAnsi="Arial" w:cs="Arial"/>
                <w:sz w:val="16"/>
                <w:szCs w:val="16"/>
              </w:rPr>
            </w:pPr>
            <w:r w:rsidRPr="006D52A9">
              <w:rPr>
                <w:rFonts w:ascii="Arial" w:hAnsi="Arial" w:cs="Arial"/>
                <w:sz w:val="16"/>
                <w:szCs w:val="16"/>
              </w:rPr>
              <w:t>C9041</w:t>
            </w:r>
          </w:p>
        </w:tc>
        <w:tc>
          <w:tcPr>
            <w:tcW w:w="376" w:type="pct"/>
          </w:tcPr>
          <w:p w14:paraId="5B30640A" w14:textId="77777777" w:rsidR="00D63B70" w:rsidRPr="006D52A9" w:rsidRDefault="00D63B70" w:rsidP="00D63B70">
            <w:pPr>
              <w:rPr>
                <w:rFonts w:ascii="Arial" w:hAnsi="Arial" w:cs="Arial"/>
                <w:sz w:val="16"/>
                <w:szCs w:val="16"/>
              </w:rPr>
            </w:pPr>
          </w:p>
        </w:tc>
        <w:tc>
          <w:tcPr>
            <w:tcW w:w="499" w:type="pct"/>
          </w:tcPr>
          <w:p w14:paraId="6A7AB4E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07A5FD4"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38D3655" w14:textId="77777777" w:rsidTr="00A91628">
        <w:tblPrEx>
          <w:tblBorders>
            <w:top w:val="single" w:sz="4" w:space="0" w:color="auto"/>
          </w:tblBorders>
        </w:tblPrEx>
        <w:trPr>
          <w:cantSplit/>
          <w:tblCellSpacing w:w="22" w:type="dxa"/>
        </w:trPr>
        <w:tc>
          <w:tcPr>
            <w:tcW w:w="508" w:type="pct"/>
          </w:tcPr>
          <w:p w14:paraId="2F572B0A" w14:textId="77777777" w:rsidR="00D63B70" w:rsidRPr="006D52A9" w:rsidRDefault="00D63B70" w:rsidP="00D63B70">
            <w:pPr>
              <w:rPr>
                <w:rFonts w:ascii="Arial" w:hAnsi="Arial" w:cs="Arial"/>
                <w:sz w:val="16"/>
                <w:szCs w:val="16"/>
              </w:rPr>
            </w:pPr>
          </w:p>
        </w:tc>
        <w:tc>
          <w:tcPr>
            <w:tcW w:w="943" w:type="pct"/>
          </w:tcPr>
          <w:p w14:paraId="3E1AF2A1"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set containing powder for injection 20 mg, 30 and diluent, 30</w:t>
            </w:r>
          </w:p>
        </w:tc>
        <w:tc>
          <w:tcPr>
            <w:tcW w:w="540" w:type="pct"/>
          </w:tcPr>
          <w:p w14:paraId="2ADAD5B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845B568" w14:textId="77777777" w:rsidR="00D63B70" w:rsidRPr="006D52A9" w:rsidRDefault="00D63B70" w:rsidP="00D63B70">
            <w:pPr>
              <w:rPr>
                <w:rFonts w:ascii="Arial" w:hAnsi="Arial" w:cs="Arial"/>
                <w:sz w:val="16"/>
                <w:szCs w:val="16"/>
              </w:rPr>
            </w:pPr>
            <w:r w:rsidRPr="006D52A9">
              <w:rPr>
                <w:rFonts w:ascii="Arial" w:hAnsi="Arial" w:cs="Arial"/>
                <w:sz w:val="16"/>
                <w:szCs w:val="16"/>
              </w:rPr>
              <w:t>Somavert</w:t>
            </w:r>
          </w:p>
        </w:tc>
        <w:tc>
          <w:tcPr>
            <w:tcW w:w="894" w:type="pct"/>
          </w:tcPr>
          <w:p w14:paraId="154D2E27" w14:textId="77777777" w:rsidR="00D63B70" w:rsidRPr="006D52A9" w:rsidRDefault="00D63B70" w:rsidP="00D63B70">
            <w:pPr>
              <w:rPr>
                <w:rFonts w:ascii="Arial" w:hAnsi="Arial" w:cs="Arial"/>
                <w:sz w:val="16"/>
                <w:szCs w:val="16"/>
              </w:rPr>
            </w:pPr>
            <w:r w:rsidRPr="006D52A9">
              <w:rPr>
                <w:rFonts w:ascii="Arial" w:hAnsi="Arial" w:cs="Arial"/>
                <w:sz w:val="16"/>
                <w:szCs w:val="16"/>
              </w:rPr>
              <w:t>C7087 C9041</w:t>
            </w:r>
          </w:p>
        </w:tc>
        <w:tc>
          <w:tcPr>
            <w:tcW w:w="376" w:type="pct"/>
          </w:tcPr>
          <w:p w14:paraId="4CF039B3" w14:textId="77777777" w:rsidR="00D63B70" w:rsidRPr="006D52A9" w:rsidRDefault="00D63B70" w:rsidP="00D63B70">
            <w:pPr>
              <w:rPr>
                <w:rFonts w:ascii="Arial" w:hAnsi="Arial" w:cs="Arial"/>
                <w:sz w:val="16"/>
                <w:szCs w:val="16"/>
              </w:rPr>
            </w:pPr>
          </w:p>
        </w:tc>
        <w:tc>
          <w:tcPr>
            <w:tcW w:w="499" w:type="pct"/>
          </w:tcPr>
          <w:p w14:paraId="36E2765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8E21004"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148DA41" w14:textId="77777777" w:rsidTr="00A91628">
        <w:tblPrEx>
          <w:tblBorders>
            <w:top w:val="single" w:sz="4" w:space="0" w:color="auto"/>
          </w:tblBorders>
        </w:tblPrEx>
        <w:trPr>
          <w:cantSplit/>
          <w:tblCellSpacing w:w="22" w:type="dxa"/>
        </w:trPr>
        <w:tc>
          <w:tcPr>
            <w:tcW w:w="508" w:type="pct"/>
          </w:tcPr>
          <w:p w14:paraId="5B6A1C4A"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Plerixafor</w:t>
            </w:r>
          </w:p>
        </w:tc>
        <w:tc>
          <w:tcPr>
            <w:tcW w:w="943" w:type="pct"/>
          </w:tcPr>
          <w:p w14:paraId="10CC32A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24 mg in 1.2 mL</w:t>
            </w:r>
          </w:p>
        </w:tc>
        <w:tc>
          <w:tcPr>
            <w:tcW w:w="540" w:type="pct"/>
          </w:tcPr>
          <w:p w14:paraId="04C0F0FE"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78E9E117" w14:textId="77777777" w:rsidR="00D63B70" w:rsidRPr="006D52A9" w:rsidRDefault="00D63B70" w:rsidP="00D63B70">
            <w:pPr>
              <w:rPr>
                <w:rFonts w:ascii="Arial" w:hAnsi="Arial" w:cs="Arial"/>
                <w:sz w:val="16"/>
                <w:szCs w:val="16"/>
              </w:rPr>
            </w:pPr>
            <w:r w:rsidRPr="006D52A9">
              <w:rPr>
                <w:rFonts w:ascii="Arial" w:hAnsi="Arial" w:cs="Arial"/>
                <w:sz w:val="16"/>
                <w:szCs w:val="16"/>
              </w:rPr>
              <w:t>Mozobil</w:t>
            </w:r>
          </w:p>
        </w:tc>
        <w:tc>
          <w:tcPr>
            <w:tcW w:w="894" w:type="pct"/>
          </w:tcPr>
          <w:p w14:paraId="3F6D1EA0" w14:textId="77777777" w:rsidR="00D63B70" w:rsidRPr="006D52A9" w:rsidRDefault="00D63B70" w:rsidP="00D63B70">
            <w:pPr>
              <w:rPr>
                <w:rFonts w:ascii="Arial" w:hAnsi="Arial" w:cs="Arial"/>
                <w:sz w:val="16"/>
                <w:szCs w:val="16"/>
              </w:rPr>
            </w:pPr>
            <w:r w:rsidRPr="006D52A9">
              <w:rPr>
                <w:rFonts w:ascii="Arial" w:hAnsi="Arial" w:cs="Arial"/>
                <w:sz w:val="16"/>
                <w:szCs w:val="16"/>
              </w:rPr>
              <w:t>C4549 C9329</w:t>
            </w:r>
          </w:p>
        </w:tc>
        <w:tc>
          <w:tcPr>
            <w:tcW w:w="376" w:type="pct"/>
          </w:tcPr>
          <w:p w14:paraId="583CAFEC" w14:textId="77777777" w:rsidR="00D63B70" w:rsidRPr="006D52A9" w:rsidRDefault="00D63B70" w:rsidP="00D63B70">
            <w:pPr>
              <w:rPr>
                <w:rFonts w:ascii="Arial" w:hAnsi="Arial" w:cs="Arial"/>
                <w:sz w:val="16"/>
                <w:szCs w:val="16"/>
              </w:rPr>
            </w:pPr>
          </w:p>
        </w:tc>
        <w:tc>
          <w:tcPr>
            <w:tcW w:w="499" w:type="pct"/>
          </w:tcPr>
          <w:p w14:paraId="2B35DBBC"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Pr>
          <w:p w14:paraId="4C3B7D75"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r>
      <w:tr w:rsidR="00D63B70" w:rsidRPr="006D52A9" w14:paraId="1EF2776C" w14:textId="77777777" w:rsidTr="00A91628">
        <w:tblPrEx>
          <w:tblBorders>
            <w:top w:val="single" w:sz="4" w:space="0" w:color="auto"/>
          </w:tblBorders>
        </w:tblPrEx>
        <w:trPr>
          <w:cantSplit/>
          <w:tblCellSpacing w:w="22" w:type="dxa"/>
        </w:trPr>
        <w:tc>
          <w:tcPr>
            <w:tcW w:w="508" w:type="pct"/>
          </w:tcPr>
          <w:p w14:paraId="02E9C6E9" w14:textId="77777777" w:rsidR="00D63B70" w:rsidRPr="006D52A9" w:rsidRDefault="00D63B70" w:rsidP="00D63B70">
            <w:pPr>
              <w:rPr>
                <w:rFonts w:ascii="Arial" w:hAnsi="Arial" w:cs="Arial"/>
                <w:sz w:val="16"/>
                <w:szCs w:val="16"/>
              </w:rPr>
            </w:pPr>
            <w:r w:rsidRPr="006D52A9">
              <w:rPr>
                <w:rFonts w:ascii="Arial" w:hAnsi="Arial" w:cs="Arial"/>
                <w:sz w:val="16"/>
                <w:szCs w:val="16"/>
              </w:rPr>
              <w:t>Pomalidomide</w:t>
            </w:r>
          </w:p>
        </w:tc>
        <w:tc>
          <w:tcPr>
            <w:tcW w:w="943" w:type="pct"/>
          </w:tcPr>
          <w:p w14:paraId="5D807D35" w14:textId="77777777" w:rsidR="00D63B70" w:rsidRPr="006D52A9" w:rsidRDefault="00D63B70" w:rsidP="00D63B70">
            <w:pPr>
              <w:rPr>
                <w:rFonts w:ascii="Arial" w:hAnsi="Arial" w:cs="Arial"/>
                <w:sz w:val="16"/>
                <w:szCs w:val="16"/>
              </w:rPr>
            </w:pPr>
            <w:r w:rsidRPr="006D52A9">
              <w:rPr>
                <w:rFonts w:ascii="Arial" w:hAnsi="Arial" w:cs="Arial"/>
                <w:sz w:val="16"/>
                <w:szCs w:val="16"/>
              </w:rPr>
              <w:t>Capsule 3 mg</w:t>
            </w:r>
          </w:p>
        </w:tc>
        <w:tc>
          <w:tcPr>
            <w:tcW w:w="540" w:type="pct"/>
          </w:tcPr>
          <w:p w14:paraId="25504CA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49A3AFA" w14:textId="77777777" w:rsidR="00D63B70" w:rsidRPr="006D52A9" w:rsidRDefault="00D63B70" w:rsidP="00D63B70">
            <w:pPr>
              <w:rPr>
                <w:rFonts w:ascii="Arial" w:hAnsi="Arial" w:cs="Arial"/>
                <w:sz w:val="16"/>
                <w:szCs w:val="16"/>
              </w:rPr>
            </w:pPr>
            <w:r w:rsidRPr="006D52A9">
              <w:rPr>
                <w:rFonts w:ascii="Arial" w:hAnsi="Arial" w:cs="Arial"/>
                <w:sz w:val="16"/>
                <w:szCs w:val="16"/>
              </w:rPr>
              <w:t>Pomalyst</w:t>
            </w:r>
          </w:p>
        </w:tc>
        <w:tc>
          <w:tcPr>
            <w:tcW w:w="894" w:type="pct"/>
          </w:tcPr>
          <w:p w14:paraId="7BD55026" w14:textId="77777777" w:rsidR="00D63B70" w:rsidRPr="006D52A9" w:rsidRDefault="00D63B70" w:rsidP="00D63B70">
            <w:pPr>
              <w:rPr>
                <w:rFonts w:ascii="Arial" w:hAnsi="Arial" w:cs="Arial"/>
                <w:sz w:val="16"/>
                <w:szCs w:val="16"/>
              </w:rPr>
            </w:pPr>
            <w:r w:rsidRPr="006D52A9">
              <w:rPr>
                <w:rFonts w:ascii="Arial" w:hAnsi="Arial" w:cs="Arial"/>
                <w:sz w:val="16"/>
                <w:szCs w:val="16"/>
              </w:rPr>
              <w:t>C7791 C7952</w:t>
            </w:r>
          </w:p>
        </w:tc>
        <w:tc>
          <w:tcPr>
            <w:tcW w:w="376" w:type="pct"/>
          </w:tcPr>
          <w:p w14:paraId="4170BF03" w14:textId="77777777" w:rsidR="00D63B70" w:rsidRPr="006D52A9" w:rsidRDefault="00D63B70" w:rsidP="00D63B70">
            <w:pPr>
              <w:rPr>
                <w:rFonts w:ascii="Arial" w:hAnsi="Arial" w:cs="Arial"/>
                <w:sz w:val="16"/>
                <w:szCs w:val="16"/>
              </w:rPr>
            </w:pPr>
          </w:p>
        </w:tc>
        <w:tc>
          <w:tcPr>
            <w:tcW w:w="499" w:type="pct"/>
          </w:tcPr>
          <w:p w14:paraId="1D5C9DA6"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518AEB1"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14:paraId="783D8955" w14:textId="77777777" w:rsidTr="00A91628">
        <w:tblPrEx>
          <w:tblBorders>
            <w:top w:val="single" w:sz="4" w:space="0" w:color="auto"/>
          </w:tblBorders>
        </w:tblPrEx>
        <w:trPr>
          <w:cantSplit/>
          <w:tblCellSpacing w:w="22" w:type="dxa"/>
        </w:trPr>
        <w:tc>
          <w:tcPr>
            <w:tcW w:w="508" w:type="pct"/>
          </w:tcPr>
          <w:p w14:paraId="56DC29C6" w14:textId="77777777" w:rsidR="00D63B70" w:rsidRPr="006D52A9" w:rsidRDefault="00D63B70" w:rsidP="00D63B70">
            <w:pPr>
              <w:rPr>
                <w:rFonts w:ascii="Arial" w:hAnsi="Arial" w:cs="Arial"/>
                <w:sz w:val="16"/>
                <w:szCs w:val="16"/>
              </w:rPr>
            </w:pPr>
          </w:p>
        </w:tc>
        <w:tc>
          <w:tcPr>
            <w:tcW w:w="943" w:type="pct"/>
          </w:tcPr>
          <w:p w14:paraId="573B6BF7" w14:textId="77777777" w:rsidR="00D63B70" w:rsidRPr="006D52A9" w:rsidRDefault="00D63B70" w:rsidP="00D63B70">
            <w:pPr>
              <w:rPr>
                <w:rFonts w:ascii="Arial" w:hAnsi="Arial" w:cs="Arial"/>
                <w:sz w:val="16"/>
                <w:szCs w:val="16"/>
              </w:rPr>
            </w:pPr>
            <w:r w:rsidRPr="006D52A9">
              <w:rPr>
                <w:rFonts w:ascii="Arial" w:hAnsi="Arial" w:cs="Arial"/>
                <w:sz w:val="16"/>
                <w:szCs w:val="16"/>
              </w:rPr>
              <w:t>Capsule 4 mg</w:t>
            </w:r>
          </w:p>
        </w:tc>
        <w:tc>
          <w:tcPr>
            <w:tcW w:w="540" w:type="pct"/>
          </w:tcPr>
          <w:p w14:paraId="1DA9D72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7B070CE" w14:textId="77777777" w:rsidR="00D63B70" w:rsidRPr="006D52A9" w:rsidRDefault="00D63B70" w:rsidP="00D63B70">
            <w:pPr>
              <w:rPr>
                <w:rFonts w:ascii="Arial" w:hAnsi="Arial" w:cs="Arial"/>
                <w:sz w:val="16"/>
                <w:szCs w:val="16"/>
              </w:rPr>
            </w:pPr>
            <w:r w:rsidRPr="006D52A9">
              <w:rPr>
                <w:rFonts w:ascii="Arial" w:hAnsi="Arial" w:cs="Arial"/>
                <w:sz w:val="16"/>
                <w:szCs w:val="16"/>
              </w:rPr>
              <w:t>Pomalyst</w:t>
            </w:r>
          </w:p>
        </w:tc>
        <w:tc>
          <w:tcPr>
            <w:tcW w:w="894" w:type="pct"/>
          </w:tcPr>
          <w:p w14:paraId="66E43CB1" w14:textId="77777777" w:rsidR="00D63B70" w:rsidRPr="006D52A9" w:rsidRDefault="00D63B70" w:rsidP="00D63B70">
            <w:pPr>
              <w:rPr>
                <w:rFonts w:ascii="Arial" w:hAnsi="Arial" w:cs="Arial"/>
                <w:sz w:val="16"/>
                <w:szCs w:val="16"/>
              </w:rPr>
            </w:pPr>
            <w:r w:rsidRPr="006D52A9">
              <w:rPr>
                <w:rFonts w:ascii="Arial" w:hAnsi="Arial" w:cs="Arial"/>
                <w:sz w:val="16"/>
                <w:szCs w:val="16"/>
              </w:rPr>
              <w:t>C7791 C7952</w:t>
            </w:r>
          </w:p>
        </w:tc>
        <w:tc>
          <w:tcPr>
            <w:tcW w:w="376" w:type="pct"/>
          </w:tcPr>
          <w:p w14:paraId="5CF9326F" w14:textId="77777777" w:rsidR="00D63B70" w:rsidRPr="006D52A9" w:rsidRDefault="00D63B70" w:rsidP="00D63B70">
            <w:pPr>
              <w:rPr>
                <w:rFonts w:ascii="Arial" w:hAnsi="Arial" w:cs="Arial"/>
                <w:sz w:val="16"/>
                <w:szCs w:val="16"/>
              </w:rPr>
            </w:pPr>
          </w:p>
        </w:tc>
        <w:tc>
          <w:tcPr>
            <w:tcW w:w="499" w:type="pct"/>
          </w:tcPr>
          <w:p w14:paraId="5F10A7E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D0587F5" w14:textId="77777777" w:rsidR="00D63B70" w:rsidRPr="006D52A9" w:rsidRDefault="00D63B70" w:rsidP="00D63B70">
            <w:pPr>
              <w:rPr>
                <w:rFonts w:ascii="Arial" w:hAnsi="Arial" w:cs="Arial"/>
                <w:sz w:val="16"/>
                <w:szCs w:val="16"/>
              </w:rPr>
            </w:pPr>
            <w:r w:rsidRPr="006D52A9">
              <w:rPr>
                <w:rFonts w:ascii="Arial" w:hAnsi="Arial" w:cs="Arial"/>
                <w:sz w:val="16"/>
              </w:rPr>
              <w:t xml:space="preserve">See </w:t>
            </w:r>
            <w:r w:rsidR="003E082A" w:rsidRPr="006D52A9">
              <w:rPr>
                <w:rFonts w:ascii="Arial" w:hAnsi="Arial" w:cs="Arial"/>
                <w:sz w:val="16"/>
              </w:rPr>
              <w:t>Schedule 2</w:t>
            </w:r>
          </w:p>
        </w:tc>
      </w:tr>
      <w:tr w:rsidR="00D63B70" w:rsidRPr="006D52A9" w:rsidDel="008E5759" w14:paraId="5215D0CC" w14:textId="77777777" w:rsidTr="00A91628">
        <w:tblPrEx>
          <w:tblBorders>
            <w:top w:val="single" w:sz="4" w:space="0" w:color="auto"/>
          </w:tblBorders>
        </w:tblPrEx>
        <w:trPr>
          <w:cantSplit/>
          <w:tblCellSpacing w:w="22" w:type="dxa"/>
        </w:trPr>
        <w:tc>
          <w:tcPr>
            <w:tcW w:w="508" w:type="pct"/>
          </w:tcPr>
          <w:p w14:paraId="6BCA7F15"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Raltegravir</w:t>
            </w:r>
          </w:p>
        </w:tc>
        <w:tc>
          <w:tcPr>
            <w:tcW w:w="943" w:type="pct"/>
          </w:tcPr>
          <w:p w14:paraId="527A368C"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Tablet 25 mg (as potassium)</w:t>
            </w:r>
          </w:p>
        </w:tc>
        <w:tc>
          <w:tcPr>
            <w:tcW w:w="540" w:type="pct"/>
          </w:tcPr>
          <w:p w14:paraId="358B84AF"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46DEFA9"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Isentress</w:t>
            </w:r>
          </w:p>
        </w:tc>
        <w:tc>
          <w:tcPr>
            <w:tcW w:w="894" w:type="pct"/>
          </w:tcPr>
          <w:p w14:paraId="4890082D"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 xml:space="preserve">C4274 C4275 </w:t>
            </w:r>
          </w:p>
        </w:tc>
        <w:tc>
          <w:tcPr>
            <w:tcW w:w="376" w:type="pct"/>
          </w:tcPr>
          <w:p w14:paraId="589681C2" w14:textId="77777777" w:rsidR="00D63B70" w:rsidRPr="006D52A9" w:rsidDel="008E5759" w:rsidRDefault="00D63B70" w:rsidP="00D63B70">
            <w:pPr>
              <w:rPr>
                <w:rFonts w:ascii="Arial" w:hAnsi="Arial" w:cs="Arial"/>
                <w:sz w:val="16"/>
                <w:szCs w:val="16"/>
              </w:rPr>
            </w:pPr>
          </w:p>
        </w:tc>
        <w:tc>
          <w:tcPr>
            <w:tcW w:w="499" w:type="pct"/>
          </w:tcPr>
          <w:p w14:paraId="20FCE065"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360</w:t>
            </w:r>
          </w:p>
        </w:tc>
        <w:tc>
          <w:tcPr>
            <w:tcW w:w="502" w:type="pct"/>
          </w:tcPr>
          <w:p w14:paraId="20395244"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8E5759" w14:paraId="571FFA16" w14:textId="77777777" w:rsidTr="00A91628">
        <w:tblPrEx>
          <w:tblBorders>
            <w:top w:val="single" w:sz="4" w:space="0" w:color="auto"/>
          </w:tblBorders>
        </w:tblPrEx>
        <w:trPr>
          <w:cantSplit/>
          <w:tblCellSpacing w:w="22" w:type="dxa"/>
        </w:trPr>
        <w:tc>
          <w:tcPr>
            <w:tcW w:w="508" w:type="pct"/>
          </w:tcPr>
          <w:p w14:paraId="29F7F0A3" w14:textId="77777777" w:rsidR="00D63B70" w:rsidRPr="006D52A9" w:rsidDel="008E5759" w:rsidRDefault="00D63B70" w:rsidP="00D63B70">
            <w:pPr>
              <w:rPr>
                <w:rFonts w:ascii="Arial" w:hAnsi="Arial" w:cs="Arial"/>
                <w:sz w:val="16"/>
                <w:szCs w:val="16"/>
              </w:rPr>
            </w:pPr>
          </w:p>
        </w:tc>
        <w:tc>
          <w:tcPr>
            <w:tcW w:w="943" w:type="pct"/>
          </w:tcPr>
          <w:p w14:paraId="27D75E7B"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Tablet 100 mg (as potassium)</w:t>
            </w:r>
          </w:p>
        </w:tc>
        <w:tc>
          <w:tcPr>
            <w:tcW w:w="540" w:type="pct"/>
          </w:tcPr>
          <w:p w14:paraId="0C50502E"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020B0BC"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Isentress</w:t>
            </w:r>
          </w:p>
        </w:tc>
        <w:tc>
          <w:tcPr>
            <w:tcW w:w="894" w:type="pct"/>
          </w:tcPr>
          <w:p w14:paraId="0128BC5F"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 xml:space="preserve">C4274 C4275 </w:t>
            </w:r>
          </w:p>
        </w:tc>
        <w:tc>
          <w:tcPr>
            <w:tcW w:w="376" w:type="pct"/>
          </w:tcPr>
          <w:p w14:paraId="12CF321A" w14:textId="77777777" w:rsidR="00D63B70" w:rsidRPr="006D52A9" w:rsidDel="008E5759" w:rsidRDefault="00D63B70" w:rsidP="00D63B70">
            <w:pPr>
              <w:rPr>
                <w:rFonts w:ascii="Arial" w:hAnsi="Arial" w:cs="Arial"/>
                <w:sz w:val="16"/>
                <w:szCs w:val="16"/>
              </w:rPr>
            </w:pPr>
          </w:p>
        </w:tc>
        <w:tc>
          <w:tcPr>
            <w:tcW w:w="499" w:type="pct"/>
          </w:tcPr>
          <w:p w14:paraId="31C1CA07"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360</w:t>
            </w:r>
          </w:p>
        </w:tc>
        <w:tc>
          <w:tcPr>
            <w:tcW w:w="502" w:type="pct"/>
          </w:tcPr>
          <w:p w14:paraId="72703EA3"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8E5759" w14:paraId="46A0CAEB" w14:textId="77777777" w:rsidTr="00A91628">
        <w:tblPrEx>
          <w:tblBorders>
            <w:top w:val="single" w:sz="4" w:space="0" w:color="auto"/>
          </w:tblBorders>
        </w:tblPrEx>
        <w:trPr>
          <w:cantSplit/>
          <w:tblCellSpacing w:w="22" w:type="dxa"/>
        </w:trPr>
        <w:tc>
          <w:tcPr>
            <w:tcW w:w="508" w:type="pct"/>
          </w:tcPr>
          <w:p w14:paraId="00C9F60A" w14:textId="77777777" w:rsidR="00D63B70" w:rsidRPr="006D52A9" w:rsidDel="008E5759" w:rsidRDefault="00D63B70" w:rsidP="00D63B70">
            <w:pPr>
              <w:rPr>
                <w:rFonts w:ascii="Arial" w:hAnsi="Arial" w:cs="Arial"/>
                <w:sz w:val="16"/>
                <w:szCs w:val="16"/>
              </w:rPr>
            </w:pPr>
          </w:p>
        </w:tc>
        <w:tc>
          <w:tcPr>
            <w:tcW w:w="943" w:type="pct"/>
          </w:tcPr>
          <w:p w14:paraId="5EF07B27"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Tablet 400 mg (as potassium)</w:t>
            </w:r>
          </w:p>
        </w:tc>
        <w:tc>
          <w:tcPr>
            <w:tcW w:w="540" w:type="pct"/>
          </w:tcPr>
          <w:p w14:paraId="4AB176BD"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525015C"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Isentress</w:t>
            </w:r>
          </w:p>
        </w:tc>
        <w:tc>
          <w:tcPr>
            <w:tcW w:w="894" w:type="pct"/>
          </w:tcPr>
          <w:p w14:paraId="47B1F1F3"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109BD4B7" w14:textId="77777777" w:rsidR="00D63B70" w:rsidRPr="006D52A9" w:rsidDel="008E5759" w:rsidRDefault="00D63B70" w:rsidP="00D63B70">
            <w:pPr>
              <w:rPr>
                <w:rFonts w:ascii="Arial" w:hAnsi="Arial" w:cs="Arial"/>
                <w:sz w:val="16"/>
                <w:szCs w:val="16"/>
              </w:rPr>
            </w:pPr>
          </w:p>
        </w:tc>
        <w:tc>
          <w:tcPr>
            <w:tcW w:w="499" w:type="pct"/>
          </w:tcPr>
          <w:p w14:paraId="453C375D"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3224BE2E" w14:textId="77777777" w:rsidR="00D63B70" w:rsidRPr="006D52A9" w:rsidDel="008E575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8E5759" w14:paraId="1087EC96" w14:textId="77777777" w:rsidTr="00A91628">
        <w:tblPrEx>
          <w:tblBorders>
            <w:top w:val="single" w:sz="4" w:space="0" w:color="auto"/>
          </w:tblBorders>
        </w:tblPrEx>
        <w:trPr>
          <w:cantSplit/>
          <w:tblCellSpacing w:w="22" w:type="dxa"/>
        </w:trPr>
        <w:tc>
          <w:tcPr>
            <w:tcW w:w="508" w:type="pct"/>
          </w:tcPr>
          <w:p w14:paraId="21957BE7" w14:textId="77777777" w:rsidR="00D63B70" w:rsidRPr="006D52A9" w:rsidDel="008E5759" w:rsidRDefault="00D63B70" w:rsidP="00D63B70">
            <w:pPr>
              <w:rPr>
                <w:rFonts w:ascii="Arial" w:hAnsi="Arial" w:cs="Arial"/>
                <w:sz w:val="16"/>
                <w:szCs w:val="16"/>
              </w:rPr>
            </w:pPr>
          </w:p>
        </w:tc>
        <w:tc>
          <w:tcPr>
            <w:tcW w:w="943" w:type="pct"/>
          </w:tcPr>
          <w:p w14:paraId="7EBF2149" w14:textId="77777777" w:rsidR="00D63B70" w:rsidRPr="006D52A9" w:rsidRDefault="00D63B70" w:rsidP="00D63B70">
            <w:pPr>
              <w:rPr>
                <w:rFonts w:ascii="Arial" w:hAnsi="Arial" w:cs="Arial"/>
                <w:sz w:val="16"/>
                <w:szCs w:val="16"/>
              </w:rPr>
            </w:pPr>
            <w:r w:rsidRPr="006D52A9">
              <w:rPr>
                <w:rFonts w:ascii="Arial" w:hAnsi="Arial" w:cs="Arial"/>
                <w:sz w:val="16"/>
                <w:szCs w:val="16"/>
              </w:rPr>
              <w:t>Tablet 600 mg (as potassium)</w:t>
            </w:r>
          </w:p>
        </w:tc>
        <w:tc>
          <w:tcPr>
            <w:tcW w:w="540" w:type="pct"/>
          </w:tcPr>
          <w:p w14:paraId="056CDB9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C310340" w14:textId="77777777" w:rsidR="00D63B70" w:rsidRPr="006D52A9" w:rsidRDefault="00D63B70" w:rsidP="00D63B70">
            <w:pPr>
              <w:rPr>
                <w:rFonts w:ascii="Arial" w:hAnsi="Arial" w:cs="Arial"/>
                <w:sz w:val="16"/>
                <w:szCs w:val="16"/>
              </w:rPr>
            </w:pPr>
            <w:r w:rsidRPr="006D52A9">
              <w:rPr>
                <w:rFonts w:ascii="Arial" w:hAnsi="Arial" w:cs="Arial"/>
                <w:sz w:val="16"/>
                <w:szCs w:val="16"/>
              </w:rPr>
              <w:t>Isentress HD</w:t>
            </w:r>
          </w:p>
        </w:tc>
        <w:tc>
          <w:tcPr>
            <w:tcW w:w="894" w:type="pct"/>
          </w:tcPr>
          <w:p w14:paraId="3F568E75"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76A40108" w14:textId="77777777" w:rsidR="00D63B70" w:rsidRPr="006D52A9" w:rsidDel="008E5759" w:rsidRDefault="00D63B70" w:rsidP="00D63B70">
            <w:pPr>
              <w:rPr>
                <w:rFonts w:ascii="Arial" w:hAnsi="Arial" w:cs="Arial"/>
                <w:sz w:val="16"/>
                <w:szCs w:val="16"/>
              </w:rPr>
            </w:pPr>
          </w:p>
        </w:tc>
        <w:tc>
          <w:tcPr>
            <w:tcW w:w="499" w:type="pct"/>
          </w:tcPr>
          <w:p w14:paraId="0CC88AA4"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047B7D7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8E5759" w14:paraId="6E19EBFC" w14:textId="77777777" w:rsidTr="00A91628">
        <w:tblPrEx>
          <w:tblBorders>
            <w:top w:val="single" w:sz="4" w:space="0" w:color="auto"/>
          </w:tblBorders>
        </w:tblPrEx>
        <w:trPr>
          <w:cantSplit/>
          <w:tblCellSpacing w:w="22" w:type="dxa"/>
        </w:trPr>
        <w:tc>
          <w:tcPr>
            <w:tcW w:w="508" w:type="pct"/>
          </w:tcPr>
          <w:p w14:paraId="498BE120" w14:textId="77777777" w:rsidR="00D63B70" w:rsidRPr="006D52A9" w:rsidDel="008E5759" w:rsidRDefault="00D63B70" w:rsidP="00D63B70">
            <w:pPr>
              <w:widowControl w:val="0"/>
              <w:rPr>
                <w:rFonts w:ascii="Arial" w:hAnsi="Arial" w:cs="Arial"/>
                <w:sz w:val="16"/>
                <w:szCs w:val="16"/>
              </w:rPr>
            </w:pPr>
            <w:r w:rsidRPr="006D52A9">
              <w:rPr>
                <w:rFonts w:ascii="Arial" w:hAnsi="Arial" w:cs="Arial"/>
                <w:sz w:val="16"/>
                <w:szCs w:val="16"/>
              </w:rPr>
              <w:t>Ribavirin</w:t>
            </w:r>
          </w:p>
        </w:tc>
        <w:tc>
          <w:tcPr>
            <w:tcW w:w="943" w:type="pct"/>
          </w:tcPr>
          <w:p w14:paraId="16487007"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Tablet 400 mg</w:t>
            </w:r>
          </w:p>
        </w:tc>
        <w:tc>
          <w:tcPr>
            <w:tcW w:w="540" w:type="pct"/>
          </w:tcPr>
          <w:p w14:paraId="73FE897E"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Oral</w:t>
            </w:r>
          </w:p>
        </w:tc>
        <w:tc>
          <w:tcPr>
            <w:tcW w:w="591" w:type="pct"/>
          </w:tcPr>
          <w:p w14:paraId="06ED9585"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Ibavyr</w:t>
            </w:r>
          </w:p>
        </w:tc>
        <w:tc>
          <w:tcPr>
            <w:tcW w:w="894" w:type="pct"/>
          </w:tcPr>
          <w:p w14:paraId="638DD4C6"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C5957 C5958</w:t>
            </w:r>
          </w:p>
        </w:tc>
        <w:tc>
          <w:tcPr>
            <w:tcW w:w="376" w:type="pct"/>
          </w:tcPr>
          <w:p w14:paraId="53289861"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P5957</w:t>
            </w:r>
          </w:p>
        </w:tc>
        <w:tc>
          <w:tcPr>
            <w:tcW w:w="499" w:type="pct"/>
          </w:tcPr>
          <w:p w14:paraId="576AA305"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28</w:t>
            </w:r>
          </w:p>
        </w:tc>
        <w:tc>
          <w:tcPr>
            <w:tcW w:w="502" w:type="pct"/>
          </w:tcPr>
          <w:p w14:paraId="30FCD23B"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w:t>
            </w:r>
          </w:p>
        </w:tc>
      </w:tr>
      <w:tr w:rsidR="00D63B70" w:rsidRPr="006D52A9" w:rsidDel="008E5759" w14:paraId="7AF501C7" w14:textId="77777777" w:rsidTr="00A91628">
        <w:tblPrEx>
          <w:tblBorders>
            <w:top w:val="single" w:sz="4" w:space="0" w:color="auto"/>
          </w:tblBorders>
        </w:tblPrEx>
        <w:trPr>
          <w:cantSplit/>
          <w:tblCellSpacing w:w="22" w:type="dxa"/>
        </w:trPr>
        <w:tc>
          <w:tcPr>
            <w:tcW w:w="508" w:type="pct"/>
          </w:tcPr>
          <w:p w14:paraId="737F187B" w14:textId="77777777" w:rsidR="00D63B70" w:rsidRPr="006D52A9" w:rsidDel="008E5759" w:rsidRDefault="00D63B70" w:rsidP="00D63B70">
            <w:pPr>
              <w:widowControl w:val="0"/>
              <w:rPr>
                <w:rFonts w:ascii="Arial" w:hAnsi="Arial" w:cs="Arial"/>
                <w:sz w:val="16"/>
                <w:szCs w:val="16"/>
              </w:rPr>
            </w:pPr>
          </w:p>
        </w:tc>
        <w:tc>
          <w:tcPr>
            <w:tcW w:w="943" w:type="pct"/>
          </w:tcPr>
          <w:p w14:paraId="6DDB2349" w14:textId="77777777" w:rsidR="00D63B70" w:rsidRPr="006D52A9" w:rsidRDefault="00D63B70" w:rsidP="00D63B70">
            <w:pPr>
              <w:widowControl w:val="0"/>
              <w:rPr>
                <w:rFonts w:ascii="Arial" w:hAnsi="Arial" w:cs="Arial"/>
                <w:sz w:val="16"/>
                <w:szCs w:val="16"/>
              </w:rPr>
            </w:pPr>
          </w:p>
        </w:tc>
        <w:tc>
          <w:tcPr>
            <w:tcW w:w="540" w:type="pct"/>
          </w:tcPr>
          <w:p w14:paraId="0AE5AA6C" w14:textId="77777777" w:rsidR="00D63B70" w:rsidRPr="006D52A9" w:rsidRDefault="00D63B70" w:rsidP="00D63B70">
            <w:pPr>
              <w:widowControl w:val="0"/>
              <w:rPr>
                <w:rFonts w:ascii="Arial" w:hAnsi="Arial" w:cs="Arial"/>
                <w:sz w:val="16"/>
                <w:szCs w:val="16"/>
              </w:rPr>
            </w:pPr>
          </w:p>
        </w:tc>
        <w:tc>
          <w:tcPr>
            <w:tcW w:w="591" w:type="pct"/>
          </w:tcPr>
          <w:p w14:paraId="27C7B14D" w14:textId="77777777" w:rsidR="00D63B70" w:rsidRPr="006D52A9" w:rsidRDefault="00D63B70" w:rsidP="00D63B70">
            <w:pPr>
              <w:widowControl w:val="0"/>
              <w:rPr>
                <w:rFonts w:ascii="Arial" w:hAnsi="Arial" w:cs="Arial"/>
                <w:sz w:val="16"/>
                <w:szCs w:val="16"/>
              </w:rPr>
            </w:pPr>
          </w:p>
        </w:tc>
        <w:tc>
          <w:tcPr>
            <w:tcW w:w="894" w:type="pct"/>
          </w:tcPr>
          <w:p w14:paraId="32E99610"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C5957 C5958</w:t>
            </w:r>
          </w:p>
        </w:tc>
        <w:tc>
          <w:tcPr>
            <w:tcW w:w="376" w:type="pct"/>
          </w:tcPr>
          <w:p w14:paraId="462EBB67"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P5958</w:t>
            </w:r>
          </w:p>
        </w:tc>
        <w:tc>
          <w:tcPr>
            <w:tcW w:w="499" w:type="pct"/>
          </w:tcPr>
          <w:p w14:paraId="09D84539"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28</w:t>
            </w:r>
          </w:p>
        </w:tc>
        <w:tc>
          <w:tcPr>
            <w:tcW w:w="502" w:type="pct"/>
          </w:tcPr>
          <w:p w14:paraId="48E45746"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5</w:t>
            </w:r>
          </w:p>
        </w:tc>
      </w:tr>
      <w:tr w:rsidR="00D63B70" w:rsidRPr="006D52A9" w:rsidDel="008E5759" w14:paraId="6B129BB3" w14:textId="77777777" w:rsidTr="00A91628">
        <w:tblPrEx>
          <w:tblBorders>
            <w:top w:val="single" w:sz="4" w:space="0" w:color="auto"/>
          </w:tblBorders>
        </w:tblPrEx>
        <w:trPr>
          <w:cantSplit/>
          <w:tblCellSpacing w:w="22" w:type="dxa"/>
        </w:trPr>
        <w:tc>
          <w:tcPr>
            <w:tcW w:w="508" w:type="pct"/>
          </w:tcPr>
          <w:p w14:paraId="245217F8" w14:textId="77777777" w:rsidR="00D63B70" w:rsidRPr="006D52A9" w:rsidDel="008E5759" w:rsidRDefault="00D63B70" w:rsidP="00D63B70">
            <w:pPr>
              <w:widowControl w:val="0"/>
              <w:rPr>
                <w:rFonts w:ascii="Arial" w:hAnsi="Arial" w:cs="Arial"/>
                <w:sz w:val="16"/>
                <w:szCs w:val="16"/>
              </w:rPr>
            </w:pPr>
          </w:p>
        </w:tc>
        <w:tc>
          <w:tcPr>
            <w:tcW w:w="943" w:type="pct"/>
          </w:tcPr>
          <w:p w14:paraId="7C6E557D"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Tablet 600 mg</w:t>
            </w:r>
          </w:p>
        </w:tc>
        <w:tc>
          <w:tcPr>
            <w:tcW w:w="540" w:type="pct"/>
          </w:tcPr>
          <w:p w14:paraId="2FD298CB"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Oral</w:t>
            </w:r>
          </w:p>
        </w:tc>
        <w:tc>
          <w:tcPr>
            <w:tcW w:w="591" w:type="pct"/>
          </w:tcPr>
          <w:p w14:paraId="3D3C6B4E"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Ibavyr</w:t>
            </w:r>
          </w:p>
        </w:tc>
        <w:tc>
          <w:tcPr>
            <w:tcW w:w="894" w:type="pct"/>
          </w:tcPr>
          <w:p w14:paraId="51ED54B8"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C5957 C5958</w:t>
            </w:r>
          </w:p>
        </w:tc>
        <w:tc>
          <w:tcPr>
            <w:tcW w:w="376" w:type="pct"/>
          </w:tcPr>
          <w:p w14:paraId="18D7F854" w14:textId="77777777" w:rsidR="00D63B70" w:rsidRPr="006D52A9" w:rsidDel="008E5759" w:rsidRDefault="00D63B70" w:rsidP="00D63B70">
            <w:pPr>
              <w:widowControl w:val="0"/>
              <w:rPr>
                <w:rFonts w:ascii="Arial" w:hAnsi="Arial" w:cs="Arial"/>
                <w:sz w:val="16"/>
                <w:szCs w:val="16"/>
              </w:rPr>
            </w:pPr>
            <w:r w:rsidRPr="006D52A9">
              <w:rPr>
                <w:rFonts w:ascii="Arial" w:hAnsi="Arial" w:cs="Arial"/>
                <w:sz w:val="16"/>
                <w:szCs w:val="16"/>
              </w:rPr>
              <w:t>P5957</w:t>
            </w:r>
          </w:p>
        </w:tc>
        <w:tc>
          <w:tcPr>
            <w:tcW w:w="499" w:type="pct"/>
          </w:tcPr>
          <w:p w14:paraId="305E6E0E"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28</w:t>
            </w:r>
          </w:p>
        </w:tc>
        <w:tc>
          <w:tcPr>
            <w:tcW w:w="502" w:type="pct"/>
          </w:tcPr>
          <w:p w14:paraId="31B0EA20"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w:t>
            </w:r>
          </w:p>
        </w:tc>
      </w:tr>
      <w:tr w:rsidR="00D63B70" w:rsidRPr="006D52A9" w:rsidDel="008E5759" w14:paraId="21490824" w14:textId="77777777" w:rsidTr="00A91628">
        <w:tblPrEx>
          <w:tblBorders>
            <w:top w:val="single" w:sz="4" w:space="0" w:color="auto"/>
          </w:tblBorders>
        </w:tblPrEx>
        <w:trPr>
          <w:cantSplit/>
          <w:tblCellSpacing w:w="22" w:type="dxa"/>
        </w:trPr>
        <w:tc>
          <w:tcPr>
            <w:tcW w:w="508" w:type="pct"/>
          </w:tcPr>
          <w:p w14:paraId="43EC0635" w14:textId="77777777" w:rsidR="00D63B70" w:rsidRPr="006D52A9" w:rsidDel="008E5759" w:rsidRDefault="00D63B70" w:rsidP="00D63B70">
            <w:pPr>
              <w:widowControl w:val="0"/>
              <w:rPr>
                <w:rFonts w:ascii="Arial" w:hAnsi="Arial" w:cs="Arial"/>
                <w:sz w:val="16"/>
                <w:szCs w:val="16"/>
              </w:rPr>
            </w:pPr>
          </w:p>
        </w:tc>
        <w:tc>
          <w:tcPr>
            <w:tcW w:w="943" w:type="pct"/>
          </w:tcPr>
          <w:p w14:paraId="50B6F38C" w14:textId="77777777" w:rsidR="00D63B70" w:rsidRPr="006D52A9" w:rsidRDefault="00D63B70" w:rsidP="00D63B70">
            <w:pPr>
              <w:widowControl w:val="0"/>
              <w:rPr>
                <w:rFonts w:ascii="Arial" w:hAnsi="Arial" w:cs="Arial"/>
                <w:sz w:val="16"/>
                <w:szCs w:val="16"/>
              </w:rPr>
            </w:pPr>
          </w:p>
        </w:tc>
        <w:tc>
          <w:tcPr>
            <w:tcW w:w="540" w:type="pct"/>
          </w:tcPr>
          <w:p w14:paraId="15AA28F7" w14:textId="77777777" w:rsidR="00D63B70" w:rsidRPr="006D52A9" w:rsidRDefault="00D63B70" w:rsidP="00D63B70">
            <w:pPr>
              <w:widowControl w:val="0"/>
              <w:rPr>
                <w:rFonts w:ascii="Arial" w:hAnsi="Arial" w:cs="Arial"/>
                <w:sz w:val="16"/>
                <w:szCs w:val="16"/>
              </w:rPr>
            </w:pPr>
          </w:p>
        </w:tc>
        <w:tc>
          <w:tcPr>
            <w:tcW w:w="591" w:type="pct"/>
          </w:tcPr>
          <w:p w14:paraId="3BF23CCF" w14:textId="77777777" w:rsidR="00D63B70" w:rsidRPr="006D52A9" w:rsidRDefault="00D63B70" w:rsidP="00D63B70">
            <w:pPr>
              <w:widowControl w:val="0"/>
              <w:rPr>
                <w:rFonts w:ascii="Arial" w:hAnsi="Arial" w:cs="Arial"/>
                <w:sz w:val="16"/>
                <w:szCs w:val="16"/>
              </w:rPr>
            </w:pPr>
          </w:p>
        </w:tc>
        <w:tc>
          <w:tcPr>
            <w:tcW w:w="894" w:type="pct"/>
          </w:tcPr>
          <w:p w14:paraId="5713AA10"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C5957 C5958</w:t>
            </w:r>
          </w:p>
        </w:tc>
        <w:tc>
          <w:tcPr>
            <w:tcW w:w="376" w:type="pct"/>
          </w:tcPr>
          <w:p w14:paraId="287011FD" w14:textId="77777777" w:rsidR="00D63B70" w:rsidRPr="006D52A9" w:rsidDel="008E5759" w:rsidRDefault="00D63B70" w:rsidP="00D63B70">
            <w:pPr>
              <w:widowControl w:val="0"/>
              <w:rPr>
                <w:rFonts w:ascii="Arial" w:hAnsi="Arial" w:cs="Arial"/>
                <w:sz w:val="16"/>
                <w:szCs w:val="16"/>
              </w:rPr>
            </w:pPr>
            <w:r w:rsidRPr="006D52A9">
              <w:rPr>
                <w:rFonts w:ascii="Arial" w:hAnsi="Arial" w:cs="Arial"/>
                <w:sz w:val="16"/>
                <w:szCs w:val="16"/>
              </w:rPr>
              <w:t>P5958</w:t>
            </w:r>
          </w:p>
        </w:tc>
        <w:tc>
          <w:tcPr>
            <w:tcW w:w="499" w:type="pct"/>
          </w:tcPr>
          <w:p w14:paraId="6E6ED925"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28</w:t>
            </w:r>
          </w:p>
        </w:tc>
        <w:tc>
          <w:tcPr>
            <w:tcW w:w="502" w:type="pct"/>
          </w:tcPr>
          <w:p w14:paraId="2D8D5029" w14:textId="77777777" w:rsidR="00D63B70" w:rsidRPr="006D52A9" w:rsidRDefault="00D63B70" w:rsidP="00D63B70">
            <w:pPr>
              <w:widowControl w:val="0"/>
              <w:rPr>
                <w:rFonts w:ascii="Arial" w:hAnsi="Arial" w:cs="Arial"/>
                <w:sz w:val="16"/>
                <w:szCs w:val="16"/>
              </w:rPr>
            </w:pPr>
            <w:r w:rsidRPr="006D52A9">
              <w:rPr>
                <w:rFonts w:ascii="Arial" w:hAnsi="Arial" w:cs="Arial"/>
                <w:sz w:val="16"/>
                <w:szCs w:val="16"/>
              </w:rPr>
              <w:t>5</w:t>
            </w:r>
          </w:p>
        </w:tc>
      </w:tr>
      <w:tr w:rsidR="00D63B70" w:rsidRPr="006D52A9" w14:paraId="070FDCA4" w14:textId="77777777" w:rsidTr="00A91628">
        <w:tblPrEx>
          <w:tblBorders>
            <w:top w:val="single" w:sz="4" w:space="0" w:color="auto"/>
          </w:tblBorders>
        </w:tblPrEx>
        <w:trPr>
          <w:cantSplit/>
          <w:tblCellSpacing w:w="22" w:type="dxa"/>
        </w:trPr>
        <w:tc>
          <w:tcPr>
            <w:tcW w:w="508" w:type="pct"/>
          </w:tcPr>
          <w:p w14:paraId="09CA1F5A" w14:textId="77777777" w:rsidR="00D63B70" w:rsidRPr="006D52A9" w:rsidRDefault="00D63B70" w:rsidP="00D63B70">
            <w:pPr>
              <w:rPr>
                <w:rFonts w:ascii="Arial" w:hAnsi="Arial" w:cs="Arial"/>
                <w:sz w:val="16"/>
                <w:szCs w:val="16"/>
              </w:rPr>
            </w:pPr>
            <w:r w:rsidRPr="006D52A9">
              <w:rPr>
                <w:rFonts w:ascii="Arial" w:hAnsi="Arial" w:cs="Arial"/>
                <w:sz w:val="16"/>
                <w:szCs w:val="16"/>
              </w:rPr>
              <w:t>Rifabutin</w:t>
            </w:r>
          </w:p>
        </w:tc>
        <w:tc>
          <w:tcPr>
            <w:tcW w:w="943" w:type="pct"/>
          </w:tcPr>
          <w:p w14:paraId="2A21841B" w14:textId="77777777" w:rsidR="00D63B70" w:rsidRPr="006D52A9" w:rsidRDefault="00D63B70" w:rsidP="00D63B70">
            <w:pPr>
              <w:rPr>
                <w:rFonts w:ascii="Arial" w:hAnsi="Arial" w:cs="Arial"/>
                <w:sz w:val="16"/>
                <w:szCs w:val="16"/>
              </w:rPr>
            </w:pPr>
            <w:r w:rsidRPr="006D52A9">
              <w:rPr>
                <w:rFonts w:ascii="Arial" w:hAnsi="Arial" w:cs="Arial"/>
                <w:sz w:val="16"/>
                <w:szCs w:val="16"/>
              </w:rPr>
              <w:t>Capsule 150 mg</w:t>
            </w:r>
          </w:p>
        </w:tc>
        <w:tc>
          <w:tcPr>
            <w:tcW w:w="540" w:type="pct"/>
          </w:tcPr>
          <w:p w14:paraId="62D5D36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01CF1B6" w14:textId="77777777" w:rsidR="00D63B70" w:rsidRPr="006D52A9" w:rsidRDefault="00D63B70" w:rsidP="00D63B70">
            <w:pPr>
              <w:rPr>
                <w:rFonts w:ascii="Arial" w:hAnsi="Arial" w:cs="Arial"/>
                <w:sz w:val="16"/>
                <w:szCs w:val="16"/>
              </w:rPr>
            </w:pPr>
            <w:r w:rsidRPr="006D52A9">
              <w:rPr>
                <w:rFonts w:ascii="Arial" w:hAnsi="Arial" w:cs="Arial"/>
                <w:sz w:val="16"/>
                <w:szCs w:val="16"/>
              </w:rPr>
              <w:t>Mycobutin</w:t>
            </w:r>
          </w:p>
        </w:tc>
        <w:tc>
          <w:tcPr>
            <w:tcW w:w="894" w:type="pct"/>
          </w:tcPr>
          <w:p w14:paraId="3171A949" w14:textId="77777777" w:rsidR="00D63B70" w:rsidRPr="006D52A9" w:rsidRDefault="00D63B70" w:rsidP="00D63B70">
            <w:pPr>
              <w:rPr>
                <w:rFonts w:ascii="Arial" w:hAnsi="Arial" w:cs="Arial"/>
                <w:sz w:val="16"/>
                <w:szCs w:val="16"/>
              </w:rPr>
            </w:pPr>
            <w:r w:rsidRPr="006D52A9">
              <w:rPr>
                <w:rFonts w:ascii="Arial" w:hAnsi="Arial" w:cs="Arial"/>
                <w:sz w:val="16"/>
                <w:szCs w:val="16"/>
              </w:rPr>
              <w:t>C6350 C6356 C9560 C9622</w:t>
            </w:r>
          </w:p>
        </w:tc>
        <w:tc>
          <w:tcPr>
            <w:tcW w:w="376" w:type="pct"/>
          </w:tcPr>
          <w:p w14:paraId="70782B03" w14:textId="77777777" w:rsidR="00D63B70" w:rsidRPr="006D52A9" w:rsidRDefault="00D63B70" w:rsidP="00D63B70">
            <w:pPr>
              <w:rPr>
                <w:rFonts w:ascii="Arial" w:hAnsi="Arial" w:cs="Arial"/>
                <w:sz w:val="16"/>
                <w:szCs w:val="16"/>
              </w:rPr>
            </w:pPr>
          </w:p>
        </w:tc>
        <w:tc>
          <w:tcPr>
            <w:tcW w:w="499" w:type="pct"/>
          </w:tcPr>
          <w:p w14:paraId="4D16F598"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04D8AA7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3B0F0AE" w14:textId="77777777" w:rsidTr="00A91628">
        <w:tblPrEx>
          <w:tblBorders>
            <w:top w:val="single" w:sz="4" w:space="0" w:color="auto"/>
          </w:tblBorders>
        </w:tblPrEx>
        <w:trPr>
          <w:cantSplit/>
          <w:tblCellSpacing w:w="22" w:type="dxa"/>
        </w:trPr>
        <w:tc>
          <w:tcPr>
            <w:tcW w:w="508" w:type="pct"/>
          </w:tcPr>
          <w:p w14:paraId="06903169" w14:textId="77777777" w:rsidR="00D63B70" w:rsidRPr="006D52A9" w:rsidRDefault="00D63B70" w:rsidP="00D63B70">
            <w:pPr>
              <w:rPr>
                <w:rFonts w:ascii="Arial" w:hAnsi="Arial" w:cs="Arial"/>
                <w:sz w:val="16"/>
                <w:szCs w:val="16"/>
              </w:rPr>
            </w:pPr>
            <w:r w:rsidRPr="006D52A9">
              <w:rPr>
                <w:rFonts w:ascii="Arial" w:hAnsi="Arial" w:cs="Arial"/>
                <w:sz w:val="16"/>
                <w:szCs w:val="16"/>
              </w:rPr>
              <w:t>Rilpivirine</w:t>
            </w:r>
          </w:p>
        </w:tc>
        <w:tc>
          <w:tcPr>
            <w:tcW w:w="943" w:type="pct"/>
          </w:tcPr>
          <w:p w14:paraId="64C4349A" w14:textId="77777777" w:rsidR="00D63B70" w:rsidRPr="006D52A9" w:rsidRDefault="00D63B70" w:rsidP="00D63B70">
            <w:pPr>
              <w:rPr>
                <w:rFonts w:ascii="Arial" w:hAnsi="Arial" w:cs="Arial"/>
                <w:sz w:val="16"/>
                <w:szCs w:val="16"/>
              </w:rPr>
            </w:pPr>
            <w:r w:rsidRPr="006D52A9">
              <w:rPr>
                <w:rFonts w:ascii="Arial" w:hAnsi="Arial" w:cs="Arial"/>
                <w:sz w:val="16"/>
                <w:szCs w:val="16"/>
              </w:rPr>
              <w:t>Tablet 25 mg (as hydrochloride)</w:t>
            </w:r>
          </w:p>
        </w:tc>
        <w:tc>
          <w:tcPr>
            <w:tcW w:w="540" w:type="pct"/>
          </w:tcPr>
          <w:p w14:paraId="5622DF4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2DC466A" w14:textId="77777777" w:rsidR="00D63B70" w:rsidRPr="006D52A9" w:rsidRDefault="00D63B70" w:rsidP="00D63B70">
            <w:pPr>
              <w:rPr>
                <w:rFonts w:ascii="Arial" w:hAnsi="Arial" w:cs="Arial"/>
                <w:sz w:val="16"/>
                <w:szCs w:val="16"/>
              </w:rPr>
            </w:pPr>
            <w:r w:rsidRPr="006D52A9">
              <w:rPr>
                <w:rFonts w:ascii="Arial" w:hAnsi="Arial" w:cs="Arial"/>
                <w:sz w:val="16"/>
                <w:szCs w:val="16"/>
              </w:rPr>
              <w:t>Edurant</w:t>
            </w:r>
          </w:p>
        </w:tc>
        <w:tc>
          <w:tcPr>
            <w:tcW w:w="894" w:type="pct"/>
          </w:tcPr>
          <w:p w14:paraId="27861D03"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5F13C106" w14:textId="77777777" w:rsidR="00D63B70" w:rsidRPr="006D52A9" w:rsidRDefault="00D63B70" w:rsidP="00D63B70">
            <w:pPr>
              <w:rPr>
                <w:rFonts w:ascii="Arial" w:hAnsi="Arial" w:cs="Arial"/>
                <w:sz w:val="16"/>
                <w:szCs w:val="16"/>
              </w:rPr>
            </w:pPr>
          </w:p>
        </w:tc>
        <w:tc>
          <w:tcPr>
            <w:tcW w:w="499" w:type="pct"/>
          </w:tcPr>
          <w:p w14:paraId="13E0E13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52CD33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D895D94" w14:textId="77777777" w:rsidTr="00A91628">
        <w:tblPrEx>
          <w:tblBorders>
            <w:top w:val="single" w:sz="4" w:space="0" w:color="auto"/>
          </w:tblBorders>
        </w:tblPrEx>
        <w:trPr>
          <w:cantSplit/>
          <w:tblCellSpacing w:w="22" w:type="dxa"/>
        </w:trPr>
        <w:tc>
          <w:tcPr>
            <w:tcW w:w="508" w:type="pct"/>
          </w:tcPr>
          <w:p w14:paraId="060E000E" w14:textId="77777777" w:rsidR="00D63B70" w:rsidRPr="006D52A9" w:rsidRDefault="00D63B70" w:rsidP="00D63B70">
            <w:pPr>
              <w:rPr>
                <w:rFonts w:ascii="Arial" w:hAnsi="Arial" w:cs="Arial"/>
                <w:sz w:val="16"/>
                <w:szCs w:val="16"/>
              </w:rPr>
            </w:pPr>
            <w:r w:rsidRPr="006D52A9">
              <w:rPr>
                <w:rFonts w:ascii="Arial" w:hAnsi="Arial" w:cs="Arial"/>
                <w:sz w:val="16"/>
                <w:szCs w:val="16"/>
              </w:rPr>
              <w:t>Riociguat</w:t>
            </w:r>
          </w:p>
        </w:tc>
        <w:tc>
          <w:tcPr>
            <w:tcW w:w="943" w:type="pct"/>
          </w:tcPr>
          <w:p w14:paraId="6224DF71" w14:textId="77777777" w:rsidR="00D63B70" w:rsidRPr="006D52A9" w:rsidRDefault="00D63B70" w:rsidP="00D63B70">
            <w:pPr>
              <w:rPr>
                <w:rFonts w:ascii="Arial" w:hAnsi="Arial" w:cs="Arial"/>
                <w:sz w:val="16"/>
                <w:szCs w:val="16"/>
              </w:rPr>
            </w:pPr>
            <w:r w:rsidRPr="006D52A9">
              <w:rPr>
                <w:rFonts w:ascii="Arial" w:hAnsi="Arial" w:cs="Arial"/>
                <w:sz w:val="16"/>
                <w:szCs w:val="16"/>
              </w:rPr>
              <w:t>Tablet 500 micrograms</w:t>
            </w:r>
          </w:p>
        </w:tc>
        <w:tc>
          <w:tcPr>
            <w:tcW w:w="540" w:type="pct"/>
          </w:tcPr>
          <w:p w14:paraId="3B9CE16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C7FB663" w14:textId="77777777" w:rsidR="00D63B70" w:rsidRPr="006D52A9" w:rsidRDefault="00D63B70" w:rsidP="00D63B70">
            <w:pPr>
              <w:rPr>
                <w:rFonts w:ascii="Arial" w:hAnsi="Arial" w:cs="Arial"/>
                <w:sz w:val="16"/>
                <w:szCs w:val="16"/>
              </w:rPr>
            </w:pPr>
            <w:r w:rsidRPr="006D52A9">
              <w:rPr>
                <w:rFonts w:ascii="Arial" w:hAnsi="Arial" w:cs="Arial"/>
                <w:sz w:val="16"/>
                <w:szCs w:val="16"/>
              </w:rPr>
              <w:t>Adempas</w:t>
            </w:r>
          </w:p>
        </w:tc>
        <w:tc>
          <w:tcPr>
            <w:tcW w:w="894" w:type="pct"/>
          </w:tcPr>
          <w:p w14:paraId="1A84AD83" w14:textId="77777777" w:rsidR="00D63B70" w:rsidRPr="006D52A9" w:rsidRDefault="00D63B70" w:rsidP="00D63B70">
            <w:pPr>
              <w:rPr>
                <w:rFonts w:ascii="Arial" w:hAnsi="Arial" w:cs="Arial"/>
                <w:sz w:val="16"/>
                <w:szCs w:val="16"/>
              </w:rPr>
            </w:pPr>
            <w:r w:rsidRPr="006D52A9">
              <w:rPr>
                <w:rFonts w:ascii="Arial" w:hAnsi="Arial" w:cs="Arial"/>
                <w:sz w:val="16"/>
                <w:szCs w:val="16"/>
              </w:rPr>
              <w:t>C6645 C6664 C7629 C10231 C10243 C10245</w:t>
            </w:r>
          </w:p>
        </w:tc>
        <w:tc>
          <w:tcPr>
            <w:tcW w:w="376" w:type="pct"/>
          </w:tcPr>
          <w:p w14:paraId="6F01413F" w14:textId="77777777" w:rsidR="00D63B70" w:rsidRPr="006D52A9" w:rsidRDefault="00D63B70" w:rsidP="00D63B70">
            <w:pPr>
              <w:rPr>
                <w:rFonts w:ascii="Arial" w:hAnsi="Arial" w:cs="Arial"/>
                <w:sz w:val="16"/>
                <w:szCs w:val="16"/>
              </w:rPr>
            </w:pPr>
          </w:p>
        </w:tc>
        <w:tc>
          <w:tcPr>
            <w:tcW w:w="499" w:type="pct"/>
          </w:tcPr>
          <w:p w14:paraId="1E30F2BE"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6DD2961"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7484FCF" w14:textId="77777777" w:rsidTr="00A91628">
        <w:tblPrEx>
          <w:tblBorders>
            <w:top w:val="single" w:sz="4" w:space="0" w:color="auto"/>
          </w:tblBorders>
        </w:tblPrEx>
        <w:trPr>
          <w:cantSplit/>
          <w:tblCellSpacing w:w="22" w:type="dxa"/>
        </w:trPr>
        <w:tc>
          <w:tcPr>
            <w:tcW w:w="508" w:type="pct"/>
          </w:tcPr>
          <w:p w14:paraId="19D7F3D3" w14:textId="77777777" w:rsidR="00D63B70" w:rsidRPr="006D52A9" w:rsidRDefault="00D63B70" w:rsidP="00D63B70">
            <w:pPr>
              <w:rPr>
                <w:rFonts w:ascii="Arial" w:hAnsi="Arial" w:cs="Arial"/>
                <w:sz w:val="16"/>
                <w:szCs w:val="16"/>
              </w:rPr>
            </w:pPr>
          </w:p>
        </w:tc>
        <w:tc>
          <w:tcPr>
            <w:tcW w:w="943" w:type="pct"/>
          </w:tcPr>
          <w:p w14:paraId="0CB19F47" w14:textId="77777777" w:rsidR="00D63B70" w:rsidRPr="006D52A9" w:rsidRDefault="00D63B70" w:rsidP="00D63B70">
            <w:pPr>
              <w:rPr>
                <w:rFonts w:ascii="Arial" w:hAnsi="Arial" w:cs="Arial"/>
                <w:sz w:val="16"/>
                <w:szCs w:val="16"/>
              </w:rPr>
            </w:pPr>
            <w:r w:rsidRPr="006D52A9">
              <w:rPr>
                <w:rFonts w:ascii="Arial" w:hAnsi="Arial" w:cs="Arial"/>
                <w:sz w:val="16"/>
                <w:szCs w:val="16"/>
              </w:rPr>
              <w:t>Tablet 1 mg</w:t>
            </w:r>
          </w:p>
        </w:tc>
        <w:tc>
          <w:tcPr>
            <w:tcW w:w="540" w:type="pct"/>
          </w:tcPr>
          <w:p w14:paraId="15380E0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2800FD2" w14:textId="77777777" w:rsidR="00D63B70" w:rsidRPr="006D52A9" w:rsidRDefault="00D63B70" w:rsidP="00D63B70">
            <w:pPr>
              <w:rPr>
                <w:rFonts w:ascii="Arial" w:hAnsi="Arial" w:cs="Arial"/>
                <w:sz w:val="16"/>
                <w:szCs w:val="16"/>
              </w:rPr>
            </w:pPr>
            <w:r w:rsidRPr="006D52A9">
              <w:rPr>
                <w:rFonts w:ascii="Arial" w:hAnsi="Arial" w:cs="Arial"/>
                <w:sz w:val="16"/>
                <w:szCs w:val="16"/>
              </w:rPr>
              <w:t>Adempas</w:t>
            </w:r>
          </w:p>
        </w:tc>
        <w:tc>
          <w:tcPr>
            <w:tcW w:w="894" w:type="pct"/>
          </w:tcPr>
          <w:p w14:paraId="25EBB1E0" w14:textId="77777777" w:rsidR="00D63B70" w:rsidRPr="006D52A9" w:rsidRDefault="00D63B70" w:rsidP="00D63B70">
            <w:pPr>
              <w:rPr>
                <w:rFonts w:ascii="Arial" w:hAnsi="Arial" w:cs="Arial"/>
                <w:sz w:val="16"/>
                <w:szCs w:val="16"/>
              </w:rPr>
            </w:pPr>
            <w:r w:rsidRPr="006D52A9">
              <w:rPr>
                <w:rFonts w:ascii="Arial" w:hAnsi="Arial" w:cs="Arial"/>
                <w:sz w:val="16"/>
                <w:szCs w:val="16"/>
              </w:rPr>
              <w:t>C6645 C6664 C7629 C10231 C10243 C10245</w:t>
            </w:r>
          </w:p>
        </w:tc>
        <w:tc>
          <w:tcPr>
            <w:tcW w:w="376" w:type="pct"/>
          </w:tcPr>
          <w:p w14:paraId="5E1395E5" w14:textId="77777777" w:rsidR="00D63B70" w:rsidRPr="006D52A9" w:rsidRDefault="00D63B70" w:rsidP="00D63B70">
            <w:pPr>
              <w:rPr>
                <w:rFonts w:ascii="Arial" w:hAnsi="Arial" w:cs="Arial"/>
                <w:sz w:val="16"/>
                <w:szCs w:val="16"/>
              </w:rPr>
            </w:pPr>
          </w:p>
        </w:tc>
        <w:tc>
          <w:tcPr>
            <w:tcW w:w="499" w:type="pct"/>
          </w:tcPr>
          <w:p w14:paraId="306A62E3"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C605921"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FFFD5DF" w14:textId="77777777" w:rsidTr="00A91628">
        <w:tblPrEx>
          <w:tblBorders>
            <w:top w:val="single" w:sz="4" w:space="0" w:color="auto"/>
          </w:tblBorders>
        </w:tblPrEx>
        <w:trPr>
          <w:cantSplit/>
          <w:tblCellSpacing w:w="22" w:type="dxa"/>
        </w:trPr>
        <w:tc>
          <w:tcPr>
            <w:tcW w:w="508" w:type="pct"/>
          </w:tcPr>
          <w:p w14:paraId="4C2A85C0" w14:textId="77777777" w:rsidR="00D63B70" w:rsidRPr="006D52A9" w:rsidRDefault="00D63B70" w:rsidP="00D63B70">
            <w:pPr>
              <w:rPr>
                <w:rFonts w:ascii="Arial" w:hAnsi="Arial" w:cs="Arial"/>
                <w:sz w:val="16"/>
                <w:szCs w:val="16"/>
              </w:rPr>
            </w:pPr>
          </w:p>
        </w:tc>
        <w:tc>
          <w:tcPr>
            <w:tcW w:w="943" w:type="pct"/>
          </w:tcPr>
          <w:p w14:paraId="1659F084" w14:textId="77777777" w:rsidR="00D63B70" w:rsidRPr="006D52A9" w:rsidRDefault="00D63B70" w:rsidP="00D63B70">
            <w:pPr>
              <w:rPr>
                <w:rFonts w:ascii="Arial" w:hAnsi="Arial" w:cs="Arial"/>
                <w:sz w:val="16"/>
                <w:szCs w:val="16"/>
              </w:rPr>
            </w:pPr>
            <w:r w:rsidRPr="006D52A9">
              <w:rPr>
                <w:rFonts w:ascii="Arial" w:hAnsi="Arial" w:cs="Arial"/>
                <w:sz w:val="16"/>
                <w:szCs w:val="16"/>
              </w:rPr>
              <w:t>Tablet 1.5 mg</w:t>
            </w:r>
          </w:p>
        </w:tc>
        <w:tc>
          <w:tcPr>
            <w:tcW w:w="540" w:type="pct"/>
          </w:tcPr>
          <w:p w14:paraId="136CC2A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E74848B" w14:textId="77777777" w:rsidR="00D63B70" w:rsidRPr="006D52A9" w:rsidRDefault="00D63B70" w:rsidP="00D63B70">
            <w:pPr>
              <w:rPr>
                <w:rFonts w:ascii="Arial" w:hAnsi="Arial" w:cs="Arial"/>
                <w:sz w:val="16"/>
                <w:szCs w:val="16"/>
              </w:rPr>
            </w:pPr>
            <w:r w:rsidRPr="006D52A9">
              <w:rPr>
                <w:rFonts w:ascii="Arial" w:hAnsi="Arial" w:cs="Arial"/>
                <w:sz w:val="16"/>
                <w:szCs w:val="16"/>
              </w:rPr>
              <w:t>Adempas</w:t>
            </w:r>
          </w:p>
        </w:tc>
        <w:tc>
          <w:tcPr>
            <w:tcW w:w="894" w:type="pct"/>
          </w:tcPr>
          <w:p w14:paraId="670D9658" w14:textId="77777777" w:rsidR="00D63B70" w:rsidRPr="006D52A9" w:rsidRDefault="00D63B70" w:rsidP="00D63B70">
            <w:pPr>
              <w:rPr>
                <w:rFonts w:ascii="Arial" w:hAnsi="Arial" w:cs="Arial"/>
                <w:sz w:val="16"/>
                <w:szCs w:val="16"/>
              </w:rPr>
            </w:pPr>
            <w:r w:rsidRPr="006D52A9">
              <w:rPr>
                <w:rFonts w:ascii="Arial" w:hAnsi="Arial" w:cs="Arial"/>
                <w:sz w:val="16"/>
                <w:szCs w:val="16"/>
              </w:rPr>
              <w:t>C6645 C6664 C7629 C10231 C10243 C10245</w:t>
            </w:r>
          </w:p>
        </w:tc>
        <w:tc>
          <w:tcPr>
            <w:tcW w:w="376" w:type="pct"/>
          </w:tcPr>
          <w:p w14:paraId="0F4DA39C" w14:textId="77777777" w:rsidR="00D63B70" w:rsidRPr="006D52A9" w:rsidRDefault="00D63B70" w:rsidP="00D63B70">
            <w:pPr>
              <w:rPr>
                <w:rFonts w:ascii="Arial" w:hAnsi="Arial" w:cs="Arial"/>
                <w:sz w:val="16"/>
                <w:szCs w:val="16"/>
              </w:rPr>
            </w:pPr>
          </w:p>
        </w:tc>
        <w:tc>
          <w:tcPr>
            <w:tcW w:w="499" w:type="pct"/>
          </w:tcPr>
          <w:p w14:paraId="308A51E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57476D6"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CAA3866" w14:textId="77777777" w:rsidTr="00A91628">
        <w:tblPrEx>
          <w:tblBorders>
            <w:top w:val="single" w:sz="4" w:space="0" w:color="auto"/>
          </w:tblBorders>
        </w:tblPrEx>
        <w:trPr>
          <w:cantSplit/>
          <w:tblCellSpacing w:w="22" w:type="dxa"/>
        </w:trPr>
        <w:tc>
          <w:tcPr>
            <w:tcW w:w="508" w:type="pct"/>
          </w:tcPr>
          <w:p w14:paraId="34BC9598" w14:textId="77777777" w:rsidR="00D63B70" w:rsidRPr="006D52A9" w:rsidRDefault="00D63B70" w:rsidP="00D63B70">
            <w:pPr>
              <w:rPr>
                <w:rFonts w:ascii="Arial" w:hAnsi="Arial" w:cs="Arial"/>
                <w:sz w:val="16"/>
                <w:szCs w:val="16"/>
              </w:rPr>
            </w:pPr>
          </w:p>
        </w:tc>
        <w:tc>
          <w:tcPr>
            <w:tcW w:w="943" w:type="pct"/>
          </w:tcPr>
          <w:p w14:paraId="41C3A9EE" w14:textId="77777777" w:rsidR="00D63B70" w:rsidRPr="006D52A9" w:rsidRDefault="00D63B70" w:rsidP="00D63B70">
            <w:pPr>
              <w:rPr>
                <w:rFonts w:ascii="Arial" w:hAnsi="Arial" w:cs="Arial"/>
                <w:sz w:val="16"/>
                <w:szCs w:val="16"/>
              </w:rPr>
            </w:pPr>
            <w:r w:rsidRPr="006D52A9">
              <w:rPr>
                <w:rFonts w:ascii="Arial" w:hAnsi="Arial" w:cs="Arial"/>
                <w:sz w:val="16"/>
                <w:szCs w:val="16"/>
              </w:rPr>
              <w:t>Tablet 2 mg</w:t>
            </w:r>
          </w:p>
        </w:tc>
        <w:tc>
          <w:tcPr>
            <w:tcW w:w="540" w:type="pct"/>
          </w:tcPr>
          <w:p w14:paraId="0A5AF4C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E6CCCDB" w14:textId="77777777" w:rsidR="00D63B70" w:rsidRPr="006D52A9" w:rsidRDefault="00D63B70" w:rsidP="00D63B70">
            <w:pPr>
              <w:rPr>
                <w:rFonts w:ascii="Arial" w:hAnsi="Arial" w:cs="Arial"/>
                <w:sz w:val="16"/>
                <w:szCs w:val="16"/>
              </w:rPr>
            </w:pPr>
            <w:r w:rsidRPr="006D52A9">
              <w:rPr>
                <w:rFonts w:ascii="Arial" w:hAnsi="Arial" w:cs="Arial"/>
                <w:sz w:val="16"/>
                <w:szCs w:val="16"/>
              </w:rPr>
              <w:t>Adempas</w:t>
            </w:r>
          </w:p>
        </w:tc>
        <w:tc>
          <w:tcPr>
            <w:tcW w:w="894" w:type="pct"/>
          </w:tcPr>
          <w:p w14:paraId="0EFBDC9B" w14:textId="77777777" w:rsidR="00D63B70" w:rsidRPr="006D52A9" w:rsidRDefault="00D63B70" w:rsidP="00D63B70">
            <w:pPr>
              <w:rPr>
                <w:rFonts w:ascii="Arial" w:hAnsi="Arial" w:cs="Arial"/>
                <w:sz w:val="16"/>
                <w:szCs w:val="16"/>
              </w:rPr>
            </w:pPr>
            <w:r w:rsidRPr="006D52A9">
              <w:rPr>
                <w:rFonts w:ascii="Arial" w:hAnsi="Arial" w:cs="Arial"/>
                <w:sz w:val="16"/>
                <w:szCs w:val="16"/>
              </w:rPr>
              <w:t>C6645 C6664 C7629 C10231 C10243 C10245</w:t>
            </w:r>
          </w:p>
        </w:tc>
        <w:tc>
          <w:tcPr>
            <w:tcW w:w="376" w:type="pct"/>
          </w:tcPr>
          <w:p w14:paraId="6F4AE120" w14:textId="77777777" w:rsidR="00D63B70" w:rsidRPr="006D52A9" w:rsidRDefault="00D63B70" w:rsidP="00D63B70">
            <w:pPr>
              <w:rPr>
                <w:rFonts w:ascii="Arial" w:hAnsi="Arial" w:cs="Arial"/>
                <w:sz w:val="16"/>
                <w:szCs w:val="16"/>
              </w:rPr>
            </w:pPr>
          </w:p>
        </w:tc>
        <w:tc>
          <w:tcPr>
            <w:tcW w:w="499" w:type="pct"/>
          </w:tcPr>
          <w:p w14:paraId="26AB7905"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B4E79FA"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9A9500D" w14:textId="77777777" w:rsidTr="00A91628">
        <w:tblPrEx>
          <w:tblBorders>
            <w:top w:val="single" w:sz="4" w:space="0" w:color="auto"/>
          </w:tblBorders>
        </w:tblPrEx>
        <w:trPr>
          <w:tblCellSpacing w:w="22" w:type="dxa"/>
        </w:trPr>
        <w:tc>
          <w:tcPr>
            <w:tcW w:w="508" w:type="pct"/>
          </w:tcPr>
          <w:p w14:paraId="19426CF6" w14:textId="77777777" w:rsidR="00D63B70" w:rsidRPr="006D52A9" w:rsidRDefault="00D63B70" w:rsidP="00D63B70">
            <w:pPr>
              <w:rPr>
                <w:rFonts w:ascii="Arial" w:hAnsi="Arial" w:cs="Arial"/>
                <w:sz w:val="16"/>
                <w:szCs w:val="16"/>
              </w:rPr>
            </w:pPr>
          </w:p>
        </w:tc>
        <w:tc>
          <w:tcPr>
            <w:tcW w:w="943" w:type="pct"/>
          </w:tcPr>
          <w:p w14:paraId="245ACCEB" w14:textId="77777777" w:rsidR="00D63B70" w:rsidRPr="006D52A9" w:rsidRDefault="00D63B70" w:rsidP="00D63B70">
            <w:pPr>
              <w:rPr>
                <w:rFonts w:ascii="Arial" w:hAnsi="Arial" w:cs="Arial"/>
                <w:sz w:val="16"/>
                <w:szCs w:val="16"/>
              </w:rPr>
            </w:pPr>
            <w:r w:rsidRPr="006D52A9">
              <w:rPr>
                <w:rFonts w:ascii="Arial" w:hAnsi="Arial" w:cs="Arial"/>
                <w:sz w:val="16"/>
                <w:szCs w:val="16"/>
              </w:rPr>
              <w:t>Tablet 2.5 mg</w:t>
            </w:r>
          </w:p>
        </w:tc>
        <w:tc>
          <w:tcPr>
            <w:tcW w:w="540" w:type="pct"/>
          </w:tcPr>
          <w:p w14:paraId="4A742C03"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5C9445B" w14:textId="77777777" w:rsidR="00D63B70" w:rsidRPr="006D52A9" w:rsidRDefault="00D63B70" w:rsidP="00D63B70">
            <w:pPr>
              <w:rPr>
                <w:rFonts w:ascii="Arial" w:hAnsi="Arial" w:cs="Arial"/>
                <w:sz w:val="16"/>
                <w:szCs w:val="16"/>
              </w:rPr>
            </w:pPr>
            <w:r w:rsidRPr="006D52A9">
              <w:rPr>
                <w:rFonts w:ascii="Arial" w:hAnsi="Arial" w:cs="Arial"/>
                <w:sz w:val="16"/>
                <w:szCs w:val="16"/>
              </w:rPr>
              <w:t>Adempas</w:t>
            </w:r>
          </w:p>
        </w:tc>
        <w:tc>
          <w:tcPr>
            <w:tcW w:w="894" w:type="pct"/>
          </w:tcPr>
          <w:p w14:paraId="75504C05" w14:textId="77777777" w:rsidR="00D63B70" w:rsidRPr="006D52A9" w:rsidRDefault="00D63B70" w:rsidP="00D63B70">
            <w:pPr>
              <w:rPr>
                <w:rFonts w:ascii="Arial" w:hAnsi="Arial" w:cs="Arial"/>
                <w:sz w:val="16"/>
                <w:szCs w:val="16"/>
              </w:rPr>
            </w:pPr>
            <w:r w:rsidRPr="006D52A9">
              <w:rPr>
                <w:rFonts w:ascii="Arial" w:hAnsi="Arial" w:cs="Arial"/>
                <w:sz w:val="16"/>
                <w:szCs w:val="16"/>
              </w:rPr>
              <w:t>C6645 C6664 C7629 C10231 C10243 C10245</w:t>
            </w:r>
          </w:p>
        </w:tc>
        <w:tc>
          <w:tcPr>
            <w:tcW w:w="376" w:type="pct"/>
          </w:tcPr>
          <w:p w14:paraId="24814A6A" w14:textId="77777777" w:rsidR="00D63B70" w:rsidRPr="006D52A9" w:rsidRDefault="00D63B70" w:rsidP="00D63B70">
            <w:pPr>
              <w:rPr>
                <w:rFonts w:ascii="Arial" w:hAnsi="Arial" w:cs="Arial"/>
                <w:sz w:val="16"/>
                <w:szCs w:val="16"/>
              </w:rPr>
            </w:pPr>
          </w:p>
        </w:tc>
        <w:tc>
          <w:tcPr>
            <w:tcW w:w="499" w:type="pct"/>
          </w:tcPr>
          <w:p w14:paraId="0F107BE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66D497F"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362C96D" w14:textId="77777777" w:rsidTr="00A91628">
        <w:tblPrEx>
          <w:tblBorders>
            <w:top w:val="single" w:sz="4" w:space="0" w:color="auto"/>
          </w:tblBorders>
        </w:tblPrEx>
        <w:trPr>
          <w:cantSplit/>
          <w:tblCellSpacing w:w="22" w:type="dxa"/>
        </w:trPr>
        <w:tc>
          <w:tcPr>
            <w:tcW w:w="508" w:type="pct"/>
          </w:tcPr>
          <w:p w14:paraId="5F70BE10" w14:textId="77777777" w:rsidR="00D63B70" w:rsidRPr="006D52A9" w:rsidRDefault="00D63B70" w:rsidP="00D63B70">
            <w:pPr>
              <w:rPr>
                <w:rFonts w:ascii="Arial" w:hAnsi="Arial" w:cs="Arial"/>
                <w:sz w:val="16"/>
                <w:szCs w:val="16"/>
              </w:rPr>
            </w:pPr>
            <w:r w:rsidRPr="006D52A9">
              <w:rPr>
                <w:rFonts w:ascii="Arial" w:hAnsi="Arial" w:cs="Arial"/>
                <w:sz w:val="16"/>
                <w:szCs w:val="16"/>
              </w:rPr>
              <w:t>Ritonavir</w:t>
            </w:r>
          </w:p>
        </w:tc>
        <w:tc>
          <w:tcPr>
            <w:tcW w:w="943" w:type="pct"/>
          </w:tcPr>
          <w:p w14:paraId="033866A0" w14:textId="77777777" w:rsidR="00D63B70" w:rsidRPr="006D52A9" w:rsidRDefault="00D63B70" w:rsidP="00D63B70">
            <w:pPr>
              <w:rPr>
                <w:rFonts w:ascii="Arial" w:hAnsi="Arial" w:cs="Arial"/>
                <w:sz w:val="16"/>
                <w:szCs w:val="16"/>
              </w:rPr>
            </w:pPr>
            <w:r w:rsidRPr="006D52A9">
              <w:rPr>
                <w:rFonts w:ascii="Arial" w:hAnsi="Arial" w:cs="Arial"/>
                <w:sz w:val="16"/>
                <w:szCs w:val="16"/>
              </w:rPr>
              <w:t>Tablet 100 mg</w:t>
            </w:r>
          </w:p>
        </w:tc>
        <w:tc>
          <w:tcPr>
            <w:tcW w:w="540" w:type="pct"/>
          </w:tcPr>
          <w:p w14:paraId="25C5B07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C0E87E4" w14:textId="77777777" w:rsidR="00D63B70" w:rsidRPr="006D52A9" w:rsidRDefault="00D63B70" w:rsidP="00D63B70">
            <w:pPr>
              <w:rPr>
                <w:rFonts w:ascii="Arial" w:hAnsi="Arial" w:cs="Arial"/>
                <w:sz w:val="16"/>
                <w:szCs w:val="16"/>
              </w:rPr>
            </w:pPr>
            <w:r w:rsidRPr="006D52A9">
              <w:rPr>
                <w:rFonts w:ascii="Arial" w:hAnsi="Arial" w:cs="Arial"/>
                <w:sz w:val="16"/>
                <w:szCs w:val="16"/>
              </w:rPr>
              <w:t>Norvir</w:t>
            </w:r>
          </w:p>
        </w:tc>
        <w:tc>
          <w:tcPr>
            <w:tcW w:w="894" w:type="pct"/>
          </w:tcPr>
          <w:p w14:paraId="44800015"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7D8FFFB0" w14:textId="77777777" w:rsidR="00D63B70" w:rsidRPr="006D52A9" w:rsidRDefault="00D63B70" w:rsidP="00D63B70">
            <w:pPr>
              <w:rPr>
                <w:rFonts w:ascii="Arial" w:hAnsi="Arial" w:cs="Arial"/>
                <w:sz w:val="16"/>
                <w:szCs w:val="16"/>
              </w:rPr>
            </w:pPr>
          </w:p>
        </w:tc>
        <w:tc>
          <w:tcPr>
            <w:tcW w:w="499" w:type="pct"/>
          </w:tcPr>
          <w:p w14:paraId="18510FE1" w14:textId="77777777" w:rsidR="00D63B70" w:rsidRPr="006D52A9" w:rsidRDefault="00D63B70" w:rsidP="00D63B70">
            <w:pPr>
              <w:rPr>
                <w:rFonts w:ascii="Arial" w:hAnsi="Arial" w:cs="Arial"/>
                <w:sz w:val="16"/>
                <w:szCs w:val="16"/>
              </w:rPr>
            </w:pPr>
            <w:r w:rsidRPr="006D52A9">
              <w:rPr>
                <w:rFonts w:ascii="Arial" w:hAnsi="Arial" w:cs="Arial"/>
                <w:sz w:val="16"/>
                <w:szCs w:val="16"/>
              </w:rPr>
              <w:t>720</w:t>
            </w:r>
          </w:p>
        </w:tc>
        <w:tc>
          <w:tcPr>
            <w:tcW w:w="502" w:type="pct"/>
          </w:tcPr>
          <w:p w14:paraId="78DAF7D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641749" w14:paraId="45C10CCE" w14:textId="77777777" w:rsidTr="00A91628">
        <w:tblPrEx>
          <w:tblBorders>
            <w:top w:val="single" w:sz="4" w:space="0" w:color="auto"/>
          </w:tblBorders>
        </w:tblPrEx>
        <w:trPr>
          <w:cantSplit/>
          <w:tblCellSpacing w:w="22" w:type="dxa"/>
        </w:trPr>
        <w:tc>
          <w:tcPr>
            <w:tcW w:w="508" w:type="pct"/>
          </w:tcPr>
          <w:p w14:paraId="7FD617A9"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Rituximab</w:t>
            </w:r>
          </w:p>
        </w:tc>
        <w:tc>
          <w:tcPr>
            <w:tcW w:w="943" w:type="pct"/>
          </w:tcPr>
          <w:p w14:paraId="5356B005"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Solution for I.V. infusion 100 mg in 10 mL</w:t>
            </w:r>
          </w:p>
        </w:tc>
        <w:tc>
          <w:tcPr>
            <w:tcW w:w="540" w:type="pct"/>
          </w:tcPr>
          <w:p w14:paraId="3FAB92F2"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43133AB"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Mabthera</w:t>
            </w:r>
          </w:p>
        </w:tc>
        <w:tc>
          <w:tcPr>
            <w:tcW w:w="894" w:type="pct"/>
          </w:tcPr>
          <w:p w14:paraId="5E97F439"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C7021 C7022 C9344 C9511</w:t>
            </w:r>
          </w:p>
        </w:tc>
        <w:tc>
          <w:tcPr>
            <w:tcW w:w="376" w:type="pct"/>
          </w:tcPr>
          <w:p w14:paraId="06810507" w14:textId="77777777" w:rsidR="00D63B70" w:rsidRPr="006D52A9" w:rsidDel="00641749" w:rsidRDefault="00D63B70" w:rsidP="00D63B70">
            <w:pPr>
              <w:rPr>
                <w:rFonts w:ascii="Arial" w:hAnsi="Arial" w:cs="Arial"/>
                <w:sz w:val="16"/>
                <w:szCs w:val="16"/>
              </w:rPr>
            </w:pPr>
          </w:p>
        </w:tc>
        <w:tc>
          <w:tcPr>
            <w:tcW w:w="499" w:type="pct"/>
          </w:tcPr>
          <w:p w14:paraId="1EAA9A9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1FA2DF0"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41749" w14:paraId="301780C3" w14:textId="77777777" w:rsidTr="00A91628">
        <w:tblPrEx>
          <w:tblBorders>
            <w:top w:val="single" w:sz="4" w:space="0" w:color="auto"/>
          </w:tblBorders>
        </w:tblPrEx>
        <w:trPr>
          <w:cantSplit/>
          <w:tblCellSpacing w:w="22" w:type="dxa"/>
        </w:trPr>
        <w:tc>
          <w:tcPr>
            <w:tcW w:w="508" w:type="pct"/>
          </w:tcPr>
          <w:p w14:paraId="1A1512A8" w14:textId="77777777" w:rsidR="00D63B70" w:rsidRPr="006D52A9" w:rsidDel="00641749" w:rsidRDefault="00D63B70" w:rsidP="00D63B70">
            <w:pPr>
              <w:rPr>
                <w:rFonts w:ascii="Arial" w:hAnsi="Arial" w:cs="Arial"/>
                <w:sz w:val="16"/>
                <w:szCs w:val="16"/>
              </w:rPr>
            </w:pPr>
          </w:p>
        </w:tc>
        <w:tc>
          <w:tcPr>
            <w:tcW w:w="943" w:type="pct"/>
          </w:tcPr>
          <w:p w14:paraId="35796603" w14:textId="77777777" w:rsidR="00D63B70" w:rsidRPr="006D52A9" w:rsidDel="00641749" w:rsidRDefault="00D63B70" w:rsidP="00D63B70">
            <w:pPr>
              <w:rPr>
                <w:rFonts w:ascii="Arial" w:hAnsi="Arial" w:cs="Arial"/>
                <w:sz w:val="16"/>
                <w:szCs w:val="16"/>
              </w:rPr>
            </w:pPr>
          </w:p>
        </w:tc>
        <w:tc>
          <w:tcPr>
            <w:tcW w:w="540" w:type="pct"/>
          </w:tcPr>
          <w:p w14:paraId="0D4B56A9" w14:textId="77777777" w:rsidR="00D63B70" w:rsidRPr="006D52A9" w:rsidDel="00641749" w:rsidRDefault="00D63B70" w:rsidP="00D63B70">
            <w:pPr>
              <w:rPr>
                <w:rFonts w:ascii="Arial" w:hAnsi="Arial" w:cs="Arial"/>
                <w:sz w:val="16"/>
                <w:szCs w:val="16"/>
              </w:rPr>
            </w:pPr>
          </w:p>
        </w:tc>
        <w:tc>
          <w:tcPr>
            <w:tcW w:w="591" w:type="pct"/>
          </w:tcPr>
          <w:p w14:paraId="1E485582"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Riximyo</w:t>
            </w:r>
          </w:p>
        </w:tc>
        <w:tc>
          <w:tcPr>
            <w:tcW w:w="894" w:type="pct"/>
          </w:tcPr>
          <w:p w14:paraId="580513F9"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C7021 C7022 C9336 C9344 C9511 C9539 C9640 C9641</w:t>
            </w:r>
          </w:p>
        </w:tc>
        <w:tc>
          <w:tcPr>
            <w:tcW w:w="376" w:type="pct"/>
          </w:tcPr>
          <w:p w14:paraId="55DC16B1" w14:textId="77777777" w:rsidR="00D63B70" w:rsidRPr="006D52A9" w:rsidDel="00641749" w:rsidRDefault="00D63B70" w:rsidP="00D63B70">
            <w:pPr>
              <w:rPr>
                <w:rFonts w:ascii="Arial" w:hAnsi="Arial" w:cs="Arial"/>
                <w:sz w:val="16"/>
                <w:szCs w:val="16"/>
              </w:rPr>
            </w:pPr>
          </w:p>
        </w:tc>
        <w:tc>
          <w:tcPr>
            <w:tcW w:w="499" w:type="pct"/>
          </w:tcPr>
          <w:p w14:paraId="775F58F7"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FE505AD"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41749" w14:paraId="35D2C5E6" w14:textId="77777777" w:rsidTr="00A91628">
        <w:tblPrEx>
          <w:tblBorders>
            <w:top w:val="single" w:sz="4" w:space="0" w:color="auto"/>
          </w:tblBorders>
        </w:tblPrEx>
        <w:trPr>
          <w:cantSplit/>
          <w:tblCellSpacing w:w="22" w:type="dxa"/>
        </w:trPr>
        <w:tc>
          <w:tcPr>
            <w:tcW w:w="508" w:type="pct"/>
          </w:tcPr>
          <w:p w14:paraId="10B37430" w14:textId="77777777" w:rsidR="00D63B70" w:rsidRPr="006D52A9" w:rsidDel="00641749" w:rsidRDefault="00D63B70" w:rsidP="00D63B70">
            <w:pPr>
              <w:rPr>
                <w:rFonts w:ascii="Arial" w:hAnsi="Arial" w:cs="Arial"/>
                <w:sz w:val="16"/>
                <w:szCs w:val="16"/>
              </w:rPr>
            </w:pPr>
          </w:p>
        </w:tc>
        <w:tc>
          <w:tcPr>
            <w:tcW w:w="943" w:type="pct"/>
          </w:tcPr>
          <w:p w14:paraId="4F7D0385" w14:textId="77777777" w:rsidR="00D63B70" w:rsidRPr="006D52A9" w:rsidDel="00641749" w:rsidRDefault="00D63B70" w:rsidP="00D63B70">
            <w:pPr>
              <w:rPr>
                <w:rFonts w:ascii="Arial" w:hAnsi="Arial" w:cs="Arial"/>
                <w:sz w:val="16"/>
                <w:szCs w:val="16"/>
              </w:rPr>
            </w:pPr>
          </w:p>
        </w:tc>
        <w:tc>
          <w:tcPr>
            <w:tcW w:w="540" w:type="pct"/>
          </w:tcPr>
          <w:p w14:paraId="09FCD3FF" w14:textId="77777777" w:rsidR="00D63B70" w:rsidRPr="006D52A9" w:rsidDel="00641749" w:rsidRDefault="00D63B70" w:rsidP="00D63B70">
            <w:pPr>
              <w:rPr>
                <w:rFonts w:ascii="Arial" w:hAnsi="Arial" w:cs="Arial"/>
                <w:sz w:val="16"/>
                <w:szCs w:val="16"/>
              </w:rPr>
            </w:pPr>
          </w:p>
        </w:tc>
        <w:tc>
          <w:tcPr>
            <w:tcW w:w="591" w:type="pct"/>
          </w:tcPr>
          <w:p w14:paraId="435D8679" w14:textId="77777777" w:rsidR="00D63B70" w:rsidRPr="006D52A9" w:rsidRDefault="00D63B70" w:rsidP="00D63B70">
            <w:pPr>
              <w:rPr>
                <w:rFonts w:ascii="Arial" w:hAnsi="Arial" w:cs="Arial"/>
                <w:sz w:val="16"/>
                <w:szCs w:val="16"/>
              </w:rPr>
            </w:pPr>
            <w:r w:rsidRPr="006D52A9">
              <w:rPr>
                <w:rFonts w:ascii="Arial" w:hAnsi="Arial" w:cs="Arial"/>
                <w:sz w:val="16"/>
                <w:szCs w:val="16"/>
              </w:rPr>
              <w:t>Truxima</w:t>
            </w:r>
          </w:p>
        </w:tc>
        <w:tc>
          <w:tcPr>
            <w:tcW w:w="894" w:type="pct"/>
          </w:tcPr>
          <w:p w14:paraId="75FCA991" w14:textId="77777777" w:rsidR="00D63B70" w:rsidRPr="006D52A9" w:rsidRDefault="00D63B70" w:rsidP="00D63B70">
            <w:pPr>
              <w:rPr>
                <w:rFonts w:ascii="Arial" w:hAnsi="Arial" w:cs="Arial"/>
                <w:sz w:val="16"/>
                <w:szCs w:val="16"/>
              </w:rPr>
            </w:pPr>
            <w:r w:rsidRPr="006D52A9">
              <w:rPr>
                <w:rFonts w:ascii="Arial" w:hAnsi="Arial" w:cs="Arial"/>
                <w:sz w:val="16"/>
                <w:szCs w:val="16"/>
              </w:rPr>
              <w:t>C7021 C7022 C9336 C9344 C9511 C9539 C9640 C9641</w:t>
            </w:r>
          </w:p>
        </w:tc>
        <w:tc>
          <w:tcPr>
            <w:tcW w:w="376" w:type="pct"/>
          </w:tcPr>
          <w:p w14:paraId="7902292B" w14:textId="77777777" w:rsidR="00D63B70" w:rsidRPr="006D52A9" w:rsidDel="00641749" w:rsidRDefault="00D63B70" w:rsidP="00D63B70">
            <w:pPr>
              <w:rPr>
                <w:rFonts w:ascii="Arial" w:hAnsi="Arial" w:cs="Arial"/>
                <w:sz w:val="16"/>
                <w:szCs w:val="16"/>
              </w:rPr>
            </w:pPr>
          </w:p>
        </w:tc>
        <w:tc>
          <w:tcPr>
            <w:tcW w:w="499" w:type="pct"/>
          </w:tcPr>
          <w:p w14:paraId="62F23C7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205DBE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41749" w14:paraId="09A881BA" w14:textId="77777777" w:rsidTr="00A91628">
        <w:tblPrEx>
          <w:tblBorders>
            <w:top w:val="single" w:sz="4" w:space="0" w:color="auto"/>
          </w:tblBorders>
        </w:tblPrEx>
        <w:trPr>
          <w:cantSplit/>
          <w:tblCellSpacing w:w="22" w:type="dxa"/>
        </w:trPr>
        <w:tc>
          <w:tcPr>
            <w:tcW w:w="508" w:type="pct"/>
          </w:tcPr>
          <w:p w14:paraId="71FEE83D" w14:textId="77777777" w:rsidR="00D63B70" w:rsidRPr="006D52A9" w:rsidDel="00641749" w:rsidRDefault="00D63B70" w:rsidP="00D63B70">
            <w:pPr>
              <w:rPr>
                <w:rFonts w:ascii="Arial" w:hAnsi="Arial" w:cs="Arial"/>
                <w:sz w:val="16"/>
                <w:szCs w:val="16"/>
              </w:rPr>
            </w:pPr>
          </w:p>
        </w:tc>
        <w:tc>
          <w:tcPr>
            <w:tcW w:w="943" w:type="pct"/>
          </w:tcPr>
          <w:p w14:paraId="5B205B47"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Solution for I.V. infusion 500 mg in 50 mL</w:t>
            </w:r>
          </w:p>
        </w:tc>
        <w:tc>
          <w:tcPr>
            <w:tcW w:w="540" w:type="pct"/>
          </w:tcPr>
          <w:p w14:paraId="035A9B06"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45F9DBB1"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Mabthera</w:t>
            </w:r>
          </w:p>
        </w:tc>
        <w:tc>
          <w:tcPr>
            <w:tcW w:w="894" w:type="pct"/>
          </w:tcPr>
          <w:p w14:paraId="1D6DFD14"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C7021 C7022 C9340 C9344 C9448 C9449 C9450 C9511 C9512</w:t>
            </w:r>
          </w:p>
        </w:tc>
        <w:tc>
          <w:tcPr>
            <w:tcW w:w="376" w:type="pct"/>
          </w:tcPr>
          <w:p w14:paraId="1F92B1B3" w14:textId="77777777" w:rsidR="00D63B70" w:rsidRPr="006D52A9" w:rsidDel="00641749" w:rsidRDefault="00D63B70" w:rsidP="00D63B70">
            <w:pPr>
              <w:rPr>
                <w:rFonts w:ascii="Arial" w:hAnsi="Arial" w:cs="Arial"/>
                <w:sz w:val="16"/>
                <w:szCs w:val="16"/>
              </w:rPr>
            </w:pPr>
          </w:p>
        </w:tc>
        <w:tc>
          <w:tcPr>
            <w:tcW w:w="499" w:type="pct"/>
          </w:tcPr>
          <w:p w14:paraId="59B7D3C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C454D04"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41749" w14:paraId="2D4DC1CD" w14:textId="77777777" w:rsidTr="00A91628">
        <w:tblPrEx>
          <w:tblBorders>
            <w:top w:val="single" w:sz="4" w:space="0" w:color="auto"/>
          </w:tblBorders>
        </w:tblPrEx>
        <w:trPr>
          <w:cantSplit/>
          <w:tblCellSpacing w:w="22" w:type="dxa"/>
        </w:trPr>
        <w:tc>
          <w:tcPr>
            <w:tcW w:w="508" w:type="pct"/>
          </w:tcPr>
          <w:p w14:paraId="20856602" w14:textId="77777777" w:rsidR="00D63B70" w:rsidRPr="006D52A9" w:rsidDel="00641749" w:rsidRDefault="00D63B70" w:rsidP="00D63B70">
            <w:pPr>
              <w:rPr>
                <w:rFonts w:ascii="Arial" w:hAnsi="Arial" w:cs="Arial"/>
                <w:sz w:val="16"/>
                <w:szCs w:val="16"/>
              </w:rPr>
            </w:pPr>
          </w:p>
        </w:tc>
        <w:tc>
          <w:tcPr>
            <w:tcW w:w="943" w:type="pct"/>
          </w:tcPr>
          <w:p w14:paraId="38A71F5D" w14:textId="77777777" w:rsidR="00D63B70" w:rsidRPr="006D52A9" w:rsidDel="00641749" w:rsidRDefault="00D63B70" w:rsidP="00D63B70">
            <w:pPr>
              <w:rPr>
                <w:rFonts w:ascii="Arial" w:hAnsi="Arial" w:cs="Arial"/>
                <w:sz w:val="16"/>
                <w:szCs w:val="16"/>
              </w:rPr>
            </w:pPr>
          </w:p>
        </w:tc>
        <w:tc>
          <w:tcPr>
            <w:tcW w:w="540" w:type="pct"/>
          </w:tcPr>
          <w:p w14:paraId="7E6AF4F1" w14:textId="77777777" w:rsidR="00D63B70" w:rsidRPr="006D52A9" w:rsidDel="00641749" w:rsidRDefault="00D63B70" w:rsidP="00D63B70">
            <w:pPr>
              <w:rPr>
                <w:rFonts w:ascii="Arial" w:hAnsi="Arial" w:cs="Arial"/>
                <w:sz w:val="16"/>
                <w:szCs w:val="16"/>
              </w:rPr>
            </w:pPr>
          </w:p>
        </w:tc>
        <w:tc>
          <w:tcPr>
            <w:tcW w:w="591" w:type="pct"/>
          </w:tcPr>
          <w:p w14:paraId="6843D0A9"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Riximyo</w:t>
            </w:r>
          </w:p>
        </w:tc>
        <w:tc>
          <w:tcPr>
            <w:tcW w:w="894" w:type="pct"/>
          </w:tcPr>
          <w:p w14:paraId="0CA8E134"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C7021 C7022 C9336 C9340 C9344 C9446 C9448 C9449 C9450 C9511 C9512 C9539 C9611 C9640 C9641</w:t>
            </w:r>
          </w:p>
        </w:tc>
        <w:tc>
          <w:tcPr>
            <w:tcW w:w="376" w:type="pct"/>
          </w:tcPr>
          <w:p w14:paraId="45D43A64" w14:textId="77777777" w:rsidR="00D63B70" w:rsidRPr="006D52A9" w:rsidDel="00641749" w:rsidRDefault="00D63B70" w:rsidP="00D63B70">
            <w:pPr>
              <w:rPr>
                <w:rFonts w:ascii="Arial" w:hAnsi="Arial" w:cs="Arial"/>
                <w:sz w:val="16"/>
                <w:szCs w:val="16"/>
              </w:rPr>
            </w:pPr>
          </w:p>
        </w:tc>
        <w:tc>
          <w:tcPr>
            <w:tcW w:w="499" w:type="pct"/>
          </w:tcPr>
          <w:p w14:paraId="79D0F88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0DA2F19" w14:textId="77777777" w:rsidR="00D63B70" w:rsidRPr="006D52A9" w:rsidDel="0064174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641749" w14:paraId="3BEB890B" w14:textId="77777777" w:rsidTr="00A91628">
        <w:tblPrEx>
          <w:tblBorders>
            <w:top w:val="single" w:sz="4" w:space="0" w:color="auto"/>
          </w:tblBorders>
        </w:tblPrEx>
        <w:trPr>
          <w:cantSplit/>
          <w:tblCellSpacing w:w="22" w:type="dxa"/>
        </w:trPr>
        <w:tc>
          <w:tcPr>
            <w:tcW w:w="508" w:type="pct"/>
          </w:tcPr>
          <w:p w14:paraId="1B10A8A5" w14:textId="77777777" w:rsidR="00D63B70" w:rsidRPr="006D52A9" w:rsidDel="00641749" w:rsidRDefault="00D63B70" w:rsidP="00D63B70">
            <w:pPr>
              <w:rPr>
                <w:rFonts w:ascii="Arial" w:hAnsi="Arial" w:cs="Arial"/>
                <w:sz w:val="16"/>
                <w:szCs w:val="16"/>
              </w:rPr>
            </w:pPr>
          </w:p>
        </w:tc>
        <w:tc>
          <w:tcPr>
            <w:tcW w:w="943" w:type="pct"/>
          </w:tcPr>
          <w:p w14:paraId="69228D3E" w14:textId="77777777" w:rsidR="00D63B70" w:rsidRPr="006D52A9" w:rsidDel="00641749" w:rsidRDefault="00D63B70" w:rsidP="00D63B70">
            <w:pPr>
              <w:rPr>
                <w:rFonts w:ascii="Arial" w:hAnsi="Arial" w:cs="Arial"/>
                <w:sz w:val="16"/>
                <w:szCs w:val="16"/>
              </w:rPr>
            </w:pPr>
          </w:p>
        </w:tc>
        <w:tc>
          <w:tcPr>
            <w:tcW w:w="540" w:type="pct"/>
          </w:tcPr>
          <w:p w14:paraId="6D91726A" w14:textId="77777777" w:rsidR="00D63B70" w:rsidRPr="006D52A9" w:rsidDel="00641749" w:rsidRDefault="00D63B70" w:rsidP="00D63B70">
            <w:pPr>
              <w:rPr>
                <w:rFonts w:ascii="Arial" w:hAnsi="Arial" w:cs="Arial"/>
                <w:sz w:val="16"/>
                <w:szCs w:val="16"/>
              </w:rPr>
            </w:pPr>
          </w:p>
        </w:tc>
        <w:tc>
          <w:tcPr>
            <w:tcW w:w="591" w:type="pct"/>
          </w:tcPr>
          <w:p w14:paraId="7FDF461D" w14:textId="77777777" w:rsidR="00D63B70" w:rsidRPr="006D52A9" w:rsidRDefault="00D63B70" w:rsidP="00D63B70">
            <w:pPr>
              <w:rPr>
                <w:rFonts w:ascii="Arial" w:hAnsi="Arial" w:cs="Arial"/>
                <w:sz w:val="16"/>
                <w:szCs w:val="16"/>
              </w:rPr>
            </w:pPr>
            <w:r w:rsidRPr="006D52A9">
              <w:rPr>
                <w:rFonts w:ascii="Arial" w:hAnsi="Arial" w:cs="Arial"/>
                <w:sz w:val="16"/>
                <w:szCs w:val="16"/>
              </w:rPr>
              <w:t>Truxima</w:t>
            </w:r>
          </w:p>
        </w:tc>
        <w:tc>
          <w:tcPr>
            <w:tcW w:w="894" w:type="pct"/>
          </w:tcPr>
          <w:p w14:paraId="3391BF3F" w14:textId="77777777" w:rsidR="00D63B70" w:rsidRPr="006D52A9" w:rsidRDefault="00D63B70" w:rsidP="00D63B70">
            <w:pPr>
              <w:rPr>
                <w:rFonts w:ascii="Arial" w:hAnsi="Arial" w:cs="Arial"/>
                <w:sz w:val="16"/>
                <w:szCs w:val="16"/>
              </w:rPr>
            </w:pPr>
            <w:r w:rsidRPr="006D52A9">
              <w:rPr>
                <w:rFonts w:ascii="Arial" w:hAnsi="Arial" w:cs="Arial"/>
                <w:sz w:val="16"/>
                <w:szCs w:val="16"/>
              </w:rPr>
              <w:t>C7021 C7022 C9336 C9340 C9344 C9446 C9448 C9449 C9450 C9511 C9512 C9539 C9611 C9640 C9641</w:t>
            </w:r>
          </w:p>
        </w:tc>
        <w:tc>
          <w:tcPr>
            <w:tcW w:w="376" w:type="pct"/>
          </w:tcPr>
          <w:p w14:paraId="79629F56" w14:textId="77777777" w:rsidR="00D63B70" w:rsidRPr="006D52A9" w:rsidDel="00641749" w:rsidRDefault="00D63B70" w:rsidP="00D63B70">
            <w:pPr>
              <w:rPr>
                <w:rFonts w:ascii="Arial" w:hAnsi="Arial" w:cs="Arial"/>
                <w:sz w:val="16"/>
                <w:szCs w:val="16"/>
              </w:rPr>
            </w:pPr>
          </w:p>
        </w:tc>
        <w:tc>
          <w:tcPr>
            <w:tcW w:w="499" w:type="pct"/>
          </w:tcPr>
          <w:p w14:paraId="5787A31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987DB0F"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6D030D4C" w14:textId="77777777" w:rsidTr="00A91628">
        <w:tblPrEx>
          <w:tblBorders>
            <w:top w:val="single" w:sz="4" w:space="0" w:color="auto"/>
          </w:tblBorders>
        </w:tblPrEx>
        <w:trPr>
          <w:cantSplit/>
          <w:tblCellSpacing w:w="22" w:type="dxa"/>
        </w:trPr>
        <w:tc>
          <w:tcPr>
            <w:tcW w:w="508" w:type="pct"/>
          </w:tcPr>
          <w:p w14:paraId="55F5467C" w14:textId="77777777" w:rsidR="00D63B70" w:rsidRPr="006D52A9" w:rsidRDefault="00D63B70" w:rsidP="00D63B70">
            <w:pPr>
              <w:rPr>
                <w:rFonts w:ascii="Arial" w:hAnsi="Arial" w:cs="Arial"/>
                <w:sz w:val="16"/>
                <w:szCs w:val="16"/>
              </w:rPr>
            </w:pPr>
            <w:r w:rsidRPr="006D52A9">
              <w:rPr>
                <w:rFonts w:ascii="Arial" w:hAnsi="Arial" w:cs="Arial"/>
                <w:sz w:val="16"/>
                <w:szCs w:val="16"/>
              </w:rPr>
              <w:t>Romiplostim</w:t>
            </w:r>
          </w:p>
        </w:tc>
        <w:tc>
          <w:tcPr>
            <w:tcW w:w="943" w:type="pct"/>
          </w:tcPr>
          <w:p w14:paraId="3D9DD492"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375 micrograms</w:t>
            </w:r>
          </w:p>
        </w:tc>
        <w:tc>
          <w:tcPr>
            <w:tcW w:w="540" w:type="pct"/>
          </w:tcPr>
          <w:p w14:paraId="6AF0B07D"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2EAFA83E" w14:textId="77777777" w:rsidR="00D63B70" w:rsidRPr="006D52A9" w:rsidRDefault="00D63B70" w:rsidP="00D63B70">
            <w:pPr>
              <w:rPr>
                <w:rFonts w:ascii="Arial" w:hAnsi="Arial" w:cs="Arial"/>
                <w:sz w:val="16"/>
                <w:szCs w:val="16"/>
              </w:rPr>
            </w:pPr>
            <w:r w:rsidRPr="006D52A9">
              <w:rPr>
                <w:rFonts w:ascii="Arial" w:hAnsi="Arial" w:cs="Arial"/>
                <w:sz w:val="16"/>
                <w:szCs w:val="16"/>
              </w:rPr>
              <w:t>Nplate</w:t>
            </w:r>
          </w:p>
        </w:tc>
        <w:tc>
          <w:tcPr>
            <w:tcW w:w="894" w:type="pct"/>
          </w:tcPr>
          <w:p w14:paraId="23D61DAE" w14:textId="77777777" w:rsidR="00D63B70" w:rsidRPr="006D52A9" w:rsidRDefault="00D63B70" w:rsidP="00D63B70">
            <w:pPr>
              <w:rPr>
                <w:rFonts w:ascii="Arial" w:hAnsi="Arial" w:cs="Arial"/>
                <w:sz w:val="16"/>
                <w:szCs w:val="16"/>
              </w:rPr>
            </w:pPr>
            <w:r w:rsidRPr="006D52A9">
              <w:rPr>
                <w:rFonts w:ascii="Arial" w:hAnsi="Arial" w:cs="Arial"/>
                <w:sz w:val="16"/>
                <w:szCs w:val="16"/>
              </w:rPr>
              <w:t>C11205 C11246 C11266 C11267 C11289</w:t>
            </w:r>
          </w:p>
        </w:tc>
        <w:tc>
          <w:tcPr>
            <w:tcW w:w="376" w:type="pct"/>
          </w:tcPr>
          <w:p w14:paraId="683D56CE" w14:textId="77777777" w:rsidR="00D63B70" w:rsidRPr="006D52A9" w:rsidRDefault="00D63B70" w:rsidP="00D63B70">
            <w:pPr>
              <w:rPr>
                <w:rFonts w:ascii="Arial" w:hAnsi="Arial" w:cs="Arial"/>
                <w:sz w:val="16"/>
                <w:szCs w:val="16"/>
              </w:rPr>
            </w:pPr>
          </w:p>
        </w:tc>
        <w:tc>
          <w:tcPr>
            <w:tcW w:w="499" w:type="pct"/>
          </w:tcPr>
          <w:p w14:paraId="1437F85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23E59A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D8A2FB4" w14:textId="77777777" w:rsidTr="00A91628">
        <w:tblPrEx>
          <w:tblBorders>
            <w:top w:val="single" w:sz="4" w:space="0" w:color="auto"/>
          </w:tblBorders>
        </w:tblPrEx>
        <w:trPr>
          <w:cantSplit/>
          <w:tblCellSpacing w:w="22" w:type="dxa"/>
        </w:trPr>
        <w:tc>
          <w:tcPr>
            <w:tcW w:w="508" w:type="pct"/>
          </w:tcPr>
          <w:p w14:paraId="29221971" w14:textId="77777777" w:rsidR="00D63B70" w:rsidRPr="006D52A9" w:rsidRDefault="00D63B70" w:rsidP="00D63B70">
            <w:pPr>
              <w:rPr>
                <w:rFonts w:ascii="Arial" w:hAnsi="Arial" w:cs="Arial"/>
                <w:sz w:val="16"/>
                <w:szCs w:val="16"/>
              </w:rPr>
            </w:pPr>
          </w:p>
        </w:tc>
        <w:tc>
          <w:tcPr>
            <w:tcW w:w="943" w:type="pct"/>
          </w:tcPr>
          <w:p w14:paraId="1C36CF35"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625 micrograms</w:t>
            </w:r>
          </w:p>
        </w:tc>
        <w:tc>
          <w:tcPr>
            <w:tcW w:w="540" w:type="pct"/>
          </w:tcPr>
          <w:p w14:paraId="7DB7DED8"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1ED0653" w14:textId="77777777" w:rsidR="00D63B70" w:rsidRPr="006D52A9" w:rsidRDefault="00D63B70" w:rsidP="00D63B70">
            <w:pPr>
              <w:rPr>
                <w:rFonts w:ascii="Arial" w:hAnsi="Arial" w:cs="Arial"/>
                <w:sz w:val="16"/>
                <w:szCs w:val="16"/>
              </w:rPr>
            </w:pPr>
            <w:r w:rsidRPr="006D52A9">
              <w:rPr>
                <w:rFonts w:ascii="Arial" w:hAnsi="Arial" w:cs="Arial"/>
                <w:sz w:val="16"/>
                <w:szCs w:val="16"/>
              </w:rPr>
              <w:t>Nplate</w:t>
            </w:r>
          </w:p>
        </w:tc>
        <w:tc>
          <w:tcPr>
            <w:tcW w:w="894" w:type="pct"/>
          </w:tcPr>
          <w:p w14:paraId="4D184963" w14:textId="77777777" w:rsidR="00D63B70" w:rsidRPr="006D52A9" w:rsidRDefault="00D63B70" w:rsidP="00D63B70">
            <w:pPr>
              <w:rPr>
                <w:rFonts w:ascii="Arial" w:hAnsi="Arial" w:cs="Arial"/>
                <w:sz w:val="16"/>
                <w:szCs w:val="16"/>
              </w:rPr>
            </w:pPr>
            <w:r w:rsidRPr="006D52A9">
              <w:rPr>
                <w:rFonts w:ascii="Arial" w:hAnsi="Arial" w:cs="Arial"/>
                <w:sz w:val="16"/>
                <w:szCs w:val="16"/>
              </w:rPr>
              <w:t>C11205 C11246 C11266 C11267 C11289</w:t>
            </w:r>
          </w:p>
        </w:tc>
        <w:tc>
          <w:tcPr>
            <w:tcW w:w="376" w:type="pct"/>
          </w:tcPr>
          <w:p w14:paraId="37C42D63" w14:textId="77777777" w:rsidR="00D63B70" w:rsidRPr="006D52A9" w:rsidRDefault="00D63B70" w:rsidP="00D63B70">
            <w:pPr>
              <w:rPr>
                <w:rFonts w:ascii="Arial" w:hAnsi="Arial" w:cs="Arial"/>
                <w:sz w:val="16"/>
                <w:szCs w:val="16"/>
              </w:rPr>
            </w:pPr>
          </w:p>
        </w:tc>
        <w:tc>
          <w:tcPr>
            <w:tcW w:w="499" w:type="pct"/>
          </w:tcPr>
          <w:p w14:paraId="7C0E014F"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0552571"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A49C23D" w14:textId="77777777" w:rsidTr="00A91628">
        <w:tblPrEx>
          <w:tblBorders>
            <w:top w:val="single" w:sz="4" w:space="0" w:color="auto"/>
          </w:tblBorders>
        </w:tblPrEx>
        <w:trPr>
          <w:cantSplit/>
          <w:tblCellSpacing w:w="22" w:type="dxa"/>
        </w:trPr>
        <w:tc>
          <w:tcPr>
            <w:tcW w:w="508" w:type="pct"/>
          </w:tcPr>
          <w:p w14:paraId="5954C316"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Saquinavir</w:t>
            </w:r>
          </w:p>
        </w:tc>
        <w:tc>
          <w:tcPr>
            <w:tcW w:w="943" w:type="pct"/>
          </w:tcPr>
          <w:p w14:paraId="23CD13C3" w14:textId="77777777" w:rsidR="00D63B70" w:rsidRPr="006D52A9" w:rsidRDefault="00D63B70" w:rsidP="00D63B70">
            <w:pPr>
              <w:rPr>
                <w:rFonts w:ascii="Arial" w:hAnsi="Arial" w:cs="Arial"/>
                <w:sz w:val="16"/>
                <w:szCs w:val="16"/>
              </w:rPr>
            </w:pPr>
            <w:r w:rsidRPr="006D52A9">
              <w:rPr>
                <w:rFonts w:ascii="Arial" w:hAnsi="Arial" w:cs="Arial"/>
                <w:sz w:val="16"/>
                <w:szCs w:val="16"/>
              </w:rPr>
              <w:t>Tablet 500 mg (as mesilate)</w:t>
            </w:r>
          </w:p>
        </w:tc>
        <w:tc>
          <w:tcPr>
            <w:tcW w:w="540" w:type="pct"/>
          </w:tcPr>
          <w:p w14:paraId="0D7BE17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485E3A7" w14:textId="77777777" w:rsidR="00D63B70" w:rsidRPr="006D52A9" w:rsidRDefault="00D63B70" w:rsidP="00D63B70">
            <w:pPr>
              <w:rPr>
                <w:rFonts w:ascii="Arial" w:hAnsi="Arial" w:cs="Arial"/>
                <w:sz w:val="16"/>
                <w:szCs w:val="16"/>
              </w:rPr>
            </w:pPr>
            <w:r w:rsidRPr="006D52A9">
              <w:rPr>
                <w:rFonts w:ascii="Arial" w:hAnsi="Arial" w:cs="Arial"/>
                <w:sz w:val="16"/>
                <w:szCs w:val="16"/>
              </w:rPr>
              <w:t>Invirase</w:t>
            </w:r>
          </w:p>
        </w:tc>
        <w:tc>
          <w:tcPr>
            <w:tcW w:w="894" w:type="pct"/>
          </w:tcPr>
          <w:p w14:paraId="7F7B71CE"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3DC9DA81" w14:textId="77777777" w:rsidR="00D63B70" w:rsidRPr="006D52A9" w:rsidRDefault="00D63B70" w:rsidP="00D63B70">
            <w:pPr>
              <w:rPr>
                <w:rFonts w:ascii="Arial" w:hAnsi="Arial" w:cs="Arial"/>
                <w:sz w:val="16"/>
                <w:szCs w:val="16"/>
              </w:rPr>
            </w:pPr>
          </w:p>
        </w:tc>
        <w:tc>
          <w:tcPr>
            <w:tcW w:w="499" w:type="pct"/>
          </w:tcPr>
          <w:p w14:paraId="03D06BA5"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6DBE582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E29836A" w14:textId="77777777" w:rsidTr="00A91628">
        <w:tblPrEx>
          <w:tblBorders>
            <w:top w:val="single" w:sz="4" w:space="0" w:color="auto"/>
          </w:tblBorders>
        </w:tblPrEx>
        <w:trPr>
          <w:cantSplit/>
          <w:tblCellSpacing w:w="22" w:type="dxa"/>
        </w:trPr>
        <w:tc>
          <w:tcPr>
            <w:tcW w:w="508" w:type="pct"/>
          </w:tcPr>
          <w:p w14:paraId="3AAD7CCC" w14:textId="77777777" w:rsidR="00D63B70" w:rsidRPr="006D52A9" w:rsidRDefault="00D63B70" w:rsidP="00D63B70">
            <w:pPr>
              <w:rPr>
                <w:rFonts w:ascii="Arial" w:hAnsi="Arial" w:cs="Arial"/>
                <w:sz w:val="16"/>
                <w:szCs w:val="16"/>
              </w:rPr>
            </w:pPr>
            <w:r w:rsidRPr="006D52A9">
              <w:rPr>
                <w:rFonts w:ascii="Arial" w:hAnsi="Arial" w:cs="Arial"/>
                <w:sz w:val="16"/>
                <w:szCs w:val="16"/>
              </w:rPr>
              <w:t>Selexipag</w:t>
            </w:r>
          </w:p>
        </w:tc>
        <w:tc>
          <w:tcPr>
            <w:tcW w:w="943" w:type="pct"/>
          </w:tcPr>
          <w:p w14:paraId="2C996166" w14:textId="77777777" w:rsidR="00D63B70" w:rsidRPr="006D52A9" w:rsidRDefault="00D63B70" w:rsidP="00D63B70">
            <w:pPr>
              <w:rPr>
                <w:rFonts w:ascii="Arial" w:hAnsi="Arial" w:cs="Arial"/>
                <w:sz w:val="16"/>
                <w:szCs w:val="16"/>
              </w:rPr>
            </w:pPr>
            <w:r w:rsidRPr="006D52A9">
              <w:rPr>
                <w:rFonts w:ascii="Arial" w:hAnsi="Arial" w:cs="Arial"/>
                <w:sz w:val="16"/>
                <w:szCs w:val="16"/>
              </w:rPr>
              <w:t>Tablet 200 micrograms</w:t>
            </w:r>
          </w:p>
        </w:tc>
        <w:tc>
          <w:tcPr>
            <w:tcW w:w="540" w:type="pct"/>
          </w:tcPr>
          <w:p w14:paraId="133A3DE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C64A094"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7B711E4F"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 C11261</w:t>
            </w:r>
          </w:p>
        </w:tc>
        <w:tc>
          <w:tcPr>
            <w:tcW w:w="376" w:type="pct"/>
          </w:tcPr>
          <w:p w14:paraId="3DA4C704" w14:textId="77777777" w:rsidR="00D63B70" w:rsidRPr="006D52A9" w:rsidRDefault="00D63B70" w:rsidP="00D63B70">
            <w:pPr>
              <w:rPr>
                <w:rFonts w:ascii="Arial" w:hAnsi="Arial" w:cs="Arial"/>
                <w:sz w:val="16"/>
                <w:szCs w:val="16"/>
              </w:rPr>
            </w:pPr>
            <w:r w:rsidRPr="006D52A9">
              <w:rPr>
                <w:rFonts w:ascii="Arial" w:hAnsi="Arial" w:cs="Arial"/>
                <w:sz w:val="16"/>
                <w:szCs w:val="16"/>
              </w:rPr>
              <w:t>P11193 P11195 P11241</w:t>
            </w:r>
          </w:p>
        </w:tc>
        <w:tc>
          <w:tcPr>
            <w:tcW w:w="499" w:type="pct"/>
          </w:tcPr>
          <w:p w14:paraId="7573CA47"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624003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74F0702" w14:textId="77777777" w:rsidTr="00A91628">
        <w:tblPrEx>
          <w:tblBorders>
            <w:top w:val="single" w:sz="4" w:space="0" w:color="auto"/>
          </w:tblBorders>
        </w:tblPrEx>
        <w:trPr>
          <w:cantSplit/>
          <w:tblCellSpacing w:w="22" w:type="dxa"/>
        </w:trPr>
        <w:tc>
          <w:tcPr>
            <w:tcW w:w="508" w:type="pct"/>
          </w:tcPr>
          <w:p w14:paraId="79A36B52" w14:textId="77777777" w:rsidR="00D63B70" w:rsidRPr="006D52A9" w:rsidRDefault="00D63B70" w:rsidP="00D63B70">
            <w:pPr>
              <w:rPr>
                <w:rFonts w:ascii="Arial" w:hAnsi="Arial" w:cs="Arial"/>
                <w:sz w:val="16"/>
                <w:szCs w:val="16"/>
              </w:rPr>
            </w:pPr>
          </w:p>
        </w:tc>
        <w:tc>
          <w:tcPr>
            <w:tcW w:w="943" w:type="pct"/>
          </w:tcPr>
          <w:p w14:paraId="0D59259F" w14:textId="77777777" w:rsidR="00D63B70" w:rsidRPr="006D52A9" w:rsidRDefault="00D63B70" w:rsidP="00D63B70">
            <w:pPr>
              <w:rPr>
                <w:rFonts w:ascii="Arial" w:hAnsi="Arial" w:cs="Arial"/>
                <w:sz w:val="16"/>
                <w:szCs w:val="16"/>
              </w:rPr>
            </w:pPr>
          </w:p>
        </w:tc>
        <w:tc>
          <w:tcPr>
            <w:tcW w:w="540" w:type="pct"/>
          </w:tcPr>
          <w:p w14:paraId="30050FEB" w14:textId="77777777" w:rsidR="00D63B70" w:rsidRPr="006D52A9" w:rsidRDefault="00D63B70" w:rsidP="00D63B70">
            <w:pPr>
              <w:rPr>
                <w:rFonts w:ascii="Arial" w:hAnsi="Arial" w:cs="Arial"/>
                <w:sz w:val="16"/>
                <w:szCs w:val="16"/>
              </w:rPr>
            </w:pPr>
          </w:p>
        </w:tc>
        <w:tc>
          <w:tcPr>
            <w:tcW w:w="591" w:type="pct"/>
          </w:tcPr>
          <w:p w14:paraId="4D4064F7" w14:textId="77777777" w:rsidR="00D63B70" w:rsidRPr="006D52A9" w:rsidRDefault="00D63B70" w:rsidP="00D63B70">
            <w:pPr>
              <w:rPr>
                <w:rFonts w:ascii="Arial" w:hAnsi="Arial" w:cs="Arial"/>
                <w:sz w:val="16"/>
                <w:szCs w:val="16"/>
              </w:rPr>
            </w:pPr>
          </w:p>
        </w:tc>
        <w:tc>
          <w:tcPr>
            <w:tcW w:w="894" w:type="pct"/>
          </w:tcPr>
          <w:p w14:paraId="3A6E3338"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 C11261</w:t>
            </w:r>
          </w:p>
        </w:tc>
        <w:tc>
          <w:tcPr>
            <w:tcW w:w="376" w:type="pct"/>
          </w:tcPr>
          <w:p w14:paraId="30AFBCDE" w14:textId="77777777" w:rsidR="00D63B70" w:rsidRPr="006D52A9" w:rsidRDefault="00D63B70" w:rsidP="00D63B70">
            <w:pPr>
              <w:rPr>
                <w:rFonts w:ascii="Arial" w:hAnsi="Arial" w:cs="Arial"/>
                <w:sz w:val="16"/>
                <w:szCs w:val="16"/>
              </w:rPr>
            </w:pPr>
            <w:r w:rsidRPr="006D52A9">
              <w:rPr>
                <w:rFonts w:ascii="Arial" w:hAnsi="Arial" w:cs="Arial"/>
                <w:sz w:val="16"/>
                <w:szCs w:val="16"/>
              </w:rPr>
              <w:t>P11241 P11261</w:t>
            </w:r>
          </w:p>
        </w:tc>
        <w:tc>
          <w:tcPr>
            <w:tcW w:w="499" w:type="pct"/>
          </w:tcPr>
          <w:p w14:paraId="60ED5C19" w14:textId="77777777" w:rsidR="00D63B70" w:rsidRPr="006D52A9" w:rsidRDefault="00D63B70" w:rsidP="00D63B70">
            <w:pPr>
              <w:rPr>
                <w:rFonts w:ascii="Arial" w:hAnsi="Arial" w:cs="Arial"/>
                <w:sz w:val="16"/>
                <w:szCs w:val="16"/>
              </w:rPr>
            </w:pPr>
            <w:r w:rsidRPr="006D52A9">
              <w:rPr>
                <w:rFonts w:ascii="Arial" w:hAnsi="Arial" w:cs="Arial"/>
                <w:sz w:val="16"/>
                <w:szCs w:val="16"/>
              </w:rPr>
              <w:t>140</w:t>
            </w:r>
          </w:p>
        </w:tc>
        <w:tc>
          <w:tcPr>
            <w:tcW w:w="502" w:type="pct"/>
          </w:tcPr>
          <w:p w14:paraId="0CF327EA"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7CC7B180" w14:textId="77777777" w:rsidTr="00A91628">
        <w:tblPrEx>
          <w:tblBorders>
            <w:top w:val="single" w:sz="4" w:space="0" w:color="auto"/>
          </w:tblBorders>
        </w:tblPrEx>
        <w:trPr>
          <w:cantSplit/>
          <w:tblCellSpacing w:w="22" w:type="dxa"/>
        </w:trPr>
        <w:tc>
          <w:tcPr>
            <w:tcW w:w="508" w:type="pct"/>
          </w:tcPr>
          <w:p w14:paraId="5DCCD11C" w14:textId="77777777" w:rsidR="00D63B70" w:rsidRPr="006D52A9" w:rsidRDefault="00D63B70" w:rsidP="00D63B70">
            <w:pPr>
              <w:rPr>
                <w:rFonts w:ascii="Arial" w:hAnsi="Arial" w:cs="Arial"/>
                <w:sz w:val="16"/>
                <w:szCs w:val="16"/>
              </w:rPr>
            </w:pPr>
          </w:p>
        </w:tc>
        <w:tc>
          <w:tcPr>
            <w:tcW w:w="943" w:type="pct"/>
          </w:tcPr>
          <w:p w14:paraId="157F02E8" w14:textId="77777777" w:rsidR="00D63B70" w:rsidRPr="006D52A9" w:rsidRDefault="00D63B70" w:rsidP="00D63B70">
            <w:pPr>
              <w:rPr>
                <w:rFonts w:ascii="Arial" w:hAnsi="Arial" w:cs="Arial"/>
                <w:sz w:val="16"/>
                <w:szCs w:val="16"/>
              </w:rPr>
            </w:pPr>
            <w:r w:rsidRPr="006D52A9">
              <w:rPr>
                <w:rFonts w:ascii="Arial" w:hAnsi="Arial" w:cs="Arial"/>
                <w:sz w:val="16"/>
                <w:szCs w:val="16"/>
              </w:rPr>
              <w:t>Tablet 400 micrograms</w:t>
            </w:r>
          </w:p>
        </w:tc>
        <w:tc>
          <w:tcPr>
            <w:tcW w:w="540" w:type="pct"/>
          </w:tcPr>
          <w:p w14:paraId="449F28B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8E8E0CC"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0904CB6D"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17FCDBDB" w14:textId="77777777" w:rsidR="00D63B70" w:rsidRPr="006D52A9" w:rsidRDefault="00D63B70" w:rsidP="00D63B70">
            <w:pPr>
              <w:rPr>
                <w:rFonts w:ascii="Arial" w:hAnsi="Arial" w:cs="Arial"/>
                <w:sz w:val="16"/>
                <w:szCs w:val="16"/>
              </w:rPr>
            </w:pPr>
          </w:p>
        </w:tc>
        <w:tc>
          <w:tcPr>
            <w:tcW w:w="499" w:type="pct"/>
          </w:tcPr>
          <w:p w14:paraId="5A8B306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8CDDDEE"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228A3D3" w14:textId="77777777" w:rsidTr="00A91628">
        <w:tblPrEx>
          <w:tblBorders>
            <w:top w:val="single" w:sz="4" w:space="0" w:color="auto"/>
          </w:tblBorders>
        </w:tblPrEx>
        <w:trPr>
          <w:cantSplit/>
          <w:tblCellSpacing w:w="22" w:type="dxa"/>
        </w:trPr>
        <w:tc>
          <w:tcPr>
            <w:tcW w:w="508" w:type="pct"/>
          </w:tcPr>
          <w:p w14:paraId="13F164A1" w14:textId="77777777" w:rsidR="00D63B70" w:rsidRPr="006D52A9" w:rsidRDefault="00D63B70" w:rsidP="00D63B70">
            <w:pPr>
              <w:rPr>
                <w:rFonts w:ascii="Arial" w:hAnsi="Arial" w:cs="Arial"/>
                <w:sz w:val="16"/>
                <w:szCs w:val="16"/>
              </w:rPr>
            </w:pPr>
          </w:p>
        </w:tc>
        <w:tc>
          <w:tcPr>
            <w:tcW w:w="943" w:type="pct"/>
          </w:tcPr>
          <w:p w14:paraId="2EAE21F9" w14:textId="77777777" w:rsidR="00D63B70" w:rsidRPr="006D52A9" w:rsidRDefault="00D63B70" w:rsidP="00D63B70">
            <w:pPr>
              <w:rPr>
                <w:rFonts w:ascii="Arial" w:hAnsi="Arial" w:cs="Arial"/>
                <w:sz w:val="16"/>
                <w:szCs w:val="16"/>
              </w:rPr>
            </w:pPr>
            <w:r w:rsidRPr="006D52A9">
              <w:rPr>
                <w:rFonts w:ascii="Arial" w:hAnsi="Arial" w:cs="Arial"/>
                <w:sz w:val="16"/>
                <w:szCs w:val="16"/>
              </w:rPr>
              <w:t>Tablet 600 micrograms</w:t>
            </w:r>
          </w:p>
        </w:tc>
        <w:tc>
          <w:tcPr>
            <w:tcW w:w="540" w:type="pct"/>
          </w:tcPr>
          <w:p w14:paraId="695A0ABF"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E5B318E"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4B88EB34"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5EB402D4" w14:textId="77777777" w:rsidR="00D63B70" w:rsidRPr="006D52A9" w:rsidRDefault="00D63B70" w:rsidP="00D63B70">
            <w:pPr>
              <w:rPr>
                <w:rFonts w:ascii="Arial" w:hAnsi="Arial" w:cs="Arial"/>
                <w:sz w:val="16"/>
                <w:szCs w:val="16"/>
              </w:rPr>
            </w:pPr>
          </w:p>
        </w:tc>
        <w:tc>
          <w:tcPr>
            <w:tcW w:w="499" w:type="pct"/>
          </w:tcPr>
          <w:p w14:paraId="3ADD702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5C24930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D384574" w14:textId="77777777" w:rsidTr="00A91628">
        <w:tblPrEx>
          <w:tblBorders>
            <w:top w:val="single" w:sz="4" w:space="0" w:color="auto"/>
          </w:tblBorders>
        </w:tblPrEx>
        <w:trPr>
          <w:cantSplit/>
          <w:tblCellSpacing w:w="22" w:type="dxa"/>
        </w:trPr>
        <w:tc>
          <w:tcPr>
            <w:tcW w:w="508" w:type="pct"/>
          </w:tcPr>
          <w:p w14:paraId="6C217EEF" w14:textId="77777777" w:rsidR="00D63B70" w:rsidRPr="006D52A9" w:rsidRDefault="00D63B70" w:rsidP="00D63B70">
            <w:pPr>
              <w:rPr>
                <w:rFonts w:ascii="Arial" w:hAnsi="Arial" w:cs="Arial"/>
                <w:sz w:val="16"/>
                <w:szCs w:val="16"/>
              </w:rPr>
            </w:pPr>
          </w:p>
        </w:tc>
        <w:tc>
          <w:tcPr>
            <w:tcW w:w="943" w:type="pct"/>
          </w:tcPr>
          <w:p w14:paraId="5C0F9A40" w14:textId="77777777" w:rsidR="00D63B70" w:rsidRPr="006D52A9" w:rsidRDefault="00D63B70" w:rsidP="00D63B70">
            <w:pPr>
              <w:rPr>
                <w:rFonts w:ascii="Arial" w:hAnsi="Arial" w:cs="Arial"/>
                <w:sz w:val="16"/>
                <w:szCs w:val="16"/>
              </w:rPr>
            </w:pPr>
            <w:r w:rsidRPr="006D52A9">
              <w:rPr>
                <w:rFonts w:ascii="Arial" w:hAnsi="Arial" w:cs="Arial"/>
                <w:sz w:val="16"/>
                <w:szCs w:val="16"/>
              </w:rPr>
              <w:t>Tablet 800 micrograms</w:t>
            </w:r>
          </w:p>
        </w:tc>
        <w:tc>
          <w:tcPr>
            <w:tcW w:w="540" w:type="pct"/>
          </w:tcPr>
          <w:p w14:paraId="5D9D6ABB"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B146DD5"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59C685C7"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 C11261</w:t>
            </w:r>
          </w:p>
        </w:tc>
        <w:tc>
          <w:tcPr>
            <w:tcW w:w="376" w:type="pct"/>
          </w:tcPr>
          <w:p w14:paraId="300717CF" w14:textId="77777777" w:rsidR="00D63B70" w:rsidRPr="006D52A9" w:rsidRDefault="00D63B70" w:rsidP="00D63B70">
            <w:pPr>
              <w:rPr>
                <w:rFonts w:ascii="Arial" w:hAnsi="Arial" w:cs="Arial"/>
                <w:sz w:val="16"/>
                <w:szCs w:val="16"/>
              </w:rPr>
            </w:pPr>
            <w:r w:rsidRPr="006D52A9">
              <w:rPr>
                <w:rFonts w:ascii="Arial" w:hAnsi="Arial" w:cs="Arial"/>
                <w:sz w:val="16"/>
                <w:szCs w:val="16"/>
              </w:rPr>
              <w:t>P11261</w:t>
            </w:r>
          </w:p>
        </w:tc>
        <w:tc>
          <w:tcPr>
            <w:tcW w:w="499" w:type="pct"/>
          </w:tcPr>
          <w:p w14:paraId="1B2924FC"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47CA7A6" w14:textId="77777777" w:rsidR="00D63B70" w:rsidRPr="006D52A9" w:rsidRDefault="00D63B70" w:rsidP="00D63B70">
            <w:pPr>
              <w:rPr>
                <w:rFonts w:ascii="Arial" w:hAnsi="Arial" w:cs="Arial"/>
                <w:sz w:val="16"/>
                <w:szCs w:val="16"/>
              </w:rPr>
            </w:pPr>
            <w:r w:rsidRPr="006D52A9">
              <w:rPr>
                <w:rFonts w:ascii="Arial" w:hAnsi="Arial" w:cs="Arial"/>
                <w:sz w:val="16"/>
                <w:szCs w:val="16"/>
              </w:rPr>
              <w:t>3</w:t>
            </w:r>
          </w:p>
        </w:tc>
      </w:tr>
      <w:tr w:rsidR="00D63B70" w:rsidRPr="006D52A9" w14:paraId="4FE0B283" w14:textId="77777777" w:rsidTr="00A91628">
        <w:tblPrEx>
          <w:tblBorders>
            <w:top w:val="single" w:sz="4" w:space="0" w:color="auto"/>
          </w:tblBorders>
        </w:tblPrEx>
        <w:trPr>
          <w:cantSplit/>
          <w:tblCellSpacing w:w="22" w:type="dxa"/>
        </w:trPr>
        <w:tc>
          <w:tcPr>
            <w:tcW w:w="508" w:type="pct"/>
          </w:tcPr>
          <w:p w14:paraId="42CD24D1" w14:textId="77777777" w:rsidR="00D63B70" w:rsidRPr="006D52A9" w:rsidRDefault="00D63B70" w:rsidP="00D63B70">
            <w:pPr>
              <w:rPr>
                <w:rFonts w:ascii="Arial" w:hAnsi="Arial" w:cs="Arial"/>
                <w:sz w:val="16"/>
                <w:szCs w:val="16"/>
              </w:rPr>
            </w:pPr>
          </w:p>
        </w:tc>
        <w:tc>
          <w:tcPr>
            <w:tcW w:w="943" w:type="pct"/>
          </w:tcPr>
          <w:p w14:paraId="530A502C" w14:textId="77777777" w:rsidR="00D63B70" w:rsidRPr="006D52A9" w:rsidRDefault="00D63B70" w:rsidP="00D63B70">
            <w:pPr>
              <w:rPr>
                <w:rFonts w:ascii="Arial" w:hAnsi="Arial" w:cs="Arial"/>
                <w:sz w:val="16"/>
                <w:szCs w:val="16"/>
              </w:rPr>
            </w:pPr>
          </w:p>
        </w:tc>
        <w:tc>
          <w:tcPr>
            <w:tcW w:w="540" w:type="pct"/>
          </w:tcPr>
          <w:p w14:paraId="4DB2978D" w14:textId="77777777" w:rsidR="00D63B70" w:rsidRPr="006D52A9" w:rsidRDefault="00D63B70" w:rsidP="00D63B70">
            <w:pPr>
              <w:rPr>
                <w:rFonts w:ascii="Arial" w:hAnsi="Arial" w:cs="Arial"/>
                <w:sz w:val="16"/>
                <w:szCs w:val="16"/>
              </w:rPr>
            </w:pPr>
          </w:p>
        </w:tc>
        <w:tc>
          <w:tcPr>
            <w:tcW w:w="591" w:type="pct"/>
          </w:tcPr>
          <w:p w14:paraId="576CE7D2" w14:textId="77777777" w:rsidR="00D63B70" w:rsidRPr="006D52A9" w:rsidRDefault="00D63B70" w:rsidP="00D63B70">
            <w:pPr>
              <w:rPr>
                <w:rFonts w:ascii="Arial" w:hAnsi="Arial" w:cs="Arial"/>
                <w:sz w:val="16"/>
                <w:szCs w:val="16"/>
              </w:rPr>
            </w:pPr>
          </w:p>
        </w:tc>
        <w:tc>
          <w:tcPr>
            <w:tcW w:w="894" w:type="pct"/>
          </w:tcPr>
          <w:p w14:paraId="080636D6"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 C11261</w:t>
            </w:r>
          </w:p>
        </w:tc>
        <w:tc>
          <w:tcPr>
            <w:tcW w:w="376" w:type="pct"/>
          </w:tcPr>
          <w:p w14:paraId="71727785" w14:textId="77777777" w:rsidR="00D63B70" w:rsidRPr="006D52A9" w:rsidRDefault="00D63B70" w:rsidP="00D63B70">
            <w:pPr>
              <w:rPr>
                <w:rFonts w:ascii="Arial" w:hAnsi="Arial" w:cs="Arial"/>
                <w:sz w:val="16"/>
                <w:szCs w:val="16"/>
              </w:rPr>
            </w:pPr>
            <w:r w:rsidRPr="006D52A9">
              <w:rPr>
                <w:rFonts w:ascii="Arial" w:hAnsi="Arial" w:cs="Arial"/>
                <w:sz w:val="16"/>
                <w:szCs w:val="16"/>
              </w:rPr>
              <w:t>P11193 P11195 P11241</w:t>
            </w:r>
          </w:p>
        </w:tc>
        <w:tc>
          <w:tcPr>
            <w:tcW w:w="499" w:type="pct"/>
          </w:tcPr>
          <w:p w14:paraId="4F6029F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736E44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FE5A3CB" w14:textId="77777777" w:rsidTr="00A91628">
        <w:tblPrEx>
          <w:tblBorders>
            <w:top w:val="single" w:sz="4" w:space="0" w:color="auto"/>
          </w:tblBorders>
        </w:tblPrEx>
        <w:trPr>
          <w:cantSplit/>
          <w:tblCellSpacing w:w="22" w:type="dxa"/>
        </w:trPr>
        <w:tc>
          <w:tcPr>
            <w:tcW w:w="508" w:type="pct"/>
          </w:tcPr>
          <w:p w14:paraId="7A2D3E4D" w14:textId="77777777" w:rsidR="00D63B70" w:rsidRPr="006D52A9" w:rsidRDefault="00D63B70" w:rsidP="00D63B70">
            <w:pPr>
              <w:rPr>
                <w:rFonts w:ascii="Arial" w:hAnsi="Arial" w:cs="Arial"/>
                <w:sz w:val="16"/>
                <w:szCs w:val="16"/>
              </w:rPr>
            </w:pPr>
          </w:p>
        </w:tc>
        <w:tc>
          <w:tcPr>
            <w:tcW w:w="943" w:type="pct"/>
          </w:tcPr>
          <w:p w14:paraId="34BC13B3" w14:textId="77777777" w:rsidR="00D63B70" w:rsidRPr="006D52A9" w:rsidRDefault="00D63B70" w:rsidP="00D63B70">
            <w:pPr>
              <w:rPr>
                <w:rFonts w:ascii="Arial" w:hAnsi="Arial" w:cs="Arial"/>
                <w:sz w:val="16"/>
                <w:szCs w:val="16"/>
              </w:rPr>
            </w:pPr>
            <w:r w:rsidRPr="006D52A9">
              <w:rPr>
                <w:rFonts w:ascii="Arial" w:hAnsi="Arial" w:cs="Arial"/>
                <w:sz w:val="16"/>
                <w:szCs w:val="16"/>
              </w:rPr>
              <w:t>Tablet 1 mg</w:t>
            </w:r>
          </w:p>
        </w:tc>
        <w:tc>
          <w:tcPr>
            <w:tcW w:w="540" w:type="pct"/>
          </w:tcPr>
          <w:p w14:paraId="2E4C7A1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6F4A9CF"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332341CB"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6A9FC92F" w14:textId="77777777" w:rsidR="00D63B70" w:rsidRPr="006D52A9" w:rsidRDefault="00D63B70" w:rsidP="00D63B70">
            <w:pPr>
              <w:rPr>
                <w:rFonts w:ascii="Arial" w:hAnsi="Arial" w:cs="Arial"/>
                <w:sz w:val="16"/>
                <w:szCs w:val="16"/>
              </w:rPr>
            </w:pPr>
          </w:p>
        </w:tc>
        <w:tc>
          <w:tcPr>
            <w:tcW w:w="499" w:type="pct"/>
          </w:tcPr>
          <w:p w14:paraId="0EF5F202"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C51F9B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8F0AE70" w14:textId="77777777" w:rsidTr="00A91628">
        <w:tblPrEx>
          <w:tblBorders>
            <w:top w:val="single" w:sz="4" w:space="0" w:color="auto"/>
          </w:tblBorders>
        </w:tblPrEx>
        <w:trPr>
          <w:cantSplit/>
          <w:tblCellSpacing w:w="22" w:type="dxa"/>
        </w:trPr>
        <w:tc>
          <w:tcPr>
            <w:tcW w:w="508" w:type="pct"/>
          </w:tcPr>
          <w:p w14:paraId="67C97311" w14:textId="77777777" w:rsidR="00D63B70" w:rsidRPr="006D52A9" w:rsidRDefault="00D63B70" w:rsidP="00D63B70">
            <w:pPr>
              <w:rPr>
                <w:rFonts w:ascii="Arial" w:hAnsi="Arial" w:cs="Arial"/>
                <w:sz w:val="16"/>
                <w:szCs w:val="16"/>
              </w:rPr>
            </w:pPr>
          </w:p>
        </w:tc>
        <w:tc>
          <w:tcPr>
            <w:tcW w:w="943" w:type="pct"/>
          </w:tcPr>
          <w:p w14:paraId="36504897" w14:textId="77777777" w:rsidR="00D63B70" w:rsidRPr="006D52A9" w:rsidRDefault="00D63B70" w:rsidP="00D63B70">
            <w:pPr>
              <w:rPr>
                <w:rFonts w:ascii="Arial" w:hAnsi="Arial" w:cs="Arial"/>
                <w:sz w:val="16"/>
                <w:szCs w:val="16"/>
              </w:rPr>
            </w:pPr>
            <w:r w:rsidRPr="006D52A9">
              <w:rPr>
                <w:rFonts w:ascii="Arial" w:hAnsi="Arial" w:cs="Arial"/>
                <w:sz w:val="16"/>
                <w:szCs w:val="16"/>
              </w:rPr>
              <w:t>Tablet 1.2 mg</w:t>
            </w:r>
          </w:p>
        </w:tc>
        <w:tc>
          <w:tcPr>
            <w:tcW w:w="540" w:type="pct"/>
          </w:tcPr>
          <w:p w14:paraId="40FD948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B3810C7"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10E8874D"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439B42C1" w14:textId="77777777" w:rsidR="00D63B70" w:rsidRPr="006D52A9" w:rsidRDefault="00D63B70" w:rsidP="00D63B70">
            <w:pPr>
              <w:rPr>
                <w:rFonts w:ascii="Arial" w:hAnsi="Arial" w:cs="Arial"/>
                <w:sz w:val="16"/>
                <w:szCs w:val="16"/>
              </w:rPr>
            </w:pPr>
          </w:p>
        </w:tc>
        <w:tc>
          <w:tcPr>
            <w:tcW w:w="499" w:type="pct"/>
          </w:tcPr>
          <w:p w14:paraId="365CBF47"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1F22E67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56694AB" w14:textId="77777777" w:rsidTr="00A91628">
        <w:tblPrEx>
          <w:tblBorders>
            <w:top w:val="single" w:sz="4" w:space="0" w:color="auto"/>
          </w:tblBorders>
        </w:tblPrEx>
        <w:trPr>
          <w:cantSplit/>
          <w:tblCellSpacing w:w="22" w:type="dxa"/>
        </w:trPr>
        <w:tc>
          <w:tcPr>
            <w:tcW w:w="508" w:type="pct"/>
          </w:tcPr>
          <w:p w14:paraId="6460C98A" w14:textId="77777777" w:rsidR="00D63B70" w:rsidRPr="006D52A9" w:rsidRDefault="00D63B70" w:rsidP="00D63B70">
            <w:pPr>
              <w:rPr>
                <w:rFonts w:ascii="Arial" w:hAnsi="Arial" w:cs="Arial"/>
                <w:sz w:val="16"/>
                <w:szCs w:val="16"/>
              </w:rPr>
            </w:pPr>
          </w:p>
        </w:tc>
        <w:tc>
          <w:tcPr>
            <w:tcW w:w="943" w:type="pct"/>
          </w:tcPr>
          <w:p w14:paraId="70209E94" w14:textId="77777777" w:rsidR="00D63B70" w:rsidRPr="006D52A9" w:rsidRDefault="00D63B70" w:rsidP="00D63B70">
            <w:pPr>
              <w:rPr>
                <w:rFonts w:ascii="Arial" w:hAnsi="Arial" w:cs="Arial"/>
                <w:sz w:val="16"/>
                <w:szCs w:val="16"/>
              </w:rPr>
            </w:pPr>
            <w:r w:rsidRPr="006D52A9">
              <w:rPr>
                <w:rFonts w:ascii="Arial" w:hAnsi="Arial" w:cs="Arial"/>
                <w:sz w:val="16"/>
                <w:szCs w:val="16"/>
              </w:rPr>
              <w:t>Tablet 1.4 mg</w:t>
            </w:r>
          </w:p>
        </w:tc>
        <w:tc>
          <w:tcPr>
            <w:tcW w:w="540" w:type="pct"/>
          </w:tcPr>
          <w:p w14:paraId="2E707FB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CE145C3"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593E03FC"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3B2BB297" w14:textId="77777777" w:rsidR="00D63B70" w:rsidRPr="006D52A9" w:rsidRDefault="00D63B70" w:rsidP="00D63B70">
            <w:pPr>
              <w:rPr>
                <w:rFonts w:ascii="Arial" w:hAnsi="Arial" w:cs="Arial"/>
                <w:sz w:val="16"/>
                <w:szCs w:val="16"/>
              </w:rPr>
            </w:pPr>
          </w:p>
        </w:tc>
        <w:tc>
          <w:tcPr>
            <w:tcW w:w="499" w:type="pct"/>
          </w:tcPr>
          <w:p w14:paraId="166F0EBE"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D95583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74F656E" w14:textId="77777777" w:rsidTr="00A91628">
        <w:tblPrEx>
          <w:tblBorders>
            <w:top w:val="single" w:sz="4" w:space="0" w:color="auto"/>
          </w:tblBorders>
        </w:tblPrEx>
        <w:trPr>
          <w:cantSplit/>
          <w:tblCellSpacing w:w="22" w:type="dxa"/>
        </w:trPr>
        <w:tc>
          <w:tcPr>
            <w:tcW w:w="508" w:type="pct"/>
          </w:tcPr>
          <w:p w14:paraId="6B6237AA" w14:textId="77777777" w:rsidR="00D63B70" w:rsidRPr="006D52A9" w:rsidRDefault="00D63B70" w:rsidP="00D63B70">
            <w:pPr>
              <w:rPr>
                <w:rFonts w:ascii="Arial" w:hAnsi="Arial" w:cs="Arial"/>
                <w:sz w:val="16"/>
                <w:szCs w:val="16"/>
              </w:rPr>
            </w:pPr>
          </w:p>
        </w:tc>
        <w:tc>
          <w:tcPr>
            <w:tcW w:w="943" w:type="pct"/>
          </w:tcPr>
          <w:p w14:paraId="31FE62E7" w14:textId="77777777" w:rsidR="00D63B70" w:rsidRPr="006D52A9" w:rsidRDefault="00D63B70" w:rsidP="00D63B70">
            <w:pPr>
              <w:rPr>
                <w:rFonts w:ascii="Arial" w:hAnsi="Arial" w:cs="Arial"/>
                <w:sz w:val="16"/>
                <w:szCs w:val="16"/>
              </w:rPr>
            </w:pPr>
            <w:r w:rsidRPr="006D52A9">
              <w:rPr>
                <w:rFonts w:ascii="Arial" w:hAnsi="Arial" w:cs="Arial"/>
                <w:sz w:val="16"/>
                <w:szCs w:val="16"/>
              </w:rPr>
              <w:t>Tablet 1.6 mg</w:t>
            </w:r>
          </w:p>
        </w:tc>
        <w:tc>
          <w:tcPr>
            <w:tcW w:w="540" w:type="pct"/>
          </w:tcPr>
          <w:p w14:paraId="0725125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43E101D" w14:textId="77777777" w:rsidR="00D63B70" w:rsidRPr="006D52A9" w:rsidRDefault="00D63B70" w:rsidP="00D63B70">
            <w:pPr>
              <w:rPr>
                <w:rFonts w:ascii="Arial" w:hAnsi="Arial" w:cs="Arial"/>
                <w:sz w:val="16"/>
                <w:szCs w:val="16"/>
              </w:rPr>
            </w:pPr>
            <w:r w:rsidRPr="006D52A9">
              <w:rPr>
                <w:rFonts w:ascii="Arial" w:hAnsi="Arial" w:cs="Arial"/>
                <w:sz w:val="16"/>
                <w:szCs w:val="16"/>
              </w:rPr>
              <w:t>Uptravi</w:t>
            </w:r>
          </w:p>
        </w:tc>
        <w:tc>
          <w:tcPr>
            <w:tcW w:w="894" w:type="pct"/>
          </w:tcPr>
          <w:p w14:paraId="4BFD0752" w14:textId="77777777" w:rsidR="00D63B70" w:rsidRPr="006D52A9" w:rsidRDefault="00D63B70" w:rsidP="00D63B70">
            <w:pPr>
              <w:rPr>
                <w:rFonts w:ascii="Arial" w:hAnsi="Arial" w:cs="Arial"/>
                <w:sz w:val="16"/>
                <w:szCs w:val="16"/>
              </w:rPr>
            </w:pPr>
            <w:r w:rsidRPr="006D52A9">
              <w:rPr>
                <w:rFonts w:ascii="Arial" w:hAnsi="Arial" w:cs="Arial"/>
                <w:sz w:val="16"/>
                <w:szCs w:val="16"/>
              </w:rPr>
              <w:t>C11193 C11195 C11241</w:t>
            </w:r>
          </w:p>
        </w:tc>
        <w:tc>
          <w:tcPr>
            <w:tcW w:w="376" w:type="pct"/>
          </w:tcPr>
          <w:p w14:paraId="450EA603" w14:textId="77777777" w:rsidR="00D63B70" w:rsidRPr="006D52A9" w:rsidRDefault="00D63B70" w:rsidP="00D63B70">
            <w:pPr>
              <w:rPr>
                <w:rFonts w:ascii="Arial" w:hAnsi="Arial" w:cs="Arial"/>
                <w:sz w:val="16"/>
                <w:szCs w:val="16"/>
              </w:rPr>
            </w:pPr>
          </w:p>
        </w:tc>
        <w:tc>
          <w:tcPr>
            <w:tcW w:w="499" w:type="pct"/>
          </w:tcPr>
          <w:p w14:paraId="5E03970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4AC5F4DB"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54BDF58C" w14:textId="77777777" w:rsidTr="00A91628">
        <w:tblPrEx>
          <w:tblBorders>
            <w:top w:val="single" w:sz="4" w:space="0" w:color="auto"/>
          </w:tblBorders>
        </w:tblPrEx>
        <w:trPr>
          <w:cantSplit/>
          <w:tblCellSpacing w:w="22" w:type="dxa"/>
        </w:trPr>
        <w:tc>
          <w:tcPr>
            <w:tcW w:w="508" w:type="pct"/>
          </w:tcPr>
          <w:p w14:paraId="2BF2E7B5" w14:textId="77777777" w:rsidR="00D63B70" w:rsidRPr="006D52A9" w:rsidRDefault="00D63B70" w:rsidP="00D63B70">
            <w:pPr>
              <w:rPr>
                <w:rFonts w:ascii="Arial" w:hAnsi="Arial" w:cs="Arial"/>
                <w:sz w:val="16"/>
                <w:szCs w:val="16"/>
              </w:rPr>
            </w:pPr>
            <w:r w:rsidRPr="006D52A9">
              <w:rPr>
                <w:rFonts w:ascii="Arial" w:hAnsi="Arial" w:cs="Arial"/>
                <w:sz w:val="16"/>
                <w:szCs w:val="16"/>
              </w:rPr>
              <w:t>Sevelamer</w:t>
            </w:r>
          </w:p>
        </w:tc>
        <w:tc>
          <w:tcPr>
            <w:tcW w:w="943" w:type="pct"/>
          </w:tcPr>
          <w:p w14:paraId="20AFCDD1"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sevelamer carbonate 800 mg</w:t>
            </w:r>
          </w:p>
        </w:tc>
        <w:tc>
          <w:tcPr>
            <w:tcW w:w="540" w:type="pct"/>
          </w:tcPr>
          <w:p w14:paraId="1377943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D7D8174" w14:textId="77777777" w:rsidR="00D63B70" w:rsidRPr="006D52A9" w:rsidRDefault="00D63B70" w:rsidP="00D63B70">
            <w:pPr>
              <w:rPr>
                <w:rFonts w:ascii="Arial" w:hAnsi="Arial" w:cs="Arial"/>
                <w:sz w:val="16"/>
                <w:szCs w:val="16"/>
              </w:rPr>
            </w:pPr>
            <w:r w:rsidRPr="006D52A9">
              <w:rPr>
                <w:rFonts w:ascii="Arial" w:hAnsi="Arial" w:cs="Arial"/>
                <w:sz w:val="16"/>
                <w:szCs w:val="16"/>
              </w:rPr>
              <w:t>Sevelamer Apotex</w:t>
            </w:r>
          </w:p>
        </w:tc>
        <w:tc>
          <w:tcPr>
            <w:tcW w:w="894" w:type="pct"/>
          </w:tcPr>
          <w:p w14:paraId="02DC34EF"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54E7569E" w14:textId="77777777" w:rsidR="00D63B70" w:rsidRPr="006D52A9" w:rsidRDefault="00D63B70" w:rsidP="00D63B70">
            <w:pPr>
              <w:rPr>
                <w:rFonts w:ascii="Arial" w:hAnsi="Arial" w:cs="Arial"/>
                <w:sz w:val="16"/>
                <w:szCs w:val="16"/>
              </w:rPr>
            </w:pPr>
          </w:p>
        </w:tc>
        <w:tc>
          <w:tcPr>
            <w:tcW w:w="499" w:type="pct"/>
          </w:tcPr>
          <w:p w14:paraId="49F2C22B" w14:textId="77777777" w:rsidR="00D63B70" w:rsidRPr="006D52A9" w:rsidRDefault="00D63B70" w:rsidP="00D63B70">
            <w:pPr>
              <w:rPr>
                <w:rFonts w:ascii="Arial" w:hAnsi="Arial" w:cs="Arial"/>
                <w:sz w:val="16"/>
                <w:szCs w:val="16"/>
              </w:rPr>
            </w:pPr>
            <w:r w:rsidRPr="006D52A9">
              <w:rPr>
                <w:rFonts w:ascii="Arial" w:hAnsi="Arial" w:cs="Arial"/>
                <w:sz w:val="16"/>
                <w:szCs w:val="16"/>
              </w:rPr>
              <w:t>360</w:t>
            </w:r>
          </w:p>
        </w:tc>
        <w:tc>
          <w:tcPr>
            <w:tcW w:w="502" w:type="pct"/>
          </w:tcPr>
          <w:p w14:paraId="010FC324"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9C0DC47" w14:textId="77777777" w:rsidTr="00A91628">
        <w:tblPrEx>
          <w:tblBorders>
            <w:top w:val="single" w:sz="4" w:space="0" w:color="auto"/>
          </w:tblBorders>
        </w:tblPrEx>
        <w:trPr>
          <w:cantSplit/>
          <w:tblCellSpacing w:w="22" w:type="dxa"/>
        </w:trPr>
        <w:tc>
          <w:tcPr>
            <w:tcW w:w="508" w:type="pct"/>
          </w:tcPr>
          <w:p w14:paraId="1681E1EA" w14:textId="77777777" w:rsidR="00D63B70" w:rsidRPr="006D52A9" w:rsidRDefault="00D63B70" w:rsidP="00D63B70">
            <w:pPr>
              <w:rPr>
                <w:rFonts w:ascii="Arial" w:hAnsi="Arial" w:cs="Arial"/>
                <w:sz w:val="16"/>
                <w:szCs w:val="16"/>
              </w:rPr>
            </w:pPr>
          </w:p>
        </w:tc>
        <w:tc>
          <w:tcPr>
            <w:tcW w:w="943" w:type="pct"/>
          </w:tcPr>
          <w:p w14:paraId="0FC49C16" w14:textId="77777777" w:rsidR="00D63B70" w:rsidRPr="006D52A9" w:rsidRDefault="00D63B70" w:rsidP="00D63B70">
            <w:pPr>
              <w:rPr>
                <w:rFonts w:ascii="Arial" w:hAnsi="Arial" w:cs="Arial"/>
                <w:sz w:val="16"/>
                <w:szCs w:val="16"/>
              </w:rPr>
            </w:pPr>
          </w:p>
        </w:tc>
        <w:tc>
          <w:tcPr>
            <w:tcW w:w="540" w:type="pct"/>
          </w:tcPr>
          <w:p w14:paraId="04A4B5D0" w14:textId="77777777" w:rsidR="00D63B70" w:rsidRPr="006D52A9" w:rsidRDefault="00D63B70" w:rsidP="00D63B70">
            <w:pPr>
              <w:rPr>
                <w:rFonts w:ascii="Arial" w:hAnsi="Arial" w:cs="Arial"/>
                <w:sz w:val="16"/>
                <w:szCs w:val="16"/>
              </w:rPr>
            </w:pPr>
          </w:p>
        </w:tc>
        <w:tc>
          <w:tcPr>
            <w:tcW w:w="591" w:type="pct"/>
          </w:tcPr>
          <w:p w14:paraId="3DDF9A6B" w14:textId="77777777" w:rsidR="00D63B70" w:rsidRPr="006D52A9" w:rsidRDefault="00D63B70" w:rsidP="00D63B70">
            <w:pPr>
              <w:rPr>
                <w:rFonts w:ascii="Arial" w:hAnsi="Arial" w:cs="Arial"/>
                <w:sz w:val="16"/>
                <w:szCs w:val="16"/>
              </w:rPr>
            </w:pPr>
            <w:r w:rsidRPr="006D52A9">
              <w:rPr>
                <w:rFonts w:ascii="Arial" w:hAnsi="Arial" w:cs="Arial"/>
                <w:sz w:val="16"/>
              </w:rPr>
              <w:t>Sevelamer Lupin</w:t>
            </w:r>
          </w:p>
        </w:tc>
        <w:tc>
          <w:tcPr>
            <w:tcW w:w="894" w:type="pct"/>
          </w:tcPr>
          <w:p w14:paraId="4633DB01"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4E6590ED" w14:textId="77777777" w:rsidR="00D63B70" w:rsidRPr="006D52A9" w:rsidRDefault="00D63B70" w:rsidP="00D63B70">
            <w:pPr>
              <w:rPr>
                <w:rFonts w:ascii="Arial" w:hAnsi="Arial" w:cs="Arial"/>
                <w:sz w:val="16"/>
                <w:szCs w:val="16"/>
              </w:rPr>
            </w:pPr>
          </w:p>
        </w:tc>
        <w:tc>
          <w:tcPr>
            <w:tcW w:w="499" w:type="pct"/>
          </w:tcPr>
          <w:p w14:paraId="2975AC97" w14:textId="77777777" w:rsidR="00D63B70" w:rsidRPr="006D52A9" w:rsidRDefault="00D63B70" w:rsidP="00D63B70">
            <w:pPr>
              <w:rPr>
                <w:rFonts w:ascii="Arial" w:hAnsi="Arial" w:cs="Arial"/>
                <w:sz w:val="16"/>
                <w:szCs w:val="16"/>
              </w:rPr>
            </w:pPr>
            <w:r w:rsidRPr="006D52A9">
              <w:rPr>
                <w:rFonts w:ascii="Arial" w:hAnsi="Arial" w:cs="Arial"/>
                <w:sz w:val="16"/>
                <w:szCs w:val="16"/>
              </w:rPr>
              <w:t>360</w:t>
            </w:r>
          </w:p>
        </w:tc>
        <w:tc>
          <w:tcPr>
            <w:tcW w:w="502" w:type="pct"/>
          </w:tcPr>
          <w:p w14:paraId="226AE43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906A953" w14:textId="77777777" w:rsidTr="00A91628">
        <w:tblPrEx>
          <w:tblBorders>
            <w:top w:val="single" w:sz="4" w:space="0" w:color="auto"/>
          </w:tblBorders>
        </w:tblPrEx>
        <w:trPr>
          <w:cantSplit/>
          <w:tblCellSpacing w:w="22" w:type="dxa"/>
        </w:trPr>
        <w:tc>
          <w:tcPr>
            <w:tcW w:w="508" w:type="pct"/>
          </w:tcPr>
          <w:p w14:paraId="76CF7DA3" w14:textId="77777777" w:rsidR="00D63B70" w:rsidRPr="006D52A9" w:rsidRDefault="00D63B70" w:rsidP="00D63B70">
            <w:pPr>
              <w:rPr>
                <w:rFonts w:ascii="Arial" w:hAnsi="Arial" w:cs="Arial"/>
                <w:sz w:val="16"/>
                <w:szCs w:val="16"/>
              </w:rPr>
            </w:pPr>
          </w:p>
        </w:tc>
        <w:tc>
          <w:tcPr>
            <w:tcW w:w="943" w:type="pct"/>
          </w:tcPr>
          <w:p w14:paraId="1113BB25"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sevelamer hydrochloride 800 mg</w:t>
            </w:r>
          </w:p>
        </w:tc>
        <w:tc>
          <w:tcPr>
            <w:tcW w:w="540" w:type="pct"/>
          </w:tcPr>
          <w:p w14:paraId="3CFF47B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86E358E" w14:textId="77777777" w:rsidR="00D63B70" w:rsidRPr="006D52A9" w:rsidRDefault="00D63B70" w:rsidP="00D63B70">
            <w:pPr>
              <w:rPr>
                <w:rFonts w:ascii="Arial" w:hAnsi="Arial" w:cs="Arial"/>
                <w:sz w:val="16"/>
                <w:szCs w:val="16"/>
              </w:rPr>
            </w:pPr>
            <w:r w:rsidRPr="006D52A9">
              <w:rPr>
                <w:rFonts w:ascii="Arial" w:hAnsi="Arial" w:cs="Arial"/>
                <w:sz w:val="16"/>
                <w:szCs w:val="16"/>
              </w:rPr>
              <w:t>Renagel</w:t>
            </w:r>
          </w:p>
        </w:tc>
        <w:tc>
          <w:tcPr>
            <w:tcW w:w="894" w:type="pct"/>
          </w:tcPr>
          <w:p w14:paraId="270963C7"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2E457EF1" w14:textId="77777777" w:rsidR="00D63B70" w:rsidRPr="006D52A9" w:rsidRDefault="00D63B70" w:rsidP="00D63B70">
            <w:pPr>
              <w:rPr>
                <w:rFonts w:ascii="Arial" w:hAnsi="Arial" w:cs="Arial"/>
                <w:sz w:val="16"/>
                <w:szCs w:val="16"/>
              </w:rPr>
            </w:pPr>
          </w:p>
        </w:tc>
        <w:tc>
          <w:tcPr>
            <w:tcW w:w="499" w:type="pct"/>
          </w:tcPr>
          <w:p w14:paraId="3B23BF7D" w14:textId="77777777" w:rsidR="00D63B70" w:rsidRPr="006D52A9" w:rsidRDefault="00D63B70" w:rsidP="00D63B70">
            <w:pPr>
              <w:rPr>
                <w:rFonts w:ascii="Arial" w:hAnsi="Arial" w:cs="Arial"/>
                <w:sz w:val="16"/>
                <w:szCs w:val="16"/>
              </w:rPr>
            </w:pPr>
            <w:r w:rsidRPr="006D52A9">
              <w:rPr>
                <w:rFonts w:ascii="Arial" w:hAnsi="Arial" w:cs="Arial"/>
                <w:sz w:val="16"/>
                <w:szCs w:val="16"/>
              </w:rPr>
              <w:t>360</w:t>
            </w:r>
          </w:p>
        </w:tc>
        <w:tc>
          <w:tcPr>
            <w:tcW w:w="502" w:type="pct"/>
          </w:tcPr>
          <w:p w14:paraId="6575F360"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6A143B0" w14:textId="77777777" w:rsidTr="00A91628">
        <w:tblPrEx>
          <w:tblBorders>
            <w:top w:val="single" w:sz="4" w:space="0" w:color="auto"/>
          </w:tblBorders>
        </w:tblPrEx>
        <w:trPr>
          <w:cantSplit/>
          <w:tblCellSpacing w:w="22" w:type="dxa"/>
        </w:trPr>
        <w:tc>
          <w:tcPr>
            <w:tcW w:w="508" w:type="pct"/>
          </w:tcPr>
          <w:p w14:paraId="0F9AD43C"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Sildenafil</w:t>
            </w:r>
          </w:p>
        </w:tc>
        <w:tc>
          <w:tcPr>
            <w:tcW w:w="943" w:type="pct"/>
          </w:tcPr>
          <w:p w14:paraId="41CCB7AC" w14:textId="77777777" w:rsidR="00D63B70" w:rsidRPr="006D52A9" w:rsidRDefault="00D63B70" w:rsidP="00D63B70">
            <w:pPr>
              <w:rPr>
                <w:rFonts w:ascii="Arial" w:hAnsi="Arial" w:cs="Arial"/>
                <w:sz w:val="16"/>
                <w:szCs w:val="16"/>
              </w:rPr>
            </w:pPr>
            <w:r w:rsidRPr="006D52A9">
              <w:rPr>
                <w:rFonts w:ascii="Arial" w:hAnsi="Arial" w:cs="Arial"/>
                <w:sz w:val="16"/>
                <w:szCs w:val="16"/>
              </w:rPr>
              <w:t>Tablet 20 mg (as citrate)</w:t>
            </w:r>
          </w:p>
        </w:tc>
        <w:tc>
          <w:tcPr>
            <w:tcW w:w="540" w:type="pct"/>
          </w:tcPr>
          <w:p w14:paraId="65AF0BF6"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76ACB57" w14:textId="77777777" w:rsidR="00D63B70" w:rsidRPr="006D52A9" w:rsidRDefault="00D63B70" w:rsidP="00D63B70">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Sildenafil PHT</w:t>
            </w:r>
          </w:p>
        </w:tc>
        <w:tc>
          <w:tcPr>
            <w:tcW w:w="894" w:type="pct"/>
          </w:tcPr>
          <w:p w14:paraId="27077C75"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653E62A7" w14:textId="77777777" w:rsidR="00D63B70" w:rsidRPr="006D52A9" w:rsidRDefault="00D63B70" w:rsidP="00D63B70">
            <w:pPr>
              <w:rPr>
                <w:rFonts w:ascii="Arial" w:hAnsi="Arial" w:cs="Arial"/>
                <w:sz w:val="16"/>
                <w:szCs w:val="16"/>
              </w:rPr>
            </w:pPr>
          </w:p>
        </w:tc>
        <w:tc>
          <w:tcPr>
            <w:tcW w:w="499" w:type="pct"/>
          </w:tcPr>
          <w:p w14:paraId="255B8BD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40FA106"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00AC865" w14:textId="77777777" w:rsidTr="00A91628">
        <w:tblPrEx>
          <w:tblBorders>
            <w:top w:val="single" w:sz="4" w:space="0" w:color="auto"/>
          </w:tblBorders>
        </w:tblPrEx>
        <w:trPr>
          <w:cantSplit/>
          <w:tblCellSpacing w:w="22" w:type="dxa"/>
        </w:trPr>
        <w:tc>
          <w:tcPr>
            <w:tcW w:w="508" w:type="pct"/>
          </w:tcPr>
          <w:p w14:paraId="13AE8EFB" w14:textId="77777777" w:rsidR="00D63B70" w:rsidRPr="006D52A9" w:rsidRDefault="00D63B70" w:rsidP="00D63B70">
            <w:pPr>
              <w:rPr>
                <w:rFonts w:ascii="Arial" w:hAnsi="Arial" w:cs="Arial"/>
                <w:sz w:val="16"/>
                <w:szCs w:val="16"/>
              </w:rPr>
            </w:pPr>
          </w:p>
        </w:tc>
        <w:tc>
          <w:tcPr>
            <w:tcW w:w="943" w:type="pct"/>
          </w:tcPr>
          <w:p w14:paraId="2AAFF712" w14:textId="77777777" w:rsidR="00D63B70" w:rsidRPr="006D52A9" w:rsidRDefault="00D63B70" w:rsidP="00D63B70">
            <w:pPr>
              <w:rPr>
                <w:rFonts w:ascii="Arial" w:hAnsi="Arial" w:cs="Arial"/>
                <w:sz w:val="16"/>
                <w:szCs w:val="16"/>
              </w:rPr>
            </w:pPr>
          </w:p>
        </w:tc>
        <w:tc>
          <w:tcPr>
            <w:tcW w:w="540" w:type="pct"/>
          </w:tcPr>
          <w:p w14:paraId="3BA636BF" w14:textId="77777777" w:rsidR="00D63B70" w:rsidRPr="006D52A9" w:rsidRDefault="00D63B70" w:rsidP="00D63B70">
            <w:pPr>
              <w:rPr>
                <w:rFonts w:ascii="Arial" w:hAnsi="Arial" w:cs="Arial"/>
                <w:sz w:val="16"/>
                <w:szCs w:val="16"/>
              </w:rPr>
            </w:pPr>
          </w:p>
        </w:tc>
        <w:tc>
          <w:tcPr>
            <w:tcW w:w="591" w:type="pct"/>
          </w:tcPr>
          <w:p w14:paraId="728F029E" w14:textId="77777777" w:rsidR="00D63B70" w:rsidRPr="006D52A9" w:rsidRDefault="00D63B70" w:rsidP="00D63B70">
            <w:pPr>
              <w:rPr>
                <w:rFonts w:ascii="Arial" w:hAnsi="Arial" w:cs="Arial"/>
                <w:sz w:val="16"/>
                <w:szCs w:val="16"/>
              </w:rPr>
            </w:pPr>
            <w:r w:rsidRPr="006D52A9">
              <w:rPr>
                <w:rFonts w:ascii="Arial" w:hAnsi="Arial" w:cs="Arial"/>
                <w:sz w:val="16"/>
                <w:szCs w:val="16"/>
              </w:rPr>
              <w:t>Revatio</w:t>
            </w:r>
          </w:p>
        </w:tc>
        <w:tc>
          <w:tcPr>
            <w:tcW w:w="894" w:type="pct"/>
          </w:tcPr>
          <w:p w14:paraId="7364614E"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6CF5DB8E" w14:textId="77777777" w:rsidR="00D63B70" w:rsidRPr="006D52A9" w:rsidRDefault="00D63B70" w:rsidP="00D63B70">
            <w:pPr>
              <w:rPr>
                <w:rFonts w:ascii="Arial" w:hAnsi="Arial" w:cs="Arial"/>
                <w:sz w:val="16"/>
                <w:szCs w:val="16"/>
              </w:rPr>
            </w:pPr>
          </w:p>
        </w:tc>
        <w:tc>
          <w:tcPr>
            <w:tcW w:w="499" w:type="pct"/>
          </w:tcPr>
          <w:p w14:paraId="2EF4B7E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7D408A69"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2793C557" w14:textId="77777777" w:rsidTr="00A91628">
        <w:tblPrEx>
          <w:tblBorders>
            <w:top w:val="single" w:sz="4" w:space="0" w:color="auto"/>
          </w:tblBorders>
        </w:tblPrEx>
        <w:trPr>
          <w:cantSplit/>
          <w:tblCellSpacing w:w="22" w:type="dxa"/>
        </w:trPr>
        <w:tc>
          <w:tcPr>
            <w:tcW w:w="508" w:type="pct"/>
          </w:tcPr>
          <w:p w14:paraId="28B6940C" w14:textId="77777777" w:rsidR="00D63B70" w:rsidRPr="006D52A9" w:rsidRDefault="00D63B70" w:rsidP="00D63B70">
            <w:pPr>
              <w:rPr>
                <w:rFonts w:ascii="Arial" w:hAnsi="Arial" w:cs="Arial"/>
                <w:sz w:val="16"/>
                <w:szCs w:val="16"/>
              </w:rPr>
            </w:pPr>
          </w:p>
        </w:tc>
        <w:tc>
          <w:tcPr>
            <w:tcW w:w="943" w:type="pct"/>
          </w:tcPr>
          <w:p w14:paraId="7F5A6387" w14:textId="77777777" w:rsidR="00D63B70" w:rsidRPr="006D52A9" w:rsidRDefault="00D63B70" w:rsidP="00D63B70">
            <w:pPr>
              <w:rPr>
                <w:rFonts w:ascii="Arial" w:hAnsi="Arial" w:cs="Arial"/>
                <w:sz w:val="16"/>
                <w:szCs w:val="16"/>
              </w:rPr>
            </w:pPr>
          </w:p>
        </w:tc>
        <w:tc>
          <w:tcPr>
            <w:tcW w:w="540" w:type="pct"/>
          </w:tcPr>
          <w:p w14:paraId="49A923B5" w14:textId="77777777" w:rsidR="00D63B70" w:rsidRPr="006D52A9" w:rsidRDefault="00D63B70" w:rsidP="00D63B70">
            <w:pPr>
              <w:rPr>
                <w:rFonts w:ascii="Arial" w:hAnsi="Arial" w:cs="Arial"/>
                <w:sz w:val="16"/>
                <w:szCs w:val="16"/>
              </w:rPr>
            </w:pPr>
          </w:p>
        </w:tc>
        <w:tc>
          <w:tcPr>
            <w:tcW w:w="591" w:type="pct"/>
          </w:tcPr>
          <w:p w14:paraId="78CBC5B8" w14:textId="77777777" w:rsidR="00D63B70" w:rsidRPr="006D52A9" w:rsidRDefault="00D63B70" w:rsidP="00D63B70">
            <w:pPr>
              <w:rPr>
                <w:rFonts w:ascii="Arial" w:hAnsi="Arial" w:cs="Arial"/>
                <w:sz w:val="16"/>
                <w:szCs w:val="16"/>
              </w:rPr>
            </w:pPr>
            <w:r w:rsidRPr="006D52A9">
              <w:rPr>
                <w:rFonts w:ascii="Arial" w:hAnsi="Arial" w:cs="Arial"/>
                <w:sz w:val="16"/>
                <w:szCs w:val="16"/>
              </w:rPr>
              <w:t>SILDATIO PHT</w:t>
            </w:r>
          </w:p>
        </w:tc>
        <w:tc>
          <w:tcPr>
            <w:tcW w:w="894" w:type="pct"/>
          </w:tcPr>
          <w:p w14:paraId="3C6D246C"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421B1163" w14:textId="77777777" w:rsidR="00D63B70" w:rsidRPr="006D52A9" w:rsidRDefault="00D63B70" w:rsidP="00D63B70">
            <w:pPr>
              <w:rPr>
                <w:rFonts w:ascii="Arial" w:hAnsi="Arial" w:cs="Arial"/>
                <w:sz w:val="16"/>
                <w:szCs w:val="16"/>
              </w:rPr>
            </w:pPr>
          </w:p>
        </w:tc>
        <w:tc>
          <w:tcPr>
            <w:tcW w:w="499" w:type="pct"/>
          </w:tcPr>
          <w:p w14:paraId="2376C7C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1ED9E0DA"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7574C855" w14:textId="77777777" w:rsidTr="00A91628">
        <w:tblPrEx>
          <w:tblBorders>
            <w:top w:val="single" w:sz="4" w:space="0" w:color="auto"/>
          </w:tblBorders>
        </w:tblPrEx>
        <w:trPr>
          <w:cantSplit/>
          <w:tblCellSpacing w:w="22" w:type="dxa"/>
        </w:trPr>
        <w:tc>
          <w:tcPr>
            <w:tcW w:w="508" w:type="pct"/>
          </w:tcPr>
          <w:p w14:paraId="6B0672A5" w14:textId="77777777" w:rsidR="00D63B70" w:rsidRPr="006D52A9" w:rsidRDefault="00D63B70" w:rsidP="00D63B70">
            <w:pPr>
              <w:rPr>
                <w:rFonts w:ascii="Arial" w:hAnsi="Arial" w:cs="Arial"/>
                <w:sz w:val="16"/>
                <w:szCs w:val="16"/>
              </w:rPr>
            </w:pPr>
          </w:p>
        </w:tc>
        <w:tc>
          <w:tcPr>
            <w:tcW w:w="943" w:type="pct"/>
          </w:tcPr>
          <w:p w14:paraId="71690E30" w14:textId="77777777" w:rsidR="00D63B70" w:rsidRPr="006D52A9" w:rsidRDefault="00D63B70" w:rsidP="00D63B70">
            <w:pPr>
              <w:rPr>
                <w:rFonts w:ascii="Arial" w:hAnsi="Arial" w:cs="Arial"/>
                <w:sz w:val="16"/>
                <w:szCs w:val="16"/>
              </w:rPr>
            </w:pPr>
          </w:p>
        </w:tc>
        <w:tc>
          <w:tcPr>
            <w:tcW w:w="540" w:type="pct"/>
          </w:tcPr>
          <w:p w14:paraId="66523727" w14:textId="77777777" w:rsidR="00D63B70" w:rsidRPr="006D52A9" w:rsidRDefault="00D63B70" w:rsidP="00D63B70">
            <w:pPr>
              <w:rPr>
                <w:rFonts w:ascii="Arial" w:hAnsi="Arial" w:cs="Arial"/>
                <w:sz w:val="16"/>
                <w:szCs w:val="16"/>
              </w:rPr>
            </w:pPr>
          </w:p>
        </w:tc>
        <w:tc>
          <w:tcPr>
            <w:tcW w:w="591" w:type="pct"/>
          </w:tcPr>
          <w:p w14:paraId="7B1ACCC6" w14:textId="77777777" w:rsidR="00D63B70" w:rsidRPr="006D52A9" w:rsidRDefault="00D63B70" w:rsidP="00D63B70">
            <w:pPr>
              <w:rPr>
                <w:rFonts w:ascii="Arial" w:hAnsi="Arial" w:cs="Arial"/>
                <w:sz w:val="16"/>
                <w:szCs w:val="16"/>
              </w:rPr>
            </w:pPr>
            <w:r w:rsidRPr="006D52A9">
              <w:rPr>
                <w:rFonts w:ascii="Arial" w:hAnsi="Arial" w:cs="Arial"/>
                <w:sz w:val="16"/>
                <w:szCs w:val="16"/>
              </w:rPr>
              <w:t>Sildenafil AN PHT 20</w:t>
            </w:r>
          </w:p>
        </w:tc>
        <w:tc>
          <w:tcPr>
            <w:tcW w:w="894" w:type="pct"/>
          </w:tcPr>
          <w:p w14:paraId="4E2EC090"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729E3F3B" w14:textId="77777777" w:rsidR="00D63B70" w:rsidRPr="006D52A9" w:rsidRDefault="00D63B70" w:rsidP="00D63B70">
            <w:pPr>
              <w:rPr>
                <w:rFonts w:ascii="Arial" w:hAnsi="Arial" w:cs="Arial"/>
                <w:sz w:val="16"/>
                <w:szCs w:val="16"/>
              </w:rPr>
            </w:pPr>
          </w:p>
        </w:tc>
        <w:tc>
          <w:tcPr>
            <w:tcW w:w="499" w:type="pct"/>
          </w:tcPr>
          <w:p w14:paraId="3BECC25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4E8E3B8"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0B19F66B" w14:textId="77777777" w:rsidTr="00A91628">
        <w:tblPrEx>
          <w:tblBorders>
            <w:top w:val="single" w:sz="4" w:space="0" w:color="auto"/>
          </w:tblBorders>
        </w:tblPrEx>
        <w:trPr>
          <w:cantSplit/>
          <w:tblCellSpacing w:w="22" w:type="dxa"/>
        </w:trPr>
        <w:tc>
          <w:tcPr>
            <w:tcW w:w="508" w:type="pct"/>
          </w:tcPr>
          <w:p w14:paraId="1C365174" w14:textId="77777777" w:rsidR="00D63B70" w:rsidRPr="006D52A9" w:rsidRDefault="00D63B70" w:rsidP="00D63B70">
            <w:pPr>
              <w:rPr>
                <w:rFonts w:ascii="Arial" w:hAnsi="Arial" w:cs="Arial"/>
                <w:sz w:val="16"/>
                <w:szCs w:val="16"/>
              </w:rPr>
            </w:pPr>
          </w:p>
        </w:tc>
        <w:tc>
          <w:tcPr>
            <w:tcW w:w="943" w:type="pct"/>
          </w:tcPr>
          <w:p w14:paraId="6ADF8A42" w14:textId="77777777" w:rsidR="00D63B70" w:rsidRPr="006D52A9" w:rsidRDefault="00D63B70" w:rsidP="00D63B70">
            <w:pPr>
              <w:rPr>
                <w:rFonts w:ascii="Arial" w:hAnsi="Arial" w:cs="Arial"/>
                <w:sz w:val="16"/>
                <w:szCs w:val="16"/>
              </w:rPr>
            </w:pPr>
          </w:p>
        </w:tc>
        <w:tc>
          <w:tcPr>
            <w:tcW w:w="540" w:type="pct"/>
          </w:tcPr>
          <w:p w14:paraId="1CC7EBE2" w14:textId="77777777" w:rsidR="00D63B70" w:rsidRPr="006D52A9" w:rsidRDefault="00D63B70" w:rsidP="00D63B70">
            <w:pPr>
              <w:rPr>
                <w:rFonts w:ascii="Arial" w:hAnsi="Arial" w:cs="Arial"/>
                <w:sz w:val="16"/>
                <w:szCs w:val="16"/>
              </w:rPr>
            </w:pPr>
          </w:p>
        </w:tc>
        <w:tc>
          <w:tcPr>
            <w:tcW w:w="591" w:type="pct"/>
          </w:tcPr>
          <w:p w14:paraId="3CB0F1C7"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Sildenafil PHT APOTEX</w:t>
            </w:r>
          </w:p>
        </w:tc>
        <w:tc>
          <w:tcPr>
            <w:tcW w:w="894" w:type="pct"/>
          </w:tcPr>
          <w:p w14:paraId="6B382D5E"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65315353" w14:textId="77777777" w:rsidR="00D63B70" w:rsidRPr="006D52A9" w:rsidRDefault="00D63B70" w:rsidP="00D63B70">
            <w:pPr>
              <w:rPr>
                <w:rFonts w:ascii="Arial" w:hAnsi="Arial" w:cs="Arial"/>
                <w:sz w:val="16"/>
                <w:szCs w:val="16"/>
              </w:rPr>
            </w:pPr>
          </w:p>
        </w:tc>
        <w:tc>
          <w:tcPr>
            <w:tcW w:w="499" w:type="pct"/>
          </w:tcPr>
          <w:p w14:paraId="305691D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424994E" w14:textId="77777777" w:rsidR="00D63B70" w:rsidRPr="006D52A9" w:rsidRDefault="00D63B70" w:rsidP="00D63B70">
            <w:pPr>
              <w:rPr>
                <w:rFonts w:ascii="Arial" w:hAnsi="Arial" w:cs="Arial"/>
                <w:sz w:val="16"/>
                <w:szCs w:val="16"/>
              </w:rPr>
            </w:pPr>
            <w:r w:rsidRPr="006D52A9">
              <w:rPr>
                <w:rFonts w:ascii="Arial" w:hAnsi="Arial" w:cs="Arial"/>
                <w:color w:val="000000"/>
                <w:sz w:val="16"/>
                <w:szCs w:val="16"/>
              </w:rPr>
              <w:t xml:space="preserve">See </w:t>
            </w:r>
            <w:r w:rsidR="003E082A" w:rsidRPr="006D52A9">
              <w:rPr>
                <w:rFonts w:ascii="Arial" w:hAnsi="Arial" w:cs="Arial"/>
                <w:color w:val="000000"/>
                <w:sz w:val="16"/>
                <w:szCs w:val="16"/>
              </w:rPr>
              <w:t>Schedule 2</w:t>
            </w:r>
          </w:p>
        </w:tc>
      </w:tr>
      <w:tr w:rsidR="00D63B70" w:rsidRPr="006D52A9" w14:paraId="22139191" w14:textId="77777777" w:rsidTr="00A91628">
        <w:tblPrEx>
          <w:tblBorders>
            <w:top w:val="single" w:sz="4" w:space="0" w:color="auto"/>
          </w:tblBorders>
        </w:tblPrEx>
        <w:trPr>
          <w:cantSplit/>
          <w:tblCellSpacing w:w="22" w:type="dxa"/>
        </w:trPr>
        <w:tc>
          <w:tcPr>
            <w:tcW w:w="508" w:type="pct"/>
          </w:tcPr>
          <w:p w14:paraId="7E0F195F" w14:textId="77777777" w:rsidR="00D63B70" w:rsidRPr="006D52A9" w:rsidDel="00F97236" w:rsidRDefault="00D63B70" w:rsidP="00D63B70">
            <w:pPr>
              <w:rPr>
                <w:rFonts w:ascii="Arial" w:hAnsi="Arial" w:cs="Arial"/>
                <w:sz w:val="16"/>
                <w:szCs w:val="16"/>
              </w:rPr>
            </w:pPr>
          </w:p>
        </w:tc>
        <w:tc>
          <w:tcPr>
            <w:tcW w:w="943" w:type="pct"/>
          </w:tcPr>
          <w:p w14:paraId="244D3BB0" w14:textId="77777777" w:rsidR="00D63B70" w:rsidRPr="006D52A9" w:rsidDel="00F97236" w:rsidRDefault="00D63B70" w:rsidP="00D63B70">
            <w:pPr>
              <w:rPr>
                <w:rFonts w:ascii="Arial" w:hAnsi="Arial" w:cs="Arial"/>
                <w:sz w:val="16"/>
                <w:szCs w:val="16"/>
              </w:rPr>
            </w:pPr>
          </w:p>
        </w:tc>
        <w:tc>
          <w:tcPr>
            <w:tcW w:w="540" w:type="pct"/>
          </w:tcPr>
          <w:p w14:paraId="41F79140" w14:textId="77777777" w:rsidR="00D63B70" w:rsidRPr="006D52A9" w:rsidDel="00F97236" w:rsidRDefault="00D63B70" w:rsidP="00D63B70">
            <w:pPr>
              <w:rPr>
                <w:rFonts w:ascii="Arial" w:hAnsi="Arial" w:cs="Arial"/>
                <w:sz w:val="16"/>
                <w:szCs w:val="16"/>
              </w:rPr>
            </w:pPr>
          </w:p>
        </w:tc>
        <w:tc>
          <w:tcPr>
            <w:tcW w:w="591" w:type="pct"/>
          </w:tcPr>
          <w:p w14:paraId="518C1493" w14:textId="77777777" w:rsidR="00D63B70" w:rsidRPr="006D52A9" w:rsidRDefault="00D63B70" w:rsidP="00D63B70">
            <w:pPr>
              <w:rPr>
                <w:rFonts w:ascii="Arial" w:hAnsi="Arial" w:cs="Arial"/>
                <w:sz w:val="16"/>
                <w:szCs w:val="16"/>
              </w:rPr>
            </w:pPr>
            <w:r w:rsidRPr="006D52A9">
              <w:rPr>
                <w:rFonts w:ascii="Arial" w:hAnsi="Arial" w:cs="Arial"/>
                <w:sz w:val="16"/>
                <w:szCs w:val="16"/>
              </w:rPr>
              <w:t>Sildenafil Sandoz PHT 20</w:t>
            </w:r>
          </w:p>
        </w:tc>
        <w:tc>
          <w:tcPr>
            <w:tcW w:w="894" w:type="pct"/>
          </w:tcPr>
          <w:p w14:paraId="05FE1A75"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00499FD3" w14:textId="77777777" w:rsidR="00D63B70" w:rsidRPr="006D52A9" w:rsidRDefault="00D63B70" w:rsidP="00D63B70">
            <w:pPr>
              <w:rPr>
                <w:rFonts w:ascii="Arial" w:hAnsi="Arial" w:cs="Arial"/>
                <w:sz w:val="16"/>
                <w:szCs w:val="16"/>
              </w:rPr>
            </w:pPr>
          </w:p>
        </w:tc>
        <w:tc>
          <w:tcPr>
            <w:tcW w:w="499" w:type="pct"/>
          </w:tcPr>
          <w:p w14:paraId="2385004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069489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C62E5" w14:paraId="026C3B18" w14:textId="77777777" w:rsidTr="00A91628">
        <w:tblPrEx>
          <w:tblBorders>
            <w:top w:val="single" w:sz="4" w:space="0" w:color="auto"/>
          </w:tblBorders>
        </w:tblPrEx>
        <w:trPr>
          <w:cantSplit/>
          <w:tblCellSpacing w:w="22" w:type="dxa"/>
        </w:trPr>
        <w:tc>
          <w:tcPr>
            <w:tcW w:w="508" w:type="pct"/>
          </w:tcPr>
          <w:p w14:paraId="63C43C0B"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Sirolimus</w:t>
            </w:r>
          </w:p>
        </w:tc>
        <w:tc>
          <w:tcPr>
            <w:tcW w:w="943" w:type="pct"/>
          </w:tcPr>
          <w:p w14:paraId="7A406010"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Tablet 0.5 mg</w:t>
            </w:r>
          </w:p>
        </w:tc>
        <w:tc>
          <w:tcPr>
            <w:tcW w:w="540" w:type="pct"/>
          </w:tcPr>
          <w:p w14:paraId="12B23F80"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B3AC460"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Rapamune</w:t>
            </w:r>
          </w:p>
        </w:tc>
        <w:tc>
          <w:tcPr>
            <w:tcW w:w="894" w:type="pct"/>
          </w:tcPr>
          <w:p w14:paraId="788C7D86"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C5795 C9914</w:t>
            </w:r>
          </w:p>
        </w:tc>
        <w:tc>
          <w:tcPr>
            <w:tcW w:w="376" w:type="pct"/>
          </w:tcPr>
          <w:p w14:paraId="40B8780A" w14:textId="77777777" w:rsidR="00D63B70" w:rsidRPr="006D52A9" w:rsidDel="001C62E5" w:rsidRDefault="00D63B70" w:rsidP="00D63B70">
            <w:pPr>
              <w:rPr>
                <w:rFonts w:ascii="Arial" w:hAnsi="Arial" w:cs="Arial"/>
                <w:sz w:val="16"/>
                <w:szCs w:val="16"/>
              </w:rPr>
            </w:pPr>
          </w:p>
        </w:tc>
        <w:tc>
          <w:tcPr>
            <w:tcW w:w="499" w:type="pct"/>
          </w:tcPr>
          <w:p w14:paraId="7FE1E2EF"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17CBD9B9"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1C62E5" w14:paraId="0F177CF4" w14:textId="77777777" w:rsidTr="00A91628">
        <w:tblPrEx>
          <w:tblBorders>
            <w:top w:val="single" w:sz="4" w:space="0" w:color="auto"/>
          </w:tblBorders>
        </w:tblPrEx>
        <w:trPr>
          <w:cantSplit/>
          <w:tblCellSpacing w:w="22" w:type="dxa"/>
        </w:trPr>
        <w:tc>
          <w:tcPr>
            <w:tcW w:w="508" w:type="pct"/>
          </w:tcPr>
          <w:p w14:paraId="0D23B3A1" w14:textId="77777777" w:rsidR="00D63B70" w:rsidRPr="006D52A9" w:rsidDel="001C62E5" w:rsidRDefault="00D63B70" w:rsidP="00D63B70">
            <w:pPr>
              <w:rPr>
                <w:rFonts w:ascii="Arial" w:hAnsi="Arial" w:cs="Arial"/>
                <w:sz w:val="16"/>
                <w:szCs w:val="16"/>
              </w:rPr>
            </w:pPr>
          </w:p>
        </w:tc>
        <w:tc>
          <w:tcPr>
            <w:tcW w:w="943" w:type="pct"/>
          </w:tcPr>
          <w:p w14:paraId="2DAEEBE7"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Tablet 1 mg</w:t>
            </w:r>
          </w:p>
        </w:tc>
        <w:tc>
          <w:tcPr>
            <w:tcW w:w="540" w:type="pct"/>
          </w:tcPr>
          <w:p w14:paraId="2A9CC12B"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AAB6B6B"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Rapamune</w:t>
            </w:r>
          </w:p>
        </w:tc>
        <w:tc>
          <w:tcPr>
            <w:tcW w:w="894" w:type="pct"/>
          </w:tcPr>
          <w:p w14:paraId="7D44D36D"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C5795 C9914</w:t>
            </w:r>
          </w:p>
        </w:tc>
        <w:tc>
          <w:tcPr>
            <w:tcW w:w="376" w:type="pct"/>
          </w:tcPr>
          <w:p w14:paraId="5470062A" w14:textId="77777777" w:rsidR="00D63B70" w:rsidRPr="006D52A9" w:rsidDel="001C62E5" w:rsidRDefault="00D63B70" w:rsidP="00D63B70">
            <w:pPr>
              <w:rPr>
                <w:rFonts w:ascii="Arial" w:hAnsi="Arial" w:cs="Arial"/>
                <w:sz w:val="16"/>
                <w:szCs w:val="16"/>
              </w:rPr>
            </w:pPr>
          </w:p>
        </w:tc>
        <w:tc>
          <w:tcPr>
            <w:tcW w:w="499" w:type="pct"/>
          </w:tcPr>
          <w:p w14:paraId="68A965FA"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45BA172A"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1C62E5" w14:paraId="7B3527F4" w14:textId="77777777" w:rsidTr="00A91628">
        <w:tblPrEx>
          <w:tblBorders>
            <w:top w:val="single" w:sz="4" w:space="0" w:color="auto"/>
          </w:tblBorders>
        </w:tblPrEx>
        <w:trPr>
          <w:cantSplit/>
          <w:tblCellSpacing w:w="22" w:type="dxa"/>
        </w:trPr>
        <w:tc>
          <w:tcPr>
            <w:tcW w:w="508" w:type="pct"/>
          </w:tcPr>
          <w:p w14:paraId="13215630" w14:textId="77777777" w:rsidR="00D63B70" w:rsidRPr="006D52A9" w:rsidDel="001C62E5" w:rsidRDefault="00D63B70" w:rsidP="00D63B70">
            <w:pPr>
              <w:rPr>
                <w:rFonts w:ascii="Arial" w:hAnsi="Arial" w:cs="Arial"/>
                <w:sz w:val="16"/>
                <w:szCs w:val="16"/>
              </w:rPr>
            </w:pPr>
          </w:p>
        </w:tc>
        <w:tc>
          <w:tcPr>
            <w:tcW w:w="943" w:type="pct"/>
          </w:tcPr>
          <w:p w14:paraId="00F43619"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 xml:space="preserve">Tablet 2 mg </w:t>
            </w:r>
          </w:p>
        </w:tc>
        <w:tc>
          <w:tcPr>
            <w:tcW w:w="540" w:type="pct"/>
          </w:tcPr>
          <w:p w14:paraId="33CC1B93"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84A9C9D"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Rapamune</w:t>
            </w:r>
          </w:p>
        </w:tc>
        <w:tc>
          <w:tcPr>
            <w:tcW w:w="894" w:type="pct"/>
          </w:tcPr>
          <w:p w14:paraId="2166F995"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C5795 C9914</w:t>
            </w:r>
          </w:p>
        </w:tc>
        <w:tc>
          <w:tcPr>
            <w:tcW w:w="376" w:type="pct"/>
          </w:tcPr>
          <w:p w14:paraId="06819051" w14:textId="77777777" w:rsidR="00D63B70" w:rsidRPr="006D52A9" w:rsidDel="001C62E5" w:rsidRDefault="00D63B70" w:rsidP="00D63B70">
            <w:pPr>
              <w:rPr>
                <w:rFonts w:ascii="Arial" w:hAnsi="Arial" w:cs="Arial"/>
                <w:sz w:val="16"/>
                <w:szCs w:val="16"/>
              </w:rPr>
            </w:pPr>
          </w:p>
        </w:tc>
        <w:tc>
          <w:tcPr>
            <w:tcW w:w="499" w:type="pct"/>
          </w:tcPr>
          <w:p w14:paraId="338A15F8"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53799AD1"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1C62E5" w14:paraId="305381A5" w14:textId="77777777" w:rsidTr="00A91628">
        <w:tblPrEx>
          <w:tblBorders>
            <w:top w:val="single" w:sz="4" w:space="0" w:color="auto"/>
          </w:tblBorders>
        </w:tblPrEx>
        <w:trPr>
          <w:cantSplit/>
          <w:tblCellSpacing w:w="22" w:type="dxa"/>
        </w:trPr>
        <w:tc>
          <w:tcPr>
            <w:tcW w:w="508" w:type="pct"/>
          </w:tcPr>
          <w:p w14:paraId="414AA849" w14:textId="77777777" w:rsidR="00D63B70" w:rsidRPr="006D52A9" w:rsidDel="001C62E5" w:rsidRDefault="00D63B70" w:rsidP="00D63B70">
            <w:pPr>
              <w:rPr>
                <w:rFonts w:ascii="Arial" w:hAnsi="Arial" w:cs="Arial"/>
                <w:sz w:val="16"/>
                <w:szCs w:val="16"/>
              </w:rPr>
            </w:pPr>
          </w:p>
        </w:tc>
        <w:tc>
          <w:tcPr>
            <w:tcW w:w="943" w:type="pct"/>
          </w:tcPr>
          <w:p w14:paraId="6826E10B"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Oral solution 1 mg per mL, 60 mL</w:t>
            </w:r>
          </w:p>
        </w:tc>
        <w:tc>
          <w:tcPr>
            <w:tcW w:w="540" w:type="pct"/>
          </w:tcPr>
          <w:p w14:paraId="36944BBF"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22AB5AD"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Rapamune</w:t>
            </w:r>
          </w:p>
        </w:tc>
        <w:tc>
          <w:tcPr>
            <w:tcW w:w="894" w:type="pct"/>
          </w:tcPr>
          <w:p w14:paraId="6B889F23"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C5795 C9914</w:t>
            </w:r>
          </w:p>
        </w:tc>
        <w:tc>
          <w:tcPr>
            <w:tcW w:w="376" w:type="pct"/>
          </w:tcPr>
          <w:p w14:paraId="734DF421" w14:textId="77777777" w:rsidR="00D63B70" w:rsidRPr="006D52A9" w:rsidDel="001C62E5" w:rsidRDefault="00D63B70" w:rsidP="00D63B70">
            <w:pPr>
              <w:rPr>
                <w:rFonts w:ascii="Arial" w:hAnsi="Arial" w:cs="Arial"/>
                <w:sz w:val="16"/>
                <w:szCs w:val="16"/>
              </w:rPr>
            </w:pPr>
          </w:p>
        </w:tc>
        <w:tc>
          <w:tcPr>
            <w:tcW w:w="499" w:type="pct"/>
          </w:tcPr>
          <w:p w14:paraId="109B7DEB"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2</w:t>
            </w:r>
          </w:p>
        </w:tc>
        <w:tc>
          <w:tcPr>
            <w:tcW w:w="502" w:type="pct"/>
          </w:tcPr>
          <w:p w14:paraId="383A5173" w14:textId="77777777" w:rsidR="00D63B70" w:rsidRPr="006D52A9" w:rsidDel="001C62E5"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1C62E5" w14:paraId="58D53861" w14:textId="77777777" w:rsidTr="00A91628">
        <w:tblPrEx>
          <w:tblBorders>
            <w:top w:val="single" w:sz="4" w:space="0" w:color="auto"/>
          </w:tblBorders>
        </w:tblPrEx>
        <w:trPr>
          <w:cantSplit/>
          <w:tblCellSpacing w:w="22" w:type="dxa"/>
        </w:trPr>
        <w:tc>
          <w:tcPr>
            <w:tcW w:w="508" w:type="pct"/>
          </w:tcPr>
          <w:p w14:paraId="0EA15AC1"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Sofosbuvir with velpatasvir</w:t>
            </w:r>
          </w:p>
        </w:tc>
        <w:tc>
          <w:tcPr>
            <w:tcW w:w="943" w:type="pct"/>
          </w:tcPr>
          <w:p w14:paraId="5F236059"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400 mg sofosbuvir with 100 mg velpatasvir</w:t>
            </w:r>
          </w:p>
        </w:tc>
        <w:tc>
          <w:tcPr>
            <w:tcW w:w="540" w:type="pct"/>
          </w:tcPr>
          <w:p w14:paraId="6B34260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AA493E5" w14:textId="77777777" w:rsidR="00D63B70" w:rsidRPr="006D52A9" w:rsidRDefault="00D63B70" w:rsidP="00D63B70">
            <w:pPr>
              <w:rPr>
                <w:rFonts w:ascii="Arial" w:hAnsi="Arial" w:cs="Arial"/>
                <w:sz w:val="16"/>
                <w:szCs w:val="16"/>
              </w:rPr>
            </w:pPr>
            <w:r w:rsidRPr="006D52A9">
              <w:rPr>
                <w:rFonts w:ascii="Arial" w:hAnsi="Arial" w:cs="Arial"/>
                <w:sz w:val="16"/>
                <w:szCs w:val="16"/>
              </w:rPr>
              <w:t>Epclusa</w:t>
            </w:r>
          </w:p>
        </w:tc>
        <w:tc>
          <w:tcPr>
            <w:tcW w:w="894" w:type="pct"/>
          </w:tcPr>
          <w:p w14:paraId="26CA83A5" w14:textId="77777777" w:rsidR="00D63B70" w:rsidRPr="006D52A9" w:rsidRDefault="00D63B70" w:rsidP="00D63B70">
            <w:pPr>
              <w:rPr>
                <w:rFonts w:ascii="Arial" w:hAnsi="Arial" w:cs="Arial"/>
                <w:sz w:val="16"/>
                <w:szCs w:val="16"/>
              </w:rPr>
            </w:pPr>
            <w:r w:rsidRPr="006D52A9">
              <w:rPr>
                <w:rFonts w:ascii="Arial" w:hAnsi="Arial" w:cs="Arial"/>
                <w:sz w:val="16"/>
                <w:szCs w:val="16"/>
              </w:rPr>
              <w:t>C5969</w:t>
            </w:r>
          </w:p>
        </w:tc>
        <w:tc>
          <w:tcPr>
            <w:tcW w:w="376" w:type="pct"/>
          </w:tcPr>
          <w:p w14:paraId="42292769" w14:textId="77777777" w:rsidR="00D63B70" w:rsidRPr="006D52A9" w:rsidRDefault="00D63B70" w:rsidP="00D63B70">
            <w:pPr>
              <w:rPr>
                <w:rFonts w:ascii="Arial" w:hAnsi="Arial" w:cs="Arial"/>
                <w:sz w:val="16"/>
                <w:szCs w:val="16"/>
              </w:rPr>
            </w:pPr>
          </w:p>
        </w:tc>
        <w:tc>
          <w:tcPr>
            <w:tcW w:w="499" w:type="pct"/>
          </w:tcPr>
          <w:p w14:paraId="3FD9B226"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1D942ED4"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1C62E5" w14:paraId="0B1046F5" w14:textId="77777777" w:rsidTr="00A91628">
        <w:tblPrEx>
          <w:tblBorders>
            <w:top w:val="single" w:sz="4" w:space="0" w:color="auto"/>
          </w:tblBorders>
        </w:tblPrEx>
        <w:trPr>
          <w:cantSplit/>
          <w:tblCellSpacing w:w="22" w:type="dxa"/>
        </w:trPr>
        <w:tc>
          <w:tcPr>
            <w:tcW w:w="508" w:type="pct"/>
          </w:tcPr>
          <w:p w14:paraId="06E0D861" w14:textId="77777777" w:rsidR="00D63B70" w:rsidRPr="006D52A9" w:rsidRDefault="00D63B70" w:rsidP="00D63B70">
            <w:pPr>
              <w:rPr>
                <w:rFonts w:ascii="Arial" w:hAnsi="Arial" w:cs="Arial"/>
                <w:sz w:val="16"/>
                <w:szCs w:val="16"/>
              </w:rPr>
            </w:pPr>
            <w:r w:rsidRPr="006D52A9">
              <w:rPr>
                <w:rFonts w:ascii="Arial" w:hAnsi="Arial" w:cs="Arial"/>
                <w:sz w:val="16"/>
                <w:szCs w:val="16"/>
              </w:rPr>
              <w:t>Sofosbuvir with velpatasvir and voxilaprevir</w:t>
            </w:r>
          </w:p>
        </w:tc>
        <w:tc>
          <w:tcPr>
            <w:tcW w:w="943" w:type="pct"/>
          </w:tcPr>
          <w:p w14:paraId="7AD9AD5E"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400 mg sofosbuvir with 100 mg velpatasvir and 100 mg voxilaprevir</w:t>
            </w:r>
          </w:p>
        </w:tc>
        <w:tc>
          <w:tcPr>
            <w:tcW w:w="540" w:type="pct"/>
          </w:tcPr>
          <w:p w14:paraId="0BDCEED4"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5C30246" w14:textId="77777777" w:rsidR="00D63B70" w:rsidRPr="006D52A9" w:rsidRDefault="00D63B70" w:rsidP="00D63B70">
            <w:pPr>
              <w:rPr>
                <w:rFonts w:ascii="Arial" w:hAnsi="Arial" w:cs="Arial"/>
                <w:sz w:val="16"/>
                <w:szCs w:val="16"/>
              </w:rPr>
            </w:pPr>
            <w:r w:rsidRPr="006D52A9">
              <w:rPr>
                <w:rFonts w:ascii="Arial" w:hAnsi="Arial" w:cs="Arial"/>
                <w:sz w:val="16"/>
                <w:szCs w:val="16"/>
              </w:rPr>
              <w:t>Vosevi</w:t>
            </w:r>
          </w:p>
        </w:tc>
        <w:tc>
          <w:tcPr>
            <w:tcW w:w="894" w:type="pct"/>
          </w:tcPr>
          <w:p w14:paraId="153B074E" w14:textId="77777777" w:rsidR="00D63B70" w:rsidRPr="006D52A9" w:rsidRDefault="00D63B70" w:rsidP="00D63B70">
            <w:pPr>
              <w:rPr>
                <w:rFonts w:ascii="Arial" w:hAnsi="Arial" w:cs="Arial"/>
                <w:sz w:val="16"/>
                <w:szCs w:val="16"/>
              </w:rPr>
            </w:pPr>
            <w:r w:rsidRPr="006D52A9">
              <w:rPr>
                <w:sz w:val="16"/>
                <w:szCs w:val="16"/>
                <w:lang w:eastAsia="en-AU"/>
              </w:rPr>
              <w:t>C10248</w:t>
            </w:r>
          </w:p>
        </w:tc>
        <w:tc>
          <w:tcPr>
            <w:tcW w:w="376" w:type="pct"/>
          </w:tcPr>
          <w:p w14:paraId="149406F1" w14:textId="77777777" w:rsidR="00D63B70" w:rsidRPr="006D52A9" w:rsidRDefault="00D63B70" w:rsidP="00D63B70">
            <w:pPr>
              <w:rPr>
                <w:rFonts w:ascii="Arial" w:hAnsi="Arial" w:cs="Arial"/>
                <w:sz w:val="16"/>
                <w:szCs w:val="16"/>
              </w:rPr>
            </w:pPr>
          </w:p>
        </w:tc>
        <w:tc>
          <w:tcPr>
            <w:tcW w:w="499" w:type="pct"/>
          </w:tcPr>
          <w:p w14:paraId="0DDB0998" w14:textId="77777777" w:rsidR="00D63B70" w:rsidRPr="006D52A9" w:rsidRDefault="00D63B70" w:rsidP="00D63B70">
            <w:pPr>
              <w:rPr>
                <w:rFonts w:ascii="Arial" w:hAnsi="Arial" w:cs="Arial"/>
                <w:sz w:val="16"/>
                <w:szCs w:val="16"/>
              </w:rPr>
            </w:pPr>
            <w:r w:rsidRPr="006D52A9">
              <w:rPr>
                <w:rFonts w:ascii="Arial" w:hAnsi="Arial" w:cs="Arial"/>
                <w:sz w:val="16"/>
                <w:szCs w:val="16"/>
              </w:rPr>
              <w:t>28</w:t>
            </w:r>
          </w:p>
        </w:tc>
        <w:tc>
          <w:tcPr>
            <w:tcW w:w="502" w:type="pct"/>
          </w:tcPr>
          <w:p w14:paraId="270BCEFB"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4889FC59" w14:textId="77777777" w:rsidTr="00A91628">
        <w:tblPrEx>
          <w:tblBorders>
            <w:top w:val="single" w:sz="4" w:space="0" w:color="auto"/>
          </w:tblBorders>
        </w:tblPrEx>
        <w:trPr>
          <w:cantSplit/>
          <w:tblCellSpacing w:w="22" w:type="dxa"/>
        </w:trPr>
        <w:tc>
          <w:tcPr>
            <w:tcW w:w="508" w:type="pct"/>
          </w:tcPr>
          <w:p w14:paraId="0A7EDB55" w14:textId="77777777" w:rsidR="00D63B70" w:rsidRPr="006D52A9" w:rsidRDefault="00D63B70" w:rsidP="00D63B70">
            <w:pPr>
              <w:rPr>
                <w:rFonts w:ascii="Arial" w:hAnsi="Arial" w:cs="Arial"/>
                <w:sz w:val="16"/>
                <w:szCs w:val="16"/>
              </w:rPr>
            </w:pPr>
            <w:r w:rsidRPr="006D52A9">
              <w:rPr>
                <w:rFonts w:ascii="Arial" w:hAnsi="Arial" w:cs="Arial"/>
                <w:sz w:val="16"/>
                <w:szCs w:val="16"/>
              </w:rPr>
              <w:t>Sucroferric oxyhydroxide</w:t>
            </w:r>
          </w:p>
        </w:tc>
        <w:tc>
          <w:tcPr>
            <w:tcW w:w="943" w:type="pct"/>
          </w:tcPr>
          <w:p w14:paraId="3FB0F371" w14:textId="77777777" w:rsidR="00D63B70" w:rsidRPr="006D52A9" w:rsidRDefault="00D63B70" w:rsidP="00D63B70">
            <w:pPr>
              <w:rPr>
                <w:rFonts w:ascii="Arial" w:hAnsi="Arial" w:cs="Arial"/>
                <w:sz w:val="16"/>
                <w:szCs w:val="16"/>
              </w:rPr>
            </w:pPr>
            <w:r w:rsidRPr="006D52A9">
              <w:rPr>
                <w:rFonts w:ascii="Arial" w:hAnsi="Arial" w:cs="Arial"/>
                <w:sz w:val="16"/>
                <w:szCs w:val="16"/>
              </w:rPr>
              <w:t>Tablet, chewable, 2.5 g (equivalent to 500 mg iron)</w:t>
            </w:r>
          </w:p>
        </w:tc>
        <w:tc>
          <w:tcPr>
            <w:tcW w:w="540" w:type="pct"/>
          </w:tcPr>
          <w:p w14:paraId="02780C4C"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27C75B5" w14:textId="77777777" w:rsidR="00D63B70" w:rsidRPr="006D52A9" w:rsidRDefault="00D63B70" w:rsidP="00D63B70">
            <w:pPr>
              <w:rPr>
                <w:rFonts w:ascii="Arial" w:hAnsi="Arial" w:cs="Arial"/>
                <w:sz w:val="16"/>
                <w:szCs w:val="16"/>
              </w:rPr>
            </w:pPr>
            <w:r w:rsidRPr="006D52A9">
              <w:rPr>
                <w:rFonts w:ascii="Arial" w:hAnsi="Arial" w:cs="Arial"/>
                <w:sz w:val="16"/>
                <w:szCs w:val="16"/>
              </w:rPr>
              <w:t>Velphoro</w:t>
            </w:r>
          </w:p>
        </w:tc>
        <w:tc>
          <w:tcPr>
            <w:tcW w:w="894" w:type="pct"/>
          </w:tcPr>
          <w:p w14:paraId="0BBC8025" w14:textId="77777777" w:rsidR="00D63B70" w:rsidRPr="006D52A9" w:rsidRDefault="00D63B70" w:rsidP="00D63B70">
            <w:pPr>
              <w:rPr>
                <w:rFonts w:ascii="Arial" w:hAnsi="Arial" w:cs="Arial"/>
                <w:sz w:val="16"/>
                <w:szCs w:val="16"/>
              </w:rPr>
            </w:pPr>
            <w:r w:rsidRPr="006D52A9">
              <w:rPr>
                <w:rFonts w:ascii="Arial" w:hAnsi="Arial" w:cs="Arial"/>
                <w:sz w:val="16"/>
                <w:szCs w:val="16"/>
              </w:rPr>
              <w:t>C5530 C9762</w:t>
            </w:r>
          </w:p>
        </w:tc>
        <w:tc>
          <w:tcPr>
            <w:tcW w:w="376" w:type="pct"/>
          </w:tcPr>
          <w:p w14:paraId="598CB852" w14:textId="77777777" w:rsidR="00D63B70" w:rsidRPr="006D52A9" w:rsidRDefault="00D63B70" w:rsidP="00D63B70">
            <w:pPr>
              <w:rPr>
                <w:rFonts w:ascii="Arial" w:hAnsi="Arial" w:cs="Arial"/>
                <w:sz w:val="16"/>
                <w:szCs w:val="16"/>
              </w:rPr>
            </w:pPr>
          </w:p>
        </w:tc>
        <w:tc>
          <w:tcPr>
            <w:tcW w:w="499" w:type="pct"/>
          </w:tcPr>
          <w:p w14:paraId="06881A6D" w14:textId="77777777" w:rsidR="00D63B70" w:rsidRPr="006D52A9" w:rsidRDefault="00D63B70" w:rsidP="00D63B70">
            <w:pPr>
              <w:rPr>
                <w:rFonts w:ascii="Arial" w:hAnsi="Arial" w:cs="Arial"/>
                <w:sz w:val="16"/>
                <w:szCs w:val="16"/>
              </w:rPr>
            </w:pPr>
            <w:r w:rsidRPr="006D52A9">
              <w:rPr>
                <w:rFonts w:ascii="Arial" w:hAnsi="Arial" w:cs="Arial"/>
                <w:sz w:val="16"/>
                <w:szCs w:val="16"/>
              </w:rPr>
              <w:t>180</w:t>
            </w:r>
          </w:p>
        </w:tc>
        <w:tc>
          <w:tcPr>
            <w:tcW w:w="502" w:type="pct"/>
          </w:tcPr>
          <w:p w14:paraId="2E6A8C02"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36353288" w14:textId="77777777" w:rsidTr="00A91628">
        <w:tblPrEx>
          <w:tblBorders>
            <w:top w:val="single" w:sz="4" w:space="0" w:color="auto"/>
          </w:tblBorders>
        </w:tblPrEx>
        <w:trPr>
          <w:cantSplit/>
          <w:tblCellSpacing w:w="22" w:type="dxa"/>
        </w:trPr>
        <w:tc>
          <w:tcPr>
            <w:tcW w:w="508" w:type="pct"/>
          </w:tcPr>
          <w:p w14:paraId="70A2B114"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w:t>
            </w:r>
          </w:p>
        </w:tc>
        <w:tc>
          <w:tcPr>
            <w:tcW w:w="943" w:type="pct"/>
          </w:tcPr>
          <w:p w14:paraId="2C7048CC"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0.5 mg</w:t>
            </w:r>
          </w:p>
        </w:tc>
        <w:tc>
          <w:tcPr>
            <w:tcW w:w="540" w:type="pct"/>
          </w:tcPr>
          <w:p w14:paraId="6AA58FC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C88AA3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Pacrolim</w:t>
            </w:r>
          </w:p>
        </w:tc>
        <w:tc>
          <w:tcPr>
            <w:tcW w:w="894" w:type="pct"/>
          </w:tcPr>
          <w:p w14:paraId="51F5F3C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63966C10" w14:textId="77777777" w:rsidR="00D63B70" w:rsidRPr="006D52A9" w:rsidDel="00280CBF" w:rsidRDefault="00D63B70" w:rsidP="00D63B70">
            <w:pPr>
              <w:rPr>
                <w:rFonts w:ascii="Arial" w:hAnsi="Arial" w:cs="Arial"/>
                <w:sz w:val="16"/>
                <w:szCs w:val="16"/>
              </w:rPr>
            </w:pPr>
          </w:p>
        </w:tc>
        <w:tc>
          <w:tcPr>
            <w:tcW w:w="499" w:type="pct"/>
          </w:tcPr>
          <w:p w14:paraId="1CBCA04B"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0B5E281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43843BA2" w14:textId="77777777" w:rsidTr="00A91628">
        <w:tblPrEx>
          <w:tblBorders>
            <w:top w:val="single" w:sz="4" w:space="0" w:color="auto"/>
          </w:tblBorders>
        </w:tblPrEx>
        <w:trPr>
          <w:cantSplit/>
          <w:tblCellSpacing w:w="22" w:type="dxa"/>
        </w:trPr>
        <w:tc>
          <w:tcPr>
            <w:tcW w:w="508" w:type="pct"/>
          </w:tcPr>
          <w:p w14:paraId="31E05104" w14:textId="77777777" w:rsidR="00D63B70" w:rsidRPr="006D52A9" w:rsidDel="00280CBF" w:rsidRDefault="00D63B70" w:rsidP="00D63B70">
            <w:pPr>
              <w:rPr>
                <w:rFonts w:ascii="Arial" w:hAnsi="Arial" w:cs="Arial"/>
                <w:sz w:val="16"/>
                <w:szCs w:val="16"/>
              </w:rPr>
            </w:pPr>
          </w:p>
        </w:tc>
        <w:tc>
          <w:tcPr>
            <w:tcW w:w="943" w:type="pct"/>
          </w:tcPr>
          <w:p w14:paraId="0590D67B" w14:textId="77777777" w:rsidR="00D63B70" w:rsidRPr="006D52A9" w:rsidDel="00280CBF" w:rsidRDefault="00D63B70" w:rsidP="00D63B70">
            <w:pPr>
              <w:rPr>
                <w:rFonts w:ascii="Arial" w:hAnsi="Arial" w:cs="Arial"/>
                <w:sz w:val="16"/>
                <w:szCs w:val="16"/>
              </w:rPr>
            </w:pPr>
          </w:p>
        </w:tc>
        <w:tc>
          <w:tcPr>
            <w:tcW w:w="540" w:type="pct"/>
          </w:tcPr>
          <w:p w14:paraId="2080DFDD" w14:textId="77777777" w:rsidR="00D63B70" w:rsidRPr="006D52A9" w:rsidDel="00280CBF" w:rsidRDefault="00D63B70" w:rsidP="00D63B70">
            <w:pPr>
              <w:rPr>
                <w:rFonts w:ascii="Arial" w:hAnsi="Arial" w:cs="Arial"/>
                <w:sz w:val="16"/>
                <w:szCs w:val="16"/>
              </w:rPr>
            </w:pPr>
          </w:p>
        </w:tc>
        <w:tc>
          <w:tcPr>
            <w:tcW w:w="591" w:type="pct"/>
          </w:tcPr>
          <w:p w14:paraId="0B18D71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Pharmacor Tacrolimus 0.5</w:t>
            </w:r>
          </w:p>
        </w:tc>
        <w:tc>
          <w:tcPr>
            <w:tcW w:w="894" w:type="pct"/>
          </w:tcPr>
          <w:p w14:paraId="53002A8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486B6397" w14:textId="77777777" w:rsidR="00D63B70" w:rsidRPr="006D52A9" w:rsidDel="00280CBF" w:rsidRDefault="00D63B70" w:rsidP="00D63B70">
            <w:pPr>
              <w:rPr>
                <w:rFonts w:ascii="Arial" w:hAnsi="Arial" w:cs="Arial"/>
                <w:sz w:val="16"/>
                <w:szCs w:val="16"/>
              </w:rPr>
            </w:pPr>
          </w:p>
        </w:tc>
        <w:tc>
          <w:tcPr>
            <w:tcW w:w="499" w:type="pct"/>
          </w:tcPr>
          <w:p w14:paraId="5AD871B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3C8E8B5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1222C1F9" w14:textId="77777777" w:rsidTr="00A91628">
        <w:tblPrEx>
          <w:tblBorders>
            <w:top w:val="single" w:sz="4" w:space="0" w:color="auto"/>
          </w:tblBorders>
        </w:tblPrEx>
        <w:trPr>
          <w:cantSplit/>
          <w:tblCellSpacing w:w="22" w:type="dxa"/>
        </w:trPr>
        <w:tc>
          <w:tcPr>
            <w:tcW w:w="508" w:type="pct"/>
          </w:tcPr>
          <w:p w14:paraId="42F08414" w14:textId="77777777" w:rsidR="00D63B70" w:rsidRPr="006D52A9" w:rsidDel="00280CBF" w:rsidRDefault="00D63B70" w:rsidP="00D63B70">
            <w:pPr>
              <w:rPr>
                <w:rFonts w:ascii="Arial" w:hAnsi="Arial" w:cs="Arial"/>
                <w:sz w:val="16"/>
                <w:szCs w:val="16"/>
              </w:rPr>
            </w:pPr>
          </w:p>
        </w:tc>
        <w:tc>
          <w:tcPr>
            <w:tcW w:w="943" w:type="pct"/>
          </w:tcPr>
          <w:p w14:paraId="2007BF05" w14:textId="77777777" w:rsidR="00D63B70" w:rsidRPr="006D52A9" w:rsidDel="00280CBF" w:rsidRDefault="00D63B70" w:rsidP="00D63B70">
            <w:pPr>
              <w:rPr>
                <w:rFonts w:ascii="Arial" w:hAnsi="Arial" w:cs="Arial"/>
                <w:sz w:val="16"/>
                <w:szCs w:val="16"/>
              </w:rPr>
            </w:pPr>
          </w:p>
        </w:tc>
        <w:tc>
          <w:tcPr>
            <w:tcW w:w="540" w:type="pct"/>
          </w:tcPr>
          <w:p w14:paraId="6437EECB" w14:textId="77777777" w:rsidR="00D63B70" w:rsidRPr="006D52A9" w:rsidDel="00280CBF" w:rsidRDefault="00D63B70" w:rsidP="00D63B70">
            <w:pPr>
              <w:rPr>
                <w:rFonts w:ascii="Arial" w:hAnsi="Arial" w:cs="Arial"/>
                <w:sz w:val="16"/>
                <w:szCs w:val="16"/>
              </w:rPr>
            </w:pPr>
          </w:p>
        </w:tc>
        <w:tc>
          <w:tcPr>
            <w:tcW w:w="591" w:type="pct"/>
          </w:tcPr>
          <w:p w14:paraId="50D0C2A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Prograf</w:t>
            </w:r>
          </w:p>
        </w:tc>
        <w:tc>
          <w:tcPr>
            <w:tcW w:w="894" w:type="pct"/>
          </w:tcPr>
          <w:p w14:paraId="73C76F0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44FA755F" w14:textId="77777777" w:rsidR="00D63B70" w:rsidRPr="006D52A9" w:rsidDel="00280CBF" w:rsidRDefault="00D63B70" w:rsidP="00D63B70">
            <w:pPr>
              <w:rPr>
                <w:rFonts w:ascii="Arial" w:hAnsi="Arial" w:cs="Arial"/>
                <w:sz w:val="16"/>
                <w:szCs w:val="16"/>
              </w:rPr>
            </w:pPr>
          </w:p>
        </w:tc>
        <w:tc>
          <w:tcPr>
            <w:tcW w:w="499" w:type="pct"/>
          </w:tcPr>
          <w:p w14:paraId="577588A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5308C2B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09D1568C" w14:textId="77777777" w:rsidTr="00A91628">
        <w:tblPrEx>
          <w:tblBorders>
            <w:top w:val="single" w:sz="4" w:space="0" w:color="auto"/>
          </w:tblBorders>
        </w:tblPrEx>
        <w:trPr>
          <w:cantSplit/>
          <w:tblCellSpacing w:w="22" w:type="dxa"/>
        </w:trPr>
        <w:tc>
          <w:tcPr>
            <w:tcW w:w="508" w:type="pct"/>
          </w:tcPr>
          <w:p w14:paraId="5A78189D" w14:textId="77777777" w:rsidR="00D63B70" w:rsidRPr="006D52A9" w:rsidDel="00280CBF" w:rsidRDefault="00D63B70" w:rsidP="00D63B70">
            <w:pPr>
              <w:rPr>
                <w:rFonts w:ascii="Arial" w:hAnsi="Arial" w:cs="Arial"/>
                <w:sz w:val="16"/>
                <w:szCs w:val="16"/>
              </w:rPr>
            </w:pPr>
          </w:p>
        </w:tc>
        <w:tc>
          <w:tcPr>
            <w:tcW w:w="943" w:type="pct"/>
          </w:tcPr>
          <w:p w14:paraId="4C5530DA" w14:textId="77777777" w:rsidR="00D63B70" w:rsidRPr="006D52A9" w:rsidDel="00280CBF" w:rsidRDefault="00D63B70" w:rsidP="00D63B70">
            <w:pPr>
              <w:rPr>
                <w:rFonts w:ascii="Arial" w:hAnsi="Arial" w:cs="Arial"/>
                <w:sz w:val="16"/>
                <w:szCs w:val="16"/>
              </w:rPr>
            </w:pPr>
          </w:p>
        </w:tc>
        <w:tc>
          <w:tcPr>
            <w:tcW w:w="540" w:type="pct"/>
          </w:tcPr>
          <w:p w14:paraId="7B3FF1A9" w14:textId="77777777" w:rsidR="00D63B70" w:rsidRPr="006D52A9" w:rsidDel="00280CBF" w:rsidRDefault="00D63B70" w:rsidP="00D63B70">
            <w:pPr>
              <w:rPr>
                <w:rFonts w:ascii="Arial" w:hAnsi="Arial" w:cs="Arial"/>
                <w:sz w:val="16"/>
                <w:szCs w:val="16"/>
              </w:rPr>
            </w:pPr>
          </w:p>
        </w:tc>
        <w:tc>
          <w:tcPr>
            <w:tcW w:w="591" w:type="pct"/>
          </w:tcPr>
          <w:p w14:paraId="5F26D1C2" w14:textId="77777777" w:rsidR="00D63B70" w:rsidRPr="006D52A9" w:rsidRDefault="00D63B70" w:rsidP="00D63B70">
            <w:pPr>
              <w:rPr>
                <w:rFonts w:ascii="Arial" w:hAnsi="Arial" w:cs="Arial"/>
                <w:sz w:val="16"/>
                <w:szCs w:val="16"/>
              </w:rPr>
            </w:pPr>
            <w:r w:rsidRPr="006D52A9">
              <w:rPr>
                <w:rFonts w:ascii="Arial" w:hAnsi="Arial" w:cs="Arial"/>
                <w:sz w:val="16"/>
                <w:szCs w:val="16"/>
              </w:rPr>
              <w:t>Tacrograf</w:t>
            </w:r>
          </w:p>
        </w:tc>
        <w:tc>
          <w:tcPr>
            <w:tcW w:w="894" w:type="pct"/>
          </w:tcPr>
          <w:p w14:paraId="6F49F8EF" w14:textId="77777777" w:rsidR="00D63B70" w:rsidRPr="006D52A9"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03DFD387" w14:textId="77777777" w:rsidR="00D63B70" w:rsidRPr="006D52A9" w:rsidDel="00280CBF" w:rsidRDefault="00D63B70" w:rsidP="00D63B70">
            <w:pPr>
              <w:rPr>
                <w:rFonts w:ascii="Arial" w:hAnsi="Arial" w:cs="Arial"/>
                <w:sz w:val="16"/>
                <w:szCs w:val="16"/>
              </w:rPr>
            </w:pPr>
          </w:p>
        </w:tc>
        <w:tc>
          <w:tcPr>
            <w:tcW w:w="499" w:type="pct"/>
          </w:tcPr>
          <w:p w14:paraId="3CC28855" w14:textId="77777777" w:rsidR="00D63B70" w:rsidRPr="006D52A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0DF4F7C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2B8116BC" w14:textId="77777777" w:rsidTr="00A91628">
        <w:tblPrEx>
          <w:tblBorders>
            <w:top w:val="single" w:sz="4" w:space="0" w:color="auto"/>
          </w:tblBorders>
        </w:tblPrEx>
        <w:trPr>
          <w:cantSplit/>
          <w:tblCellSpacing w:w="22" w:type="dxa"/>
        </w:trPr>
        <w:tc>
          <w:tcPr>
            <w:tcW w:w="508" w:type="pct"/>
          </w:tcPr>
          <w:p w14:paraId="3EF1EB83" w14:textId="77777777" w:rsidR="00D63B70" w:rsidRPr="006D52A9" w:rsidDel="00280CBF" w:rsidRDefault="00D63B70" w:rsidP="00D63B70">
            <w:pPr>
              <w:rPr>
                <w:rFonts w:ascii="Arial" w:hAnsi="Arial" w:cs="Arial"/>
                <w:sz w:val="16"/>
                <w:szCs w:val="16"/>
              </w:rPr>
            </w:pPr>
          </w:p>
        </w:tc>
        <w:tc>
          <w:tcPr>
            <w:tcW w:w="943" w:type="pct"/>
          </w:tcPr>
          <w:p w14:paraId="61E4D256" w14:textId="77777777" w:rsidR="00D63B70" w:rsidRPr="006D52A9" w:rsidDel="00280CBF" w:rsidRDefault="00D63B70" w:rsidP="00D63B70">
            <w:pPr>
              <w:rPr>
                <w:rFonts w:ascii="Arial" w:hAnsi="Arial" w:cs="Arial"/>
                <w:sz w:val="16"/>
                <w:szCs w:val="16"/>
              </w:rPr>
            </w:pPr>
          </w:p>
        </w:tc>
        <w:tc>
          <w:tcPr>
            <w:tcW w:w="540" w:type="pct"/>
          </w:tcPr>
          <w:p w14:paraId="22660D9A" w14:textId="77777777" w:rsidR="00D63B70" w:rsidRPr="006D52A9" w:rsidDel="00280CBF" w:rsidRDefault="00D63B70" w:rsidP="00D63B70">
            <w:pPr>
              <w:rPr>
                <w:rFonts w:ascii="Arial" w:hAnsi="Arial" w:cs="Arial"/>
                <w:sz w:val="16"/>
                <w:szCs w:val="16"/>
              </w:rPr>
            </w:pPr>
          </w:p>
        </w:tc>
        <w:tc>
          <w:tcPr>
            <w:tcW w:w="591" w:type="pct"/>
          </w:tcPr>
          <w:p w14:paraId="4024970D"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APOTEX</w:t>
            </w:r>
          </w:p>
        </w:tc>
        <w:tc>
          <w:tcPr>
            <w:tcW w:w="894" w:type="pct"/>
          </w:tcPr>
          <w:p w14:paraId="56C399D9"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28F208A7" w14:textId="77777777" w:rsidR="00D63B70" w:rsidRPr="006D52A9" w:rsidDel="00280CBF" w:rsidRDefault="00D63B70" w:rsidP="00D63B70">
            <w:pPr>
              <w:rPr>
                <w:rFonts w:ascii="Arial" w:hAnsi="Arial" w:cs="Arial"/>
                <w:sz w:val="16"/>
                <w:szCs w:val="16"/>
              </w:rPr>
            </w:pPr>
          </w:p>
        </w:tc>
        <w:tc>
          <w:tcPr>
            <w:tcW w:w="499" w:type="pct"/>
          </w:tcPr>
          <w:p w14:paraId="6842BAF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630AAC4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2F9DE416" w14:textId="77777777" w:rsidTr="00A91628">
        <w:tblPrEx>
          <w:tblBorders>
            <w:top w:val="single" w:sz="4" w:space="0" w:color="auto"/>
          </w:tblBorders>
        </w:tblPrEx>
        <w:trPr>
          <w:cantSplit/>
          <w:tblCellSpacing w:w="22" w:type="dxa"/>
        </w:trPr>
        <w:tc>
          <w:tcPr>
            <w:tcW w:w="508" w:type="pct"/>
          </w:tcPr>
          <w:p w14:paraId="12520171" w14:textId="77777777" w:rsidR="00D63B70" w:rsidRPr="006D52A9" w:rsidDel="00280CBF" w:rsidRDefault="00D63B70" w:rsidP="00D63B70">
            <w:pPr>
              <w:rPr>
                <w:rFonts w:ascii="Arial" w:hAnsi="Arial" w:cs="Arial"/>
                <w:sz w:val="16"/>
                <w:szCs w:val="16"/>
              </w:rPr>
            </w:pPr>
          </w:p>
        </w:tc>
        <w:tc>
          <w:tcPr>
            <w:tcW w:w="943" w:type="pct"/>
          </w:tcPr>
          <w:p w14:paraId="6F0E090A" w14:textId="77777777" w:rsidR="00D63B70" w:rsidRPr="006D52A9" w:rsidDel="00280CBF" w:rsidRDefault="00D63B70" w:rsidP="00D63B70">
            <w:pPr>
              <w:rPr>
                <w:rFonts w:ascii="Arial" w:hAnsi="Arial" w:cs="Arial"/>
                <w:sz w:val="16"/>
                <w:szCs w:val="16"/>
              </w:rPr>
            </w:pPr>
          </w:p>
        </w:tc>
        <w:tc>
          <w:tcPr>
            <w:tcW w:w="540" w:type="pct"/>
          </w:tcPr>
          <w:p w14:paraId="087DBF4B" w14:textId="77777777" w:rsidR="00D63B70" w:rsidRPr="006D52A9" w:rsidDel="00280CBF" w:rsidRDefault="00D63B70" w:rsidP="00D63B70">
            <w:pPr>
              <w:rPr>
                <w:rFonts w:ascii="Arial" w:hAnsi="Arial" w:cs="Arial"/>
                <w:sz w:val="16"/>
                <w:szCs w:val="16"/>
              </w:rPr>
            </w:pPr>
          </w:p>
        </w:tc>
        <w:tc>
          <w:tcPr>
            <w:tcW w:w="591" w:type="pct"/>
          </w:tcPr>
          <w:p w14:paraId="5B20610F"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Sandoz</w:t>
            </w:r>
          </w:p>
        </w:tc>
        <w:tc>
          <w:tcPr>
            <w:tcW w:w="894" w:type="pct"/>
          </w:tcPr>
          <w:p w14:paraId="04385ADD"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01027EAC" w14:textId="77777777" w:rsidR="00D63B70" w:rsidRPr="006D52A9" w:rsidDel="00280CBF" w:rsidRDefault="00D63B70" w:rsidP="00D63B70">
            <w:pPr>
              <w:rPr>
                <w:rFonts w:ascii="Arial" w:hAnsi="Arial" w:cs="Arial"/>
                <w:sz w:val="16"/>
                <w:szCs w:val="16"/>
              </w:rPr>
            </w:pPr>
          </w:p>
        </w:tc>
        <w:tc>
          <w:tcPr>
            <w:tcW w:w="499" w:type="pct"/>
          </w:tcPr>
          <w:p w14:paraId="57C22A4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4EDDD76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1136F353" w14:textId="77777777" w:rsidTr="00A91628">
        <w:tblPrEx>
          <w:tblBorders>
            <w:top w:val="single" w:sz="4" w:space="0" w:color="auto"/>
          </w:tblBorders>
        </w:tblPrEx>
        <w:trPr>
          <w:cantSplit/>
          <w:tblCellSpacing w:w="22" w:type="dxa"/>
        </w:trPr>
        <w:tc>
          <w:tcPr>
            <w:tcW w:w="508" w:type="pct"/>
          </w:tcPr>
          <w:p w14:paraId="5743ED04" w14:textId="77777777" w:rsidR="00D63B70" w:rsidRPr="006D52A9" w:rsidDel="00280CBF" w:rsidRDefault="00D63B70" w:rsidP="00D63B70">
            <w:pPr>
              <w:rPr>
                <w:rFonts w:ascii="Arial" w:hAnsi="Arial" w:cs="Arial"/>
                <w:sz w:val="16"/>
                <w:szCs w:val="16"/>
              </w:rPr>
            </w:pPr>
          </w:p>
        </w:tc>
        <w:tc>
          <w:tcPr>
            <w:tcW w:w="943" w:type="pct"/>
          </w:tcPr>
          <w:p w14:paraId="63E8A82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0.5 mg (once daily prolonged release)</w:t>
            </w:r>
          </w:p>
        </w:tc>
        <w:tc>
          <w:tcPr>
            <w:tcW w:w="540" w:type="pct"/>
          </w:tcPr>
          <w:p w14:paraId="6F883AC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844F21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ADVAGRAF XL</w:t>
            </w:r>
          </w:p>
        </w:tc>
        <w:tc>
          <w:tcPr>
            <w:tcW w:w="894" w:type="pct"/>
          </w:tcPr>
          <w:p w14:paraId="68081C9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1A3CDA11" w14:textId="77777777" w:rsidR="00D63B70" w:rsidRPr="006D52A9" w:rsidDel="00280CBF" w:rsidRDefault="00D63B70" w:rsidP="00D63B70">
            <w:pPr>
              <w:rPr>
                <w:rFonts w:ascii="Arial" w:hAnsi="Arial" w:cs="Arial"/>
                <w:sz w:val="16"/>
                <w:szCs w:val="16"/>
              </w:rPr>
            </w:pPr>
          </w:p>
        </w:tc>
        <w:tc>
          <w:tcPr>
            <w:tcW w:w="499" w:type="pct"/>
          </w:tcPr>
          <w:p w14:paraId="2B868D8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63F0353B"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5F535F82" w14:textId="77777777" w:rsidTr="00A91628">
        <w:tblPrEx>
          <w:tblBorders>
            <w:top w:val="single" w:sz="4" w:space="0" w:color="auto"/>
          </w:tblBorders>
        </w:tblPrEx>
        <w:trPr>
          <w:cantSplit/>
          <w:tblCellSpacing w:w="22" w:type="dxa"/>
        </w:trPr>
        <w:tc>
          <w:tcPr>
            <w:tcW w:w="508" w:type="pct"/>
          </w:tcPr>
          <w:p w14:paraId="0421774C" w14:textId="77777777" w:rsidR="00D63B70" w:rsidRPr="006D52A9" w:rsidDel="00280CBF" w:rsidRDefault="00D63B70" w:rsidP="00D63B70">
            <w:pPr>
              <w:rPr>
                <w:rFonts w:ascii="Arial" w:hAnsi="Arial" w:cs="Arial"/>
                <w:sz w:val="16"/>
                <w:szCs w:val="16"/>
              </w:rPr>
            </w:pPr>
          </w:p>
        </w:tc>
        <w:tc>
          <w:tcPr>
            <w:tcW w:w="943" w:type="pct"/>
          </w:tcPr>
          <w:p w14:paraId="12EA3E4F"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0.75 mg</w:t>
            </w:r>
          </w:p>
        </w:tc>
        <w:tc>
          <w:tcPr>
            <w:tcW w:w="540" w:type="pct"/>
          </w:tcPr>
          <w:p w14:paraId="3F6509C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2360B04"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Sandoz</w:t>
            </w:r>
          </w:p>
        </w:tc>
        <w:tc>
          <w:tcPr>
            <w:tcW w:w="894" w:type="pct"/>
          </w:tcPr>
          <w:p w14:paraId="0E51508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608A133E" w14:textId="77777777" w:rsidR="00D63B70" w:rsidRPr="006D52A9" w:rsidDel="00280CBF" w:rsidRDefault="00D63B70" w:rsidP="00D63B70">
            <w:pPr>
              <w:rPr>
                <w:rFonts w:ascii="Arial" w:hAnsi="Arial" w:cs="Arial"/>
                <w:sz w:val="16"/>
                <w:szCs w:val="16"/>
              </w:rPr>
            </w:pPr>
          </w:p>
        </w:tc>
        <w:tc>
          <w:tcPr>
            <w:tcW w:w="499" w:type="pct"/>
          </w:tcPr>
          <w:p w14:paraId="2C111C13"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276EC39F"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6AC20469" w14:textId="77777777" w:rsidTr="00A91628">
        <w:tblPrEx>
          <w:tblBorders>
            <w:top w:val="single" w:sz="4" w:space="0" w:color="auto"/>
          </w:tblBorders>
        </w:tblPrEx>
        <w:trPr>
          <w:cantSplit/>
          <w:tblCellSpacing w:w="22" w:type="dxa"/>
        </w:trPr>
        <w:tc>
          <w:tcPr>
            <w:tcW w:w="508" w:type="pct"/>
          </w:tcPr>
          <w:p w14:paraId="1C83F9A3" w14:textId="77777777" w:rsidR="00D63B70" w:rsidRPr="006D52A9" w:rsidDel="00280CBF" w:rsidRDefault="00D63B70" w:rsidP="00D63B70">
            <w:pPr>
              <w:rPr>
                <w:rFonts w:ascii="Arial" w:hAnsi="Arial" w:cs="Arial"/>
                <w:sz w:val="16"/>
                <w:szCs w:val="16"/>
              </w:rPr>
            </w:pPr>
          </w:p>
        </w:tc>
        <w:tc>
          <w:tcPr>
            <w:tcW w:w="943" w:type="pct"/>
          </w:tcPr>
          <w:p w14:paraId="0E0C9BE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1 mg</w:t>
            </w:r>
          </w:p>
        </w:tc>
        <w:tc>
          <w:tcPr>
            <w:tcW w:w="540" w:type="pct"/>
          </w:tcPr>
          <w:p w14:paraId="14C60E3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D1D16C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Pacrolim</w:t>
            </w:r>
          </w:p>
        </w:tc>
        <w:tc>
          <w:tcPr>
            <w:tcW w:w="894" w:type="pct"/>
          </w:tcPr>
          <w:p w14:paraId="2FFF70E3"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759A8ED3" w14:textId="77777777" w:rsidR="00D63B70" w:rsidRPr="006D52A9" w:rsidDel="00280CBF" w:rsidRDefault="00D63B70" w:rsidP="00D63B70">
            <w:pPr>
              <w:rPr>
                <w:rFonts w:ascii="Arial" w:hAnsi="Arial" w:cs="Arial"/>
                <w:sz w:val="16"/>
                <w:szCs w:val="16"/>
              </w:rPr>
            </w:pPr>
          </w:p>
        </w:tc>
        <w:tc>
          <w:tcPr>
            <w:tcW w:w="499" w:type="pct"/>
          </w:tcPr>
          <w:p w14:paraId="4566371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7D5CC36C"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454F6887" w14:textId="77777777" w:rsidTr="00A91628">
        <w:tblPrEx>
          <w:tblBorders>
            <w:top w:val="single" w:sz="4" w:space="0" w:color="auto"/>
          </w:tblBorders>
        </w:tblPrEx>
        <w:trPr>
          <w:cantSplit/>
          <w:tblCellSpacing w:w="22" w:type="dxa"/>
        </w:trPr>
        <w:tc>
          <w:tcPr>
            <w:tcW w:w="508" w:type="pct"/>
          </w:tcPr>
          <w:p w14:paraId="30302BDA" w14:textId="77777777" w:rsidR="00D63B70" w:rsidRPr="006D52A9" w:rsidDel="00280CBF" w:rsidRDefault="00D63B70" w:rsidP="00D63B70">
            <w:pPr>
              <w:rPr>
                <w:rFonts w:ascii="Arial" w:hAnsi="Arial" w:cs="Arial"/>
                <w:sz w:val="16"/>
                <w:szCs w:val="16"/>
              </w:rPr>
            </w:pPr>
          </w:p>
        </w:tc>
        <w:tc>
          <w:tcPr>
            <w:tcW w:w="943" w:type="pct"/>
          </w:tcPr>
          <w:p w14:paraId="430F1FC3" w14:textId="77777777" w:rsidR="00D63B70" w:rsidRPr="006D52A9" w:rsidDel="00280CBF" w:rsidRDefault="00D63B70" w:rsidP="00D63B70">
            <w:pPr>
              <w:rPr>
                <w:rFonts w:ascii="Arial" w:hAnsi="Arial" w:cs="Arial"/>
                <w:sz w:val="16"/>
                <w:szCs w:val="16"/>
              </w:rPr>
            </w:pPr>
          </w:p>
        </w:tc>
        <w:tc>
          <w:tcPr>
            <w:tcW w:w="540" w:type="pct"/>
          </w:tcPr>
          <w:p w14:paraId="36426650" w14:textId="77777777" w:rsidR="00D63B70" w:rsidRPr="006D52A9" w:rsidDel="00280CBF" w:rsidRDefault="00D63B70" w:rsidP="00D63B70">
            <w:pPr>
              <w:rPr>
                <w:rFonts w:ascii="Arial" w:hAnsi="Arial" w:cs="Arial"/>
                <w:sz w:val="16"/>
                <w:szCs w:val="16"/>
              </w:rPr>
            </w:pPr>
          </w:p>
        </w:tc>
        <w:tc>
          <w:tcPr>
            <w:tcW w:w="591" w:type="pct"/>
          </w:tcPr>
          <w:p w14:paraId="2C5BE92D"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Pharmacor Tacrolimus 1</w:t>
            </w:r>
          </w:p>
        </w:tc>
        <w:tc>
          <w:tcPr>
            <w:tcW w:w="894" w:type="pct"/>
          </w:tcPr>
          <w:p w14:paraId="5D0D1C3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5B006503" w14:textId="77777777" w:rsidR="00D63B70" w:rsidRPr="006D52A9" w:rsidDel="00280CBF" w:rsidRDefault="00D63B70" w:rsidP="00D63B70">
            <w:pPr>
              <w:rPr>
                <w:rFonts w:ascii="Arial" w:hAnsi="Arial" w:cs="Arial"/>
                <w:sz w:val="16"/>
                <w:szCs w:val="16"/>
              </w:rPr>
            </w:pPr>
          </w:p>
        </w:tc>
        <w:tc>
          <w:tcPr>
            <w:tcW w:w="499" w:type="pct"/>
          </w:tcPr>
          <w:p w14:paraId="393007AC"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02A31453"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598539F7" w14:textId="77777777" w:rsidTr="00A91628">
        <w:tblPrEx>
          <w:tblBorders>
            <w:top w:val="single" w:sz="4" w:space="0" w:color="auto"/>
          </w:tblBorders>
        </w:tblPrEx>
        <w:trPr>
          <w:cantSplit/>
          <w:tblCellSpacing w:w="22" w:type="dxa"/>
        </w:trPr>
        <w:tc>
          <w:tcPr>
            <w:tcW w:w="508" w:type="pct"/>
          </w:tcPr>
          <w:p w14:paraId="1269DB9D" w14:textId="77777777" w:rsidR="00D63B70" w:rsidRPr="006D52A9" w:rsidDel="00280CBF" w:rsidRDefault="00D63B70" w:rsidP="00D63B70">
            <w:pPr>
              <w:rPr>
                <w:rFonts w:ascii="Arial" w:hAnsi="Arial" w:cs="Arial"/>
                <w:sz w:val="16"/>
                <w:szCs w:val="16"/>
              </w:rPr>
            </w:pPr>
          </w:p>
        </w:tc>
        <w:tc>
          <w:tcPr>
            <w:tcW w:w="943" w:type="pct"/>
          </w:tcPr>
          <w:p w14:paraId="021AD4FB" w14:textId="77777777" w:rsidR="00D63B70" w:rsidRPr="006D52A9" w:rsidDel="00280CBF" w:rsidRDefault="00D63B70" w:rsidP="00D63B70">
            <w:pPr>
              <w:rPr>
                <w:rFonts w:ascii="Arial" w:hAnsi="Arial" w:cs="Arial"/>
                <w:sz w:val="16"/>
                <w:szCs w:val="16"/>
              </w:rPr>
            </w:pPr>
          </w:p>
        </w:tc>
        <w:tc>
          <w:tcPr>
            <w:tcW w:w="540" w:type="pct"/>
          </w:tcPr>
          <w:p w14:paraId="5A694479" w14:textId="77777777" w:rsidR="00D63B70" w:rsidRPr="006D52A9" w:rsidDel="00280CBF" w:rsidRDefault="00D63B70" w:rsidP="00D63B70">
            <w:pPr>
              <w:rPr>
                <w:rFonts w:ascii="Arial" w:hAnsi="Arial" w:cs="Arial"/>
                <w:sz w:val="16"/>
                <w:szCs w:val="16"/>
              </w:rPr>
            </w:pPr>
          </w:p>
        </w:tc>
        <w:tc>
          <w:tcPr>
            <w:tcW w:w="591" w:type="pct"/>
          </w:tcPr>
          <w:p w14:paraId="1374C502"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Prograf</w:t>
            </w:r>
          </w:p>
        </w:tc>
        <w:tc>
          <w:tcPr>
            <w:tcW w:w="894" w:type="pct"/>
          </w:tcPr>
          <w:p w14:paraId="01B6893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52B9B766" w14:textId="77777777" w:rsidR="00D63B70" w:rsidRPr="006D52A9" w:rsidDel="00280CBF" w:rsidRDefault="00D63B70" w:rsidP="00D63B70">
            <w:pPr>
              <w:rPr>
                <w:rFonts w:ascii="Arial" w:hAnsi="Arial" w:cs="Arial"/>
                <w:sz w:val="16"/>
                <w:szCs w:val="16"/>
              </w:rPr>
            </w:pPr>
          </w:p>
        </w:tc>
        <w:tc>
          <w:tcPr>
            <w:tcW w:w="499" w:type="pct"/>
          </w:tcPr>
          <w:p w14:paraId="39BDB06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3D2542EC"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3AE9E72E" w14:textId="77777777" w:rsidTr="00A91628">
        <w:tblPrEx>
          <w:tblBorders>
            <w:top w:val="single" w:sz="4" w:space="0" w:color="auto"/>
          </w:tblBorders>
        </w:tblPrEx>
        <w:trPr>
          <w:cantSplit/>
          <w:tblCellSpacing w:w="22" w:type="dxa"/>
        </w:trPr>
        <w:tc>
          <w:tcPr>
            <w:tcW w:w="508" w:type="pct"/>
          </w:tcPr>
          <w:p w14:paraId="670D9796" w14:textId="77777777" w:rsidR="00D63B70" w:rsidRPr="006D52A9" w:rsidDel="00280CBF" w:rsidRDefault="00D63B70" w:rsidP="00D63B70">
            <w:pPr>
              <w:rPr>
                <w:rFonts w:ascii="Arial" w:hAnsi="Arial" w:cs="Arial"/>
                <w:sz w:val="16"/>
                <w:szCs w:val="16"/>
              </w:rPr>
            </w:pPr>
          </w:p>
        </w:tc>
        <w:tc>
          <w:tcPr>
            <w:tcW w:w="943" w:type="pct"/>
          </w:tcPr>
          <w:p w14:paraId="0F7D540D" w14:textId="77777777" w:rsidR="00D63B70" w:rsidRPr="006D52A9" w:rsidDel="00280CBF" w:rsidRDefault="00D63B70" w:rsidP="00D63B70">
            <w:pPr>
              <w:rPr>
                <w:rFonts w:ascii="Arial" w:hAnsi="Arial" w:cs="Arial"/>
                <w:sz w:val="16"/>
                <w:szCs w:val="16"/>
              </w:rPr>
            </w:pPr>
          </w:p>
        </w:tc>
        <w:tc>
          <w:tcPr>
            <w:tcW w:w="540" w:type="pct"/>
          </w:tcPr>
          <w:p w14:paraId="560E222E" w14:textId="77777777" w:rsidR="00D63B70" w:rsidRPr="006D52A9" w:rsidDel="00280CBF" w:rsidRDefault="00D63B70" w:rsidP="00D63B70">
            <w:pPr>
              <w:rPr>
                <w:rFonts w:ascii="Arial" w:hAnsi="Arial" w:cs="Arial"/>
                <w:sz w:val="16"/>
                <w:szCs w:val="16"/>
              </w:rPr>
            </w:pPr>
          </w:p>
        </w:tc>
        <w:tc>
          <w:tcPr>
            <w:tcW w:w="591" w:type="pct"/>
          </w:tcPr>
          <w:p w14:paraId="77422609" w14:textId="77777777" w:rsidR="00D63B70" w:rsidRPr="006D52A9" w:rsidRDefault="00D63B70" w:rsidP="00D63B70">
            <w:pPr>
              <w:rPr>
                <w:rFonts w:ascii="Arial" w:hAnsi="Arial" w:cs="Arial"/>
                <w:sz w:val="16"/>
                <w:szCs w:val="16"/>
              </w:rPr>
            </w:pPr>
            <w:r w:rsidRPr="006D52A9">
              <w:rPr>
                <w:rFonts w:ascii="Arial" w:hAnsi="Arial" w:cs="Arial"/>
                <w:sz w:val="16"/>
                <w:szCs w:val="16"/>
              </w:rPr>
              <w:t>Tacrograf</w:t>
            </w:r>
          </w:p>
        </w:tc>
        <w:tc>
          <w:tcPr>
            <w:tcW w:w="894" w:type="pct"/>
          </w:tcPr>
          <w:p w14:paraId="3FBA139E" w14:textId="77777777" w:rsidR="00D63B70" w:rsidRPr="006D52A9"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608F610C" w14:textId="77777777" w:rsidR="00D63B70" w:rsidRPr="006D52A9" w:rsidDel="00280CBF" w:rsidRDefault="00D63B70" w:rsidP="00D63B70">
            <w:pPr>
              <w:rPr>
                <w:rFonts w:ascii="Arial" w:hAnsi="Arial" w:cs="Arial"/>
                <w:sz w:val="16"/>
                <w:szCs w:val="16"/>
              </w:rPr>
            </w:pPr>
          </w:p>
        </w:tc>
        <w:tc>
          <w:tcPr>
            <w:tcW w:w="499" w:type="pct"/>
          </w:tcPr>
          <w:p w14:paraId="778B0297" w14:textId="77777777" w:rsidR="00D63B70" w:rsidRPr="006D52A9"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2AEF570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43745106" w14:textId="77777777" w:rsidTr="00A91628">
        <w:tblPrEx>
          <w:tblBorders>
            <w:top w:val="single" w:sz="4" w:space="0" w:color="auto"/>
          </w:tblBorders>
        </w:tblPrEx>
        <w:trPr>
          <w:cantSplit/>
          <w:tblCellSpacing w:w="22" w:type="dxa"/>
        </w:trPr>
        <w:tc>
          <w:tcPr>
            <w:tcW w:w="508" w:type="pct"/>
          </w:tcPr>
          <w:p w14:paraId="3A56A86D" w14:textId="77777777" w:rsidR="00D63B70" w:rsidRPr="006D52A9" w:rsidDel="00280CBF" w:rsidRDefault="00D63B70" w:rsidP="00D63B70">
            <w:pPr>
              <w:rPr>
                <w:rFonts w:ascii="Arial" w:hAnsi="Arial" w:cs="Arial"/>
                <w:sz w:val="16"/>
                <w:szCs w:val="16"/>
              </w:rPr>
            </w:pPr>
          </w:p>
        </w:tc>
        <w:tc>
          <w:tcPr>
            <w:tcW w:w="943" w:type="pct"/>
          </w:tcPr>
          <w:p w14:paraId="298839D6" w14:textId="77777777" w:rsidR="00D63B70" w:rsidRPr="006D52A9" w:rsidDel="00280CBF" w:rsidRDefault="00D63B70" w:rsidP="00D63B70">
            <w:pPr>
              <w:rPr>
                <w:rFonts w:ascii="Arial" w:hAnsi="Arial" w:cs="Arial"/>
                <w:sz w:val="16"/>
                <w:szCs w:val="16"/>
              </w:rPr>
            </w:pPr>
          </w:p>
        </w:tc>
        <w:tc>
          <w:tcPr>
            <w:tcW w:w="540" w:type="pct"/>
          </w:tcPr>
          <w:p w14:paraId="6A1F9138" w14:textId="77777777" w:rsidR="00D63B70" w:rsidRPr="006D52A9" w:rsidDel="00280CBF" w:rsidRDefault="00D63B70" w:rsidP="00D63B70">
            <w:pPr>
              <w:rPr>
                <w:rFonts w:ascii="Arial" w:hAnsi="Arial" w:cs="Arial"/>
                <w:sz w:val="16"/>
                <w:szCs w:val="16"/>
              </w:rPr>
            </w:pPr>
          </w:p>
        </w:tc>
        <w:tc>
          <w:tcPr>
            <w:tcW w:w="591" w:type="pct"/>
          </w:tcPr>
          <w:p w14:paraId="5813005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APOTEX</w:t>
            </w:r>
          </w:p>
        </w:tc>
        <w:tc>
          <w:tcPr>
            <w:tcW w:w="894" w:type="pct"/>
          </w:tcPr>
          <w:p w14:paraId="6BFFD74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50F28CF1" w14:textId="77777777" w:rsidR="00D63B70" w:rsidRPr="006D52A9" w:rsidDel="00280CBF" w:rsidRDefault="00D63B70" w:rsidP="00D63B70">
            <w:pPr>
              <w:rPr>
                <w:rFonts w:ascii="Arial" w:hAnsi="Arial" w:cs="Arial"/>
                <w:sz w:val="16"/>
                <w:szCs w:val="16"/>
              </w:rPr>
            </w:pPr>
          </w:p>
        </w:tc>
        <w:tc>
          <w:tcPr>
            <w:tcW w:w="499" w:type="pct"/>
          </w:tcPr>
          <w:p w14:paraId="0415E4C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56F656FF"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54703E69" w14:textId="77777777" w:rsidTr="00A91628">
        <w:tblPrEx>
          <w:tblBorders>
            <w:top w:val="single" w:sz="4" w:space="0" w:color="auto"/>
          </w:tblBorders>
        </w:tblPrEx>
        <w:trPr>
          <w:cantSplit/>
          <w:tblCellSpacing w:w="22" w:type="dxa"/>
        </w:trPr>
        <w:tc>
          <w:tcPr>
            <w:tcW w:w="508" w:type="pct"/>
          </w:tcPr>
          <w:p w14:paraId="60552B98" w14:textId="77777777" w:rsidR="00D63B70" w:rsidRPr="006D52A9" w:rsidDel="00280CBF" w:rsidRDefault="00D63B70" w:rsidP="00D63B70">
            <w:pPr>
              <w:rPr>
                <w:rFonts w:ascii="Arial" w:hAnsi="Arial" w:cs="Arial"/>
                <w:sz w:val="16"/>
                <w:szCs w:val="16"/>
              </w:rPr>
            </w:pPr>
          </w:p>
        </w:tc>
        <w:tc>
          <w:tcPr>
            <w:tcW w:w="943" w:type="pct"/>
          </w:tcPr>
          <w:p w14:paraId="3E764CF2" w14:textId="77777777" w:rsidR="00D63B70" w:rsidRPr="006D52A9" w:rsidDel="00280CBF" w:rsidRDefault="00D63B70" w:rsidP="00D63B70">
            <w:pPr>
              <w:rPr>
                <w:rFonts w:ascii="Arial" w:hAnsi="Arial" w:cs="Arial"/>
                <w:sz w:val="16"/>
                <w:szCs w:val="16"/>
              </w:rPr>
            </w:pPr>
          </w:p>
        </w:tc>
        <w:tc>
          <w:tcPr>
            <w:tcW w:w="540" w:type="pct"/>
          </w:tcPr>
          <w:p w14:paraId="5B72BAE0" w14:textId="77777777" w:rsidR="00D63B70" w:rsidRPr="006D52A9" w:rsidDel="00280CBF" w:rsidRDefault="00D63B70" w:rsidP="00D63B70">
            <w:pPr>
              <w:rPr>
                <w:rFonts w:ascii="Arial" w:hAnsi="Arial" w:cs="Arial"/>
                <w:sz w:val="16"/>
                <w:szCs w:val="16"/>
              </w:rPr>
            </w:pPr>
          </w:p>
        </w:tc>
        <w:tc>
          <w:tcPr>
            <w:tcW w:w="591" w:type="pct"/>
          </w:tcPr>
          <w:p w14:paraId="5B7810D8"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Sandoz</w:t>
            </w:r>
          </w:p>
        </w:tc>
        <w:tc>
          <w:tcPr>
            <w:tcW w:w="894" w:type="pct"/>
          </w:tcPr>
          <w:p w14:paraId="282B16C5"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1815576A" w14:textId="77777777" w:rsidR="00D63B70" w:rsidRPr="006D52A9" w:rsidDel="00280CBF" w:rsidRDefault="00D63B70" w:rsidP="00D63B70">
            <w:pPr>
              <w:rPr>
                <w:rFonts w:ascii="Arial" w:hAnsi="Arial" w:cs="Arial"/>
                <w:sz w:val="16"/>
                <w:szCs w:val="16"/>
              </w:rPr>
            </w:pPr>
          </w:p>
        </w:tc>
        <w:tc>
          <w:tcPr>
            <w:tcW w:w="499" w:type="pct"/>
          </w:tcPr>
          <w:p w14:paraId="05C73AC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4727944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1D9AB8A5" w14:textId="77777777" w:rsidTr="00A91628">
        <w:tblPrEx>
          <w:tblBorders>
            <w:top w:val="single" w:sz="4" w:space="0" w:color="auto"/>
          </w:tblBorders>
        </w:tblPrEx>
        <w:trPr>
          <w:cantSplit/>
          <w:tblCellSpacing w:w="22" w:type="dxa"/>
        </w:trPr>
        <w:tc>
          <w:tcPr>
            <w:tcW w:w="508" w:type="pct"/>
          </w:tcPr>
          <w:p w14:paraId="71171B15" w14:textId="77777777" w:rsidR="00D63B70" w:rsidRPr="006D52A9" w:rsidDel="00280CBF" w:rsidRDefault="00D63B70" w:rsidP="00D63B70">
            <w:pPr>
              <w:rPr>
                <w:rFonts w:ascii="Arial" w:hAnsi="Arial" w:cs="Arial"/>
                <w:sz w:val="16"/>
                <w:szCs w:val="16"/>
              </w:rPr>
            </w:pPr>
          </w:p>
        </w:tc>
        <w:tc>
          <w:tcPr>
            <w:tcW w:w="943" w:type="pct"/>
          </w:tcPr>
          <w:p w14:paraId="1E76E5C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1 mg (once daily prolonged release)</w:t>
            </w:r>
          </w:p>
        </w:tc>
        <w:tc>
          <w:tcPr>
            <w:tcW w:w="540" w:type="pct"/>
          </w:tcPr>
          <w:p w14:paraId="52599B32"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2A3A4D4"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ADVAGRAF XL</w:t>
            </w:r>
          </w:p>
        </w:tc>
        <w:tc>
          <w:tcPr>
            <w:tcW w:w="894" w:type="pct"/>
          </w:tcPr>
          <w:p w14:paraId="6AF746C9"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2B636AD5" w14:textId="77777777" w:rsidR="00D63B70" w:rsidRPr="006D52A9" w:rsidDel="00280CBF" w:rsidRDefault="00D63B70" w:rsidP="00D63B70">
            <w:pPr>
              <w:rPr>
                <w:rFonts w:ascii="Arial" w:hAnsi="Arial" w:cs="Arial"/>
                <w:sz w:val="16"/>
                <w:szCs w:val="16"/>
              </w:rPr>
            </w:pPr>
          </w:p>
        </w:tc>
        <w:tc>
          <w:tcPr>
            <w:tcW w:w="499" w:type="pct"/>
          </w:tcPr>
          <w:p w14:paraId="200630B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2888A7D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34827B57" w14:textId="77777777" w:rsidTr="00A91628">
        <w:tblPrEx>
          <w:tblBorders>
            <w:top w:val="single" w:sz="4" w:space="0" w:color="auto"/>
          </w:tblBorders>
        </w:tblPrEx>
        <w:trPr>
          <w:cantSplit/>
          <w:tblCellSpacing w:w="22" w:type="dxa"/>
        </w:trPr>
        <w:tc>
          <w:tcPr>
            <w:tcW w:w="508" w:type="pct"/>
          </w:tcPr>
          <w:p w14:paraId="53AA62DD" w14:textId="77777777" w:rsidR="00D63B70" w:rsidRPr="006D52A9" w:rsidDel="00280CBF" w:rsidRDefault="00D63B70" w:rsidP="00D63B70">
            <w:pPr>
              <w:rPr>
                <w:rFonts w:ascii="Arial" w:hAnsi="Arial" w:cs="Arial"/>
                <w:sz w:val="16"/>
                <w:szCs w:val="16"/>
              </w:rPr>
            </w:pPr>
          </w:p>
        </w:tc>
        <w:tc>
          <w:tcPr>
            <w:tcW w:w="943" w:type="pct"/>
          </w:tcPr>
          <w:p w14:paraId="4A9F98B8"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2 mg</w:t>
            </w:r>
          </w:p>
        </w:tc>
        <w:tc>
          <w:tcPr>
            <w:tcW w:w="540" w:type="pct"/>
          </w:tcPr>
          <w:p w14:paraId="67B29BE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A144E6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Sandoz</w:t>
            </w:r>
          </w:p>
        </w:tc>
        <w:tc>
          <w:tcPr>
            <w:tcW w:w="894" w:type="pct"/>
          </w:tcPr>
          <w:p w14:paraId="080FA813"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5BAF834B" w14:textId="77777777" w:rsidR="00D63B70" w:rsidRPr="006D52A9" w:rsidDel="00280CBF" w:rsidRDefault="00D63B70" w:rsidP="00D63B70">
            <w:pPr>
              <w:rPr>
                <w:rFonts w:ascii="Arial" w:hAnsi="Arial" w:cs="Arial"/>
                <w:sz w:val="16"/>
                <w:szCs w:val="16"/>
              </w:rPr>
            </w:pPr>
          </w:p>
        </w:tc>
        <w:tc>
          <w:tcPr>
            <w:tcW w:w="499" w:type="pct"/>
          </w:tcPr>
          <w:p w14:paraId="774CBC65"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200</w:t>
            </w:r>
          </w:p>
        </w:tc>
        <w:tc>
          <w:tcPr>
            <w:tcW w:w="502" w:type="pct"/>
          </w:tcPr>
          <w:p w14:paraId="55E45AF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60118510" w14:textId="77777777" w:rsidTr="00A91628">
        <w:tblPrEx>
          <w:tblBorders>
            <w:top w:val="single" w:sz="4" w:space="0" w:color="auto"/>
          </w:tblBorders>
        </w:tblPrEx>
        <w:trPr>
          <w:cantSplit/>
          <w:tblCellSpacing w:w="22" w:type="dxa"/>
        </w:trPr>
        <w:tc>
          <w:tcPr>
            <w:tcW w:w="508" w:type="pct"/>
          </w:tcPr>
          <w:p w14:paraId="0CC288A2" w14:textId="77777777" w:rsidR="00D63B70" w:rsidRPr="006D52A9" w:rsidDel="00280CBF" w:rsidRDefault="00D63B70" w:rsidP="00D63B70">
            <w:pPr>
              <w:rPr>
                <w:rFonts w:ascii="Arial" w:hAnsi="Arial" w:cs="Arial"/>
                <w:sz w:val="16"/>
                <w:szCs w:val="16"/>
              </w:rPr>
            </w:pPr>
          </w:p>
        </w:tc>
        <w:tc>
          <w:tcPr>
            <w:tcW w:w="943" w:type="pct"/>
          </w:tcPr>
          <w:p w14:paraId="1E006208" w14:textId="77777777" w:rsidR="00D63B70" w:rsidRPr="006D52A9" w:rsidRDefault="00D63B70" w:rsidP="00D63B70">
            <w:pPr>
              <w:rPr>
                <w:rFonts w:ascii="Arial" w:hAnsi="Arial" w:cs="Arial"/>
                <w:sz w:val="16"/>
                <w:szCs w:val="16"/>
              </w:rPr>
            </w:pPr>
            <w:r w:rsidRPr="006D52A9">
              <w:rPr>
                <w:rFonts w:ascii="Arial" w:hAnsi="Arial" w:cs="Arial"/>
                <w:sz w:val="16"/>
                <w:szCs w:val="16"/>
              </w:rPr>
              <w:t>Capsule 3 mg (once daily prolonged release)</w:t>
            </w:r>
          </w:p>
        </w:tc>
        <w:tc>
          <w:tcPr>
            <w:tcW w:w="540" w:type="pct"/>
          </w:tcPr>
          <w:p w14:paraId="0FBD82B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44C1D43" w14:textId="77777777" w:rsidR="00D63B70" w:rsidRPr="006D52A9" w:rsidRDefault="00D63B70" w:rsidP="00D63B70">
            <w:pPr>
              <w:rPr>
                <w:rFonts w:ascii="Arial" w:hAnsi="Arial" w:cs="Arial"/>
                <w:sz w:val="16"/>
                <w:szCs w:val="16"/>
              </w:rPr>
            </w:pPr>
            <w:r w:rsidRPr="006D52A9">
              <w:rPr>
                <w:rFonts w:ascii="Arial" w:hAnsi="Arial" w:cs="Arial"/>
                <w:sz w:val="16"/>
                <w:szCs w:val="16"/>
              </w:rPr>
              <w:t>ADVAGRAF XL</w:t>
            </w:r>
          </w:p>
        </w:tc>
        <w:tc>
          <w:tcPr>
            <w:tcW w:w="894" w:type="pct"/>
          </w:tcPr>
          <w:p w14:paraId="270B866E" w14:textId="77777777" w:rsidR="00D63B70" w:rsidRPr="006D52A9"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003103C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 </w:t>
            </w:r>
          </w:p>
        </w:tc>
        <w:tc>
          <w:tcPr>
            <w:tcW w:w="499" w:type="pct"/>
          </w:tcPr>
          <w:p w14:paraId="736BA124" w14:textId="77777777" w:rsidR="00D63B70" w:rsidRPr="006D52A9"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0311E1D6" w14:textId="77777777" w:rsidR="00D63B70" w:rsidRPr="006D52A9" w:rsidRDefault="00D63B70" w:rsidP="00D63B70">
            <w:pPr>
              <w:rPr>
                <w:rFonts w:ascii="Arial" w:hAnsi="Arial" w:cs="Arial"/>
                <w:sz w:val="16"/>
                <w:szCs w:val="16"/>
              </w:rPr>
            </w:pPr>
            <w:r w:rsidRPr="006D52A9">
              <w:rPr>
                <w:rFonts w:ascii="Arial" w:hAnsi="Arial" w:cs="Arial"/>
                <w:sz w:val="16"/>
                <w:szCs w:val="16"/>
              </w:rPr>
              <w:t>3</w:t>
            </w:r>
          </w:p>
        </w:tc>
      </w:tr>
      <w:tr w:rsidR="00D63B70" w:rsidRPr="006D52A9" w:rsidDel="00280CBF" w14:paraId="101D33AF" w14:textId="77777777" w:rsidTr="00A91628">
        <w:tblPrEx>
          <w:tblBorders>
            <w:top w:val="single" w:sz="4" w:space="0" w:color="auto"/>
          </w:tblBorders>
        </w:tblPrEx>
        <w:trPr>
          <w:cantSplit/>
          <w:tblCellSpacing w:w="22" w:type="dxa"/>
        </w:trPr>
        <w:tc>
          <w:tcPr>
            <w:tcW w:w="508" w:type="pct"/>
          </w:tcPr>
          <w:p w14:paraId="1B2AAB1B" w14:textId="77777777" w:rsidR="00D63B70" w:rsidRPr="006D52A9" w:rsidDel="00280CBF" w:rsidRDefault="00D63B70" w:rsidP="00D63B70">
            <w:pPr>
              <w:rPr>
                <w:rFonts w:ascii="Arial" w:hAnsi="Arial" w:cs="Arial"/>
                <w:sz w:val="16"/>
                <w:szCs w:val="16"/>
              </w:rPr>
            </w:pPr>
          </w:p>
        </w:tc>
        <w:tc>
          <w:tcPr>
            <w:tcW w:w="943" w:type="pct"/>
          </w:tcPr>
          <w:p w14:paraId="4EF2F1B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5 mg</w:t>
            </w:r>
          </w:p>
        </w:tc>
        <w:tc>
          <w:tcPr>
            <w:tcW w:w="540" w:type="pct"/>
          </w:tcPr>
          <w:p w14:paraId="592EE6B2"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7551AD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Pacrolim</w:t>
            </w:r>
          </w:p>
        </w:tc>
        <w:tc>
          <w:tcPr>
            <w:tcW w:w="894" w:type="pct"/>
          </w:tcPr>
          <w:p w14:paraId="16F4BF8C"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46650BF1" w14:textId="77777777" w:rsidR="00D63B70" w:rsidRPr="006D52A9" w:rsidDel="00280CBF" w:rsidRDefault="00D63B70" w:rsidP="00D63B70">
            <w:pPr>
              <w:rPr>
                <w:rFonts w:ascii="Arial" w:hAnsi="Arial" w:cs="Arial"/>
                <w:sz w:val="16"/>
                <w:szCs w:val="16"/>
              </w:rPr>
            </w:pPr>
          </w:p>
        </w:tc>
        <w:tc>
          <w:tcPr>
            <w:tcW w:w="499" w:type="pct"/>
          </w:tcPr>
          <w:p w14:paraId="2D87EB3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5257DF45"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48970788" w14:textId="77777777" w:rsidTr="00A91628">
        <w:tblPrEx>
          <w:tblBorders>
            <w:top w:val="single" w:sz="4" w:space="0" w:color="auto"/>
          </w:tblBorders>
        </w:tblPrEx>
        <w:trPr>
          <w:cantSplit/>
          <w:tblCellSpacing w:w="22" w:type="dxa"/>
        </w:trPr>
        <w:tc>
          <w:tcPr>
            <w:tcW w:w="508" w:type="pct"/>
          </w:tcPr>
          <w:p w14:paraId="4B547D57" w14:textId="77777777" w:rsidR="00D63B70" w:rsidRPr="006D52A9" w:rsidDel="00280CBF" w:rsidRDefault="00D63B70" w:rsidP="00D63B70">
            <w:pPr>
              <w:rPr>
                <w:rFonts w:ascii="Arial" w:hAnsi="Arial" w:cs="Arial"/>
                <w:sz w:val="16"/>
                <w:szCs w:val="16"/>
              </w:rPr>
            </w:pPr>
          </w:p>
        </w:tc>
        <w:tc>
          <w:tcPr>
            <w:tcW w:w="943" w:type="pct"/>
          </w:tcPr>
          <w:p w14:paraId="0359585D" w14:textId="77777777" w:rsidR="00D63B70" w:rsidRPr="006D52A9" w:rsidDel="00280CBF" w:rsidRDefault="00D63B70" w:rsidP="00D63B70">
            <w:pPr>
              <w:rPr>
                <w:rFonts w:ascii="Arial" w:hAnsi="Arial" w:cs="Arial"/>
                <w:sz w:val="16"/>
                <w:szCs w:val="16"/>
              </w:rPr>
            </w:pPr>
          </w:p>
        </w:tc>
        <w:tc>
          <w:tcPr>
            <w:tcW w:w="540" w:type="pct"/>
          </w:tcPr>
          <w:p w14:paraId="159F8E87" w14:textId="77777777" w:rsidR="00D63B70" w:rsidRPr="006D52A9" w:rsidDel="00280CBF" w:rsidRDefault="00D63B70" w:rsidP="00D63B70">
            <w:pPr>
              <w:rPr>
                <w:rFonts w:ascii="Arial" w:hAnsi="Arial" w:cs="Arial"/>
                <w:sz w:val="16"/>
                <w:szCs w:val="16"/>
              </w:rPr>
            </w:pPr>
          </w:p>
        </w:tc>
        <w:tc>
          <w:tcPr>
            <w:tcW w:w="591" w:type="pct"/>
          </w:tcPr>
          <w:p w14:paraId="252B810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Pharmacor Tacrolimus 5</w:t>
            </w:r>
          </w:p>
        </w:tc>
        <w:tc>
          <w:tcPr>
            <w:tcW w:w="894" w:type="pct"/>
          </w:tcPr>
          <w:p w14:paraId="11009A12"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5F235970" w14:textId="77777777" w:rsidR="00D63B70" w:rsidRPr="006D52A9" w:rsidDel="00280CBF" w:rsidRDefault="00D63B70" w:rsidP="00D63B70">
            <w:pPr>
              <w:rPr>
                <w:rFonts w:ascii="Arial" w:hAnsi="Arial" w:cs="Arial"/>
                <w:sz w:val="16"/>
                <w:szCs w:val="16"/>
              </w:rPr>
            </w:pPr>
          </w:p>
        </w:tc>
        <w:tc>
          <w:tcPr>
            <w:tcW w:w="499" w:type="pct"/>
          </w:tcPr>
          <w:p w14:paraId="6A2B00A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0EC577F1"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6E55B967" w14:textId="77777777" w:rsidTr="00A91628">
        <w:tblPrEx>
          <w:tblBorders>
            <w:top w:val="single" w:sz="4" w:space="0" w:color="auto"/>
          </w:tblBorders>
        </w:tblPrEx>
        <w:trPr>
          <w:cantSplit/>
          <w:tblCellSpacing w:w="22" w:type="dxa"/>
        </w:trPr>
        <w:tc>
          <w:tcPr>
            <w:tcW w:w="508" w:type="pct"/>
          </w:tcPr>
          <w:p w14:paraId="6508C1F9" w14:textId="77777777" w:rsidR="00D63B70" w:rsidRPr="006D52A9" w:rsidDel="00280CBF" w:rsidRDefault="00D63B70" w:rsidP="00D63B70">
            <w:pPr>
              <w:rPr>
                <w:rFonts w:ascii="Arial" w:hAnsi="Arial" w:cs="Arial"/>
                <w:sz w:val="16"/>
                <w:szCs w:val="16"/>
              </w:rPr>
            </w:pPr>
          </w:p>
        </w:tc>
        <w:tc>
          <w:tcPr>
            <w:tcW w:w="943" w:type="pct"/>
          </w:tcPr>
          <w:p w14:paraId="1C0657EF" w14:textId="77777777" w:rsidR="00D63B70" w:rsidRPr="006D52A9" w:rsidDel="00280CBF" w:rsidRDefault="00D63B70" w:rsidP="00D63B70">
            <w:pPr>
              <w:rPr>
                <w:rFonts w:ascii="Arial" w:hAnsi="Arial" w:cs="Arial"/>
                <w:sz w:val="16"/>
                <w:szCs w:val="16"/>
              </w:rPr>
            </w:pPr>
          </w:p>
        </w:tc>
        <w:tc>
          <w:tcPr>
            <w:tcW w:w="540" w:type="pct"/>
          </w:tcPr>
          <w:p w14:paraId="3A682392" w14:textId="77777777" w:rsidR="00D63B70" w:rsidRPr="006D52A9" w:rsidDel="00280CBF" w:rsidRDefault="00D63B70" w:rsidP="00D63B70">
            <w:pPr>
              <w:rPr>
                <w:rFonts w:ascii="Arial" w:hAnsi="Arial" w:cs="Arial"/>
                <w:sz w:val="16"/>
                <w:szCs w:val="16"/>
              </w:rPr>
            </w:pPr>
          </w:p>
        </w:tc>
        <w:tc>
          <w:tcPr>
            <w:tcW w:w="591" w:type="pct"/>
          </w:tcPr>
          <w:p w14:paraId="4829774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Prograf</w:t>
            </w:r>
          </w:p>
        </w:tc>
        <w:tc>
          <w:tcPr>
            <w:tcW w:w="894" w:type="pct"/>
          </w:tcPr>
          <w:p w14:paraId="79D18D18"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771EDBA9" w14:textId="77777777" w:rsidR="00D63B70" w:rsidRPr="006D52A9" w:rsidDel="00280CBF" w:rsidRDefault="00D63B70" w:rsidP="00D63B70">
            <w:pPr>
              <w:rPr>
                <w:rFonts w:ascii="Arial" w:hAnsi="Arial" w:cs="Arial"/>
                <w:sz w:val="16"/>
                <w:szCs w:val="16"/>
              </w:rPr>
            </w:pPr>
          </w:p>
        </w:tc>
        <w:tc>
          <w:tcPr>
            <w:tcW w:w="499" w:type="pct"/>
          </w:tcPr>
          <w:p w14:paraId="75DDCBA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58DB40E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70CDD0DC" w14:textId="77777777" w:rsidTr="00A91628">
        <w:tblPrEx>
          <w:tblBorders>
            <w:top w:val="single" w:sz="4" w:space="0" w:color="auto"/>
          </w:tblBorders>
        </w:tblPrEx>
        <w:trPr>
          <w:cantSplit/>
          <w:tblCellSpacing w:w="22" w:type="dxa"/>
        </w:trPr>
        <w:tc>
          <w:tcPr>
            <w:tcW w:w="508" w:type="pct"/>
          </w:tcPr>
          <w:p w14:paraId="69B69C4D" w14:textId="77777777" w:rsidR="00D63B70" w:rsidRPr="006D52A9" w:rsidDel="00280CBF" w:rsidRDefault="00D63B70" w:rsidP="00D63B70">
            <w:pPr>
              <w:rPr>
                <w:rFonts w:ascii="Arial" w:hAnsi="Arial" w:cs="Arial"/>
                <w:sz w:val="16"/>
                <w:szCs w:val="16"/>
              </w:rPr>
            </w:pPr>
          </w:p>
        </w:tc>
        <w:tc>
          <w:tcPr>
            <w:tcW w:w="943" w:type="pct"/>
          </w:tcPr>
          <w:p w14:paraId="1D9727CB" w14:textId="77777777" w:rsidR="00D63B70" w:rsidRPr="006D52A9" w:rsidDel="00280CBF" w:rsidRDefault="00D63B70" w:rsidP="00D63B70">
            <w:pPr>
              <w:rPr>
                <w:rFonts w:ascii="Arial" w:hAnsi="Arial" w:cs="Arial"/>
                <w:sz w:val="16"/>
                <w:szCs w:val="16"/>
              </w:rPr>
            </w:pPr>
          </w:p>
        </w:tc>
        <w:tc>
          <w:tcPr>
            <w:tcW w:w="540" w:type="pct"/>
          </w:tcPr>
          <w:p w14:paraId="4ADE46DA" w14:textId="77777777" w:rsidR="00D63B70" w:rsidRPr="006D52A9" w:rsidDel="00280CBF" w:rsidRDefault="00D63B70" w:rsidP="00D63B70">
            <w:pPr>
              <w:rPr>
                <w:rFonts w:ascii="Arial" w:hAnsi="Arial" w:cs="Arial"/>
                <w:sz w:val="16"/>
                <w:szCs w:val="16"/>
              </w:rPr>
            </w:pPr>
          </w:p>
        </w:tc>
        <w:tc>
          <w:tcPr>
            <w:tcW w:w="591" w:type="pct"/>
          </w:tcPr>
          <w:p w14:paraId="4C50E433" w14:textId="77777777" w:rsidR="00D63B70" w:rsidRPr="006D52A9" w:rsidRDefault="00D63B70" w:rsidP="00D63B70">
            <w:pPr>
              <w:rPr>
                <w:rFonts w:ascii="Arial" w:hAnsi="Arial" w:cs="Arial"/>
                <w:sz w:val="16"/>
                <w:szCs w:val="16"/>
              </w:rPr>
            </w:pPr>
            <w:r w:rsidRPr="006D52A9">
              <w:rPr>
                <w:rFonts w:ascii="Arial" w:hAnsi="Arial" w:cs="Arial"/>
                <w:sz w:val="16"/>
                <w:szCs w:val="16"/>
              </w:rPr>
              <w:t>Tacrograf</w:t>
            </w:r>
          </w:p>
        </w:tc>
        <w:tc>
          <w:tcPr>
            <w:tcW w:w="894" w:type="pct"/>
          </w:tcPr>
          <w:p w14:paraId="564F4B8C" w14:textId="77777777" w:rsidR="00D63B70" w:rsidRPr="006D52A9"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3B121D97" w14:textId="77777777" w:rsidR="00D63B70" w:rsidRPr="006D52A9" w:rsidDel="00280CBF" w:rsidRDefault="00D63B70" w:rsidP="00D63B70">
            <w:pPr>
              <w:rPr>
                <w:rFonts w:ascii="Arial" w:hAnsi="Arial" w:cs="Arial"/>
                <w:sz w:val="16"/>
                <w:szCs w:val="16"/>
              </w:rPr>
            </w:pPr>
          </w:p>
        </w:tc>
        <w:tc>
          <w:tcPr>
            <w:tcW w:w="499" w:type="pct"/>
          </w:tcPr>
          <w:p w14:paraId="4105FAA1" w14:textId="77777777" w:rsidR="00D63B70" w:rsidRPr="006D52A9"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1D6CC4FD"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647E86E2" w14:textId="77777777" w:rsidTr="00A91628">
        <w:tblPrEx>
          <w:tblBorders>
            <w:top w:val="single" w:sz="4" w:space="0" w:color="auto"/>
          </w:tblBorders>
        </w:tblPrEx>
        <w:trPr>
          <w:cantSplit/>
          <w:tblCellSpacing w:w="22" w:type="dxa"/>
        </w:trPr>
        <w:tc>
          <w:tcPr>
            <w:tcW w:w="508" w:type="pct"/>
          </w:tcPr>
          <w:p w14:paraId="22D2758B" w14:textId="77777777" w:rsidR="00D63B70" w:rsidRPr="006D52A9" w:rsidDel="00280CBF" w:rsidRDefault="00D63B70" w:rsidP="00D63B70">
            <w:pPr>
              <w:rPr>
                <w:rFonts w:ascii="Arial" w:hAnsi="Arial" w:cs="Arial"/>
                <w:sz w:val="16"/>
                <w:szCs w:val="16"/>
              </w:rPr>
            </w:pPr>
          </w:p>
        </w:tc>
        <w:tc>
          <w:tcPr>
            <w:tcW w:w="943" w:type="pct"/>
          </w:tcPr>
          <w:p w14:paraId="7EF42571" w14:textId="77777777" w:rsidR="00D63B70" w:rsidRPr="006D52A9" w:rsidDel="00280CBF" w:rsidRDefault="00D63B70" w:rsidP="00D63B70">
            <w:pPr>
              <w:rPr>
                <w:rFonts w:ascii="Arial" w:hAnsi="Arial" w:cs="Arial"/>
                <w:sz w:val="16"/>
                <w:szCs w:val="16"/>
              </w:rPr>
            </w:pPr>
          </w:p>
        </w:tc>
        <w:tc>
          <w:tcPr>
            <w:tcW w:w="540" w:type="pct"/>
          </w:tcPr>
          <w:p w14:paraId="774D58FB" w14:textId="77777777" w:rsidR="00D63B70" w:rsidRPr="006D52A9" w:rsidDel="00280CBF" w:rsidRDefault="00D63B70" w:rsidP="00D63B70">
            <w:pPr>
              <w:rPr>
                <w:rFonts w:ascii="Arial" w:hAnsi="Arial" w:cs="Arial"/>
                <w:sz w:val="16"/>
                <w:szCs w:val="16"/>
              </w:rPr>
            </w:pPr>
          </w:p>
        </w:tc>
        <w:tc>
          <w:tcPr>
            <w:tcW w:w="591" w:type="pct"/>
          </w:tcPr>
          <w:p w14:paraId="6D5B9BF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APOTEX</w:t>
            </w:r>
          </w:p>
        </w:tc>
        <w:tc>
          <w:tcPr>
            <w:tcW w:w="894" w:type="pct"/>
          </w:tcPr>
          <w:p w14:paraId="6E7BBD54"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1C1B34EE" w14:textId="77777777" w:rsidR="00D63B70" w:rsidRPr="006D52A9" w:rsidDel="00280CBF" w:rsidRDefault="00D63B70" w:rsidP="00D63B70">
            <w:pPr>
              <w:rPr>
                <w:rFonts w:ascii="Arial" w:hAnsi="Arial" w:cs="Arial"/>
                <w:sz w:val="16"/>
                <w:szCs w:val="16"/>
              </w:rPr>
            </w:pPr>
          </w:p>
        </w:tc>
        <w:tc>
          <w:tcPr>
            <w:tcW w:w="499" w:type="pct"/>
          </w:tcPr>
          <w:p w14:paraId="5ACA5A3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1FF3BBF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7EC8214B" w14:textId="77777777" w:rsidTr="00A91628">
        <w:tblPrEx>
          <w:tblBorders>
            <w:top w:val="single" w:sz="4" w:space="0" w:color="auto"/>
          </w:tblBorders>
        </w:tblPrEx>
        <w:trPr>
          <w:cantSplit/>
          <w:tblCellSpacing w:w="22" w:type="dxa"/>
        </w:trPr>
        <w:tc>
          <w:tcPr>
            <w:tcW w:w="508" w:type="pct"/>
          </w:tcPr>
          <w:p w14:paraId="650986FB" w14:textId="77777777" w:rsidR="00D63B70" w:rsidRPr="006D52A9" w:rsidDel="00280CBF" w:rsidRDefault="00D63B70" w:rsidP="00D63B70">
            <w:pPr>
              <w:rPr>
                <w:rFonts w:ascii="Arial" w:hAnsi="Arial" w:cs="Arial"/>
                <w:sz w:val="16"/>
                <w:szCs w:val="16"/>
              </w:rPr>
            </w:pPr>
          </w:p>
        </w:tc>
        <w:tc>
          <w:tcPr>
            <w:tcW w:w="943" w:type="pct"/>
          </w:tcPr>
          <w:p w14:paraId="398C4731" w14:textId="77777777" w:rsidR="00D63B70" w:rsidRPr="006D52A9" w:rsidDel="00280CBF" w:rsidRDefault="00D63B70" w:rsidP="00D63B70">
            <w:pPr>
              <w:rPr>
                <w:rFonts w:ascii="Arial" w:hAnsi="Arial" w:cs="Arial"/>
                <w:sz w:val="16"/>
                <w:szCs w:val="16"/>
              </w:rPr>
            </w:pPr>
          </w:p>
        </w:tc>
        <w:tc>
          <w:tcPr>
            <w:tcW w:w="540" w:type="pct"/>
          </w:tcPr>
          <w:p w14:paraId="5593EDE1" w14:textId="77777777" w:rsidR="00D63B70" w:rsidRPr="006D52A9" w:rsidDel="00280CBF" w:rsidRDefault="00D63B70" w:rsidP="00D63B70">
            <w:pPr>
              <w:rPr>
                <w:rFonts w:ascii="Arial" w:hAnsi="Arial" w:cs="Arial"/>
                <w:sz w:val="16"/>
                <w:szCs w:val="16"/>
              </w:rPr>
            </w:pPr>
          </w:p>
        </w:tc>
        <w:tc>
          <w:tcPr>
            <w:tcW w:w="591" w:type="pct"/>
          </w:tcPr>
          <w:p w14:paraId="2719AABB"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Tacrolimus Sandoz</w:t>
            </w:r>
          </w:p>
        </w:tc>
        <w:tc>
          <w:tcPr>
            <w:tcW w:w="894" w:type="pct"/>
          </w:tcPr>
          <w:p w14:paraId="1EB7812E"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00E392DD" w14:textId="77777777" w:rsidR="00D63B70" w:rsidRPr="006D52A9" w:rsidDel="00280CBF" w:rsidRDefault="00D63B70" w:rsidP="00D63B70">
            <w:pPr>
              <w:rPr>
                <w:rFonts w:ascii="Arial" w:hAnsi="Arial" w:cs="Arial"/>
                <w:sz w:val="16"/>
                <w:szCs w:val="16"/>
              </w:rPr>
            </w:pPr>
          </w:p>
        </w:tc>
        <w:tc>
          <w:tcPr>
            <w:tcW w:w="499" w:type="pct"/>
          </w:tcPr>
          <w:p w14:paraId="3585D0E6"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100</w:t>
            </w:r>
          </w:p>
        </w:tc>
        <w:tc>
          <w:tcPr>
            <w:tcW w:w="502" w:type="pct"/>
          </w:tcPr>
          <w:p w14:paraId="69ABCC43"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280CBF" w14:paraId="393FEB7D" w14:textId="77777777" w:rsidTr="00A91628">
        <w:tblPrEx>
          <w:tblBorders>
            <w:top w:val="single" w:sz="4" w:space="0" w:color="auto"/>
          </w:tblBorders>
        </w:tblPrEx>
        <w:trPr>
          <w:cantSplit/>
          <w:tblCellSpacing w:w="22" w:type="dxa"/>
        </w:trPr>
        <w:tc>
          <w:tcPr>
            <w:tcW w:w="508" w:type="pct"/>
          </w:tcPr>
          <w:p w14:paraId="5EB23D38" w14:textId="77777777" w:rsidR="00D63B70" w:rsidRPr="006D52A9" w:rsidDel="00280CBF" w:rsidRDefault="00D63B70" w:rsidP="00D63B70">
            <w:pPr>
              <w:rPr>
                <w:rFonts w:ascii="Arial" w:hAnsi="Arial" w:cs="Arial"/>
                <w:sz w:val="16"/>
                <w:szCs w:val="16"/>
              </w:rPr>
            </w:pPr>
          </w:p>
        </w:tc>
        <w:tc>
          <w:tcPr>
            <w:tcW w:w="943" w:type="pct"/>
          </w:tcPr>
          <w:p w14:paraId="76E37AA9"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Capsule 5 mg (once daily prolonged release)</w:t>
            </w:r>
          </w:p>
        </w:tc>
        <w:tc>
          <w:tcPr>
            <w:tcW w:w="540" w:type="pct"/>
          </w:tcPr>
          <w:p w14:paraId="0FE5A620"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822CF7F"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ADVAGRAF XL</w:t>
            </w:r>
          </w:p>
        </w:tc>
        <w:tc>
          <w:tcPr>
            <w:tcW w:w="894" w:type="pct"/>
          </w:tcPr>
          <w:p w14:paraId="6A7F2BFA"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C5569 C9697</w:t>
            </w:r>
          </w:p>
        </w:tc>
        <w:tc>
          <w:tcPr>
            <w:tcW w:w="376" w:type="pct"/>
          </w:tcPr>
          <w:p w14:paraId="2BC704F1" w14:textId="77777777" w:rsidR="00D63B70" w:rsidRPr="006D52A9" w:rsidDel="00280CBF" w:rsidRDefault="00D63B70" w:rsidP="00D63B70">
            <w:pPr>
              <w:rPr>
                <w:rFonts w:ascii="Arial" w:hAnsi="Arial" w:cs="Arial"/>
                <w:sz w:val="16"/>
                <w:szCs w:val="16"/>
              </w:rPr>
            </w:pPr>
          </w:p>
        </w:tc>
        <w:tc>
          <w:tcPr>
            <w:tcW w:w="499" w:type="pct"/>
          </w:tcPr>
          <w:p w14:paraId="0D155357"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62AF684" w14:textId="77777777" w:rsidR="00D63B70" w:rsidRPr="006D52A9" w:rsidDel="00280CBF"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A59B8F7" w14:textId="77777777" w:rsidTr="00A91628">
        <w:tblPrEx>
          <w:tblBorders>
            <w:top w:val="single" w:sz="4" w:space="0" w:color="auto"/>
          </w:tblBorders>
        </w:tblPrEx>
        <w:trPr>
          <w:cantSplit/>
          <w:tblCellSpacing w:w="22" w:type="dxa"/>
        </w:trPr>
        <w:tc>
          <w:tcPr>
            <w:tcW w:w="508" w:type="pct"/>
          </w:tcPr>
          <w:p w14:paraId="6439E377"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Tadalafil</w:t>
            </w:r>
          </w:p>
        </w:tc>
        <w:tc>
          <w:tcPr>
            <w:tcW w:w="943" w:type="pct"/>
          </w:tcPr>
          <w:p w14:paraId="1BD829E5" w14:textId="77777777" w:rsidR="00D63B70" w:rsidRPr="006D52A9" w:rsidRDefault="00D63B70" w:rsidP="00D63B70">
            <w:pPr>
              <w:rPr>
                <w:rFonts w:ascii="Arial" w:hAnsi="Arial" w:cs="Arial"/>
                <w:sz w:val="16"/>
                <w:szCs w:val="16"/>
              </w:rPr>
            </w:pPr>
            <w:r w:rsidRPr="006D52A9">
              <w:rPr>
                <w:rFonts w:ascii="Arial" w:hAnsi="Arial" w:cs="Arial"/>
                <w:sz w:val="16"/>
                <w:szCs w:val="16"/>
              </w:rPr>
              <w:t>Tablet 20 mg</w:t>
            </w:r>
          </w:p>
        </w:tc>
        <w:tc>
          <w:tcPr>
            <w:tcW w:w="540" w:type="pct"/>
          </w:tcPr>
          <w:p w14:paraId="4ECBEB9D"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01AD36F" w14:textId="77777777" w:rsidR="00D63B70" w:rsidRPr="006D52A9" w:rsidRDefault="00D63B70" w:rsidP="00D63B70">
            <w:pPr>
              <w:rPr>
                <w:rFonts w:ascii="Arial" w:hAnsi="Arial" w:cs="Arial"/>
                <w:sz w:val="16"/>
                <w:szCs w:val="16"/>
              </w:rPr>
            </w:pPr>
            <w:r w:rsidRPr="006D52A9">
              <w:rPr>
                <w:rFonts w:ascii="Arial" w:hAnsi="Arial" w:cs="Arial"/>
                <w:sz w:val="16"/>
                <w:szCs w:val="16"/>
              </w:rPr>
              <w:t>Adcirca</w:t>
            </w:r>
          </w:p>
        </w:tc>
        <w:tc>
          <w:tcPr>
            <w:tcW w:w="894" w:type="pct"/>
          </w:tcPr>
          <w:p w14:paraId="202E044C"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20678937" w14:textId="77777777" w:rsidR="00D63B70" w:rsidRPr="006D52A9" w:rsidRDefault="00D63B70" w:rsidP="00D63B70">
            <w:pPr>
              <w:rPr>
                <w:rFonts w:ascii="Arial" w:hAnsi="Arial" w:cs="Arial"/>
                <w:sz w:val="16"/>
                <w:szCs w:val="16"/>
              </w:rPr>
            </w:pPr>
          </w:p>
        </w:tc>
        <w:tc>
          <w:tcPr>
            <w:tcW w:w="499" w:type="pct"/>
          </w:tcPr>
          <w:p w14:paraId="3F07CE49"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9818F0D"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47C3F075" w14:textId="77777777" w:rsidTr="00A91628">
        <w:tblPrEx>
          <w:tblBorders>
            <w:top w:val="single" w:sz="4" w:space="0" w:color="auto"/>
          </w:tblBorders>
        </w:tblPrEx>
        <w:trPr>
          <w:cantSplit/>
          <w:tblCellSpacing w:w="22" w:type="dxa"/>
        </w:trPr>
        <w:tc>
          <w:tcPr>
            <w:tcW w:w="508" w:type="pct"/>
          </w:tcPr>
          <w:p w14:paraId="0F19D45E" w14:textId="77777777" w:rsidR="00D63B70" w:rsidRPr="006D52A9" w:rsidRDefault="00D63B70" w:rsidP="00D63B70">
            <w:pPr>
              <w:rPr>
                <w:rFonts w:ascii="Arial" w:hAnsi="Arial" w:cs="Arial"/>
                <w:sz w:val="16"/>
                <w:szCs w:val="16"/>
              </w:rPr>
            </w:pPr>
          </w:p>
        </w:tc>
        <w:tc>
          <w:tcPr>
            <w:tcW w:w="943" w:type="pct"/>
          </w:tcPr>
          <w:p w14:paraId="6CF4DE8E" w14:textId="77777777" w:rsidR="00D63B70" w:rsidRPr="006D52A9" w:rsidRDefault="00D63B70" w:rsidP="00D63B70">
            <w:pPr>
              <w:rPr>
                <w:rFonts w:ascii="Arial" w:hAnsi="Arial" w:cs="Arial"/>
                <w:sz w:val="16"/>
                <w:szCs w:val="16"/>
              </w:rPr>
            </w:pPr>
          </w:p>
        </w:tc>
        <w:tc>
          <w:tcPr>
            <w:tcW w:w="540" w:type="pct"/>
          </w:tcPr>
          <w:p w14:paraId="090AE793" w14:textId="77777777" w:rsidR="00D63B70" w:rsidRPr="006D52A9" w:rsidRDefault="00D63B70" w:rsidP="00D63B70">
            <w:pPr>
              <w:rPr>
                <w:rFonts w:ascii="Arial" w:hAnsi="Arial" w:cs="Arial"/>
                <w:sz w:val="16"/>
                <w:szCs w:val="16"/>
              </w:rPr>
            </w:pPr>
          </w:p>
        </w:tc>
        <w:tc>
          <w:tcPr>
            <w:tcW w:w="591" w:type="pct"/>
          </w:tcPr>
          <w:p w14:paraId="02629ACB" w14:textId="77777777" w:rsidR="00D63B70" w:rsidRPr="006D52A9" w:rsidRDefault="00D63B70" w:rsidP="00D63B70">
            <w:pPr>
              <w:rPr>
                <w:rFonts w:ascii="Arial" w:hAnsi="Arial" w:cs="Arial"/>
                <w:sz w:val="16"/>
                <w:szCs w:val="16"/>
              </w:rPr>
            </w:pPr>
            <w:r w:rsidRPr="006D52A9">
              <w:rPr>
                <w:rFonts w:ascii="Arial" w:hAnsi="Arial" w:cs="Arial"/>
                <w:sz w:val="16"/>
              </w:rPr>
              <w:t>Tadalca</w:t>
            </w:r>
          </w:p>
        </w:tc>
        <w:tc>
          <w:tcPr>
            <w:tcW w:w="894" w:type="pct"/>
          </w:tcPr>
          <w:p w14:paraId="1BD90D8E"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70E9AFB7" w14:textId="77777777" w:rsidR="00D63B70" w:rsidRPr="006D52A9" w:rsidRDefault="00D63B70" w:rsidP="00D63B70">
            <w:pPr>
              <w:rPr>
                <w:rFonts w:ascii="Arial" w:hAnsi="Arial" w:cs="Arial"/>
                <w:sz w:val="16"/>
                <w:szCs w:val="16"/>
              </w:rPr>
            </w:pPr>
          </w:p>
        </w:tc>
        <w:tc>
          <w:tcPr>
            <w:tcW w:w="499" w:type="pct"/>
          </w:tcPr>
          <w:p w14:paraId="5006F9FD"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6B13827"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3C97098A" w14:textId="77777777" w:rsidTr="00A91628">
        <w:tblPrEx>
          <w:tblBorders>
            <w:top w:val="single" w:sz="4" w:space="0" w:color="auto"/>
          </w:tblBorders>
        </w:tblPrEx>
        <w:trPr>
          <w:cantSplit/>
          <w:tblCellSpacing w:w="22" w:type="dxa"/>
        </w:trPr>
        <w:tc>
          <w:tcPr>
            <w:tcW w:w="508" w:type="pct"/>
          </w:tcPr>
          <w:p w14:paraId="42EC8C80" w14:textId="77777777" w:rsidR="00D63B70" w:rsidRPr="006D52A9" w:rsidRDefault="00D63B70" w:rsidP="00D63B70">
            <w:pPr>
              <w:rPr>
                <w:rFonts w:ascii="Arial" w:hAnsi="Arial" w:cs="Arial"/>
                <w:sz w:val="16"/>
                <w:szCs w:val="16"/>
              </w:rPr>
            </w:pPr>
          </w:p>
        </w:tc>
        <w:tc>
          <w:tcPr>
            <w:tcW w:w="943" w:type="pct"/>
          </w:tcPr>
          <w:p w14:paraId="07D6D5BB" w14:textId="77777777" w:rsidR="00D63B70" w:rsidRPr="006D52A9" w:rsidRDefault="00D63B70" w:rsidP="00D63B70">
            <w:pPr>
              <w:rPr>
                <w:rFonts w:ascii="Arial" w:hAnsi="Arial" w:cs="Arial"/>
                <w:sz w:val="16"/>
                <w:szCs w:val="16"/>
              </w:rPr>
            </w:pPr>
          </w:p>
        </w:tc>
        <w:tc>
          <w:tcPr>
            <w:tcW w:w="540" w:type="pct"/>
          </w:tcPr>
          <w:p w14:paraId="57D2287F" w14:textId="77777777" w:rsidR="00D63B70" w:rsidRPr="006D52A9" w:rsidRDefault="00D63B70" w:rsidP="00D63B70">
            <w:pPr>
              <w:rPr>
                <w:rFonts w:ascii="Arial" w:hAnsi="Arial" w:cs="Arial"/>
                <w:sz w:val="16"/>
                <w:szCs w:val="16"/>
              </w:rPr>
            </w:pPr>
          </w:p>
        </w:tc>
        <w:tc>
          <w:tcPr>
            <w:tcW w:w="591" w:type="pct"/>
          </w:tcPr>
          <w:p w14:paraId="34686781" w14:textId="77777777" w:rsidR="00D63B70" w:rsidRPr="006D52A9" w:rsidRDefault="00D63B70" w:rsidP="00D63B70">
            <w:pPr>
              <w:rPr>
                <w:rFonts w:ascii="Arial" w:hAnsi="Arial" w:cs="Arial"/>
                <w:sz w:val="16"/>
              </w:rPr>
            </w:pPr>
            <w:r w:rsidRPr="006D52A9">
              <w:rPr>
                <w:rFonts w:ascii="Arial" w:hAnsi="Arial" w:cs="Arial"/>
                <w:sz w:val="16"/>
                <w:szCs w:val="16"/>
              </w:rPr>
              <w:t>TADALIS 20</w:t>
            </w:r>
          </w:p>
        </w:tc>
        <w:tc>
          <w:tcPr>
            <w:tcW w:w="894" w:type="pct"/>
          </w:tcPr>
          <w:p w14:paraId="245791C3" w14:textId="77777777" w:rsidR="00D63B70" w:rsidRPr="006D52A9" w:rsidRDefault="00D63B70" w:rsidP="00D63B70">
            <w:pPr>
              <w:rPr>
                <w:rFonts w:ascii="Arial" w:hAnsi="Arial" w:cs="Arial"/>
                <w:sz w:val="16"/>
                <w:szCs w:val="16"/>
              </w:rPr>
            </w:pPr>
            <w:r w:rsidRPr="006D52A9">
              <w:rPr>
                <w:rFonts w:ascii="Arial" w:hAnsi="Arial" w:cs="Arial"/>
                <w:sz w:val="16"/>
                <w:szCs w:val="16"/>
              </w:rPr>
              <w:t>C10228 C10234 C10304 C11229 C11319 C11338 C11340 C11350 C11352</w:t>
            </w:r>
          </w:p>
        </w:tc>
        <w:tc>
          <w:tcPr>
            <w:tcW w:w="376" w:type="pct"/>
          </w:tcPr>
          <w:p w14:paraId="4E7FADC5" w14:textId="77777777" w:rsidR="00D63B70" w:rsidRPr="006D52A9" w:rsidRDefault="00D63B70" w:rsidP="00D63B70">
            <w:pPr>
              <w:rPr>
                <w:rFonts w:ascii="Arial" w:hAnsi="Arial" w:cs="Arial"/>
                <w:sz w:val="16"/>
                <w:szCs w:val="16"/>
              </w:rPr>
            </w:pPr>
          </w:p>
        </w:tc>
        <w:tc>
          <w:tcPr>
            <w:tcW w:w="499" w:type="pct"/>
          </w:tcPr>
          <w:p w14:paraId="133A46CB"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3DBAA69F"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4AAC06AB" w14:textId="77777777" w:rsidTr="00A91628">
        <w:tblPrEx>
          <w:tblBorders>
            <w:top w:val="single" w:sz="4" w:space="0" w:color="auto"/>
          </w:tblBorders>
        </w:tblPrEx>
        <w:trPr>
          <w:cantSplit/>
          <w:tblCellSpacing w:w="22" w:type="dxa"/>
        </w:trPr>
        <w:tc>
          <w:tcPr>
            <w:tcW w:w="508" w:type="pct"/>
          </w:tcPr>
          <w:p w14:paraId="0955BC91" w14:textId="77777777" w:rsidR="00D63B70" w:rsidRPr="006D52A9" w:rsidRDefault="00D63B70" w:rsidP="00D63B70">
            <w:pPr>
              <w:rPr>
                <w:rFonts w:ascii="Arial" w:hAnsi="Arial" w:cs="Arial"/>
                <w:sz w:val="16"/>
                <w:szCs w:val="16"/>
              </w:rPr>
            </w:pPr>
            <w:r w:rsidRPr="006D52A9">
              <w:rPr>
                <w:rFonts w:ascii="Arial" w:hAnsi="Arial" w:cs="Arial"/>
                <w:sz w:val="16"/>
                <w:szCs w:val="16"/>
              </w:rPr>
              <w:t>Teduglutide</w:t>
            </w:r>
          </w:p>
        </w:tc>
        <w:tc>
          <w:tcPr>
            <w:tcW w:w="943" w:type="pct"/>
          </w:tcPr>
          <w:p w14:paraId="392FBA74"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5 mg with diluent</w:t>
            </w:r>
          </w:p>
        </w:tc>
        <w:tc>
          <w:tcPr>
            <w:tcW w:w="540" w:type="pct"/>
          </w:tcPr>
          <w:p w14:paraId="7710BB5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57EF280E" w14:textId="77777777" w:rsidR="00D63B70" w:rsidRPr="006D52A9" w:rsidRDefault="00D63B70" w:rsidP="00D63B70">
            <w:pPr>
              <w:rPr>
                <w:rFonts w:ascii="Arial" w:hAnsi="Arial" w:cs="Arial"/>
                <w:sz w:val="16"/>
                <w:szCs w:val="16"/>
              </w:rPr>
            </w:pPr>
            <w:r w:rsidRPr="006D52A9">
              <w:rPr>
                <w:rFonts w:ascii="Arial" w:hAnsi="Arial" w:cs="Arial"/>
                <w:sz w:val="16"/>
                <w:szCs w:val="16"/>
              </w:rPr>
              <w:t>Revestive</w:t>
            </w:r>
          </w:p>
        </w:tc>
        <w:tc>
          <w:tcPr>
            <w:tcW w:w="894" w:type="pct"/>
          </w:tcPr>
          <w:p w14:paraId="0CE09740" w14:textId="77777777" w:rsidR="00D63B70" w:rsidRPr="006D52A9" w:rsidRDefault="00D63B70" w:rsidP="00D63B70">
            <w:pPr>
              <w:rPr>
                <w:rFonts w:ascii="Arial" w:hAnsi="Arial" w:cs="Arial"/>
                <w:sz w:val="16"/>
                <w:szCs w:val="16"/>
              </w:rPr>
            </w:pPr>
            <w:r w:rsidRPr="006D52A9">
              <w:rPr>
                <w:rFonts w:ascii="Arial" w:hAnsi="Arial" w:cs="Arial"/>
                <w:sz w:val="16"/>
                <w:szCs w:val="16"/>
              </w:rPr>
              <w:t>C9515 C9569 C9687 C9740 C9793 C9829</w:t>
            </w:r>
          </w:p>
        </w:tc>
        <w:tc>
          <w:tcPr>
            <w:tcW w:w="376" w:type="pct"/>
          </w:tcPr>
          <w:p w14:paraId="1F1736E3" w14:textId="77777777" w:rsidR="00D63B70" w:rsidRPr="006D52A9" w:rsidRDefault="00D63B70" w:rsidP="00D63B70">
            <w:pPr>
              <w:rPr>
                <w:rFonts w:ascii="Arial" w:hAnsi="Arial" w:cs="Arial"/>
                <w:sz w:val="16"/>
                <w:szCs w:val="16"/>
              </w:rPr>
            </w:pPr>
          </w:p>
        </w:tc>
        <w:tc>
          <w:tcPr>
            <w:tcW w:w="499" w:type="pct"/>
          </w:tcPr>
          <w:p w14:paraId="58A164A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429E36E0"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EA247A" w14:paraId="1AA442D1" w14:textId="77777777" w:rsidTr="00A91628">
        <w:tblPrEx>
          <w:tblBorders>
            <w:top w:val="single" w:sz="4" w:space="0" w:color="auto"/>
          </w:tblBorders>
        </w:tblPrEx>
        <w:trPr>
          <w:cantSplit/>
          <w:tblCellSpacing w:w="22" w:type="dxa"/>
        </w:trPr>
        <w:tc>
          <w:tcPr>
            <w:tcW w:w="508" w:type="pct"/>
          </w:tcPr>
          <w:p w14:paraId="4488990D"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Tenofovir</w:t>
            </w:r>
          </w:p>
        </w:tc>
        <w:tc>
          <w:tcPr>
            <w:tcW w:w="943" w:type="pct"/>
          </w:tcPr>
          <w:p w14:paraId="476453C6"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tenofovir disoproxil fumarate 300 mg</w:t>
            </w:r>
          </w:p>
        </w:tc>
        <w:tc>
          <w:tcPr>
            <w:tcW w:w="540" w:type="pct"/>
          </w:tcPr>
          <w:p w14:paraId="6EEEBAC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7805B0E" w14:textId="77777777" w:rsidR="00D63B70" w:rsidRPr="006D52A9" w:rsidRDefault="00D63B70" w:rsidP="00D63B70">
            <w:pPr>
              <w:rPr>
                <w:rFonts w:ascii="Arial" w:hAnsi="Arial" w:cs="Arial"/>
                <w:sz w:val="16"/>
                <w:szCs w:val="16"/>
              </w:rPr>
            </w:pPr>
            <w:r w:rsidRPr="006D52A9">
              <w:rPr>
                <w:rFonts w:ascii="Arial" w:hAnsi="Arial" w:cs="Arial"/>
                <w:sz w:val="16"/>
                <w:szCs w:val="16"/>
              </w:rPr>
              <w:t>Tenofovir APOTEX</w:t>
            </w:r>
          </w:p>
        </w:tc>
        <w:tc>
          <w:tcPr>
            <w:tcW w:w="894" w:type="pct"/>
          </w:tcPr>
          <w:p w14:paraId="7231FE2D"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02F0F93D"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P10362</w:t>
            </w:r>
          </w:p>
        </w:tc>
        <w:tc>
          <w:tcPr>
            <w:tcW w:w="499" w:type="pct"/>
          </w:tcPr>
          <w:p w14:paraId="71965A6C"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017C318"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EA247A" w14:paraId="5CEECA86" w14:textId="77777777" w:rsidTr="00A91628">
        <w:tblPrEx>
          <w:tblBorders>
            <w:top w:val="single" w:sz="4" w:space="0" w:color="auto"/>
          </w:tblBorders>
        </w:tblPrEx>
        <w:trPr>
          <w:cantSplit/>
          <w:tblCellSpacing w:w="22" w:type="dxa"/>
        </w:trPr>
        <w:tc>
          <w:tcPr>
            <w:tcW w:w="508" w:type="pct"/>
          </w:tcPr>
          <w:p w14:paraId="2AA41043" w14:textId="77777777" w:rsidR="00D63B70" w:rsidRPr="006D52A9" w:rsidDel="00EA247A" w:rsidRDefault="00D63B70" w:rsidP="00D63B70">
            <w:pPr>
              <w:rPr>
                <w:rFonts w:ascii="Arial" w:hAnsi="Arial" w:cs="Arial"/>
                <w:sz w:val="16"/>
                <w:szCs w:val="16"/>
              </w:rPr>
            </w:pPr>
          </w:p>
        </w:tc>
        <w:tc>
          <w:tcPr>
            <w:tcW w:w="943" w:type="pct"/>
          </w:tcPr>
          <w:p w14:paraId="7310A6FD" w14:textId="77777777" w:rsidR="00D63B70" w:rsidRPr="006D52A9" w:rsidRDefault="00D63B70" w:rsidP="00D63B70">
            <w:pPr>
              <w:rPr>
                <w:rFonts w:ascii="Arial" w:hAnsi="Arial" w:cs="Arial"/>
                <w:sz w:val="16"/>
                <w:szCs w:val="16"/>
              </w:rPr>
            </w:pPr>
          </w:p>
        </w:tc>
        <w:tc>
          <w:tcPr>
            <w:tcW w:w="540" w:type="pct"/>
          </w:tcPr>
          <w:p w14:paraId="60E33124" w14:textId="77777777" w:rsidR="00D63B70" w:rsidRPr="006D52A9" w:rsidRDefault="00D63B70" w:rsidP="00D63B70">
            <w:pPr>
              <w:rPr>
                <w:rFonts w:ascii="Arial" w:hAnsi="Arial" w:cs="Arial"/>
                <w:sz w:val="16"/>
                <w:szCs w:val="16"/>
              </w:rPr>
            </w:pPr>
          </w:p>
        </w:tc>
        <w:tc>
          <w:tcPr>
            <w:tcW w:w="591" w:type="pct"/>
          </w:tcPr>
          <w:p w14:paraId="06E12E63" w14:textId="77777777" w:rsidR="00D63B70" w:rsidRPr="006D52A9" w:rsidRDefault="00D63B70" w:rsidP="00D63B70">
            <w:pPr>
              <w:rPr>
                <w:rFonts w:ascii="Arial" w:hAnsi="Arial" w:cs="Arial"/>
                <w:sz w:val="16"/>
                <w:szCs w:val="16"/>
              </w:rPr>
            </w:pPr>
            <w:r w:rsidRPr="006D52A9">
              <w:rPr>
                <w:rFonts w:ascii="Arial" w:hAnsi="Arial" w:cs="Arial"/>
                <w:sz w:val="16"/>
                <w:szCs w:val="16"/>
              </w:rPr>
              <w:t>Viread</w:t>
            </w:r>
          </w:p>
        </w:tc>
        <w:tc>
          <w:tcPr>
            <w:tcW w:w="894" w:type="pct"/>
          </w:tcPr>
          <w:p w14:paraId="07BD4C8F"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042EAD18"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P10362</w:t>
            </w:r>
          </w:p>
        </w:tc>
        <w:tc>
          <w:tcPr>
            <w:tcW w:w="499" w:type="pct"/>
          </w:tcPr>
          <w:p w14:paraId="0DB32C77"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DBD944B"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EA247A" w14:paraId="0C86D981" w14:textId="77777777" w:rsidTr="00A91628">
        <w:tblPrEx>
          <w:tblBorders>
            <w:top w:val="single" w:sz="4" w:space="0" w:color="auto"/>
          </w:tblBorders>
        </w:tblPrEx>
        <w:trPr>
          <w:cantSplit/>
          <w:tblCellSpacing w:w="22" w:type="dxa"/>
        </w:trPr>
        <w:tc>
          <w:tcPr>
            <w:tcW w:w="508" w:type="pct"/>
          </w:tcPr>
          <w:p w14:paraId="4FDC693F" w14:textId="77777777" w:rsidR="00D63B70" w:rsidRPr="006D52A9" w:rsidDel="00EA247A" w:rsidRDefault="00D63B70" w:rsidP="00D63B70">
            <w:pPr>
              <w:rPr>
                <w:rFonts w:ascii="Arial" w:hAnsi="Arial" w:cs="Arial"/>
                <w:sz w:val="16"/>
                <w:szCs w:val="16"/>
              </w:rPr>
            </w:pPr>
          </w:p>
        </w:tc>
        <w:tc>
          <w:tcPr>
            <w:tcW w:w="943" w:type="pct"/>
          </w:tcPr>
          <w:p w14:paraId="55BE654F" w14:textId="77777777" w:rsidR="00D63B70" w:rsidRPr="006D52A9" w:rsidRDefault="00D63B70" w:rsidP="00D63B70">
            <w:pPr>
              <w:rPr>
                <w:rFonts w:ascii="Arial" w:hAnsi="Arial" w:cs="Arial"/>
                <w:sz w:val="16"/>
                <w:szCs w:val="16"/>
              </w:rPr>
            </w:pPr>
          </w:p>
        </w:tc>
        <w:tc>
          <w:tcPr>
            <w:tcW w:w="540" w:type="pct"/>
          </w:tcPr>
          <w:p w14:paraId="04417639" w14:textId="77777777" w:rsidR="00D63B70" w:rsidRPr="006D52A9" w:rsidRDefault="00D63B70" w:rsidP="00D63B70">
            <w:pPr>
              <w:rPr>
                <w:rFonts w:ascii="Arial" w:hAnsi="Arial" w:cs="Arial"/>
                <w:sz w:val="16"/>
                <w:szCs w:val="16"/>
              </w:rPr>
            </w:pPr>
          </w:p>
        </w:tc>
        <w:tc>
          <w:tcPr>
            <w:tcW w:w="591" w:type="pct"/>
          </w:tcPr>
          <w:p w14:paraId="5E61191C" w14:textId="77777777" w:rsidR="00D63B70" w:rsidRPr="006D52A9" w:rsidRDefault="00D63B70" w:rsidP="00D63B70">
            <w:pPr>
              <w:rPr>
                <w:rFonts w:ascii="Arial" w:hAnsi="Arial" w:cs="Arial"/>
                <w:sz w:val="16"/>
                <w:szCs w:val="16"/>
              </w:rPr>
            </w:pPr>
            <w:r w:rsidRPr="006D52A9">
              <w:rPr>
                <w:rFonts w:ascii="Arial" w:hAnsi="Arial" w:cs="Arial"/>
                <w:sz w:val="16"/>
                <w:szCs w:val="16"/>
              </w:rPr>
              <w:t>Tenofovir APOTEX</w:t>
            </w:r>
          </w:p>
        </w:tc>
        <w:tc>
          <w:tcPr>
            <w:tcW w:w="894" w:type="pct"/>
          </w:tcPr>
          <w:p w14:paraId="4E0D2E0C"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6AAC6B42"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P6980 P6982 P6983 P6984 P6992 P6998</w:t>
            </w:r>
          </w:p>
        </w:tc>
        <w:tc>
          <w:tcPr>
            <w:tcW w:w="499" w:type="pct"/>
          </w:tcPr>
          <w:p w14:paraId="739BA834"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590BBF1"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4266D1BC" w14:textId="77777777" w:rsidTr="00A91628">
        <w:tblPrEx>
          <w:tblBorders>
            <w:top w:val="single" w:sz="4" w:space="0" w:color="auto"/>
          </w:tblBorders>
        </w:tblPrEx>
        <w:trPr>
          <w:cantSplit/>
          <w:tblCellSpacing w:w="22" w:type="dxa"/>
        </w:trPr>
        <w:tc>
          <w:tcPr>
            <w:tcW w:w="508" w:type="pct"/>
          </w:tcPr>
          <w:p w14:paraId="2C52F23F" w14:textId="77777777" w:rsidR="00D63B70" w:rsidRPr="006D52A9" w:rsidDel="00EA247A" w:rsidRDefault="00D63B70" w:rsidP="00D63B70">
            <w:pPr>
              <w:rPr>
                <w:rFonts w:ascii="Arial" w:hAnsi="Arial" w:cs="Arial"/>
                <w:sz w:val="16"/>
                <w:szCs w:val="16"/>
              </w:rPr>
            </w:pPr>
          </w:p>
        </w:tc>
        <w:tc>
          <w:tcPr>
            <w:tcW w:w="943" w:type="pct"/>
          </w:tcPr>
          <w:p w14:paraId="05242033" w14:textId="77777777" w:rsidR="00D63B70" w:rsidRPr="006D52A9" w:rsidRDefault="00D63B70" w:rsidP="00D63B70">
            <w:pPr>
              <w:rPr>
                <w:rFonts w:ascii="Arial" w:hAnsi="Arial" w:cs="Arial"/>
                <w:sz w:val="16"/>
                <w:szCs w:val="16"/>
              </w:rPr>
            </w:pPr>
          </w:p>
        </w:tc>
        <w:tc>
          <w:tcPr>
            <w:tcW w:w="540" w:type="pct"/>
          </w:tcPr>
          <w:p w14:paraId="55F3F8AD" w14:textId="77777777" w:rsidR="00D63B70" w:rsidRPr="006D52A9" w:rsidRDefault="00D63B70" w:rsidP="00D63B70">
            <w:pPr>
              <w:rPr>
                <w:rFonts w:ascii="Arial" w:hAnsi="Arial" w:cs="Arial"/>
                <w:sz w:val="16"/>
                <w:szCs w:val="16"/>
              </w:rPr>
            </w:pPr>
          </w:p>
        </w:tc>
        <w:tc>
          <w:tcPr>
            <w:tcW w:w="591" w:type="pct"/>
          </w:tcPr>
          <w:p w14:paraId="0B97EEE0" w14:textId="77777777" w:rsidR="00D63B70" w:rsidRPr="006D52A9" w:rsidRDefault="00D63B70" w:rsidP="00D63B70">
            <w:pPr>
              <w:rPr>
                <w:rFonts w:ascii="Arial" w:hAnsi="Arial" w:cs="Arial"/>
                <w:sz w:val="16"/>
                <w:szCs w:val="16"/>
              </w:rPr>
            </w:pPr>
            <w:r w:rsidRPr="006D52A9">
              <w:rPr>
                <w:rFonts w:ascii="Arial" w:hAnsi="Arial" w:cs="Arial"/>
                <w:sz w:val="16"/>
                <w:szCs w:val="16"/>
              </w:rPr>
              <w:t>Viread</w:t>
            </w:r>
          </w:p>
        </w:tc>
        <w:tc>
          <w:tcPr>
            <w:tcW w:w="894" w:type="pct"/>
          </w:tcPr>
          <w:p w14:paraId="5EB3BBAC"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3033AD72"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P6980 P6982 P6983 P6984 P6992 P6998</w:t>
            </w:r>
          </w:p>
        </w:tc>
        <w:tc>
          <w:tcPr>
            <w:tcW w:w="499" w:type="pct"/>
          </w:tcPr>
          <w:p w14:paraId="4991C0D6"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79FA41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2BCFCF7E" w14:textId="77777777" w:rsidTr="00A91628">
        <w:tblPrEx>
          <w:tblBorders>
            <w:top w:val="single" w:sz="4" w:space="0" w:color="auto"/>
          </w:tblBorders>
        </w:tblPrEx>
        <w:trPr>
          <w:cantSplit/>
          <w:tblCellSpacing w:w="22" w:type="dxa"/>
        </w:trPr>
        <w:tc>
          <w:tcPr>
            <w:tcW w:w="508" w:type="pct"/>
          </w:tcPr>
          <w:p w14:paraId="7D88E8F1" w14:textId="77777777" w:rsidR="00D63B70" w:rsidRPr="006D52A9" w:rsidDel="00EA247A" w:rsidRDefault="00D63B70" w:rsidP="00D63B70">
            <w:pPr>
              <w:rPr>
                <w:rFonts w:ascii="Arial" w:hAnsi="Arial" w:cs="Arial"/>
                <w:sz w:val="16"/>
                <w:szCs w:val="16"/>
              </w:rPr>
            </w:pPr>
          </w:p>
        </w:tc>
        <w:tc>
          <w:tcPr>
            <w:tcW w:w="943" w:type="pct"/>
          </w:tcPr>
          <w:p w14:paraId="085D68FB"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tenofovir disoproxil maleate 300 mg</w:t>
            </w:r>
          </w:p>
        </w:tc>
        <w:tc>
          <w:tcPr>
            <w:tcW w:w="540" w:type="pct"/>
          </w:tcPr>
          <w:p w14:paraId="02910961"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1217774" w14:textId="77777777" w:rsidR="00D63B70" w:rsidRPr="006D52A9" w:rsidRDefault="00D63B70" w:rsidP="00D63B70">
            <w:pPr>
              <w:rPr>
                <w:rFonts w:ascii="Arial" w:hAnsi="Arial" w:cs="Arial"/>
                <w:sz w:val="16"/>
                <w:szCs w:val="16"/>
              </w:rPr>
            </w:pPr>
            <w:r w:rsidRPr="006D52A9">
              <w:rPr>
                <w:rFonts w:ascii="Arial" w:hAnsi="Arial" w:cs="Arial"/>
                <w:sz w:val="16"/>
                <w:szCs w:val="16"/>
              </w:rPr>
              <w:t>Tenofovir Disoproxil Mylan</w:t>
            </w:r>
          </w:p>
        </w:tc>
        <w:tc>
          <w:tcPr>
            <w:tcW w:w="894" w:type="pct"/>
          </w:tcPr>
          <w:p w14:paraId="4BF04CDF"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5CC1EC8A"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P10362</w:t>
            </w:r>
          </w:p>
        </w:tc>
        <w:tc>
          <w:tcPr>
            <w:tcW w:w="499" w:type="pct"/>
          </w:tcPr>
          <w:p w14:paraId="169C48B2"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49D90FC"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EA247A" w14:paraId="6C855453" w14:textId="77777777" w:rsidTr="00A91628">
        <w:tblPrEx>
          <w:tblBorders>
            <w:top w:val="single" w:sz="4" w:space="0" w:color="auto"/>
          </w:tblBorders>
        </w:tblPrEx>
        <w:trPr>
          <w:cantSplit/>
          <w:tblCellSpacing w:w="22" w:type="dxa"/>
        </w:trPr>
        <w:tc>
          <w:tcPr>
            <w:tcW w:w="508" w:type="pct"/>
          </w:tcPr>
          <w:p w14:paraId="5E57D43C" w14:textId="77777777" w:rsidR="00D63B70" w:rsidRPr="006D52A9" w:rsidDel="00EA247A" w:rsidRDefault="00D63B70" w:rsidP="00D63B70">
            <w:pPr>
              <w:rPr>
                <w:rFonts w:ascii="Arial" w:hAnsi="Arial" w:cs="Arial"/>
                <w:sz w:val="16"/>
                <w:szCs w:val="16"/>
              </w:rPr>
            </w:pPr>
          </w:p>
        </w:tc>
        <w:tc>
          <w:tcPr>
            <w:tcW w:w="943" w:type="pct"/>
          </w:tcPr>
          <w:p w14:paraId="6A75FC3A" w14:textId="77777777" w:rsidR="00D63B70" w:rsidRPr="006D52A9" w:rsidRDefault="00D63B70" w:rsidP="00D63B70">
            <w:pPr>
              <w:rPr>
                <w:rFonts w:ascii="Arial" w:hAnsi="Arial" w:cs="Arial"/>
                <w:sz w:val="16"/>
                <w:szCs w:val="16"/>
              </w:rPr>
            </w:pPr>
          </w:p>
        </w:tc>
        <w:tc>
          <w:tcPr>
            <w:tcW w:w="540" w:type="pct"/>
          </w:tcPr>
          <w:p w14:paraId="4B5A35A1" w14:textId="77777777" w:rsidR="00D63B70" w:rsidRPr="006D52A9" w:rsidRDefault="00D63B70" w:rsidP="00D63B70">
            <w:pPr>
              <w:rPr>
                <w:rFonts w:ascii="Arial" w:hAnsi="Arial" w:cs="Arial"/>
                <w:sz w:val="16"/>
                <w:szCs w:val="16"/>
              </w:rPr>
            </w:pPr>
          </w:p>
        </w:tc>
        <w:tc>
          <w:tcPr>
            <w:tcW w:w="591" w:type="pct"/>
          </w:tcPr>
          <w:p w14:paraId="5EC8454B" w14:textId="77777777" w:rsidR="00D63B70" w:rsidRPr="006D52A9" w:rsidRDefault="00D63B70" w:rsidP="00D63B70">
            <w:pPr>
              <w:rPr>
                <w:rFonts w:ascii="Arial" w:hAnsi="Arial" w:cs="Arial"/>
                <w:sz w:val="16"/>
                <w:szCs w:val="16"/>
              </w:rPr>
            </w:pPr>
          </w:p>
        </w:tc>
        <w:tc>
          <w:tcPr>
            <w:tcW w:w="894" w:type="pct"/>
          </w:tcPr>
          <w:p w14:paraId="441725FD"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47192949"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P6980 P6982 P6983 P6984 P6992 P6998</w:t>
            </w:r>
          </w:p>
        </w:tc>
        <w:tc>
          <w:tcPr>
            <w:tcW w:w="499" w:type="pct"/>
          </w:tcPr>
          <w:p w14:paraId="2B51AF36"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77BB6E5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6547199F" w14:textId="77777777" w:rsidTr="00A91628">
        <w:tblPrEx>
          <w:tblBorders>
            <w:top w:val="single" w:sz="4" w:space="0" w:color="auto"/>
          </w:tblBorders>
        </w:tblPrEx>
        <w:trPr>
          <w:cantSplit/>
          <w:tblCellSpacing w:w="22" w:type="dxa"/>
        </w:trPr>
        <w:tc>
          <w:tcPr>
            <w:tcW w:w="508" w:type="pct"/>
          </w:tcPr>
          <w:p w14:paraId="5200E811" w14:textId="77777777" w:rsidR="00D63B70" w:rsidRPr="006D52A9" w:rsidDel="00EA247A" w:rsidRDefault="00D63B70" w:rsidP="00D63B70">
            <w:pPr>
              <w:rPr>
                <w:rFonts w:ascii="Arial" w:hAnsi="Arial" w:cs="Arial"/>
                <w:sz w:val="16"/>
                <w:szCs w:val="16"/>
              </w:rPr>
            </w:pPr>
          </w:p>
        </w:tc>
        <w:tc>
          <w:tcPr>
            <w:tcW w:w="943" w:type="pct"/>
          </w:tcPr>
          <w:p w14:paraId="07D3AE05"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tenofovir disoproxil phosphate 291 mg</w:t>
            </w:r>
          </w:p>
        </w:tc>
        <w:tc>
          <w:tcPr>
            <w:tcW w:w="540" w:type="pct"/>
          </w:tcPr>
          <w:p w14:paraId="5EC7A12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2B7D2204" w14:textId="77777777" w:rsidR="00D63B70" w:rsidRPr="006D52A9" w:rsidRDefault="00D63B70" w:rsidP="00D63B70">
            <w:pPr>
              <w:rPr>
                <w:rFonts w:ascii="Arial" w:hAnsi="Arial" w:cs="Arial"/>
                <w:sz w:val="16"/>
                <w:szCs w:val="16"/>
              </w:rPr>
            </w:pPr>
            <w:r w:rsidRPr="006D52A9">
              <w:rPr>
                <w:rFonts w:ascii="Arial" w:hAnsi="Arial" w:cs="Arial"/>
                <w:sz w:val="16"/>
                <w:szCs w:val="16"/>
              </w:rPr>
              <w:t>Tenofovir GH</w:t>
            </w:r>
          </w:p>
        </w:tc>
        <w:tc>
          <w:tcPr>
            <w:tcW w:w="894" w:type="pct"/>
          </w:tcPr>
          <w:p w14:paraId="7A8EC1AD"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51A8FBF6"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P10362</w:t>
            </w:r>
          </w:p>
        </w:tc>
        <w:tc>
          <w:tcPr>
            <w:tcW w:w="499" w:type="pct"/>
          </w:tcPr>
          <w:p w14:paraId="5AD6FEC8"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4F92683"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EA247A" w14:paraId="584F56F7" w14:textId="77777777" w:rsidTr="00A91628">
        <w:tblPrEx>
          <w:tblBorders>
            <w:top w:val="single" w:sz="4" w:space="0" w:color="auto"/>
          </w:tblBorders>
        </w:tblPrEx>
        <w:trPr>
          <w:cantSplit/>
          <w:tblCellSpacing w:w="22" w:type="dxa"/>
        </w:trPr>
        <w:tc>
          <w:tcPr>
            <w:tcW w:w="508" w:type="pct"/>
          </w:tcPr>
          <w:p w14:paraId="73AEE524" w14:textId="77777777" w:rsidR="00D63B70" w:rsidRPr="006D52A9" w:rsidDel="00EA247A" w:rsidRDefault="00D63B70" w:rsidP="00D63B70">
            <w:pPr>
              <w:rPr>
                <w:rFonts w:ascii="Arial" w:hAnsi="Arial" w:cs="Arial"/>
                <w:sz w:val="16"/>
                <w:szCs w:val="16"/>
              </w:rPr>
            </w:pPr>
          </w:p>
        </w:tc>
        <w:tc>
          <w:tcPr>
            <w:tcW w:w="943" w:type="pct"/>
          </w:tcPr>
          <w:p w14:paraId="17998400" w14:textId="77777777" w:rsidR="00D63B70" w:rsidRPr="006D52A9" w:rsidRDefault="00D63B70" w:rsidP="00D63B70">
            <w:pPr>
              <w:rPr>
                <w:rFonts w:ascii="Arial" w:hAnsi="Arial" w:cs="Arial"/>
                <w:sz w:val="16"/>
                <w:szCs w:val="16"/>
              </w:rPr>
            </w:pPr>
          </w:p>
        </w:tc>
        <w:tc>
          <w:tcPr>
            <w:tcW w:w="540" w:type="pct"/>
          </w:tcPr>
          <w:p w14:paraId="7769B975" w14:textId="77777777" w:rsidR="00D63B70" w:rsidRPr="006D52A9" w:rsidRDefault="00D63B70" w:rsidP="00D63B70">
            <w:pPr>
              <w:rPr>
                <w:rFonts w:ascii="Arial" w:hAnsi="Arial" w:cs="Arial"/>
                <w:sz w:val="16"/>
                <w:szCs w:val="16"/>
              </w:rPr>
            </w:pPr>
          </w:p>
        </w:tc>
        <w:tc>
          <w:tcPr>
            <w:tcW w:w="591" w:type="pct"/>
          </w:tcPr>
          <w:p w14:paraId="2DFCA5F5" w14:textId="77777777" w:rsidR="00D63B70" w:rsidRPr="006D52A9" w:rsidRDefault="00D63B70" w:rsidP="00D63B70">
            <w:pPr>
              <w:rPr>
                <w:rFonts w:ascii="Arial" w:hAnsi="Arial" w:cs="Arial"/>
                <w:sz w:val="16"/>
                <w:szCs w:val="16"/>
              </w:rPr>
            </w:pPr>
          </w:p>
        </w:tc>
        <w:tc>
          <w:tcPr>
            <w:tcW w:w="894" w:type="pct"/>
          </w:tcPr>
          <w:p w14:paraId="50776392" w14:textId="77777777" w:rsidR="00D63B70" w:rsidRPr="006D52A9" w:rsidRDefault="00D63B70" w:rsidP="00D63B70">
            <w:pPr>
              <w:rPr>
                <w:rFonts w:ascii="Arial" w:hAnsi="Arial" w:cs="Arial"/>
                <w:sz w:val="16"/>
                <w:szCs w:val="16"/>
              </w:rPr>
            </w:pPr>
            <w:r w:rsidRPr="006D52A9">
              <w:rPr>
                <w:rFonts w:ascii="Arial" w:hAnsi="Arial" w:cs="Arial"/>
                <w:sz w:val="16"/>
                <w:szCs w:val="16"/>
              </w:rPr>
              <w:t>C6980 C6982 C6983 C6984 C6992 C6998 C10362</w:t>
            </w:r>
          </w:p>
        </w:tc>
        <w:tc>
          <w:tcPr>
            <w:tcW w:w="376" w:type="pct"/>
          </w:tcPr>
          <w:p w14:paraId="0F33C164"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P6980 P6982 P6983 P6984 P6992 P6998</w:t>
            </w:r>
          </w:p>
        </w:tc>
        <w:tc>
          <w:tcPr>
            <w:tcW w:w="499" w:type="pct"/>
          </w:tcPr>
          <w:p w14:paraId="4F8EDBA4"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368CF2E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D9A3F01" w14:textId="77777777" w:rsidTr="00A91628">
        <w:tblPrEx>
          <w:tblBorders>
            <w:top w:val="single" w:sz="4" w:space="0" w:color="auto"/>
          </w:tblBorders>
        </w:tblPrEx>
        <w:trPr>
          <w:cantSplit/>
          <w:tblCellSpacing w:w="22" w:type="dxa"/>
        </w:trPr>
        <w:tc>
          <w:tcPr>
            <w:tcW w:w="508" w:type="pct"/>
          </w:tcPr>
          <w:p w14:paraId="76C833C5"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Tenofovir alafenamide with emtricitabine, elvitegravir and cobicistat</w:t>
            </w:r>
          </w:p>
        </w:tc>
        <w:tc>
          <w:tcPr>
            <w:tcW w:w="943" w:type="pct"/>
          </w:tcPr>
          <w:p w14:paraId="7976F7EF" w14:textId="77777777" w:rsidR="00D63B70" w:rsidRPr="006D52A9" w:rsidRDefault="00D63B70" w:rsidP="00D63B70">
            <w:pPr>
              <w:rPr>
                <w:rFonts w:ascii="Arial" w:hAnsi="Arial" w:cs="Arial"/>
                <w:sz w:val="16"/>
                <w:szCs w:val="16"/>
              </w:rPr>
            </w:pPr>
            <w:r w:rsidRPr="006D52A9">
              <w:rPr>
                <w:rFonts w:ascii="Arial" w:hAnsi="Arial" w:cs="Arial"/>
                <w:sz w:val="16"/>
                <w:szCs w:val="16"/>
              </w:rPr>
              <w:t>Tablet containing tenofovir alafenamide 10 mg with emtricitabine 200 mg, elvitegravir 150 mg and cobicistat 150 mg</w:t>
            </w:r>
          </w:p>
        </w:tc>
        <w:tc>
          <w:tcPr>
            <w:tcW w:w="540" w:type="pct"/>
          </w:tcPr>
          <w:p w14:paraId="64129744"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841E6E4" w14:textId="77777777" w:rsidR="00D63B70" w:rsidRPr="006D52A9" w:rsidRDefault="00D63B70" w:rsidP="00D63B70">
            <w:pPr>
              <w:rPr>
                <w:rFonts w:ascii="Arial" w:hAnsi="Arial" w:cs="Arial"/>
                <w:sz w:val="16"/>
                <w:szCs w:val="16"/>
              </w:rPr>
            </w:pPr>
            <w:r w:rsidRPr="006D52A9">
              <w:rPr>
                <w:rFonts w:ascii="Arial" w:hAnsi="Arial" w:cs="Arial"/>
                <w:sz w:val="16"/>
                <w:szCs w:val="16"/>
              </w:rPr>
              <w:t>Genvoya</w:t>
            </w:r>
          </w:p>
        </w:tc>
        <w:tc>
          <w:tcPr>
            <w:tcW w:w="894" w:type="pct"/>
          </w:tcPr>
          <w:p w14:paraId="534394D7" w14:textId="77777777" w:rsidR="00D63B70" w:rsidRPr="006D52A9" w:rsidRDefault="00D63B70" w:rsidP="00D63B70">
            <w:pPr>
              <w:rPr>
                <w:rFonts w:ascii="Arial" w:hAnsi="Arial" w:cs="Arial"/>
                <w:sz w:val="16"/>
                <w:szCs w:val="16"/>
              </w:rPr>
            </w:pPr>
            <w:r w:rsidRPr="006D52A9">
              <w:rPr>
                <w:rFonts w:ascii="Arial" w:hAnsi="Arial" w:cs="Arial"/>
                <w:sz w:val="16"/>
                <w:szCs w:val="16"/>
              </w:rPr>
              <w:t>C4470 C4522</w:t>
            </w:r>
          </w:p>
        </w:tc>
        <w:tc>
          <w:tcPr>
            <w:tcW w:w="376" w:type="pct"/>
          </w:tcPr>
          <w:p w14:paraId="62B1D80A" w14:textId="77777777" w:rsidR="00D63B70" w:rsidRPr="006D52A9" w:rsidRDefault="00D63B70" w:rsidP="00D63B70">
            <w:pPr>
              <w:rPr>
                <w:rFonts w:ascii="Arial" w:hAnsi="Arial" w:cs="Arial"/>
                <w:sz w:val="16"/>
                <w:szCs w:val="16"/>
              </w:rPr>
            </w:pPr>
          </w:p>
        </w:tc>
        <w:tc>
          <w:tcPr>
            <w:tcW w:w="499" w:type="pct"/>
          </w:tcPr>
          <w:p w14:paraId="5BB9F2F7" w14:textId="77777777" w:rsidR="00D63B70" w:rsidRPr="006D52A9"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07AAC6D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71D0219A" w14:textId="77777777" w:rsidTr="00A91628">
        <w:tblPrEx>
          <w:tblBorders>
            <w:top w:val="single" w:sz="4" w:space="0" w:color="auto"/>
          </w:tblBorders>
        </w:tblPrEx>
        <w:trPr>
          <w:cantSplit/>
          <w:tblCellSpacing w:w="22" w:type="dxa"/>
        </w:trPr>
        <w:tc>
          <w:tcPr>
            <w:tcW w:w="508" w:type="pct"/>
          </w:tcPr>
          <w:p w14:paraId="616FE599"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Tenofovir with emtricitabine</w:t>
            </w:r>
          </w:p>
        </w:tc>
        <w:tc>
          <w:tcPr>
            <w:tcW w:w="943" w:type="pct"/>
          </w:tcPr>
          <w:p w14:paraId="1CC80F6D"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Tablet containing tenofovir disoproxil fumarate 300 mg with emtricitabine 200 mg</w:t>
            </w:r>
          </w:p>
        </w:tc>
        <w:tc>
          <w:tcPr>
            <w:tcW w:w="540" w:type="pct"/>
          </w:tcPr>
          <w:p w14:paraId="42049134"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443521B"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Tenofovir/Emtricitabine 300/200 APOTEX</w:t>
            </w:r>
          </w:p>
        </w:tc>
        <w:tc>
          <w:tcPr>
            <w:tcW w:w="894" w:type="pct"/>
          </w:tcPr>
          <w:p w14:paraId="65B1A3F5"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C6985 C6986</w:t>
            </w:r>
          </w:p>
        </w:tc>
        <w:tc>
          <w:tcPr>
            <w:tcW w:w="376" w:type="pct"/>
          </w:tcPr>
          <w:p w14:paraId="6AEBD926" w14:textId="77777777" w:rsidR="00D63B70" w:rsidRPr="006D52A9" w:rsidDel="00EA247A" w:rsidRDefault="00D63B70" w:rsidP="00D63B70">
            <w:pPr>
              <w:rPr>
                <w:rFonts w:ascii="Arial" w:hAnsi="Arial" w:cs="Arial"/>
                <w:sz w:val="16"/>
                <w:szCs w:val="16"/>
              </w:rPr>
            </w:pPr>
          </w:p>
        </w:tc>
        <w:tc>
          <w:tcPr>
            <w:tcW w:w="499" w:type="pct"/>
          </w:tcPr>
          <w:p w14:paraId="74F67D43"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F307A49"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1E4F26DC" w14:textId="77777777" w:rsidTr="00A91628">
        <w:tblPrEx>
          <w:tblBorders>
            <w:top w:val="single" w:sz="4" w:space="0" w:color="auto"/>
          </w:tblBorders>
        </w:tblPrEx>
        <w:trPr>
          <w:cantSplit/>
          <w:tblCellSpacing w:w="22" w:type="dxa"/>
        </w:trPr>
        <w:tc>
          <w:tcPr>
            <w:tcW w:w="508" w:type="pct"/>
          </w:tcPr>
          <w:p w14:paraId="58A5FE0A" w14:textId="77777777" w:rsidR="00D63B70" w:rsidRPr="006D52A9" w:rsidDel="00EA247A" w:rsidRDefault="00D63B70" w:rsidP="00D63B70">
            <w:pPr>
              <w:rPr>
                <w:rFonts w:ascii="Arial" w:hAnsi="Arial" w:cs="Arial"/>
                <w:sz w:val="16"/>
                <w:szCs w:val="16"/>
              </w:rPr>
            </w:pPr>
          </w:p>
        </w:tc>
        <w:tc>
          <w:tcPr>
            <w:tcW w:w="943" w:type="pct"/>
          </w:tcPr>
          <w:p w14:paraId="730FB174"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Tablet containing tenofovir disoproxil maleate 300 mg with emtricitabine 200 mg</w:t>
            </w:r>
          </w:p>
        </w:tc>
        <w:tc>
          <w:tcPr>
            <w:tcW w:w="540" w:type="pct"/>
          </w:tcPr>
          <w:p w14:paraId="3C179797"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701F5DC9"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Tenofovir Disoproxil Emtricitabine Mylan 300/200</w:t>
            </w:r>
          </w:p>
        </w:tc>
        <w:tc>
          <w:tcPr>
            <w:tcW w:w="894" w:type="pct"/>
          </w:tcPr>
          <w:p w14:paraId="7E5DD15E"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C6985 C6986</w:t>
            </w:r>
          </w:p>
        </w:tc>
        <w:tc>
          <w:tcPr>
            <w:tcW w:w="376" w:type="pct"/>
          </w:tcPr>
          <w:p w14:paraId="7035EBF8" w14:textId="77777777" w:rsidR="00D63B70" w:rsidRPr="006D52A9" w:rsidDel="00EA247A" w:rsidRDefault="00D63B70" w:rsidP="00D63B70">
            <w:pPr>
              <w:rPr>
                <w:rFonts w:ascii="Arial" w:hAnsi="Arial" w:cs="Arial"/>
                <w:sz w:val="16"/>
                <w:szCs w:val="16"/>
              </w:rPr>
            </w:pPr>
          </w:p>
        </w:tc>
        <w:tc>
          <w:tcPr>
            <w:tcW w:w="499" w:type="pct"/>
          </w:tcPr>
          <w:p w14:paraId="5FAA8DCA"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D0E7299"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5</w:t>
            </w:r>
          </w:p>
        </w:tc>
      </w:tr>
      <w:tr w:rsidR="00D63B70" w:rsidRPr="006D52A9" w:rsidDel="00EA247A" w14:paraId="7CB8D752" w14:textId="77777777" w:rsidTr="00A91628">
        <w:tblPrEx>
          <w:tblBorders>
            <w:top w:val="single" w:sz="4" w:space="0" w:color="auto"/>
          </w:tblBorders>
        </w:tblPrEx>
        <w:trPr>
          <w:cantSplit/>
          <w:tblCellSpacing w:w="22" w:type="dxa"/>
        </w:trPr>
        <w:tc>
          <w:tcPr>
            <w:tcW w:w="508" w:type="pct"/>
          </w:tcPr>
          <w:p w14:paraId="5D928024" w14:textId="77777777" w:rsidR="00D63B70" w:rsidRPr="006D52A9" w:rsidDel="00EA247A" w:rsidRDefault="00D63B70" w:rsidP="00D63B70">
            <w:pPr>
              <w:rPr>
                <w:rFonts w:ascii="Arial" w:hAnsi="Arial" w:cs="Arial"/>
                <w:sz w:val="16"/>
                <w:szCs w:val="16"/>
              </w:rPr>
            </w:pPr>
          </w:p>
        </w:tc>
        <w:tc>
          <w:tcPr>
            <w:tcW w:w="943" w:type="pct"/>
          </w:tcPr>
          <w:p w14:paraId="584AC416"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Tablet containing tenofovir disoproxil phosphate 291 mg with emtricitabine 200 mg</w:t>
            </w:r>
          </w:p>
        </w:tc>
        <w:tc>
          <w:tcPr>
            <w:tcW w:w="540" w:type="pct"/>
          </w:tcPr>
          <w:p w14:paraId="4751661F"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8C77CD8"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Tenofovir EMT GH</w:t>
            </w:r>
          </w:p>
        </w:tc>
        <w:tc>
          <w:tcPr>
            <w:tcW w:w="894" w:type="pct"/>
          </w:tcPr>
          <w:p w14:paraId="380D2C2F"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C6985 C6986</w:t>
            </w:r>
          </w:p>
        </w:tc>
        <w:tc>
          <w:tcPr>
            <w:tcW w:w="376" w:type="pct"/>
          </w:tcPr>
          <w:p w14:paraId="6C64C603" w14:textId="77777777" w:rsidR="00D63B70" w:rsidRPr="006D52A9" w:rsidDel="00EA247A" w:rsidRDefault="00D63B70" w:rsidP="00D63B70">
            <w:pPr>
              <w:rPr>
                <w:rFonts w:ascii="Arial" w:hAnsi="Arial" w:cs="Arial"/>
                <w:sz w:val="16"/>
                <w:szCs w:val="16"/>
              </w:rPr>
            </w:pPr>
          </w:p>
        </w:tc>
        <w:tc>
          <w:tcPr>
            <w:tcW w:w="499" w:type="pct"/>
          </w:tcPr>
          <w:p w14:paraId="710D511B"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60</w:t>
            </w:r>
          </w:p>
        </w:tc>
        <w:tc>
          <w:tcPr>
            <w:tcW w:w="502" w:type="pct"/>
          </w:tcPr>
          <w:p w14:paraId="26ED67EE" w14:textId="77777777" w:rsidR="00D63B70" w:rsidRPr="006D52A9" w:rsidDel="00EA247A"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245D042C" w14:textId="77777777" w:rsidTr="00A91628">
        <w:tblPrEx>
          <w:tblBorders>
            <w:top w:val="single" w:sz="4" w:space="0" w:color="auto"/>
          </w:tblBorders>
        </w:tblPrEx>
        <w:trPr>
          <w:cantSplit/>
          <w:tblCellSpacing w:w="22" w:type="dxa"/>
        </w:trPr>
        <w:tc>
          <w:tcPr>
            <w:tcW w:w="508" w:type="pct"/>
          </w:tcPr>
          <w:p w14:paraId="5A295807" w14:textId="77777777" w:rsidR="00D63B70" w:rsidRPr="006D52A9" w:rsidRDefault="00D63B70" w:rsidP="00D63B70">
            <w:pPr>
              <w:rPr>
                <w:rFonts w:ascii="Arial" w:hAnsi="Arial" w:cs="Arial"/>
                <w:sz w:val="16"/>
                <w:szCs w:val="16"/>
              </w:rPr>
            </w:pPr>
            <w:r w:rsidRPr="006D52A9">
              <w:rPr>
                <w:rFonts w:ascii="Arial" w:hAnsi="Arial" w:cs="Arial"/>
                <w:sz w:val="16"/>
                <w:szCs w:val="16"/>
              </w:rPr>
              <w:t>Tenofovir with emtricitabine and efavirenz</w:t>
            </w:r>
          </w:p>
        </w:tc>
        <w:tc>
          <w:tcPr>
            <w:tcW w:w="943" w:type="pct"/>
          </w:tcPr>
          <w:p w14:paraId="7F22EC77" w14:textId="77777777" w:rsidR="00D63B70" w:rsidRPr="006D52A9" w:rsidRDefault="00D63B70" w:rsidP="00D63B70">
            <w:pPr>
              <w:rPr>
                <w:rFonts w:ascii="Arial" w:hAnsi="Arial" w:cs="Arial"/>
                <w:sz w:val="16"/>
                <w:szCs w:val="16"/>
              </w:rPr>
            </w:pPr>
            <w:r w:rsidRPr="006D52A9">
              <w:rPr>
                <w:rFonts w:ascii="Arial" w:hAnsi="Arial" w:cs="Arial"/>
                <w:sz w:val="16"/>
              </w:rPr>
              <w:t>Tablet containing tenofovir disoproxil maleate 300 mg with emtricitabine 200 mg and efavirenz 600 mg</w:t>
            </w:r>
          </w:p>
        </w:tc>
        <w:tc>
          <w:tcPr>
            <w:tcW w:w="540" w:type="pct"/>
          </w:tcPr>
          <w:p w14:paraId="79D68EF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737456A" w14:textId="77777777" w:rsidR="00D63B70" w:rsidRPr="006D52A9" w:rsidRDefault="00D63B70" w:rsidP="00D63B70">
            <w:pPr>
              <w:rPr>
                <w:rFonts w:ascii="Arial" w:hAnsi="Arial" w:cs="Arial"/>
                <w:sz w:val="16"/>
                <w:szCs w:val="16"/>
              </w:rPr>
            </w:pPr>
            <w:r w:rsidRPr="006D52A9">
              <w:rPr>
                <w:rFonts w:ascii="Arial" w:hAnsi="Arial" w:cs="Arial"/>
                <w:sz w:val="16"/>
              </w:rPr>
              <w:t>Tenofovir Disoproxil/Emtricitabine/Efavirenz Mylan 300/200/600</w:t>
            </w:r>
          </w:p>
        </w:tc>
        <w:tc>
          <w:tcPr>
            <w:tcW w:w="894" w:type="pct"/>
          </w:tcPr>
          <w:p w14:paraId="5E6EC973" w14:textId="77777777" w:rsidR="00D63B70" w:rsidRPr="006D52A9" w:rsidRDefault="00D63B70" w:rsidP="00D63B70">
            <w:pPr>
              <w:rPr>
                <w:rFonts w:ascii="Arial" w:hAnsi="Arial" w:cs="Arial"/>
                <w:sz w:val="16"/>
                <w:szCs w:val="16"/>
              </w:rPr>
            </w:pPr>
            <w:r w:rsidRPr="006D52A9">
              <w:rPr>
                <w:rFonts w:ascii="Arial" w:hAnsi="Arial" w:cs="Arial"/>
                <w:sz w:val="16"/>
              </w:rPr>
              <w:t>C4470 C4522</w:t>
            </w:r>
          </w:p>
        </w:tc>
        <w:tc>
          <w:tcPr>
            <w:tcW w:w="376" w:type="pct"/>
          </w:tcPr>
          <w:p w14:paraId="5B3327BA" w14:textId="77777777" w:rsidR="00D63B70" w:rsidRPr="006D52A9" w:rsidRDefault="00D63B70" w:rsidP="00D63B70">
            <w:pPr>
              <w:rPr>
                <w:rFonts w:ascii="Arial" w:hAnsi="Arial" w:cs="Arial"/>
                <w:sz w:val="16"/>
                <w:szCs w:val="16"/>
              </w:rPr>
            </w:pPr>
          </w:p>
        </w:tc>
        <w:tc>
          <w:tcPr>
            <w:tcW w:w="499" w:type="pct"/>
          </w:tcPr>
          <w:p w14:paraId="5487FA70" w14:textId="77777777" w:rsidR="00D63B70" w:rsidRPr="006D52A9" w:rsidRDefault="00D63B70" w:rsidP="00D63B70">
            <w:pPr>
              <w:rPr>
                <w:rFonts w:ascii="Arial" w:hAnsi="Arial" w:cs="Arial"/>
                <w:sz w:val="16"/>
                <w:szCs w:val="16"/>
              </w:rPr>
            </w:pPr>
            <w:r w:rsidRPr="006D52A9">
              <w:rPr>
                <w:rFonts w:ascii="Arial" w:hAnsi="Arial" w:cs="Arial"/>
                <w:sz w:val="16"/>
              </w:rPr>
              <w:t>60</w:t>
            </w:r>
          </w:p>
        </w:tc>
        <w:tc>
          <w:tcPr>
            <w:tcW w:w="502" w:type="pct"/>
          </w:tcPr>
          <w:p w14:paraId="7F9F7BCA" w14:textId="77777777" w:rsidR="00D63B70" w:rsidRPr="006D52A9" w:rsidRDefault="00D63B70" w:rsidP="00D63B70">
            <w:pPr>
              <w:rPr>
                <w:rFonts w:ascii="Arial" w:hAnsi="Arial" w:cs="Arial"/>
                <w:sz w:val="16"/>
                <w:szCs w:val="16"/>
              </w:rPr>
            </w:pPr>
            <w:r w:rsidRPr="006D52A9">
              <w:rPr>
                <w:rFonts w:ascii="Arial" w:hAnsi="Arial" w:cs="Arial"/>
                <w:sz w:val="16"/>
              </w:rPr>
              <w:t>5</w:t>
            </w:r>
          </w:p>
        </w:tc>
      </w:tr>
      <w:tr w:rsidR="00D63B70" w:rsidRPr="006D52A9" w14:paraId="112CAE63" w14:textId="77777777" w:rsidTr="00A91628">
        <w:tblPrEx>
          <w:tblBorders>
            <w:top w:val="single" w:sz="4" w:space="0" w:color="auto"/>
          </w:tblBorders>
        </w:tblPrEx>
        <w:trPr>
          <w:cantSplit/>
          <w:tblCellSpacing w:w="22" w:type="dxa"/>
        </w:trPr>
        <w:tc>
          <w:tcPr>
            <w:tcW w:w="508" w:type="pct"/>
          </w:tcPr>
          <w:p w14:paraId="1F75D557" w14:textId="77777777" w:rsidR="00D63B70" w:rsidRPr="006D52A9" w:rsidRDefault="00D63B70" w:rsidP="00D63B70">
            <w:pPr>
              <w:rPr>
                <w:rFonts w:ascii="Arial" w:hAnsi="Arial" w:cs="Arial"/>
                <w:sz w:val="16"/>
                <w:szCs w:val="16"/>
              </w:rPr>
            </w:pPr>
            <w:r w:rsidRPr="006D52A9">
              <w:rPr>
                <w:rFonts w:ascii="Arial" w:hAnsi="Arial" w:cs="Arial"/>
                <w:sz w:val="16"/>
                <w:szCs w:val="16"/>
              </w:rPr>
              <w:t>Tezacaftor with ivacaftor and ivacaftor</w:t>
            </w:r>
          </w:p>
        </w:tc>
        <w:tc>
          <w:tcPr>
            <w:tcW w:w="943" w:type="pct"/>
          </w:tcPr>
          <w:p w14:paraId="06863DC8" w14:textId="77777777" w:rsidR="00D63B70" w:rsidRPr="006D52A9" w:rsidRDefault="00D63B70" w:rsidP="00D63B70">
            <w:pPr>
              <w:rPr>
                <w:rFonts w:ascii="Arial" w:hAnsi="Arial" w:cs="Arial"/>
                <w:sz w:val="16"/>
                <w:szCs w:val="16"/>
              </w:rPr>
            </w:pPr>
            <w:r w:rsidRPr="006D52A9">
              <w:rPr>
                <w:rFonts w:ascii="Arial" w:hAnsi="Arial" w:cs="Arial"/>
                <w:sz w:val="16"/>
                <w:szCs w:val="16"/>
              </w:rPr>
              <w:t>Pack containing 28 tablets tezacaftor 100 mg with ivacaftor 150 mg and 28 tablets ivacaftor 150 mg</w:t>
            </w:r>
          </w:p>
        </w:tc>
        <w:tc>
          <w:tcPr>
            <w:tcW w:w="540" w:type="pct"/>
          </w:tcPr>
          <w:p w14:paraId="66FCC69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0A5BA41E" w14:textId="77777777" w:rsidR="00D63B70" w:rsidRPr="006D52A9" w:rsidRDefault="00D63B70" w:rsidP="00D63B70">
            <w:pPr>
              <w:rPr>
                <w:rFonts w:ascii="Arial" w:hAnsi="Arial" w:cs="Arial"/>
                <w:sz w:val="16"/>
                <w:szCs w:val="16"/>
              </w:rPr>
            </w:pPr>
            <w:r w:rsidRPr="006D52A9">
              <w:rPr>
                <w:rFonts w:ascii="Arial" w:hAnsi="Arial" w:cs="Arial"/>
                <w:sz w:val="16"/>
                <w:szCs w:val="16"/>
              </w:rPr>
              <w:t>Symdeko</w:t>
            </w:r>
          </w:p>
        </w:tc>
        <w:tc>
          <w:tcPr>
            <w:tcW w:w="894" w:type="pct"/>
          </w:tcPr>
          <w:p w14:paraId="78B3BFC7" w14:textId="77777777" w:rsidR="00D63B70" w:rsidRPr="006D52A9" w:rsidRDefault="00D63B70" w:rsidP="00D63B70">
            <w:pPr>
              <w:rPr>
                <w:rFonts w:ascii="Arial" w:hAnsi="Arial" w:cs="Arial"/>
                <w:sz w:val="16"/>
                <w:szCs w:val="16"/>
              </w:rPr>
            </w:pPr>
            <w:r w:rsidRPr="006D52A9">
              <w:rPr>
                <w:rFonts w:ascii="Arial" w:hAnsi="Arial" w:cs="Arial"/>
                <w:sz w:val="16"/>
                <w:szCs w:val="16"/>
              </w:rPr>
              <w:t>C9880 C9961 C10064 C10069</w:t>
            </w:r>
          </w:p>
        </w:tc>
        <w:tc>
          <w:tcPr>
            <w:tcW w:w="376" w:type="pct"/>
          </w:tcPr>
          <w:p w14:paraId="22D12DEE" w14:textId="77777777" w:rsidR="00D63B70" w:rsidRPr="006D52A9" w:rsidRDefault="00D63B70" w:rsidP="00D63B70">
            <w:pPr>
              <w:rPr>
                <w:rFonts w:ascii="Arial" w:hAnsi="Arial" w:cs="Arial"/>
                <w:sz w:val="16"/>
                <w:szCs w:val="16"/>
              </w:rPr>
            </w:pPr>
          </w:p>
        </w:tc>
        <w:tc>
          <w:tcPr>
            <w:tcW w:w="499" w:type="pct"/>
          </w:tcPr>
          <w:p w14:paraId="4DDBC805"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03954961"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56AB4087" w14:textId="77777777" w:rsidTr="00A91628">
        <w:tblPrEx>
          <w:tblBorders>
            <w:top w:val="single" w:sz="4" w:space="0" w:color="auto"/>
          </w:tblBorders>
        </w:tblPrEx>
        <w:trPr>
          <w:cantSplit/>
          <w:tblCellSpacing w:w="22" w:type="dxa"/>
        </w:trPr>
        <w:tc>
          <w:tcPr>
            <w:tcW w:w="508" w:type="pct"/>
          </w:tcPr>
          <w:p w14:paraId="7A2ABC84" w14:textId="77777777" w:rsidR="00D63B70" w:rsidRPr="006D52A9" w:rsidRDefault="00D63B70" w:rsidP="00D63B70">
            <w:pPr>
              <w:rPr>
                <w:rFonts w:ascii="Arial" w:hAnsi="Arial" w:cs="Arial"/>
                <w:sz w:val="16"/>
                <w:szCs w:val="16"/>
              </w:rPr>
            </w:pPr>
            <w:r w:rsidRPr="006D52A9">
              <w:rPr>
                <w:rFonts w:ascii="Arial" w:hAnsi="Arial" w:cs="Arial"/>
                <w:sz w:val="16"/>
                <w:szCs w:val="16"/>
              </w:rPr>
              <w:t>Thalidomide</w:t>
            </w:r>
          </w:p>
        </w:tc>
        <w:tc>
          <w:tcPr>
            <w:tcW w:w="943" w:type="pct"/>
          </w:tcPr>
          <w:p w14:paraId="548F08C4" w14:textId="77777777" w:rsidR="00D63B70" w:rsidRPr="006D52A9" w:rsidRDefault="00D63B70" w:rsidP="00D63B70">
            <w:pPr>
              <w:rPr>
                <w:rFonts w:ascii="Arial" w:hAnsi="Arial" w:cs="Arial"/>
                <w:sz w:val="16"/>
                <w:szCs w:val="16"/>
              </w:rPr>
            </w:pPr>
            <w:r w:rsidRPr="006D52A9">
              <w:rPr>
                <w:rFonts w:ascii="Arial" w:hAnsi="Arial" w:cs="Arial"/>
                <w:sz w:val="16"/>
                <w:szCs w:val="16"/>
              </w:rPr>
              <w:t>Capsule 50 mg</w:t>
            </w:r>
          </w:p>
        </w:tc>
        <w:tc>
          <w:tcPr>
            <w:tcW w:w="540" w:type="pct"/>
          </w:tcPr>
          <w:p w14:paraId="0E5027F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418E8C5" w14:textId="77777777" w:rsidR="00D63B70" w:rsidRPr="006D52A9" w:rsidRDefault="00D63B70" w:rsidP="00D63B70">
            <w:pPr>
              <w:rPr>
                <w:rFonts w:ascii="Arial" w:hAnsi="Arial" w:cs="Arial"/>
                <w:sz w:val="16"/>
                <w:szCs w:val="16"/>
              </w:rPr>
            </w:pPr>
            <w:r w:rsidRPr="006D52A9">
              <w:rPr>
                <w:rFonts w:ascii="Arial" w:hAnsi="Arial" w:cs="Arial"/>
                <w:sz w:val="16"/>
                <w:szCs w:val="16"/>
              </w:rPr>
              <w:t>Thalomid</w:t>
            </w:r>
          </w:p>
        </w:tc>
        <w:tc>
          <w:tcPr>
            <w:tcW w:w="894" w:type="pct"/>
          </w:tcPr>
          <w:p w14:paraId="3AA6AB74" w14:textId="77777777" w:rsidR="00D63B70" w:rsidRPr="006D52A9" w:rsidRDefault="00D63B70" w:rsidP="00D63B70">
            <w:pPr>
              <w:rPr>
                <w:rFonts w:ascii="Arial" w:hAnsi="Arial" w:cs="Arial"/>
                <w:sz w:val="16"/>
                <w:szCs w:val="16"/>
              </w:rPr>
            </w:pPr>
            <w:r w:rsidRPr="006D52A9">
              <w:rPr>
                <w:rFonts w:ascii="Arial" w:hAnsi="Arial" w:cs="Arial"/>
                <w:sz w:val="16"/>
                <w:szCs w:val="16"/>
              </w:rPr>
              <w:t>C5914 C9290</w:t>
            </w:r>
          </w:p>
        </w:tc>
        <w:tc>
          <w:tcPr>
            <w:tcW w:w="376" w:type="pct"/>
          </w:tcPr>
          <w:p w14:paraId="270C4B79" w14:textId="77777777" w:rsidR="00D63B70" w:rsidRPr="006D52A9" w:rsidRDefault="00D63B70" w:rsidP="00D63B70">
            <w:pPr>
              <w:rPr>
                <w:rFonts w:ascii="Arial" w:hAnsi="Arial" w:cs="Arial"/>
                <w:sz w:val="16"/>
                <w:szCs w:val="16"/>
              </w:rPr>
            </w:pPr>
          </w:p>
        </w:tc>
        <w:tc>
          <w:tcPr>
            <w:tcW w:w="499" w:type="pct"/>
          </w:tcPr>
          <w:p w14:paraId="1DB81BA1" w14:textId="77777777" w:rsidR="00D63B70" w:rsidRPr="006D52A9" w:rsidRDefault="00D63B70" w:rsidP="00D63B70">
            <w:pPr>
              <w:rPr>
                <w:rFonts w:ascii="Arial" w:hAnsi="Arial" w:cs="Arial"/>
                <w:sz w:val="16"/>
                <w:szCs w:val="16"/>
              </w:rPr>
            </w:pPr>
            <w:r w:rsidRPr="006D52A9">
              <w:rPr>
                <w:rFonts w:ascii="Arial" w:hAnsi="Arial" w:cs="Arial"/>
                <w:sz w:val="16"/>
                <w:szCs w:val="16"/>
              </w:rPr>
              <w:t>112</w:t>
            </w:r>
          </w:p>
        </w:tc>
        <w:tc>
          <w:tcPr>
            <w:tcW w:w="502" w:type="pct"/>
          </w:tcPr>
          <w:p w14:paraId="3B08AB95"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14:paraId="0839CF22" w14:textId="77777777" w:rsidTr="00A91628">
        <w:tblPrEx>
          <w:tblBorders>
            <w:top w:val="single" w:sz="4" w:space="0" w:color="auto"/>
          </w:tblBorders>
        </w:tblPrEx>
        <w:trPr>
          <w:cantSplit/>
          <w:tblCellSpacing w:w="22" w:type="dxa"/>
        </w:trPr>
        <w:tc>
          <w:tcPr>
            <w:tcW w:w="508" w:type="pct"/>
          </w:tcPr>
          <w:p w14:paraId="02D76D3D" w14:textId="77777777" w:rsidR="00D63B70" w:rsidRPr="006D52A9" w:rsidRDefault="00D63B70" w:rsidP="00D63B70">
            <w:pPr>
              <w:rPr>
                <w:rFonts w:ascii="Arial" w:hAnsi="Arial" w:cs="Arial"/>
                <w:sz w:val="16"/>
                <w:szCs w:val="16"/>
              </w:rPr>
            </w:pPr>
          </w:p>
        </w:tc>
        <w:tc>
          <w:tcPr>
            <w:tcW w:w="943" w:type="pct"/>
          </w:tcPr>
          <w:p w14:paraId="1D8669BF" w14:textId="77777777" w:rsidR="00D63B70" w:rsidRPr="006D52A9" w:rsidRDefault="00D63B70" w:rsidP="00D63B70">
            <w:pPr>
              <w:rPr>
                <w:rFonts w:ascii="Arial" w:hAnsi="Arial" w:cs="Arial"/>
                <w:sz w:val="16"/>
                <w:szCs w:val="16"/>
              </w:rPr>
            </w:pPr>
            <w:r w:rsidRPr="006D52A9">
              <w:rPr>
                <w:rFonts w:ascii="Arial" w:hAnsi="Arial" w:cs="Arial"/>
                <w:sz w:val="16"/>
                <w:szCs w:val="16"/>
              </w:rPr>
              <w:t>Capsule 100 mg</w:t>
            </w:r>
          </w:p>
        </w:tc>
        <w:tc>
          <w:tcPr>
            <w:tcW w:w="540" w:type="pct"/>
          </w:tcPr>
          <w:p w14:paraId="48937AC9"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5CDA5CEA" w14:textId="77777777" w:rsidR="00D63B70" w:rsidRPr="006D52A9" w:rsidRDefault="00D63B70" w:rsidP="00D63B70">
            <w:pPr>
              <w:rPr>
                <w:rFonts w:ascii="Arial" w:hAnsi="Arial" w:cs="Arial"/>
                <w:sz w:val="16"/>
                <w:szCs w:val="16"/>
              </w:rPr>
            </w:pPr>
            <w:r w:rsidRPr="006D52A9">
              <w:rPr>
                <w:rFonts w:ascii="Arial" w:hAnsi="Arial" w:cs="Arial"/>
                <w:sz w:val="16"/>
                <w:szCs w:val="16"/>
              </w:rPr>
              <w:t>Thalomid</w:t>
            </w:r>
          </w:p>
        </w:tc>
        <w:tc>
          <w:tcPr>
            <w:tcW w:w="894" w:type="pct"/>
          </w:tcPr>
          <w:p w14:paraId="402B6C6D" w14:textId="77777777" w:rsidR="00D63B70" w:rsidRPr="006D52A9" w:rsidRDefault="00D63B70" w:rsidP="00D63B70">
            <w:pPr>
              <w:rPr>
                <w:rFonts w:ascii="Arial" w:hAnsi="Arial" w:cs="Arial"/>
                <w:sz w:val="16"/>
                <w:szCs w:val="16"/>
              </w:rPr>
            </w:pPr>
            <w:r w:rsidRPr="006D52A9">
              <w:rPr>
                <w:rFonts w:ascii="Arial" w:hAnsi="Arial" w:cs="Arial"/>
                <w:sz w:val="16"/>
                <w:szCs w:val="16"/>
              </w:rPr>
              <w:t>C5914 C9290</w:t>
            </w:r>
          </w:p>
        </w:tc>
        <w:tc>
          <w:tcPr>
            <w:tcW w:w="376" w:type="pct"/>
          </w:tcPr>
          <w:p w14:paraId="5CEB6F42" w14:textId="77777777" w:rsidR="00D63B70" w:rsidRPr="006D52A9" w:rsidRDefault="00D63B70" w:rsidP="00D63B70">
            <w:pPr>
              <w:rPr>
                <w:rFonts w:ascii="Arial" w:hAnsi="Arial" w:cs="Arial"/>
                <w:sz w:val="16"/>
                <w:szCs w:val="16"/>
              </w:rPr>
            </w:pPr>
          </w:p>
        </w:tc>
        <w:tc>
          <w:tcPr>
            <w:tcW w:w="499" w:type="pct"/>
          </w:tcPr>
          <w:p w14:paraId="4F1812C3" w14:textId="77777777" w:rsidR="00D63B70" w:rsidRPr="006D52A9" w:rsidRDefault="00D63B70" w:rsidP="00D63B70">
            <w:pPr>
              <w:rPr>
                <w:rFonts w:ascii="Arial" w:hAnsi="Arial" w:cs="Arial"/>
                <w:sz w:val="16"/>
                <w:szCs w:val="16"/>
              </w:rPr>
            </w:pPr>
            <w:r w:rsidRPr="006D52A9">
              <w:rPr>
                <w:rFonts w:ascii="Arial" w:hAnsi="Arial" w:cs="Arial"/>
                <w:sz w:val="16"/>
                <w:szCs w:val="16"/>
              </w:rPr>
              <w:t>56</w:t>
            </w:r>
          </w:p>
        </w:tc>
        <w:tc>
          <w:tcPr>
            <w:tcW w:w="502" w:type="pct"/>
          </w:tcPr>
          <w:p w14:paraId="6994B03C" w14:textId="77777777" w:rsidR="00D63B70" w:rsidRPr="006D52A9" w:rsidRDefault="00D63B70" w:rsidP="00D63B70">
            <w:pPr>
              <w:rPr>
                <w:rFonts w:ascii="Arial" w:hAnsi="Arial" w:cs="Arial"/>
                <w:sz w:val="16"/>
                <w:szCs w:val="16"/>
              </w:rPr>
            </w:pPr>
            <w:r w:rsidRPr="006D52A9">
              <w:rPr>
                <w:rFonts w:ascii="Arial" w:hAnsi="Arial" w:cs="Arial"/>
                <w:sz w:val="16"/>
                <w:szCs w:val="16"/>
              </w:rPr>
              <w:t>0</w:t>
            </w:r>
          </w:p>
        </w:tc>
      </w:tr>
      <w:tr w:rsidR="00D63B70" w:rsidRPr="006D52A9" w14:paraId="1BFA76CF" w14:textId="77777777" w:rsidTr="00A91628">
        <w:tblPrEx>
          <w:tblBorders>
            <w:top w:val="single" w:sz="4" w:space="0" w:color="auto"/>
          </w:tblBorders>
        </w:tblPrEx>
        <w:trPr>
          <w:cantSplit/>
          <w:tblCellSpacing w:w="22" w:type="dxa"/>
        </w:trPr>
        <w:tc>
          <w:tcPr>
            <w:tcW w:w="508" w:type="pct"/>
          </w:tcPr>
          <w:p w14:paraId="2CCBFCF5" w14:textId="77777777" w:rsidR="00D63B70" w:rsidRPr="006D52A9" w:rsidRDefault="00D63B70" w:rsidP="00D63B70">
            <w:pPr>
              <w:rPr>
                <w:rFonts w:ascii="Arial" w:hAnsi="Arial" w:cs="Arial"/>
                <w:sz w:val="16"/>
                <w:szCs w:val="16"/>
              </w:rPr>
            </w:pPr>
            <w:r w:rsidRPr="006D52A9">
              <w:rPr>
                <w:rFonts w:ascii="Arial" w:hAnsi="Arial" w:cs="Arial"/>
                <w:sz w:val="16"/>
                <w:szCs w:val="16"/>
              </w:rPr>
              <w:lastRenderedPageBreak/>
              <w:t>Tipranavir</w:t>
            </w:r>
          </w:p>
        </w:tc>
        <w:tc>
          <w:tcPr>
            <w:tcW w:w="943" w:type="pct"/>
          </w:tcPr>
          <w:p w14:paraId="28B3FFEC" w14:textId="77777777" w:rsidR="00D63B70" w:rsidRPr="006D52A9" w:rsidRDefault="00D63B70" w:rsidP="00D63B70">
            <w:pPr>
              <w:rPr>
                <w:rFonts w:ascii="Arial" w:hAnsi="Arial" w:cs="Arial"/>
                <w:sz w:val="16"/>
                <w:szCs w:val="16"/>
              </w:rPr>
            </w:pPr>
            <w:r w:rsidRPr="006D52A9">
              <w:rPr>
                <w:rFonts w:ascii="Arial" w:hAnsi="Arial" w:cs="Arial"/>
                <w:sz w:val="16"/>
                <w:szCs w:val="16"/>
              </w:rPr>
              <w:t>Capsule 250 mg</w:t>
            </w:r>
          </w:p>
        </w:tc>
        <w:tc>
          <w:tcPr>
            <w:tcW w:w="540" w:type="pct"/>
          </w:tcPr>
          <w:p w14:paraId="1C6DCE10"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B8700AC" w14:textId="77777777" w:rsidR="00D63B70" w:rsidRPr="006D52A9" w:rsidRDefault="00D63B70" w:rsidP="00D63B70">
            <w:pPr>
              <w:rPr>
                <w:rFonts w:ascii="Arial" w:hAnsi="Arial" w:cs="Arial"/>
                <w:sz w:val="16"/>
                <w:szCs w:val="16"/>
              </w:rPr>
            </w:pPr>
            <w:r w:rsidRPr="006D52A9">
              <w:rPr>
                <w:rFonts w:ascii="Arial" w:hAnsi="Arial" w:cs="Arial"/>
                <w:sz w:val="16"/>
                <w:szCs w:val="16"/>
              </w:rPr>
              <w:t>Aptivus</w:t>
            </w:r>
          </w:p>
        </w:tc>
        <w:tc>
          <w:tcPr>
            <w:tcW w:w="894" w:type="pct"/>
          </w:tcPr>
          <w:p w14:paraId="45319D8D" w14:textId="77777777" w:rsidR="00D63B70" w:rsidRPr="006D52A9" w:rsidRDefault="00D63B70" w:rsidP="00D63B70">
            <w:pPr>
              <w:rPr>
                <w:rFonts w:ascii="Arial" w:hAnsi="Arial" w:cs="Arial"/>
                <w:sz w:val="16"/>
                <w:szCs w:val="16"/>
              </w:rPr>
            </w:pPr>
            <w:r w:rsidRPr="006D52A9">
              <w:rPr>
                <w:rFonts w:ascii="Arial" w:hAnsi="Arial" w:cs="Arial"/>
                <w:sz w:val="16"/>
                <w:szCs w:val="16"/>
              </w:rPr>
              <w:t>C5764</w:t>
            </w:r>
          </w:p>
        </w:tc>
        <w:tc>
          <w:tcPr>
            <w:tcW w:w="376" w:type="pct"/>
          </w:tcPr>
          <w:p w14:paraId="1B76069D" w14:textId="77777777" w:rsidR="00D63B70" w:rsidRPr="006D52A9" w:rsidRDefault="00D63B70" w:rsidP="00D63B70">
            <w:pPr>
              <w:rPr>
                <w:rFonts w:ascii="Arial" w:hAnsi="Arial" w:cs="Arial"/>
                <w:sz w:val="16"/>
                <w:szCs w:val="16"/>
              </w:rPr>
            </w:pPr>
          </w:p>
        </w:tc>
        <w:tc>
          <w:tcPr>
            <w:tcW w:w="499" w:type="pct"/>
          </w:tcPr>
          <w:p w14:paraId="19E86717"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03C79DB9"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D315CFE" w14:textId="77777777" w:rsidTr="00A91628">
        <w:tblPrEx>
          <w:tblBorders>
            <w:top w:val="single" w:sz="4" w:space="0" w:color="auto"/>
          </w:tblBorders>
        </w:tblPrEx>
        <w:trPr>
          <w:cantSplit/>
          <w:tblCellSpacing w:w="22" w:type="dxa"/>
        </w:trPr>
        <w:tc>
          <w:tcPr>
            <w:tcW w:w="508" w:type="pct"/>
          </w:tcPr>
          <w:p w14:paraId="72ACAA4E" w14:textId="77777777" w:rsidR="00D63B70" w:rsidRPr="006D52A9" w:rsidRDefault="00D63B70" w:rsidP="00D63B70">
            <w:pPr>
              <w:rPr>
                <w:rFonts w:ascii="Arial" w:hAnsi="Arial" w:cs="Arial"/>
                <w:sz w:val="16"/>
                <w:szCs w:val="16"/>
              </w:rPr>
            </w:pPr>
            <w:r w:rsidRPr="006D52A9">
              <w:rPr>
                <w:rFonts w:ascii="Arial" w:hAnsi="Arial" w:cs="Arial"/>
                <w:sz w:val="16"/>
                <w:szCs w:val="16"/>
              </w:rPr>
              <w:t>Tocilizumab</w:t>
            </w:r>
          </w:p>
        </w:tc>
        <w:tc>
          <w:tcPr>
            <w:tcW w:w="943" w:type="pct"/>
          </w:tcPr>
          <w:p w14:paraId="650E5AA2" w14:textId="77777777" w:rsidR="00D63B70" w:rsidRPr="006D52A9" w:rsidRDefault="00D63B70" w:rsidP="00D63B70">
            <w:pPr>
              <w:rPr>
                <w:rFonts w:ascii="Arial" w:hAnsi="Arial" w:cs="Arial"/>
                <w:sz w:val="16"/>
                <w:szCs w:val="16"/>
              </w:rPr>
            </w:pPr>
            <w:r w:rsidRPr="006D52A9">
              <w:rPr>
                <w:rFonts w:ascii="Arial" w:hAnsi="Arial" w:cs="Arial"/>
                <w:sz w:val="16"/>
                <w:szCs w:val="16"/>
              </w:rPr>
              <w:t>Concentrate for injection 80 mg in 4 mL</w:t>
            </w:r>
          </w:p>
        </w:tc>
        <w:tc>
          <w:tcPr>
            <w:tcW w:w="540" w:type="pct"/>
          </w:tcPr>
          <w:p w14:paraId="72B7F30F"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15F46A1B" w14:textId="77777777" w:rsidR="00D63B70" w:rsidRPr="006D52A9" w:rsidRDefault="00D63B70" w:rsidP="00D63B70">
            <w:pPr>
              <w:rPr>
                <w:rFonts w:ascii="Arial" w:hAnsi="Arial" w:cs="Arial"/>
                <w:sz w:val="16"/>
                <w:szCs w:val="16"/>
              </w:rPr>
            </w:pPr>
            <w:r w:rsidRPr="006D52A9">
              <w:rPr>
                <w:rFonts w:ascii="Arial" w:hAnsi="Arial" w:cs="Arial"/>
                <w:sz w:val="16"/>
                <w:szCs w:val="16"/>
              </w:rPr>
              <w:t>Actemra</w:t>
            </w:r>
          </w:p>
        </w:tc>
        <w:tc>
          <w:tcPr>
            <w:tcW w:w="894" w:type="pct"/>
          </w:tcPr>
          <w:p w14:paraId="5C9757C3" w14:textId="77777777" w:rsidR="00D63B70" w:rsidRPr="006D52A9" w:rsidRDefault="00D63B70" w:rsidP="00D63B70">
            <w:pPr>
              <w:rPr>
                <w:rFonts w:ascii="Arial" w:hAnsi="Arial" w:cs="Arial"/>
                <w:sz w:val="16"/>
                <w:szCs w:val="16"/>
              </w:rPr>
            </w:pPr>
            <w:r w:rsidRPr="006D52A9">
              <w:rPr>
                <w:rFonts w:ascii="Arial" w:hAnsi="Arial" w:cs="Arial"/>
                <w:sz w:val="16"/>
                <w:szCs w:val="16"/>
              </w:rPr>
              <w:t>C8627 C8635 C8636 C8637 C8638 C8709 C9380 C9384 C9386 C9407 C9417 C9494 C9495 C9496 C10532 C10535 C10536 C10541 C10542 C10545 C10567 C10570 C10571 C10616</w:t>
            </w:r>
          </w:p>
        </w:tc>
        <w:tc>
          <w:tcPr>
            <w:tcW w:w="376" w:type="pct"/>
          </w:tcPr>
          <w:p w14:paraId="350EB865" w14:textId="77777777" w:rsidR="00D63B70" w:rsidRPr="006D52A9" w:rsidRDefault="00D63B70" w:rsidP="00D63B70">
            <w:pPr>
              <w:rPr>
                <w:rFonts w:ascii="Arial" w:hAnsi="Arial" w:cs="Arial"/>
                <w:sz w:val="16"/>
                <w:szCs w:val="16"/>
              </w:rPr>
            </w:pPr>
          </w:p>
        </w:tc>
        <w:tc>
          <w:tcPr>
            <w:tcW w:w="499" w:type="pct"/>
          </w:tcPr>
          <w:p w14:paraId="10C4CB64"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68BB86DB"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CF09955" w14:textId="77777777" w:rsidTr="00A91628">
        <w:tblPrEx>
          <w:tblBorders>
            <w:top w:val="single" w:sz="4" w:space="0" w:color="auto"/>
          </w:tblBorders>
        </w:tblPrEx>
        <w:trPr>
          <w:tblCellSpacing w:w="22" w:type="dxa"/>
        </w:trPr>
        <w:tc>
          <w:tcPr>
            <w:tcW w:w="508" w:type="pct"/>
          </w:tcPr>
          <w:p w14:paraId="69C96984" w14:textId="77777777" w:rsidR="00D63B70" w:rsidRPr="006D52A9" w:rsidRDefault="00D63B70" w:rsidP="00D63B70">
            <w:pPr>
              <w:rPr>
                <w:rFonts w:ascii="Arial" w:hAnsi="Arial" w:cs="Arial"/>
                <w:sz w:val="16"/>
                <w:szCs w:val="16"/>
              </w:rPr>
            </w:pPr>
          </w:p>
        </w:tc>
        <w:tc>
          <w:tcPr>
            <w:tcW w:w="943" w:type="pct"/>
          </w:tcPr>
          <w:p w14:paraId="6EE1E6DC" w14:textId="77777777" w:rsidR="00D63B70" w:rsidRPr="006D52A9" w:rsidRDefault="00D63B70" w:rsidP="00D63B70">
            <w:pPr>
              <w:rPr>
                <w:rFonts w:ascii="Arial" w:hAnsi="Arial" w:cs="Arial"/>
                <w:sz w:val="16"/>
                <w:szCs w:val="16"/>
              </w:rPr>
            </w:pPr>
            <w:r w:rsidRPr="006D52A9">
              <w:rPr>
                <w:rFonts w:ascii="Arial" w:hAnsi="Arial" w:cs="Arial"/>
                <w:sz w:val="16"/>
                <w:szCs w:val="16"/>
              </w:rPr>
              <w:t>Concentrate for injection 200 mg in 10 mL</w:t>
            </w:r>
          </w:p>
        </w:tc>
        <w:tc>
          <w:tcPr>
            <w:tcW w:w="540" w:type="pct"/>
          </w:tcPr>
          <w:p w14:paraId="6B627410"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3B0B8A9D" w14:textId="77777777" w:rsidR="00D63B70" w:rsidRPr="006D52A9" w:rsidRDefault="00D63B70" w:rsidP="00D63B70">
            <w:pPr>
              <w:rPr>
                <w:rFonts w:ascii="Arial" w:hAnsi="Arial" w:cs="Arial"/>
                <w:sz w:val="16"/>
                <w:szCs w:val="16"/>
              </w:rPr>
            </w:pPr>
            <w:r w:rsidRPr="006D52A9">
              <w:rPr>
                <w:rFonts w:ascii="Arial" w:hAnsi="Arial" w:cs="Arial"/>
                <w:sz w:val="16"/>
                <w:szCs w:val="16"/>
              </w:rPr>
              <w:t>Actemra</w:t>
            </w:r>
          </w:p>
        </w:tc>
        <w:tc>
          <w:tcPr>
            <w:tcW w:w="894" w:type="pct"/>
          </w:tcPr>
          <w:p w14:paraId="44D18C2A" w14:textId="77777777" w:rsidR="00D63B70" w:rsidRPr="006D52A9" w:rsidRDefault="00D63B70" w:rsidP="00D63B70">
            <w:pPr>
              <w:rPr>
                <w:rFonts w:ascii="Arial" w:hAnsi="Arial" w:cs="Arial"/>
                <w:sz w:val="16"/>
                <w:szCs w:val="16"/>
              </w:rPr>
            </w:pPr>
            <w:r w:rsidRPr="006D52A9">
              <w:rPr>
                <w:rFonts w:ascii="Arial" w:hAnsi="Arial" w:cs="Arial"/>
                <w:sz w:val="16"/>
                <w:szCs w:val="16"/>
              </w:rPr>
              <w:t>C8627 C8635 C8636 C8637 C8638 C8709 C9380 C9384 C9386 C9407 C9417 C9494 C9495 C9496 C10532 C10535 C10536 C10541 C10542 C10545 C10567 C10570 C10571 C10616</w:t>
            </w:r>
          </w:p>
        </w:tc>
        <w:tc>
          <w:tcPr>
            <w:tcW w:w="376" w:type="pct"/>
          </w:tcPr>
          <w:p w14:paraId="35FB0D03" w14:textId="77777777" w:rsidR="00D63B70" w:rsidRPr="006D52A9" w:rsidRDefault="00D63B70" w:rsidP="00D63B70">
            <w:pPr>
              <w:rPr>
                <w:rFonts w:ascii="Arial" w:hAnsi="Arial" w:cs="Arial"/>
                <w:sz w:val="16"/>
                <w:szCs w:val="16"/>
              </w:rPr>
            </w:pPr>
          </w:p>
        </w:tc>
        <w:tc>
          <w:tcPr>
            <w:tcW w:w="499" w:type="pct"/>
          </w:tcPr>
          <w:p w14:paraId="7B2EF930"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41AA31E"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6726A" w14:paraId="22B1F8D1" w14:textId="77777777" w:rsidTr="00A91628">
        <w:tblPrEx>
          <w:tblBorders>
            <w:top w:val="single" w:sz="4" w:space="0" w:color="auto"/>
          </w:tblBorders>
        </w:tblPrEx>
        <w:trPr>
          <w:tblCellSpacing w:w="22" w:type="dxa"/>
        </w:trPr>
        <w:tc>
          <w:tcPr>
            <w:tcW w:w="508" w:type="pct"/>
          </w:tcPr>
          <w:p w14:paraId="553706C7" w14:textId="77777777" w:rsidR="00D63B70" w:rsidRPr="006D52A9" w:rsidDel="0016726A" w:rsidRDefault="00D63B70" w:rsidP="00D63B70">
            <w:pPr>
              <w:rPr>
                <w:rFonts w:ascii="Arial" w:hAnsi="Arial" w:cs="Arial"/>
                <w:sz w:val="16"/>
                <w:szCs w:val="16"/>
              </w:rPr>
            </w:pPr>
          </w:p>
        </w:tc>
        <w:tc>
          <w:tcPr>
            <w:tcW w:w="943" w:type="pct"/>
          </w:tcPr>
          <w:p w14:paraId="3B0BE346" w14:textId="77777777" w:rsidR="00D63B70" w:rsidRPr="006D52A9" w:rsidDel="0016726A" w:rsidRDefault="00D63B70" w:rsidP="00D63B70">
            <w:pPr>
              <w:keepNext/>
              <w:tabs>
                <w:tab w:val="left" w:pos="3437"/>
              </w:tabs>
              <w:rPr>
                <w:rFonts w:ascii="Arial" w:hAnsi="Arial" w:cs="Arial"/>
                <w:sz w:val="16"/>
                <w:szCs w:val="16"/>
              </w:rPr>
            </w:pPr>
            <w:r w:rsidRPr="006D52A9">
              <w:rPr>
                <w:rFonts w:ascii="Arial" w:hAnsi="Arial" w:cs="Arial"/>
                <w:sz w:val="16"/>
                <w:szCs w:val="16"/>
              </w:rPr>
              <w:t>Concentrate for injection 400 mg in 20 mL</w:t>
            </w:r>
          </w:p>
        </w:tc>
        <w:tc>
          <w:tcPr>
            <w:tcW w:w="540" w:type="pct"/>
          </w:tcPr>
          <w:p w14:paraId="521ACC3F" w14:textId="77777777" w:rsidR="00D63B70" w:rsidRPr="006D52A9" w:rsidDel="0016726A"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691A623A" w14:textId="77777777" w:rsidR="00D63B70" w:rsidRPr="006D52A9" w:rsidDel="0016726A" w:rsidRDefault="00D63B70" w:rsidP="00D63B70">
            <w:pPr>
              <w:keepNext/>
              <w:rPr>
                <w:rFonts w:ascii="Arial" w:hAnsi="Arial" w:cs="Arial"/>
                <w:sz w:val="16"/>
                <w:szCs w:val="16"/>
              </w:rPr>
            </w:pPr>
            <w:r w:rsidRPr="006D52A9">
              <w:rPr>
                <w:rFonts w:ascii="Arial" w:hAnsi="Arial" w:cs="Arial"/>
                <w:sz w:val="16"/>
                <w:szCs w:val="16"/>
              </w:rPr>
              <w:t>Actemra</w:t>
            </w:r>
          </w:p>
        </w:tc>
        <w:tc>
          <w:tcPr>
            <w:tcW w:w="894" w:type="pct"/>
          </w:tcPr>
          <w:p w14:paraId="34374701" w14:textId="77777777" w:rsidR="00D63B70" w:rsidRPr="006D52A9" w:rsidDel="0016726A" w:rsidRDefault="00D63B70" w:rsidP="00D63B70">
            <w:pPr>
              <w:keepNext/>
              <w:rPr>
                <w:rFonts w:ascii="Arial" w:hAnsi="Arial" w:cs="Arial"/>
                <w:sz w:val="16"/>
                <w:szCs w:val="16"/>
              </w:rPr>
            </w:pPr>
            <w:r w:rsidRPr="006D52A9">
              <w:rPr>
                <w:rFonts w:ascii="Arial" w:hAnsi="Arial" w:cs="Arial"/>
                <w:sz w:val="16"/>
                <w:szCs w:val="16"/>
              </w:rPr>
              <w:t>C8627 C8635 C8636 C8637 C8638 C8709 C9380 C9384 C9386 C9407 C9417 C9494 C9495 C9496 C10532 C10535 C10536 C10541 C10542 C10545 C10567 C10570 C10571 C10616</w:t>
            </w:r>
          </w:p>
        </w:tc>
        <w:tc>
          <w:tcPr>
            <w:tcW w:w="376" w:type="pct"/>
          </w:tcPr>
          <w:p w14:paraId="47ABB579" w14:textId="77777777" w:rsidR="00D63B70" w:rsidRPr="006D52A9" w:rsidDel="0016726A" w:rsidRDefault="00D63B70" w:rsidP="00D63B70">
            <w:pPr>
              <w:keepNext/>
              <w:rPr>
                <w:rFonts w:ascii="Arial" w:hAnsi="Arial" w:cs="Arial"/>
                <w:sz w:val="16"/>
                <w:szCs w:val="16"/>
              </w:rPr>
            </w:pPr>
          </w:p>
        </w:tc>
        <w:tc>
          <w:tcPr>
            <w:tcW w:w="499" w:type="pct"/>
          </w:tcPr>
          <w:p w14:paraId="215DC11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4C48869" w14:textId="77777777" w:rsidR="00D63B70" w:rsidRPr="006D52A9" w:rsidDel="0016726A" w:rsidRDefault="00D63B70" w:rsidP="00D63B70">
            <w:pPr>
              <w:keepNext/>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16726A" w14:paraId="266ADBEC" w14:textId="77777777" w:rsidTr="00A91628">
        <w:tblPrEx>
          <w:tblBorders>
            <w:top w:val="single" w:sz="4" w:space="0" w:color="auto"/>
          </w:tblBorders>
        </w:tblPrEx>
        <w:trPr>
          <w:tblCellSpacing w:w="22" w:type="dxa"/>
        </w:trPr>
        <w:tc>
          <w:tcPr>
            <w:tcW w:w="508" w:type="pct"/>
          </w:tcPr>
          <w:p w14:paraId="20A32725" w14:textId="77777777" w:rsidR="00D63B70" w:rsidRPr="006D52A9" w:rsidDel="0016726A" w:rsidRDefault="00D63B70" w:rsidP="00D63B70">
            <w:pPr>
              <w:keepNext/>
              <w:rPr>
                <w:rFonts w:ascii="Arial" w:hAnsi="Arial" w:cs="Arial"/>
                <w:sz w:val="16"/>
                <w:szCs w:val="16"/>
              </w:rPr>
            </w:pPr>
            <w:r w:rsidRPr="006D52A9">
              <w:rPr>
                <w:rFonts w:ascii="Arial" w:hAnsi="Arial" w:cs="Arial"/>
                <w:sz w:val="16"/>
                <w:szCs w:val="16"/>
              </w:rPr>
              <w:t>Ustekinumab</w:t>
            </w:r>
          </w:p>
        </w:tc>
        <w:tc>
          <w:tcPr>
            <w:tcW w:w="943" w:type="pct"/>
          </w:tcPr>
          <w:p w14:paraId="2E217947" w14:textId="77777777" w:rsidR="00D63B70" w:rsidRPr="006D52A9" w:rsidRDefault="00D63B70" w:rsidP="00D63B70">
            <w:pPr>
              <w:keepNext/>
              <w:tabs>
                <w:tab w:val="left" w:pos="3437"/>
              </w:tabs>
              <w:rPr>
                <w:rFonts w:ascii="Arial" w:hAnsi="Arial" w:cs="Arial"/>
                <w:sz w:val="16"/>
                <w:szCs w:val="16"/>
              </w:rPr>
            </w:pPr>
            <w:r w:rsidRPr="006D52A9">
              <w:rPr>
                <w:rFonts w:ascii="Arial" w:hAnsi="Arial" w:cs="Arial"/>
                <w:sz w:val="16"/>
                <w:szCs w:val="16"/>
              </w:rPr>
              <w:t>Solution for I.V. infusion 130 mg in 26 mL</w:t>
            </w:r>
          </w:p>
        </w:tc>
        <w:tc>
          <w:tcPr>
            <w:tcW w:w="540" w:type="pct"/>
          </w:tcPr>
          <w:p w14:paraId="55367388"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Injection</w:t>
            </w:r>
          </w:p>
        </w:tc>
        <w:tc>
          <w:tcPr>
            <w:tcW w:w="591" w:type="pct"/>
          </w:tcPr>
          <w:p w14:paraId="24FB00F9"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Stelara</w:t>
            </w:r>
          </w:p>
        </w:tc>
        <w:tc>
          <w:tcPr>
            <w:tcW w:w="894" w:type="pct"/>
          </w:tcPr>
          <w:p w14:paraId="4C611EC2" w14:textId="77777777" w:rsidR="00D63B70" w:rsidRPr="006D52A9" w:rsidRDefault="00D63B70" w:rsidP="00D63B70">
            <w:pPr>
              <w:rPr>
                <w:rFonts w:ascii="Arial" w:hAnsi="Arial" w:cs="Arial"/>
                <w:sz w:val="16"/>
                <w:szCs w:val="16"/>
              </w:rPr>
            </w:pPr>
            <w:r w:rsidRPr="006D52A9">
              <w:rPr>
                <w:rFonts w:ascii="Arial" w:hAnsi="Arial" w:cs="Arial"/>
                <w:sz w:val="16"/>
                <w:szCs w:val="16"/>
              </w:rPr>
              <w:t>C9655 C9656 C9710</w:t>
            </w:r>
          </w:p>
        </w:tc>
        <w:tc>
          <w:tcPr>
            <w:tcW w:w="376" w:type="pct"/>
          </w:tcPr>
          <w:p w14:paraId="44E5CB33" w14:textId="77777777" w:rsidR="00D63B70" w:rsidRPr="006D52A9" w:rsidDel="0016726A" w:rsidRDefault="00D63B70" w:rsidP="00D63B70">
            <w:pPr>
              <w:keepNext/>
              <w:rPr>
                <w:rFonts w:ascii="Arial" w:hAnsi="Arial" w:cs="Arial"/>
                <w:sz w:val="16"/>
                <w:szCs w:val="16"/>
              </w:rPr>
            </w:pPr>
          </w:p>
        </w:tc>
        <w:tc>
          <w:tcPr>
            <w:tcW w:w="499" w:type="pct"/>
          </w:tcPr>
          <w:p w14:paraId="3EB12B62"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2DDA2FDC" w14:textId="77777777" w:rsidR="00D63B70" w:rsidRPr="006D52A9" w:rsidRDefault="00D63B70" w:rsidP="00D63B70">
            <w:pPr>
              <w:keepNext/>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rsidDel="004239FE" w14:paraId="2D894FF3" w14:textId="77777777" w:rsidTr="00A91628">
        <w:tblPrEx>
          <w:tblBorders>
            <w:top w:val="single" w:sz="4" w:space="0" w:color="auto"/>
          </w:tblBorders>
        </w:tblPrEx>
        <w:trPr>
          <w:cantSplit/>
          <w:tblCellSpacing w:w="22" w:type="dxa"/>
        </w:trPr>
        <w:tc>
          <w:tcPr>
            <w:tcW w:w="508" w:type="pct"/>
          </w:tcPr>
          <w:p w14:paraId="6C83ADC5"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Valaciclovir</w:t>
            </w:r>
          </w:p>
        </w:tc>
        <w:tc>
          <w:tcPr>
            <w:tcW w:w="943" w:type="pct"/>
          </w:tcPr>
          <w:p w14:paraId="12AE51E2"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Tablet 500 mg (as hydrochloride)</w:t>
            </w:r>
          </w:p>
        </w:tc>
        <w:tc>
          <w:tcPr>
            <w:tcW w:w="540" w:type="pct"/>
          </w:tcPr>
          <w:p w14:paraId="4488138F"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363213A"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Valaciclovir</w:t>
            </w:r>
          </w:p>
        </w:tc>
        <w:tc>
          <w:tcPr>
            <w:tcW w:w="894" w:type="pct"/>
          </w:tcPr>
          <w:p w14:paraId="7CFE8476"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C5975 C9267</w:t>
            </w:r>
          </w:p>
        </w:tc>
        <w:tc>
          <w:tcPr>
            <w:tcW w:w="376" w:type="pct"/>
          </w:tcPr>
          <w:p w14:paraId="4B2C8D44" w14:textId="77777777" w:rsidR="00D63B70" w:rsidRPr="006D52A9" w:rsidDel="004239FE" w:rsidRDefault="00D63B70" w:rsidP="00D63B70">
            <w:pPr>
              <w:rPr>
                <w:rFonts w:ascii="Arial" w:hAnsi="Arial" w:cs="Arial"/>
                <w:sz w:val="16"/>
                <w:szCs w:val="16"/>
              </w:rPr>
            </w:pPr>
          </w:p>
        </w:tc>
        <w:tc>
          <w:tcPr>
            <w:tcW w:w="499" w:type="pct"/>
          </w:tcPr>
          <w:p w14:paraId="073440D9"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500</w:t>
            </w:r>
          </w:p>
        </w:tc>
        <w:tc>
          <w:tcPr>
            <w:tcW w:w="502" w:type="pct"/>
          </w:tcPr>
          <w:p w14:paraId="7AA881D2"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4239FE" w14:paraId="08ADADD2" w14:textId="77777777" w:rsidTr="00A91628">
        <w:tblPrEx>
          <w:tblBorders>
            <w:top w:val="single" w:sz="4" w:space="0" w:color="auto"/>
          </w:tblBorders>
        </w:tblPrEx>
        <w:trPr>
          <w:cantSplit/>
          <w:tblCellSpacing w:w="22" w:type="dxa"/>
        </w:trPr>
        <w:tc>
          <w:tcPr>
            <w:tcW w:w="508" w:type="pct"/>
          </w:tcPr>
          <w:p w14:paraId="07CCDE18" w14:textId="77777777" w:rsidR="00D63B70" w:rsidRPr="006D52A9" w:rsidRDefault="00D63B70" w:rsidP="00D63B70">
            <w:pPr>
              <w:rPr>
                <w:rFonts w:ascii="Arial" w:hAnsi="Arial" w:cs="Arial"/>
                <w:sz w:val="16"/>
                <w:szCs w:val="16"/>
              </w:rPr>
            </w:pPr>
          </w:p>
        </w:tc>
        <w:tc>
          <w:tcPr>
            <w:tcW w:w="943" w:type="pct"/>
          </w:tcPr>
          <w:p w14:paraId="5970F6C4" w14:textId="77777777" w:rsidR="00D63B70" w:rsidRPr="006D52A9" w:rsidRDefault="00D63B70" w:rsidP="00D63B70">
            <w:pPr>
              <w:rPr>
                <w:rFonts w:ascii="Arial" w:hAnsi="Arial" w:cs="Arial"/>
                <w:sz w:val="16"/>
                <w:szCs w:val="16"/>
              </w:rPr>
            </w:pPr>
          </w:p>
        </w:tc>
        <w:tc>
          <w:tcPr>
            <w:tcW w:w="540" w:type="pct"/>
          </w:tcPr>
          <w:p w14:paraId="5DB791F2" w14:textId="77777777" w:rsidR="00D63B70" w:rsidRPr="006D52A9" w:rsidRDefault="00D63B70" w:rsidP="00D63B70">
            <w:pPr>
              <w:rPr>
                <w:rFonts w:ascii="Arial" w:hAnsi="Arial" w:cs="Arial"/>
                <w:sz w:val="16"/>
                <w:szCs w:val="16"/>
              </w:rPr>
            </w:pPr>
          </w:p>
        </w:tc>
        <w:tc>
          <w:tcPr>
            <w:tcW w:w="591" w:type="pct"/>
          </w:tcPr>
          <w:p w14:paraId="6666DB76" w14:textId="77777777" w:rsidR="00D63B70" w:rsidRPr="006D52A9" w:rsidRDefault="00D63B70" w:rsidP="00D63B70">
            <w:pPr>
              <w:rPr>
                <w:rFonts w:ascii="Arial" w:hAnsi="Arial" w:cs="Arial"/>
                <w:sz w:val="16"/>
                <w:szCs w:val="16"/>
              </w:rPr>
            </w:pPr>
            <w:r w:rsidRPr="006D52A9">
              <w:rPr>
                <w:rFonts w:ascii="Arial" w:hAnsi="Arial" w:cs="Arial"/>
                <w:sz w:val="16"/>
                <w:szCs w:val="16"/>
              </w:rPr>
              <w:t>Valaciclovir APOTEX</w:t>
            </w:r>
          </w:p>
        </w:tc>
        <w:tc>
          <w:tcPr>
            <w:tcW w:w="894" w:type="pct"/>
          </w:tcPr>
          <w:p w14:paraId="12FE22F3" w14:textId="77777777" w:rsidR="00D63B70" w:rsidRPr="006D52A9" w:rsidRDefault="00D63B70" w:rsidP="00D63B70">
            <w:pPr>
              <w:rPr>
                <w:rFonts w:ascii="Arial" w:hAnsi="Arial" w:cs="Arial"/>
                <w:sz w:val="16"/>
                <w:szCs w:val="16"/>
              </w:rPr>
            </w:pPr>
            <w:r w:rsidRPr="006D52A9">
              <w:rPr>
                <w:rFonts w:ascii="Arial" w:hAnsi="Arial" w:cs="Arial"/>
                <w:sz w:val="16"/>
                <w:szCs w:val="16"/>
              </w:rPr>
              <w:t>C5975 C9267</w:t>
            </w:r>
          </w:p>
        </w:tc>
        <w:tc>
          <w:tcPr>
            <w:tcW w:w="376" w:type="pct"/>
          </w:tcPr>
          <w:p w14:paraId="3A8F7907" w14:textId="77777777" w:rsidR="00D63B70" w:rsidRPr="006D52A9" w:rsidDel="004239FE" w:rsidRDefault="00D63B70" w:rsidP="00D63B70">
            <w:pPr>
              <w:rPr>
                <w:rFonts w:ascii="Arial" w:hAnsi="Arial" w:cs="Arial"/>
                <w:sz w:val="16"/>
                <w:szCs w:val="16"/>
              </w:rPr>
            </w:pPr>
          </w:p>
        </w:tc>
        <w:tc>
          <w:tcPr>
            <w:tcW w:w="499" w:type="pct"/>
          </w:tcPr>
          <w:p w14:paraId="2D22D697" w14:textId="77777777" w:rsidR="00D63B70" w:rsidRPr="006D52A9" w:rsidRDefault="00D63B70" w:rsidP="00D63B70">
            <w:pPr>
              <w:rPr>
                <w:rFonts w:ascii="Arial" w:hAnsi="Arial" w:cs="Arial"/>
                <w:sz w:val="16"/>
                <w:szCs w:val="16"/>
              </w:rPr>
            </w:pPr>
            <w:r w:rsidRPr="006D52A9">
              <w:rPr>
                <w:rFonts w:ascii="Arial" w:hAnsi="Arial" w:cs="Arial"/>
                <w:sz w:val="16"/>
                <w:szCs w:val="16"/>
              </w:rPr>
              <w:t>500</w:t>
            </w:r>
          </w:p>
        </w:tc>
        <w:tc>
          <w:tcPr>
            <w:tcW w:w="502" w:type="pct"/>
          </w:tcPr>
          <w:p w14:paraId="2C8F188D" w14:textId="77777777" w:rsidR="00D63B70" w:rsidRPr="006D52A9"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4239FE" w14:paraId="3B1CC41A" w14:textId="77777777" w:rsidTr="00A91628">
        <w:tblPrEx>
          <w:tblBorders>
            <w:top w:val="single" w:sz="4" w:space="0" w:color="auto"/>
          </w:tblBorders>
        </w:tblPrEx>
        <w:trPr>
          <w:cantSplit/>
          <w:tblCellSpacing w:w="22" w:type="dxa"/>
        </w:trPr>
        <w:tc>
          <w:tcPr>
            <w:tcW w:w="508" w:type="pct"/>
          </w:tcPr>
          <w:p w14:paraId="09F2078A" w14:textId="77777777" w:rsidR="00D63B70" w:rsidRPr="006D52A9" w:rsidDel="004239FE" w:rsidRDefault="00D63B70" w:rsidP="00D63B70">
            <w:pPr>
              <w:rPr>
                <w:rFonts w:ascii="Arial" w:hAnsi="Arial" w:cs="Arial"/>
                <w:sz w:val="16"/>
                <w:szCs w:val="16"/>
              </w:rPr>
            </w:pPr>
          </w:p>
        </w:tc>
        <w:tc>
          <w:tcPr>
            <w:tcW w:w="943" w:type="pct"/>
          </w:tcPr>
          <w:p w14:paraId="25180018" w14:textId="77777777" w:rsidR="00D63B70" w:rsidRPr="006D52A9" w:rsidDel="004239FE" w:rsidRDefault="00D63B70" w:rsidP="00D63B70">
            <w:pPr>
              <w:rPr>
                <w:rFonts w:ascii="Arial" w:hAnsi="Arial" w:cs="Arial"/>
                <w:sz w:val="16"/>
                <w:szCs w:val="16"/>
              </w:rPr>
            </w:pPr>
          </w:p>
        </w:tc>
        <w:tc>
          <w:tcPr>
            <w:tcW w:w="540" w:type="pct"/>
          </w:tcPr>
          <w:p w14:paraId="24C84CB9" w14:textId="77777777" w:rsidR="00D63B70" w:rsidRPr="006D52A9" w:rsidDel="004239FE" w:rsidRDefault="00D63B70" w:rsidP="00D63B70">
            <w:pPr>
              <w:rPr>
                <w:rFonts w:ascii="Arial" w:hAnsi="Arial" w:cs="Arial"/>
                <w:sz w:val="16"/>
                <w:szCs w:val="16"/>
              </w:rPr>
            </w:pPr>
          </w:p>
        </w:tc>
        <w:tc>
          <w:tcPr>
            <w:tcW w:w="591" w:type="pct"/>
          </w:tcPr>
          <w:p w14:paraId="33340AEF"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Valaciclovir RBX</w:t>
            </w:r>
          </w:p>
        </w:tc>
        <w:tc>
          <w:tcPr>
            <w:tcW w:w="894" w:type="pct"/>
          </w:tcPr>
          <w:p w14:paraId="6E942F5D"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C5975 C9267</w:t>
            </w:r>
          </w:p>
        </w:tc>
        <w:tc>
          <w:tcPr>
            <w:tcW w:w="376" w:type="pct"/>
          </w:tcPr>
          <w:p w14:paraId="45E9F9FF" w14:textId="77777777" w:rsidR="00D63B70" w:rsidRPr="006D52A9" w:rsidDel="004239FE" w:rsidRDefault="00D63B70" w:rsidP="00D63B70">
            <w:pPr>
              <w:rPr>
                <w:rFonts w:ascii="Arial" w:hAnsi="Arial" w:cs="Arial"/>
                <w:sz w:val="16"/>
                <w:szCs w:val="16"/>
              </w:rPr>
            </w:pPr>
          </w:p>
        </w:tc>
        <w:tc>
          <w:tcPr>
            <w:tcW w:w="499" w:type="pct"/>
          </w:tcPr>
          <w:p w14:paraId="3C28852D"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500</w:t>
            </w:r>
          </w:p>
        </w:tc>
        <w:tc>
          <w:tcPr>
            <w:tcW w:w="502" w:type="pct"/>
          </w:tcPr>
          <w:p w14:paraId="7989EB82"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2</w:t>
            </w:r>
          </w:p>
        </w:tc>
      </w:tr>
      <w:tr w:rsidR="00D63B70" w:rsidRPr="006D52A9" w:rsidDel="004239FE" w14:paraId="3AA12C83" w14:textId="77777777" w:rsidTr="00A91628">
        <w:tblPrEx>
          <w:tblBorders>
            <w:top w:val="single" w:sz="4" w:space="0" w:color="auto"/>
          </w:tblBorders>
        </w:tblPrEx>
        <w:trPr>
          <w:cantSplit/>
          <w:tblCellSpacing w:w="22" w:type="dxa"/>
        </w:trPr>
        <w:tc>
          <w:tcPr>
            <w:tcW w:w="508" w:type="pct"/>
          </w:tcPr>
          <w:p w14:paraId="599BE63F" w14:textId="77777777" w:rsidR="00D63B70" w:rsidRPr="006D52A9" w:rsidDel="004239FE" w:rsidRDefault="00D63B70" w:rsidP="00D63B70">
            <w:pPr>
              <w:rPr>
                <w:rFonts w:ascii="Arial" w:hAnsi="Arial" w:cs="Arial"/>
                <w:sz w:val="16"/>
                <w:szCs w:val="16"/>
              </w:rPr>
            </w:pPr>
          </w:p>
        </w:tc>
        <w:tc>
          <w:tcPr>
            <w:tcW w:w="943" w:type="pct"/>
          </w:tcPr>
          <w:p w14:paraId="4CDCDFB2" w14:textId="77777777" w:rsidR="00D63B70" w:rsidRPr="006D52A9" w:rsidDel="004239FE" w:rsidRDefault="00D63B70" w:rsidP="00D63B70">
            <w:pPr>
              <w:rPr>
                <w:rFonts w:ascii="Arial" w:hAnsi="Arial" w:cs="Arial"/>
                <w:sz w:val="16"/>
                <w:szCs w:val="16"/>
              </w:rPr>
            </w:pPr>
          </w:p>
        </w:tc>
        <w:tc>
          <w:tcPr>
            <w:tcW w:w="540" w:type="pct"/>
          </w:tcPr>
          <w:p w14:paraId="507E7D37" w14:textId="77777777" w:rsidR="00D63B70" w:rsidRPr="006D52A9" w:rsidDel="004239FE" w:rsidRDefault="00D63B70" w:rsidP="00D63B70">
            <w:pPr>
              <w:rPr>
                <w:rFonts w:ascii="Arial" w:hAnsi="Arial" w:cs="Arial"/>
                <w:sz w:val="16"/>
                <w:szCs w:val="16"/>
              </w:rPr>
            </w:pPr>
          </w:p>
        </w:tc>
        <w:tc>
          <w:tcPr>
            <w:tcW w:w="591" w:type="pct"/>
          </w:tcPr>
          <w:p w14:paraId="1F9680BF"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Valtrex</w:t>
            </w:r>
          </w:p>
        </w:tc>
        <w:tc>
          <w:tcPr>
            <w:tcW w:w="894" w:type="pct"/>
          </w:tcPr>
          <w:p w14:paraId="6BD5EA16"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C5975 C9267</w:t>
            </w:r>
          </w:p>
        </w:tc>
        <w:tc>
          <w:tcPr>
            <w:tcW w:w="376" w:type="pct"/>
          </w:tcPr>
          <w:p w14:paraId="088251DF" w14:textId="77777777" w:rsidR="00D63B70" w:rsidRPr="006D52A9" w:rsidDel="004239FE" w:rsidRDefault="00D63B70" w:rsidP="00D63B70">
            <w:pPr>
              <w:rPr>
                <w:rFonts w:ascii="Arial" w:hAnsi="Arial" w:cs="Arial"/>
                <w:sz w:val="16"/>
                <w:szCs w:val="16"/>
              </w:rPr>
            </w:pPr>
          </w:p>
        </w:tc>
        <w:tc>
          <w:tcPr>
            <w:tcW w:w="499" w:type="pct"/>
          </w:tcPr>
          <w:p w14:paraId="0A8B7F81"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500</w:t>
            </w:r>
          </w:p>
        </w:tc>
        <w:tc>
          <w:tcPr>
            <w:tcW w:w="502" w:type="pct"/>
          </w:tcPr>
          <w:p w14:paraId="24A720C7" w14:textId="77777777" w:rsidR="00D63B70" w:rsidRPr="006D52A9" w:rsidDel="004239FE" w:rsidRDefault="00D63B70" w:rsidP="00D63B70">
            <w:pPr>
              <w:rPr>
                <w:rFonts w:ascii="Arial" w:hAnsi="Arial" w:cs="Arial"/>
                <w:sz w:val="16"/>
                <w:szCs w:val="16"/>
              </w:rPr>
            </w:pPr>
            <w:r w:rsidRPr="006D52A9">
              <w:rPr>
                <w:rFonts w:ascii="Arial" w:hAnsi="Arial" w:cs="Arial"/>
                <w:sz w:val="16"/>
                <w:szCs w:val="16"/>
              </w:rPr>
              <w:t>2</w:t>
            </w:r>
          </w:p>
        </w:tc>
      </w:tr>
      <w:tr w:rsidR="00D63B70" w:rsidRPr="006D52A9" w14:paraId="68B7A0A7" w14:textId="77777777" w:rsidTr="00A91628">
        <w:tblPrEx>
          <w:tblBorders>
            <w:top w:val="single" w:sz="4" w:space="0" w:color="auto"/>
          </w:tblBorders>
        </w:tblPrEx>
        <w:trPr>
          <w:cantSplit/>
          <w:tblCellSpacing w:w="22" w:type="dxa"/>
        </w:trPr>
        <w:tc>
          <w:tcPr>
            <w:tcW w:w="508" w:type="pct"/>
          </w:tcPr>
          <w:p w14:paraId="54357C99" w14:textId="77777777" w:rsidR="00D63B70" w:rsidRPr="006D52A9" w:rsidRDefault="00D63B70" w:rsidP="00D63B70">
            <w:pPr>
              <w:rPr>
                <w:rFonts w:ascii="Arial" w:hAnsi="Arial" w:cs="Arial"/>
                <w:sz w:val="16"/>
                <w:szCs w:val="16"/>
              </w:rPr>
            </w:pPr>
            <w:r w:rsidRPr="006D52A9">
              <w:rPr>
                <w:rFonts w:ascii="Arial" w:hAnsi="Arial" w:cs="Arial"/>
                <w:sz w:val="16"/>
                <w:szCs w:val="16"/>
              </w:rPr>
              <w:t>Valganciclovir</w:t>
            </w:r>
          </w:p>
        </w:tc>
        <w:tc>
          <w:tcPr>
            <w:tcW w:w="943" w:type="pct"/>
          </w:tcPr>
          <w:p w14:paraId="22F9DFB6" w14:textId="77777777" w:rsidR="00D63B70" w:rsidRPr="006D52A9" w:rsidRDefault="00D63B70" w:rsidP="00D63B70">
            <w:pPr>
              <w:rPr>
                <w:rFonts w:ascii="Arial" w:hAnsi="Arial" w:cs="Arial"/>
                <w:sz w:val="16"/>
                <w:szCs w:val="16"/>
              </w:rPr>
            </w:pPr>
            <w:r w:rsidRPr="006D52A9">
              <w:rPr>
                <w:rFonts w:ascii="Arial" w:hAnsi="Arial" w:cs="Arial"/>
                <w:sz w:val="16"/>
                <w:szCs w:val="16"/>
              </w:rPr>
              <w:t>Tablet 450 mg (as hydrochloride)</w:t>
            </w:r>
          </w:p>
        </w:tc>
        <w:tc>
          <w:tcPr>
            <w:tcW w:w="540" w:type="pct"/>
          </w:tcPr>
          <w:p w14:paraId="670812B2"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3BC21EBD" w14:textId="77777777" w:rsidR="00D63B70" w:rsidRPr="006D52A9" w:rsidRDefault="00D63B70" w:rsidP="00D63B70">
            <w:pPr>
              <w:rPr>
                <w:rFonts w:ascii="Arial" w:hAnsi="Arial" w:cs="Arial"/>
                <w:sz w:val="16"/>
                <w:szCs w:val="16"/>
              </w:rPr>
            </w:pPr>
            <w:r w:rsidRPr="006D52A9">
              <w:rPr>
                <w:rFonts w:ascii="Arial" w:hAnsi="Arial" w:cs="Arial"/>
                <w:sz w:val="16"/>
                <w:szCs w:val="16"/>
              </w:rPr>
              <w:t>Valcyte</w:t>
            </w:r>
          </w:p>
        </w:tc>
        <w:tc>
          <w:tcPr>
            <w:tcW w:w="894" w:type="pct"/>
          </w:tcPr>
          <w:p w14:paraId="21221DF7" w14:textId="77777777" w:rsidR="00D63B70" w:rsidRPr="006D52A9" w:rsidRDefault="00D63B70" w:rsidP="00D63B70">
            <w:pPr>
              <w:rPr>
                <w:rFonts w:ascii="Arial" w:hAnsi="Arial" w:cs="Arial"/>
                <w:sz w:val="16"/>
                <w:szCs w:val="16"/>
              </w:rPr>
            </w:pPr>
            <w:r w:rsidRPr="006D52A9">
              <w:rPr>
                <w:rFonts w:ascii="Arial" w:hAnsi="Arial" w:cs="Arial"/>
                <w:sz w:val="16"/>
                <w:szCs w:val="16"/>
              </w:rPr>
              <w:t>C4980 C4989 C9316</w:t>
            </w:r>
          </w:p>
        </w:tc>
        <w:tc>
          <w:tcPr>
            <w:tcW w:w="376" w:type="pct"/>
          </w:tcPr>
          <w:p w14:paraId="34E45663" w14:textId="77777777" w:rsidR="00D63B70" w:rsidRPr="006D52A9" w:rsidRDefault="00D63B70" w:rsidP="00D63B70">
            <w:pPr>
              <w:rPr>
                <w:rFonts w:ascii="Arial" w:hAnsi="Arial" w:cs="Arial"/>
                <w:sz w:val="16"/>
                <w:szCs w:val="16"/>
              </w:rPr>
            </w:pPr>
          </w:p>
        </w:tc>
        <w:tc>
          <w:tcPr>
            <w:tcW w:w="499" w:type="pct"/>
          </w:tcPr>
          <w:p w14:paraId="36D2DCA5"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5267871F"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E3A9AE6" w14:textId="77777777" w:rsidTr="00A91628">
        <w:tblPrEx>
          <w:tblBorders>
            <w:top w:val="single" w:sz="4" w:space="0" w:color="auto"/>
          </w:tblBorders>
        </w:tblPrEx>
        <w:trPr>
          <w:cantSplit/>
          <w:tblCellSpacing w:w="22" w:type="dxa"/>
        </w:trPr>
        <w:tc>
          <w:tcPr>
            <w:tcW w:w="508" w:type="pct"/>
          </w:tcPr>
          <w:p w14:paraId="679B1230" w14:textId="77777777" w:rsidR="00D63B70" w:rsidRPr="006D52A9" w:rsidRDefault="00D63B70" w:rsidP="00D63B70">
            <w:pPr>
              <w:rPr>
                <w:rFonts w:ascii="Arial" w:hAnsi="Arial" w:cs="Arial"/>
                <w:sz w:val="16"/>
                <w:szCs w:val="16"/>
              </w:rPr>
            </w:pPr>
          </w:p>
        </w:tc>
        <w:tc>
          <w:tcPr>
            <w:tcW w:w="943" w:type="pct"/>
          </w:tcPr>
          <w:p w14:paraId="4315AE61" w14:textId="77777777" w:rsidR="00D63B70" w:rsidRPr="006D52A9" w:rsidRDefault="00D63B70" w:rsidP="00D63B70">
            <w:pPr>
              <w:rPr>
                <w:rFonts w:ascii="Arial" w:hAnsi="Arial" w:cs="Arial"/>
                <w:sz w:val="16"/>
                <w:szCs w:val="16"/>
              </w:rPr>
            </w:pPr>
          </w:p>
        </w:tc>
        <w:tc>
          <w:tcPr>
            <w:tcW w:w="540" w:type="pct"/>
          </w:tcPr>
          <w:p w14:paraId="31CF8B24" w14:textId="77777777" w:rsidR="00D63B70" w:rsidRPr="006D52A9" w:rsidRDefault="00D63B70" w:rsidP="00D63B70">
            <w:pPr>
              <w:rPr>
                <w:rFonts w:ascii="Arial" w:hAnsi="Arial" w:cs="Arial"/>
                <w:sz w:val="16"/>
                <w:szCs w:val="16"/>
              </w:rPr>
            </w:pPr>
          </w:p>
        </w:tc>
        <w:tc>
          <w:tcPr>
            <w:tcW w:w="591" w:type="pct"/>
          </w:tcPr>
          <w:p w14:paraId="0219BDFF" w14:textId="77777777" w:rsidR="00D63B70" w:rsidRPr="006D52A9" w:rsidRDefault="00D63B70" w:rsidP="00D63B70">
            <w:pPr>
              <w:rPr>
                <w:rFonts w:ascii="Arial" w:hAnsi="Arial" w:cs="Arial"/>
                <w:sz w:val="16"/>
                <w:szCs w:val="16"/>
              </w:rPr>
            </w:pPr>
            <w:r w:rsidRPr="006D52A9">
              <w:rPr>
                <w:rFonts w:ascii="Arial" w:hAnsi="Arial" w:cs="Arial"/>
                <w:sz w:val="16"/>
                <w:szCs w:val="16"/>
              </w:rPr>
              <w:t>Valganciclovir Mylan</w:t>
            </w:r>
          </w:p>
        </w:tc>
        <w:tc>
          <w:tcPr>
            <w:tcW w:w="894" w:type="pct"/>
          </w:tcPr>
          <w:p w14:paraId="309A91EA" w14:textId="77777777" w:rsidR="00D63B70" w:rsidRPr="006D52A9" w:rsidRDefault="00D63B70" w:rsidP="00D63B70">
            <w:pPr>
              <w:rPr>
                <w:rFonts w:ascii="Arial" w:hAnsi="Arial" w:cs="Arial"/>
                <w:sz w:val="16"/>
                <w:szCs w:val="16"/>
              </w:rPr>
            </w:pPr>
            <w:r w:rsidRPr="006D52A9">
              <w:rPr>
                <w:rFonts w:ascii="Arial" w:hAnsi="Arial" w:cs="Arial"/>
                <w:sz w:val="16"/>
                <w:szCs w:val="16"/>
              </w:rPr>
              <w:t>C4980 C4989 C9316</w:t>
            </w:r>
          </w:p>
        </w:tc>
        <w:tc>
          <w:tcPr>
            <w:tcW w:w="376" w:type="pct"/>
          </w:tcPr>
          <w:p w14:paraId="34DC9348" w14:textId="77777777" w:rsidR="00D63B70" w:rsidRPr="006D52A9" w:rsidRDefault="00D63B70" w:rsidP="00D63B70">
            <w:pPr>
              <w:rPr>
                <w:rFonts w:ascii="Arial" w:hAnsi="Arial" w:cs="Arial"/>
                <w:sz w:val="16"/>
                <w:szCs w:val="16"/>
              </w:rPr>
            </w:pPr>
          </w:p>
        </w:tc>
        <w:tc>
          <w:tcPr>
            <w:tcW w:w="499" w:type="pct"/>
          </w:tcPr>
          <w:p w14:paraId="0D0AF066"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77B5383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77111BD5" w14:textId="77777777" w:rsidTr="00A91628">
        <w:tblPrEx>
          <w:tblBorders>
            <w:top w:val="single" w:sz="4" w:space="0" w:color="auto"/>
          </w:tblBorders>
        </w:tblPrEx>
        <w:trPr>
          <w:cantSplit/>
          <w:tblCellSpacing w:w="22" w:type="dxa"/>
        </w:trPr>
        <w:tc>
          <w:tcPr>
            <w:tcW w:w="508" w:type="pct"/>
          </w:tcPr>
          <w:p w14:paraId="295572C0" w14:textId="77777777" w:rsidR="00D63B70" w:rsidRPr="006D52A9" w:rsidRDefault="00D63B70" w:rsidP="00D63B70">
            <w:pPr>
              <w:rPr>
                <w:rFonts w:ascii="Arial" w:hAnsi="Arial" w:cs="Arial"/>
                <w:sz w:val="16"/>
                <w:szCs w:val="16"/>
              </w:rPr>
            </w:pPr>
          </w:p>
        </w:tc>
        <w:tc>
          <w:tcPr>
            <w:tcW w:w="943" w:type="pct"/>
          </w:tcPr>
          <w:p w14:paraId="4E1FF9B4" w14:textId="77777777" w:rsidR="00D63B70" w:rsidRPr="006D52A9" w:rsidRDefault="00D63B70" w:rsidP="00D63B70">
            <w:pPr>
              <w:rPr>
                <w:rFonts w:ascii="Arial" w:hAnsi="Arial" w:cs="Arial"/>
                <w:sz w:val="16"/>
                <w:szCs w:val="16"/>
              </w:rPr>
            </w:pPr>
          </w:p>
        </w:tc>
        <w:tc>
          <w:tcPr>
            <w:tcW w:w="540" w:type="pct"/>
          </w:tcPr>
          <w:p w14:paraId="3BBB52F2" w14:textId="77777777" w:rsidR="00D63B70" w:rsidRPr="006D52A9" w:rsidRDefault="00D63B70" w:rsidP="00D63B70">
            <w:pPr>
              <w:rPr>
                <w:rFonts w:ascii="Arial" w:hAnsi="Arial" w:cs="Arial"/>
                <w:sz w:val="16"/>
                <w:szCs w:val="16"/>
              </w:rPr>
            </w:pPr>
          </w:p>
        </w:tc>
        <w:tc>
          <w:tcPr>
            <w:tcW w:w="591" w:type="pct"/>
          </w:tcPr>
          <w:p w14:paraId="1C69DE9D" w14:textId="77777777" w:rsidR="00D63B70" w:rsidRPr="006D52A9" w:rsidRDefault="00D63B70" w:rsidP="00D63B70">
            <w:pPr>
              <w:rPr>
                <w:rFonts w:ascii="Arial" w:hAnsi="Arial" w:cs="Arial"/>
                <w:sz w:val="16"/>
                <w:szCs w:val="16"/>
              </w:rPr>
            </w:pPr>
            <w:r w:rsidRPr="006D52A9">
              <w:rPr>
                <w:rFonts w:ascii="Arial" w:hAnsi="Arial" w:cs="Arial"/>
                <w:sz w:val="16"/>
                <w:szCs w:val="16"/>
              </w:rPr>
              <w:t>Valganciclovir Sandoz</w:t>
            </w:r>
          </w:p>
        </w:tc>
        <w:tc>
          <w:tcPr>
            <w:tcW w:w="894" w:type="pct"/>
          </w:tcPr>
          <w:p w14:paraId="248DF891" w14:textId="77777777" w:rsidR="00D63B70" w:rsidRPr="006D52A9" w:rsidRDefault="00D63B70" w:rsidP="00D63B70">
            <w:pPr>
              <w:rPr>
                <w:rFonts w:ascii="Arial" w:hAnsi="Arial" w:cs="Arial"/>
                <w:sz w:val="16"/>
                <w:szCs w:val="16"/>
              </w:rPr>
            </w:pPr>
            <w:r w:rsidRPr="006D52A9">
              <w:rPr>
                <w:rFonts w:ascii="Arial" w:hAnsi="Arial" w:cs="Arial"/>
                <w:sz w:val="16"/>
                <w:szCs w:val="16"/>
              </w:rPr>
              <w:t>C4980 C4989 C9316</w:t>
            </w:r>
          </w:p>
        </w:tc>
        <w:tc>
          <w:tcPr>
            <w:tcW w:w="376" w:type="pct"/>
          </w:tcPr>
          <w:p w14:paraId="758589BF" w14:textId="77777777" w:rsidR="00D63B70" w:rsidRPr="006D52A9" w:rsidRDefault="00D63B70" w:rsidP="00D63B70">
            <w:pPr>
              <w:rPr>
                <w:rFonts w:ascii="Arial" w:hAnsi="Arial" w:cs="Arial"/>
                <w:sz w:val="16"/>
                <w:szCs w:val="16"/>
              </w:rPr>
            </w:pPr>
          </w:p>
        </w:tc>
        <w:tc>
          <w:tcPr>
            <w:tcW w:w="499" w:type="pct"/>
          </w:tcPr>
          <w:p w14:paraId="1F0251A2" w14:textId="77777777" w:rsidR="00D63B70" w:rsidRPr="006D52A9" w:rsidRDefault="00D63B70" w:rsidP="00D63B70">
            <w:pPr>
              <w:rPr>
                <w:rFonts w:ascii="Arial" w:hAnsi="Arial" w:cs="Arial"/>
                <w:sz w:val="16"/>
                <w:szCs w:val="16"/>
              </w:rPr>
            </w:pPr>
            <w:r w:rsidRPr="006D52A9">
              <w:rPr>
                <w:rFonts w:ascii="Arial" w:hAnsi="Arial" w:cs="Arial"/>
                <w:sz w:val="16"/>
                <w:szCs w:val="16"/>
              </w:rPr>
              <w:t>120</w:t>
            </w:r>
          </w:p>
        </w:tc>
        <w:tc>
          <w:tcPr>
            <w:tcW w:w="502" w:type="pct"/>
          </w:tcPr>
          <w:p w14:paraId="37028766"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6F7CE3D7" w14:textId="77777777" w:rsidTr="00A91628">
        <w:tblPrEx>
          <w:tblBorders>
            <w:top w:val="single" w:sz="4" w:space="0" w:color="auto"/>
          </w:tblBorders>
        </w:tblPrEx>
        <w:trPr>
          <w:cantSplit/>
          <w:tblCellSpacing w:w="22" w:type="dxa"/>
        </w:trPr>
        <w:tc>
          <w:tcPr>
            <w:tcW w:w="508" w:type="pct"/>
          </w:tcPr>
          <w:p w14:paraId="6665BB07" w14:textId="77777777" w:rsidR="00D63B70" w:rsidRPr="006D52A9" w:rsidRDefault="00D63B70" w:rsidP="00D63B70">
            <w:pPr>
              <w:rPr>
                <w:rFonts w:ascii="Arial" w:hAnsi="Arial" w:cs="Arial"/>
                <w:sz w:val="16"/>
                <w:szCs w:val="16"/>
              </w:rPr>
            </w:pPr>
          </w:p>
        </w:tc>
        <w:tc>
          <w:tcPr>
            <w:tcW w:w="943" w:type="pct"/>
          </w:tcPr>
          <w:p w14:paraId="67C4F719"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oral solution 50 mg (as hydrochloride) per mL, 100 mL</w:t>
            </w:r>
          </w:p>
        </w:tc>
        <w:tc>
          <w:tcPr>
            <w:tcW w:w="540" w:type="pct"/>
          </w:tcPr>
          <w:p w14:paraId="0A486815"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16CD939F" w14:textId="77777777" w:rsidR="00D63B70" w:rsidRPr="006D52A9" w:rsidRDefault="00D63B70" w:rsidP="00D63B70">
            <w:pPr>
              <w:rPr>
                <w:rFonts w:ascii="Arial" w:hAnsi="Arial" w:cs="Arial"/>
                <w:sz w:val="16"/>
                <w:szCs w:val="16"/>
              </w:rPr>
            </w:pPr>
            <w:r w:rsidRPr="006D52A9">
              <w:rPr>
                <w:rFonts w:ascii="Arial" w:hAnsi="Arial" w:cs="Arial"/>
                <w:sz w:val="16"/>
                <w:szCs w:val="16"/>
              </w:rPr>
              <w:t>Valcyte</w:t>
            </w:r>
          </w:p>
        </w:tc>
        <w:tc>
          <w:tcPr>
            <w:tcW w:w="894" w:type="pct"/>
          </w:tcPr>
          <w:p w14:paraId="67A4F1C2" w14:textId="77777777" w:rsidR="00D63B70" w:rsidRPr="006D52A9" w:rsidRDefault="00D63B70" w:rsidP="00D63B70">
            <w:pPr>
              <w:rPr>
                <w:rFonts w:ascii="Arial" w:hAnsi="Arial" w:cs="Arial"/>
                <w:sz w:val="16"/>
                <w:szCs w:val="16"/>
              </w:rPr>
            </w:pPr>
            <w:r w:rsidRPr="006D52A9">
              <w:rPr>
                <w:rFonts w:ascii="Arial" w:hAnsi="Arial" w:cs="Arial"/>
                <w:sz w:val="16"/>
                <w:szCs w:val="16"/>
              </w:rPr>
              <w:t>C4980 C4989 C9316</w:t>
            </w:r>
          </w:p>
        </w:tc>
        <w:tc>
          <w:tcPr>
            <w:tcW w:w="376" w:type="pct"/>
          </w:tcPr>
          <w:p w14:paraId="3DDB85C1" w14:textId="77777777" w:rsidR="00D63B70" w:rsidRPr="006D52A9" w:rsidRDefault="00D63B70" w:rsidP="00D63B70">
            <w:pPr>
              <w:rPr>
                <w:rFonts w:ascii="Arial" w:hAnsi="Arial" w:cs="Arial"/>
                <w:sz w:val="16"/>
                <w:szCs w:val="16"/>
              </w:rPr>
            </w:pPr>
          </w:p>
        </w:tc>
        <w:tc>
          <w:tcPr>
            <w:tcW w:w="499" w:type="pct"/>
          </w:tcPr>
          <w:p w14:paraId="29A714A2"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c>
          <w:tcPr>
            <w:tcW w:w="502" w:type="pct"/>
          </w:tcPr>
          <w:p w14:paraId="09CF4453"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3A69EC13" w14:textId="77777777" w:rsidTr="00A91628">
        <w:tblPrEx>
          <w:tblBorders>
            <w:top w:val="single" w:sz="4" w:space="0" w:color="auto"/>
          </w:tblBorders>
        </w:tblPrEx>
        <w:trPr>
          <w:cantSplit/>
          <w:tblCellSpacing w:w="22" w:type="dxa"/>
        </w:trPr>
        <w:tc>
          <w:tcPr>
            <w:tcW w:w="508" w:type="pct"/>
          </w:tcPr>
          <w:p w14:paraId="253D9815" w14:textId="77777777" w:rsidR="00D63B70" w:rsidRPr="006D52A9" w:rsidRDefault="00D63B70" w:rsidP="00D63B70">
            <w:pPr>
              <w:rPr>
                <w:rFonts w:ascii="Arial" w:hAnsi="Arial" w:cs="Arial"/>
                <w:sz w:val="16"/>
                <w:szCs w:val="16"/>
              </w:rPr>
            </w:pPr>
            <w:r w:rsidRPr="006D52A9">
              <w:rPr>
                <w:rFonts w:ascii="Arial" w:hAnsi="Arial" w:cs="Arial"/>
                <w:sz w:val="16"/>
                <w:szCs w:val="16"/>
              </w:rPr>
              <w:t>Vedolizumab</w:t>
            </w:r>
          </w:p>
        </w:tc>
        <w:tc>
          <w:tcPr>
            <w:tcW w:w="943" w:type="pct"/>
          </w:tcPr>
          <w:p w14:paraId="47002389" w14:textId="77777777" w:rsidR="00D63B70" w:rsidRPr="006D52A9" w:rsidRDefault="00D63B70" w:rsidP="00D63B70">
            <w:pPr>
              <w:rPr>
                <w:rFonts w:ascii="Arial" w:hAnsi="Arial" w:cs="Arial"/>
                <w:sz w:val="16"/>
                <w:szCs w:val="16"/>
              </w:rPr>
            </w:pPr>
            <w:r w:rsidRPr="006D52A9">
              <w:rPr>
                <w:rFonts w:ascii="Arial" w:hAnsi="Arial" w:cs="Arial"/>
                <w:sz w:val="16"/>
                <w:szCs w:val="16"/>
              </w:rPr>
              <w:t>Powder for injection 300 mg</w:t>
            </w:r>
          </w:p>
        </w:tc>
        <w:tc>
          <w:tcPr>
            <w:tcW w:w="540" w:type="pct"/>
          </w:tcPr>
          <w:p w14:paraId="6B602AAA"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Pr>
          <w:p w14:paraId="6351AB2D" w14:textId="77777777" w:rsidR="00D63B70" w:rsidRPr="006D52A9" w:rsidRDefault="00D63B70" w:rsidP="00D63B70">
            <w:pPr>
              <w:rPr>
                <w:rFonts w:ascii="Arial" w:hAnsi="Arial" w:cs="Arial"/>
                <w:sz w:val="16"/>
                <w:szCs w:val="16"/>
              </w:rPr>
            </w:pPr>
            <w:r w:rsidRPr="006D52A9">
              <w:rPr>
                <w:rFonts w:ascii="Arial" w:hAnsi="Arial" w:cs="Arial"/>
                <w:sz w:val="16"/>
                <w:szCs w:val="16"/>
              </w:rPr>
              <w:t>Entyvio</w:t>
            </w:r>
          </w:p>
        </w:tc>
        <w:tc>
          <w:tcPr>
            <w:tcW w:w="894" w:type="pct"/>
          </w:tcPr>
          <w:p w14:paraId="4F20BB15" w14:textId="77777777" w:rsidR="00D63B70" w:rsidRPr="006D52A9" w:rsidRDefault="00D63B70" w:rsidP="00D63B70">
            <w:pPr>
              <w:rPr>
                <w:rFonts w:ascii="Arial" w:hAnsi="Arial" w:cs="Arial"/>
                <w:sz w:val="16"/>
                <w:szCs w:val="16"/>
              </w:rPr>
            </w:pPr>
            <w:r w:rsidRPr="006D52A9">
              <w:rPr>
                <w:rFonts w:ascii="Arial" w:hAnsi="Arial" w:cs="Arial"/>
                <w:sz w:val="16"/>
                <w:szCs w:val="16"/>
              </w:rPr>
              <w:t>C9682 C9683 C9708 C9738 C9739 C9771 C9792 C9796 C9815 C9825</w:t>
            </w:r>
          </w:p>
        </w:tc>
        <w:tc>
          <w:tcPr>
            <w:tcW w:w="376" w:type="pct"/>
          </w:tcPr>
          <w:p w14:paraId="35B5F763" w14:textId="77777777" w:rsidR="00D63B70" w:rsidRPr="006D52A9" w:rsidRDefault="00D63B70" w:rsidP="00D63B70">
            <w:pPr>
              <w:rPr>
                <w:rFonts w:ascii="Arial" w:hAnsi="Arial" w:cs="Arial"/>
                <w:sz w:val="16"/>
                <w:szCs w:val="16"/>
              </w:rPr>
            </w:pPr>
          </w:p>
        </w:tc>
        <w:tc>
          <w:tcPr>
            <w:tcW w:w="499" w:type="pct"/>
          </w:tcPr>
          <w:p w14:paraId="20E053E1" w14:textId="77777777" w:rsidR="00D63B70" w:rsidRPr="006D52A9" w:rsidRDefault="00D63B70" w:rsidP="00D63B70">
            <w:pPr>
              <w:rPr>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c>
          <w:tcPr>
            <w:tcW w:w="502" w:type="pct"/>
          </w:tcPr>
          <w:p w14:paraId="58FE9A15" w14:textId="77777777" w:rsidR="00D63B70" w:rsidRPr="006D52A9" w:rsidRDefault="00D63B70" w:rsidP="00D63B70">
            <w:pPr>
              <w:rPr>
                <w:rFonts w:ascii="Arial" w:hAnsi="Arial" w:cs="Arial"/>
                <w:sz w:val="16"/>
                <w:szCs w:val="16"/>
              </w:rPr>
            </w:pPr>
            <w:r w:rsidRPr="006D52A9">
              <w:rPr>
                <w:rFonts w:ascii="Arial" w:hAnsi="Arial" w:cs="Arial"/>
                <w:sz w:val="16"/>
                <w:szCs w:val="16"/>
              </w:rPr>
              <w:t xml:space="preserve">See </w:t>
            </w:r>
            <w:r w:rsidR="003E082A" w:rsidRPr="006D52A9">
              <w:rPr>
                <w:rFonts w:ascii="Arial" w:hAnsi="Arial" w:cs="Arial"/>
                <w:sz w:val="16"/>
                <w:szCs w:val="16"/>
              </w:rPr>
              <w:t>Schedule 2</w:t>
            </w:r>
          </w:p>
        </w:tc>
      </w:tr>
      <w:tr w:rsidR="00D63B70" w:rsidRPr="006D52A9" w14:paraId="1ABCA531" w14:textId="77777777" w:rsidTr="00A91628">
        <w:tblPrEx>
          <w:tblBorders>
            <w:top w:val="single" w:sz="4" w:space="0" w:color="auto"/>
          </w:tblBorders>
        </w:tblPrEx>
        <w:trPr>
          <w:cantSplit/>
          <w:tblCellSpacing w:w="22" w:type="dxa"/>
        </w:trPr>
        <w:tc>
          <w:tcPr>
            <w:tcW w:w="508" w:type="pct"/>
          </w:tcPr>
          <w:p w14:paraId="0C926395"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Zidovudine</w:t>
            </w:r>
          </w:p>
        </w:tc>
        <w:tc>
          <w:tcPr>
            <w:tcW w:w="943" w:type="pct"/>
          </w:tcPr>
          <w:p w14:paraId="6702F3F6"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Capsule 100 mg</w:t>
            </w:r>
          </w:p>
        </w:tc>
        <w:tc>
          <w:tcPr>
            <w:tcW w:w="540" w:type="pct"/>
          </w:tcPr>
          <w:p w14:paraId="77562457"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Oral</w:t>
            </w:r>
          </w:p>
        </w:tc>
        <w:tc>
          <w:tcPr>
            <w:tcW w:w="591" w:type="pct"/>
          </w:tcPr>
          <w:p w14:paraId="3EBD2719"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Retrovir</w:t>
            </w:r>
          </w:p>
        </w:tc>
        <w:tc>
          <w:tcPr>
            <w:tcW w:w="894" w:type="pct"/>
          </w:tcPr>
          <w:p w14:paraId="7991CFE8"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C4454 C4512</w:t>
            </w:r>
          </w:p>
        </w:tc>
        <w:tc>
          <w:tcPr>
            <w:tcW w:w="376" w:type="pct"/>
          </w:tcPr>
          <w:p w14:paraId="69E1F1B6" w14:textId="77777777" w:rsidR="00D63B70" w:rsidRPr="006D52A9" w:rsidRDefault="00D63B70" w:rsidP="00D63B70">
            <w:pPr>
              <w:keepNext/>
              <w:keepLines/>
              <w:rPr>
                <w:rFonts w:ascii="Arial" w:hAnsi="Arial" w:cs="Arial"/>
                <w:sz w:val="16"/>
                <w:szCs w:val="16"/>
              </w:rPr>
            </w:pPr>
          </w:p>
        </w:tc>
        <w:tc>
          <w:tcPr>
            <w:tcW w:w="499" w:type="pct"/>
          </w:tcPr>
          <w:p w14:paraId="1C02CBD4"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400</w:t>
            </w:r>
          </w:p>
        </w:tc>
        <w:tc>
          <w:tcPr>
            <w:tcW w:w="502" w:type="pct"/>
          </w:tcPr>
          <w:p w14:paraId="32524F65" w14:textId="77777777" w:rsidR="00D63B70" w:rsidRPr="006D52A9" w:rsidRDefault="00D63B70" w:rsidP="00D63B70">
            <w:pPr>
              <w:keepNext/>
              <w:keepLines/>
              <w:rPr>
                <w:rFonts w:ascii="Arial" w:hAnsi="Arial" w:cs="Arial"/>
                <w:sz w:val="16"/>
                <w:szCs w:val="16"/>
              </w:rPr>
            </w:pPr>
            <w:r w:rsidRPr="006D52A9">
              <w:rPr>
                <w:rFonts w:ascii="Arial" w:hAnsi="Arial" w:cs="Arial"/>
                <w:sz w:val="16"/>
                <w:szCs w:val="16"/>
              </w:rPr>
              <w:t>5</w:t>
            </w:r>
          </w:p>
        </w:tc>
      </w:tr>
      <w:tr w:rsidR="00D63B70" w:rsidRPr="006D52A9" w14:paraId="571AFA5D" w14:textId="77777777" w:rsidTr="00A91628">
        <w:tblPrEx>
          <w:tblBorders>
            <w:top w:val="single" w:sz="4" w:space="0" w:color="auto"/>
          </w:tblBorders>
        </w:tblPrEx>
        <w:trPr>
          <w:cantSplit/>
          <w:tblCellSpacing w:w="22" w:type="dxa"/>
        </w:trPr>
        <w:tc>
          <w:tcPr>
            <w:tcW w:w="508" w:type="pct"/>
          </w:tcPr>
          <w:p w14:paraId="521A17ED" w14:textId="77777777" w:rsidR="00D63B70" w:rsidRPr="006D52A9" w:rsidRDefault="00D63B70" w:rsidP="00D63B70">
            <w:pPr>
              <w:rPr>
                <w:rFonts w:ascii="Arial" w:hAnsi="Arial" w:cs="Arial"/>
                <w:sz w:val="16"/>
                <w:szCs w:val="16"/>
              </w:rPr>
            </w:pPr>
          </w:p>
        </w:tc>
        <w:tc>
          <w:tcPr>
            <w:tcW w:w="943" w:type="pct"/>
          </w:tcPr>
          <w:p w14:paraId="4E14B1BE" w14:textId="77777777" w:rsidR="00D63B70" w:rsidRPr="006D52A9" w:rsidRDefault="00D63B70" w:rsidP="00D63B70">
            <w:pPr>
              <w:rPr>
                <w:rFonts w:ascii="Arial" w:hAnsi="Arial" w:cs="Arial"/>
                <w:sz w:val="16"/>
                <w:szCs w:val="16"/>
              </w:rPr>
            </w:pPr>
            <w:r w:rsidRPr="006D52A9">
              <w:rPr>
                <w:rFonts w:ascii="Arial" w:hAnsi="Arial" w:cs="Arial"/>
                <w:sz w:val="16"/>
                <w:szCs w:val="16"/>
              </w:rPr>
              <w:t>Capsule 250 mg</w:t>
            </w:r>
          </w:p>
        </w:tc>
        <w:tc>
          <w:tcPr>
            <w:tcW w:w="540" w:type="pct"/>
          </w:tcPr>
          <w:p w14:paraId="0AF3AD47"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414B3BCF" w14:textId="77777777" w:rsidR="00D63B70" w:rsidRPr="006D52A9" w:rsidRDefault="00D63B70" w:rsidP="00D63B70">
            <w:pPr>
              <w:rPr>
                <w:rFonts w:ascii="Arial" w:hAnsi="Arial" w:cs="Arial"/>
                <w:sz w:val="16"/>
                <w:szCs w:val="16"/>
              </w:rPr>
            </w:pPr>
            <w:r w:rsidRPr="006D52A9">
              <w:rPr>
                <w:rFonts w:ascii="Arial" w:hAnsi="Arial" w:cs="Arial"/>
                <w:sz w:val="16"/>
                <w:szCs w:val="16"/>
              </w:rPr>
              <w:t>Retrovir</w:t>
            </w:r>
          </w:p>
        </w:tc>
        <w:tc>
          <w:tcPr>
            <w:tcW w:w="894" w:type="pct"/>
          </w:tcPr>
          <w:p w14:paraId="7E4244D2"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4F571736" w14:textId="77777777" w:rsidR="00D63B70" w:rsidRPr="006D52A9" w:rsidRDefault="00D63B70" w:rsidP="00D63B70">
            <w:pPr>
              <w:rPr>
                <w:rFonts w:ascii="Arial" w:hAnsi="Arial" w:cs="Arial"/>
                <w:sz w:val="16"/>
                <w:szCs w:val="16"/>
              </w:rPr>
            </w:pPr>
          </w:p>
        </w:tc>
        <w:tc>
          <w:tcPr>
            <w:tcW w:w="499" w:type="pct"/>
          </w:tcPr>
          <w:p w14:paraId="5B22543F" w14:textId="77777777" w:rsidR="00D63B70" w:rsidRPr="006D52A9" w:rsidRDefault="00D63B70" w:rsidP="00D63B70">
            <w:pPr>
              <w:rPr>
                <w:rFonts w:ascii="Arial" w:hAnsi="Arial" w:cs="Arial"/>
                <w:sz w:val="16"/>
                <w:szCs w:val="16"/>
              </w:rPr>
            </w:pPr>
            <w:r w:rsidRPr="006D52A9">
              <w:rPr>
                <w:rFonts w:ascii="Arial" w:hAnsi="Arial" w:cs="Arial"/>
                <w:sz w:val="16"/>
                <w:szCs w:val="16"/>
              </w:rPr>
              <w:t>240</w:t>
            </w:r>
          </w:p>
        </w:tc>
        <w:tc>
          <w:tcPr>
            <w:tcW w:w="502" w:type="pct"/>
          </w:tcPr>
          <w:p w14:paraId="4F06E8BA"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08367683" w14:textId="77777777" w:rsidTr="00A91628">
        <w:tblPrEx>
          <w:tblBorders>
            <w:top w:val="single" w:sz="4" w:space="0" w:color="auto"/>
          </w:tblBorders>
        </w:tblPrEx>
        <w:trPr>
          <w:cantSplit/>
          <w:tblCellSpacing w:w="22" w:type="dxa"/>
        </w:trPr>
        <w:tc>
          <w:tcPr>
            <w:tcW w:w="508" w:type="pct"/>
          </w:tcPr>
          <w:p w14:paraId="4103B6F9" w14:textId="77777777" w:rsidR="00D63B70" w:rsidRPr="006D52A9" w:rsidRDefault="00D63B70" w:rsidP="00D63B70">
            <w:pPr>
              <w:rPr>
                <w:rFonts w:ascii="Arial" w:hAnsi="Arial" w:cs="Arial"/>
                <w:sz w:val="16"/>
                <w:szCs w:val="16"/>
              </w:rPr>
            </w:pPr>
          </w:p>
        </w:tc>
        <w:tc>
          <w:tcPr>
            <w:tcW w:w="943" w:type="pct"/>
          </w:tcPr>
          <w:p w14:paraId="468F4B98" w14:textId="77777777" w:rsidR="00D63B70" w:rsidRPr="006D52A9" w:rsidRDefault="00D63B70" w:rsidP="00D63B70">
            <w:pPr>
              <w:rPr>
                <w:rFonts w:ascii="Arial" w:hAnsi="Arial" w:cs="Arial"/>
                <w:sz w:val="16"/>
                <w:szCs w:val="16"/>
              </w:rPr>
            </w:pPr>
            <w:r w:rsidRPr="006D52A9">
              <w:rPr>
                <w:rFonts w:ascii="Arial" w:hAnsi="Arial" w:cs="Arial"/>
                <w:sz w:val="16"/>
                <w:szCs w:val="16"/>
              </w:rPr>
              <w:t>Syrup 10 mg per mL, 200 mL</w:t>
            </w:r>
          </w:p>
        </w:tc>
        <w:tc>
          <w:tcPr>
            <w:tcW w:w="540" w:type="pct"/>
          </w:tcPr>
          <w:p w14:paraId="0253D798" w14:textId="77777777" w:rsidR="00D63B70" w:rsidRPr="006D52A9" w:rsidRDefault="00D63B70" w:rsidP="00D63B70">
            <w:pPr>
              <w:rPr>
                <w:rFonts w:ascii="Arial" w:hAnsi="Arial" w:cs="Arial"/>
                <w:sz w:val="16"/>
                <w:szCs w:val="16"/>
              </w:rPr>
            </w:pPr>
            <w:r w:rsidRPr="006D52A9">
              <w:rPr>
                <w:rFonts w:ascii="Arial" w:hAnsi="Arial" w:cs="Arial"/>
                <w:sz w:val="16"/>
                <w:szCs w:val="16"/>
              </w:rPr>
              <w:t>Oral</w:t>
            </w:r>
          </w:p>
        </w:tc>
        <w:tc>
          <w:tcPr>
            <w:tcW w:w="591" w:type="pct"/>
          </w:tcPr>
          <w:p w14:paraId="65829FBC" w14:textId="77777777" w:rsidR="00D63B70" w:rsidRPr="006D52A9" w:rsidRDefault="00D63B70" w:rsidP="00D63B70">
            <w:pPr>
              <w:rPr>
                <w:rFonts w:ascii="Arial" w:hAnsi="Arial" w:cs="Arial"/>
                <w:sz w:val="16"/>
                <w:szCs w:val="16"/>
              </w:rPr>
            </w:pPr>
            <w:r w:rsidRPr="006D52A9">
              <w:rPr>
                <w:rFonts w:ascii="Arial" w:hAnsi="Arial" w:cs="Arial"/>
                <w:sz w:val="16"/>
                <w:szCs w:val="16"/>
              </w:rPr>
              <w:t>Retrovir</w:t>
            </w:r>
          </w:p>
        </w:tc>
        <w:tc>
          <w:tcPr>
            <w:tcW w:w="894" w:type="pct"/>
          </w:tcPr>
          <w:p w14:paraId="5F36CE02" w14:textId="77777777" w:rsidR="00D63B70" w:rsidRPr="006D52A9" w:rsidRDefault="00D63B70" w:rsidP="00D63B70">
            <w:pPr>
              <w:rPr>
                <w:rFonts w:ascii="Arial" w:hAnsi="Arial" w:cs="Arial"/>
                <w:sz w:val="16"/>
                <w:szCs w:val="16"/>
              </w:rPr>
            </w:pPr>
            <w:r w:rsidRPr="006D52A9">
              <w:rPr>
                <w:rFonts w:ascii="Arial" w:hAnsi="Arial" w:cs="Arial"/>
                <w:sz w:val="16"/>
                <w:szCs w:val="16"/>
              </w:rPr>
              <w:t>C4454 C4512</w:t>
            </w:r>
          </w:p>
        </w:tc>
        <w:tc>
          <w:tcPr>
            <w:tcW w:w="376" w:type="pct"/>
          </w:tcPr>
          <w:p w14:paraId="548A03FC" w14:textId="77777777" w:rsidR="00D63B70" w:rsidRPr="006D52A9" w:rsidRDefault="00D63B70" w:rsidP="00D63B70">
            <w:pPr>
              <w:rPr>
                <w:rFonts w:ascii="Arial" w:hAnsi="Arial" w:cs="Arial"/>
                <w:sz w:val="16"/>
                <w:szCs w:val="16"/>
              </w:rPr>
            </w:pPr>
          </w:p>
        </w:tc>
        <w:tc>
          <w:tcPr>
            <w:tcW w:w="499" w:type="pct"/>
          </w:tcPr>
          <w:p w14:paraId="4DC7AB8B" w14:textId="77777777" w:rsidR="00D63B70" w:rsidRPr="006D52A9" w:rsidRDefault="00D63B70" w:rsidP="00D63B70">
            <w:pPr>
              <w:rPr>
                <w:rFonts w:ascii="Arial" w:hAnsi="Arial" w:cs="Arial"/>
                <w:sz w:val="16"/>
                <w:szCs w:val="16"/>
              </w:rPr>
            </w:pPr>
            <w:r w:rsidRPr="006D52A9">
              <w:rPr>
                <w:rFonts w:ascii="Arial" w:hAnsi="Arial" w:cs="Arial"/>
                <w:sz w:val="16"/>
                <w:szCs w:val="16"/>
              </w:rPr>
              <w:t>15</w:t>
            </w:r>
          </w:p>
        </w:tc>
        <w:tc>
          <w:tcPr>
            <w:tcW w:w="502" w:type="pct"/>
          </w:tcPr>
          <w:p w14:paraId="000CDAE7" w14:textId="77777777" w:rsidR="00D63B70" w:rsidRPr="006D52A9" w:rsidRDefault="00D63B70" w:rsidP="00D63B70">
            <w:pPr>
              <w:rPr>
                <w:rFonts w:ascii="Arial" w:hAnsi="Arial" w:cs="Arial"/>
                <w:sz w:val="16"/>
                <w:szCs w:val="16"/>
              </w:rPr>
            </w:pPr>
            <w:r w:rsidRPr="006D52A9">
              <w:rPr>
                <w:rFonts w:ascii="Arial" w:hAnsi="Arial" w:cs="Arial"/>
                <w:sz w:val="16"/>
                <w:szCs w:val="16"/>
              </w:rPr>
              <w:t>5</w:t>
            </w:r>
          </w:p>
        </w:tc>
      </w:tr>
      <w:tr w:rsidR="00D63B70" w:rsidRPr="006D52A9" w14:paraId="1EB40154" w14:textId="77777777" w:rsidTr="00A91628">
        <w:tblPrEx>
          <w:tblBorders>
            <w:top w:val="single" w:sz="4" w:space="0" w:color="auto"/>
          </w:tblBorders>
        </w:tblPrEx>
        <w:trPr>
          <w:cantSplit/>
          <w:trHeight w:val="1102"/>
          <w:tblCellSpacing w:w="22" w:type="dxa"/>
        </w:trPr>
        <w:tc>
          <w:tcPr>
            <w:tcW w:w="508" w:type="pct"/>
            <w:tcBorders>
              <w:top w:val="nil"/>
              <w:bottom w:val="nil"/>
            </w:tcBorders>
          </w:tcPr>
          <w:p w14:paraId="2C6D219C" w14:textId="77777777" w:rsidR="00D63B70" w:rsidRPr="006D52A9" w:rsidRDefault="00D63B70" w:rsidP="00D63B70">
            <w:pPr>
              <w:rPr>
                <w:rFonts w:ascii="Arial" w:hAnsi="Arial" w:cs="Arial"/>
                <w:sz w:val="16"/>
                <w:szCs w:val="16"/>
              </w:rPr>
            </w:pPr>
            <w:r w:rsidRPr="006D52A9">
              <w:rPr>
                <w:rFonts w:ascii="Arial" w:hAnsi="Arial" w:cs="Arial"/>
                <w:sz w:val="16"/>
                <w:szCs w:val="16"/>
              </w:rPr>
              <w:t>Zoledronic acid</w:t>
            </w:r>
          </w:p>
        </w:tc>
        <w:tc>
          <w:tcPr>
            <w:tcW w:w="943" w:type="pct"/>
            <w:tcBorders>
              <w:top w:val="nil"/>
              <w:bottom w:val="nil"/>
            </w:tcBorders>
          </w:tcPr>
          <w:p w14:paraId="71AF30A2" w14:textId="77777777" w:rsidR="00D63B70" w:rsidRPr="006D52A9" w:rsidRDefault="00D63B70" w:rsidP="00D63B70">
            <w:pPr>
              <w:rPr>
                <w:rFonts w:ascii="Arial" w:hAnsi="Arial" w:cs="Arial"/>
                <w:sz w:val="16"/>
                <w:szCs w:val="16"/>
              </w:rPr>
            </w:pPr>
            <w:r w:rsidRPr="006D52A9">
              <w:rPr>
                <w:rFonts w:ascii="Arial" w:hAnsi="Arial" w:cs="Arial"/>
                <w:sz w:val="16"/>
                <w:szCs w:val="16"/>
              </w:rPr>
              <w:t>Injection concentrate for I.V. infusion 4 mg (as monohydrate) in 5 mL</w:t>
            </w:r>
          </w:p>
        </w:tc>
        <w:tc>
          <w:tcPr>
            <w:tcW w:w="540" w:type="pct"/>
            <w:tcBorders>
              <w:top w:val="nil"/>
              <w:bottom w:val="nil"/>
            </w:tcBorders>
          </w:tcPr>
          <w:p w14:paraId="68E9B21B"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Borders>
              <w:top w:val="nil"/>
              <w:bottom w:val="nil"/>
            </w:tcBorders>
          </w:tcPr>
          <w:p w14:paraId="6862AE5E" w14:textId="77777777" w:rsidR="00D63B70" w:rsidRPr="006D52A9" w:rsidRDefault="00D63B70" w:rsidP="00D63B70">
            <w:pPr>
              <w:rPr>
                <w:rFonts w:ascii="Arial" w:hAnsi="Arial" w:cs="Arial"/>
                <w:sz w:val="16"/>
                <w:szCs w:val="16"/>
              </w:rPr>
            </w:pPr>
            <w:r w:rsidRPr="006D52A9">
              <w:rPr>
                <w:rFonts w:ascii="Arial" w:hAnsi="Arial" w:cs="Arial"/>
                <w:sz w:val="16"/>
                <w:szCs w:val="16"/>
              </w:rPr>
              <w:t>APO</w:t>
            </w:r>
            <w:r w:rsidR="0026100E">
              <w:rPr>
                <w:rFonts w:ascii="Arial" w:hAnsi="Arial" w:cs="Arial"/>
                <w:sz w:val="16"/>
                <w:szCs w:val="16"/>
              </w:rPr>
              <w:noBreakHyphen/>
            </w:r>
            <w:r w:rsidRPr="006D52A9">
              <w:rPr>
                <w:rFonts w:ascii="Arial" w:hAnsi="Arial" w:cs="Arial"/>
                <w:sz w:val="16"/>
                <w:szCs w:val="16"/>
              </w:rPr>
              <w:t>Zoledronic Acid</w:t>
            </w:r>
          </w:p>
        </w:tc>
        <w:tc>
          <w:tcPr>
            <w:tcW w:w="894" w:type="pct"/>
            <w:tcBorders>
              <w:top w:val="nil"/>
              <w:bottom w:val="nil"/>
            </w:tcBorders>
          </w:tcPr>
          <w:p w14:paraId="2CC82FF4" w14:textId="77777777" w:rsidR="00D63B70" w:rsidRPr="006D52A9" w:rsidRDefault="00D63B70" w:rsidP="00D63B70">
            <w:pPr>
              <w:rPr>
                <w:rFonts w:ascii="Arial" w:hAnsi="Arial" w:cs="Arial"/>
                <w:sz w:val="16"/>
                <w:szCs w:val="16"/>
              </w:rPr>
            </w:pPr>
            <w:r w:rsidRPr="006D52A9">
              <w:rPr>
                <w:rFonts w:ascii="Arial" w:hAnsi="Arial" w:cs="Arial"/>
                <w:sz w:val="16"/>
                <w:szCs w:val="16"/>
              </w:rPr>
              <w:t>C5605 C5703 C5704 C5735 C9268 C9304 C9317 C9328</w:t>
            </w:r>
          </w:p>
        </w:tc>
        <w:tc>
          <w:tcPr>
            <w:tcW w:w="376" w:type="pct"/>
            <w:tcBorders>
              <w:top w:val="nil"/>
              <w:bottom w:val="nil"/>
            </w:tcBorders>
          </w:tcPr>
          <w:p w14:paraId="16E47B62" w14:textId="77777777" w:rsidR="00D63B70" w:rsidRPr="006D52A9" w:rsidRDefault="00D63B70" w:rsidP="00D63B70">
            <w:pPr>
              <w:rPr>
                <w:rFonts w:ascii="Arial" w:hAnsi="Arial" w:cs="Arial"/>
                <w:sz w:val="16"/>
                <w:szCs w:val="16"/>
              </w:rPr>
            </w:pPr>
          </w:p>
        </w:tc>
        <w:tc>
          <w:tcPr>
            <w:tcW w:w="499" w:type="pct"/>
            <w:tcBorders>
              <w:top w:val="nil"/>
              <w:bottom w:val="nil"/>
            </w:tcBorders>
          </w:tcPr>
          <w:p w14:paraId="565E2CFA"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Borders>
              <w:top w:val="nil"/>
              <w:bottom w:val="nil"/>
            </w:tcBorders>
          </w:tcPr>
          <w:p w14:paraId="75F04C82"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1F169881" w14:textId="77777777" w:rsidTr="00A91628">
        <w:tblPrEx>
          <w:tblBorders>
            <w:top w:val="single" w:sz="4" w:space="0" w:color="auto"/>
          </w:tblBorders>
        </w:tblPrEx>
        <w:trPr>
          <w:cantSplit/>
          <w:trHeight w:val="1102"/>
          <w:tblCellSpacing w:w="22" w:type="dxa"/>
        </w:trPr>
        <w:tc>
          <w:tcPr>
            <w:tcW w:w="508" w:type="pct"/>
            <w:tcBorders>
              <w:top w:val="nil"/>
              <w:bottom w:val="nil"/>
            </w:tcBorders>
          </w:tcPr>
          <w:p w14:paraId="7AA3AEC8" w14:textId="77777777" w:rsidR="00D63B70" w:rsidRPr="006D52A9" w:rsidRDefault="00D63B70" w:rsidP="00D63B70">
            <w:pPr>
              <w:rPr>
                <w:rFonts w:ascii="Arial" w:hAnsi="Arial" w:cs="Arial"/>
                <w:sz w:val="16"/>
                <w:szCs w:val="16"/>
              </w:rPr>
            </w:pPr>
          </w:p>
        </w:tc>
        <w:tc>
          <w:tcPr>
            <w:tcW w:w="943" w:type="pct"/>
            <w:tcBorders>
              <w:top w:val="nil"/>
              <w:bottom w:val="nil"/>
            </w:tcBorders>
          </w:tcPr>
          <w:p w14:paraId="7475227E" w14:textId="77777777" w:rsidR="00D63B70" w:rsidRPr="006D52A9" w:rsidRDefault="00D63B70" w:rsidP="00D63B70">
            <w:pPr>
              <w:rPr>
                <w:rFonts w:ascii="Arial" w:hAnsi="Arial" w:cs="Arial"/>
                <w:sz w:val="16"/>
                <w:szCs w:val="16"/>
              </w:rPr>
            </w:pPr>
          </w:p>
        </w:tc>
        <w:tc>
          <w:tcPr>
            <w:tcW w:w="540" w:type="pct"/>
            <w:tcBorders>
              <w:top w:val="nil"/>
              <w:bottom w:val="nil"/>
            </w:tcBorders>
          </w:tcPr>
          <w:p w14:paraId="4CB93515" w14:textId="77777777" w:rsidR="00D63B70" w:rsidRPr="006D52A9" w:rsidRDefault="00D63B70" w:rsidP="00D63B70">
            <w:pPr>
              <w:rPr>
                <w:rFonts w:ascii="Arial" w:hAnsi="Arial" w:cs="Arial"/>
                <w:sz w:val="16"/>
                <w:szCs w:val="16"/>
              </w:rPr>
            </w:pPr>
          </w:p>
        </w:tc>
        <w:tc>
          <w:tcPr>
            <w:tcW w:w="591" w:type="pct"/>
            <w:tcBorders>
              <w:top w:val="nil"/>
              <w:bottom w:val="nil"/>
            </w:tcBorders>
          </w:tcPr>
          <w:p w14:paraId="78364376" w14:textId="77777777" w:rsidR="00D63B70" w:rsidRPr="006D52A9" w:rsidRDefault="00D63B70" w:rsidP="00D63B70">
            <w:pPr>
              <w:rPr>
                <w:rFonts w:ascii="Arial" w:hAnsi="Arial" w:cs="Arial"/>
                <w:sz w:val="16"/>
                <w:szCs w:val="16"/>
              </w:rPr>
            </w:pPr>
            <w:r w:rsidRPr="006D52A9">
              <w:rPr>
                <w:rFonts w:ascii="Arial" w:hAnsi="Arial" w:cs="Arial"/>
                <w:sz w:val="16"/>
                <w:szCs w:val="16"/>
              </w:rPr>
              <w:t>DBL Zoledronic Acid</w:t>
            </w:r>
          </w:p>
        </w:tc>
        <w:tc>
          <w:tcPr>
            <w:tcW w:w="894" w:type="pct"/>
            <w:tcBorders>
              <w:top w:val="nil"/>
              <w:bottom w:val="nil"/>
            </w:tcBorders>
          </w:tcPr>
          <w:p w14:paraId="54C70817" w14:textId="77777777" w:rsidR="00D63B70" w:rsidRPr="006D52A9" w:rsidRDefault="00D63B70" w:rsidP="00D63B70">
            <w:pPr>
              <w:rPr>
                <w:rFonts w:ascii="Arial" w:hAnsi="Arial" w:cs="Arial"/>
                <w:sz w:val="16"/>
                <w:szCs w:val="16"/>
              </w:rPr>
            </w:pPr>
            <w:r w:rsidRPr="006D52A9">
              <w:rPr>
                <w:rFonts w:ascii="Arial" w:hAnsi="Arial" w:cs="Arial"/>
                <w:sz w:val="16"/>
                <w:szCs w:val="16"/>
              </w:rPr>
              <w:t>C5605 C5703 C5704 C5735 C9268 C9304 C9317 C9328</w:t>
            </w:r>
          </w:p>
        </w:tc>
        <w:tc>
          <w:tcPr>
            <w:tcW w:w="376" w:type="pct"/>
            <w:tcBorders>
              <w:top w:val="nil"/>
              <w:bottom w:val="nil"/>
            </w:tcBorders>
          </w:tcPr>
          <w:p w14:paraId="728E4EDE" w14:textId="77777777" w:rsidR="00D63B70" w:rsidRPr="006D52A9" w:rsidRDefault="00D63B70" w:rsidP="00D63B70">
            <w:pPr>
              <w:rPr>
                <w:rFonts w:ascii="Arial" w:hAnsi="Arial" w:cs="Arial"/>
                <w:sz w:val="16"/>
                <w:szCs w:val="16"/>
              </w:rPr>
            </w:pPr>
          </w:p>
        </w:tc>
        <w:tc>
          <w:tcPr>
            <w:tcW w:w="499" w:type="pct"/>
            <w:tcBorders>
              <w:top w:val="nil"/>
              <w:bottom w:val="nil"/>
            </w:tcBorders>
          </w:tcPr>
          <w:p w14:paraId="587485CB"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Borders>
              <w:top w:val="nil"/>
              <w:bottom w:val="nil"/>
            </w:tcBorders>
          </w:tcPr>
          <w:p w14:paraId="093DB35C"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F134FF3" w14:textId="77777777" w:rsidTr="00A91628">
        <w:tblPrEx>
          <w:tblBorders>
            <w:top w:val="single" w:sz="4" w:space="0" w:color="auto"/>
          </w:tblBorders>
        </w:tblPrEx>
        <w:trPr>
          <w:cantSplit/>
          <w:trHeight w:val="1102"/>
          <w:tblCellSpacing w:w="22" w:type="dxa"/>
        </w:trPr>
        <w:tc>
          <w:tcPr>
            <w:tcW w:w="508" w:type="pct"/>
            <w:tcBorders>
              <w:top w:val="nil"/>
              <w:bottom w:val="nil"/>
            </w:tcBorders>
          </w:tcPr>
          <w:p w14:paraId="40E55CAA" w14:textId="77777777" w:rsidR="00D63B70" w:rsidRPr="006D52A9" w:rsidRDefault="00D63B70" w:rsidP="00D63B70">
            <w:pPr>
              <w:rPr>
                <w:rFonts w:ascii="Arial" w:hAnsi="Arial" w:cs="Arial"/>
                <w:sz w:val="16"/>
                <w:szCs w:val="16"/>
              </w:rPr>
            </w:pPr>
          </w:p>
        </w:tc>
        <w:tc>
          <w:tcPr>
            <w:tcW w:w="943" w:type="pct"/>
            <w:tcBorders>
              <w:top w:val="nil"/>
              <w:bottom w:val="nil"/>
            </w:tcBorders>
          </w:tcPr>
          <w:p w14:paraId="3A20AA65" w14:textId="77777777" w:rsidR="00D63B70" w:rsidRPr="006D52A9" w:rsidRDefault="00D63B70" w:rsidP="00D63B70">
            <w:pPr>
              <w:rPr>
                <w:rFonts w:ascii="Arial" w:hAnsi="Arial" w:cs="Arial"/>
                <w:sz w:val="16"/>
                <w:szCs w:val="16"/>
              </w:rPr>
            </w:pPr>
          </w:p>
        </w:tc>
        <w:tc>
          <w:tcPr>
            <w:tcW w:w="540" w:type="pct"/>
            <w:tcBorders>
              <w:top w:val="nil"/>
              <w:bottom w:val="nil"/>
            </w:tcBorders>
          </w:tcPr>
          <w:p w14:paraId="1235A6DB" w14:textId="77777777" w:rsidR="00D63B70" w:rsidRPr="006D52A9" w:rsidRDefault="00D63B70" w:rsidP="00D63B70">
            <w:pPr>
              <w:rPr>
                <w:rFonts w:ascii="Arial" w:hAnsi="Arial" w:cs="Arial"/>
                <w:sz w:val="16"/>
                <w:szCs w:val="16"/>
              </w:rPr>
            </w:pPr>
          </w:p>
        </w:tc>
        <w:tc>
          <w:tcPr>
            <w:tcW w:w="591" w:type="pct"/>
            <w:tcBorders>
              <w:top w:val="nil"/>
              <w:bottom w:val="nil"/>
            </w:tcBorders>
          </w:tcPr>
          <w:p w14:paraId="2F4EE1F2" w14:textId="77777777" w:rsidR="00D63B70" w:rsidRPr="006D52A9" w:rsidRDefault="00D63B70" w:rsidP="00D63B70">
            <w:pPr>
              <w:rPr>
                <w:rFonts w:ascii="Arial" w:hAnsi="Arial" w:cs="Arial"/>
                <w:sz w:val="16"/>
                <w:szCs w:val="16"/>
              </w:rPr>
            </w:pPr>
            <w:r w:rsidRPr="006D52A9">
              <w:rPr>
                <w:rFonts w:ascii="Arial" w:hAnsi="Arial" w:cs="Arial"/>
                <w:sz w:val="16"/>
                <w:szCs w:val="16"/>
              </w:rPr>
              <w:t>DEZTRON</w:t>
            </w:r>
          </w:p>
        </w:tc>
        <w:tc>
          <w:tcPr>
            <w:tcW w:w="894" w:type="pct"/>
            <w:tcBorders>
              <w:top w:val="nil"/>
              <w:bottom w:val="nil"/>
            </w:tcBorders>
          </w:tcPr>
          <w:p w14:paraId="003ED836" w14:textId="77777777" w:rsidR="00D63B70" w:rsidRPr="006D52A9" w:rsidRDefault="00D63B70" w:rsidP="00D63B70">
            <w:pPr>
              <w:rPr>
                <w:rFonts w:ascii="Arial" w:hAnsi="Arial" w:cs="Arial"/>
                <w:sz w:val="16"/>
                <w:szCs w:val="16"/>
              </w:rPr>
            </w:pPr>
            <w:r w:rsidRPr="006D52A9">
              <w:rPr>
                <w:rFonts w:ascii="Arial" w:hAnsi="Arial" w:cs="Arial"/>
                <w:sz w:val="16"/>
                <w:szCs w:val="16"/>
              </w:rPr>
              <w:t>C5605 C5703 C5704 C5735 C9268 C9304 C9317 C9328</w:t>
            </w:r>
          </w:p>
        </w:tc>
        <w:tc>
          <w:tcPr>
            <w:tcW w:w="376" w:type="pct"/>
            <w:tcBorders>
              <w:top w:val="nil"/>
              <w:bottom w:val="nil"/>
            </w:tcBorders>
          </w:tcPr>
          <w:p w14:paraId="05F93430" w14:textId="77777777" w:rsidR="00D63B70" w:rsidRPr="006D52A9" w:rsidRDefault="00D63B70" w:rsidP="00D63B70">
            <w:pPr>
              <w:rPr>
                <w:rFonts w:ascii="Arial" w:hAnsi="Arial" w:cs="Arial"/>
                <w:sz w:val="16"/>
                <w:szCs w:val="16"/>
              </w:rPr>
            </w:pPr>
          </w:p>
        </w:tc>
        <w:tc>
          <w:tcPr>
            <w:tcW w:w="499" w:type="pct"/>
            <w:tcBorders>
              <w:top w:val="nil"/>
              <w:bottom w:val="nil"/>
            </w:tcBorders>
          </w:tcPr>
          <w:p w14:paraId="4453BB21"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Borders>
              <w:top w:val="nil"/>
              <w:bottom w:val="nil"/>
            </w:tcBorders>
          </w:tcPr>
          <w:p w14:paraId="5B3EB0D9"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0AB44355" w14:textId="77777777" w:rsidTr="00A91628">
        <w:tblPrEx>
          <w:tblBorders>
            <w:top w:val="single" w:sz="4" w:space="0" w:color="auto"/>
          </w:tblBorders>
        </w:tblPrEx>
        <w:trPr>
          <w:cantSplit/>
          <w:trHeight w:val="1102"/>
          <w:tblCellSpacing w:w="22" w:type="dxa"/>
        </w:trPr>
        <w:tc>
          <w:tcPr>
            <w:tcW w:w="508" w:type="pct"/>
            <w:tcBorders>
              <w:top w:val="nil"/>
              <w:bottom w:val="nil"/>
            </w:tcBorders>
          </w:tcPr>
          <w:p w14:paraId="72EECBF4" w14:textId="77777777" w:rsidR="00D63B70" w:rsidRPr="006D52A9" w:rsidRDefault="00D63B70" w:rsidP="00D63B70">
            <w:pPr>
              <w:rPr>
                <w:rFonts w:ascii="Arial" w:hAnsi="Arial" w:cs="Arial"/>
                <w:sz w:val="16"/>
                <w:szCs w:val="16"/>
              </w:rPr>
            </w:pPr>
          </w:p>
        </w:tc>
        <w:tc>
          <w:tcPr>
            <w:tcW w:w="943" w:type="pct"/>
            <w:tcBorders>
              <w:top w:val="nil"/>
              <w:bottom w:val="nil"/>
            </w:tcBorders>
          </w:tcPr>
          <w:p w14:paraId="4E135610" w14:textId="77777777" w:rsidR="00D63B70" w:rsidRPr="006D52A9" w:rsidRDefault="00D63B70" w:rsidP="00D63B70">
            <w:pPr>
              <w:rPr>
                <w:rFonts w:ascii="Arial" w:hAnsi="Arial" w:cs="Arial"/>
                <w:sz w:val="16"/>
                <w:szCs w:val="16"/>
              </w:rPr>
            </w:pPr>
          </w:p>
        </w:tc>
        <w:tc>
          <w:tcPr>
            <w:tcW w:w="540" w:type="pct"/>
            <w:tcBorders>
              <w:top w:val="nil"/>
              <w:bottom w:val="nil"/>
            </w:tcBorders>
          </w:tcPr>
          <w:p w14:paraId="56D9788E" w14:textId="77777777" w:rsidR="00D63B70" w:rsidRPr="006D52A9" w:rsidRDefault="00D63B70" w:rsidP="00D63B70">
            <w:pPr>
              <w:rPr>
                <w:rFonts w:ascii="Arial" w:hAnsi="Arial" w:cs="Arial"/>
                <w:sz w:val="16"/>
                <w:szCs w:val="16"/>
              </w:rPr>
            </w:pPr>
          </w:p>
        </w:tc>
        <w:tc>
          <w:tcPr>
            <w:tcW w:w="591" w:type="pct"/>
            <w:tcBorders>
              <w:top w:val="nil"/>
              <w:bottom w:val="nil"/>
            </w:tcBorders>
          </w:tcPr>
          <w:p w14:paraId="6FF2CA22" w14:textId="77777777" w:rsidR="00D63B70" w:rsidRPr="006D52A9" w:rsidRDefault="00D63B70" w:rsidP="00D63B70">
            <w:pPr>
              <w:rPr>
                <w:rFonts w:ascii="Arial" w:hAnsi="Arial" w:cs="Arial"/>
                <w:sz w:val="16"/>
                <w:szCs w:val="16"/>
              </w:rPr>
            </w:pPr>
            <w:r w:rsidRPr="006D52A9">
              <w:rPr>
                <w:rFonts w:ascii="Arial" w:hAnsi="Arial" w:cs="Arial"/>
                <w:sz w:val="16"/>
                <w:szCs w:val="16"/>
              </w:rPr>
              <w:t>Zometa</w:t>
            </w:r>
          </w:p>
        </w:tc>
        <w:tc>
          <w:tcPr>
            <w:tcW w:w="894" w:type="pct"/>
            <w:tcBorders>
              <w:top w:val="nil"/>
              <w:bottom w:val="nil"/>
            </w:tcBorders>
          </w:tcPr>
          <w:p w14:paraId="50415F6E" w14:textId="77777777" w:rsidR="00D63B70" w:rsidRPr="006D52A9" w:rsidRDefault="00D63B70" w:rsidP="00D63B70">
            <w:pPr>
              <w:rPr>
                <w:rFonts w:ascii="Arial" w:hAnsi="Arial" w:cs="Arial"/>
                <w:sz w:val="16"/>
                <w:szCs w:val="16"/>
              </w:rPr>
            </w:pPr>
            <w:r w:rsidRPr="006D52A9">
              <w:rPr>
                <w:rFonts w:ascii="Arial" w:hAnsi="Arial" w:cs="Arial"/>
                <w:sz w:val="16"/>
                <w:szCs w:val="16"/>
              </w:rPr>
              <w:t>C5605 C5703 C5704 C5735 C9268 C9304 C9317 C9328</w:t>
            </w:r>
          </w:p>
        </w:tc>
        <w:tc>
          <w:tcPr>
            <w:tcW w:w="376" w:type="pct"/>
            <w:tcBorders>
              <w:top w:val="nil"/>
              <w:bottom w:val="nil"/>
            </w:tcBorders>
          </w:tcPr>
          <w:p w14:paraId="76F6DA25" w14:textId="77777777" w:rsidR="00D63B70" w:rsidRPr="006D52A9" w:rsidRDefault="00D63B70" w:rsidP="00D63B70">
            <w:pPr>
              <w:rPr>
                <w:rFonts w:ascii="Arial" w:hAnsi="Arial" w:cs="Arial"/>
                <w:sz w:val="16"/>
                <w:szCs w:val="16"/>
              </w:rPr>
            </w:pPr>
          </w:p>
        </w:tc>
        <w:tc>
          <w:tcPr>
            <w:tcW w:w="499" w:type="pct"/>
            <w:tcBorders>
              <w:top w:val="nil"/>
              <w:bottom w:val="nil"/>
            </w:tcBorders>
          </w:tcPr>
          <w:p w14:paraId="771BBFD0"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Borders>
              <w:top w:val="nil"/>
              <w:bottom w:val="nil"/>
            </w:tcBorders>
          </w:tcPr>
          <w:p w14:paraId="7E9A90DC"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r w:rsidR="00D63B70" w:rsidRPr="006D52A9" w14:paraId="65C253AC" w14:textId="77777777" w:rsidTr="00A91628">
        <w:tblPrEx>
          <w:tblBorders>
            <w:top w:val="single" w:sz="4" w:space="0" w:color="auto"/>
          </w:tblBorders>
        </w:tblPrEx>
        <w:trPr>
          <w:cantSplit/>
          <w:trHeight w:val="1102"/>
          <w:tblCellSpacing w:w="22" w:type="dxa"/>
        </w:trPr>
        <w:tc>
          <w:tcPr>
            <w:tcW w:w="508" w:type="pct"/>
            <w:tcBorders>
              <w:top w:val="nil"/>
              <w:bottom w:val="single" w:sz="12" w:space="0" w:color="auto"/>
            </w:tcBorders>
          </w:tcPr>
          <w:p w14:paraId="4087CDA6" w14:textId="77777777" w:rsidR="00D63B70" w:rsidRPr="006D52A9" w:rsidRDefault="00D63B70" w:rsidP="00D63B70">
            <w:pPr>
              <w:rPr>
                <w:rFonts w:ascii="Arial" w:hAnsi="Arial" w:cs="Arial"/>
                <w:sz w:val="16"/>
                <w:szCs w:val="16"/>
              </w:rPr>
            </w:pPr>
          </w:p>
        </w:tc>
        <w:tc>
          <w:tcPr>
            <w:tcW w:w="943" w:type="pct"/>
            <w:tcBorders>
              <w:top w:val="nil"/>
              <w:bottom w:val="single" w:sz="12" w:space="0" w:color="auto"/>
            </w:tcBorders>
          </w:tcPr>
          <w:p w14:paraId="34E934DE" w14:textId="77777777" w:rsidR="00D63B70" w:rsidRPr="006D52A9" w:rsidRDefault="00D63B70" w:rsidP="00D63B70">
            <w:pPr>
              <w:rPr>
                <w:rFonts w:ascii="Arial" w:hAnsi="Arial" w:cs="Arial"/>
                <w:sz w:val="16"/>
                <w:szCs w:val="16"/>
              </w:rPr>
            </w:pPr>
            <w:r w:rsidRPr="006D52A9">
              <w:rPr>
                <w:rFonts w:ascii="Arial" w:hAnsi="Arial" w:cs="Arial"/>
                <w:sz w:val="16"/>
                <w:szCs w:val="16"/>
              </w:rPr>
              <w:t>Solution for I.V. infusion 4 mg (as monohydrate) in 100 mL</w:t>
            </w:r>
          </w:p>
        </w:tc>
        <w:tc>
          <w:tcPr>
            <w:tcW w:w="540" w:type="pct"/>
            <w:tcBorders>
              <w:top w:val="nil"/>
              <w:bottom w:val="single" w:sz="12" w:space="0" w:color="auto"/>
            </w:tcBorders>
          </w:tcPr>
          <w:p w14:paraId="719E0123" w14:textId="77777777" w:rsidR="00D63B70" w:rsidRPr="006D52A9" w:rsidRDefault="00D63B70" w:rsidP="00D63B70">
            <w:pPr>
              <w:rPr>
                <w:rFonts w:ascii="Arial" w:hAnsi="Arial" w:cs="Arial"/>
                <w:sz w:val="16"/>
                <w:szCs w:val="16"/>
              </w:rPr>
            </w:pPr>
            <w:r w:rsidRPr="006D52A9">
              <w:rPr>
                <w:rFonts w:ascii="Arial" w:hAnsi="Arial" w:cs="Arial"/>
                <w:sz w:val="16"/>
                <w:szCs w:val="16"/>
              </w:rPr>
              <w:t>Injection</w:t>
            </w:r>
          </w:p>
        </w:tc>
        <w:tc>
          <w:tcPr>
            <w:tcW w:w="591" w:type="pct"/>
            <w:tcBorders>
              <w:top w:val="nil"/>
              <w:bottom w:val="single" w:sz="12" w:space="0" w:color="auto"/>
            </w:tcBorders>
          </w:tcPr>
          <w:p w14:paraId="559E8969" w14:textId="77777777" w:rsidR="00D63B70" w:rsidRPr="006D52A9" w:rsidRDefault="00D63B70" w:rsidP="00D63B70">
            <w:pPr>
              <w:rPr>
                <w:rFonts w:ascii="Arial" w:hAnsi="Arial" w:cs="Arial"/>
                <w:sz w:val="16"/>
                <w:szCs w:val="16"/>
              </w:rPr>
            </w:pPr>
            <w:r w:rsidRPr="006D52A9">
              <w:rPr>
                <w:rFonts w:ascii="Arial" w:hAnsi="Arial" w:cs="Arial"/>
                <w:sz w:val="16"/>
                <w:szCs w:val="16"/>
              </w:rPr>
              <w:t>DBL Zoledronic Acid</w:t>
            </w:r>
          </w:p>
        </w:tc>
        <w:tc>
          <w:tcPr>
            <w:tcW w:w="894" w:type="pct"/>
            <w:tcBorders>
              <w:top w:val="nil"/>
              <w:bottom w:val="single" w:sz="12" w:space="0" w:color="auto"/>
            </w:tcBorders>
          </w:tcPr>
          <w:p w14:paraId="3E0A57FD" w14:textId="77777777" w:rsidR="00D63B70" w:rsidRPr="006D52A9" w:rsidRDefault="00D63B70" w:rsidP="00D63B70">
            <w:pPr>
              <w:rPr>
                <w:rFonts w:ascii="Arial" w:hAnsi="Arial" w:cs="Arial"/>
                <w:sz w:val="16"/>
                <w:szCs w:val="16"/>
              </w:rPr>
            </w:pPr>
            <w:r w:rsidRPr="006D52A9">
              <w:rPr>
                <w:rFonts w:ascii="Arial" w:hAnsi="Arial" w:cs="Arial"/>
                <w:sz w:val="16"/>
                <w:szCs w:val="16"/>
              </w:rPr>
              <w:t>C5605 C5703 C5704 C5735 C9268 C9304 C9317 C9328</w:t>
            </w:r>
          </w:p>
        </w:tc>
        <w:tc>
          <w:tcPr>
            <w:tcW w:w="376" w:type="pct"/>
            <w:tcBorders>
              <w:top w:val="nil"/>
              <w:bottom w:val="single" w:sz="12" w:space="0" w:color="auto"/>
            </w:tcBorders>
          </w:tcPr>
          <w:p w14:paraId="2DDE4C65" w14:textId="77777777" w:rsidR="00D63B70" w:rsidRPr="006D52A9" w:rsidRDefault="00D63B70" w:rsidP="00D63B70">
            <w:pPr>
              <w:rPr>
                <w:rFonts w:ascii="Arial" w:hAnsi="Arial" w:cs="Arial"/>
                <w:sz w:val="16"/>
                <w:szCs w:val="16"/>
              </w:rPr>
            </w:pPr>
          </w:p>
        </w:tc>
        <w:tc>
          <w:tcPr>
            <w:tcW w:w="499" w:type="pct"/>
            <w:tcBorders>
              <w:top w:val="nil"/>
              <w:bottom w:val="single" w:sz="12" w:space="0" w:color="auto"/>
            </w:tcBorders>
          </w:tcPr>
          <w:p w14:paraId="44257D1B" w14:textId="77777777" w:rsidR="00D63B70" w:rsidRPr="006D52A9" w:rsidRDefault="00D63B70" w:rsidP="00D63B70">
            <w:pPr>
              <w:rPr>
                <w:rFonts w:ascii="Arial" w:hAnsi="Arial" w:cs="Arial"/>
                <w:sz w:val="16"/>
                <w:szCs w:val="16"/>
              </w:rPr>
            </w:pPr>
            <w:r w:rsidRPr="006D52A9">
              <w:rPr>
                <w:rFonts w:ascii="Arial" w:hAnsi="Arial" w:cs="Arial"/>
                <w:sz w:val="16"/>
                <w:szCs w:val="16"/>
              </w:rPr>
              <w:t>1</w:t>
            </w:r>
          </w:p>
        </w:tc>
        <w:tc>
          <w:tcPr>
            <w:tcW w:w="502" w:type="pct"/>
            <w:tcBorders>
              <w:top w:val="nil"/>
              <w:bottom w:val="single" w:sz="12" w:space="0" w:color="auto"/>
            </w:tcBorders>
          </w:tcPr>
          <w:p w14:paraId="6D3D5A69" w14:textId="77777777" w:rsidR="00D63B70" w:rsidRPr="006D52A9" w:rsidRDefault="00D63B70" w:rsidP="00D63B70">
            <w:pPr>
              <w:rPr>
                <w:rFonts w:ascii="Arial" w:hAnsi="Arial" w:cs="Arial"/>
                <w:sz w:val="16"/>
                <w:szCs w:val="16"/>
              </w:rPr>
            </w:pPr>
            <w:r w:rsidRPr="006D52A9">
              <w:rPr>
                <w:rFonts w:ascii="Arial" w:hAnsi="Arial" w:cs="Arial"/>
                <w:sz w:val="16"/>
                <w:szCs w:val="16"/>
              </w:rPr>
              <w:t>11</w:t>
            </w:r>
          </w:p>
        </w:tc>
      </w:tr>
    </w:tbl>
    <w:p w14:paraId="6B10CC1E" w14:textId="77777777" w:rsidR="00BE5990" w:rsidRPr="006D52A9" w:rsidRDefault="00BE5990" w:rsidP="00324288">
      <w:pPr>
        <w:pStyle w:val="Tabletext"/>
      </w:pPr>
    </w:p>
    <w:p w14:paraId="7E73848B" w14:textId="77777777" w:rsidR="00BE5990" w:rsidRPr="006D52A9" w:rsidRDefault="00BE5990" w:rsidP="004D681E">
      <w:pPr>
        <w:sectPr w:rsidR="00BE5990" w:rsidRPr="006D52A9" w:rsidSect="00C71894">
          <w:headerReference w:type="even" r:id="rId26"/>
          <w:headerReference w:type="default" r:id="rId27"/>
          <w:footerReference w:type="even" r:id="rId28"/>
          <w:footerReference w:type="default" r:id="rId29"/>
          <w:pgSz w:w="16839" w:h="11907" w:orient="landscape"/>
          <w:pgMar w:top="1667" w:right="1797" w:bottom="1440" w:left="1797" w:header="720" w:footer="709" w:gutter="0"/>
          <w:cols w:space="708"/>
          <w:docGrid w:linePitch="360"/>
        </w:sectPr>
      </w:pPr>
    </w:p>
    <w:p w14:paraId="30B0CD32" w14:textId="77777777" w:rsidR="00025F05" w:rsidRPr="006D52A9" w:rsidRDefault="003E082A" w:rsidP="00025F05">
      <w:pPr>
        <w:pStyle w:val="ActHead1"/>
        <w:pageBreakBefore/>
      </w:pPr>
      <w:bookmarkStart w:id="56" w:name="_Toc66968148"/>
      <w:r w:rsidRPr="00A757E4">
        <w:rPr>
          <w:rStyle w:val="CharChapNo"/>
        </w:rPr>
        <w:lastRenderedPageBreak/>
        <w:t>Schedule 2</w:t>
      </w:r>
      <w:r w:rsidR="00025F05" w:rsidRPr="006D52A9">
        <w:t>—</w:t>
      </w:r>
      <w:r w:rsidR="00025F05" w:rsidRPr="00A757E4">
        <w:rPr>
          <w:rStyle w:val="CharChapText"/>
        </w:rPr>
        <w:t>Maximum quantities and repeats</w:t>
      </w:r>
      <w:r w:rsidR="005A1227" w:rsidRPr="00A757E4">
        <w:rPr>
          <w:rStyle w:val="CharChapText"/>
        </w:rPr>
        <w:t xml:space="preserve"> for certain HSD pharmaceutical benefits</w:t>
      </w:r>
      <w:bookmarkEnd w:id="56"/>
    </w:p>
    <w:p w14:paraId="09BCC505" w14:textId="77777777" w:rsidR="00025F05" w:rsidRPr="00A757E4" w:rsidRDefault="00025F05" w:rsidP="00025F05">
      <w:pPr>
        <w:pStyle w:val="Header"/>
      </w:pPr>
      <w:r w:rsidRPr="00A757E4">
        <w:rPr>
          <w:rStyle w:val="CharPartNo"/>
        </w:rPr>
        <w:t xml:space="preserve"> </w:t>
      </w:r>
      <w:r w:rsidRPr="00A757E4">
        <w:rPr>
          <w:rStyle w:val="CharPartText"/>
        </w:rPr>
        <w:t xml:space="preserve"> </w:t>
      </w:r>
    </w:p>
    <w:p w14:paraId="29DEF9BB" w14:textId="77777777" w:rsidR="00025F05" w:rsidRPr="00A757E4" w:rsidRDefault="00025F05" w:rsidP="00025F05">
      <w:pPr>
        <w:pStyle w:val="Header"/>
      </w:pPr>
      <w:r w:rsidRPr="00A757E4">
        <w:rPr>
          <w:rStyle w:val="CharDivNo"/>
        </w:rPr>
        <w:t xml:space="preserve"> </w:t>
      </w:r>
      <w:r w:rsidRPr="00A757E4">
        <w:rPr>
          <w:rStyle w:val="CharDivText"/>
        </w:rPr>
        <w:t xml:space="preserve"> </w:t>
      </w:r>
    </w:p>
    <w:p w14:paraId="6A1F3527" w14:textId="77777777" w:rsidR="00025F05" w:rsidRPr="006D52A9" w:rsidRDefault="00025F05" w:rsidP="00025F05">
      <w:pPr>
        <w:pStyle w:val="notemargin"/>
      </w:pPr>
      <w:r w:rsidRPr="006D52A9">
        <w:t>Note:</w:t>
      </w:r>
      <w:r w:rsidRPr="006D52A9">
        <w:tab/>
        <w:t xml:space="preserve">See </w:t>
      </w:r>
      <w:r w:rsidR="00D66D59">
        <w:t>sections 2</w:t>
      </w:r>
      <w:r w:rsidR="005F407C" w:rsidRPr="006D52A9">
        <w:t>0</w:t>
      </w:r>
      <w:r w:rsidR="00C25E1F" w:rsidRPr="006D52A9">
        <w:t xml:space="preserve"> </w:t>
      </w:r>
      <w:r w:rsidR="00D30418" w:rsidRPr="006D52A9">
        <w:t>and 21</w:t>
      </w:r>
      <w:r w:rsidR="005878CA" w:rsidRPr="006D52A9">
        <w:t>,</w:t>
      </w:r>
      <w:r w:rsidR="00B61744" w:rsidRPr="006D52A9">
        <w:t xml:space="preserve"> and the</w:t>
      </w:r>
      <w:r w:rsidR="005A1227" w:rsidRPr="006D52A9">
        <w:t xml:space="preserve"> columns headed “Maximum quantity” and “Maximum repeats”</w:t>
      </w:r>
      <w:r w:rsidR="00B61744" w:rsidRPr="006D52A9">
        <w:t xml:space="preserve"> in Schedule 1</w:t>
      </w:r>
      <w:r w:rsidRPr="006D52A9">
        <w:t>.</w:t>
      </w:r>
    </w:p>
    <w:p w14:paraId="4A46F82D" w14:textId="77777777" w:rsidR="005A1227" w:rsidRPr="006D52A9" w:rsidRDefault="005A1227" w:rsidP="005A1227">
      <w:pPr>
        <w:pStyle w:val="ActHead5"/>
      </w:pPr>
      <w:bookmarkStart w:id="57" w:name="_Toc66968149"/>
      <w:r w:rsidRPr="00A757E4">
        <w:rPr>
          <w:rStyle w:val="CharSectno"/>
        </w:rPr>
        <w:t>1</w:t>
      </w:r>
      <w:r w:rsidRPr="006D52A9">
        <w:t xml:space="preserve">  Maximum quantity or number of units and maximum number of repeats</w:t>
      </w:r>
      <w:bookmarkEnd w:id="57"/>
    </w:p>
    <w:p w14:paraId="1FABBC7A" w14:textId="77777777" w:rsidR="005A1227" w:rsidRPr="006D52A9" w:rsidRDefault="005A1227" w:rsidP="005A1227">
      <w:pPr>
        <w:pStyle w:val="subsection"/>
      </w:pPr>
      <w:r w:rsidRPr="006D52A9">
        <w:tab/>
      </w:r>
      <w:r w:rsidRPr="006D52A9">
        <w:tab/>
        <w:t xml:space="preserve">The following table sets out the maximum quantity or number of units, and the maximum number of repeats, for </w:t>
      </w:r>
      <w:r w:rsidR="00BC57AC" w:rsidRPr="006D52A9">
        <w:t xml:space="preserve">prescribing </w:t>
      </w:r>
      <w:r w:rsidRPr="006D52A9">
        <w:t>HSD pharmaceutical benefits</w:t>
      </w:r>
      <w:r w:rsidR="00BC57AC" w:rsidRPr="006D52A9">
        <w:t xml:space="preserve"> with the listed drugs, and </w:t>
      </w:r>
      <w:r w:rsidR="0061068E" w:rsidRPr="006D52A9">
        <w:t>in the circumstances</w:t>
      </w:r>
      <w:r w:rsidR="00BC57AC" w:rsidRPr="006D52A9">
        <w:t>,</w:t>
      </w:r>
      <w:r w:rsidRPr="006D52A9">
        <w:t xml:space="preserve"> mentioned in the table.</w:t>
      </w:r>
    </w:p>
    <w:p w14:paraId="1A6A5DE7" w14:textId="77777777" w:rsidR="005A1227" w:rsidRPr="006D52A9" w:rsidRDefault="005A1227" w:rsidP="00BC57AC">
      <w:pPr>
        <w:pStyle w:val="Tabletext"/>
      </w:pPr>
    </w:p>
    <w:tbl>
      <w:tblPr>
        <w:tblW w:w="5000" w:type="pct"/>
        <w:tblBorders>
          <w:top w:val="single" w:sz="4" w:space="0" w:color="000000"/>
          <w:bottom w:val="single" w:sz="2" w:space="0" w:color="000000"/>
          <w:insideH w:val="single" w:sz="2" w:space="0" w:color="000000"/>
        </w:tblBorders>
        <w:tblLook w:val="0000" w:firstRow="0" w:lastRow="0" w:firstColumn="0" w:lastColumn="0" w:noHBand="0" w:noVBand="0"/>
      </w:tblPr>
      <w:tblGrid>
        <w:gridCol w:w="1581"/>
        <w:gridCol w:w="3347"/>
        <w:gridCol w:w="1844"/>
        <w:gridCol w:w="1757"/>
      </w:tblGrid>
      <w:tr w:rsidR="00BC57AC" w:rsidRPr="006D52A9" w14:paraId="2AA08DCB" w14:textId="77777777" w:rsidTr="001B68C4">
        <w:trPr>
          <w:tblHeader/>
        </w:trPr>
        <w:tc>
          <w:tcPr>
            <w:tcW w:w="5000" w:type="pct"/>
            <w:gridSpan w:val="4"/>
            <w:tcBorders>
              <w:top w:val="single" w:sz="12" w:space="0" w:color="auto"/>
              <w:bottom w:val="single" w:sz="6" w:space="0" w:color="000000"/>
            </w:tcBorders>
            <w:shd w:val="clear" w:color="auto" w:fill="auto"/>
          </w:tcPr>
          <w:p w14:paraId="7DA128A0" w14:textId="77777777" w:rsidR="00BC57AC" w:rsidRPr="006D52A9" w:rsidRDefault="00BC57AC" w:rsidP="00BC57AC">
            <w:pPr>
              <w:pStyle w:val="TableHeading"/>
            </w:pPr>
            <w:r w:rsidRPr="006D52A9">
              <w:t>Maximum quantity or number of units, and maximum number of repeats</w:t>
            </w:r>
          </w:p>
        </w:tc>
      </w:tr>
      <w:tr w:rsidR="00212C57" w:rsidRPr="006D52A9" w14:paraId="3E6D1D3D" w14:textId="77777777" w:rsidTr="00724081">
        <w:trPr>
          <w:tblHeader/>
        </w:trPr>
        <w:tc>
          <w:tcPr>
            <w:tcW w:w="927" w:type="pct"/>
            <w:tcBorders>
              <w:top w:val="single" w:sz="6" w:space="0" w:color="000000"/>
              <w:bottom w:val="single" w:sz="12" w:space="0" w:color="000000"/>
            </w:tcBorders>
            <w:shd w:val="clear" w:color="auto" w:fill="auto"/>
          </w:tcPr>
          <w:p w14:paraId="6C6C6E66" w14:textId="77777777" w:rsidR="00212C57" w:rsidRPr="006D52A9" w:rsidRDefault="00212C57" w:rsidP="00BC57AC">
            <w:pPr>
              <w:pStyle w:val="TableHeading"/>
            </w:pPr>
            <w:r w:rsidRPr="006D52A9">
              <w:t>Listed drug</w:t>
            </w:r>
          </w:p>
        </w:tc>
        <w:tc>
          <w:tcPr>
            <w:tcW w:w="1962" w:type="pct"/>
            <w:tcBorders>
              <w:top w:val="single" w:sz="6" w:space="0" w:color="000000"/>
              <w:bottom w:val="single" w:sz="12" w:space="0" w:color="000000"/>
            </w:tcBorders>
            <w:shd w:val="clear" w:color="auto" w:fill="auto"/>
          </w:tcPr>
          <w:p w14:paraId="16D42E1A" w14:textId="77777777" w:rsidR="00212C57" w:rsidRPr="006D52A9" w:rsidRDefault="00A647CC" w:rsidP="00BC57AC">
            <w:pPr>
              <w:pStyle w:val="TableHeading"/>
            </w:pPr>
            <w:r w:rsidRPr="006D52A9">
              <w:t>Circumstances</w:t>
            </w:r>
          </w:p>
        </w:tc>
        <w:tc>
          <w:tcPr>
            <w:tcW w:w="1081" w:type="pct"/>
            <w:tcBorders>
              <w:top w:val="single" w:sz="6" w:space="0" w:color="000000"/>
              <w:bottom w:val="single" w:sz="12" w:space="0" w:color="000000"/>
            </w:tcBorders>
            <w:shd w:val="clear" w:color="auto" w:fill="auto"/>
          </w:tcPr>
          <w:p w14:paraId="64F95669" w14:textId="77777777" w:rsidR="00212C57" w:rsidRPr="006D52A9" w:rsidRDefault="00212C57" w:rsidP="00BC57AC">
            <w:pPr>
              <w:pStyle w:val="TableHeading"/>
            </w:pPr>
            <w:r w:rsidRPr="006D52A9">
              <w:t>Maximum quantity</w:t>
            </w:r>
          </w:p>
        </w:tc>
        <w:tc>
          <w:tcPr>
            <w:tcW w:w="1030" w:type="pct"/>
            <w:tcBorders>
              <w:top w:val="single" w:sz="6" w:space="0" w:color="000000"/>
              <w:bottom w:val="single" w:sz="12" w:space="0" w:color="000000"/>
            </w:tcBorders>
            <w:shd w:val="clear" w:color="auto" w:fill="auto"/>
          </w:tcPr>
          <w:p w14:paraId="4C74F879" w14:textId="77777777" w:rsidR="00212C57" w:rsidRPr="006D52A9" w:rsidRDefault="00212C57" w:rsidP="00BC57AC">
            <w:pPr>
              <w:pStyle w:val="TableHeading"/>
            </w:pPr>
            <w:r w:rsidRPr="006D52A9">
              <w:t>Maximum repeats</w:t>
            </w:r>
          </w:p>
        </w:tc>
      </w:tr>
      <w:tr w:rsidR="0094417C" w:rsidRPr="006D52A9" w14:paraId="142470F8" w14:textId="77777777" w:rsidTr="00724081">
        <w:tc>
          <w:tcPr>
            <w:tcW w:w="927" w:type="pct"/>
            <w:tcBorders>
              <w:top w:val="single" w:sz="12" w:space="0" w:color="000000"/>
            </w:tcBorders>
            <w:shd w:val="clear" w:color="auto" w:fill="auto"/>
          </w:tcPr>
          <w:p w14:paraId="7B077A7C" w14:textId="77777777" w:rsidR="0094417C" w:rsidRPr="006D52A9" w:rsidRDefault="0094417C" w:rsidP="00797098">
            <w:pPr>
              <w:pStyle w:val="Tabletext"/>
            </w:pPr>
            <w:r w:rsidRPr="006D52A9">
              <w:t>Abatacept</w:t>
            </w:r>
          </w:p>
        </w:tc>
        <w:tc>
          <w:tcPr>
            <w:tcW w:w="1962" w:type="pct"/>
            <w:tcBorders>
              <w:top w:val="single" w:sz="12" w:space="0" w:color="000000"/>
            </w:tcBorders>
            <w:shd w:val="clear" w:color="auto" w:fill="auto"/>
          </w:tcPr>
          <w:p w14:paraId="68F2D244" w14:textId="77777777" w:rsidR="0094417C" w:rsidRPr="006D52A9" w:rsidRDefault="0094417C" w:rsidP="00797098">
            <w:pPr>
              <w:pStyle w:val="Tabletext"/>
            </w:pPr>
            <w:r w:rsidRPr="006D52A9">
              <w:t>C8638, C8688</w:t>
            </w:r>
          </w:p>
        </w:tc>
        <w:tc>
          <w:tcPr>
            <w:tcW w:w="1081" w:type="pct"/>
            <w:tcBorders>
              <w:top w:val="single" w:sz="12" w:space="0" w:color="000000"/>
            </w:tcBorders>
            <w:shd w:val="clear" w:color="auto" w:fill="auto"/>
          </w:tcPr>
          <w:p w14:paraId="46797835" w14:textId="77777777" w:rsidR="0094417C" w:rsidRPr="006D52A9" w:rsidRDefault="0094417C" w:rsidP="00797098">
            <w:pPr>
              <w:pStyle w:val="Tabletext"/>
            </w:pPr>
            <w:r w:rsidRPr="006D52A9">
              <w:t>1 dose</w:t>
            </w:r>
          </w:p>
        </w:tc>
        <w:tc>
          <w:tcPr>
            <w:tcW w:w="1030" w:type="pct"/>
            <w:tcBorders>
              <w:top w:val="single" w:sz="12" w:space="0" w:color="000000"/>
            </w:tcBorders>
            <w:shd w:val="clear" w:color="auto" w:fill="auto"/>
          </w:tcPr>
          <w:p w14:paraId="3D056C9C" w14:textId="77777777" w:rsidR="0094417C" w:rsidRPr="006D52A9" w:rsidRDefault="0094417C" w:rsidP="00797098">
            <w:pPr>
              <w:pStyle w:val="Tabletext"/>
            </w:pPr>
            <w:r w:rsidRPr="006D52A9">
              <w:t>Sufficient for treatment for 16 weeks</w:t>
            </w:r>
          </w:p>
        </w:tc>
      </w:tr>
      <w:tr w:rsidR="0094417C" w:rsidRPr="006D52A9" w14:paraId="2CA08935" w14:textId="77777777" w:rsidTr="00724081">
        <w:tc>
          <w:tcPr>
            <w:tcW w:w="927" w:type="pct"/>
            <w:shd w:val="clear" w:color="auto" w:fill="auto"/>
          </w:tcPr>
          <w:p w14:paraId="550E9AD5" w14:textId="77777777" w:rsidR="0094417C" w:rsidRPr="006D52A9" w:rsidRDefault="0094417C" w:rsidP="00797098">
            <w:pPr>
              <w:pStyle w:val="Tabletext"/>
            </w:pPr>
          </w:p>
        </w:tc>
        <w:tc>
          <w:tcPr>
            <w:tcW w:w="1962" w:type="pct"/>
            <w:shd w:val="clear" w:color="auto" w:fill="auto"/>
          </w:tcPr>
          <w:p w14:paraId="2C56B4D2" w14:textId="77777777" w:rsidR="0094417C" w:rsidRPr="006D52A9" w:rsidRDefault="0094417C" w:rsidP="00797098">
            <w:pPr>
              <w:pStyle w:val="Tabletext"/>
            </w:pPr>
            <w:r w:rsidRPr="006D52A9">
              <w:t>C8759, C8748</w:t>
            </w:r>
          </w:p>
        </w:tc>
        <w:tc>
          <w:tcPr>
            <w:tcW w:w="1081" w:type="pct"/>
            <w:shd w:val="clear" w:color="auto" w:fill="auto"/>
          </w:tcPr>
          <w:p w14:paraId="1563B528" w14:textId="77777777" w:rsidR="0094417C" w:rsidRPr="006D52A9" w:rsidRDefault="0094417C" w:rsidP="00797098">
            <w:pPr>
              <w:pStyle w:val="Tabletext"/>
            </w:pPr>
            <w:r w:rsidRPr="006D52A9">
              <w:t>1 dose</w:t>
            </w:r>
          </w:p>
        </w:tc>
        <w:tc>
          <w:tcPr>
            <w:tcW w:w="1030" w:type="pct"/>
            <w:shd w:val="clear" w:color="auto" w:fill="auto"/>
          </w:tcPr>
          <w:p w14:paraId="2D298358" w14:textId="77777777" w:rsidR="0094417C" w:rsidRPr="006D52A9" w:rsidRDefault="0094417C" w:rsidP="00797098">
            <w:pPr>
              <w:pStyle w:val="Tabletext"/>
            </w:pPr>
            <w:r w:rsidRPr="006D52A9">
              <w:t>4</w:t>
            </w:r>
          </w:p>
        </w:tc>
      </w:tr>
      <w:tr w:rsidR="0094417C" w:rsidRPr="006D52A9" w14:paraId="6A06851C" w14:textId="77777777" w:rsidTr="00724081">
        <w:tc>
          <w:tcPr>
            <w:tcW w:w="927" w:type="pct"/>
            <w:shd w:val="clear" w:color="auto" w:fill="auto"/>
          </w:tcPr>
          <w:p w14:paraId="25BC7F9C" w14:textId="77777777" w:rsidR="0094417C" w:rsidRPr="006D52A9" w:rsidRDefault="0094417C" w:rsidP="00797098">
            <w:pPr>
              <w:pStyle w:val="Tabletext"/>
            </w:pPr>
          </w:p>
        </w:tc>
        <w:tc>
          <w:tcPr>
            <w:tcW w:w="1962" w:type="pct"/>
            <w:shd w:val="clear" w:color="auto" w:fill="auto"/>
          </w:tcPr>
          <w:p w14:paraId="4B7856D8" w14:textId="77777777" w:rsidR="0094417C" w:rsidRPr="006D52A9" w:rsidRDefault="0094417C" w:rsidP="00797098">
            <w:pPr>
              <w:pStyle w:val="Tabletext"/>
            </w:pPr>
            <w:r w:rsidRPr="006D52A9">
              <w:t>C8627, C8655</w:t>
            </w:r>
          </w:p>
        </w:tc>
        <w:tc>
          <w:tcPr>
            <w:tcW w:w="1081" w:type="pct"/>
            <w:shd w:val="clear" w:color="auto" w:fill="auto"/>
          </w:tcPr>
          <w:p w14:paraId="62A867C5" w14:textId="77777777" w:rsidR="0094417C" w:rsidRPr="006D52A9" w:rsidRDefault="0094417C" w:rsidP="00797098">
            <w:pPr>
              <w:pStyle w:val="Tabletext"/>
            </w:pPr>
            <w:r w:rsidRPr="006D52A9">
              <w:t>1 dose</w:t>
            </w:r>
          </w:p>
        </w:tc>
        <w:tc>
          <w:tcPr>
            <w:tcW w:w="1030" w:type="pct"/>
            <w:shd w:val="clear" w:color="auto" w:fill="auto"/>
          </w:tcPr>
          <w:p w14:paraId="71A1DF75" w14:textId="77777777" w:rsidR="0094417C" w:rsidRPr="006D52A9" w:rsidRDefault="0094417C" w:rsidP="00797098">
            <w:pPr>
              <w:pStyle w:val="Tabletext"/>
            </w:pPr>
            <w:r w:rsidRPr="006D52A9">
              <w:t>Sufficient for treatment for 24 weeks</w:t>
            </w:r>
          </w:p>
        </w:tc>
      </w:tr>
      <w:tr w:rsidR="0094417C" w:rsidRPr="006D52A9" w14:paraId="61840F2C" w14:textId="77777777" w:rsidTr="00724081">
        <w:tc>
          <w:tcPr>
            <w:tcW w:w="927" w:type="pct"/>
            <w:shd w:val="clear" w:color="auto" w:fill="auto"/>
          </w:tcPr>
          <w:p w14:paraId="172D7BE2" w14:textId="77777777" w:rsidR="0094417C" w:rsidRPr="006D52A9" w:rsidRDefault="0094417C" w:rsidP="00797098">
            <w:pPr>
              <w:pStyle w:val="Tabletext"/>
            </w:pPr>
            <w:r w:rsidRPr="006D52A9">
              <w:t>Adalimumab</w:t>
            </w:r>
          </w:p>
        </w:tc>
        <w:tc>
          <w:tcPr>
            <w:tcW w:w="1962" w:type="pct"/>
            <w:shd w:val="clear" w:color="auto" w:fill="auto"/>
          </w:tcPr>
          <w:p w14:paraId="46F6587B" w14:textId="77777777" w:rsidR="0094417C" w:rsidRPr="006D52A9" w:rsidRDefault="0094417C" w:rsidP="00797098">
            <w:pPr>
              <w:pStyle w:val="Tabletext"/>
            </w:pPr>
            <w:r w:rsidRPr="006D52A9">
              <w:t>C9417, C10582, C10583, C10619</w:t>
            </w:r>
          </w:p>
        </w:tc>
        <w:tc>
          <w:tcPr>
            <w:tcW w:w="1081" w:type="pct"/>
            <w:shd w:val="clear" w:color="auto" w:fill="auto"/>
          </w:tcPr>
          <w:p w14:paraId="73AD362E" w14:textId="77777777" w:rsidR="0094417C" w:rsidRPr="006D52A9" w:rsidRDefault="0094417C" w:rsidP="00797098">
            <w:pPr>
              <w:pStyle w:val="Tabletext"/>
            </w:pPr>
            <w:r w:rsidRPr="006D52A9">
              <w:t>2 doses</w:t>
            </w:r>
          </w:p>
        </w:tc>
        <w:tc>
          <w:tcPr>
            <w:tcW w:w="1030" w:type="pct"/>
            <w:shd w:val="clear" w:color="auto" w:fill="auto"/>
          </w:tcPr>
          <w:p w14:paraId="57047833" w14:textId="77777777" w:rsidR="0094417C" w:rsidRPr="006D52A9" w:rsidRDefault="0094417C" w:rsidP="00797098">
            <w:pPr>
              <w:pStyle w:val="Tabletext"/>
            </w:pPr>
            <w:r w:rsidRPr="006D52A9">
              <w:t>3</w:t>
            </w:r>
          </w:p>
        </w:tc>
      </w:tr>
      <w:tr w:rsidR="0094417C" w:rsidRPr="006D52A9" w14:paraId="109C9B03" w14:textId="77777777" w:rsidTr="00724081">
        <w:tc>
          <w:tcPr>
            <w:tcW w:w="927" w:type="pct"/>
            <w:shd w:val="clear" w:color="auto" w:fill="auto"/>
          </w:tcPr>
          <w:p w14:paraId="2246F23D" w14:textId="77777777" w:rsidR="0094417C" w:rsidRPr="006D52A9" w:rsidRDefault="0094417C" w:rsidP="00797098">
            <w:pPr>
              <w:pStyle w:val="Tabletext"/>
            </w:pPr>
          </w:p>
        </w:tc>
        <w:tc>
          <w:tcPr>
            <w:tcW w:w="1962" w:type="pct"/>
            <w:shd w:val="clear" w:color="auto" w:fill="auto"/>
          </w:tcPr>
          <w:p w14:paraId="16C7CD2D" w14:textId="77777777" w:rsidR="0094417C" w:rsidRPr="006D52A9" w:rsidRDefault="0094417C" w:rsidP="00797098">
            <w:pPr>
              <w:pStyle w:val="Tabletext"/>
            </w:pPr>
            <w:r w:rsidRPr="006D52A9">
              <w:t>C9384, C10600</w:t>
            </w:r>
          </w:p>
        </w:tc>
        <w:tc>
          <w:tcPr>
            <w:tcW w:w="1081" w:type="pct"/>
            <w:shd w:val="clear" w:color="auto" w:fill="auto"/>
          </w:tcPr>
          <w:p w14:paraId="0A1707F9" w14:textId="77777777" w:rsidR="0094417C" w:rsidRPr="006D52A9" w:rsidRDefault="0094417C" w:rsidP="00797098">
            <w:pPr>
              <w:pStyle w:val="Tabletext"/>
            </w:pPr>
            <w:r w:rsidRPr="006D52A9">
              <w:t>2 doses</w:t>
            </w:r>
          </w:p>
        </w:tc>
        <w:tc>
          <w:tcPr>
            <w:tcW w:w="1030" w:type="pct"/>
            <w:shd w:val="clear" w:color="auto" w:fill="auto"/>
          </w:tcPr>
          <w:p w14:paraId="3099A005" w14:textId="77777777" w:rsidR="0094417C" w:rsidRPr="006D52A9" w:rsidRDefault="0094417C" w:rsidP="00797098">
            <w:pPr>
              <w:pStyle w:val="Tabletext"/>
            </w:pPr>
            <w:r w:rsidRPr="006D52A9">
              <w:t>5</w:t>
            </w:r>
          </w:p>
        </w:tc>
      </w:tr>
      <w:tr w:rsidR="0094417C" w:rsidRPr="006D52A9" w14:paraId="039A50CE" w14:textId="77777777" w:rsidTr="00724081">
        <w:tc>
          <w:tcPr>
            <w:tcW w:w="927" w:type="pct"/>
            <w:shd w:val="clear" w:color="auto" w:fill="auto"/>
          </w:tcPr>
          <w:p w14:paraId="62F38898" w14:textId="77777777" w:rsidR="0094417C" w:rsidRPr="006D52A9" w:rsidRDefault="0094417C" w:rsidP="00797098">
            <w:pPr>
              <w:pStyle w:val="Tabletext"/>
            </w:pPr>
            <w:r w:rsidRPr="006D52A9">
              <w:t>Ambrisentan</w:t>
            </w:r>
          </w:p>
        </w:tc>
        <w:tc>
          <w:tcPr>
            <w:tcW w:w="1962" w:type="pct"/>
            <w:shd w:val="clear" w:color="auto" w:fill="auto"/>
          </w:tcPr>
          <w:p w14:paraId="33CC2C80" w14:textId="77777777" w:rsidR="0094417C" w:rsidRPr="006D52A9" w:rsidRDefault="0094417C" w:rsidP="00797098">
            <w:pPr>
              <w:pStyle w:val="Tabletext"/>
            </w:pPr>
            <w:r w:rsidRPr="006D52A9">
              <w:t>C10228, C10236, C10285, C11007, C11008, C11010, C11024, C11037</w:t>
            </w:r>
          </w:p>
        </w:tc>
        <w:tc>
          <w:tcPr>
            <w:tcW w:w="1081" w:type="pct"/>
            <w:shd w:val="clear" w:color="auto" w:fill="auto"/>
          </w:tcPr>
          <w:p w14:paraId="3AD3F8F3" w14:textId="77777777" w:rsidR="0094417C" w:rsidRPr="006D52A9" w:rsidRDefault="002B7A29" w:rsidP="00797098">
            <w:pPr>
              <w:pStyle w:val="Tabletext"/>
            </w:pPr>
            <w:r w:rsidRPr="006D52A9">
              <w:t xml:space="preserve">Sufficient for treatment for </w:t>
            </w:r>
            <w:r w:rsidR="0094417C" w:rsidRPr="006D52A9">
              <w:t>1 month</w:t>
            </w:r>
          </w:p>
        </w:tc>
        <w:tc>
          <w:tcPr>
            <w:tcW w:w="1030" w:type="pct"/>
            <w:shd w:val="clear" w:color="auto" w:fill="auto"/>
          </w:tcPr>
          <w:p w14:paraId="710262EF" w14:textId="77777777" w:rsidR="0094417C" w:rsidRPr="006D52A9" w:rsidRDefault="0094417C" w:rsidP="00797098">
            <w:pPr>
              <w:pStyle w:val="Tabletext"/>
            </w:pPr>
            <w:r w:rsidRPr="006D52A9">
              <w:t>5</w:t>
            </w:r>
          </w:p>
        </w:tc>
      </w:tr>
      <w:tr w:rsidR="00184BE2" w:rsidRPr="006D52A9" w14:paraId="2A7D8C9B" w14:textId="77777777" w:rsidTr="00724081">
        <w:tc>
          <w:tcPr>
            <w:tcW w:w="927" w:type="pct"/>
            <w:shd w:val="clear" w:color="auto" w:fill="auto"/>
          </w:tcPr>
          <w:p w14:paraId="521AAA8E" w14:textId="77777777" w:rsidR="00184BE2" w:rsidRPr="006D52A9" w:rsidRDefault="00184BE2" w:rsidP="00797098">
            <w:pPr>
              <w:pStyle w:val="Tabletext"/>
            </w:pPr>
            <w:r w:rsidRPr="006D52A9">
              <w:t>Azacitidine</w:t>
            </w:r>
          </w:p>
        </w:tc>
        <w:tc>
          <w:tcPr>
            <w:tcW w:w="1962" w:type="pct"/>
            <w:shd w:val="clear" w:color="auto" w:fill="auto"/>
          </w:tcPr>
          <w:p w14:paraId="640DDA82" w14:textId="77777777" w:rsidR="00184BE2" w:rsidRPr="006D52A9" w:rsidRDefault="00184BE2" w:rsidP="00797098">
            <w:pPr>
              <w:pStyle w:val="Tabletext"/>
            </w:pPr>
            <w:r w:rsidRPr="006D52A9">
              <w:t>C6132, C6143, C617</w:t>
            </w:r>
            <w:r w:rsidR="00A91628">
              <w:t>7</w:t>
            </w:r>
          </w:p>
        </w:tc>
        <w:tc>
          <w:tcPr>
            <w:tcW w:w="1081" w:type="pct"/>
            <w:shd w:val="clear" w:color="auto" w:fill="auto"/>
          </w:tcPr>
          <w:p w14:paraId="02848DAA" w14:textId="77777777" w:rsidR="00184BE2" w:rsidRPr="006D52A9" w:rsidRDefault="00184BE2" w:rsidP="00797098">
            <w:pPr>
              <w:pStyle w:val="Tabletext"/>
            </w:pPr>
            <w:r w:rsidRPr="006D52A9">
              <w:t>14 units</w:t>
            </w:r>
          </w:p>
        </w:tc>
        <w:tc>
          <w:tcPr>
            <w:tcW w:w="1030" w:type="pct"/>
            <w:shd w:val="clear" w:color="auto" w:fill="auto"/>
          </w:tcPr>
          <w:p w14:paraId="323B5D78" w14:textId="77777777" w:rsidR="00184BE2" w:rsidRPr="006D52A9" w:rsidRDefault="00184BE2" w:rsidP="00797098">
            <w:pPr>
              <w:pStyle w:val="Tabletext"/>
            </w:pPr>
            <w:r w:rsidRPr="006D52A9">
              <w:t>2</w:t>
            </w:r>
          </w:p>
        </w:tc>
      </w:tr>
      <w:tr w:rsidR="00184BE2" w:rsidRPr="006D52A9" w14:paraId="76433850" w14:textId="77777777" w:rsidTr="00724081">
        <w:tc>
          <w:tcPr>
            <w:tcW w:w="927" w:type="pct"/>
            <w:shd w:val="clear" w:color="auto" w:fill="auto"/>
          </w:tcPr>
          <w:p w14:paraId="2D87CFC8" w14:textId="77777777" w:rsidR="00184BE2" w:rsidRPr="006D52A9" w:rsidRDefault="00184BE2" w:rsidP="00797098">
            <w:pPr>
              <w:pStyle w:val="Tabletext"/>
            </w:pPr>
          </w:p>
        </w:tc>
        <w:tc>
          <w:tcPr>
            <w:tcW w:w="1962" w:type="pct"/>
            <w:shd w:val="clear" w:color="auto" w:fill="auto"/>
          </w:tcPr>
          <w:p w14:paraId="4E3AEB58" w14:textId="77777777" w:rsidR="00184BE2" w:rsidRPr="006D52A9" w:rsidRDefault="00184BE2" w:rsidP="00797098">
            <w:pPr>
              <w:pStyle w:val="Tabletext"/>
            </w:pPr>
            <w:r w:rsidRPr="006D52A9">
              <w:t>C6144,</w:t>
            </w:r>
            <w:r w:rsidR="00477B07" w:rsidRPr="006D52A9">
              <w:t xml:space="preserve"> </w:t>
            </w:r>
            <w:r w:rsidRPr="006D52A9">
              <w:t>C6186, C6199</w:t>
            </w:r>
          </w:p>
        </w:tc>
        <w:tc>
          <w:tcPr>
            <w:tcW w:w="1081" w:type="pct"/>
            <w:shd w:val="clear" w:color="auto" w:fill="auto"/>
          </w:tcPr>
          <w:p w14:paraId="456377F1" w14:textId="77777777" w:rsidR="00184BE2" w:rsidRPr="006D52A9" w:rsidRDefault="00184BE2" w:rsidP="00797098">
            <w:pPr>
              <w:pStyle w:val="Tabletext"/>
            </w:pPr>
            <w:r w:rsidRPr="006D52A9">
              <w:t>14 units</w:t>
            </w:r>
          </w:p>
        </w:tc>
        <w:tc>
          <w:tcPr>
            <w:tcW w:w="1030" w:type="pct"/>
            <w:shd w:val="clear" w:color="auto" w:fill="auto"/>
          </w:tcPr>
          <w:p w14:paraId="13FD44C0" w14:textId="77777777" w:rsidR="00184BE2" w:rsidRPr="006D52A9" w:rsidRDefault="00184BE2" w:rsidP="00797098">
            <w:pPr>
              <w:pStyle w:val="Tabletext"/>
            </w:pPr>
            <w:r w:rsidRPr="006D52A9">
              <w:t>5</w:t>
            </w:r>
          </w:p>
        </w:tc>
      </w:tr>
      <w:tr w:rsidR="00184BE2" w:rsidRPr="006D52A9" w14:paraId="07E6BA43" w14:textId="77777777" w:rsidTr="00724081">
        <w:tc>
          <w:tcPr>
            <w:tcW w:w="927" w:type="pct"/>
            <w:shd w:val="clear" w:color="auto" w:fill="auto"/>
          </w:tcPr>
          <w:p w14:paraId="0BD4489B" w14:textId="77777777" w:rsidR="00184BE2" w:rsidRPr="006D52A9" w:rsidRDefault="00184BE2" w:rsidP="00797098">
            <w:pPr>
              <w:pStyle w:val="Tabletext"/>
            </w:pPr>
            <w:r w:rsidRPr="006D52A9">
              <w:t>Bosentan</w:t>
            </w:r>
          </w:p>
        </w:tc>
        <w:tc>
          <w:tcPr>
            <w:tcW w:w="1962" w:type="pct"/>
            <w:shd w:val="clear" w:color="auto" w:fill="auto"/>
          </w:tcPr>
          <w:p w14:paraId="69F21961" w14:textId="77777777" w:rsidR="00184BE2" w:rsidRPr="006D52A9" w:rsidRDefault="00184BE2" w:rsidP="00797098">
            <w:pPr>
              <w:pStyle w:val="Tabletext"/>
            </w:pPr>
            <w:r w:rsidRPr="006D52A9">
              <w:t>C10228, C10924, C10945, C11004, C11022, C11023, C11036, C11044, C11064</w:t>
            </w:r>
          </w:p>
        </w:tc>
        <w:tc>
          <w:tcPr>
            <w:tcW w:w="1081" w:type="pct"/>
            <w:shd w:val="clear" w:color="auto" w:fill="auto"/>
          </w:tcPr>
          <w:p w14:paraId="07C48B7D" w14:textId="77777777" w:rsidR="00184BE2" w:rsidRPr="006D52A9" w:rsidRDefault="002B7A29" w:rsidP="00797098">
            <w:pPr>
              <w:pStyle w:val="Tabletext"/>
            </w:pPr>
            <w:r w:rsidRPr="006D52A9">
              <w:t xml:space="preserve">Sufficient for treatment for </w:t>
            </w:r>
            <w:r w:rsidR="00184BE2" w:rsidRPr="006D52A9">
              <w:t>1 month</w:t>
            </w:r>
          </w:p>
        </w:tc>
        <w:tc>
          <w:tcPr>
            <w:tcW w:w="1030" w:type="pct"/>
            <w:shd w:val="clear" w:color="auto" w:fill="auto"/>
          </w:tcPr>
          <w:p w14:paraId="1A27E772" w14:textId="77777777" w:rsidR="00184BE2" w:rsidRPr="006D52A9" w:rsidRDefault="00184BE2" w:rsidP="00797098">
            <w:pPr>
              <w:pStyle w:val="Tabletext"/>
            </w:pPr>
            <w:r w:rsidRPr="006D52A9">
              <w:t>5</w:t>
            </w:r>
          </w:p>
        </w:tc>
      </w:tr>
      <w:tr w:rsidR="00184BE2" w:rsidRPr="006D52A9" w14:paraId="4CF82621" w14:textId="77777777" w:rsidTr="00724081">
        <w:tc>
          <w:tcPr>
            <w:tcW w:w="927" w:type="pct"/>
            <w:shd w:val="clear" w:color="auto" w:fill="auto"/>
          </w:tcPr>
          <w:p w14:paraId="39845882" w14:textId="77777777" w:rsidR="00184BE2" w:rsidRPr="006D52A9" w:rsidRDefault="00184BE2" w:rsidP="00797098">
            <w:pPr>
              <w:pStyle w:val="Tabletext"/>
            </w:pPr>
          </w:p>
        </w:tc>
        <w:tc>
          <w:tcPr>
            <w:tcW w:w="1962" w:type="pct"/>
            <w:shd w:val="clear" w:color="auto" w:fill="auto"/>
          </w:tcPr>
          <w:p w14:paraId="25444799" w14:textId="77777777" w:rsidR="00184BE2" w:rsidRPr="006D52A9" w:rsidRDefault="00184BE2" w:rsidP="00797098">
            <w:pPr>
              <w:pStyle w:val="Tabletext"/>
            </w:pPr>
            <w:r w:rsidRPr="006D52A9">
              <w:t>C10238</w:t>
            </w:r>
          </w:p>
        </w:tc>
        <w:tc>
          <w:tcPr>
            <w:tcW w:w="1081" w:type="pct"/>
            <w:shd w:val="clear" w:color="auto" w:fill="auto"/>
          </w:tcPr>
          <w:p w14:paraId="477B804A" w14:textId="77777777" w:rsidR="00184BE2" w:rsidRPr="006D52A9" w:rsidRDefault="002B7A29" w:rsidP="00797098">
            <w:pPr>
              <w:pStyle w:val="Tabletext"/>
            </w:pPr>
            <w:r w:rsidRPr="006D52A9">
              <w:t xml:space="preserve">Sufficient for treatment for </w:t>
            </w:r>
            <w:r w:rsidR="00184BE2" w:rsidRPr="006D52A9">
              <w:t>1 month</w:t>
            </w:r>
          </w:p>
        </w:tc>
        <w:tc>
          <w:tcPr>
            <w:tcW w:w="1030" w:type="pct"/>
            <w:shd w:val="clear" w:color="auto" w:fill="auto"/>
          </w:tcPr>
          <w:p w14:paraId="67F56A33" w14:textId="77777777" w:rsidR="00184BE2" w:rsidRPr="006D52A9" w:rsidRDefault="00184BE2" w:rsidP="00797098">
            <w:pPr>
              <w:pStyle w:val="Tabletext"/>
            </w:pPr>
            <w:r w:rsidRPr="006D52A9">
              <w:t>0</w:t>
            </w:r>
          </w:p>
        </w:tc>
      </w:tr>
      <w:tr w:rsidR="00184BE2" w:rsidRPr="006D52A9" w14:paraId="66710CDF" w14:textId="77777777" w:rsidTr="00724081">
        <w:tc>
          <w:tcPr>
            <w:tcW w:w="927" w:type="pct"/>
            <w:shd w:val="clear" w:color="auto" w:fill="auto"/>
          </w:tcPr>
          <w:p w14:paraId="66DBA6A3" w14:textId="77777777" w:rsidR="00184BE2" w:rsidRPr="006D52A9" w:rsidRDefault="00184BE2" w:rsidP="00797098">
            <w:pPr>
              <w:pStyle w:val="Tabletext"/>
            </w:pPr>
            <w:r w:rsidRPr="006D52A9">
              <w:t>Eltrombopag</w:t>
            </w:r>
          </w:p>
        </w:tc>
        <w:tc>
          <w:tcPr>
            <w:tcW w:w="1962" w:type="pct"/>
            <w:shd w:val="clear" w:color="auto" w:fill="auto"/>
          </w:tcPr>
          <w:p w14:paraId="1394B593" w14:textId="77777777" w:rsidR="00184BE2" w:rsidRPr="006D52A9" w:rsidRDefault="00184BE2" w:rsidP="00797098">
            <w:pPr>
              <w:pStyle w:val="Tabletext"/>
            </w:pPr>
            <w:r w:rsidRPr="006D52A9">
              <w:t>C6724, C6725, C6738, C6739, C6790</w:t>
            </w:r>
          </w:p>
        </w:tc>
        <w:tc>
          <w:tcPr>
            <w:tcW w:w="1081" w:type="pct"/>
            <w:shd w:val="clear" w:color="auto" w:fill="auto"/>
          </w:tcPr>
          <w:p w14:paraId="4B0693A1" w14:textId="77777777" w:rsidR="00184BE2" w:rsidRPr="006D52A9" w:rsidRDefault="002B7A29" w:rsidP="00797098">
            <w:pPr>
              <w:pStyle w:val="Tabletext"/>
            </w:pPr>
            <w:r w:rsidRPr="006D52A9">
              <w:t xml:space="preserve">Sufficient for treatment for </w:t>
            </w:r>
            <w:r w:rsidR="00184BE2" w:rsidRPr="006D52A9">
              <w:t>4 weeks</w:t>
            </w:r>
          </w:p>
        </w:tc>
        <w:tc>
          <w:tcPr>
            <w:tcW w:w="1030" w:type="pct"/>
            <w:shd w:val="clear" w:color="auto" w:fill="auto"/>
          </w:tcPr>
          <w:p w14:paraId="565A6F6A" w14:textId="77777777" w:rsidR="00184BE2" w:rsidRPr="006D52A9" w:rsidRDefault="00184BE2" w:rsidP="00797098">
            <w:pPr>
              <w:pStyle w:val="Tabletext"/>
            </w:pPr>
            <w:r w:rsidRPr="006D52A9">
              <w:t>5</w:t>
            </w:r>
          </w:p>
        </w:tc>
      </w:tr>
      <w:tr w:rsidR="00184BE2" w:rsidRPr="006D52A9" w14:paraId="6D9BE67C" w14:textId="77777777" w:rsidTr="00724081">
        <w:tc>
          <w:tcPr>
            <w:tcW w:w="927" w:type="pct"/>
            <w:shd w:val="clear" w:color="auto" w:fill="auto"/>
          </w:tcPr>
          <w:p w14:paraId="1A07BF46" w14:textId="77777777" w:rsidR="00184BE2" w:rsidRPr="006D52A9" w:rsidRDefault="00184BE2" w:rsidP="00797098">
            <w:pPr>
              <w:pStyle w:val="Tabletext"/>
            </w:pPr>
            <w:r w:rsidRPr="006D52A9">
              <w:t>Epoprostenol</w:t>
            </w:r>
          </w:p>
        </w:tc>
        <w:tc>
          <w:tcPr>
            <w:tcW w:w="1962" w:type="pct"/>
            <w:shd w:val="clear" w:color="auto" w:fill="auto"/>
          </w:tcPr>
          <w:p w14:paraId="3641A85D" w14:textId="77777777" w:rsidR="00184BE2" w:rsidRPr="006D52A9" w:rsidRDefault="00184BE2" w:rsidP="00797098">
            <w:pPr>
              <w:pStyle w:val="Tabletext"/>
            </w:pPr>
            <w:r w:rsidRPr="006D52A9">
              <w:t>C10228, C10240, C20241</w:t>
            </w:r>
          </w:p>
        </w:tc>
        <w:tc>
          <w:tcPr>
            <w:tcW w:w="1081" w:type="pct"/>
            <w:shd w:val="clear" w:color="auto" w:fill="auto"/>
          </w:tcPr>
          <w:p w14:paraId="0FE4B9A6" w14:textId="77777777" w:rsidR="00184BE2" w:rsidRPr="006D52A9" w:rsidRDefault="002B7A29" w:rsidP="00797098">
            <w:pPr>
              <w:pStyle w:val="Tabletext"/>
            </w:pPr>
            <w:r w:rsidRPr="006D52A9">
              <w:t xml:space="preserve">Sufficient for treatment for </w:t>
            </w:r>
            <w:r w:rsidR="00184BE2" w:rsidRPr="006D52A9">
              <w:t>1 month</w:t>
            </w:r>
          </w:p>
        </w:tc>
        <w:tc>
          <w:tcPr>
            <w:tcW w:w="1030" w:type="pct"/>
            <w:shd w:val="clear" w:color="auto" w:fill="auto"/>
          </w:tcPr>
          <w:p w14:paraId="54B2E22E" w14:textId="77777777" w:rsidR="00184BE2" w:rsidRPr="006D52A9" w:rsidRDefault="00184BE2" w:rsidP="00797098">
            <w:pPr>
              <w:pStyle w:val="Tabletext"/>
            </w:pPr>
            <w:r w:rsidRPr="006D52A9">
              <w:t>5</w:t>
            </w:r>
          </w:p>
        </w:tc>
      </w:tr>
      <w:tr w:rsidR="00184BE2" w:rsidRPr="006D52A9" w14:paraId="60CD9823" w14:textId="77777777" w:rsidTr="00724081">
        <w:tc>
          <w:tcPr>
            <w:tcW w:w="927" w:type="pct"/>
            <w:shd w:val="clear" w:color="auto" w:fill="auto"/>
          </w:tcPr>
          <w:p w14:paraId="10E612D8" w14:textId="77777777" w:rsidR="00184BE2" w:rsidRPr="006D52A9" w:rsidRDefault="00184BE2" w:rsidP="00797098">
            <w:pPr>
              <w:pStyle w:val="Tabletext"/>
            </w:pPr>
            <w:r w:rsidRPr="006D52A9">
              <w:t>Etanercept</w:t>
            </w:r>
          </w:p>
        </w:tc>
        <w:tc>
          <w:tcPr>
            <w:tcW w:w="1962" w:type="pct"/>
            <w:shd w:val="clear" w:color="auto" w:fill="auto"/>
          </w:tcPr>
          <w:p w14:paraId="656D9C3E" w14:textId="77777777" w:rsidR="00184BE2" w:rsidRPr="006D52A9" w:rsidRDefault="00184BE2" w:rsidP="00797098">
            <w:pPr>
              <w:pStyle w:val="Tabletext"/>
            </w:pPr>
            <w:r w:rsidRPr="006D52A9">
              <w:t>C9417, C10548, C10578, C10599</w:t>
            </w:r>
          </w:p>
        </w:tc>
        <w:tc>
          <w:tcPr>
            <w:tcW w:w="1081" w:type="pct"/>
            <w:shd w:val="clear" w:color="auto" w:fill="auto"/>
          </w:tcPr>
          <w:p w14:paraId="390FE412" w14:textId="77777777" w:rsidR="00184BE2" w:rsidRPr="006D52A9" w:rsidRDefault="002B7A29" w:rsidP="00797098">
            <w:pPr>
              <w:pStyle w:val="Tabletext"/>
            </w:pPr>
            <w:r w:rsidRPr="006D52A9">
              <w:t xml:space="preserve">Sufficient for treatment for </w:t>
            </w:r>
            <w:r w:rsidR="00184BE2" w:rsidRPr="006D52A9">
              <w:t>4 weeks</w:t>
            </w:r>
          </w:p>
        </w:tc>
        <w:tc>
          <w:tcPr>
            <w:tcW w:w="1030" w:type="pct"/>
            <w:shd w:val="clear" w:color="auto" w:fill="auto"/>
          </w:tcPr>
          <w:p w14:paraId="31AD4F72" w14:textId="77777777" w:rsidR="00184BE2" w:rsidRPr="006D52A9" w:rsidRDefault="00184BE2" w:rsidP="00797098">
            <w:pPr>
              <w:pStyle w:val="Tabletext"/>
            </w:pPr>
            <w:r w:rsidRPr="006D52A9">
              <w:t>3</w:t>
            </w:r>
          </w:p>
        </w:tc>
      </w:tr>
      <w:tr w:rsidR="00184BE2" w:rsidRPr="006D52A9" w14:paraId="1A239ED0" w14:textId="77777777" w:rsidTr="00724081">
        <w:tc>
          <w:tcPr>
            <w:tcW w:w="927" w:type="pct"/>
            <w:shd w:val="clear" w:color="auto" w:fill="auto"/>
          </w:tcPr>
          <w:p w14:paraId="4A525ABE" w14:textId="77777777" w:rsidR="00184BE2" w:rsidRPr="006D52A9" w:rsidRDefault="00184BE2" w:rsidP="00797098">
            <w:pPr>
              <w:pStyle w:val="Tabletext"/>
            </w:pPr>
          </w:p>
        </w:tc>
        <w:tc>
          <w:tcPr>
            <w:tcW w:w="1962" w:type="pct"/>
            <w:shd w:val="clear" w:color="auto" w:fill="auto"/>
          </w:tcPr>
          <w:p w14:paraId="547017AB" w14:textId="77777777" w:rsidR="00184BE2" w:rsidRPr="006D52A9" w:rsidRDefault="00184BE2" w:rsidP="00797098">
            <w:pPr>
              <w:pStyle w:val="Tabletext"/>
            </w:pPr>
            <w:r w:rsidRPr="006D52A9">
              <w:t>C9384, C10579</w:t>
            </w:r>
          </w:p>
        </w:tc>
        <w:tc>
          <w:tcPr>
            <w:tcW w:w="1081" w:type="pct"/>
            <w:shd w:val="clear" w:color="auto" w:fill="auto"/>
          </w:tcPr>
          <w:p w14:paraId="6B48E37E" w14:textId="77777777" w:rsidR="00184BE2" w:rsidRPr="006D52A9" w:rsidRDefault="002B7A29" w:rsidP="00797098">
            <w:pPr>
              <w:pStyle w:val="Tabletext"/>
            </w:pPr>
            <w:r w:rsidRPr="006D52A9">
              <w:t xml:space="preserve">Sufficient for treatment for </w:t>
            </w:r>
            <w:r w:rsidR="00184BE2" w:rsidRPr="006D52A9">
              <w:t>4 weeks</w:t>
            </w:r>
          </w:p>
        </w:tc>
        <w:tc>
          <w:tcPr>
            <w:tcW w:w="1030" w:type="pct"/>
            <w:shd w:val="clear" w:color="auto" w:fill="auto"/>
          </w:tcPr>
          <w:p w14:paraId="664C59F3" w14:textId="77777777" w:rsidR="00184BE2" w:rsidRPr="006D52A9" w:rsidRDefault="00184BE2" w:rsidP="00797098">
            <w:pPr>
              <w:pStyle w:val="Tabletext"/>
            </w:pPr>
            <w:r w:rsidRPr="006D52A9">
              <w:t>5</w:t>
            </w:r>
          </w:p>
        </w:tc>
      </w:tr>
      <w:tr w:rsidR="00184BE2" w:rsidRPr="006D52A9" w14:paraId="63829AAA" w14:textId="77777777" w:rsidTr="00724081">
        <w:tc>
          <w:tcPr>
            <w:tcW w:w="927" w:type="pct"/>
            <w:shd w:val="clear" w:color="auto" w:fill="auto"/>
          </w:tcPr>
          <w:p w14:paraId="63905BBD" w14:textId="77777777" w:rsidR="00184BE2" w:rsidRPr="006D52A9" w:rsidRDefault="00184BE2" w:rsidP="00797098">
            <w:pPr>
              <w:pStyle w:val="Tabletext"/>
            </w:pPr>
            <w:r w:rsidRPr="006D52A9">
              <w:t>Iloprost</w:t>
            </w:r>
          </w:p>
        </w:tc>
        <w:tc>
          <w:tcPr>
            <w:tcW w:w="1962" w:type="pct"/>
            <w:shd w:val="clear" w:color="auto" w:fill="auto"/>
          </w:tcPr>
          <w:p w14:paraId="341C5B1F" w14:textId="77777777" w:rsidR="00184BE2" w:rsidRPr="006D52A9" w:rsidRDefault="00184BE2" w:rsidP="00797098">
            <w:pPr>
              <w:pStyle w:val="Tabletext"/>
            </w:pPr>
            <w:r w:rsidRPr="006D52A9">
              <w:t>C10228, C10229, C10284</w:t>
            </w:r>
          </w:p>
        </w:tc>
        <w:tc>
          <w:tcPr>
            <w:tcW w:w="1081" w:type="pct"/>
            <w:shd w:val="clear" w:color="auto" w:fill="auto"/>
          </w:tcPr>
          <w:p w14:paraId="3EE07899" w14:textId="77777777" w:rsidR="00184BE2" w:rsidRPr="006D52A9" w:rsidRDefault="002B7A29" w:rsidP="00797098">
            <w:pPr>
              <w:pStyle w:val="Tabletext"/>
            </w:pPr>
            <w:r w:rsidRPr="006D52A9">
              <w:t xml:space="preserve">Sufficient for treatment for </w:t>
            </w:r>
            <w:r w:rsidR="00184BE2" w:rsidRPr="006D52A9">
              <w:t xml:space="preserve">1 </w:t>
            </w:r>
            <w:r w:rsidR="00184BE2" w:rsidRPr="006D52A9">
              <w:lastRenderedPageBreak/>
              <w:t>month</w:t>
            </w:r>
          </w:p>
        </w:tc>
        <w:tc>
          <w:tcPr>
            <w:tcW w:w="1030" w:type="pct"/>
            <w:shd w:val="clear" w:color="auto" w:fill="auto"/>
          </w:tcPr>
          <w:p w14:paraId="447F523C" w14:textId="77777777" w:rsidR="00184BE2" w:rsidRPr="006D52A9" w:rsidRDefault="00184BE2" w:rsidP="00797098">
            <w:pPr>
              <w:pStyle w:val="Tabletext"/>
            </w:pPr>
            <w:r w:rsidRPr="006D52A9">
              <w:lastRenderedPageBreak/>
              <w:t>5</w:t>
            </w:r>
          </w:p>
        </w:tc>
      </w:tr>
      <w:tr w:rsidR="00184BE2" w:rsidRPr="006D52A9" w14:paraId="5EA2FE9C" w14:textId="77777777" w:rsidTr="00724081">
        <w:tc>
          <w:tcPr>
            <w:tcW w:w="927" w:type="pct"/>
            <w:shd w:val="clear" w:color="auto" w:fill="auto"/>
          </w:tcPr>
          <w:p w14:paraId="247467EA" w14:textId="77777777" w:rsidR="00184BE2" w:rsidRPr="006D52A9" w:rsidRDefault="00184BE2" w:rsidP="00797098">
            <w:pPr>
              <w:pStyle w:val="Tabletext"/>
            </w:pPr>
            <w:r w:rsidRPr="006D52A9">
              <w:t>Infliximab</w:t>
            </w:r>
          </w:p>
        </w:tc>
        <w:tc>
          <w:tcPr>
            <w:tcW w:w="1962" w:type="pct"/>
            <w:shd w:val="clear" w:color="auto" w:fill="auto"/>
          </w:tcPr>
          <w:p w14:paraId="20C35506" w14:textId="77777777" w:rsidR="00184BE2" w:rsidRPr="006D52A9" w:rsidRDefault="00184BE2" w:rsidP="00797098">
            <w:pPr>
              <w:pStyle w:val="Tabletext"/>
            </w:pPr>
            <w:r w:rsidRPr="006D52A9">
              <w:t>C9400, C9401, C9402, C9558, C9559, C8800, C9587</w:t>
            </w:r>
            <w:r w:rsidR="00477B07" w:rsidRPr="006D52A9">
              <w:t>,</w:t>
            </w:r>
            <w:r w:rsidRPr="006D52A9">
              <w:t xml:space="preserve"> C8801, C8885, C8983, C9110, C8886, C9111, C9169, C9191, C9877, C9994</w:t>
            </w:r>
          </w:p>
        </w:tc>
        <w:tc>
          <w:tcPr>
            <w:tcW w:w="1081" w:type="pct"/>
            <w:shd w:val="clear" w:color="auto" w:fill="auto"/>
          </w:tcPr>
          <w:p w14:paraId="00A198EE" w14:textId="77777777" w:rsidR="00184BE2" w:rsidRPr="006D52A9" w:rsidRDefault="00184BE2" w:rsidP="00797098">
            <w:pPr>
              <w:pStyle w:val="Tabletext"/>
            </w:pPr>
            <w:r w:rsidRPr="006D52A9">
              <w:t>1 dose</w:t>
            </w:r>
            <w:r w:rsidR="00AC22E8" w:rsidRPr="006D52A9">
              <w:t xml:space="preserve"> of</w:t>
            </w:r>
            <w:r w:rsidRPr="006D52A9">
              <w:t xml:space="preserve"> 5</w:t>
            </w:r>
            <w:r w:rsidR="00724081" w:rsidRPr="006D52A9">
              <w:t xml:space="preserve"> </w:t>
            </w:r>
            <w:r w:rsidRPr="006D52A9">
              <w:t>mg</w:t>
            </w:r>
            <w:r w:rsidR="00AC22E8" w:rsidRPr="006D52A9">
              <w:t xml:space="preserve"> per </w:t>
            </w:r>
            <w:r w:rsidRPr="006D52A9">
              <w:t>kg</w:t>
            </w:r>
            <w:r w:rsidR="00AC22E8" w:rsidRPr="006D52A9">
              <w:t xml:space="preserve"> of patient weight</w:t>
            </w:r>
          </w:p>
        </w:tc>
        <w:tc>
          <w:tcPr>
            <w:tcW w:w="1030" w:type="pct"/>
            <w:shd w:val="clear" w:color="auto" w:fill="auto"/>
          </w:tcPr>
          <w:p w14:paraId="52749C74" w14:textId="77777777" w:rsidR="00184BE2" w:rsidRPr="006D52A9" w:rsidRDefault="00184BE2" w:rsidP="00797098">
            <w:pPr>
              <w:pStyle w:val="Tabletext"/>
            </w:pPr>
            <w:r w:rsidRPr="006D52A9">
              <w:t>3</w:t>
            </w:r>
          </w:p>
        </w:tc>
      </w:tr>
      <w:tr w:rsidR="00184BE2" w:rsidRPr="006D52A9" w14:paraId="62E99172" w14:textId="77777777" w:rsidTr="00724081">
        <w:tc>
          <w:tcPr>
            <w:tcW w:w="927" w:type="pct"/>
            <w:shd w:val="clear" w:color="auto" w:fill="auto"/>
          </w:tcPr>
          <w:p w14:paraId="2E0E7E44" w14:textId="77777777" w:rsidR="00184BE2" w:rsidRPr="006D52A9" w:rsidRDefault="00184BE2" w:rsidP="00797098">
            <w:pPr>
              <w:pStyle w:val="Tabletext"/>
            </w:pPr>
          </w:p>
        </w:tc>
        <w:tc>
          <w:tcPr>
            <w:tcW w:w="1962" w:type="pct"/>
            <w:shd w:val="clear" w:color="auto" w:fill="auto"/>
          </w:tcPr>
          <w:p w14:paraId="7D0EB723" w14:textId="77777777" w:rsidR="00184BE2" w:rsidRPr="006D52A9" w:rsidRDefault="00184BE2" w:rsidP="00797098">
            <w:pPr>
              <w:pStyle w:val="Tabletext"/>
            </w:pPr>
            <w:r w:rsidRPr="006D52A9">
              <w:t>C8645, C8715, C8646, C8743, C8886, C9111</w:t>
            </w:r>
          </w:p>
        </w:tc>
        <w:tc>
          <w:tcPr>
            <w:tcW w:w="1081" w:type="pct"/>
            <w:shd w:val="clear" w:color="auto" w:fill="auto"/>
          </w:tcPr>
          <w:p w14:paraId="3894C203" w14:textId="77777777" w:rsidR="00184BE2" w:rsidRPr="006D52A9" w:rsidRDefault="00184BE2" w:rsidP="00797098">
            <w:pPr>
              <w:pStyle w:val="Tabletext"/>
            </w:pPr>
            <w:r w:rsidRPr="006D52A9">
              <w:t xml:space="preserve">1 dose </w:t>
            </w:r>
            <w:r w:rsidR="00AC22E8" w:rsidRPr="006D52A9">
              <w:t>of</w:t>
            </w:r>
            <w:r w:rsidRPr="006D52A9">
              <w:t xml:space="preserve"> 3</w:t>
            </w:r>
            <w:r w:rsidR="00724081" w:rsidRPr="006D52A9">
              <w:t xml:space="preserve"> </w:t>
            </w:r>
            <w:r w:rsidRPr="006D52A9">
              <w:t>mg</w:t>
            </w:r>
            <w:r w:rsidR="00AC22E8" w:rsidRPr="006D52A9">
              <w:t xml:space="preserve"> per </w:t>
            </w:r>
            <w:r w:rsidRPr="006D52A9">
              <w:t>kg</w:t>
            </w:r>
            <w:r w:rsidR="00AC22E8" w:rsidRPr="006D52A9">
              <w:t xml:space="preserve"> of patient weight</w:t>
            </w:r>
          </w:p>
        </w:tc>
        <w:tc>
          <w:tcPr>
            <w:tcW w:w="1030" w:type="pct"/>
            <w:shd w:val="clear" w:color="auto" w:fill="auto"/>
          </w:tcPr>
          <w:p w14:paraId="3DE3B027" w14:textId="77777777" w:rsidR="00184BE2" w:rsidRPr="006D52A9" w:rsidRDefault="00184BE2" w:rsidP="00797098">
            <w:pPr>
              <w:pStyle w:val="Tabletext"/>
            </w:pPr>
            <w:r w:rsidRPr="006D52A9">
              <w:t>3</w:t>
            </w:r>
          </w:p>
        </w:tc>
      </w:tr>
      <w:tr w:rsidR="00184BE2" w:rsidRPr="006D52A9" w14:paraId="21B4A689" w14:textId="77777777" w:rsidTr="00724081">
        <w:tc>
          <w:tcPr>
            <w:tcW w:w="927" w:type="pct"/>
            <w:shd w:val="clear" w:color="auto" w:fill="auto"/>
          </w:tcPr>
          <w:p w14:paraId="357DB4FB" w14:textId="77777777" w:rsidR="00184BE2" w:rsidRPr="006D52A9" w:rsidRDefault="00184BE2" w:rsidP="00797098">
            <w:pPr>
              <w:pStyle w:val="Tabletext"/>
            </w:pPr>
          </w:p>
        </w:tc>
        <w:tc>
          <w:tcPr>
            <w:tcW w:w="1962" w:type="pct"/>
            <w:shd w:val="clear" w:color="auto" w:fill="auto"/>
          </w:tcPr>
          <w:p w14:paraId="3294D09C" w14:textId="77777777" w:rsidR="00184BE2" w:rsidRPr="006D52A9" w:rsidRDefault="00184BE2" w:rsidP="00797098">
            <w:pPr>
              <w:pStyle w:val="Tabletext"/>
            </w:pPr>
            <w:r w:rsidRPr="006D52A9">
              <w:t>C8644, C8744, C7777, C8296, C8745, C9068, C9487, C9669, C8755, C8844, C8940, C9188, C9472, C9481, C9584, C9602, C9621, C9668, C9975</w:t>
            </w:r>
          </w:p>
        </w:tc>
        <w:tc>
          <w:tcPr>
            <w:tcW w:w="1081" w:type="pct"/>
            <w:shd w:val="clear" w:color="auto" w:fill="auto"/>
          </w:tcPr>
          <w:p w14:paraId="1213B8D5" w14:textId="77777777" w:rsidR="00184BE2" w:rsidRPr="006D52A9" w:rsidRDefault="00184BE2" w:rsidP="00797098">
            <w:pPr>
              <w:pStyle w:val="Tabletext"/>
            </w:pPr>
            <w:r w:rsidRPr="006D52A9">
              <w:t xml:space="preserve">1 dose </w:t>
            </w:r>
            <w:r w:rsidR="00AC22E8" w:rsidRPr="006D52A9">
              <w:t>of</w:t>
            </w:r>
            <w:r w:rsidRPr="006D52A9">
              <w:t xml:space="preserve"> 3</w:t>
            </w:r>
            <w:r w:rsidR="00724081" w:rsidRPr="006D52A9">
              <w:t xml:space="preserve"> </w:t>
            </w:r>
            <w:r w:rsidRPr="006D52A9">
              <w:t>mg</w:t>
            </w:r>
            <w:r w:rsidR="00AC22E8" w:rsidRPr="006D52A9">
              <w:t xml:space="preserve"> per </w:t>
            </w:r>
            <w:r w:rsidRPr="006D52A9">
              <w:t>kg</w:t>
            </w:r>
            <w:r w:rsidR="00AC22E8" w:rsidRPr="006D52A9">
              <w:t xml:space="preserve"> of patient weight</w:t>
            </w:r>
          </w:p>
        </w:tc>
        <w:tc>
          <w:tcPr>
            <w:tcW w:w="1030" w:type="pct"/>
            <w:shd w:val="clear" w:color="auto" w:fill="auto"/>
          </w:tcPr>
          <w:p w14:paraId="19A673C9" w14:textId="77777777" w:rsidR="00184BE2" w:rsidRPr="006D52A9" w:rsidRDefault="00184BE2" w:rsidP="00797098">
            <w:pPr>
              <w:pStyle w:val="Tabletext"/>
            </w:pPr>
            <w:r w:rsidRPr="006D52A9">
              <w:t>2</w:t>
            </w:r>
          </w:p>
        </w:tc>
      </w:tr>
      <w:tr w:rsidR="00184BE2" w:rsidRPr="006D52A9" w14:paraId="7B1ACD4C" w14:textId="77777777" w:rsidTr="00724081">
        <w:tc>
          <w:tcPr>
            <w:tcW w:w="927" w:type="pct"/>
            <w:shd w:val="clear" w:color="auto" w:fill="auto"/>
          </w:tcPr>
          <w:p w14:paraId="2A65984F" w14:textId="77777777" w:rsidR="00184BE2" w:rsidRPr="006D52A9" w:rsidRDefault="00184BE2" w:rsidP="00797098">
            <w:pPr>
              <w:pStyle w:val="Tabletext"/>
            </w:pPr>
          </w:p>
        </w:tc>
        <w:tc>
          <w:tcPr>
            <w:tcW w:w="1962" w:type="pct"/>
            <w:shd w:val="clear" w:color="auto" w:fill="auto"/>
          </w:tcPr>
          <w:p w14:paraId="1690CD91" w14:textId="77777777" w:rsidR="00184BE2" w:rsidRPr="006D52A9" w:rsidRDefault="00184BE2" w:rsidP="00797098">
            <w:pPr>
              <w:pStyle w:val="Tabletext"/>
            </w:pPr>
            <w:r w:rsidRPr="006D52A9">
              <w:t>C8881, C8883, C8941, C8962, C9065, C9067, C7777, C8296, C8745, C9068, C9487, C9669, C9676, C9677, C9719, C9721, C9751, C9752, C9754, C9759, C9779, C9783, C9788, C9806, C4524, C9799, C9803, C9900, C9675, C9756, C9776, C9778, C9781, C9800, C9731, C9733, C9732, C9775, C9785, C9787</w:t>
            </w:r>
          </w:p>
        </w:tc>
        <w:tc>
          <w:tcPr>
            <w:tcW w:w="1081" w:type="pct"/>
            <w:shd w:val="clear" w:color="auto" w:fill="auto"/>
          </w:tcPr>
          <w:p w14:paraId="4C2AF65D" w14:textId="77777777" w:rsidR="00184BE2" w:rsidRPr="006D52A9" w:rsidRDefault="00184BE2" w:rsidP="00797098">
            <w:pPr>
              <w:pStyle w:val="Tabletext"/>
            </w:pPr>
            <w:r w:rsidRPr="006D52A9">
              <w:t xml:space="preserve">1 dose </w:t>
            </w:r>
            <w:r w:rsidR="00AC22E8" w:rsidRPr="006D52A9">
              <w:t xml:space="preserve">of </w:t>
            </w:r>
            <w:r w:rsidRPr="006D52A9">
              <w:t>5</w:t>
            </w:r>
            <w:r w:rsidR="00724081" w:rsidRPr="006D52A9">
              <w:t xml:space="preserve"> </w:t>
            </w:r>
            <w:r w:rsidRPr="006D52A9">
              <w:t>mg</w:t>
            </w:r>
            <w:r w:rsidR="00AC22E8" w:rsidRPr="006D52A9">
              <w:t xml:space="preserve"> per </w:t>
            </w:r>
            <w:r w:rsidRPr="006D52A9">
              <w:t>kg</w:t>
            </w:r>
            <w:r w:rsidR="00AC22E8" w:rsidRPr="006D52A9">
              <w:t xml:space="preserve"> of patient weight</w:t>
            </w:r>
          </w:p>
        </w:tc>
        <w:tc>
          <w:tcPr>
            <w:tcW w:w="1030" w:type="pct"/>
            <w:shd w:val="clear" w:color="auto" w:fill="auto"/>
          </w:tcPr>
          <w:p w14:paraId="273A1A97" w14:textId="77777777" w:rsidR="00184BE2" w:rsidRPr="006D52A9" w:rsidRDefault="00184BE2" w:rsidP="00797098">
            <w:pPr>
              <w:pStyle w:val="Tabletext"/>
            </w:pPr>
            <w:r w:rsidRPr="006D52A9">
              <w:t>2</w:t>
            </w:r>
          </w:p>
        </w:tc>
      </w:tr>
      <w:tr w:rsidR="00233E97" w:rsidRPr="006D52A9" w14:paraId="320A5BF1" w14:textId="77777777" w:rsidTr="00724081">
        <w:tc>
          <w:tcPr>
            <w:tcW w:w="927" w:type="pct"/>
            <w:shd w:val="clear" w:color="auto" w:fill="auto"/>
          </w:tcPr>
          <w:p w14:paraId="4E42D086" w14:textId="77777777" w:rsidR="00233E97" w:rsidRPr="006D52A9" w:rsidRDefault="00233E97" w:rsidP="00797098">
            <w:pPr>
              <w:pStyle w:val="Tabletext"/>
            </w:pPr>
            <w:r w:rsidRPr="006D52A9">
              <w:t>Lenalidomide</w:t>
            </w:r>
          </w:p>
        </w:tc>
        <w:tc>
          <w:tcPr>
            <w:tcW w:w="1962" w:type="pct"/>
            <w:shd w:val="clear" w:color="auto" w:fill="auto"/>
          </w:tcPr>
          <w:p w14:paraId="74467E84" w14:textId="77777777" w:rsidR="00233E97" w:rsidRPr="006D52A9" w:rsidRDefault="00233E97" w:rsidP="00797098">
            <w:pPr>
              <w:pStyle w:val="Tabletext"/>
            </w:pPr>
            <w:r w:rsidRPr="006D52A9">
              <w:t>C10452, C10453</w:t>
            </w:r>
          </w:p>
        </w:tc>
        <w:tc>
          <w:tcPr>
            <w:tcW w:w="1081" w:type="pct"/>
            <w:shd w:val="clear" w:color="auto" w:fill="auto"/>
          </w:tcPr>
          <w:p w14:paraId="4F7085FD" w14:textId="77777777" w:rsidR="00233E97" w:rsidRPr="006D52A9" w:rsidRDefault="00233E97" w:rsidP="00797098">
            <w:pPr>
              <w:pStyle w:val="Tabletext"/>
            </w:pPr>
            <w:r w:rsidRPr="006D52A9">
              <w:t>14 Tablets</w:t>
            </w:r>
          </w:p>
        </w:tc>
        <w:tc>
          <w:tcPr>
            <w:tcW w:w="1030" w:type="pct"/>
            <w:shd w:val="clear" w:color="auto" w:fill="auto"/>
          </w:tcPr>
          <w:p w14:paraId="2AD11473" w14:textId="77777777" w:rsidR="00233E97" w:rsidRPr="006D52A9" w:rsidRDefault="00233E97" w:rsidP="00797098">
            <w:pPr>
              <w:pStyle w:val="Tabletext"/>
            </w:pPr>
            <w:r w:rsidRPr="006D52A9">
              <w:t>3</w:t>
            </w:r>
          </w:p>
        </w:tc>
      </w:tr>
      <w:tr w:rsidR="00233E97" w:rsidRPr="006D52A9" w14:paraId="16870E61" w14:textId="77777777" w:rsidTr="00724081">
        <w:tc>
          <w:tcPr>
            <w:tcW w:w="927" w:type="pct"/>
            <w:shd w:val="clear" w:color="auto" w:fill="auto"/>
          </w:tcPr>
          <w:p w14:paraId="5275F00F" w14:textId="77777777" w:rsidR="00233E97" w:rsidRPr="006D52A9" w:rsidRDefault="00233E97" w:rsidP="00797098">
            <w:pPr>
              <w:pStyle w:val="Tabletext"/>
            </w:pPr>
          </w:p>
        </w:tc>
        <w:tc>
          <w:tcPr>
            <w:tcW w:w="1962" w:type="pct"/>
            <w:shd w:val="clear" w:color="auto" w:fill="auto"/>
          </w:tcPr>
          <w:p w14:paraId="1187628B" w14:textId="77777777" w:rsidR="00233E97" w:rsidRPr="006D52A9" w:rsidRDefault="00233E97" w:rsidP="00797098">
            <w:pPr>
              <w:pStyle w:val="Tabletext"/>
            </w:pPr>
            <w:r w:rsidRPr="006D52A9">
              <w:t>C4287, C4282, C10428</w:t>
            </w:r>
          </w:p>
        </w:tc>
        <w:tc>
          <w:tcPr>
            <w:tcW w:w="1081" w:type="pct"/>
            <w:shd w:val="clear" w:color="auto" w:fill="auto"/>
          </w:tcPr>
          <w:p w14:paraId="11DC21FA" w14:textId="77777777" w:rsidR="00233E97" w:rsidRPr="006D52A9" w:rsidRDefault="00233E97" w:rsidP="00797098">
            <w:pPr>
              <w:pStyle w:val="Tabletext"/>
            </w:pPr>
            <w:r w:rsidRPr="006D52A9">
              <w:t>21 Tablets</w:t>
            </w:r>
          </w:p>
        </w:tc>
        <w:tc>
          <w:tcPr>
            <w:tcW w:w="1030" w:type="pct"/>
            <w:shd w:val="clear" w:color="auto" w:fill="auto"/>
          </w:tcPr>
          <w:p w14:paraId="45101F21" w14:textId="77777777" w:rsidR="00233E97" w:rsidRPr="006D52A9" w:rsidRDefault="00233E97" w:rsidP="00797098">
            <w:pPr>
              <w:pStyle w:val="Tabletext"/>
            </w:pPr>
            <w:r w:rsidRPr="006D52A9">
              <w:t>3</w:t>
            </w:r>
          </w:p>
        </w:tc>
      </w:tr>
      <w:tr w:rsidR="00233E97" w:rsidRPr="006D52A9" w14:paraId="1CFACDD6" w14:textId="77777777" w:rsidTr="00724081">
        <w:tc>
          <w:tcPr>
            <w:tcW w:w="927" w:type="pct"/>
            <w:shd w:val="clear" w:color="auto" w:fill="auto"/>
          </w:tcPr>
          <w:p w14:paraId="563F6D76" w14:textId="77777777" w:rsidR="00233E97" w:rsidRPr="006D52A9" w:rsidRDefault="00233E97" w:rsidP="00797098">
            <w:pPr>
              <w:pStyle w:val="Tabletext"/>
            </w:pPr>
          </w:p>
        </w:tc>
        <w:tc>
          <w:tcPr>
            <w:tcW w:w="1962" w:type="pct"/>
            <w:shd w:val="clear" w:color="auto" w:fill="auto"/>
          </w:tcPr>
          <w:p w14:paraId="5A5739FB" w14:textId="77777777" w:rsidR="00233E97" w:rsidRPr="006D52A9" w:rsidRDefault="00233E97" w:rsidP="00797098">
            <w:pPr>
              <w:pStyle w:val="Tabletext"/>
            </w:pPr>
            <w:r w:rsidRPr="006D52A9">
              <w:t>C10429</w:t>
            </w:r>
          </w:p>
        </w:tc>
        <w:tc>
          <w:tcPr>
            <w:tcW w:w="1081" w:type="pct"/>
            <w:shd w:val="clear" w:color="auto" w:fill="auto"/>
          </w:tcPr>
          <w:p w14:paraId="5F584486" w14:textId="77777777" w:rsidR="00233E97" w:rsidRPr="006D52A9" w:rsidRDefault="00233E97" w:rsidP="00797098">
            <w:pPr>
              <w:pStyle w:val="Tabletext"/>
            </w:pPr>
            <w:r w:rsidRPr="006D52A9">
              <w:t>21 Tablets</w:t>
            </w:r>
          </w:p>
        </w:tc>
        <w:tc>
          <w:tcPr>
            <w:tcW w:w="1030" w:type="pct"/>
            <w:shd w:val="clear" w:color="auto" w:fill="auto"/>
          </w:tcPr>
          <w:p w14:paraId="5849A990" w14:textId="77777777" w:rsidR="00233E97" w:rsidRPr="006D52A9" w:rsidRDefault="00233E97" w:rsidP="00797098">
            <w:pPr>
              <w:pStyle w:val="Tabletext"/>
            </w:pPr>
            <w:r w:rsidRPr="006D52A9">
              <w:t>1</w:t>
            </w:r>
          </w:p>
        </w:tc>
      </w:tr>
      <w:tr w:rsidR="00233E97" w:rsidRPr="006D52A9" w14:paraId="3BCA65A0" w14:textId="77777777" w:rsidTr="00724081">
        <w:tc>
          <w:tcPr>
            <w:tcW w:w="927" w:type="pct"/>
            <w:shd w:val="clear" w:color="auto" w:fill="auto"/>
          </w:tcPr>
          <w:p w14:paraId="5CB73A05" w14:textId="77777777" w:rsidR="00233E97" w:rsidRPr="006D52A9" w:rsidRDefault="00233E97" w:rsidP="00797098">
            <w:pPr>
              <w:pStyle w:val="Tabletext"/>
            </w:pPr>
          </w:p>
        </w:tc>
        <w:tc>
          <w:tcPr>
            <w:tcW w:w="1962" w:type="pct"/>
            <w:shd w:val="clear" w:color="auto" w:fill="auto"/>
          </w:tcPr>
          <w:p w14:paraId="7C39C341" w14:textId="77777777" w:rsidR="00233E97" w:rsidRPr="006D52A9" w:rsidRDefault="00233E97" w:rsidP="00797098">
            <w:pPr>
              <w:pStyle w:val="Tabletext"/>
            </w:pPr>
            <w:r w:rsidRPr="006D52A9">
              <w:t>C10349, C10350, C10373, C10427</w:t>
            </w:r>
          </w:p>
        </w:tc>
        <w:tc>
          <w:tcPr>
            <w:tcW w:w="1081" w:type="pct"/>
            <w:shd w:val="clear" w:color="auto" w:fill="auto"/>
          </w:tcPr>
          <w:p w14:paraId="4F0494F7" w14:textId="77777777" w:rsidR="00233E97" w:rsidRPr="006D52A9" w:rsidRDefault="00233E97" w:rsidP="00797098">
            <w:pPr>
              <w:pStyle w:val="Tabletext"/>
            </w:pPr>
            <w:r w:rsidRPr="006D52A9">
              <w:t>21 Tablets</w:t>
            </w:r>
          </w:p>
        </w:tc>
        <w:tc>
          <w:tcPr>
            <w:tcW w:w="1030" w:type="pct"/>
            <w:shd w:val="clear" w:color="auto" w:fill="auto"/>
          </w:tcPr>
          <w:p w14:paraId="7DD3A769" w14:textId="77777777" w:rsidR="00233E97" w:rsidRPr="006D52A9" w:rsidRDefault="00233E97" w:rsidP="00797098">
            <w:pPr>
              <w:pStyle w:val="Tabletext"/>
            </w:pPr>
            <w:r w:rsidRPr="006D52A9">
              <w:t>5</w:t>
            </w:r>
          </w:p>
        </w:tc>
      </w:tr>
      <w:tr w:rsidR="00233E97" w:rsidRPr="006D52A9" w14:paraId="31F0FB8D" w14:textId="77777777" w:rsidTr="00724081">
        <w:tc>
          <w:tcPr>
            <w:tcW w:w="927" w:type="pct"/>
            <w:shd w:val="clear" w:color="auto" w:fill="auto"/>
          </w:tcPr>
          <w:p w14:paraId="5EA975FA" w14:textId="77777777" w:rsidR="00233E97" w:rsidRPr="006D52A9" w:rsidRDefault="00233E97" w:rsidP="00797098">
            <w:pPr>
              <w:pStyle w:val="Tabletext"/>
            </w:pPr>
          </w:p>
        </w:tc>
        <w:tc>
          <w:tcPr>
            <w:tcW w:w="1962" w:type="pct"/>
            <w:shd w:val="clear" w:color="auto" w:fill="auto"/>
          </w:tcPr>
          <w:p w14:paraId="261FE345" w14:textId="77777777" w:rsidR="00233E97" w:rsidRPr="006D52A9" w:rsidRDefault="00233E97" w:rsidP="00797098">
            <w:pPr>
              <w:pStyle w:val="Tabletext"/>
            </w:pPr>
            <w:r w:rsidRPr="006D52A9">
              <w:t>C10334, C10335</w:t>
            </w:r>
          </w:p>
        </w:tc>
        <w:tc>
          <w:tcPr>
            <w:tcW w:w="1081" w:type="pct"/>
            <w:shd w:val="clear" w:color="auto" w:fill="auto"/>
          </w:tcPr>
          <w:p w14:paraId="305E93AD" w14:textId="77777777" w:rsidR="00233E97" w:rsidRPr="006D52A9" w:rsidRDefault="00233E97" w:rsidP="00797098">
            <w:pPr>
              <w:pStyle w:val="Tabletext"/>
            </w:pPr>
            <w:r w:rsidRPr="006D52A9">
              <w:t>28 Tablets</w:t>
            </w:r>
          </w:p>
        </w:tc>
        <w:tc>
          <w:tcPr>
            <w:tcW w:w="1030" w:type="pct"/>
            <w:shd w:val="clear" w:color="auto" w:fill="auto"/>
          </w:tcPr>
          <w:p w14:paraId="375423DF" w14:textId="77777777" w:rsidR="00233E97" w:rsidRPr="006D52A9" w:rsidRDefault="00233E97" w:rsidP="00797098">
            <w:pPr>
              <w:pStyle w:val="Tabletext"/>
            </w:pPr>
            <w:r w:rsidRPr="006D52A9">
              <w:t>2</w:t>
            </w:r>
          </w:p>
        </w:tc>
      </w:tr>
      <w:tr w:rsidR="00024287" w:rsidRPr="006D52A9" w14:paraId="78FC2A32" w14:textId="77777777" w:rsidTr="00724081">
        <w:tc>
          <w:tcPr>
            <w:tcW w:w="927" w:type="pct"/>
            <w:shd w:val="clear" w:color="auto" w:fill="auto"/>
          </w:tcPr>
          <w:p w14:paraId="04EF2C63" w14:textId="77777777" w:rsidR="00024287" w:rsidRPr="006D52A9" w:rsidRDefault="00024287" w:rsidP="00797098">
            <w:pPr>
              <w:pStyle w:val="Tabletext"/>
            </w:pPr>
            <w:r w:rsidRPr="006D52A9">
              <w:t>Nusinersen</w:t>
            </w:r>
          </w:p>
        </w:tc>
        <w:tc>
          <w:tcPr>
            <w:tcW w:w="1962" w:type="pct"/>
            <w:shd w:val="clear" w:color="auto" w:fill="auto"/>
          </w:tcPr>
          <w:p w14:paraId="66869579" w14:textId="77777777" w:rsidR="00024287" w:rsidRPr="006D52A9" w:rsidRDefault="00024287" w:rsidP="00797098">
            <w:pPr>
              <w:pStyle w:val="Tabletext"/>
            </w:pPr>
            <w:r w:rsidRPr="006D52A9">
              <w:t>C11049</w:t>
            </w:r>
          </w:p>
        </w:tc>
        <w:tc>
          <w:tcPr>
            <w:tcW w:w="1081" w:type="pct"/>
            <w:shd w:val="clear" w:color="auto" w:fill="auto"/>
          </w:tcPr>
          <w:p w14:paraId="5421360C" w14:textId="77777777" w:rsidR="00024287" w:rsidRPr="006D52A9" w:rsidRDefault="00024287" w:rsidP="00797098">
            <w:pPr>
              <w:pStyle w:val="Tabletext"/>
            </w:pPr>
            <w:r w:rsidRPr="006D52A9">
              <w:t>1</w:t>
            </w:r>
            <w:r w:rsidR="00477B07" w:rsidRPr="006D52A9">
              <w:t xml:space="preserve"> </w:t>
            </w:r>
            <w:r w:rsidRPr="006D52A9">
              <w:t>dose</w:t>
            </w:r>
          </w:p>
        </w:tc>
        <w:tc>
          <w:tcPr>
            <w:tcW w:w="1030" w:type="pct"/>
            <w:shd w:val="clear" w:color="auto" w:fill="auto"/>
          </w:tcPr>
          <w:p w14:paraId="19234433" w14:textId="77777777" w:rsidR="00024287" w:rsidRPr="006D52A9" w:rsidRDefault="00024287" w:rsidP="00797098">
            <w:pPr>
              <w:pStyle w:val="Tabletext"/>
            </w:pPr>
            <w:r w:rsidRPr="006D52A9">
              <w:t>0</w:t>
            </w:r>
          </w:p>
        </w:tc>
      </w:tr>
      <w:tr w:rsidR="00024287" w:rsidRPr="006D52A9" w14:paraId="4BC2BB31" w14:textId="77777777" w:rsidTr="00724081">
        <w:tc>
          <w:tcPr>
            <w:tcW w:w="927" w:type="pct"/>
            <w:shd w:val="clear" w:color="auto" w:fill="auto"/>
          </w:tcPr>
          <w:p w14:paraId="7CEBBFEA" w14:textId="77777777" w:rsidR="00024287" w:rsidRPr="006D52A9" w:rsidRDefault="00024287" w:rsidP="00797098">
            <w:pPr>
              <w:pStyle w:val="Tabletext"/>
            </w:pPr>
          </w:p>
        </w:tc>
        <w:tc>
          <w:tcPr>
            <w:tcW w:w="1962" w:type="pct"/>
            <w:shd w:val="clear" w:color="auto" w:fill="auto"/>
          </w:tcPr>
          <w:p w14:paraId="7B2E68AB" w14:textId="77777777" w:rsidR="00024287" w:rsidRPr="006D52A9" w:rsidRDefault="00024287" w:rsidP="00797098">
            <w:pPr>
              <w:pStyle w:val="Tabletext"/>
            </w:pPr>
            <w:r w:rsidRPr="006D52A9">
              <w:t>C11050, C11058</w:t>
            </w:r>
          </w:p>
        </w:tc>
        <w:tc>
          <w:tcPr>
            <w:tcW w:w="1081" w:type="pct"/>
            <w:shd w:val="clear" w:color="auto" w:fill="auto"/>
          </w:tcPr>
          <w:p w14:paraId="3E726148" w14:textId="77777777" w:rsidR="00024287" w:rsidRPr="006D52A9" w:rsidRDefault="00024287" w:rsidP="00797098">
            <w:pPr>
              <w:pStyle w:val="Tabletext"/>
            </w:pPr>
            <w:r w:rsidRPr="006D52A9">
              <w:t>1 dose</w:t>
            </w:r>
          </w:p>
        </w:tc>
        <w:tc>
          <w:tcPr>
            <w:tcW w:w="1030" w:type="pct"/>
            <w:shd w:val="clear" w:color="auto" w:fill="auto"/>
          </w:tcPr>
          <w:p w14:paraId="450AD60E" w14:textId="77777777" w:rsidR="00024287" w:rsidRPr="006D52A9" w:rsidRDefault="00024287" w:rsidP="00797098">
            <w:pPr>
              <w:pStyle w:val="Tabletext"/>
            </w:pPr>
            <w:r w:rsidRPr="006D52A9">
              <w:t>3</w:t>
            </w:r>
          </w:p>
        </w:tc>
      </w:tr>
      <w:tr w:rsidR="00645AD9" w:rsidRPr="006D52A9" w14:paraId="27579A99" w14:textId="77777777" w:rsidTr="00724081">
        <w:tc>
          <w:tcPr>
            <w:tcW w:w="927" w:type="pct"/>
            <w:shd w:val="clear" w:color="auto" w:fill="auto"/>
          </w:tcPr>
          <w:p w14:paraId="0894140E" w14:textId="77777777" w:rsidR="00645AD9" w:rsidRPr="006D52A9" w:rsidRDefault="00645AD9" w:rsidP="00797098">
            <w:pPr>
              <w:pStyle w:val="Tabletext"/>
            </w:pPr>
            <w:r w:rsidRPr="006D52A9">
              <w:t>Omalizumab</w:t>
            </w:r>
          </w:p>
        </w:tc>
        <w:tc>
          <w:tcPr>
            <w:tcW w:w="1962" w:type="pct"/>
            <w:shd w:val="clear" w:color="auto" w:fill="auto"/>
          </w:tcPr>
          <w:p w14:paraId="33D21AFA" w14:textId="77777777" w:rsidR="00645AD9" w:rsidRPr="006D52A9" w:rsidRDefault="00645AD9" w:rsidP="00797098">
            <w:pPr>
              <w:pStyle w:val="Tabletext"/>
            </w:pPr>
            <w:r w:rsidRPr="006D52A9">
              <w:t>C7055</w:t>
            </w:r>
          </w:p>
        </w:tc>
        <w:tc>
          <w:tcPr>
            <w:tcW w:w="1081" w:type="pct"/>
            <w:shd w:val="clear" w:color="auto" w:fill="auto"/>
          </w:tcPr>
          <w:p w14:paraId="1E61C403" w14:textId="77777777" w:rsidR="00645AD9" w:rsidRPr="006D52A9" w:rsidRDefault="00645AD9" w:rsidP="00797098">
            <w:pPr>
              <w:pStyle w:val="Tabletext"/>
            </w:pPr>
            <w:r w:rsidRPr="006D52A9">
              <w:t>2</w:t>
            </w:r>
          </w:p>
        </w:tc>
        <w:tc>
          <w:tcPr>
            <w:tcW w:w="1030" w:type="pct"/>
            <w:shd w:val="clear" w:color="auto" w:fill="auto"/>
          </w:tcPr>
          <w:p w14:paraId="27A95CBE" w14:textId="77777777" w:rsidR="00645AD9" w:rsidRPr="006D52A9" w:rsidRDefault="00645AD9" w:rsidP="00797098">
            <w:pPr>
              <w:pStyle w:val="Tabletext"/>
            </w:pPr>
            <w:r w:rsidRPr="006D52A9">
              <w:t>2</w:t>
            </w:r>
          </w:p>
        </w:tc>
      </w:tr>
      <w:tr w:rsidR="00645AD9" w:rsidRPr="006D52A9" w14:paraId="2FA174E3" w14:textId="77777777" w:rsidTr="00724081">
        <w:tc>
          <w:tcPr>
            <w:tcW w:w="927" w:type="pct"/>
            <w:shd w:val="clear" w:color="auto" w:fill="auto"/>
          </w:tcPr>
          <w:p w14:paraId="66D2B48C" w14:textId="77777777" w:rsidR="00645AD9" w:rsidRPr="006D52A9" w:rsidRDefault="00645AD9" w:rsidP="00797098">
            <w:pPr>
              <w:pStyle w:val="Tabletext"/>
            </w:pPr>
          </w:p>
        </w:tc>
        <w:tc>
          <w:tcPr>
            <w:tcW w:w="1962" w:type="pct"/>
            <w:shd w:val="clear" w:color="auto" w:fill="auto"/>
          </w:tcPr>
          <w:p w14:paraId="3C655E50" w14:textId="77777777" w:rsidR="00645AD9" w:rsidRPr="006D52A9" w:rsidRDefault="00645AD9" w:rsidP="00797098">
            <w:pPr>
              <w:pStyle w:val="Tabletext"/>
            </w:pPr>
            <w:r w:rsidRPr="006D52A9">
              <w:t>C7046</w:t>
            </w:r>
          </w:p>
        </w:tc>
        <w:tc>
          <w:tcPr>
            <w:tcW w:w="1081" w:type="pct"/>
            <w:shd w:val="clear" w:color="auto" w:fill="auto"/>
          </w:tcPr>
          <w:p w14:paraId="17DFFBC8" w14:textId="77777777" w:rsidR="00645AD9" w:rsidRPr="006D52A9" w:rsidRDefault="00645AD9" w:rsidP="00797098">
            <w:pPr>
              <w:pStyle w:val="Tabletext"/>
            </w:pPr>
            <w:r w:rsidRPr="006D52A9">
              <w:t>2</w:t>
            </w:r>
          </w:p>
        </w:tc>
        <w:tc>
          <w:tcPr>
            <w:tcW w:w="1030" w:type="pct"/>
            <w:shd w:val="clear" w:color="auto" w:fill="auto"/>
          </w:tcPr>
          <w:p w14:paraId="06CADD89" w14:textId="77777777" w:rsidR="00645AD9" w:rsidRPr="006D52A9" w:rsidRDefault="00645AD9" w:rsidP="00797098">
            <w:pPr>
              <w:pStyle w:val="Tabletext"/>
            </w:pPr>
            <w:r w:rsidRPr="006D52A9">
              <w:t>5</w:t>
            </w:r>
          </w:p>
        </w:tc>
      </w:tr>
      <w:tr w:rsidR="00645AD9" w:rsidRPr="006D52A9" w14:paraId="7AF01381" w14:textId="77777777" w:rsidTr="00724081">
        <w:tc>
          <w:tcPr>
            <w:tcW w:w="927" w:type="pct"/>
            <w:shd w:val="clear" w:color="auto" w:fill="auto"/>
          </w:tcPr>
          <w:p w14:paraId="600DF112" w14:textId="77777777" w:rsidR="00645AD9" w:rsidRPr="006D52A9" w:rsidRDefault="00645AD9" w:rsidP="00797098">
            <w:pPr>
              <w:pStyle w:val="Tabletext"/>
            </w:pPr>
          </w:p>
        </w:tc>
        <w:tc>
          <w:tcPr>
            <w:tcW w:w="1962" w:type="pct"/>
            <w:shd w:val="clear" w:color="auto" w:fill="auto"/>
          </w:tcPr>
          <w:p w14:paraId="11E619C2" w14:textId="77777777" w:rsidR="00645AD9" w:rsidRPr="006D52A9" w:rsidRDefault="00645AD9" w:rsidP="00797098">
            <w:pPr>
              <w:pStyle w:val="Tabletext"/>
            </w:pPr>
            <w:r w:rsidRPr="006D52A9">
              <w:t>C10279, C10226</w:t>
            </w:r>
          </w:p>
        </w:tc>
        <w:tc>
          <w:tcPr>
            <w:tcW w:w="1081" w:type="pct"/>
            <w:shd w:val="clear" w:color="auto" w:fill="auto"/>
          </w:tcPr>
          <w:p w14:paraId="4376CF43" w14:textId="77777777" w:rsidR="00645AD9" w:rsidRPr="006D52A9" w:rsidRDefault="00645AD9" w:rsidP="00797098">
            <w:pPr>
              <w:pStyle w:val="Tabletext"/>
            </w:pPr>
            <w:r w:rsidRPr="006D52A9">
              <w:t>1</w:t>
            </w:r>
          </w:p>
        </w:tc>
        <w:tc>
          <w:tcPr>
            <w:tcW w:w="1030" w:type="pct"/>
            <w:shd w:val="clear" w:color="auto" w:fill="auto"/>
          </w:tcPr>
          <w:p w14:paraId="3FFA287D" w14:textId="77777777" w:rsidR="00645AD9" w:rsidRPr="006D52A9" w:rsidRDefault="00645AD9" w:rsidP="00797098">
            <w:pPr>
              <w:pStyle w:val="Tabletext"/>
            </w:pPr>
            <w:r w:rsidRPr="006D52A9">
              <w:t>5</w:t>
            </w:r>
          </w:p>
        </w:tc>
      </w:tr>
      <w:tr w:rsidR="00645AD9" w:rsidRPr="006D52A9" w14:paraId="60B40F6A" w14:textId="77777777" w:rsidTr="00724081">
        <w:tc>
          <w:tcPr>
            <w:tcW w:w="927" w:type="pct"/>
            <w:shd w:val="clear" w:color="auto" w:fill="auto"/>
          </w:tcPr>
          <w:p w14:paraId="672942BB" w14:textId="77777777" w:rsidR="00645AD9" w:rsidRPr="006D52A9" w:rsidRDefault="00645AD9" w:rsidP="00797098">
            <w:pPr>
              <w:pStyle w:val="Tabletext"/>
            </w:pPr>
          </w:p>
        </w:tc>
        <w:tc>
          <w:tcPr>
            <w:tcW w:w="1962" w:type="pct"/>
            <w:shd w:val="clear" w:color="auto" w:fill="auto"/>
          </w:tcPr>
          <w:p w14:paraId="34F1FE57" w14:textId="77777777" w:rsidR="00645AD9" w:rsidRPr="006D52A9" w:rsidRDefault="00645AD9" w:rsidP="00797098">
            <w:pPr>
              <w:pStyle w:val="Tabletext"/>
            </w:pPr>
            <w:r w:rsidRPr="006D52A9">
              <w:t>C10265, C10223</w:t>
            </w:r>
          </w:p>
        </w:tc>
        <w:tc>
          <w:tcPr>
            <w:tcW w:w="1081" w:type="pct"/>
            <w:shd w:val="clear" w:color="auto" w:fill="auto"/>
          </w:tcPr>
          <w:p w14:paraId="42B7137E" w14:textId="77777777" w:rsidR="00645AD9" w:rsidRPr="006D52A9" w:rsidRDefault="00645AD9" w:rsidP="00797098">
            <w:pPr>
              <w:pStyle w:val="Tabletext"/>
            </w:pPr>
            <w:r w:rsidRPr="006D52A9">
              <w:t>1</w:t>
            </w:r>
          </w:p>
        </w:tc>
        <w:tc>
          <w:tcPr>
            <w:tcW w:w="1030" w:type="pct"/>
            <w:shd w:val="clear" w:color="auto" w:fill="auto"/>
          </w:tcPr>
          <w:p w14:paraId="047391FB" w14:textId="77777777" w:rsidR="00645AD9" w:rsidRPr="006D52A9" w:rsidRDefault="00645AD9" w:rsidP="00797098">
            <w:pPr>
              <w:pStyle w:val="Tabletext"/>
            </w:pPr>
            <w:r w:rsidRPr="006D52A9">
              <w:t>6</w:t>
            </w:r>
          </w:p>
        </w:tc>
      </w:tr>
      <w:tr w:rsidR="00645AD9" w:rsidRPr="006D52A9" w14:paraId="475CAB12" w14:textId="77777777" w:rsidTr="00724081">
        <w:tc>
          <w:tcPr>
            <w:tcW w:w="927" w:type="pct"/>
            <w:shd w:val="clear" w:color="auto" w:fill="auto"/>
          </w:tcPr>
          <w:p w14:paraId="76C04F6A" w14:textId="77777777" w:rsidR="00645AD9" w:rsidRPr="006D52A9" w:rsidRDefault="00645AD9" w:rsidP="00797098">
            <w:pPr>
              <w:pStyle w:val="Tabletext"/>
            </w:pPr>
          </w:p>
        </w:tc>
        <w:tc>
          <w:tcPr>
            <w:tcW w:w="1962" w:type="pct"/>
            <w:shd w:val="clear" w:color="auto" w:fill="auto"/>
          </w:tcPr>
          <w:p w14:paraId="4AB383A7" w14:textId="77777777" w:rsidR="00645AD9" w:rsidRPr="006D52A9" w:rsidRDefault="00645AD9" w:rsidP="00797098">
            <w:pPr>
              <w:pStyle w:val="Tabletext"/>
            </w:pPr>
            <w:r w:rsidRPr="006D52A9">
              <w:t>C10219, C10299, C9855</w:t>
            </w:r>
          </w:p>
        </w:tc>
        <w:tc>
          <w:tcPr>
            <w:tcW w:w="1081" w:type="pct"/>
            <w:shd w:val="clear" w:color="auto" w:fill="auto"/>
          </w:tcPr>
          <w:p w14:paraId="63CE781B" w14:textId="77777777" w:rsidR="00645AD9" w:rsidRPr="006D52A9" w:rsidRDefault="00645AD9" w:rsidP="00797098">
            <w:pPr>
              <w:pStyle w:val="Tabletext"/>
            </w:pPr>
            <w:r w:rsidRPr="006D52A9">
              <w:t>1</w:t>
            </w:r>
          </w:p>
        </w:tc>
        <w:tc>
          <w:tcPr>
            <w:tcW w:w="1030" w:type="pct"/>
            <w:shd w:val="clear" w:color="auto" w:fill="auto"/>
          </w:tcPr>
          <w:p w14:paraId="02E286DE" w14:textId="77777777" w:rsidR="00645AD9" w:rsidRPr="006D52A9" w:rsidRDefault="00645AD9" w:rsidP="00797098">
            <w:pPr>
              <w:pStyle w:val="Tabletext"/>
            </w:pPr>
            <w:r w:rsidRPr="006D52A9">
              <w:t>7</w:t>
            </w:r>
          </w:p>
        </w:tc>
      </w:tr>
      <w:tr w:rsidR="008938DA" w:rsidRPr="006D52A9" w14:paraId="20C2AEB5" w14:textId="77777777" w:rsidTr="00724081">
        <w:tc>
          <w:tcPr>
            <w:tcW w:w="927" w:type="pct"/>
            <w:shd w:val="clear" w:color="auto" w:fill="auto"/>
          </w:tcPr>
          <w:p w14:paraId="491BA2C3" w14:textId="77777777" w:rsidR="008938DA" w:rsidRPr="006D52A9" w:rsidRDefault="008938DA" w:rsidP="00797098">
            <w:pPr>
              <w:pStyle w:val="Tabletext"/>
            </w:pPr>
            <w:r w:rsidRPr="006D52A9">
              <w:t>Pasireotide</w:t>
            </w:r>
          </w:p>
        </w:tc>
        <w:tc>
          <w:tcPr>
            <w:tcW w:w="1962" w:type="pct"/>
            <w:shd w:val="clear" w:color="auto" w:fill="auto"/>
          </w:tcPr>
          <w:p w14:paraId="443FFFC9" w14:textId="77777777" w:rsidR="008938DA" w:rsidRPr="006D52A9" w:rsidRDefault="008938DA" w:rsidP="00797098">
            <w:pPr>
              <w:pStyle w:val="Tabletext"/>
            </w:pPr>
            <w:r w:rsidRPr="006D52A9">
              <w:t>C9088, C9089</w:t>
            </w:r>
          </w:p>
        </w:tc>
        <w:tc>
          <w:tcPr>
            <w:tcW w:w="1081" w:type="pct"/>
            <w:shd w:val="clear" w:color="auto" w:fill="auto"/>
          </w:tcPr>
          <w:p w14:paraId="66449FE7" w14:textId="77777777" w:rsidR="008938DA" w:rsidRPr="006D52A9" w:rsidRDefault="008938DA" w:rsidP="00797098">
            <w:pPr>
              <w:pStyle w:val="Tabletext"/>
            </w:pPr>
            <w:r w:rsidRPr="006D52A9">
              <w:t>2</w:t>
            </w:r>
          </w:p>
        </w:tc>
        <w:tc>
          <w:tcPr>
            <w:tcW w:w="1030" w:type="pct"/>
            <w:shd w:val="clear" w:color="auto" w:fill="auto"/>
          </w:tcPr>
          <w:p w14:paraId="71B7519B" w14:textId="77777777" w:rsidR="008938DA" w:rsidRPr="006D52A9" w:rsidRDefault="008938DA" w:rsidP="00797098">
            <w:pPr>
              <w:pStyle w:val="Tabletext"/>
            </w:pPr>
            <w:r w:rsidRPr="006D52A9">
              <w:t>5</w:t>
            </w:r>
          </w:p>
        </w:tc>
      </w:tr>
      <w:tr w:rsidR="008938DA" w:rsidRPr="006D52A9" w14:paraId="6F992BAB" w14:textId="77777777" w:rsidTr="00724081">
        <w:tc>
          <w:tcPr>
            <w:tcW w:w="927" w:type="pct"/>
            <w:shd w:val="clear" w:color="auto" w:fill="auto"/>
          </w:tcPr>
          <w:p w14:paraId="67B511EB" w14:textId="77777777" w:rsidR="008938DA" w:rsidRPr="006D52A9" w:rsidRDefault="008938DA" w:rsidP="00797098">
            <w:pPr>
              <w:pStyle w:val="Tabletext"/>
            </w:pPr>
            <w:r w:rsidRPr="006D52A9">
              <w:t>Pegvisomant</w:t>
            </w:r>
          </w:p>
        </w:tc>
        <w:tc>
          <w:tcPr>
            <w:tcW w:w="1962" w:type="pct"/>
            <w:shd w:val="clear" w:color="auto" w:fill="auto"/>
          </w:tcPr>
          <w:p w14:paraId="287D5F1B" w14:textId="77777777" w:rsidR="008938DA" w:rsidRPr="006D52A9" w:rsidRDefault="008938DA" w:rsidP="00797098">
            <w:pPr>
              <w:pStyle w:val="Tabletext"/>
            </w:pPr>
            <w:r w:rsidRPr="006D52A9">
              <w:t>C7087, C9041</w:t>
            </w:r>
          </w:p>
        </w:tc>
        <w:tc>
          <w:tcPr>
            <w:tcW w:w="1081" w:type="pct"/>
            <w:shd w:val="clear" w:color="auto" w:fill="auto"/>
          </w:tcPr>
          <w:p w14:paraId="6CB65683" w14:textId="77777777" w:rsidR="008938DA" w:rsidRPr="006D52A9" w:rsidRDefault="008938DA" w:rsidP="00797098">
            <w:pPr>
              <w:pStyle w:val="Tabletext"/>
            </w:pPr>
            <w:r w:rsidRPr="006D52A9">
              <w:t>1</w:t>
            </w:r>
          </w:p>
        </w:tc>
        <w:tc>
          <w:tcPr>
            <w:tcW w:w="1030" w:type="pct"/>
            <w:shd w:val="clear" w:color="auto" w:fill="auto"/>
          </w:tcPr>
          <w:p w14:paraId="2A21D946" w14:textId="77777777" w:rsidR="008938DA" w:rsidRPr="006D52A9" w:rsidRDefault="008938DA" w:rsidP="00797098">
            <w:pPr>
              <w:pStyle w:val="Tabletext"/>
            </w:pPr>
            <w:r w:rsidRPr="006D52A9">
              <w:t>5</w:t>
            </w:r>
          </w:p>
        </w:tc>
      </w:tr>
      <w:tr w:rsidR="008938DA" w:rsidRPr="006D52A9" w14:paraId="09FEE5C8" w14:textId="77777777" w:rsidTr="00724081">
        <w:tc>
          <w:tcPr>
            <w:tcW w:w="927" w:type="pct"/>
            <w:shd w:val="clear" w:color="auto" w:fill="auto"/>
          </w:tcPr>
          <w:p w14:paraId="622D25C5" w14:textId="77777777" w:rsidR="008938DA" w:rsidRPr="006D52A9" w:rsidRDefault="008938DA" w:rsidP="00797098">
            <w:pPr>
              <w:pStyle w:val="Tabletext"/>
            </w:pPr>
            <w:r w:rsidRPr="006D52A9">
              <w:t>Riociguat</w:t>
            </w:r>
          </w:p>
        </w:tc>
        <w:tc>
          <w:tcPr>
            <w:tcW w:w="1962" w:type="pct"/>
            <w:shd w:val="clear" w:color="auto" w:fill="auto"/>
          </w:tcPr>
          <w:p w14:paraId="790EF112" w14:textId="77777777" w:rsidR="008938DA" w:rsidRPr="006D52A9" w:rsidRDefault="008938DA" w:rsidP="00797098">
            <w:pPr>
              <w:pStyle w:val="Tabletext"/>
            </w:pPr>
            <w:r w:rsidRPr="006D52A9">
              <w:t>C6664</w:t>
            </w:r>
          </w:p>
        </w:tc>
        <w:tc>
          <w:tcPr>
            <w:tcW w:w="1081" w:type="pct"/>
            <w:shd w:val="clear" w:color="auto" w:fill="auto"/>
          </w:tcPr>
          <w:p w14:paraId="4D433F11" w14:textId="77777777" w:rsidR="008938DA" w:rsidRPr="006D52A9" w:rsidRDefault="002B7A29" w:rsidP="00797098">
            <w:pPr>
              <w:pStyle w:val="Tabletext"/>
            </w:pPr>
            <w:r w:rsidRPr="006D52A9">
              <w:t xml:space="preserve">Sufficient for treatment for </w:t>
            </w:r>
            <w:r w:rsidR="008938DA" w:rsidRPr="006D52A9">
              <w:t>1 month</w:t>
            </w:r>
          </w:p>
        </w:tc>
        <w:tc>
          <w:tcPr>
            <w:tcW w:w="1030" w:type="pct"/>
            <w:shd w:val="clear" w:color="auto" w:fill="auto"/>
          </w:tcPr>
          <w:p w14:paraId="27D74F03" w14:textId="77777777" w:rsidR="008938DA" w:rsidRPr="006D52A9" w:rsidRDefault="008938DA" w:rsidP="00797098">
            <w:pPr>
              <w:pStyle w:val="Tabletext"/>
            </w:pPr>
            <w:r w:rsidRPr="006D52A9">
              <w:t>3</w:t>
            </w:r>
          </w:p>
        </w:tc>
      </w:tr>
      <w:tr w:rsidR="008938DA" w:rsidRPr="006D52A9" w14:paraId="10BC75FF" w14:textId="77777777" w:rsidTr="00724081">
        <w:tc>
          <w:tcPr>
            <w:tcW w:w="927" w:type="pct"/>
            <w:shd w:val="clear" w:color="auto" w:fill="auto"/>
          </w:tcPr>
          <w:p w14:paraId="12C1EC45" w14:textId="77777777" w:rsidR="008938DA" w:rsidRPr="006D52A9" w:rsidRDefault="008938DA" w:rsidP="00797098">
            <w:pPr>
              <w:pStyle w:val="Tabletext"/>
            </w:pPr>
          </w:p>
        </w:tc>
        <w:tc>
          <w:tcPr>
            <w:tcW w:w="1962" w:type="pct"/>
            <w:shd w:val="clear" w:color="auto" w:fill="auto"/>
          </w:tcPr>
          <w:p w14:paraId="3491D8E7" w14:textId="77777777" w:rsidR="008938DA" w:rsidRPr="006D52A9" w:rsidRDefault="008938DA" w:rsidP="00797098">
            <w:pPr>
              <w:pStyle w:val="Tabletext"/>
            </w:pPr>
            <w:r w:rsidRPr="006D52A9">
              <w:t>C10243, C10245</w:t>
            </w:r>
          </w:p>
        </w:tc>
        <w:tc>
          <w:tcPr>
            <w:tcW w:w="1081" w:type="pct"/>
            <w:shd w:val="clear" w:color="auto" w:fill="auto"/>
          </w:tcPr>
          <w:p w14:paraId="5A3AD47B" w14:textId="77777777" w:rsidR="008938DA" w:rsidRPr="006D52A9" w:rsidRDefault="002B7A29" w:rsidP="00797098">
            <w:pPr>
              <w:pStyle w:val="Tabletext"/>
            </w:pPr>
            <w:r w:rsidRPr="006D52A9">
              <w:t xml:space="preserve">Sufficient for treatment for </w:t>
            </w:r>
            <w:r w:rsidR="008938DA" w:rsidRPr="006D52A9">
              <w:t>1 month</w:t>
            </w:r>
          </w:p>
        </w:tc>
        <w:tc>
          <w:tcPr>
            <w:tcW w:w="1030" w:type="pct"/>
            <w:shd w:val="clear" w:color="auto" w:fill="auto"/>
          </w:tcPr>
          <w:p w14:paraId="1DF6663A" w14:textId="77777777" w:rsidR="008938DA" w:rsidRPr="006D52A9" w:rsidRDefault="008938DA" w:rsidP="00797098">
            <w:pPr>
              <w:pStyle w:val="Tabletext"/>
            </w:pPr>
            <w:r w:rsidRPr="006D52A9">
              <w:t>4</w:t>
            </w:r>
          </w:p>
        </w:tc>
      </w:tr>
      <w:tr w:rsidR="008938DA" w:rsidRPr="006D52A9" w14:paraId="2978D663" w14:textId="77777777" w:rsidTr="00724081">
        <w:tc>
          <w:tcPr>
            <w:tcW w:w="927" w:type="pct"/>
            <w:shd w:val="clear" w:color="auto" w:fill="auto"/>
          </w:tcPr>
          <w:p w14:paraId="29077095" w14:textId="77777777" w:rsidR="008938DA" w:rsidRPr="006D52A9" w:rsidRDefault="008938DA" w:rsidP="00797098">
            <w:pPr>
              <w:pStyle w:val="Tabletext"/>
            </w:pPr>
          </w:p>
        </w:tc>
        <w:tc>
          <w:tcPr>
            <w:tcW w:w="1962" w:type="pct"/>
            <w:shd w:val="clear" w:color="auto" w:fill="auto"/>
          </w:tcPr>
          <w:p w14:paraId="1D76DFC5" w14:textId="77777777" w:rsidR="008938DA" w:rsidRPr="006D52A9" w:rsidRDefault="008938DA" w:rsidP="00797098">
            <w:pPr>
              <w:pStyle w:val="Tabletext"/>
            </w:pPr>
            <w:r w:rsidRPr="006D52A9">
              <w:t>C6645, C10231, C7629</w:t>
            </w:r>
          </w:p>
        </w:tc>
        <w:tc>
          <w:tcPr>
            <w:tcW w:w="1081" w:type="pct"/>
            <w:shd w:val="clear" w:color="auto" w:fill="auto"/>
          </w:tcPr>
          <w:p w14:paraId="747341A9" w14:textId="77777777" w:rsidR="008938DA" w:rsidRPr="006D52A9" w:rsidRDefault="002B7A29" w:rsidP="00797098">
            <w:pPr>
              <w:pStyle w:val="Tabletext"/>
            </w:pPr>
            <w:r w:rsidRPr="006D52A9">
              <w:t xml:space="preserve">Sufficient for treatment for </w:t>
            </w:r>
            <w:r w:rsidR="008938DA" w:rsidRPr="006D52A9">
              <w:t>1 month</w:t>
            </w:r>
          </w:p>
        </w:tc>
        <w:tc>
          <w:tcPr>
            <w:tcW w:w="1030" w:type="pct"/>
            <w:shd w:val="clear" w:color="auto" w:fill="auto"/>
          </w:tcPr>
          <w:p w14:paraId="04AAD9F9" w14:textId="77777777" w:rsidR="008938DA" w:rsidRPr="006D52A9" w:rsidRDefault="008938DA" w:rsidP="00797098">
            <w:pPr>
              <w:pStyle w:val="Tabletext"/>
            </w:pPr>
            <w:r w:rsidRPr="006D52A9">
              <w:t>5</w:t>
            </w:r>
          </w:p>
        </w:tc>
      </w:tr>
      <w:tr w:rsidR="00A224EB" w:rsidRPr="006D52A9" w14:paraId="056F2B31" w14:textId="77777777" w:rsidTr="00724081">
        <w:tc>
          <w:tcPr>
            <w:tcW w:w="927" w:type="pct"/>
            <w:shd w:val="clear" w:color="auto" w:fill="auto"/>
          </w:tcPr>
          <w:p w14:paraId="1BC55EE5" w14:textId="77777777" w:rsidR="00A224EB" w:rsidRPr="006D52A9" w:rsidRDefault="00A224EB" w:rsidP="00797098">
            <w:pPr>
              <w:pStyle w:val="Tabletext"/>
            </w:pPr>
            <w:r w:rsidRPr="006D52A9">
              <w:t>Rituximab</w:t>
            </w:r>
          </w:p>
        </w:tc>
        <w:tc>
          <w:tcPr>
            <w:tcW w:w="1962" w:type="pct"/>
            <w:shd w:val="clear" w:color="auto" w:fill="auto"/>
          </w:tcPr>
          <w:p w14:paraId="7DD6433D" w14:textId="77777777" w:rsidR="00A224EB" w:rsidRPr="006D52A9" w:rsidRDefault="00A224EB" w:rsidP="00797098">
            <w:pPr>
              <w:pStyle w:val="Tabletext"/>
            </w:pPr>
            <w:r w:rsidRPr="006D52A9">
              <w:t>C7021, C7022, C9344, C9511, C9512, C9448, C9449, C9450, C9340</w:t>
            </w:r>
          </w:p>
        </w:tc>
        <w:tc>
          <w:tcPr>
            <w:tcW w:w="1081" w:type="pct"/>
            <w:shd w:val="clear" w:color="auto" w:fill="auto"/>
          </w:tcPr>
          <w:p w14:paraId="1FDE8960" w14:textId="77777777" w:rsidR="00A224EB" w:rsidRPr="006D52A9" w:rsidRDefault="00A224EB" w:rsidP="00797098">
            <w:pPr>
              <w:pStyle w:val="Tabletext"/>
            </w:pPr>
            <w:r w:rsidRPr="006D52A9">
              <w:t>2 doses</w:t>
            </w:r>
          </w:p>
        </w:tc>
        <w:tc>
          <w:tcPr>
            <w:tcW w:w="1030" w:type="pct"/>
            <w:shd w:val="clear" w:color="auto" w:fill="auto"/>
          </w:tcPr>
          <w:p w14:paraId="3748F86C" w14:textId="77777777" w:rsidR="00A224EB" w:rsidRPr="006D52A9" w:rsidRDefault="00A224EB" w:rsidP="00797098">
            <w:pPr>
              <w:pStyle w:val="Tabletext"/>
            </w:pPr>
            <w:r w:rsidRPr="006D52A9">
              <w:t xml:space="preserve">Sufficient for treatment for 4 weeks </w:t>
            </w:r>
          </w:p>
        </w:tc>
      </w:tr>
      <w:tr w:rsidR="00A224EB" w:rsidRPr="006D52A9" w14:paraId="7D5ECFF6" w14:textId="77777777" w:rsidTr="00724081">
        <w:tc>
          <w:tcPr>
            <w:tcW w:w="927" w:type="pct"/>
            <w:shd w:val="clear" w:color="auto" w:fill="auto"/>
          </w:tcPr>
          <w:p w14:paraId="14D8B61E" w14:textId="77777777" w:rsidR="00A224EB" w:rsidRPr="006D52A9" w:rsidRDefault="00A224EB" w:rsidP="00797098">
            <w:pPr>
              <w:pStyle w:val="Tabletext"/>
            </w:pPr>
          </w:p>
        </w:tc>
        <w:tc>
          <w:tcPr>
            <w:tcW w:w="1962" w:type="pct"/>
            <w:shd w:val="clear" w:color="auto" w:fill="auto"/>
          </w:tcPr>
          <w:p w14:paraId="58CF6308" w14:textId="77777777" w:rsidR="00A224EB" w:rsidRPr="006D52A9" w:rsidRDefault="00A224EB" w:rsidP="00797098">
            <w:pPr>
              <w:pStyle w:val="Tabletext"/>
            </w:pPr>
            <w:r w:rsidRPr="006D52A9">
              <w:t>C9446, C9611</w:t>
            </w:r>
          </w:p>
        </w:tc>
        <w:tc>
          <w:tcPr>
            <w:tcW w:w="1081" w:type="pct"/>
            <w:shd w:val="clear" w:color="auto" w:fill="auto"/>
          </w:tcPr>
          <w:p w14:paraId="27170459" w14:textId="77777777" w:rsidR="00A224EB" w:rsidRPr="006D52A9" w:rsidRDefault="00A224EB" w:rsidP="00797098">
            <w:pPr>
              <w:pStyle w:val="Tabletext"/>
            </w:pPr>
            <w:r w:rsidRPr="006D52A9">
              <w:t>2 doses</w:t>
            </w:r>
          </w:p>
        </w:tc>
        <w:tc>
          <w:tcPr>
            <w:tcW w:w="1030" w:type="pct"/>
            <w:shd w:val="clear" w:color="auto" w:fill="auto"/>
          </w:tcPr>
          <w:p w14:paraId="390E8706" w14:textId="77777777" w:rsidR="00A224EB" w:rsidRPr="006D52A9" w:rsidRDefault="00A224EB" w:rsidP="00797098">
            <w:pPr>
              <w:pStyle w:val="Tabletext"/>
            </w:pPr>
            <w:r w:rsidRPr="006D52A9">
              <w:t>1</w:t>
            </w:r>
          </w:p>
        </w:tc>
      </w:tr>
      <w:tr w:rsidR="00A224EB" w:rsidRPr="006D52A9" w14:paraId="77F8D475" w14:textId="77777777" w:rsidTr="00724081">
        <w:tc>
          <w:tcPr>
            <w:tcW w:w="927" w:type="pct"/>
            <w:shd w:val="clear" w:color="auto" w:fill="auto"/>
          </w:tcPr>
          <w:p w14:paraId="395D07F4" w14:textId="77777777" w:rsidR="00A224EB" w:rsidRPr="006D52A9" w:rsidRDefault="00A224EB" w:rsidP="00797098">
            <w:pPr>
              <w:pStyle w:val="Tabletext"/>
            </w:pPr>
          </w:p>
        </w:tc>
        <w:tc>
          <w:tcPr>
            <w:tcW w:w="1962" w:type="pct"/>
            <w:shd w:val="clear" w:color="auto" w:fill="auto"/>
          </w:tcPr>
          <w:p w14:paraId="4106F195" w14:textId="77777777" w:rsidR="00A224EB" w:rsidRPr="006D52A9" w:rsidRDefault="00A224EB" w:rsidP="00797098">
            <w:pPr>
              <w:pStyle w:val="Tabletext"/>
            </w:pPr>
            <w:r w:rsidRPr="006D52A9">
              <w:t>C9336, C9539, C9641, C9640</w:t>
            </w:r>
          </w:p>
        </w:tc>
        <w:tc>
          <w:tcPr>
            <w:tcW w:w="1081" w:type="pct"/>
            <w:shd w:val="clear" w:color="auto" w:fill="auto"/>
          </w:tcPr>
          <w:p w14:paraId="426EC815" w14:textId="77777777" w:rsidR="00A224EB" w:rsidRPr="006D52A9" w:rsidRDefault="00A224EB" w:rsidP="00797098">
            <w:pPr>
              <w:pStyle w:val="Tabletext"/>
            </w:pPr>
            <w:r w:rsidRPr="006D52A9">
              <w:t>3 doses</w:t>
            </w:r>
          </w:p>
        </w:tc>
        <w:tc>
          <w:tcPr>
            <w:tcW w:w="1030" w:type="pct"/>
            <w:shd w:val="clear" w:color="auto" w:fill="auto"/>
          </w:tcPr>
          <w:p w14:paraId="2EFE9723" w14:textId="77777777" w:rsidR="00A224EB" w:rsidRPr="006D52A9" w:rsidRDefault="00A224EB" w:rsidP="00797098">
            <w:pPr>
              <w:pStyle w:val="Tabletext"/>
            </w:pPr>
            <w:r w:rsidRPr="006D52A9">
              <w:t>5</w:t>
            </w:r>
          </w:p>
        </w:tc>
      </w:tr>
      <w:tr w:rsidR="004C774F" w:rsidRPr="006D52A9" w14:paraId="7FBB917E" w14:textId="77777777" w:rsidTr="00724081">
        <w:tc>
          <w:tcPr>
            <w:tcW w:w="927" w:type="pct"/>
            <w:shd w:val="clear" w:color="auto" w:fill="auto"/>
          </w:tcPr>
          <w:p w14:paraId="1FFB75EE" w14:textId="77777777" w:rsidR="004C774F" w:rsidRPr="006D52A9" w:rsidRDefault="004C774F" w:rsidP="00797098">
            <w:pPr>
              <w:pStyle w:val="Tabletext"/>
            </w:pPr>
            <w:r w:rsidRPr="006D52A9">
              <w:t>Romiplostim</w:t>
            </w:r>
          </w:p>
        </w:tc>
        <w:tc>
          <w:tcPr>
            <w:tcW w:w="1962" w:type="pct"/>
            <w:shd w:val="clear" w:color="auto" w:fill="auto"/>
          </w:tcPr>
          <w:p w14:paraId="0CE7F4D2" w14:textId="77777777" w:rsidR="004C774F" w:rsidRPr="006D52A9" w:rsidRDefault="004C774F" w:rsidP="00797098">
            <w:pPr>
              <w:pStyle w:val="Tabletext"/>
            </w:pPr>
            <w:r w:rsidRPr="006D52A9">
              <w:t>C11205, C11266</w:t>
            </w:r>
          </w:p>
        </w:tc>
        <w:tc>
          <w:tcPr>
            <w:tcW w:w="1081" w:type="pct"/>
            <w:shd w:val="clear" w:color="auto" w:fill="auto"/>
          </w:tcPr>
          <w:p w14:paraId="39A7C919" w14:textId="77777777" w:rsidR="004C774F" w:rsidRPr="006D52A9" w:rsidRDefault="004C774F" w:rsidP="00797098">
            <w:pPr>
              <w:pStyle w:val="Tabletext"/>
            </w:pPr>
            <w:r w:rsidRPr="006D52A9">
              <w:t>1 dose</w:t>
            </w:r>
          </w:p>
        </w:tc>
        <w:tc>
          <w:tcPr>
            <w:tcW w:w="1030" w:type="pct"/>
            <w:shd w:val="clear" w:color="auto" w:fill="auto"/>
          </w:tcPr>
          <w:p w14:paraId="74DA8F62" w14:textId="77777777" w:rsidR="004C774F" w:rsidRPr="006D52A9" w:rsidRDefault="004C774F" w:rsidP="00797098">
            <w:pPr>
              <w:pStyle w:val="Tabletext"/>
            </w:pPr>
            <w:r w:rsidRPr="006D52A9">
              <w:t>4</w:t>
            </w:r>
          </w:p>
        </w:tc>
      </w:tr>
      <w:tr w:rsidR="004C774F" w:rsidRPr="006D52A9" w14:paraId="0EAAE689" w14:textId="77777777" w:rsidTr="00724081">
        <w:tc>
          <w:tcPr>
            <w:tcW w:w="927" w:type="pct"/>
            <w:shd w:val="clear" w:color="auto" w:fill="auto"/>
          </w:tcPr>
          <w:p w14:paraId="59C98861" w14:textId="77777777" w:rsidR="004C774F" w:rsidRPr="006D52A9" w:rsidRDefault="004C774F" w:rsidP="00797098">
            <w:pPr>
              <w:pStyle w:val="Tabletext"/>
            </w:pPr>
          </w:p>
        </w:tc>
        <w:tc>
          <w:tcPr>
            <w:tcW w:w="1962" w:type="pct"/>
            <w:shd w:val="clear" w:color="auto" w:fill="auto"/>
          </w:tcPr>
          <w:p w14:paraId="2381E9F3" w14:textId="77777777" w:rsidR="004C774F" w:rsidRPr="006D52A9" w:rsidRDefault="004C774F" w:rsidP="00797098">
            <w:pPr>
              <w:pStyle w:val="Tabletext"/>
            </w:pPr>
            <w:r w:rsidRPr="006D52A9">
              <w:t>C11267, C11289, C11246</w:t>
            </w:r>
          </w:p>
        </w:tc>
        <w:tc>
          <w:tcPr>
            <w:tcW w:w="1081" w:type="pct"/>
            <w:shd w:val="clear" w:color="auto" w:fill="auto"/>
          </w:tcPr>
          <w:p w14:paraId="49F8DAA8" w14:textId="77777777" w:rsidR="004C774F" w:rsidRPr="006D52A9" w:rsidRDefault="004C774F" w:rsidP="00797098">
            <w:pPr>
              <w:pStyle w:val="Tabletext"/>
            </w:pPr>
            <w:r w:rsidRPr="006D52A9">
              <w:t>1 dose</w:t>
            </w:r>
          </w:p>
        </w:tc>
        <w:tc>
          <w:tcPr>
            <w:tcW w:w="1030" w:type="pct"/>
            <w:shd w:val="clear" w:color="auto" w:fill="auto"/>
          </w:tcPr>
          <w:p w14:paraId="6AE92E87" w14:textId="77777777" w:rsidR="004C774F" w:rsidRPr="006D52A9" w:rsidRDefault="004C774F" w:rsidP="00797098">
            <w:pPr>
              <w:pStyle w:val="Tabletext"/>
            </w:pPr>
            <w:r w:rsidRPr="006D52A9">
              <w:t>5</w:t>
            </w:r>
          </w:p>
        </w:tc>
      </w:tr>
      <w:tr w:rsidR="004C774F" w:rsidRPr="006D52A9" w14:paraId="017A30B6" w14:textId="77777777" w:rsidTr="00724081">
        <w:tc>
          <w:tcPr>
            <w:tcW w:w="927" w:type="pct"/>
            <w:shd w:val="clear" w:color="auto" w:fill="auto"/>
          </w:tcPr>
          <w:p w14:paraId="4D5AC20D" w14:textId="77777777" w:rsidR="004C774F" w:rsidRPr="006D52A9" w:rsidRDefault="004C774F" w:rsidP="00797098">
            <w:pPr>
              <w:pStyle w:val="Tabletext"/>
            </w:pPr>
            <w:r w:rsidRPr="006D52A9">
              <w:t>Sildenafil</w:t>
            </w:r>
          </w:p>
        </w:tc>
        <w:tc>
          <w:tcPr>
            <w:tcW w:w="1962" w:type="pct"/>
            <w:shd w:val="clear" w:color="auto" w:fill="auto"/>
          </w:tcPr>
          <w:p w14:paraId="2DD353FA" w14:textId="77777777" w:rsidR="004C774F" w:rsidRPr="006D52A9" w:rsidRDefault="004C774F" w:rsidP="00797098">
            <w:pPr>
              <w:pStyle w:val="Tabletext"/>
            </w:pPr>
            <w:r w:rsidRPr="006D52A9">
              <w:t>C10228, C11012, C11020, C10998, C11045, C11032, C10304, C10234</w:t>
            </w:r>
          </w:p>
        </w:tc>
        <w:tc>
          <w:tcPr>
            <w:tcW w:w="1081" w:type="pct"/>
            <w:shd w:val="clear" w:color="auto" w:fill="auto"/>
          </w:tcPr>
          <w:p w14:paraId="1F495CD6" w14:textId="77777777" w:rsidR="004C774F" w:rsidRPr="006D52A9" w:rsidRDefault="002B7A29" w:rsidP="00797098">
            <w:pPr>
              <w:pStyle w:val="Tabletext"/>
            </w:pPr>
            <w:r w:rsidRPr="006D52A9">
              <w:t xml:space="preserve">Sufficient for treatment for </w:t>
            </w:r>
            <w:r w:rsidR="004C774F" w:rsidRPr="006D52A9">
              <w:t>1 month</w:t>
            </w:r>
          </w:p>
        </w:tc>
        <w:tc>
          <w:tcPr>
            <w:tcW w:w="1030" w:type="pct"/>
            <w:shd w:val="clear" w:color="auto" w:fill="auto"/>
          </w:tcPr>
          <w:p w14:paraId="5C7B4E5D" w14:textId="77777777" w:rsidR="004C774F" w:rsidRPr="006D52A9" w:rsidRDefault="004C774F" w:rsidP="00797098">
            <w:pPr>
              <w:pStyle w:val="Tabletext"/>
            </w:pPr>
            <w:r w:rsidRPr="006D52A9">
              <w:t>5</w:t>
            </w:r>
          </w:p>
        </w:tc>
      </w:tr>
      <w:tr w:rsidR="004C774F" w:rsidRPr="006D52A9" w14:paraId="6C8D9C11" w14:textId="77777777" w:rsidTr="00724081">
        <w:tc>
          <w:tcPr>
            <w:tcW w:w="927" w:type="pct"/>
            <w:shd w:val="clear" w:color="auto" w:fill="auto"/>
          </w:tcPr>
          <w:p w14:paraId="47AB714F" w14:textId="77777777" w:rsidR="004C774F" w:rsidRPr="006D52A9" w:rsidRDefault="004C774F" w:rsidP="00797098">
            <w:pPr>
              <w:pStyle w:val="Tabletext"/>
            </w:pPr>
            <w:r w:rsidRPr="006D52A9">
              <w:t>Tadalafil</w:t>
            </w:r>
          </w:p>
        </w:tc>
        <w:tc>
          <w:tcPr>
            <w:tcW w:w="1962" w:type="pct"/>
            <w:shd w:val="clear" w:color="auto" w:fill="auto"/>
          </w:tcPr>
          <w:p w14:paraId="1726D093" w14:textId="77777777" w:rsidR="004C774F" w:rsidRPr="006D52A9" w:rsidRDefault="004C774F" w:rsidP="00797098">
            <w:pPr>
              <w:pStyle w:val="Tabletext"/>
            </w:pPr>
            <w:r w:rsidRPr="006D52A9">
              <w:t>C10228, C11012, C11020, C10998, C11045, C11032, C10304, C10234</w:t>
            </w:r>
          </w:p>
        </w:tc>
        <w:tc>
          <w:tcPr>
            <w:tcW w:w="1081" w:type="pct"/>
            <w:shd w:val="clear" w:color="auto" w:fill="auto"/>
          </w:tcPr>
          <w:p w14:paraId="471C536B" w14:textId="77777777" w:rsidR="004C774F" w:rsidRPr="006D52A9" w:rsidRDefault="002B7A29" w:rsidP="00797098">
            <w:pPr>
              <w:pStyle w:val="Tabletext"/>
            </w:pPr>
            <w:r w:rsidRPr="006D52A9">
              <w:t xml:space="preserve">Sufficient for treatment for </w:t>
            </w:r>
            <w:r w:rsidR="004C774F" w:rsidRPr="006D52A9">
              <w:t>1 month</w:t>
            </w:r>
          </w:p>
        </w:tc>
        <w:tc>
          <w:tcPr>
            <w:tcW w:w="1030" w:type="pct"/>
            <w:shd w:val="clear" w:color="auto" w:fill="auto"/>
          </w:tcPr>
          <w:p w14:paraId="24B91CAB" w14:textId="77777777" w:rsidR="004C774F" w:rsidRPr="006D52A9" w:rsidRDefault="004C774F" w:rsidP="00797098">
            <w:pPr>
              <w:pStyle w:val="Tabletext"/>
            </w:pPr>
            <w:r w:rsidRPr="006D52A9">
              <w:t>5</w:t>
            </w:r>
          </w:p>
        </w:tc>
      </w:tr>
      <w:tr w:rsidR="004C774F" w:rsidRPr="006D52A9" w14:paraId="57716280" w14:textId="77777777" w:rsidTr="00724081">
        <w:tc>
          <w:tcPr>
            <w:tcW w:w="927" w:type="pct"/>
            <w:shd w:val="clear" w:color="auto" w:fill="auto"/>
          </w:tcPr>
          <w:p w14:paraId="0FA9311D" w14:textId="77777777" w:rsidR="004C774F" w:rsidRPr="006D52A9" w:rsidRDefault="004C774F" w:rsidP="00797098">
            <w:pPr>
              <w:pStyle w:val="Tabletext"/>
            </w:pPr>
            <w:r w:rsidRPr="006D52A9">
              <w:t>Tocilizumab</w:t>
            </w:r>
          </w:p>
        </w:tc>
        <w:tc>
          <w:tcPr>
            <w:tcW w:w="1962" w:type="pct"/>
            <w:shd w:val="clear" w:color="auto" w:fill="auto"/>
          </w:tcPr>
          <w:p w14:paraId="68CDDF9A" w14:textId="77777777" w:rsidR="004C774F" w:rsidRPr="006D52A9" w:rsidRDefault="004C774F" w:rsidP="00797098">
            <w:pPr>
              <w:pStyle w:val="Tabletext"/>
            </w:pPr>
            <w:r w:rsidRPr="006D52A9">
              <w:t>C8627, C8635, C8636, C8637, C8638, C8709, C9495, C10536, C10542 C9407, C9494, C9496, C10532, C10535, C10541, C10545, C10567, C10616 C9386, C9417, C10570, C9380, C10571</w:t>
            </w:r>
          </w:p>
        </w:tc>
        <w:tc>
          <w:tcPr>
            <w:tcW w:w="1081" w:type="pct"/>
            <w:shd w:val="clear" w:color="auto" w:fill="auto"/>
          </w:tcPr>
          <w:p w14:paraId="3D080E62" w14:textId="77777777" w:rsidR="004C774F" w:rsidRPr="006D52A9" w:rsidRDefault="004C774F" w:rsidP="00797098">
            <w:pPr>
              <w:pStyle w:val="Tabletext"/>
            </w:pPr>
            <w:r w:rsidRPr="006D52A9">
              <w:t>1 dose</w:t>
            </w:r>
          </w:p>
        </w:tc>
        <w:tc>
          <w:tcPr>
            <w:tcW w:w="1030" w:type="pct"/>
            <w:shd w:val="clear" w:color="auto" w:fill="auto"/>
          </w:tcPr>
          <w:p w14:paraId="791C8D9B" w14:textId="77777777" w:rsidR="004C774F" w:rsidRPr="006D52A9" w:rsidRDefault="004C774F" w:rsidP="00797098">
            <w:pPr>
              <w:pStyle w:val="Tabletext"/>
            </w:pPr>
            <w:r w:rsidRPr="006D52A9">
              <w:t>5</w:t>
            </w:r>
          </w:p>
        </w:tc>
      </w:tr>
      <w:tr w:rsidR="004C774F" w:rsidRPr="006D52A9" w14:paraId="3594C585" w14:textId="77777777" w:rsidTr="00724081">
        <w:tc>
          <w:tcPr>
            <w:tcW w:w="927" w:type="pct"/>
            <w:shd w:val="clear" w:color="auto" w:fill="auto"/>
          </w:tcPr>
          <w:p w14:paraId="33DCB79F" w14:textId="77777777" w:rsidR="004C774F" w:rsidRPr="006D52A9" w:rsidRDefault="004C774F" w:rsidP="00797098">
            <w:pPr>
              <w:pStyle w:val="Tabletext"/>
            </w:pPr>
            <w:r w:rsidRPr="006D52A9">
              <w:t>Ustekinumab</w:t>
            </w:r>
          </w:p>
        </w:tc>
        <w:tc>
          <w:tcPr>
            <w:tcW w:w="1962" w:type="pct"/>
            <w:tcBorders>
              <w:bottom w:val="single" w:sz="2" w:space="0" w:color="000000"/>
            </w:tcBorders>
            <w:shd w:val="clear" w:color="auto" w:fill="auto"/>
          </w:tcPr>
          <w:p w14:paraId="357D108D" w14:textId="77777777" w:rsidR="004C774F" w:rsidRPr="006D52A9" w:rsidRDefault="004C774F" w:rsidP="00797098">
            <w:pPr>
              <w:pStyle w:val="Tabletext"/>
            </w:pPr>
            <w:r w:rsidRPr="006D52A9">
              <w:t>C9655, C9656, C9710</w:t>
            </w:r>
          </w:p>
        </w:tc>
        <w:tc>
          <w:tcPr>
            <w:tcW w:w="1081" w:type="pct"/>
            <w:shd w:val="clear" w:color="auto" w:fill="auto"/>
          </w:tcPr>
          <w:p w14:paraId="19F0B722" w14:textId="77777777" w:rsidR="004C774F" w:rsidRPr="006D52A9" w:rsidRDefault="004C774F" w:rsidP="00797098">
            <w:pPr>
              <w:pStyle w:val="Tabletext"/>
            </w:pPr>
            <w:r w:rsidRPr="006D52A9">
              <w:t xml:space="preserve">4 vials </w:t>
            </w:r>
            <w:r w:rsidR="0026100E">
              <w:noBreakHyphen/>
            </w:r>
            <w:r w:rsidRPr="006D52A9">
              <w:t xml:space="preserve"> 130</w:t>
            </w:r>
            <w:r w:rsidR="00724081" w:rsidRPr="006D52A9">
              <w:t xml:space="preserve"> </w:t>
            </w:r>
            <w:r w:rsidRPr="006D52A9">
              <w:t>mg each</w:t>
            </w:r>
          </w:p>
        </w:tc>
        <w:tc>
          <w:tcPr>
            <w:tcW w:w="1030" w:type="pct"/>
            <w:shd w:val="clear" w:color="auto" w:fill="auto"/>
          </w:tcPr>
          <w:p w14:paraId="42AE58E3" w14:textId="77777777" w:rsidR="004C774F" w:rsidRPr="006D52A9" w:rsidRDefault="004C774F" w:rsidP="00797098">
            <w:pPr>
              <w:pStyle w:val="Tabletext"/>
            </w:pPr>
            <w:r w:rsidRPr="006D52A9">
              <w:t>0</w:t>
            </w:r>
          </w:p>
        </w:tc>
      </w:tr>
      <w:tr w:rsidR="004C774F" w:rsidRPr="006D52A9" w14:paraId="6311182C" w14:textId="77777777" w:rsidTr="00724081">
        <w:tc>
          <w:tcPr>
            <w:tcW w:w="927" w:type="pct"/>
            <w:tcBorders>
              <w:bottom w:val="single" w:sz="2" w:space="0" w:color="000000"/>
            </w:tcBorders>
            <w:shd w:val="clear" w:color="auto" w:fill="auto"/>
          </w:tcPr>
          <w:p w14:paraId="276A5CFB" w14:textId="77777777" w:rsidR="004C774F" w:rsidRPr="006D52A9" w:rsidRDefault="004C774F" w:rsidP="00797098">
            <w:pPr>
              <w:pStyle w:val="Tabletext"/>
            </w:pPr>
            <w:r w:rsidRPr="006D52A9">
              <w:t>Vedolizumab</w:t>
            </w:r>
          </w:p>
        </w:tc>
        <w:tc>
          <w:tcPr>
            <w:tcW w:w="1962" w:type="pct"/>
            <w:tcBorders>
              <w:top w:val="single" w:sz="2" w:space="0" w:color="000000"/>
              <w:bottom w:val="single" w:sz="4" w:space="0" w:color="000000"/>
            </w:tcBorders>
            <w:shd w:val="clear" w:color="auto" w:fill="auto"/>
          </w:tcPr>
          <w:p w14:paraId="367DBE9C" w14:textId="77777777" w:rsidR="004C774F" w:rsidRPr="006D52A9" w:rsidRDefault="004C774F" w:rsidP="00797098">
            <w:pPr>
              <w:pStyle w:val="Tabletext"/>
            </w:pPr>
            <w:r w:rsidRPr="006D52A9">
              <w:t>C9682, C9683, C9708, C9739, C9792, C9796, C9815, C9825</w:t>
            </w:r>
          </w:p>
        </w:tc>
        <w:tc>
          <w:tcPr>
            <w:tcW w:w="1081" w:type="pct"/>
            <w:tcBorders>
              <w:bottom w:val="single" w:sz="2" w:space="0" w:color="000000"/>
            </w:tcBorders>
            <w:shd w:val="clear" w:color="auto" w:fill="auto"/>
          </w:tcPr>
          <w:p w14:paraId="11062DB5" w14:textId="77777777" w:rsidR="004C774F" w:rsidRPr="006D52A9" w:rsidRDefault="004C774F" w:rsidP="00797098">
            <w:pPr>
              <w:pStyle w:val="Tabletext"/>
            </w:pPr>
            <w:r w:rsidRPr="006D52A9">
              <w:t>1</w:t>
            </w:r>
          </w:p>
        </w:tc>
        <w:tc>
          <w:tcPr>
            <w:tcW w:w="1030" w:type="pct"/>
            <w:tcBorders>
              <w:bottom w:val="single" w:sz="2" w:space="0" w:color="000000"/>
            </w:tcBorders>
            <w:shd w:val="clear" w:color="auto" w:fill="auto"/>
          </w:tcPr>
          <w:p w14:paraId="351433B9" w14:textId="77777777" w:rsidR="004C774F" w:rsidRPr="006D52A9" w:rsidRDefault="004C774F" w:rsidP="00797098">
            <w:pPr>
              <w:pStyle w:val="Tabletext"/>
            </w:pPr>
            <w:r w:rsidRPr="006D52A9">
              <w:t>2</w:t>
            </w:r>
          </w:p>
        </w:tc>
      </w:tr>
      <w:tr w:rsidR="004C774F" w:rsidRPr="006D52A9" w14:paraId="517D5974" w14:textId="77777777" w:rsidTr="00724081">
        <w:tc>
          <w:tcPr>
            <w:tcW w:w="927" w:type="pct"/>
            <w:tcBorders>
              <w:top w:val="single" w:sz="2" w:space="0" w:color="000000"/>
              <w:bottom w:val="single" w:sz="12" w:space="0" w:color="000000"/>
            </w:tcBorders>
            <w:shd w:val="clear" w:color="auto" w:fill="auto"/>
          </w:tcPr>
          <w:p w14:paraId="21D93344" w14:textId="77777777" w:rsidR="004C774F" w:rsidRPr="006D52A9" w:rsidRDefault="004C774F" w:rsidP="00797098">
            <w:pPr>
              <w:pStyle w:val="Tabletext"/>
            </w:pPr>
          </w:p>
        </w:tc>
        <w:tc>
          <w:tcPr>
            <w:tcW w:w="1962" w:type="pct"/>
            <w:tcBorders>
              <w:top w:val="single" w:sz="4" w:space="0" w:color="000000"/>
              <w:bottom w:val="single" w:sz="12" w:space="0" w:color="000000"/>
            </w:tcBorders>
            <w:shd w:val="clear" w:color="auto" w:fill="auto"/>
          </w:tcPr>
          <w:p w14:paraId="24908508" w14:textId="77777777" w:rsidR="004C774F" w:rsidRPr="006D52A9" w:rsidRDefault="004C774F" w:rsidP="00797098">
            <w:pPr>
              <w:pStyle w:val="Tabletext"/>
            </w:pPr>
            <w:r w:rsidRPr="006D52A9">
              <w:t>C9738, C9771</w:t>
            </w:r>
          </w:p>
        </w:tc>
        <w:tc>
          <w:tcPr>
            <w:tcW w:w="1081" w:type="pct"/>
            <w:tcBorders>
              <w:top w:val="single" w:sz="2" w:space="0" w:color="000000"/>
              <w:bottom w:val="single" w:sz="12" w:space="0" w:color="000000"/>
            </w:tcBorders>
            <w:shd w:val="clear" w:color="auto" w:fill="auto"/>
          </w:tcPr>
          <w:p w14:paraId="574C48C4" w14:textId="77777777" w:rsidR="004C774F" w:rsidRPr="006D52A9" w:rsidRDefault="004C774F" w:rsidP="00797098">
            <w:pPr>
              <w:pStyle w:val="Tabletext"/>
            </w:pPr>
            <w:r w:rsidRPr="006D52A9">
              <w:t>1</w:t>
            </w:r>
          </w:p>
        </w:tc>
        <w:tc>
          <w:tcPr>
            <w:tcW w:w="1030" w:type="pct"/>
            <w:tcBorders>
              <w:top w:val="single" w:sz="2" w:space="0" w:color="000000"/>
              <w:bottom w:val="single" w:sz="12" w:space="0" w:color="000000"/>
            </w:tcBorders>
            <w:shd w:val="clear" w:color="auto" w:fill="auto"/>
          </w:tcPr>
          <w:p w14:paraId="24905E46" w14:textId="77777777" w:rsidR="004C774F" w:rsidRPr="006D52A9" w:rsidRDefault="004C774F" w:rsidP="00797098">
            <w:pPr>
              <w:pStyle w:val="Tabletext"/>
            </w:pPr>
            <w:r w:rsidRPr="006D52A9">
              <w:t xml:space="preserve">Sufficient for treatment for 24 weeks </w:t>
            </w:r>
          </w:p>
        </w:tc>
      </w:tr>
    </w:tbl>
    <w:p w14:paraId="50DD8F8E" w14:textId="77777777" w:rsidR="00BC57AC" w:rsidRPr="006D52A9" w:rsidRDefault="00BC57AC" w:rsidP="00BC57AC">
      <w:pPr>
        <w:pStyle w:val="Tabletext"/>
      </w:pPr>
    </w:p>
    <w:p w14:paraId="5ED92150" w14:textId="77777777" w:rsidR="00BF0C4F" w:rsidRPr="006D52A9" w:rsidRDefault="00BF0C4F" w:rsidP="00BF0C4F">
      <w:pPr>
        <w:sectPr w:rsidR="00BF0C4F" w:rsidRPr="006D52A9" w:rsidSect="00C71894">
          <w:headerReference w:type="even" r:id="rId30"/>
          <w:headerReference w:type="default" r:id="rId31"/>
          <w:footerReference w:type="even" r:id="rId32"/>
          <w:footerReference w:type="default" r:id="rId33"/>
          <w:headerReference w:type="first" r:id="rId34"/>
          <w:footerReference w:type="first" r:id="rId35"/>
          <w:pgSz w:w="11907" w:h="16839"/>
          <w:pgMar w:top="1667" w:right="1797" w:bottom="1440" w:left="1797" w:header="720" w:footer="709" w:gutter="0"/>
          <w:cols w:space="708"/>
          <w:docGrid w:linePitch="360"/>
        </w:sectPr>
      </w:pPr>
    </w:p>
    <w:p w14:paraId="4ADFD506" w14:textId="77777777" w:rsidR="008D0F8C" w:rsidRPr="006D52A9" w:rsidRDefault="006D52A9" w:rsidP="008D0F8C">
      <w:pPr>
        <w:pStyle w:val="ActHead1"/>
        <w:pageBreakBefore/>
      </w:pPr>
      <w:bookmarkStart w:id="58" w:name="_Toc66968150"/>
      <w:r w:rsidRPr="00A757E4">
        <w:rPr>
          <w:rStyle w:val="CharChapNo"/>
        </w:rPr>
        <w:lastRenderedPageBreak/>
        <w:t>Schedule 3</w:t>
      </w:r>
      <w:r w:rsidR="008D0F8C" w:rsidRPr="006D52A9">
        <w:t>—</w:t>
      </w:r>
      <w:r w:rsidR="008D0F8C" w:rsidRPr="00A757E4">
        <w:rPr>
          <w:rStyle w:val="CharChapText"/>
        </w:rPr>
        <w:t>Circumstances and purposes</w:t>
      </w:r>
      <w:bookmarkEnd w:id="58"/>
    </w:p>
    <w:p w14:paraId="07FC34A7" w14:textId="77777777" w:rsidR="008D0F8C" w:rsidRPr="00A757E4" w:rsidRDefault="008D0F8C" w:rsidP="008D0F8C">
      <w:pPr>
        <w:pStyle w:val="Header"/>
      </w:pPr>
      <w:r w:rsidRPr="00A757E4">
        <w:rPr>
          <w:rStyle w:val="CharPartNo"/>
        </w:rPr>
        <w:t xml:space="preserve"> </w:t>
      </w:r>
      <w:r w:rsidRPr="00A757E4">
        <w:rPr>
          <w:rStyle w:val="CharPartText"/>
        </w:rPr>
        <w:t xml:space="preserve"> </w:t>
      </w:r>
    </w:p>
    <w:p w14:paraId="717CAC9A" w14:textId="77777777" w:rsidR="008D0F8C" w:rsidRPr="00A757E4" w:rsidRDefault="008D0F8C" w:rsidP="008D0F8C">
      <w:pPr>
        <w:pStyle w:val="Header"/>
      </w:pPr>
      <w:r w:rsidRPr="00A757E4">
        <w:rPr>
          <w:rStyle w:val="CharDivNo"/>
        </w:rPr>
        <w:t xml:space="preserve"> </w:t>
      </w:r>
      <w:r w:rsidRPr="00A757E4">
        <w:rPr>
          <w:rStyle w:val="CharDivText"/>
        </w:rPr>
        <w:t xml:space="preserve"> </w:t>
      </w:r>
    </w:p>
    <w:p w14:paraId="56F68A27" w14:textId="77777777" w:rsidR="008D0F8C" w:rsidRPr="006D52A9" w:rsidRDefault="008D0F8C" w:rsidP="00477B07">
      <w:pPr>
        <w:pStyle w:val="notemargin"/>
      </w:pPr>
      <w:r w:rsidRPr="006D52A9">
        <w:t>Note:</w:t>
      </w:r>
      <w:r w:rsidRPr="006D52A9">
        <w:tab/>
        <w:t xml:space="preserve">See </w:t>
      </w:r>
      <w:r w:rsidR="00D66D59">
        <w:t>sections 1</w:t>
      </w:r>
      <w:r w:rsidRPr="006D52A9">
        <w:t>3, 15, 16, 20 and 21.</w:t>
      </w:r>
    </w:p>
    <w:p w14:paraId="4B1EDDE6" w14:textId="77777777" w:rsidR="0057435B" w:rsidRPr="006D52A9" w:rsidRDefault="0057435B" w:rsidP="0057435B">
      <w:pPr>
        <w:pStyle w:val="ActHead5"/>
      </w:pPr>
      <w:bookmarkStart w:id="59" w:name="_Toc66968151"/>
      <w:r w:rsidRPr="00A757E4">
        <w:rPr>
          <w:rStyle w:val="CharSectno"/>
        </w:rPr>
        <w:t>1</w:t>
      </w:r>
      <w:r w:rsidRPr="006D52A9">
        <w:t xml:space="preserve">  Circumstances and purposes</w:t>
      </w:r>
      <w:bookmarkEnd w:id="59"/>
    </w:p>
    <w:p w14:paraId="7A339153" w14:textId="77777777" w:rsidR="009C3BEF" w:rsidRPr="006D52A9" w:rsidRDefault="009C3BEF" w:rsidP="009C3BEF">
      <w:pPr>
        <w:pStyle w:val="subsection"/>
      </w:pPr>
      <w:r w:rsidRPr="006D52A9">
        <w:tab/>
      </w:r>
      <w:r w:rsidRPr="006D52A9">
        <w:tab/>
        <w:t>The following table sets out circumstances and purposes</w:t>
      </w:r>
      <w:r w:rsidR="00194B0E" w:rsidRPr="006D52A9">
        <w:t xml:space="preserve"> for circumstances codes and purposes codes.</w:t>
      </w:r>
    </w:p>
    <w:p w14:paraId="275B1603" w14:textId="77777777" w:rsidR="008F47B8" w:rsidRPr="006D52A9" w:rsidRDefault="008F47B8" w:rsidP="008F47B8">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51"/>
        <w:gridCol w:w="1204"/>
        <w:gridCol w:w="786"/>
        <w:gridCol w:w="7458"/>
        <w:gridCol w:w="2302"/>
      </w:tblGrid>
      <w:tr w:rsidR="008F47B8" w:rsidRPr="006D52A9" w14:paraId="6897D3A9" w14:textId="77777777" w:rsidTr="008B1571">
        <w:trPr>
          <w:cantSplit/>
          <w:trHeight w:val="799"/>
          <w:tblHeader/>
        </w:trPr>
        <w:tc>
          <w:tcPr>
            <w:tcW w:w="647" w:type="pct"/>
            <w:tcBorders>
              <w:top w:val="single" w:sz="12" w:space="0" w:color="auto"/>
              <w:bottom w:val="single" w:sz="12" w:space="0" w:color="auto"/>
            </w:tcBorders>
          </w:tcPr>
          <w:p w14:paraId="6C684A7A" w14:textId="77777777" w:rsidR="008F47B8" w:rsidRPr="006D52A9" w:rsidRDefault="008F47B8" w:rsidP="008B1571">
            <w:pPr>
              <w:rPr>
                <w:rFonts w:ascii="Arial" w:hAnsi="Arial" w:cs="Arial"/>
                <w:b/>
                <w:sz w:val="16"/>
                <w:szCs w:val="16"/>
              </w:rPr>
            </w:pPr>
            <w:r w:rsidRPr="006D52A9">
              <w:rPr>
                <w:rFonts w:ascii="Arial" w:hAnsi="Arial" w:cs="Arial"/>
                <w:b/>
                <w:sz w:val="16"/>
                <w:szCs w:val="16"/>
              </w:rPr>
              <w:t>Listed Drug</w:t>
            </w:r>
          </w:p>
        </w:tc>
        <w:tc>
          <w:tcPr>
            <w:tcW w:w="283" w:type="pct"/>
            <w:tcBorders>
              <w:top w:val="single" w:sz="12" w:space="0" w:color="auto"/>
              <w:bottom w:val="single" w:sz="12" w:space="0" w:color="auto"/>
            </w:tcBorders>
          </w:tcPr>
          <w:p w14:paraId="77FE1EE8" w14:textId="77777777" w:rsidR="008F47B8" w:rsidRPr="006D52A9" w:rsidRDefault="008F47B8" w:rsidP="008B1571">
            <w:pPr>
              <w:rPr>
                <w:rFonts w:ascii="Arial" w:hAnsi="Arial" w:cs="Arial"/>
                <w:b/>
                <w:sz w:val="16"/>
                <w:szCs w:val="16"/>
              </w:rPr>
            </w:pPr>
            <w:r w:rsidRPr="006D52A9">
              <w:rPr>
                <w:rFonts w:ascii="Arial" w:hAnsi="Arial" w:cs="Arial"/>
                <w:b/>
                <w:sz w:val="16"/>
                <w:szCs w:val="16"/>
              </w:rPr>
              <w:t>Circumstances Code</w:t>
            </w:r>
          </w:p>
        </w:tc>
        <w:tc>
          <w:tcPr>
            <w:tcW w:w="274" w:type="pct"/>
            <w:tcBorders>
              <w:top w:val="single" w:sz="12" w:space="0" w:color="auto"/>
              <w:bottom w:val="single" w:sz="12" w:space="0" w:color="auto"/>
            </w:tcBorders>
          </w:tcPr>
          <w:p w14:paraId="6AF49C65" w14:textId="77777777" w:rsidR="008F47B8" w:rsidRPr="006D52A9" w:rsidRDefault="008F47B8" w:rsidP="008B1571">
            <w:pPr>
              <w:rPr>
                <w:rFonts w:ascii="Arial" w:hAnsi="Arial" w:cs="Arial"/>
                <w:b/>
                <w:sz w:val="16"/>
                <w:szCs w:val="16"/>
              </w:rPr>
            </w:pPr>
            <w:r w:rsidRPr="006D52A9">
              <w:rPr>
                <w:rFonts w:ascii="Arial" w:hAnsi="Arial" w:cs="Arial"/>
                <w:b/>
                <w:sz w:val="16"/>
                <w:szCs w:val="16"/>
              </w:rPr>
              <w:t>Purposes Code</w:t>
            </w:r>
          </w:p>
        </w:tc>
        <w:tc>
          <w:tcPr>
            <w:tcW w:w="2867" w:type="pct"/>
            <w:tcBorders>
              <w:top w:val="single" w:sz="12" w:space="0" w:color="auto"/>
              <w:bottom w:val="single" w:sz="12" w:space="0" w:color="auto"/>
            </w:tcBorders>
          </w:tcPr>
          <w:p w14:paraId="4520C11B" w14:textId="77777777" w:rsidR="008F47B8" w:rsidRPr="006D52A9" w:rsidRDefault="008F47B8" w:rsidP="00FB6D2D">
            <w:pPr>
              <w:rPr>
                <w:rFonts w:ascii="Arial" w:hAnsi="Arial" w:cs="Arial"/>
                <w:b/>
                <w:sz w:val="16"/>
                <w:szCs w:val="16"/>
              </w:rPr>
            </w:pPr>
            <w:r w:rsidRPr="006D52A9">
              <w:rPr>
                <w:rFonts w:ascii="Arial" w:hAnsi="Arial" w:cs="Arial"/>
                <w:b/>
                <w:sz w:val="16"/>
                <w:szCs w:val="16"/>
              </w:rPr>
              <w:t>Circumstances and Purposes</w:t>
            </w:r>
          </w:p>
        </w:tc>
        <w:tc>
          <w:tcPr>
            <w:tcW w:w="929" w:type="pct"/>
            <w:tcBorders>
              <w:top w:val="single" w:sz="12" w:space="0" w:color="auto"/>
              <w:bottom w:val="single" w:sz="12" w:space="0" w:color="auto"/>
            </w:tcBorders>
          </w:tcPr>
          <w:p w14:paraId="149D10BD" w14:textId="77777777" w:rsidR="008F47B8" w:rsidRPr="006D52A9" w:rsidRDefault="008B1571" w:rsidP="00FB6D2D">
            <w:pPr>
              <w:rPr>
                <w:rFonts w:ascii="Arial" w:hAnsi="Arial" w:cs="Arial"/>
                <w:b/>
                <w:sz w:val="16"/>
                <w:szCs w:val="16"/>
              </w:rPr>
            </w:pPr>
            <w:r w:rsidRPr="006D52A9">
              <w:rPr>
                <w:rFonts w:ascii="Arial" w:hAnsi="Arial" w:cs="Arial"/>
                <w:b/>
                <w:sz w:val="16"/>
                <w:szCs w:val="16"/>
              </w:rPr>
              <w:t>A</w:t>
            </w:r>
            <w:r w:rsidR="008F47B8" w:rsidRPr="006D52A9">
              <w:rPr>
                <w:rFonts w:ascii="Arial" w:hAnsi="Arial" w:cs="Arial"/>
                <w:b/>
                <w:sz w:val="16"/>
                <w:szCs w:val="16"/>
              </w:rPr>
              <w:t>uthority Requirements</w:t>
            </w:r>
            <w:r w:rsidRPr="006D52A9">
              <w:rPr>
                <w:rFonts w:ascii="Arial" w:hAnsi="Arial" w:cs="Arial"/>
                <w:b/>
                <w:sz w:val="16"/>
                <w:szCs w:val="16"/>
              </w:rPr>
              <w:t>—</w:t>
            </w:r>
            <w:r w:rsidR="008F47B8" w:rsidRPr="006D52A9">
              <w:rPr>
                <w:rFonts w:ascii="Arial" w:hAnsi="Arial" w:cs="Arial"/>
                <w:b/>
                <w:sz w:val="16"/>
                <w:szCs w:val="16"/>
              </w:rPr>
              <w:t xml:space="preserve">Part of Circumstances </w:t>
            </w:r>
          </w:p>
        </w:tc>
      </w:tr>
      <w:tr w:rsidR="008F47B8" w:rsidRPr="006D52A9" w:rsidDel="00447DAD" w14:paraId="48F440D0" w14:textId="77777777" w:rsidTr="00FB6D2D">
        <w:tblPrEx>
          <w:tblLook w:val="01E0" w:firstRow="1" w:lastRow="1" w:firstColumn="1" w:lastColumn="1" w:noHBand="0" w:noVBand="0"/>
        </w:tblPrEx>
        <w:tc>
          <w:tcPr>
            <w:tcW w:w="647" w:type="pct"/>
            <w:tcMar>
              <w:top w:w="28" w:type="dxa"/>
              <w:left w:w="28" w:type="dxa"/>
            </w:tcMar>
          </w:tcPr>
          <w:p w14:paraId="239FF2A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Abacavir</w:t>
            </w:r>
          </w:p>
        </w:tc>
        <w:tc>
          <w:tcPr>
            <w:tcW w:w="283" w:type="pct"/>
            <w:tcMar>
              <w:top w:w="28" w:type="dxa"/>
              <w:left w:w="28" w:type="dxa"/>
            </w:tcMar>
          </w:tcPr>
          <w:p w14:paraId="4A2CDEF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tcMar>
              <w:top w:w="28" w:type="dxa"/>
              <w:left w:w="28" w:type="dxa"/>
            </w:tcMar>
          </w:tcPr>
          <w:p w14:paraId="36726B98" w14:textId="77777777" w:rsidR="008F47B8" w:rsidRPr="006D52A9" w:rsidDel="00447DAD" w:rsidRDefault="008F47B8" w:rsidP="00FB6D2D">
            <w:pPr>
              <w:spacing w:line="240" w:lineRule="auto"/>
              <w:rPr>
                <w:rFonts w:ascii="Arial" w:hAnsi="Arial" w:cs="Arial"/>
                <w:sz w:val="16"/>
                <w:szCs w:val="16"/>
              </w:rPr>
            </w:pPr>
          </w:p>
        </w:tc>
        <w:tc>
          <w:tcPr>
            <w:tcW w:w="2867" w:type="pct"/>
            <w:tcMar>
              <w:top w:w="28" w:type="dxa"/>
              <w:left w:w="28" w:type="dxa"/>
            </w:tcMar>
          </w:tcPr>
          <w:p w14:paraId="5E96731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4CCA477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tcMar>
              <w:top w:w="28" w:type="dxa"/>
              <w:left w:w="28" w:type="dxa"/>
              <w:right w:w="57" w:type="dxa"/>
            </w:tcMar>
          </w:tcPr>
          <w:p w14:paraId="07259C9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447DAD" w14:paraId="366751D1" w14:textId="77777777" w:rsidTr="00FB6D2D">
        <w:tblPrEx>
          <w:tblLook w:val="01E0" w:firstRow="1" w:lastRow="1" w:firstColumn="1" w:lastColumn="1" w:noHBand="0" w:noVBand="0"/>
        </w:tblPrEx>
        <w:tc>
          <w:tcPr>
            <w:tcW w:w="647" w:type="pct"/>
            <w:tcMar>
              <w:top w:w="28" w:type="dxa"/>
              <w:left w:w="28" w:type="dxa"/>
            </w:tcMar>
          </w:tcPr>
          <w:p w14:paraId="5D67591B"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60D2501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tcMar>
              <w:top w:w="28" w:type="dxa"/>
              <w:left w:w="28" w:type="dxa"/>
            </w:tcMar>
          </w:tcPr>
          <w:p w14:paraId="7F56DEFC" w14:textId="77777777" w:rsidR="008F47B8" w:rsidRPr="006D52A9" w:rsidDel="00447DAD" w:rsidRDefault="008F47B8" w:rsidP="00FB6D2D">
            <w:pPr>
              <w:spacing w:line="240" w:lineRule="auto"/>
              <w:rPr>
                <w:rFonts w:ascii="Arial" w:hAnsi="Arial" w:cs="Arial"/>
                <w:sz w:val="16"/>
                <w:szCs w:val="16"/>
              </w:rPr>
            </w:pPr>
          </w:p>
        </w:tc>
        <w:tc>
          <w:tcPr>
            <w:tcW w:w="2867" w:type="pct"/>
            <w:tcMar>
              <w:top w:w="28" w:type="dxa"/>
              <w:left w:w="28" w:type="dxa"/>
            </w:tcMar>
          </w:tcPr>
          <w:p w14:paraId="42B573F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462DAAE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tcMar>
              <w:top w:w="28" w:type="dxa"/>
              <w:left w:w="28" w:type="dxa"/>
              <w:right w:w="57" w:type="dxa"/>
            </w:tcMar>
          </w:tcPr>
          <w:p w14:paraId="6102759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8D548F" w14:paraId="7428A04D" w14:textId="77777777" w:rsidTr="00FB6D2D">
        <w:tblPrEx>
          <w:tblLook w:val="01E0" w:firstRow="1" w:lastRow="1" w:firstColumn="1" w:lastColumn="1" w:noHBand="0" w:noVBand="0"/>
        </w:tblPrEx>
        <w:tc>
          <w:tcPr>
            <w:tcW w:w="647" w:type="pct"/>
            <w:shd w:val="clear" w:color="auto" w:fill="auto"/>
            <w:tcMar>
              <w:top w:w="28" w:type="dxa"/>
              <w:left w:w="28" w:type="dxa"/>
            </w:tcMar>
          </w:tcPr>
          <w:p w14:paraId="34BA9ED6" w14:textId="77777777" w:rsidR="008F47B8" w:rsidRPr="006D52A9" w:rsidDel="008D548F" w:rsidRDefault="008F47B8" w:rsidP="00FB6D2D">
            <w:pPr>
              <w:spacing w:line="240" w:lineRule="auto"/>
              <w:rPr>
                <w:rFonts w:ascii="Arial" w:hAnsi="Arial" w:cs="Arial"/>
                <w:sz w:val="16"/>
                <w:szCs w:val="16"/>
              </w:rPr>
            </w:pPr>
            <w:bookmarkStart w:id="60" w:name="CU_5135775"/>
            <w:bookmarkEnd w:id="60"/>
            <w:r w:rsidRPr="006D52A9">
              <w:rPr>
                <w:rFonts w:ascii="Arial" w:hAnsi="Arial" w:cs="Arial"/>
                <w:sz w:val="16"/>
                <w:szCs w:val="16"/>
              </w:rPr>
              <w:t>Abacavir with Lamivudine</w:t>
            </w:r>
          </w:p>
        </w:tc>
        <w:tc>
          <w:tcPr>
            <w:tcW w:w="283" w:type="pct"/>
            <w:shd w:val="clear" w:color="auto" w:fill="auto"/>
            <w:tcMar>
              <w:top w:w="28" w:type="dxa"/>
              <w:left w:w="28" w:type="dxa"/>
            </w:tcMar>
          </w:tcPr>
          <w:p w14:paraId="766C3E66"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C4527</w:t>
            </w:r>
          </w:p>
        </w:tc>
        <w:tc>
          <w:tcPr>
            <w:tcW w:w="274" w:type="pct"/>
            <w:shd w:val="clear" w:color="auto" w:fill="auto"/>
            <w:tcMar>
              <w:top w:w="28" w:type="dxa"/>
              <w:left w:w="28" w:type="dxa"/>
            </w:tcMar>
          </w:tcPr>
          <w:p w14:paraId="31A2B3E9" w14:textId="77777777" w:rsidR="008F47B8" w:rsidRPr="006D52A9" w:rsidDel="008D548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49DCB80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338BC758"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r w:rsidRPr="006D52A9">
              <w:rPr>
                <w:rFonts w:ascii="Arial" w:hAnsi="Arial" w:cs="Arial"/>
                <w:sz w:val="16"/>
                <w:szCs w:val="16"/>
              </w:rPr>
              <w:br/>
              <w:t>Patient must be aged 12 years or older; AND</w:t>
            </w:r>
            <w:r w:rsidRPr="006D52A9">
              <w:rPr>
                <w:rFonts w:ascii="Arial" w:hAnsi="Arial" w:cs="Arial"/>
                <w:sz w:val="16"/>
                <w:szCs w:val="16"/>
              </w:rPr>
              <w:br/>
              <w:t>Patient must weigh 40 kg or more</w:t>
            </w:r>
          </w:p>
        </w:tc>
        <w:tc>
          <w:tcPr>
            <w:tcW w:w="929" w:type="pct"/>
            <w:shd w:val="clear" w:color="auto" w:fill="auto"/>
            <w:tcMar>
              <w:top w:w="28" w:type="dxa"/>
              <w:left w:w="28" w:type="dxa"/>
              <w:right w:w="57" w:type="dxa"/>
            </w:tcMar>
          </w:tcPr>
          <w:p w14:paraId="146B51AA"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4527</w:t>
            </w:r>
          </w:p>
        </w:tc>
      </w:tr>
      <w:tr w:rsidR="008F47B8" w:rsidRPr="006D52A9" w:rsidDel="008D548F" w14:paraId="2B395202" w14:textId="77777777" w:rsidTr="00FB6D2D">
        <w:tblPrEx>
          <w:tblLook w:val="01E0" w:firstRow="1" w:lastRow="1" w:firstColumn="1" w:lastColumn="1" w:noHBand="0" w:noVBand="0"/>
        </w:tblPrEx>
        <w:tc>
          <w:tcPr>
            <w:tcW w:w="647" w:type="pct"/>
            <w:shd w:val="clear" w:color="auto" w:fill="auto"/>
            <w:tcMar>
              <w:top w:w="28" w:type="dxa"/>
              <w:left w:w="28" w:type="dxa"/>
            </w:tcMar>
          </w:tcPr>
          <w:p w14:paraId="559A96FE" w14:textId="77777777" w:rsidR="008F47B8" w:rsidRPr="006D52A9" w:rsidDel="008D548F"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269F7334"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C4528</w:t>
            </w:r>
          </w:p>
        </w:tc>
        <w:tc>
          <w:tcPr>
            <w:tcW w:w="274" w:type="pct"/>
            <w:shd w:val="clear" w:color="auto" w:fill="auto"/>
            <w:tcMar>
              <w:top w:w="28" w:type="dxa"/>
              <w:left w:w="28" w:type="dxa"/>
            </w:tcMar>
          </w:tcPr>
          <w:p w14:paraId="4E135F11" w14:textId="77777777" w:rsidR="008F47B8" w:rsidRPr="006D52A9" w:rsidDel="008D548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5832EC7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34A64A2D"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r w:rsidRPr="006D52A9">
              <w:rPr>
                <w:rFonts w:ascii="Arial" w:hAnsi="Arial" w:cs="Arial"/>
                <w:sz w:val="16"/>
                <w:szCs w:val="16"/>
              </w:rPr>
              <w:br/>
              <w:t>Patient must be aged 12 years or older; AND</w:t>
            </w:r>
            <w:r w:rsidRPr="006D52A9">
              <w:rPr>
                <w:rFonts w:ascii="Arial" w:hAnsi="Arial" w:cs="Arial"/>
                <w:sz w:val="16"/>
                <w:szCs w:val="16"/>
              </w:rPr>
              <w:br/>
              <w:t>Patient must weigh 40 kg or more</w:t>
            </w:r>
          </w:p>
        </w:tc>
        <w:tc>
          <w:tcPr>
            <w:tcW w:w="929" w:type="pct"/>
            <w:shd w:val="clear" w:color="auto" w:fill="auto"/>
            <w:tcMar>
              <w:top w:w="28" w:type="dxa"/>
              <w:left w:w="28" w:type="dxa"/>
              <w:right w:w="57" w:type="dxa"/>
            </w:tcMar>
          </w:tcPr>
          <w:p w14:paraId="6A787BFC" w14:textId="77777777" w:rsidR="008F47B8" w:rsidRPr="006D52A9" w:rsidDel="008D548F"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4528</w:t>
            </w:r>
          </w:p>
        </w:tc>
      </w:tr>
      <w:tr w:rsidR="008F47B8" w:rsidRPr="006D52A9" w:rsidDel="00A723BC" w14:paraId="21C0200F" w14:textId="77777777" w:rsidTr="00FB6D2D">
        <w:tblPrEx>
          <w:tblLook w:val="01E0" w:firstRow="1" w:lastRow="1" w:firstColumn="1" w:lastColumn="1" w:noHBand="0" w:noVBand="0"/>
        </w:tblPrEx>
        <w:tc>
          <w:tcPr>
            <w:tcW w:w="647" w:type="pct"/>
            <w:shd w:val="clear" w:color="auto" w:fill="auto"/>
            <w:tcMar>
              <w:top w:w="28" w:type="dxa"/>
              <w:left w:w="28" w:type="dxa"/>
            </w:tcMar>
          </w:tcPr>
          <w:p w14:paraId="510BD9F0" w14:textId="77777777" w:rsidR="008F47B8" w:rsidRPr="006D52A9" w:rsidDel="00A723BC" w:rsidRDefault="008F47B8" w:rsidP="00FB6D2D">
            <w:pPr>
              <w:spacing w:line="240" w:lineRule="auto"/>
              <w:rPr>
                <w:rFonts w:ascii="Arial" w:hAnsi="Arial" w:cs="Arial"/>
                <w:sz w:val="16"/>
                <w:szCs w:val="16"/>
              </w:rPr>
            </w:pPr>
            <w:bookmarkStart w:id="61" w:name="CU_9137400"/>
            <w:bookmarkStart w:id="62" w:name="CU_13138830"/>
            <w:bookmarkEnd w:id="61"/>
            <w:bookmarkEnd w:id="62"/>
            <w:r w:rsidRPr="006D52A9">
              <w:rPr>
                <w:rFonts w:ascii="Arial" w:hAnsi="Arial" w:cs="Arial"/>
                <w:sz w:val="16"/>
                <w:szCs w:val="16"/>
              </w:rPr>
              <w:t>Abacavir with Lamivudine and Zidovudine</w:t>
            </w:r>
          </w:p>
        </w:tc>
        <w:tc>
          <w:tcPr>
            <w:tcW w:w="283" w:type="pct"/>
            <w:shd w:val="clear" w:color="auto" w:fill="auto"/>
            <w:tcMar>
              <w:top w:w="28" w:type="dxa"/>
              <w:left w:w="28" w:type="dxa"/>
            </w:tcMar>
          </w:tcPr>
          <w:p w14:paraId="4EB4A367"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 xml:space="preserve">C4480 </w:t>
            </w:r>
          </w:p>
        </w:tc>
        <w:tc>
          <w:tcPr>
            <w:tcW w:w="274" w:type="pct"/>
            <w:shd w:val="clear" w:color="auto" w:fill="auto"/>
            <w:tcMar>
              <w:top w:w="28" w:type="dxa"/>
              <w:left w:w="28" w:type="dxa"/>
            </w:tcMar>
          </w:tcPr>
          <w:p w14:paraId="02ED90BF" w14:textId="77777777" w:rsidR="008F47B8" w:rsidRPr="006D52A9" w:rsidDel="00A723BC"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6ED6993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39BFFAA5"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r w:rsidRPr="006D52A9">
              <w:rPr>
                <w:rFonts w:ascii="Arial" w:hAnsi="Arial" w:cs="Arial"/>
                <w:sz w:val="16"/>
                <w:szCs w:val="16"/>
              </w:rPr>
              <w:br/>
              <w:t>Patient must be aged 12 years or older; AND</w:t>
            </w:r>
            <w:r w:rsidRPr="006D52A9">
              <w:rPr>
                <w:rFonts w:ascii="Arial" w:hAnsi="Arial" w:cs="Arial"/>
                <w:sz w:val="16"/>
                <w:szCs w:val="16"/>
              </w:rPr>
              <w:br/>
              <w:t>Patient must weigh 40 kg or more</w:t>
            </w:r>
          </w:p>
        </w:tc>
        <w:tc>
          <w:tcPr>
            <w:tcW w:w="929" w:type="pct"/>
            <w:shd w:val="clear" w:color="auto" w:fill="auto"/>
            <w:tcMar>
              <w:top w:w="28" w:type="dxa"/>
              <w:left w:w="28" w:type="dxa"/>
              <w:right w:w="57" w:type="dxa"/>
            </w:tcMar>
          </w:tcPr>
          <w:p w14:paraId="14FF5081"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4480</w:t>
            </w:r>
          </w:p>
        </w:tc>
      </w:tr>
      <w:tr w:rsidR="008F47B8" w:rsidRPr="006D52A9" w:rsidDel="00A723BC" w14:paraId="3403A42A" w14:textId="77777777" w:rsidTr="00FB6D2D">
        <w:tblPrEx>
          <w:tblLook w:val="01E0" w:firstRow="1" w:lastRow="1" w:firstColumn="1" w:lastColumn="1" w:noHBand="0" w:noVBand="0"/>
        </w:tblPrEx>
        <w:trPr>
          <w:cantSplit/>
        </w:trPr>
        <w:tc>
          <w:tcPr>
            <w:tcW w:w="647" w:type="pct"/>
            <w:shd w:val="clear" w:color="auto" w:fill="auto"/>
            <w:tcMar>
              <w:top w:w="28" w:type="dxa"/>
              <w:left w:w="28" w:type="dxa"/>
            </w:tcMar>
          </w:tcPr>
          <w:p w14:paraId="629AA5F4" w14:textId="77777777" w:rsidR="008F47B8" w:rsidRPr="006D52A9" w:rsidDel="00A723BC"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61DD7EEB"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 xml:space="preserve">C4495 </w:t>
            </w:r>
          </w:p>
        </w:tc>
        <w:tc>
          <w:tcPr>
            <w:tcW w:w="274" w:type="pct"/>
            <w:shd w:val="clear" w:color="auto" w:fill="auto"/>
            <w:tcMar>
              <w:top w:w="28" w:type="dxa"/>
              <w:left w:w="28" w:type="dxa"/>
            </w:tcMar>
          </w:tcPr>
          <w:p w14:paraId="095AF230" w14:textId="77777777" w:rsidR="008F47B8" w:rsidRPr="006D52A9" w:rsidDel="00A723BC"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0109D5B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71594CE9"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w:t>
            </w:r>
            <w:r w:rsidRPr="006D52A9">
              <w:rPr>
                <w:rFonts w:ascii="Arial" w:hAnsi="Arial" w:cs="Arial"/>
                <w:sz w:val="16"/>
                <w:szCs w:val="16"/>
              </w:rPr>
              <w:br/>
              <w:t>Patient must be aged 12 years or older; AND</w:t>
            </w:r>
            <w:r w:rsidRPr="006D52A9">
              <w:rPr>
                <w:rFonts w:ascii="Arial" w:hAnsi="Arial" w:cs="Arial"/>
                <w:sz w:val="16"/>
                <w:szCs w:val="16"/>
              </w:rPr>
              <w:br/>
              <w:t>Patient must weigh 40 kg or more</w:t>
            </w:r>
          </w:p>
        </w:tc>
        <w:tc>
          <w:tcPr>
            <w:tcW w:w="929" w:type="pct"/>
            <w:shd w:val="clear" w:color="auto" w:fill="auto"/>
            <w:tcMar>
              <w:top w:w="28" w:type="dxa"/>
              <w:left w:w="28" w:type="dxa"/>
              <w:right w:w="57" w:type="dxa"/>
            </w:tcMar>
          </w:tcPr>
          <w:p w14:paraId="09E868A8"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4495</w:t>
            </w:r>
          </w:p>
        </w:tc>
      </w:tr>
      <w:tr w:rsidR="008F47B8" w:rsidRPr="006D52A9" w:rsidDel="00A723BC" w14:paraId="79F173DA" w14:textId="77777777" w:rsidTr="00FB6D2D">
        <w:tblPrEx>
          <w:tblLook w:val="01E0" w:firstRow="1" w:lastRow="1" w:firstColumn="1" w:lastColumn="1" w:noHBand="0" w:noVBand="0"/>
        </w:tblPrEx>
        <w:trPr>
          <w:cantSplit/>
        </w:trPr>
        <w:tc>
          <w:tcPr>
            <w:tcW w:w="647" w:type="pct"/>
            <w:shd w:val="clear" w:color="auto" w:fill="auto"/>
            <w:tcMar>
              <w:top w:w="28" w:type="dxa"/>
              <w:left w:w="28" w:type="dxa"/>
            </w:tcMar>
          </w:tcPr>
          <w:p w14:paraId="0ABD9C67" w14:textId="77777777" w:rsidR="008F47B8" w:rsidRPr="006D52A9" w:rsidDel="00A723BC" w:rsidRDefault="008F47B8" w:rsidP="00FB6D2D">
            <w:pPr>
              <w:spacing w:line="240" w:lineRule="auto"/>
              <w:rPr>
                <w:rFonts w:ascii="Arial" w:hAnsi="Arial" w:cs="Arial"/>
                <w:sz w:val="16"/>
                <w:szCs w:val="16"/>
              </w:rPr>
            </w:pPr>
            <w:r w:rsidRPr="006D52A9">
              <w:rPr>
                <w:rFonts w:ascii="Arial" w:hAnsi="Arial" w:cs="Arial"/>
                <w:sz w:val="16"/>
                <w:szCs w:val="16"/>
              </w:rPr>
              <w:t>Abatacept</w:t>
            </w:r>
          </w:p>
        </w:tc>
        <w:tc>
          <w:tcPr>
            <w:tcW w:w="283" w:type="pct"/>
            <w:shd w:val="clear" w:color="auto" w:fill="auto"/>
            <w:tcMar>
              <w:top w:w="28" w:type="dxa"/>
              <w:left w:w="28" w:type="dxa"/>
            </w:tcMar>
          </w:tcPr>
          <w:p w14:paraId="2725D74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C8627</w:t>
            </w:r>
          </w:p>
        </w:tc>
        <w:tc>
          <w:tcPr>
            <w:tcW w:w="274" w:type="pct"/>
            <w:shd w:val="clear" w:color="auto" w:fill="auto"/>
            <w:tcMar>
              <w:top w:w="28" w:type="dxa"/>
              <w:left w:w="28" w:type="dxa"/>
            </w:tcMar>
          </w:tcPr>
          <w:p w14:paraId="71C0EA60" w14:textId="77777777" w:rsidR="008F47B8" w:rsidRPr="006D52A9" w:rsidDel="00A723BC"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10EC636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Continuing Treatment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insufficient therapy with this drug for this condition under the continuing treatment restriction to complete 24 weeks treatment; AND</w:t>
            </w:r>
            <w:r w:rsidRPr="006D52A9">
              <w:rPr>
                <w:rFonts w:ascii="Arial" w:hAnsi="Arial" w:cs="Arial"/>
                <w:sz w:val="16"/>
                <w:szCs w:val="16"/>
              </w:rPr>
              <w:br/>
              <w:t>The treatment must provide no more than the balance of up to 24 weeks treatment available under the above restriction.</w:t>
            </w:r>
          </w:p>
        </w:tc>
        <w:tc>
          <w:tcPr>
            <w:tcW w:w="929" w:type="pct"/>
            <w:shd w:val="clear" w:color="auto" w:fill="auto"/>
            <w:tcMar>
              <w:top w:w="28" w:type="dxa"/>
              <w:left w:w="28" w:type="dxa"/>
              <w:right w:w="57" w:type="dxa"/>
            </w:tcMar>
          </w:tcPr>
          <w:p w14:paraId="57AF44D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A723BC" w14:paraId="51A7FABE" w14:textId="77777777" w:rsidTr="00FB6D2D">
        <w:tblPrEx>
          <w:tblLook w:val="01E0" w:firstRow="1" w:lastRow="1" w:firstColumn="1" w:lastColumn="1" w:noHBand="0" w:noVBand="0"/>
        </w:tblPrEx>
        <w:tc>
          <w:tcPr>
            <w:tcW w:w="647" w:type="pct"/>
            <w:shd w:val="clear" w:color="auto" w:fill="auto"/>
            <w:tcMar>
              <w:top w:w="28" w:type="dxa"/>
              <w:left w:w="28" w:type="dxa"/>
            </w:tcMar>
          </w:tcPr>
          <w:p w14:paraId="3EF65A6C" w14:textId="77777777" w:rsidR="008F47B8" w:rsidRPr="006D52A9" w:rsidDel="00A723BC"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0BF7AE3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C8638</w:t>
            </w:r>
          </w:p>
        </w:tc>
        <w:tc>
          <w:tcPr>
            <w:tcW w:w="274" w:type="pct"/>
            <w:shd w:val="clear" w:color="auto" w:fill="auto"/>
            <w:tcMar>
              <w:top w:w="28" w:type="dxa"/>
              <w:left w:w="28" w:type="dxa"/>
            </w:tcMar>
          </w:tcPr>
          <w:p w14:paraId="37E22FD2" w14:textId="77777777" w:rsidR="008F47B8" w:rsidRPr="006D52A9" w:rsidDel="00A723BC"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B51509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insufficient therapy with this drug for this condition under the Initial 1 (new patient) restriction to complete 16 weeks treatment; OR</w:t>
            </w:r>
            <w:r w:rsidRPr="006D52A9">
              <w:rPr>
                <w:rFonts w:ascii="Arial" w:hAnsi="Arial" w:cs="Arial"/>
                <w:sz w:val="16"/>
                <w:szCs w:val="16"/>
              </w:rPr>
              <w:br/>
              <w:t>Patient must have received insufficient therapy with this drug for this condition under the Initial 2 (change or recommencement of treatment after a break in biological medicine of less than 24 months) restriction to complete 16 weeks treatment; OR</w:t>
            </w:r>
            <w:r w:rsidRPr="006D52A9">
              <w:rPr>
                <w:rFonts w:ascii="Arial" w:hAnsi="Arial" w:cs="Arial"/>
                <w:sz w:val="16"/>
                <w:szCs w:val="16"/>
              </w:rPr>
              <w:br/>
              <w:t>Patient must have received insufficient therapy with this drug for this condition under the Initial 3 (recommencement of treatment after a break in biological medicine of more than 24 months) to complete 16 weeks of treatment; AND</w:t>
            </w:r>
            <w:r w:rsidRPr="006D52A9">
              <w:rPr>
                <w:rFonts w:ascii="Arial" w:hAnsi="Arial" w:cs="Arial"/>
                <w:sz w:val="16"/>
                <w:szCs w:val="16"/>
              </w:rPr>
              <w:br/>
              <w:t>The treatment must provide no more than the balance of up to 16 weeks treatment available under the above restrictions.</w:t>
            </w:r>
          </w:p>
        </w:tc>
        <w:tc>
          <w:tcPr>
            <w:tcW w:w="929" w:type="pct"/>
            <w:shd w:val="clear" w:color="auto" w:fill="auto"/>
            <w:tcMar>
              <w:top w:w="28" w:type="dxa"/>
              <w:left w:w="28" w:type="dxa"/>
              <w:right w:w="57" w:type="dxa"/>
            </w:tcMar>
          </w:tcPr>
          <w:p w14:paraId="798DD81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60566A" w14:paraId="0600848F" w14:textId="77777777" w:rsidTr="00FB6D2D">
        <w:tblPrEx>
          <w:tblLook w:val="01E0" w:firstRow="1" w:lastRow="1" w:firstColumn="1" w:lastColumn="1" w:noHBand="0" w:noVBand="0"/>
        </w:tblPrEx>
        <w:tc>
          <w:tcPr>
            <w:tcW w:w="647" w:type="pct"/>
            <w:shd w:val="clear" w:color="auto" w:fill="auto"/>
            <w:tcMar>
              <w:top w:w="28" w:type="dxa"/>
              <w:left w:w="28" w:type="dxa"/>
            </w:tcMar>
          </w:tcPr>
          <w:p w14:paraId="344B25C3" w14:textId="77777777" w:rsidR="008F47B8" w:rsidRPr="006D52A9" w:rsidDel="0060566A"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41F48268"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C8655</w:t>
            </w:r>
          </w:p>
        </w:tc>
        <w:tc>
          <w:tcPr>
            <w:tcW w:w="274" w:type="pct"/>
            <w:shd w:val="clear" w:color="auto" w:fill="auto"/>
            <w:tcMar>
              <w:top w:w="28" w:type="dxa"/>
              <w:left w:w="28" w:type="dxa"/>
            </w:tcMar>
          </w:tcPr>
          <w:p w14:paraId="5C3B9E14" w14:textId="77777777" w:rsidR="008F47B8" w:rsidRPr="006D52A9" w:rsidDel="0060566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62C5E59"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rheumatoid arthritis</w:t>
            </w:r>
            <w:r w:rsidRPr="006D52A9">
              <w:rPr>
                <w:rFonts w:ascii="Arial" w:hAnsi="Arial" w:cs="Arial"/>
                <w:sz w:val="16"/>
                <w:szCs w:val="16"/>
                <w:lang w:eastAsia="en-AU"/>
              </w:rPr>
              <w:br/>
              <w:t>Continuing treatment</w:t>
            </w:r>
            <w:r w:rsidRPr="006D52A9">
              <w:rPr>
                <w:rFonts w:ascii="Arial" w:hAnsi="Arial" w:cs="Arial"/>
                <w:sz w:val="16"/>
                <w:szCs w:val="16"/>
                <w:lang w:eastAsia="en-AU"/>
              </w:rPr>
              <w:br/>
              <w:t>Must be treated by a rheumatologist; OR</w:t>
            </w:r>
            <w:r w:rsidRPr="006D52A9">
              <w:rPr>
                <w:rFonts w:ascii="Arial" w:hAnsi="Arial" w:cs="Arial"/>
                <w:sz w:val="16"/>
                <w:szCs w:val="16"/>
                <w:lang w:eastAsia="en-AU"/>
              </w:rPr>
              <w:br/>
              <w:t>Must be treated by a clinical immunologist with expertise in the management of rheumatoid arthritis.</w:t>
            </w:r>
            <w:r w:rsidRPr="006D52A9">
              <w:rPr>
                <w:rFonts w:ascii="Arial" w:hAnsi="Arial" w:cs="Arial"/>
                <w:sz w:val="16"/>
                <w:szCs w:val="16"/>
                <w:lang w:eastAsia="en-AU"/>
              </w:rPr>
              <w:br/>
              <w:t>Patient must have received this drug as their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for this condition; AND</w:t>
            </w:r>
            <w:r w:rsidRPr="006D52A9">
              <w:rPr>
                <w:rFonts w:ascii="Arial" w:hAnsi="Arial" w:cs="Arial"/>
                <w:sz w:val="16"/>
                <w:szCs w:val="16"/>
                <w:lang w:eastAsia="en-AU"/>
              </w:rPr>
              <w:br/>
              <w:t>Patient must have demonstrated an adequate response to treatment with this drug; AND</w:t>
            </w:r>
            <w:r w:rsidRPr="006D52A9">
              <w:rPr>
                <w:rFonts w:ascii="Arial" w:hAnsi="Arial" w:cs="Arial"/>
                <w:sz w:val="16"/>
                <w:szCs w:val="16"/>
                <w:lang w:eastAsia="en-AU"/>
              </w:rPr>
              <w:br/>
              <w:t>Patient must not receive more than 24 weeks of treatment under this restriction; AND</w:t>
            </w:r>
            <w:r w:rsidRPr="006D52A9">
              <w:rPr>
                <w:rFonts w:ascii="Arial" w:hAnsi="Arial" w:cs="Arial"/>
                <w:sz w:val="16"/>
                <w:szCs w:val="16"/>
                <w:lang w:eastAsia="en-AU"/>
              </w:rPr>
              <w:br/>
              <w:t>The treatment must be given concomitantly with methotrexate at a dose of at least 7.5 mg weekly.</w:t>
            </w:r>
            <w:r w:rsidRPr="006D52A9">
              <w:rPr>
                <w:rFonts w:ascii="Arial" w:hAnsi="Arial" w:cs="Arial"/>
                <w:sz w:val="16"/>
                <w:szCs w:val="16"/>
                <w:lang w:eastAsia="en-AU"/>
              </w:rPr>
              <w:br/>
              <w:t>Patient must be aged 18 years or older.</w:t>
            </w:r>
            <w:r w:rsidRPr="006D52A9">
              <w:rPr>
                <w:rFonts w:ascii="Arial" w:hAnsi="Arial" w:cs="Arial"/>
                <w:sz w:val="16"/>
                <w:szCs w:val="16"/>
                <w:lang w:eastAsia="en-AU"/>
              </w:rPr>
              <w:br/>
              <w:t>An adequate response to treatment is defined as:</w:t>
            </w:r>
            <w:r w:rsidRPr="006D52A9">
              <w:rPr>
                <w:rFonts w:ascii="Arial" w:hAnsi="Arial" w:cs="Arial"/>
                <w:sz w:val="16"/>
                <w:szCs w:val="16"/>
                <w:lang w:eastAsia="en-AU"/>
              </w:rPr>
              <w:br/>
              <w:t xml:space="preserve">an ESR no greater than 25 mm per hour or a CRP level no greater than 15 mg per L or either marker </w:t>
            </w:r>
            <w:r w:rsidRPr="006D52A9">
              <w:rPr>
                <w:rFonts w:ascii="Arial" w:hAnsi="Arial" w:cs="Arial"/>
                <w:sz w:val="16"/>
                <w:szCs w:val="16"/>
                <w:lang w:eastAsia="en-AU"/>
              </w:rPr>
              <w:lastRenderedPageBreak/>
              <w:t>reduced by at least 20% from baseline;</w:t>
            </w:r>
            <w:r w:rsidRPr="006D52A9">
              <w:rPr>
                <w:rFonts w:ascii="Arial" w:hAnsi="Arial" w:cs="Arial"/>
                <w:sz w:val="16"/>
                <w:szCs w:val="16"/>
                <w:lang w:eastAsia="en-AU"/>
              </w:rPr>
              <w:br/>
              <w:t>AND either of the following:</w:t>
            </w:r>
            <w:r w:rsidRPr="006D52A9">
              <w:rPr>
                <w:rFonts w:ascii="Arial" w:hAnsi="Arial" w:cs="Arial"/>
                <w:sz w:val="16"/>
                <w:szCs w:val="16"/>
                <w:lang w:eastAsia="en-AU"/>
              </w:rPr>
              <w:br/>
              <w:t>(a) a reduction in the total active (swollen and tender) joint count by at least 50% from baseline, where baseline is at least 20 active joints; or</w:t>
            </w:r>
            <w:r w:rsidRPr="006D52A9">
              <w:rPr>
                <w:rFonts w:ascii="Arial" w:hAnsi="Arial" w:cs="Arial"/>
                <w:sz w:val="16"/>
                <w:szCs w:val="16"/>
                <w:lang w:eastAsia="en-AU"/>
              </w:rPr>
              <w:br/>
              <w:t>(b) a reduction in the number of the following active joints, from at least 4, by at least 50%:</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a completed authority prescription form(s); and</w:t>
            </w:r>
            <w:r w:rsidRPr="006D52A9">
              <w:rPr>
                <w:rFonts w:ascii="Arial" w:hAnsi="Arial" w:cs="Arial"/>
                <w:sz w:val="16"/>
                <w:szCs w:val="16"/>
                <w:lang w:eastAsia="en-AU"/>
              </w:rPr>
              <w:br/>
              <w:t xml:space="preserve">(2) a completed Rheumatoid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r w:rsidRPr="006D52A9">
              <w:rPr>
                <w:rFonts w:ascii="Arial" w:hAnsi="Arial" w:cs="Arial"/>
                <w:sz w:val="16"/>
                <w:szCs w:val="16"/>
                <w:lang w:eastAsia="en-AU"/>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ascii="Arial" w:hAnsi="Arial" w:cs="Arial"/>
                <w:sz w:val="16"/>
                <w:szCs w:val="16"/>
                <w:lang w:eastAsia="en-AU"/>
              </w:rPr>
              <w:br/>
              <w:t>If a patient has either failed or ceased to respond to a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for this condition 5 times,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w:t>
            </w:r>
            <w:r w:rsidRPr="006D52A9">
              <w:rPr>
                <w:rFonts w:ascii="Arial" w:hAnsi="Arial" w:cs="Arial"/>
                <w:sz w:val="16"/>
                <w:szCs w:val="16"/>
                <w:lang w:eastAsia="en-AU"/>
              </w:rPr>
              <w:br/>
              <w:t>If a patient fails to demonstrate a response to treatment with this drug under this restriction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p>
        </w:tc>
        <w:tc>
          <w:tcPr>
            <w:tcW w:w="929" w:type="pct"/>
            <w:shd w:val="clear" w:color="auto" w:fill="auto"/>
            <w:tcMar>
              <w:top w:w="28" w:type="dxa"/>
              <w:left w:w="28" w:type="dxa"/>
              <w:right w:w="57" w:type="dxa"/>
            </w:tcMar>
          </w:tcPr>
          <w:p w14:paraId="1F2C6A8E"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lastRenderedPageBreak/>
              <w:t>Compliance with Written Authority Required procedures</w:t>
            </w:r>
          </w:p>
        </w:tc>
      </w:tr>
      <w:tr w:rsidR="008F47B8" w:rsidRPr="006D52A9" w:rsidDel="0060566A" w14:paraId="74EA2E32" w14:textId="77777777" w:rsidTr="00FB6D2D">
        <w:tblPrEx>
          <w:tblLook w:val="01E0" w:firstRow="1" w:lastRow="1" w:firstColumn="1" w:lastColumn="1" w:noHBand="0" w:noVBand="0"/>
        </w:tblPrEx>
        <w:tc>
          <w:tcPr>
            <w:tcW w:w="647" w:type="pct"/>
            <w:shd w:val="clear" w:color="auto" w:fill="auto"/>
            <w:tcMar>
              <w:top w:w="28" w:type="dxa"/>
              <w:left w:w="28" w:type="dxa"/>
            </w:tcMar>
          </w:tcPr>
          <w:p w14:paraId="5CEA138D" w14:textId="77777777" w:rsidR="008F47B8" w:rsidRPr="006D52A9" w:rsidDel="0060566A"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1AFCEB81"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C8688</w:t>
            </w:r>
          </w:p>
        </w:tc>
        <w:tc>
          <w:tcPr>
            <w:tcW w:w="274" w:type="pct"/>
            <w:shd w:val="clear" w:color="auto" w:fill="auto"/>
            <w:tcMar>
              <w:top w:w="28" w:type="dxa"/>
              <w:left w:w="28" w:type="dxa"/>
            </w:tcMar>
          </w:tcPr>
          <w:p w14:paraId="73E38130" w14:textId="77777777" w:rsidR="008F47B8" w:rsidRPr="006D52A9" w:rsidDel="0060566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9DFF9A8"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rheumatoid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3 (re</w:t>
            </w:r>
            <w:r w:rsidR="0026100E">
              <w:rPr>
                <w:rFonts w:ascii="Arial" w:hAnsi="Arial" w:cs="Arial"/>
                <w:sz w:val="16"/>
                <w:szCs w:val="16"/>
                <w:lang w:eastAsia="en-AU"/>
              </w:rPr>
              <w:noBreakHyphen/>
            </w:r>
            <w:r w:rsidRPr="006D52A9">
              <w:rPr>
                <w:rFonts w:ascii="Arial" w:hAnsi="Arial" w:cs="Arial"/>
                <w:sz w:val="16"/>
                <w:szCs w:val="16"/>
                <w:lang w:eastAsia="en-AU"/>
              </w:rPr>
              <w:t>commencement of treatment after a break in biological medicine of more than 24 months)</w:t>
            </w:r>
            <w:r w:rsidRPr="006D52A9">
              <w:rPr>
                <w:rFonts w:ascii="Arial" w:hAnsi="Arial" w:cs="Arial"/>
                <w:sz w:val="16"/>
                <w:szCs w:val="16"/>
                <w:lang w:eastAsia="en-AU"/>
              </w:rPr>
              <w:br/>
              <w:t>Must be treated by a rheumatologist; OR</w:t>
            </w:r>
            <w:r w:rsidRPr="006D52A9">
              <w:rPr>
                <w:rFonts w:ascii="Arial" w:hAnsi="Arial" w:cs="Arial"/>
                <w:sz w:val="16"/>
                <w:szCs w:val="16"/>
                <w:lang w:eastAsia="en-AU"/>
              </w:rPr>
              <w:br/>
              <w:t>Must be treated by a clinical immunologist with expertise in the management of rheumatoid arthritis.</w:t>
            </w:r>
            <w:r w:rsidRPr="006D52A9">
              <w:rPr>
                <w:rFonts w:ascii="Arial" w:hAnsi="Arial" w:cs="Arial"/>
                <w:sz w:val="16"/>
                <w:szCs w:val="16"/>
                <w:lang w:eastAsia="en-AU"/>
              </w:rPr>
              <w:br/>
              <w:t>Patient must have previously received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AND</w:t>
            </w:r>
            <w:r w:rsidRPr="006D52A9">
              <w:rPr>
                <w:rFonts w:ascii="Arial" w:hAnsi="Arial" w:cs="Arial"/>
                <w:sz w:val="16"/>
                <w:szCs w:val="16"/>
                <w:lang w:eastAsia="en-AU"/>
              </w:rPr>
              <w:br/>
              <w:t>Patient must have a break in treatment of 24 months or more from the most recent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for this condition; AND</w:t>
            </w:r>
            <w:r w:rsidRPr="006D52A9">
              <w:rPr>
                <w:rFonts w:ascii="Arial" w:hAnsi="Arial" w:cs="Arial"/>
                <w:sz w:val="16"/>
                <w:szCs w:val="16"/>
                <w:lang w:eastAsia="en-AU"/>
              </w:rPr>
              <w:br/>
              <w:t>Patient must not have failed to respond to previous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AND</w:t>
            </w:r>
            <w:r w:rsidRPr="006D52A9">
              <w:rPr>
                <w:rFonts w:ascii="Arial" w:hAnsi="Arial" w:cs="Arial"/>
                <w:sz w:val="16"/>
                <w:szCs w:val="16"/>
                <w:lang w:eastAsia="en-AU"/>
              </w:rPr>
              <w:br/>
              <w:t>Patient must not have already failed , or ceased to respond to, PBS</w:t>
            </w:r>
            <w:r w:rsidR="0026100E">
              <w:rPr>
                <w:rFonts w:ascii="Arial" w:hAnsi="Arial" w:cs="Arial"/>
                <w:sz w:val="16"/>
                <w:szCs w:val="16"/>
                <w:lang w:eastAsia="en-AU"/>
              </w:rPr>
              <w:noBreakHyphen/>
            </w:r>
            <w:r w:rsidRPr="006D52A9">
              <w:rPr>
                <w:rFonts w:ascii="Arial" w:hAnsi="Arial" w:cs="Arial"/>
                <w:sz w:val="16"/>
                <w:szCs w:val="16"/>
                <w:lang w:eastAsia="en-AU"/>
              </w:rPr>
              <w:t xml:space="preserve">subsidised biological medicine </w:t>
            </w:r>
            <w:r w:rsidRPr="006D52A9">
              <w:rPr>
                <w:rFonts w:ascii="Arial" w:hAnsi="Arial" w:cs="Arial"/>
                <w:sz w:val="16"/>
                <w:szCs w:val="16"/>
                <w:lang w:eastAsia="en-AU"/>
              </w:rPr>
              <w:lastRenderedPageBreak/>
              <w:t>treatment for this condition 5 times; AND</w:t>
            </w:r>
            <w:r w:rsidRPr="006D52A9">
              <w:rPr>
                <w:rFonts w:ascii="Arial" w:hAnsi="Arial" w:cs="Arial"/>
                <w:sz w:val="16"/>
                <w:szCs w:val="16"/>
                <w:lang w:eastAsia="en-AU"/>
              </w:rPr>
              <w:br/>
              <w:t>The condition must have an elevated erythrocyte sedimentation rate (ESR) greater than 25 mm per hour; OR</w:t>
            </w:r>
            <w:r w:rsidRPr="006D52A9">
              <w:rPr>
                <w:rFonts w:ascii="Arial" w:hAnsi="Arial" w:cs="Arial"/>
                <w:sz w:val="16"/>
                <w:szCs w:val="16"/>
                <w:lang w:eastAsia="en-AU"/>
              </w:rPr>
              <w:br/>
              <w:t>The condition must have a C</w:t>
            </w:r>
            <w:r w:rsidR="0026100E">
              <w:rPr>
                <w:rFonts w:ascii="Arial" w:hAnsi="Arial" w:cs="Arial"/>
                <w:sz w:val="16"/>
                <w:szCs w:val="16"/>
                <w:lang w:eastAsia="en-AU"/>
              </w:rPr>
              <w:noBreakHyphen/>
            </w:r>
            <w:r w:rsidRPr="006D52A9">
              <w:rPr>
                <w:rFonts w:ascii="Arial" w:hAnsi="Arial" w:cs="Arial"/>
                <w:sz w:val="16"/>
                <w:szCs w:val="16"/>
                <w:lang w:eastAsia="en-AU"/>
              </w:rPr>
              <w:t>reactive protein (CRP) level greater than 15 mg per L; AND</w:t>
            </w:r>
            <w:r w:rsidRPr="006D52A9">
              <w:rPr>
                <w:rFonts w:ascii="Arial" w:hAnsi="Arial" w:cs="Arial"/>
                <w:sz w:val="16"/>
                <w:szCs w:val="16"/>
                <w:lang w:eastAsia="en-AU"/>
              </w:rPr>
              <w:br/>
              <w:t>The condition must have either (a) a total active joint count of at least 20 active (swollen and tender) joints; or (b) at least 4 active major joints; AND</w:t>
            </w:r>
            <w:r w:rsidRPr="006D52A9">
              <w:rPr>
                <w:rFonts w:ascii="Arial" w:hAnsi="Arial" w:cs="Arial"/>
                <w:sz w:val="16"/>
                <w:szCs w:val="16"/>
                <w:lang w:eastAsia="en-AU"/>
              </w:rPr>
              <w:br/>
              <w:t>Patient must not receive more than 16 weeks of treatment under this restriction; AND</w:t>
            </w:r>
            <w:r w:rsidRPr="006D52A9">
              <w:rPr>
                <w:rFonts w:ascii="Arial" w:hAnsi="Arial" w:cs="Arial"/>
                <w:sz w:val="16"/>
                <w:szCs w:val="16"/>
                <w:lang w:eastAsia="en-AU"/>
              </w:rPr>
              <w:br/>
              <w:t>The treatment must be given concomitantly with methotrexate at a dose of at least 7.5 mg weekly.</w:t>
            </w:r>
            <w:r w:rsidRPr="006D52A9">
              <w:rPr>
                <w:rFonts w:ascii="Arial" w:hAnsi="Arial" w:cs="Arial"/>
                <w:sz w:val="16"/>
                <w:szCs w:val="16"/>
                <w:lang w:eastAsia="en-AU"/>
              </w:rPr>
              <w:br/>
              <w:t>Patient must be aged 18 years or older.</w:t>
            </w:r>
            <w:r w:rsidRPr="006D52A9">
              <w:rPr>
                <w:rFonts w:ascii="Arial" w:hAnsi="Arial" w:cs="Arial"/>
                <w:sz w:val="16"/>
                <w:szCs w:val="16"/>
                <w:lang w:eastAsia="en-AU"/>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All measures of joint count and ESR and/or CRP must be no more than one month old at the time of initial application.</w:t>
            </w:r>
            <w:r w:rsidRPr="006D52A9">
              <w:rPr>
                <w:rFonts w:ascii="Arial" w:hAnsi="Arial" w:cs="Arial"/>
                <w:sz w:val="16"/>
                <w:szCs w:val="16"/>
                <w:lang w:eastAsia="en-AU"/>
              </w:rPr>
              <w:br/>
              <w:t>If the above requirement to demonstrate an elevated ESR or CRP cannot be met, the application must state the reasons why this criterion cannot be satisfied.</w:t>
            </w:r>
            <w:r w:rsidRPr="006D52A9">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a completed authority prescription form(s); and</w:t>
            </w:r>
            <w:r w:rsidRPr="006D52A9">
              <w:rPr>
                <w:rFonts w:ascii="Arial" w:hAnsi="Arial" w:cs="Arial"/>
                <w:sz w:val="16"/>
                <w:szCs w:val="16"/>
                <w:lang w:eastAsia="en-AU"/>
              </w:rPr>
              <w:br/>
              <w:t xml:space="preserve">(2) a completed Rheumatoid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r w:rsidRPr="006D52A9">
              <w:rPr>
                <w:rFonts w:ascii="Arial" w:hAnsi="Arial" w:cs="Arial"/>
                <w:sz w:val="16"/>
                <w:szCs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lang w:eastAsia="en-AU"/>
              </w:rPr>
              <w:br/>
              <w:t>If a patient fails to demonstrate a response to treatment with this drug under this restriction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p>
        </w:tc>
        <w:tc>
          <w:tcPr>
            <w:tcW w:w="929" w:type="pct"/>
            <w:shd w:val="clear" w:color="auto" w:fill="auto"/>
            <w:tcMar>
              <w:top w:w="28" w:type="dxa"/>
              <w:left w:w="28" w:type="dxa"/>
              <w:right w:w="57" w:type="dxa"/>
            </w:tcMar>
          </w:tcPr>
          <w:p w14:paraId="20799F8A"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lastRenderedPageBreak/>
              <w:t>Compliance with Written Authority Required procedures</w:t>
            </w:r>
          </w:p>
        </w:tc>
      </w:tr>
      <w:tr w:rsidR="008F47B8" w:rsidRPr="006D52A9" w:rsidDel="0060566A" w14:paraId="1DA9F1EC" w14:textId="77777777" w:rsidTr="00FB6D2D">
        <w:tblPrEx>
          <w:tblLook w:val="01E0" w:firstRow="1" w:lastRow="1" w:firstColumn="1" w:lastColumn="1" w:noHBand="0" w:noVBand="0"/>
        </w:tblPrEx>
        <w:tc>
          <w:tcPr>
            <w:tcW w:w="647" w:type="pct"/>
            <w:shd w:val="clear" w:color="auto" w:fill="auto"/>
            <w:tcMar>
              <w:top w:w="28" w:type="dxa"/>
              <w:left w:w="28" w:type="dxa"/>
            </w:tcMar>
          </w:tcPr>
          <w:p w14:paraId="56FB35CA" w14:textId="77777777" w:rsidR="008F47B8" w:rsidRPr="006D52A9" w:rsidDel="0060566A"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7E4B6982"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C8748</w:t>
            </w:r>
          </w:p>
        </w:tc>
        <w:tc>
          <w:tcPr>
            <w:tcW w:w="274" w:type="pct"/>
            <w:shd w:val="clear" w:color="auto" w:fill="auto"/>
            <w:tcMar>
              <w:top w:w="28" w:type="dxa"/>
              <w:left w:w="28" w:type="dxa"/>
            </w:tcMar>
          </w:tcPr>
          <w:p w14:paraId="2E1BAC58" w14:textId="77777777" w:rsidR="008F47B8" w:rsidRPr="006D52A9" w:rsidDel="0060566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6AF7938"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rheumatoid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2 (change or re</w:t>
            </w:r>
            <w:r w:rsidR="0026100E">
              <w:rPr>
                <w:rFonts w:ascii="Arial" w:hAnsi="Arial" w:cs="Arial"/>
                <w:sz w:val="16"/>
                <w:szCs w:val="16"/>
                <w:lang w:eastAsia="en-AU"/>
              </w:rPr>
              <w:noBreakHyphen/>
            </w:r>
            <w:r w:rsidRPr="006D52A9">
              <w:rPr>
                <w:rFonts w:ascii="Arial" w:hAnsi="Arial" w:cs="Arial"/>
                <w:sz w:val="16"/>
                <w:szCs w:val="16"/>
                <w:lang w:eastAsia="en-AU"/>
              </w:rPr>
              <w:t>commencement of treatment after a break in biological medicine of less than 24 months).</w:t>
            </w:r>
            <w:r w:rsidRPr="006D52A9">
              <w:rPr>
                <w:rFonts w:ascii="Arial" w:hAnsi="Arial" w:cs="Arial"/>
                <w:sz w:val="16"/>
                <w:szCs w:val="16"/>
                <w:lang w:eastAsia="en-AU"/>
              </w:rPr>
              <w:br/>
            </w:r>
            <w:r w:rsidRPr="006D52A9">
              <w:rPr>
                <w:rFonts w:ascii="Arial" w:hAnsi="Arial" w:cs="Arial"/>
                <w:sz w:val="16"/>
                <w:szCs w:val="16"/>
                <w:lang w:eastAsia="en-AU"/>
              </w:rPr>
              <w:lastRenderedPageBreak/>
              <w:t>Must be treated by a rheumatologist; OR</w:t>
            </w:r>
            <w:r w:rsidRPr="006D52A9">
              <w:rPr>
                <w:rFonts w:ascii="Arial" w:hAnsi="Arial" w:cs="Arial"/>
                <w:sz w:val="16"/>
                <w:szCs w:val="16"/>
                <w:lang w:eastAsia="en-AU"/>
              </w:rPr>
              <w:br/>
              <w:t>Must be treated by a clinical immunologist with expertise in the management of rheumatoid arthritis.</w:t>
            </w:r>
            <w:r w:rsidRPr="006D52A9">
              <w:rPr>
                <w:rFonts w:ascii="Arial" w:hAnsi="Arial" w:cs="Arial"/>
                <w:sz w:val="16"/>
                <w:szCs w:val="16"/>
                <w:lang w:eastAsia="en-AU"/>
              </w:rPr>
              <w:br/>
              <w:t>Patient must have received prior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AND</w:t>
            </w:r>
            <w:r w:rsidRPr="006D52A9">
              <w:rPr>
                <w:rFonts w:ascii="Arial" w:hAnsi="Arial" w:cs="Arial"/>
                <w:sz w:val="16"/>
                <w:szCs w:val="16"/>
                <w:lang w:eastAsia="en-AU"/>
              </w:rPr>
              <w:br/>
              <w:t>Patient must not have failed to respond to previous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AND</w:t>
            </w:r>
            <w:r w:rsidRPr="006D52A9">
              <w:rPr>
                <w:rFonts w:ascii="Arial" w:hAnsi="Arial" w:cs="Arial"/>
                <w:sz w:val="16"/>
                <w:szCs w:val="16"/>
                <w:lang w:eastAsia="en-AU"/>
              </w:rPr>
              <w:br/>
              <w:t>Patient must not have already failed , or ceased to respond to,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for this condition 5 times; AND</w:t>
            </w:r>
            <w:r w:rsidRPr="006D52A9">
              <w:rPr>
                <w:rFonts w:ascii="Arial" w:hAnsi="Arial" w:cs="Arial"/>
                <w:sz w:val="16"/>
                <w:szCs w:val="16"/>
                <w:lang w:eastAsia="en-AU"/>
              </w:rPr>
              <w:br/>
              <w:t>Patient must not receive more than 16 weeks of treatment under this restriction; AND</w:t>
            </w:r>
            <w:r w:rsidRPr="006D52A9">
              <w:rPr>
                <w:rFonts w:ascii="Arial" w:hAnsi="Arial" w:cs="Arial"/>
                <w:sz w:val="16"/>
                <w:szCs w:val="16"/>
                <w:lang w:eastAsia="en-AU"/>
              </w:rPr>
              <w:br/>
              <w:t>The treatment must be given concomitantly with methotrexate at a dose of at least 7.5 mg weekly.</w:t>
            </w:r>
            <w:r w:rsidRPr="006D52A9">
              <w:rPr>
                <w:rFonts w:ascii="Arial" w:hAnsi="Arial" w:cs="Arial"/>
                <w:sz w:val="16"/>
                <w:szCs w:val="16"/>
                <w:lang w:eastAsia="en-AU"/>
              </w:rPr>
              <w:br/>
              <w:t>Patient must be aged 18 years or older.</w:t>
            </w:r>
            <w:r w:rsidRPr="006D52A9">
              <w:rPr>
                <w:rFonts w:ascii="Arial" w:hAnsi="Arial" w:cs="Arial"/>
                <w:sz w:val="16"/>
                <w:szCs w:val="16"/>
                <w:lang w:eastAsia="en-AU"/>
              </w:rPr>
              <w:br/>
              <w:t>An adequate response to treatment is defined as:</w:t>
            </w:r>
            <w:r w:rsidRPr="006D52A9">
              <w:rPr>
                <w:rFonts w:ascii="Arial" w:hAnsi="Arial" w:cs="Arial"/>
                <w:sz w:val="16"/>
                <w:szCs w:val="16"/>
                <w:lang w:eastAsia="en-AU"/>
              </w:rPr>
              <w:br/>
              <w:t>an ESR no greater than 25 mm per hour or a CRP level no greater than 15 mg per L or either marker reduced by at least 20% from baseline;</w:t>
            </w:r>
            <w:r w:rsidRPr="006D52A9">
              <w:rPr>
                <w:rFonts w:ascii="Arial" w:hAnsi="Arial" w:cs="Arial"/>
                <w:sz w:val="16"/>
                <w:szCs w:val="16"/>
                <w:lang w:eastAsia="en-AU"/>
              </w:rPr>
              <w:br/>
              <w:t>AND either of the following:</w:t>
            </w:r>
            <w:r w:rsidRPr="006D52A9">
              <w:rPr>
                <w:rFonts w:ascii="Arial" w:hAnsi="Arial" w:cs="Arial"/>
                <w:sz w:val="16"/>
                <w:szCs w:val="16"/>
                <w:lang w:eastAsia="en-AU"/>
              </w:rPr>
              <w:br/>
              <w:t>(a) a reduction in the total active (swollen and tender) joint count by at least 50% from baseline, where baseline is at least 20 active joints; or</w:t>
            </w:r>
            <w:r w:rsidRPr="006D52A9">
              <w:rPr>
                <w:rFonts w:ascii="Arial" w:hAnsi="Arial" w:cs="Arial"/>
                <w:sz w:val="16"/>
                <w:szCs w:val="16"/>
                <w:lang w:eastAsia="en-AU"/>
              </w:rPr>
              <w:br/>
              <w:t>(b) a reduction in the number of the following active joints, from at least 4, by at least 50%:</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An application for a patient who has received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and who wishes to re</w:t>
            </w:r>
            <w:r w:rsidR="0026100E">
              <w:rPr>
                <w:rFonts w:ascii="Arial" w:hAnsi="Arial" w:cs="Arial"/>
                <w:sz w:val="16"/>
                <w:szCs w:val="16"/>
                <w:lang w:eastAsia="en-AU"/>
              </w:rPr>
              <w:noBreakHyphen/>
            </w:r>
            <w:r w:rsidRPr="006D52A9">
              <w:rPr>
                <w:rFonts w:ascii="Arial" w:hAnsi="Arial" w:cs="Arial"/>
                <w:sz w:val="16"/>
                <w:szCs w:val="16"/>
                <w:lang w:eastAsia="en-AU"/>
              </w:rPr>
              <w:t>commence therapy with this drug, must be accompanied by evidence of a response to the patient’s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within the timeframes specified below.</w:t>
            </w:r>
            <w:r w:rsidRPr="006D52A9">
              <w:rPr>
                <w:rFonts w:ascii="Arial" w:hAnsi="Arial" w:cs="Arial"/>
                <w:sz w:val="16"/>
                <w:szCs w:val="16"/>
                <w:lang w:eastAsia="en-AU"/>
              </w:rPr>
              <w:br/>
              <w:t>Where the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r w:rsidRPr="006D52A9">
              <w:rPr>
                <w:rFonts w:ascii="Arial" w:hAnsi="Arial" w:cs="Arial"/>
                <w:sz w:val="16"/>
                <w:szCs w:val="16"/>
                <w:lang w:eastAsia="en-AU"/>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6D52A9">
              <w:rPr>
                <w:rFonts w:ascii="Arial" w:hAnsi="Arial" w:cs="Arial"/>
                <w:sz w:val="16"/>
                <w:szCs w:val="16"/>
                <w:lang w:eastAsia="en-AU"/>
              </w:rPr>
              <w:br/>
              <w:t>Up to a maximum of 4 repeats will be authorised.</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r>
            <w:r w:rsidRPr="006D52A9">
              <w:rPr>
                <w:rFonts w:ascii="Arial" w:hAnsi="Arial" w:cs="Arial"/>
                <w:sz w:val="16"/>
                <w:szCs w:val="16"/>
                <w:lang w:eastAsia="en-AU"/>
              </w:rPr>
              <w:lastRenderedPageBreak/>
              <w:t>(1) a completed authority prescription form(s); and</w:t>
            </w:r>
            <w:r w:rsidRPr="006D52A9">
              <w:rPr>
                <w:rFonts w:ascii="Arial" w:hAnsi="Arial" w:cs="Arial"/>
                <w:sz w:val="16"/>
                <w:szCs w:val="16"/>
                <w:lang w:eastAsia="en-AU"/>
              </w:rPr>
              <w:br/>
              <w:t xml:space="preserve">(2) a completed Rheumatoid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If a patient fails to demonstrate a response to treatment with this drug under this restriction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r w:rsidRPr="006D52A9">
              <w:rPr>
                <w:rFonts w:ascii="Arial" w:hAnsi="Arial" w:cs="Arial"/>
                <w:sz w:val="16"/>
                <w:szCs w:val="16"/>
                <w:lang w:eastAsia="en-AU"/>
              </w:rPr>
              <w:br/>
              <w:t>A patient who has demonstrated a response to a course of rituximab must have a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therapy treatment</w:t>
            </w:r>
            <w:r w:rsidR="0026100E">
              <w:rPr>
                <w:rFonts w:ascii="Arial" w:hAnsi="Arial" w:cs="Arial"/>
                <w:sz w:val="16"/>
                <w:szCs w:val="16"/>
                <w:lang w:eastAsia="en-AU"/>
              </w:rPr>
              <w:noBreakHyphen/>
            </w:r>
            <w:r w:rsidRPr="006D52A9">
              <w:rPr>
                <w:rFonts w:ascii="Arial" w:hAnsi="Arial" w:cs="Arial"/>
                <w:sz w:val="16"/>
                <w:szCs w:val="16"/>
                <w:lang w:eastAsia="en-AU"/>
              </w:rPr>
              <w:t>free period of at least 22 weeks, immediately following the second infusion, before swapping to an alternate biological medicine.</w:t>
            </w:r>
          </w:p>
        </w:tc>
        <w:tc>
          <w:tcPr>
            <w:tcW w:w="929" w:type="pct"/>
            <w:shd w:val="clear" w:color="auto" w:fill="auto"/>
            <w:tcMar>
              <w:top w:w="28" w:type="dxa"/>
              <w:left w:w="28" w:type="dxa"/>
              <w:right w:w="57" w:type="dxa"/>
            </w:tcMar>
          </w:tcPr>
          <w:p w14:paraId="44CA3D99" w14:textId="77777777" w:rsidR="008F47B8" w:rsidRPr="006D52A9" w:rsidDel="0060566A" w:rsidRDefault="008F47B8" w:rsidP="00FB6D2D">
            <w:pPr>
              <w:spacing w:line="240" w:lineRule="auto"/>
              <w:rPr>
                <w:rFonts w:ascii="Arial" w:hAnsi="Arial" w:cs="Arial"/>
                <w:sz w:val="16"/>
                <w:szCs w:val="16"/>
              </w:rPr>
            </w:pPr>
            <w:r w:rsidRPr="006D52A9">
              <w:rPr>
                <w:rFonts w:ascii="Arial" w:hAnsi="Arial" w:cs="Arial"/>
                <w:sz w:val="16"/>
                <w:szCs w:val="16"/>
                <w:lang w:eastAsia="en-AU"/>
              </w:rPr>
              <w:lastRenderedPageBreak/>
              <w:t>Compliance with Written Authority Required procedures</w:t>
            </w:r>
          </w:p>
        </w:tc>
      </w:tr>
      <w:tr w:rsidR="008F47B8" w:rsidRPr="006D52A9" w:rsidDel="003142D3" w14:paraId="3A7E45E2" w14:textId="77777777" w:rsidTr="00FB6D2D">
        <w:tblPrEx>
          <w:tblLook w:val="01E0" w:firstRow="1" w:lastRow="1" w:firstColumn="1" w:lastColumn="1" w:noHBand="0" w:noVBand="0"/>
        </w:tblPrEx>
        <w:tc>
          <w:tcPr>
            <w:tcW w:w="647" w:type="pct"/>
            <w:shd w:val="clear" w:color="auto" w:fill="auto"/>
            <w:tcMar>
              <w:top w:w="28" w:type="dxa"/>
              <w:left w:w="28" w:type="dxa"/>
            </w:tcMar>
          </w:tcPr>
          <w:p w14:paraId="1BB2AE52" w14:textId="77777777" w:rsidR="008F47B8" w:rsidRPr="006D52A9" w:rsidDel="003142D3"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30D6537C" w14:textId="77777777" w:rsidR="008F47B8" w:rsidRPr="006D52A9" w:rsidDel="003142D3" w:rsidRDefault="008F47B8" w:rsidP="00FB6D2D">
            <w:pPr>
              <w:spacing w:line="240" w:lineRule="auto"/>
              <w:rPr>
                <w:rFonts w:ascii="Arial" w:hAnsi="Arial" w:cs="Arial"/>
                <w:sz w:val="16"/>
                <w:szCs w:val="16"/>
              </w:rPr>
            </w:pPr>
            <w:r w:rsidRPr="006D52A9">
              <w:rPr>
                <w:rFonts w:ascii="Arial" w:hAnsi="Arial" w:cs="Arial"/>
                <w:sz w:val="16"/>
                <w:szCs w:val="16"/>
                <w:lang w:eastAsia="en-AU"/>
              </w:rPr>
              <w:t>C8759</w:t>
            </w:r>
          </w:p>
        </w:tc>
        <w:tc>
          <w:tcPr>
            <w:tcW w:w="274" w:type="pct"/>
            <w:shd w:val="clear" w:color="auto" w:fill="auto"/>
            <w:tcMar>
              <w:top w:w="28" w:type="dxa"/>
              <w:left w:w="28" w:type="dxa"/>
            </w:tcMar>
          </w:tcPr>
          <w:p w14:paraId="294D91C4" w14:textId="77777777" w:rsidR="008F47B8" w:rsidRPr="006D52A9" w:rsidDel="003142D3"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1FDDDE40" w14:textId="77777777" w:rsidR="008F47B8" w:rsidRPr="006D52A9" w:rsidDel="003142D3"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rheumatoid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1 (new patient)</w:t>
            </w:r>
            <w:r w:rsidRPr="006D52A9">
              <w:rPr>
                <w:rFonts w:ascii="Arial" w:hAnsi="Arial" w:cs="Arial"/>
                <w:sz w:val="16"/>
                <w:szCs w:val="16"/>
                <w:lang w:eastAsia="en-AU"/>
              </w:rPr>
              <w:br/>
              <w:t>Must be treated by a rheumatologist; OR</w:t>
            </w:r>
            <w:r w:rsidRPr="006D52A9">
              <w:rPr>
                <w:rFonts w:ascii="Arial" w:hAnsi="Arial" w:cs="Arial"/>
                <w:sz w:val="16"/>
                <w:szCs w:val="16"/>
                <w:lang w:eastAsia="en-AU"/>
              </w:rPr>
              <w:br/>
              <w:t>Must be treated by a clinical immunologist with expertise in the management of rheumatoid arthritis.</w:t>
            </w:r>
            <w:r w:rsidRPr="006D52A9">
              <w:rPr>
                <w:rFonts w:ascii="Arial" w:hAnsi="Arial" w:cs="Arial"/>
                <w:sz w:val="16"/>
                <w:szCs w:val="16"/>
                <w:lang w:eastAsia="en-AU"/>
              </w:rPr>
              <w:br/>
              <w:t>Patient must not have received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AND</w:t>
            </w:r>
            <w:r w:rsidRPr="006D52A9">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disease modifying anti</w:t>
            </w:r>
            <w:r w:rsidR="0026100E">
              <w:rPr>
                <w:rFonts w:ascii="Arial" w:hAnsi="Arial" w:cs="Arial"/>
                <w:sz w:val="16"/>
                <w:szCs w:val="16"/>
                <w:lang w:eastAsia="en-AU"/>
              </w:rPr>
              <w:noBreakHyphen/>
            </w:r>
            <w:r w:rsidRPr="006D52A9">
              <w:rPr>
                <w:rFonts w:ascii="Arial" w:hAnsi="Arial" w:cs="Arial"/>
                <w:sz w:val="16"/>
                <w:szCs w:val="16"/>
                <w:lang w:eastAsia="en-AU"/>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D52A9">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26100E">
              <w:rPr>
                <w:rFonts w:ascii="Arial" w:hAnsi="Arial" w:cs="Arial"/>
                <w:sz w:val="16"/>
                <w:szCs w:val="16"/>
                <w:lang w:eastAsia="en-AU"/>
              </w:rPr>
              <w:noBreakHyphen/>
            </w:r>
            <w:r w:rsidRPr="006D52A9">
              <w:rPr>
                <w:rFonts w:ascii="Arial" w:hAnsi="Arial" w:cs="Arial"/>
                <w:sz w:val="16"/>
                <w:szCs w:val="16"/>
                <w:lang w:eastAsia="en-AU"/>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6D52A9">
              <w:rPr>
                <w:rFonts w:ascii="Arial" w:hAnsi="Arial" w:cs="Arial"/>
                <w:sz w:val="16"/>
                <w:szCs w:val="16"/>
                <w:lang w:eastAsia="en-AU"/>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26100E">
              <w:rPr>
                <w:rFonts w:ascii="Arial" w:hAnsi="Arial" w:cs="Arial"/>
                <w:sz w:val="16"/>
                <w:szCs w:val="16"/>
                <w:lang w:eastAsia="en-AU"/>
              </w:rPr>
              <w:noBreakHyphen/>
            </w:r>
            <w:r w:rsidRPr="006D52A9">
              <w:rPr>
                <w:rFonts w:ascii="Arial" w:hAnsi="Arial" w:cs="Arial"/>
                <w:sz w:val="16"/>
                <w:szCs w:val="16"/>
                <w:lang w:eastAsia="en-AU"/>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6D52A9">
              <w:rPr>
                <w:rFonts w:ascii="Arial" w:hAnsi="Arial" w:cs="Arial"/>
                <w:sz w:val="16"/>
                <w:szCs w:val="16"/>
                <w:lang w:eastAsia="en-AU"/>
              </w:rPr>
              <w:br/>
              <w:t>Patient must not receive more than 16 weeks of treatment under this restriction; AND</w:t>
            </w:r>
            <w:r w:rsidRPr="006D52A9">
              <w:rPr>
                <w:rFonts w:ascii="Arial" w:hAnsi="Arial" w:cs="Arial"/>
                <w:sz w:val="16"/>
                <w:szCs w:val="16"/>
                <w:lang w:eastAsia="en-AU"/>
              </w:rPr>
              <w:br/>
              <w:t>The treatment must be given concomitantly with methotrexate at a dose of at least 7.5 mg weekly.</w:t>
            </w:r>
            <w:r w:rsidRPr="006D52A9">
              <w:rPr>
                <w:rFonts w:ascii="Arial" w:hAnsi="Arial" w:cs="Arial"/>
                <w:sz w:val="16"/>
                <w:szCs w:val="16"/>
                <w:lang w:eastAsia="en-AU"/>
              </w:rPr>
              <w:br/>
              <w:t>Patient must be aged 18 years or older.</w:t>
            </w:r>
            <w:r w:rsidRPr="006D52A9">
              <w:rPr>
                <w:rFonts w:ascii="Arial" w:hAnsi="Arial" w:cs="Arial"/>
                <w:sz w:val="16"/>
                <w:szCs w:val="16"/>
                <w:lang w:eastAsia="en-AU"/>
              </w:rPr>
              <w:br/>
              <w:t>If methotrexate is contraindicated according to the TGA</w:t>
            </w:r>
            <w:r w:rsidR="0026100E">
              <w:rPr>
                <w:rFonts w:ascii="Arial" w:hAnsi="Arial" w:cs="Arial"/>
                <w:sz w:val="16"/>
                <w:szCs w:val="16"/>
                <w:lang w:eastAsia="en-AU"/>
              </w:rPr>
              <w:noBreakHyphen/>
            </w:r>
            <w:r w:rsidRPr="006D52A9">
              <w:rPr>
                <w:rFonts w:ascii="Arial" w:hAnsi="Arial" w:cs="Arial"/>
                <w:sz w:val="16"/>
                <w:szCs w:val="16"/>
                <w:lang w:eastAsia="en-AU"/>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6D52A9">
              <w:rPr>
                <w:rFonts w:ascii="Arial" w:hAnsi="Arial" w:cs="Arial"/>
                <w:sz w:val="16"/>
                <w:szCs w:val="16"/>
                <w:lang w:eastAsia="en-AU"/>
              </w:rPr>
              <w:br/>
            </w:r>
            <w:r w:rsidRPr="006D52A9">
              <w:rPr>
                <w:rFonts w:ascii="Arial" w:hAnsi="Arial" w:cs="Arial"/>
                <w:sz w:val="16"/>
                <w:szCs w:val="16"/>
                <w:lang w:eastAsia="en-AU"/>
              </w:rPr>
              <w:lastRenderedPageBreak/>
              <w:t>The application must include details of the DMARDs trialled, their doses and duration of treatment, and all relevant contraindications and/or intolerances including severity.</w:t>
            </w:r>
            <w:r w:rsidRPr="006D52A9">
              <w:rPr>
                <w:rFonts w:ascii="Arial" w:hAnsi="Arial" w:cs="Arial"/>
                <w:sz w:val="16"/>
                <w:szCs w:val="16"/>
                <w:lang w:eastAsia="en-AU"/>
              </w:rPr>
              <w:br/>
              <w:t>The requirement to trial at least 2 DMARDs for periods of at least 3 months each can be met using single agents sequentially or by using one or more combinations of DMARDs.</w:t>
            </w:r>
            <w:r w:rsidRPr="006D52A9">
              <w:rPr>
                <w:rFonts w:ascii="Arial" w:hAnsi="Arial" w:cs="Arial"/>
                <w:sz w:val="16"/>
                <w:szCs w:val="16"/>
                <w:lang w:eastAsia="en-AU"/>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D52A9">
              <w:rPr>
                <w:rFonts w:ascii="Arial" w:hAnsi="Arial" w:cs="Arial"/>
                <w:sz w:val="16"/>
                <w:szCs w:val="16"/>
                <w:lang w:eastAsia="en-AU"/>
              </w:rPr>
              <w:br/>
              <w:t>The following criteria indicate failure to achieve an adequate response and must be demonstrated in all patients at the time of the initial application:</w:t>
            </w:r>
            <w:r w:rsidRPr="006D52A9">
              <w:rPr>
                <w:rFonts w:ascii="Arial" w:hAnsi="Arial" w:cs="Arial"/>
                <w:sz w:val="16"/>
                <w:szCs w:val="16"/>
                <w:lang w:eastAsia="en-AU"/>
              </w:rPr>
              <w:br/>
              <w:t>an elevated erythrocyte sedimentation rate (ESR) greater than 25 mm per hour or a C</w:t>
            </w:r>
            <w:r w:rsidR="0026100E">
              <w:rPr>
                <w:rFonts w:ascii="Arial" w:hAnsi="Arial" w:cs="Arial"/>
                <w:sz w:val="16"/>
                <w:szCs w:val="16"/>
                <w:lang w:eastAsia="en-AU"/>
              </w:rPr>
              <w:noBreakHyphen/>
            </w:r>
            <w:r w:rsidRPr="006D52A9">
              <w:rPr>
                <w:rFonts w:ascii="Arial" w:hAnsi="Arial" w:cs="Arial"/>
                <w:sz w:val="16"/>
                <w:szCs w:val="16"/>
                <w:lang w:eastAsia="en-AU"/>
              </w:rPr>
              <w:t>reactive protein (CRP) level greater than 15 mg per L; AND either</w:t>
            </w:r>
            <w:r w:rsidRPr="006D52A9">
              <w:rPr>
                <w:rFonts w:ascii="Arial" w:hAnsi="Arial" w:cs="Arial"/>
                <w:sz w:val="16"/>
                <w:szCs w:val="16"/>
                <w:lang w:eastAsia="en-AU"/>
              </w:rPr>
              <w:br/>
              <w:t>(a) a total active joint count of at least 20 active (swollen and tender) joints; or</w:t>
            </w:r>
            <w:r w:rsidRPr="006D52A9">
              <w:rPr>
                <w:rFonts w:ascii="Arial" w:hAnsi="Arial" w:cs="Arial"/>
                <w:sz w:val="16"/>
                <w:szCs w:val="16"/>
                <w:lang w:eastAsia="en-AU"/>
              </w:rPr>
              <w:br/>
              <w:t>(b) at least 4 active joints from the following list of major joints:</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The joint count and ESR and/or CRP must be determined at the completion of the 6 month intensive DMARD trial, but prior to ceasing DMARD therapy. All measures must be no more than one month old at the time of initial application.</w:t>
            </w:r>
            <w:r w:rsidRPr="006D52A9">
              <w:rPr>
                <w:rFonts w:ascii="Arial" w:hAnsi="Arial" w:cs="Arial"/>
                <w:sz w:val="16"/>
                <w:szCs w:val="16"/>
                <w:lang w:eastAsia="en-AU"/>
              </w:rPr>
              <w:br/>
              <w:t>If the above requirement to demonstrate an elevated ESR or CRP cannot be met, the application must state the reasons why this criterion cannot be satisfied.</w:t>
            </w:r>
            <w:r w:rsidRPr="006D52A9">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lang w:eastAsia="en-AU"/>
              </w:rPr>
              <w:br/>
              <w:t>At the time of authority application, medical practitioners should request the appropriate number of vials to provide sufficient drug, based on the weight of the patient, for a single infusion.</w:t>
            </w:r>
            <w:r w:rsidRPr="006D52A9">
              <w:rPr>
                <w:rFonts w:ascii="Arial" w:hAnsi="Arial" w:cs="Arial"/>
                <w:sz w:val="16"/>
                <w:szCs w:val="16"/>
                <w:lang w:eastAsia="en-AU"/>
              </w:rPr>
              <w:br/>
              <w:t>Up to a maximum of 4 repeats will be authorised.</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a completed authority prescription form(s); and</w:t>
            </w:r>
            <w:r w:rsidRPr="006D52A9">
              <w:rPr>
                <w:rFonts w:ascii="Arial" w:hAnsi="Arial" w:cs="Arial"/>
                <w:sz w:val="16"/>
                <w:szCs w:val="16"/>
                <w:lang w:eastAsia="en-AU"/>
              </w:rPr>
              <w:br/>
              <w:t xml:space="preserve">(2) a completed Rheumatoid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lang w:eastAsia="en-AU"/>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r w:rsidRPr="006D52A9">
              <w:rPr>
                <w:rFonts w:ascii="Arial" w:hAnsi="Arial" w:cs="Arial"/>
                <w:sz w:val="16"/>
                <w:szCs w:val="16"/>
                <w:lang w:eastAsia="en-AU"/>
              </w:rPr>
              <w:br/>
            </w:r>
            <w:r w:rsidRPr="006D52A9">
              <w:rPr>
                <w:rFonts w:ascii="Arial" w:hAnsi="Arial" w:cs="Arial"/>
                <w:sz w:val="16"/>
                <w:szCs w:val="16"/>
                <w:lang w:eastAsia="en-AU"/>
              </w:rPr>
              <w:lastRenderedPageBreak/>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lang w:eastAsia="en-AU"/>
              </w:rPr>
              <w:br/>
              <w:t>If a patient fails to demonstrate a response to treatment with this drug under this restriction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w:t>
            </w:r>
          </w:p>
        </w:tc>
        <w:tc>
          <w:tcPr>
            <w:tcW w:w="929" w:type="pct"/>
            <w:shd w:val="clear" w:color="auto" w:fill="auto"/>
            <w:tcMar>
              <w:top w:w="28" w:type="dxa"/>
              <w:left w:w="28" w:type="dxa"/>
              <w:right w:w="57" w:type="dxa"/>
            </w:tcMar>
          </w:tcPr>
          <w:p w14:paraId="1DA4131F" w14:textId="77777777" w:rsidR="008F47B8" w:rsidRPr="006D52A9" w:rsidDel="003142D3" w:rsidRDefault="008F47B8" w:rsidP="00FB6D2D">
            <w:pPr>
              <w:spacing w:line="240" w:lineRule="auto"/>
              <w:rPr>
                <w:rFonts w:ascii="Arial" w:hAnsi="Arial" w:cs="Arial"/>
                <w:sz w:val="16"/>
                <w:szCs w:val="16"/>
              </w:rPr>
            </w:pPr>
            <w:r w:rsidRPr="006D52A9">
              <w:rPr>
                <w:rFonts w:ascii="Arial" w:hAnsi="Arial" w:cs="Arial"/>
                <w:sz w:val="16"/>
                <w:szCs w:val="16"/>
                <w:lang w:eastAsia="en-AU"/>
              </w:rPr>
              <w:lastRenderedPageBreak/>
              <w:t>Compliance with Written Authority Required procedures</w:t>
            </w:r>
          </w:p>
        </w:tc>
      </w:tr>
      <w:tr w:rsidR="008F47B8" w:rsidRPr="006D52A9" w:rsidDel="00447DAD" w14:paraId="1BC75E5F" w14:textId="77777777" w:rsidTr="00FB6D2D">
        <w:tc>
          <w:tcPr>
            <w:tcW w:w="647" w:type="pct"/>
            <w:tcBorders>
              <w:bottom w:val="single" w:sz="4" w:space="0" w:color="auto"/>
            </w:tcBorders>
            <w:shd w:val="clear" w:color="auto" w:fill="auto"/>
            <w:tcMar>
              <w:top w:w="28" w:type="dxa"/>
              <w:left w:w="28" w:type="dxa"/>
            </w:tcMar>
          </w:tcPr>
          <w:p w14:paraId="194BBCBB" w14:textId="77777777" w:rsidR="008F47B8" w:rsidRPr="006D52A9" w:rsidDel="00447DAD" w:rsidRDefault="008F47B8" w:rsidP="00FB6D2D">
            <w:pPr>
              <w:spacing w:line="240" w:lineRule="auto"/>
              <w:rPr>
                <w:rFonts w:ascii="Arial" w:hAnsi="Arial" w:cs="Arial"/>
                <w:sz w:val="16"/>
                <w:szCs w:val="16"/>
              </w:rPr>
            </w:pPr>
            <w:bookmarkStart w:id="63" w:name="CU_19156343"/>
            <w:bookmarkStart w:id="64" w:name="CU_22165068"/>
            <w:bookmarkStart w:id="65" w:name="CU_23165700"/>
            <w:bookmarkEnd w:id="63"/>
            <w:bookmarkEnd w:id="64"/>
            <w:bookmarkEnd w:id="65"/>
            <w:r w:rsidRPr="006D52A9">
              <w:rPr>
                <w:rFonts w:ascii="Arial" w:hAnsi="Arial" w:cs="Arial"/>
                <w:sz w:val="16"/>
                <w:szCs w:val="16"/>
              </w:rPr>
              <w:lastRenderedPageBreak/>
              <w:t>Adalimumab</w:t>
            </w:r>
          </w:p>
        </w:tc>
        <w:tc>
          <w:tcPr>
            <w:tcW w:w="283" w:type="pct"/>
            <w:tcBorders>
              <w:bottom w:val="single" w:sz="4" w:space="0" w:color="auto"/>
            </w:tcBorders>
            <w:shd w:val="clear" w:color="auto" w:fill="auto"/>
            <w:tcMar>
              <w:top w:w="28" w:type="dxa"/>
              <w:left w:w="28" w:type="dxa"/>
            </w:tcMar>
          </w:tcPr>
          <w:p w14:paraId="09940C4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C9384</w:t>
            </w:r>
          </w:p>
        </w:tc>
        <w:tc>
          <w:tcPr>
            <w:tcW w:w="274" w:type="pct"/>
            <w:tcBorders>
              <w:bottom w:val="single" w:sz="4" w:space="0" w:color="auto"/>
            </w:tcBorders>
            <w:shd w:val="clear" w:color="auto" w:fill="auto"/>
            <w:tcMar>
              <w:top w:w="28" w:type="dxa"/>
              <w:left w:w="28" w:type="dxa"/>
            </w:tcMar>
          </w:tcPr>
          <w:p w14:paraId="0FA8D2EC"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AB05F4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t xml:space="preserve">Continuing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balance of supply</w:t>
            </w:r>
            <w:r w:rsidRPr="006D52A9">
              <w:rPr>
                <w:rFonts w:ascii="Arial" w:hAnsi="Arial" w:cs="Arial"/>
                <w:sz w:val="16"/>
                <w:szCs w:val="16"/>
                <w:lang w:eastAsia="en-AU"/>
              </w:rPr>
              <w:br/>
              <w:t>Must be treated by a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have received insufficient therapy with this drug for this condition under the continuing treatment restriction to complete 24 weeks treatment; AND</w:t>
            </w:r>
            <w:r w:rsidRPr="006D52A9">
              <w:rPr>
                <w:rFonts w:ascii="Arial" w:hAnsi="Arial" w:cs="Arial"/>
                <w:sz w:val="16"/>
                <w:szCs w:val="16"/>
                <w:lang w:eastAsia="en-AU"/>
              </w:rPr>
              <w:br/>
              <w:t>The treatment must provide no more than the balance of up to 24 weeks treatment available under the above restriction.</w:t>
            </w:r>
          </w:p>
        </w:tc>
        <w:tc>
          <w:tcPr>
            <w:tcW w:w="929" w:type="pct"/>
            <w:tcBorders>
              <w:bottom w:val="single" w:sz="4" w:space="0" w:color="auto"/>
            </w:tcBorders>
            <w:shd w:val="clear" w:color="auto" w:fill="auto"/>
            <w:tcMar>
              <w:top w:w="28" w:type="dxa"/>
              <w:left w:w="28" w:type="dxa"/>
              <w:right w:w="57" w:type="dxa"/>
            </w:tcMar>
          </w:tcPr>
          <w:p w14:paraId="3B43314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Compliance with Authority Required procedures</w:t>
            </w:r>
          </w:p>
        </w:tc>
      </w:tr>
      <w:tr w:rsidR="008F47B8" w:rsidRPr="006D52A9" w:rsidDel="00447DAD" w14:paraId="27482A78" w14:textId="77777777" w:rsidTr="00FB6D2D">
        <w:tc>
          <w:tcPr>
            <w:tcW w:w="647" w:type="pct"/>
            <w:tcBorders>
              <w:bottom w:val="single" w:sz="4" w:space="0" w:color="auto"/>
            </w:tcBorders>
            <w:shd w:val="clear" w:color="auto" w:fill="auto"/>
            <w:tcMar>
              <w:top w:w="28" w:type="dxa"/>
              <w:left w:w="28" w:type="dxa"/>
            </w:tcMar>
          </w:tcPr>
          <w:p w14:paraId="4A7C1E9B" w14:textId="77777777" w:rsidR="008F47B8" w:rsidRPr="006D52A9" w:rsidDel="00447DAD"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6AEEDB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C9417</w:t>
            </w:r>
          </w:p>
        </w:tc>
        <w:tc>
          <w:tcPr>
            <w:tcW w:w="274" w:type="pct"/>
            <w:tcBorders>
              <w:bottom w:val="single" w:sz="4" w:space="0" w:color="auto"/>
            </w:tcBorders>
            <w:shd w:val="clear" w:color="auto" w:fill="auto"/>
            <w:tcMar>
              <w:top w:w="28" w:type="dxa"/>
              <w:left w:w="28" w:type="dxa"/>
            </w:tcMar>
          </w:tcPr>
          <w:p w14:paraId="4FE22AF2"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29658D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1 (new patient) or Initial 2 (change or recommencement of treatment after a break in biological medicine of less than 12 months) or Initial 3 (recommencement of treatment after a break in biological medicine of more than 12 months) </w:t>
            </w:r>
            <w:r w:rsidR="0026100E">
              <w:rPr>
                <w:rFonts w:ascii="Arial" w:hAnsi="Arial" w:cs="Arial"/>
                <w:sz w:val="16"/>
                <w:szCs w:val="16"/>
                <w:lang w:eastAsia="en-AU"/>
              </w:rPr>
              <w:noBreakHyphen/>
            </w:r>
            <w:r w:rsidRPr="006D52A9">
              <w:rPr>
                <w:rFonts w:ascii="Arial" w:hAnsi="Arial" w:cs="Arial"/>
                <w:sz w:val="16"/>
                <w:szCs w:val="16"/>
                <w:lang w:eastAsia="en-AU"/>
              </w:rPr>
              <w:t xml:space="preserve"> balance of supply</w:t>
            </w:r>
            <w:r w:rsidRPr="006D52A9">
              <w:rPr>
                <w:rFonts w:ascii="Arial" w:hAnsi="Arial" w:cs="Arial"/>
                <w:sz w:val="16"/>
                <w:szCs w:val="16"/>
                <w:lang w:eastAsia="en-AU"/>
              </w:rPr>
              <w:br/>
              <w:t>Must be treated by a paediatric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have received insufficient therapy with this drug for this condition under the Initial 1 (new patient) restriction to complete 16 weeks treatment; OR</w:t>
            </w:r>
            <w:r w:rsidRPr="006D52A9">
              <w:rPr>
                <w:rFonts w:ascii="Arial" w:hAnsi="Arial" w:cs="Arial"/>
                <w:sz w:val="16"/>
                <w:szCs w:val="16"/>
                <w:lang w:eastAsia="en-AU"/>
              </w:rPr>
              <w:br/>
              <w:t>Patient must have received insufficient therapy with this drug for this condition under the Initial 2 (change or recommencement of treatment after a break in biological medicine of less than 12 months) restriction to complete 16 weeks treatment; OR</w:t>
            </w:r>
            <w:r w:rsidRPr="006D52A9">
              <w:rPr>
                <w:rFonts w:ascii="Arial" w:hAnsi="Arial" w:cs="Arial"/>
                <w:sz w:val="16"/>
                <w:szCs w:val="16"/>
                <w:lang w:eastAsia="en-AU"/>
              </w:rPr>
              <w:br/>
              <w:t>Patient must have received insufficient therapy with this drug for this condition under the Initial 3 (recommencement of treatment after a break in biological medicine of more than 12 months) restriction to complete 16 weeks treatment; AND</w:t>
            </w:r>
            <w:r w:rsidRPr="006D52A9">
              <w:rPr>
                <w:rFonts w:ascii="Arial" w:hAnsi="Arial" w:cs="Arial"/>
                <w:sz w:val="16"/>
                <w:szCs w:val="16"/>
                <w:lang w:eastAsia="en-AU"/>
              </w:rPr>
              <w:br/>
              <w:t>The treatment must provide no more than the balance of up to 16 weeks treatment available under the above restrictions.</w:t>
            </w:r>
          </w:p>
        </w:tc>
        <w:tc>
          <w:tcPr>
            <w:tcW w:w="929" w:type="pct"/>
            <w:tcBorders>
              <w:bottom w:val="single" w:sz="4" w:space="0" w:color="auto"/>
            </w:tcBorders>
            <w:shd w:val="clear" w:color="auto" w:fill="auto"/>
            <w:tcMar>
              <w:top w:w="28" w:type="dxa"/>
              <w:left w:w="28" w:type="dxa"/>
              <w:right w:w="57" w:type="dxa"/>
            </w:tcMar>
          </w:tcPr>
          <w:p w14:paraId="4CDBCCA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Compliance with Authority Required procedures</w:t>
            </w:r>
          </w:p>
        </w:tc>
      </w:tr>
      <w:tr w:rsidR="008F47B8" w:rsidRPr="006D52A9" w:rsidDel="00447DAD" w14:paraId="63AB132F" w14:textId="77777777" w:rsidTr="00FB6D2D">
        <w:tc>
          <w:tcPr>
            <w:tcW w:w="647" w:type="pct"/>
            <w:tcBorders>
              <w:bottom w:val="single" w:sz="4" w:space="0" w:color="auto"/>
            </w:tcBorders>
            <w:shd w:val="clear" w:color="auto" w:fill="auto"/>
            <w:tcMar>
              <w:top w:w="28" w:type="dxa"/>
              <w:left w:w="28" w:type="dxa"/>
            </w:tcMar>
          </w:tcPr>
          <w:p w14:paraId="16920FB8" w14:textId="77777777" w:rsidR="008F47B8" w:rsidRPr="006D52A9" w:rsidDel="00447DAD"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C71BC50"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C10582</w:t>
            </w:r>
          </w:p>
        </w:tc>
        <w:tc>
          <w:tcPr>
            <w:tcW w:w="274" w:type="pct"/>
            <w:tcBorders>
              <w:bottom w:val="single" w:sz="4" w:space="0" w:color="auto"/>
            </w:tcBorders>
            <w:shd w:val="clear" w:color="auto" w:fill="auto"/>
            <w:tcMar>
              <w:top w:w="28" w:type="dxa"/>
              <w:left w:w="28" w:type="dxa"/>
            </w:tcMar>
          </w:tcPr>
          <w:p w14:paraId="32524B4A"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A1F2409"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2 (change or recommencement of treatment after a break in biological medicine of less than 12 months)</w:t>
            </w:r>
            <w:r w:rsidRPr="006D52A9">
              <w:rPr>
                <w:rFonts w:ascii="Arial" w:hAnsi="Arial" w:cs="Arial"/>
                <w:sz w:val="16"/>
                <w:szCs w:val="16"/>
                <w:lang w:eastAsia="en-AU"/>
              </w:rPr>
              <w:br/>
              <w:t>Must be treated by a paediatric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have received prior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in this treatment cycle; AND</w:t>
            </w:r>
            <w:r w:rsidRPr="006D52A9">
              <w:rPr>
                <w:rFonts w:ascii="Arial" w:hAnsi="Arial" w:cs="Arial"/>
                <w:sz w:val="16"/>
                <w:szCs w:val="16"/>
                <w:lang w:eastAsia="en-AU"/>
              </w:rPr>
              <w:br/>
              <w:t>Patient must not have already failed, or ceased to respond to,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during the current treatment cycle; AND</w:t>
            </w:r>
            <w:r w:rsidRPr="006D52A9">
              <w:rPr>
                <w:rFonts w:ascii="Arial" w:hAnsi="Arial" w:cs="Arial"/>
                <w:sz w:val="16"/>
                <w:szCs w:val="16"/>
                <w:lang w:eastAsia="en-AU"/>
              </w:rPr>
              <w:br/>
            </w:r>
            <w:r w:rsidRPr="006D52A9">
              <w:rPr>
                <w:rFonts w:ascii="Arial" w:hAnsi="Arial" w:cs="Arial"/>
                <w:sz w:val="16"/>
                <w:szCs w:val="16"/>
                <w:lang w:eastAsia="en-AU"/>
              </w:rPr>
              <w:lastRenderedPageBreak/>
              <w:t>Patient must not receive more than 16 weeks of treatment under this restriction.</w:t>
            </w:r>
            <w:r w:rsidRPr="006D52A9">
              <w:rPr>
                <w:rFonts w:ascii="Arial" w:hAnsi="Arial" w:cs="Arial"/>
                <w:sz w:val="16"/>
                <w:szCs w:val="16"/>
                <w:lang w:eastAsia="en-AU"/>
              </w:rPr>
              <w:br/>
              <w:t>An adequate response to treatment is defined as:</w:t>
            </w:r>
            <w:r w:rsidRPr="006D52A9">
              <w:rPr>
                <w:rFonts w:ascii="Arial" w:hAnsi="Arial" w:cs="Arial"/>
                <w:sz w:val="16"/>
                <w:szCs w:val="16"/>
                <w:lang w:eastAsia="en-AU"/>
              </w:rPr>
              <w:br/>
              <w:t>(a) a reduction in the total active (swollen and tender) joint count by at least 50% from baseline, where baseline is at least 20 active joints; or</w:t>
            </w:r>
            <w:r w:rsidRPr="006D52A9">
              <w:rPr>
                <w:rFonts w:ascii="Arial" w:hAnsi="Arial" w:cs="Arial"/>
                <w:sz w:val="16"/>
                <w:szCs w:val="16"/>
                <w:lang w:eastAsia="en-AU"/>
              </w:rPr>
              <w:br/>
              <w:t>(b) a reduction in the number of the following active joints, from at least 4, by at least 50%:</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completed authority prescription form(s); and</w:t>
            </w:r>
            <w:r w:rsidRPr="006D52A9">
              <w:rPr>
                <w:rFonts w:ascii="Arial" w:hAnsi="Arial" w:cs="Arial"/>
                <w:sz w:val="16"/>
                <w:szCs w:val="16"/>
                <w:lang w:eastAsia="en-AU"/>
              </w:rPr>
              <w:br/>
              <w:t xml:space="preserve">(2) a completed Juvenile Idiopathic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An application for a patient who has received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for this condition who wishes to change or recommence therapy with this drug, must be accompanied by evidence of a response to the patient’s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within the timeframes specified below.</w:t>
            </w:r>
            <w:r w:rsidRPr="006D52A9">
              <w:rPr>
                <w:rFonts w:ascii="Arial" w:hAnsi="Arial" w:cs="Arial"/>
                <w:sz w:val="16"/>
                <w:szCs w:val="16"/>
                <w:lang w:eastAsia="en-AU"/>
              </w:rPr>
              <w:br/>
              <w:t>Where the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w:t>
            </w:r>
            <w:r w:rsidRPr="006D52A9">
              <w:rPr>
                <w:rFonts w:ascii="Arial" w:hAnsi="Arial" w:cs="Arial"/>
                <w:sz w:val="16"/>
                <w:szCs w:val="16"/>
                <w:lang w:eastAsia="en-AU"/>
              </w:rPr>
              <w:br/>
              <w:t>Where the response assessment is not submitted within this timeframe, the patient will be deemed to have failed to respond to treatment with this drug.</w:t>
            </w:r>
            <w:r w:rsidRPr="006D52A9">
              <w:rPr>
                <w:rFonts w:ascii="Arial" w:hAnsi="Arial" w:cs="Arial"/>
                <w:sz w:val="16"/>
                <w:szCs w:val="16"/>
                <w:lang w:eastAsia="en-AU"/>
              </w:rPr>
              <w:br/>
              <w:t>If a patient fails to demonstrate a response to treatment with this drug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lang w:eastAsia="en-AU"/>
              </w:rPr>
              <w:br/>
              <w:t>A patient who fails to demonstrate a response to treatment with this drug under this restriction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in this treatment cycle. A patient may re</w:t>
            </w:r>
            <w:r w:rsidR="0026100E">
              <w:rPr>
                <w:rFonts w:ascii="Arial" w:hAnsi="Arial" w:cs="Arial"/>
                <w:sz w:val="16"/>
                <w:szCs w:val="16"/>
                <w:lang w:eastAsia="en-AU"/>
              </w:rPr>
              <w:noBreakHyphen/>
            </w:r>
            <w:r w:rsidRPr="006D52A9">
              <w:rPr>
                <w:rFonts w:ascii="Arial" w:hAnsi="Arial" w:cs="Arial"/>
                <w:sz w:val="16"/>
                <w:szCs w:val="16"/>
                <w:lang w:eastAsia="en-AU"/>
              </w:rPr>
              <w:t>trial this drug after a minimum of 12 months have elapsed between the date the last prescription for a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was approved in this cycle and the date of the first application under a new cycle under the initial 3 treatment restriction.</w:t>
            </w:r>
            <w:r w:rsidRPr="006D52A9">
              <w:rPr>
                <w:rFonts w:ascii="Arial" w:hAnsi="Arial" w:cs="Arial"/>
                <w:sz w:val="16"/>
                <w:szCs w:val="16"/>
                <w:lang w:eastAsia="en-AU"/>
              </w:rPr>
              <w:br/>
              <w:t>If a patient fails to respond to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3 times (once with each agent)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therapy in this treatment cycle.</w:t>
            </w:r>
          </w:p>
        </w:tc>
        <w:tc>
          <w:tcPr>
            <w:tcW w:w="929" w:type="pct"/>
            <w:tcBorders>
              <w:bottom w:val="single" w:sz="4" w:space="0" w:color="auto"/>
            </w:tcBorders>
            <w:shd w:val="clear" w:color="auto" w:fill="auto"/>
            <w:tcMar>
              <w:top w:w="28" w:type="dxa"/>
              <w:left w:w="28" w:type="dxa"/>
              <w:right w:w="57" w:type="dxa"/>
            </w:tcMar>
          </w:tcPr>
          <w:p w14:paraId="37B6320E"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lastRenderedPageBreak/>
              <w:t>Compliance with Written Authority Required procedures</w:t>
            </w:r>
          </w:p>
        </w:tc>
      </w:tr>
      <w:tr w:rsidR="008F47B8" w:rsidRPr="006D52A9" w:rsidDel="00447DAD" w14:paraId="51A0D74F" w14:textId="77777777" w:rsidTr="00FB6D2D">
        <w:tc>
          <w:tcPr>
            <w:tcW w:w="647" w:type="pct"/>
            <w:tcBorders>
              <w:bottom w:val="single" w:sz="4" w:space="0" w:color="auto"/>
            </w:tcBorders>
            <w:shd w:val="clear" w:color="auto" w:fill="auto"/>
            <w:tcMar>
              <w:top w:w="28" w:type="dxa"/>
              <w:left w:w="28" w:type="dxa"/>
            </w:tcMar>
          </w:tcPr>
          <w:p w14:paraId="350BD295" w14:textId="77777777" w:rsidR="008F47B8" w:rsidRPr="006D52A9" w:rsidDel="00447DAD"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19A762C"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C10583</w:t>
            </w:r>
          </w:p>
        </w:tc>
        <w:tc>
          <w:tcPr>
            <w:tcW w:w="274" w:type="pct"/>
            <w:tcBorders>
              <w:bottom w:val="single" w:sz="4" w:space="0" w:color="auto"/>
            </w:tcBorders>
            <w:shd w:val="clear" w:color="auto" w:fill="auto"/>
            <w:tcMar>
              <w:top w:w="28" w:type="dxa"/>
              <w:left w:w="28" w:type="dxa"/>
            </w:tcMar>
          </w:tcPr>
          <w:p w14:paraId="3DB439DF"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61CE937"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r>
            <w:r w:rsidRPr="006D52A9">
              <w:rPr>
                <w:rFonts w:ascii="Arial" w:hAnsi="Arial" w:cs="Arial"/>
                <w:sz w:val="16"/>
                <w:szCs w:val="16"/>
                <w:lang w:eastAsia="en-AU"/>
              </w:rPr>
              <w:lastRenderedPageBreak/>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1 (new patient)</w:t>
            </w:r>
            <w:r w:rsidRPr="006D52A9">
              <w:rPr>
                <w:rFonts w:ascii="Arial" w:hAnsi="Arial" w:cs="Arial"/>
                <w:sz w:val="16"/>
                <w:szCs w:val="16"/>
                <w:lang w:eastAsia="en-AU"/>
              </w:rPr>
              <w:br/>
              <w:t>Must be treated by a paediatric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not have received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AND</w:t>
            </w:r>
            <w:r w:rsidRPr="006D52A9">
              <w:rPr>
                <w:rFonts w:ascii="Arial" w:hAnsi="Arial" w:cs="Arial"/>
                <w:sz w:val="16"/>
                <w:szCs w:val="16"/>
                <w:lang w:eastAsia="en-AU"/>
              </w:rPr>
              <w:br/>
              <w:t>Patient must have demonstrated severe intolerance of, or toxicity due to, methotrexate; OR</w:t>
            </w:r>
            <w:r w:rsidRPr="006D52A9">
              <w:rPr>
                <w:rFonts w:ascii="Arial" w:hAnsi="Arial" w:cs="Arial"/>
                <w:sz w:val="16"/>
                <w:szCs w:val="16"/>
                <w:lang w:eastAsia="en-AU"/>
              </w:rPr>
              <w:br/>
              <w:t>Patient must have demonstrated failure to achieve an adequate response to 1 or more of the following treatment regimens: (i) oral or parenteral methotrexate at a dose of at least 20 mg per square metre weekly, alone or in combination with oral or intra</w:t>
            </w:r>
            <w:r w:rsidR="0026100E">
              <w:rPr>
                <w:rFonts w:ascii="Arial" w:hAnsi="Arial" w:cs="Arial"/>
                <w:sz w:val="16"/>
                <w:szCs w:val="16"/>
                <w:lang w:eastAsia="en-AU"/>
              </w:rPr>
              <w:noBreakHyphen/>
            </w:r>
            <w:r w:rsidRPr="006D52A9">
              <w:rPr>
                <w:rFonts w:ascii="Arial" w:hAnsi="Arial" w:cs="Arial"/>
                <w:sz w:val="16"/>
                <w:szCs w:val="16"/>
                <w:lang w:eastAsia="en-AU"/>
              </w:rPr>
              <w:t>articular corticosteroids, for a minimum of 3 months; or (ii) oral methotrexate at a dose of at least 10 mg per square metre weekly together with at least 1 other disease modifying anti</w:t>
            </w:r>
            <w:r w:rsidR="0026100E">
              <w:rPr>
                <w:rFonts w:ascii="Arial" w:hAnsi="Arial" w:cs="Arial"/>
                <w:sz w:val="16"/>
                <w:szCs w:val="16"/>
                <w:lang w:eastAsia="en-AU"/>
              </w:rPr>
              <w:noBreakHyphen/>
            </w:r>
            <w:r w:rsidRPr="006D52A9">
              <w:rPr>
                <w:rFonts w:ascii="Arial" w:hAnsi="Arial" w:cs="Arial"/>
                <w:sz w:val="16"/>
                <w:szCs w:val="16"/>
                <w:lang w:eastAsia="en-AU"/>
              </w:rPr>
              <w:t>rheumatic drug (DMARD), alone or in combination with corticosteroids, for a minimum of 3 months; AND</w:t>
            </w:r>
            <w:r w:rsidRPr="006D52A9">
              <w:rPr>
                <w:rFonts w:ascii="Arial" w:hAnsi="Arial" w:cs="Arial"/>
                <w:sz w:val="16"/>
                <w:szCs w:val="16"/>
                <w:lang w:eastAsia="en-AU"/>
              </w:rPr>
              <w:br/>
              <w:t>Patient must not receive more than 16 weeks of treatment under this restriction.</w:t>
            </w:r>
            <w:r w:rsidRPr="006D52A9">
              <w:rPr>
                <w:rFonts w:ascii="Arial" w:hAnsi="Arial" w:cs="Arial"/>
                <w:sz w:val="16"/>
                <w:szCs w:val="16"/>
                <w:lang w:eastAsia="en-AU"/>
              </w:rPr>
              <w:br/>
              <w:t>Patient must be under 18 years of age.</w:t>
            </w:r>
            <w:r w:rsidRPr="006D52A9">
              <w:rPr>
                <w:rFonts w:ascii="Arial" w:hAnsi="Arial" w:cs="Arial"/>
                <w:sz w:val="16"/>
                <w:szCs w:val="16"/>
                <w:lang w:eastAsia="en-AU"/>
              </w:rPr>
              <w:br/>
              <w:t>Severe intolerance to methotrexate is defined as intractable nausea and vomiting and general malaise unresponsive to manoeuvres, including reducing or omitting concomitant non</w:t>
            </w:r>
            <w:r w:rsidR="0026100E">
              <w:rPr>
                <w:rFonts w:ascii="Arial" w:hAnsi="Arial" w:cs="Arial"/>
                <w:sz w:val="16"/>
                <w:szCs w:val="16"/>
                <w:lang w:eastAsia="en-AU"/>
              </w:rPr>
              <w:noBreakHyphen/>
            </w:r>
            <w:r w:rsidRPr="006D52A9">
              <w:rPr>
                <w:rFonts w:ascii="Arial" w:hAnsi="Arial" w:cs="Arial"/>
                <w:sz w:val="16"/>
                <w:szCs w:val="16"/>
                <w:lang w:eastAsia="en-AU"/>
              </w:rPr>
              <w:t>steroidal anti</w:t>
            </w:r>
            <w:r w:rsidR="0026100E">
              <w:rPr>
                <w:rFonts w:ascii="Arial" w:hAnsi="Arial" w:cs="Arial"/>
                <w:sz w:val="16"/>
                <w:szCs w:val="16"/>
                <w:lang w:eastAsia="en-AU"/>
              </w:rPr>
              <w:noBreakHyphen/>
            </w:r>
            <w:r w:rsidRPr="006D52A9">
              <w:rPr>
                <w:rFonts w:ascii="Arial" w:hAnsi="Arial" w:cs="Arial"/>
                <w:sz w:val="16"/>
                <w:szCs w:val="16"/>
                <w:lang w:eastAsia="en-AU"/>
              </w:rPr>
              <w:t>inflammatory drugs (NSAIDs) on the day of methotrexate administration, use of folic acid supplementation, or administering the dose of methotrexate in 2 divided doses over 24 hours.</w:t>
            </w:r>
            <w:r w:rsidRPr="006D52A9">
              <w:rPr>
                <w:rFonts w:ascii="Arial" w:hAnsi="Arial" w:cs="Arial"/>
                <w:sz w:val="16"/>
                <w:szCs w:val="16"/>
                <w:lang w:eastAsia="en-AU"/>
              </w:rPr>
              <w:br/>
              <w:t>Toxicity due to methotrexate is defined as evidence of hepatotoxicity with repeated elevations of transaminases, bone marrow suppression temporally related to methotrexate use, pneumonitis, or serious sepsis.</w:t>
            </w:r>
            <w:r w:rsidRPr="006D52A9">
              <w:rPr>
                <w:rFonts w:ascii="Arial" w:hAnsi="Arial" w:cs="Arial"/>
                <w:sz w:val="16"/>
                <w:szCs w:val="16"/>
                <w:lang w:eastAsia="en-AU"/>
              </w:rPr>
              <w:br/>
              <w:t>If treatment with methotrexate alone or in combination with another DMARD is contraindicated according to the relevant TGA</w:t>
            </w:r>
            <w:r w:rsidR="0026100E">
              <w:rPr>
                <w:rFonts w:ascii="Arial" w:hAnsi="Arial" w:cs="Arial"/>
                <w:sz w:val="16"/>
                <w:szCs w:val="16"/>
                <w:lang w:eastAsia="en-AU"/>
              </w:rPr>
              <w:noBreakHyphen/>
            </w:r>
            <w:r w:rsidRPr="006D52A9">
              <w:rPr>
                <w:rFonts w:ascii="Arial" w:hAnsi="Arial" w:cs="Arial"/>
                <w:sz w:val="16"/>
                <w:szCs w:val="16"/>
                <w:lang w:eastAsia="en-AU"/>
              </w:rPr>
              <w:t>approved Product Information, details must be provided at the time of application.</w:t>
            </w:r>
            <w:r w:rsidRPr="006D52A9">
              <w:rPr>
                <w:rFonts w:ascii="Arial" w:hAnsi="Arial" w:cs="Arial"/>
                <w:sz w:val="16"/>
                <w:szCs w:val="16"/>
                <w:lang w:eastAsia="en-AU"/>
              </w:rPr>
              <w:br/>
              <w:t>If intolerance to treatment develops during the relevant period of use, which is of a severity necessitating permanent treatment withdrawal, details of this toxicity must be provided at the time of application.</w:t>
            </w:r>
            <w:r w:rsidRPr="006D52A9">
              <w:rPr>
                <w:rFonts w:ascii="Arial" w:hAnsi="Arial" w:cs="Arial"/>
                <w:sz w:val="16"/>
                <w:szCs w:val="16"/>
                <w:lang w:eastAsia="en-AU"/>
              </w:rPr>
              <w:br/>
              <w:t>The following criteria indicate failure to achieve an adequate response and must be demonstrated in all patients at the time of the initial application:</w:t>
            </w:r>
            <w:r w:rsidRPr="006D52A9">
              <w:rPr>
                <w:rFonts w:ascii="Arial" w:hAnsi="Arial" w:cs="Arial"/>
                <w:sz w:val="16"/>
                <w:szCs w:val="16"/>
                <w:lang w:eastAsia="en-AU"/>
              </w:rPr>
              <w:br/>
              <w:t>(a) an active joint count of at least 20 active (swollen and tender) joints; OR</w:t>
            </w:r>
            <w:r w:rsidRPr="006D52A9">
              <w:rPr>
                <w:rFonts w:ascii="Arial" w:hAnsi="Arial" w:cs="Arial"/>
                <w:sz w:val="16"/>
                <w:szCs w:val="16"/>
                <w:lang w:eastAsia="en-AU"/>
              </w:rPr>
              <w:br/>
              <w:t>(b) at least 4 active joints from the following list:</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The joint count assessment must be performed preferably whilst still on DMARD treatment, but no longer than 4 weeks following cessation of the most recent prior treatment.</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completed authority prescription form(s); and</w:t>
            </w:r>
            <w:r w:rsidRPr="006D52A9">
              <w:rPr>
                <w:rFonts w:ascii="Arial" w:hAnsi="Arial" w:cs="Arial"/>
                <w:sz w:val="16"/>
                <w:szCs w:val="16"/>
                <w:lang w:eastAsia="en-AU"/>
              </w:rPr>
              <w:br/>
              <w:t xml:space="preserve">(2) a completed Juvenile Idiopathic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6D52A9">
              <w:rPr>
                <w:rFonts w:ascii="Arial" w:hAnsi="Arial" w:cs="Arial"/>
                <w:sz w:val="16"/>
                <w:szCs w:val="16"/>
                <w:lang w:eastAsia="en-AU"/>
              </w:rPr>
              <w:br/>
            </w:r>
            <w:r w:rsidRPr="006D52A9">
              <w:rPr>
                <w:rFonts w:ascii="Arial" w:hAnsi="Arial" w:cs="Arial"/>
                <w:sz w:val="16"/>
                <w:szCs w:val="16"/>
                <w:lang w:eastAsia="en-AU"/>
              </w:rPr>
              <w:lastRenderedPageBreak/>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w:t>
            </w:r>
            <w:r w:rsidRPr="006D52A9">
              <w:rPr>
                <w:rFonts w:ascii="Arial" w:hAnsi="Arial" w:cs="Arial"/>
                <w:sz w:val="16"/>
                <w:szCs w:val="16"/>
                <w:lang w:eastAsia="en-AU"/>
              </w:rPr>
              <w:br/>
              <w:t>Where the response assessment is not submitted within this timeframe, the patient will be deemed to have failed to respond to treatment with this drug.</w:t>
            </w:r>
            <w:r w:rsidRPr="006D52A9">
              <w:rPr>
                <w:rFonts w:ascii="Arial" w:hAnsi="Arial" w:cs="Arial"/>
                <w:sz w:val="16"/>
                <w:szCs w:val="16"/>
                <w:lang w:eastAsia="en-AU"/>
              </w:rPr>
              <w:br/>
              <w:t>If a patient fails to demonstrate a response to treatment with this drug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Serious adverse reaction of a severity resulting in the necessity for permanent withdrawal of treatment is not considered as a treatment failure.</w:t>
            </w:r>
          </w:p>
        </w:tc>
        <w:tc>
          <w:tcPr>
            <w:tcW w:w="929" w:type="pct"/>
            <w:tcBorders>
              <w:bottom w:val="single" w:sz="4" w:space="0" w:color="auto"/>
            </w:tcBorders>
            <w:shd w:val="clear" w:color="auto" w:fill="auto"/>
            <w:tcMar>
              <w:top w:w="28" w:type="dxa"/>
              <w:left w:w="28" w:type="dxa"/>
              <w:right w:w="57" w:type="dxa"/>
            </w:tcMar>
          </w:tcPr>
          <w:p w14:paraId="5E2BCE93"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lastRenderedPageBreak/>
              <w:t xml:space="preserve">Compliance with Written </w:t>
            </w:r>
            <w:r w:rsidRPr="006D52A9">
              <w:rPr>
                <w:rFonts w:ascii="Arial" w:hAnsi="Arial" w:cs="Arial"/>
                <w:sz w:val="16"/>
                <w:szCs w:val="16"/>
                <w:lang w:eastAsia="en-AU"/>
              </w:rPr>
              <w:lastRenderedPageBreak/>
              <w:t>Authority Required procedures</w:t>
            </w:r>
          </w:p>
        </w:tc>
      </w:tr>
      <w:tr w:rsidR="008F47B8" w:rsidRPr="006D52A9" w:rsidDel="00447DAD" w14:paraId="1B516F48" w14:textId="77777777" w:rsidTr="00FB6D2D">
        <w:tc>
          <w:tcPr>
            <w:tcW w:w="647" w:type="pct"/>
            <w:tcBorders>
              <w:bottom w:val="single" w:sz="4" w:space="0" w:color="auto"/>
            </w:tcBorders>
            <w:shd w:val="clear" w:color="auto" w:fill="auto"/>
            <w:tcMar>
              <w:top w:w="28" w:type="dxa"/>
              <w:left w:w="28" w:type="dxa"/>
            </w:tcMar>
          </w:tcPr>
          <w:p w14:paraId="2270DFD9" w14:textId="77777777" w:rsidR="008F47B8" w:rsidRPr="006D52A9" w:rsidDel="00447DAD"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F483BC1"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C10600</w:t>
            </w:r>
          </w:p>
        </w:tc>
        <w:tc>
          <w:tcPr>
            <w:tcW w:w="274" w:type="pct"/>
            <w:tcBorders>
              <w:bottom w:val="single" w:sz="4" w:space="0" w:color="auto"/>
            </w:tcBorders>
            <w:shd w:val="clear" w:color="auto" w:fill="auto"/>
            <w:tcMar>
              <w:top w:w="28" w:type="dxa"/>
              <w:left w:w="28" w:type="dxa"/>
            </w:tcMar>
          </w:tcPr>
          <w:p w14:paraId="71295698"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9EBEC3E"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t>Continuing treatment</w:t>
            </w:r>
            <w:r w:rsidRPr="006D52A9">
              <w:rPr>
                <w:rFonts w:ascii="Arial" w:hAnsi="Arial" w:cs="Arial"/>
                <w:sz w:val="16"/>
                <w:szCs w:val="16"/>
                <w:lang w:eastAsia="en-AU"/>
              </w:rPr>
              <w:br/>
              <w:t>Must be treated by a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have received this drug as their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for this condition; AND</w:t>
            </w:r>
            <w:r w:rsidRPr="006D52A9">
              <w:rPr>
                <w:rFonts w:ascii="Arial" w:hAnsi="Arial" w:cs="Arial"/>
                <w:sz w:val="16"/>
                <w:szCs w:val="16"/>
                <w:lang w:eastAsia="en-AU"/>
              </w:rPr>
              <w:br/>
              <w:t>Patient must have demonstrated an adequate response to treatment with this drug; AND</w:t>
            </w:r>
            <w:r w:rsidRPr="006D52A9">
              <w:rPr>
                <w:rFonts w:ascii="Arial" w:hAnsi="Arial" w:cs="Arial"/>
                <w:sz w:val="16"/>
                <w:szCs w:val="16"/>
                <w:lang w:eastAsia="en-AU"/>
              </w:rPr>
              <w:br/>
              <w:t>Patient must not receive more than 24 weeks of treatment per continuing treatment course authorised under this restriction.</w:t>
            </w:r>
            <w:r w:rsidRPr="006D52A9">
              <w:rPr>
                <w:rFonts w:ascii="Arial" w:hAnsi="Arial" w:cs="Arial"/>
                <w:sz w:val="16"/>
                <w:szCs w:val="16"/>
                <w:lang w:eastAsia="en-AU"/>
              </w:rPr>
              <w:br/>
              <w:t>An adequate response to treatment is defined as:</w:t>
            </w:r>
            <w:r w:rsidRPr="006D52A9">
              <w:rPr>
                <w:rFonts w:ascii="Arial" w:hAnsi="Arial" w:cs="Arial"/>
                <w:sz w:val="16"/>
                <w:szCs w:val="16"/>
                <w:lang w:eastAsia="en-AU"/>
              </w:rPr>
              <w:br/>
              <w:t>(a) a reduction in the total active (swollen and tender) joint count by at least 50% from baseline, where baseline is at least 20 active joints; or</w:t>
            </w:r>
            <w:r w:rsidRPr="006D52A9">
              <w:rPr>
                <w:rFonts w:ascii="Arial" w:hAnsi="Arial" w:cs="Arial"/>
                <w:sz w:val="16"/>
                <w:szCs w:val="16"/>
                <w:lang w:eastAsia="en-AU"/>
              </w:rPr>
              <w:br/>
              <w:t>(b) a reduction in the number of the following active joints, from at least 4, by at least 50%:</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Determination of whether a response has been demonstrated to initial and subsequent courses of treatment will be based on the baseline measurement of joint count submitted with the initial treatment application.</w:t>
            </w:r>
            <w:r w:rsidRPr="006D52A9">
              <w:rPr>
                <w:rFonts w:ascii="Arial" w:hAnsi="Arial" w:cs="Arial"/>
                <w:sz w:val="16"/>
                <w:szCs w:val="16"/>
                <w:lang w:eastAsia="en-AU"/>
              </w:rPr>
              <w:br/>
              <w:t>The authority application must be made in writing and must include:</w:t>
            </w:r>
            <w:r w:rsidRPr="006D52A9">
              <w:rPr>
                <w:rFonts w:ascii="Arial" w:hAnsi="Arial" w:cs="Arial"/>
                <w:sz w:val="16"/>
                <w:szCs w:val="16"/>
                <w:lang w:eastAsia="en-AU"/>
              </w:rPr>
              <w:br/>
              <w:t>(1) completed authority prescription form(s); and</w:t>
            </w:r>
            <w:r w:rsidRPr="006D52A9">
              <w:rPr>
                <w:rFonts w:ascii="Arial" w:hAnsi="Arial" w:cs="Arial"/>
                <w:sz w:val="16"/>
                <w:szCs w:val="16"/>
                <w:lang w:eastAsia="en-AU"/>
              </w:rPr>
              <w:br/>
              <w:t xml:space="preserve">(2) a completed Juvenile Idiopathic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5 repeats will be authorised.</w:t>
            </w:r>
            <w:r w:rsidRPr="006D52A9">
              <w:rPr>
                <w:rFonts w:ascii="Arial" w:hAnsi="Arial" w:cs="Arial"/>
                <w:sz w:val="16"/>
                <w:szCs w:val="16"/>
                <w:lang w:eastAsia="en-AU"/>
              </w:rPr>
              <w:br/>
              <w:t>Where the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lang w:eastAsia="en-AU"/>
              </w:rPr>
              <w:br/>
            </w:r>
            <w:r w:rsidRPr="006D52A9">
              <w:rPr>
                <w:rFonts w:ascii="Arial" w:hAnsi="Arial" w:cs="Arial"/>
                <w:sz w:val="16"/>
                <w:szCs w:val="16"/>
                <w:lang w:eastAsia="en-AU"/>
              </w:rPr>
              <w:lastRenderedPageBreak/>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w:t>
            </w:r>
            <w:r w:rsidRPr="006D52A9">
              <w:rPr>
                <w:rFonts w:ascii="Arial" w:hAnsi="Arial" w:cs="Arial"/>
                <w:sz w:val="16"/>
                <w:szCs w:val="16"/>
                <w:lang w:eastAsia="en-AU"/>
              </w:rPr>
              <w:br/>
              <w:t>Where the response assessment is not submitted within this timeframe, the patient will be deemed to have failed to respond to treatment with this drug.</w:t>
            </w:r>
            <w:r w:rsidRPr="006D52A9">
              <w:rPr>
                <w:rFonts w:ascii="Arial" w:hAnsi="Arial" w:cs="Arial"/>
                <w:sz w:val="16"/>
                <w:szCs w:val="16"/>
                <w:lang w:eastAsia="en-AU"/>
              </w:rPr>
              <w:br/>
              <w:t>If a patient fails to demonstrate a response to treatment with this drug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lang w:eastAsia="en-AU"/>
              </w:rPr>
              <w:br/>
              <w:t>A patient may re</w:t>
            </w:r>
            <w:r w:rsidR="0026100E">
              <w:rPr>
                <w:rFonts w:ascii="Arial" w:hAnsi="Arial" w:cs="Arial"/>
                <w:sz w:val="16"/>
                <w:szCs w:val="16"/>
                <w:lang w:eastAsia="en-AU"/>
              </w:rPr>
              <w:noBreakHyphen/>
            </w:r>
            <w:r w:rsidRPr="006D52A9">
              <w:rPr>
                <w:rFonts w:ascii="Arial" w:hAnsi="Arial" w:cs="Arial"/>
                <w:sz w:val="16"/>
                <w:szCs w:val="16"/>
                <w:lang w:eastAsia="en-AU"/>
              </w:rPr>
              <w:t>trial this drug after a minimum of 12 months have elapsed between the date the last prescription for a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was approved in this cycle and the date of the first application under a new cycle under the Initial 3 treatment restriction.</w:t>
            </w:r>
            <w:r w:rsidRPr="006D52A9">
              <w:rPr>
                <w:rFonts w:ascii="Arial" w:hAnsi="Arial" w:cs="Arial"/>
                <w:sz w:val="16"/>
                <w:szCs w:val="16"/>
                <w:lang w:eastAsia="en-AU"/>
              </w:rPr>
              <w:br/>
              <w:t>If a patient fails to respond to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3 times (once with each agent)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therapy in this treatment cycle.</w:t>
            </w:r>
          </w:p>
        </w:tc>
        <w:tc>
          <w:tcPr>
            <w:tcW w:w="929" w:type="pct"/>
            <w:tcBorders>
              <w:bottom w:val="single" w:sz="4" w:space="0" w:color="auto"/>
            </w:tcBorders>
            <w:shd w:val="clear" w:color="auto" w:fill="auto"/>
            <w:tcMar>
              <w:top w:w="28" w:type="dxa"/>
              <w:left w:w="28" w:type="dxa"/>
              <w:right w:w="57" w:type="dxa"/>
            </w:tcMar>
          </w:tcPr>
          <w:p w14:paraId="4AD2FD6F"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lastRenderedPageBreak/>
              <w:t>Compliance with Written Authority Required procedures</w:t>
            </w:r>
          </w:p>
        </w:tc>
      </w:tr>
      <w:tr w:rsidR="008F47B8" w:rsidRPr="006D52A9" w:rsidDel="00447DAD" w14:paraId="67BB5E32" w14:textId="77777777" w:rsidTr="00FB6D2D">
        <w:tc>
          <w:tcPr>
            <w:tcW w:w="647" w:type="pct"/>
            <w:tcBorders>
              <w:bottom w:val="single" w:sz="4" w:space="0" w:color="auto"/>
            </w:tcBorders>
            <w:shd w:val="clear" w:color="auto" w:fill="auto"/>
            <w:tcMar>
              <w:top w:w="28" w:type="dxa"/>
              <w:left w:w="28" w:type="dxa"/>
            </w:tcMar>
          </w:tcPr>
          <w:p w14:paraId="1E26DC79" w14:textId="77777777" w:rsidR="008F47B8" w:rsidRPr="006D52A9" w:rsidDel="00447DAD"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3E4D417"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C10619</w:t>
            </w:r>
          </w:p>
        </w:tc>
        <w:tc>
          <w:tcPr>
            <w:tcW w:w="274" w:type="pct"/>
            <w:tcBorders>
              <w:bottom w:val="single" w:sz="4" w:space="0" w:color="auto"/>
            </w:tcBorders>
            <w:shd w:val="clear" w:color="auto" w:fill="auto"/>
            <w:tcMar>
              <w:top w:w="28" w:type="dxa"/>
              <w:left w:w="28" w:type="dxa"/>
            </w:tcMar>
          </w:tcPr>
          <w:p w14:paraId="0CA950CC" w14:textId="77777777" w:rsidR="008F47B8" w:rsidRPr="006D52A9" w:rsidDel="00447DAD"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68D5ECD"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Severe active juvenile idiopathic arthritis</w:t>
            </w:r>
            <w:r w:rsidRPr="006D52A9">
              <w:rPr>
                <w:rFonts w:ascii="Arial" w:hAnsi="Arial" w:cs="Arial"/>
                <w:sz w:val="16"/>
                <w:szCs w:val="16"/>
                <w:lang w:eastAsia="en-AU"/>
              </w:rPr>
              <w:br/>
              <w:t xml:space="preserve">Initial treatment </w:t>
            </w:r>
            <w:r w:rsidR="0026100E">
              <w:rPr>
                <w:rFonts w:ascii="Arial" w:hAnsi="Arial" w:cs="Arial"/>
                <w:sz w:val="16"/>
                <w:szCs w:val="16"/>
                <w:lang w:eastAsia="en-AU"/>
              </w:rPr>
              <w:noBreakHyphen/>
            </w:r>
            <w:r w:rsidRPr="006D52A9">
              <w:rPr>
                <w:rFonts w:ascii="Arial" w:hAnsi="Arial" w:cs="Arial"/>
                <w:sz w:val="16"/>
                <w:szCs w:val="16"/>
                <w:lang w:eastAsia="en-AU"/>
              </w:rPr>
              <w:t xml:space="preserve"> Initial 3 (recommencement of treatment after a break in biological medicine of more than 12 months)</w:t>
            </w:r>
            <w:r w:rsidRPr="006D52A9">
              <w:rPr>
                <w:rFonts w:ascii="Arial" w:hAnsi="Arial" w:cs="Arial"/>
                <w:sz w:val="16"/>
                <w:szCs w:val="16"/>
                <w:lang w:eastAsia="en-AU"/>
              </w:rPr>
              <w:br/>
              <w:t>Must be treated by a paediatric rheumatologist; OR</w:t>
            </w:r>
            <w:r w:rsidRPr="006D52A9">
              <w:rPr>
                <w:rFonts w:ascii="Arial" w:hAnsi="Arial" w:cs="Arial"/>
                <w:sz w:val="16"/>
                <w:szCs w:val="16"/>
                <w:lang w:eastAsia="en-AU"/>
              </w:rPr>
              <w:br/>
              <w:t>Patient must be undergoing treatment under the supervision of a paediatric rheumatology treatment centre.</w:t>
            </w:r>
            <w:r w:rsidRPr="006D52A9">
              <w:rPr>
                <w:rFonts w:ascii="Arial" w:hAnsi="Arial" w:cs="Arial"/>
                <w:sz w:val="16"/>
                <w:szCs w:val="16"/>
                <w:lang w:eastAsia="en-AU"/>
              </w:rPr>
              <w:br/>
              <w:t>Patient must have previously received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a biological medicine for this condition; AND</w:t>
            </w:r>
            <w:r w:rsidRPr="006D52A9">
              <w:rPr>
                <w:rFonts w:ascii="Arial" w:hAnsi="Arial" w:cs="Arial"/>
                <w:sz w:val="16"/>
                <w:szCs w:val="16"/>
                <w:lang w:eastAsia="en-AU"/>
              </w:rPr>
              <w:br/>
              <w:t>Patient must have had a break in treatment of 12 months or more from the most recently approved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for this condition; AND</w:t>
            </w:r>
            <w:r w:rsidRPr="006D52A9">
              <w:rPr>
                <w:rFonts w:ascii="Arial" w:hAnsi="Arial" w:cs="Arial"/>
                <w:sz w:val="16"/>
                <w:szCs w:val="16"/>
                <w:lang w:eastAsia="en-AU"/>
              </w:rPr>
              <w:br/>
              <w:t>The condition must have either (a) a total active joint count of at least 20 active (swollen and tender) joints; or (b) at least 4 active major joints; AND</w:t>
            </w:r>
            <w:r w:rsidRPr="006D52A9">
              <w:rPr>
                <w:rFonts w:ascii="Arial" w:hAnsi="Arial" w:cs="Arial"/>
                <w:sz w:val="16"/>
                <w:szCs w:val="16"/>
                <w:lang w:eastAsia="en-AU"/>
              </w:rPr>
              <w:br/>
              <w:t>Patient must not receive more than 16 weeks of treatment under this restriction.</w:t>
            </w:r>
            <w:r w:rsidRPr="006D52A9">
              <w:rPr>
                <w:rFonts w:ascii="Arial" w:hAnsi="Arial" w:cs="Arial"/>
                <w:sz w:val="16"/>
                <w:szCs w:val="16"/>
                <w:lang w:eastAsia="en-AU"/>
              </w:rPr>
              <w:br/>
              <w:t>Active joints are defined as:</w:t>
            </w:r>
            <w:r w:rsidRPr="006D52A9">
              <w:rPr>
                <w:rFonts w:ascii="Arial" w:hAnsi="Arial" w:cs="Arial"/>
                <w:sz w:val="16"/>
                <w:szCs w:val="16"/>
                <w:lang w:eastAsia="en-AU"/>
              </w:rPr>
              <w:br/>
              <w:t>(i) elbow, wrist, knee and/or ankle (assessed as swollen and tender); and/or</w:t>
            </w:r>
            <w:r w:rsidRPr="006D52A9">
              <w:rPr>
                <w:rFonts w:ascii="Arial" w:hAnsi="Arial" w:cs="Arial"/>
                <w:sz w:val="16"/>
                <w:szCs w:val="16"/>
                <w:lang w:eastAsia="en-AU"/>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lang w:eastAsia="en-AU"/>
              </w:rPr>
              <w:br/>
              <w:t>All measures of joint count must be no more than 4 weeks old at the time of this application.</w:t>
            </w:r>
            <w:r w:rsidRPr="006D52A9">
              <w:rPr>
                <w:rFonts w:ascii="Arial" w:hAnsi="Arial" w:cs="Arial"/>
                <w:sz w:val="16"/>
                <w:szCs w:val="16"/>
                <w:lang w:eastAsia="en-AU"/>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D52A9">
              <w:rPr>
                <w:rFonts w:ascii="Arial" w:hAnsi="Arial" w:cs="Arial"/>
                <w:sz w:val="16"/>
                <w:szCs w:val="16"/>
                <w:lang w:eastAsia="en-AU"/>
              </w:rPr>
              <w:br/>
              <w:t>At the time of authority application, medical practitioners must request the appropriate number of injections of appropriate strength, based on the weight of the patient, to provide sufficient for two doses. Up to a maximum of 3 repeats will be authorised.</w:t>
            </w:r>
            <w:r w:rsidRPr="006D52A9">
              <w:rPr>
                <w:rFonts w:ascii="Arial" w:hAnsi="Arial" w:cs="Arial"/>
                <w:sz w:val="16"/>
                <w:szCs w:val="16"/>
                <w:lang w:eastAsia="en-AU"/>
              </w:rPr>
              <w:br/>
            </w:r>
            <w:r w:rsidRPr="006D52A9">
              <w:rPr>
                <w:rFonts w:ascii="Arial" w:hAnsi="Arial" w:cs="Arial"/>
                <w:sz w:val="16"/>
                <w:szCs w:val="16"/>
                <w:lang w:eastAsia="en-AU"/>
              </w:rPr>
              <w:lastRenderedPageBreak/>
              <w:t>The authority application must be made in writing and must include:</w:t>
            </w:r>
            <w:r w:rsidRPr="006D52A9">
              <w:rPr>
                <w:rFonts w:ascii="Arial" w:hAnsi="Arial" w:cs="Arial"/>
                <w:sz w:val="16"/>
                <w:szCs w:val="16"/>
                <w:lang w:eastAsia="en-AU"/>
              </w:rPr>
              <w:br/>
              <w:t>(1) completed authority prescription form(s); and</w:t>
            </w:r>
            <w:r w:rsidRPr="006D52A9">
              <w:rPr>
                <w:rFonts w:ascii="Arial" w:hAnsi="Arial" w:cs="Arial"/>
                <w:sz w:val="16"/>
                <w:szCs w:val="16"/>
                <w:lang w:eastAsia="en-AU"/>
              </w:rPr>
              <w:br/>
              <w:t xml:space="preserve">(2) a completed Juvenile Idiopathic Arthritis PBS Authority Application </w:t>
            </w:r>
            <w:r w:rsidR="0026100E">
              <w:rPr>
                <w:rFonts w:ascii="Arial" w:hAnsi="Arial" w:cs="Arial"/>
                <w:sz w:val="16"/>
                <w:szCs w:val="16"/>
                <w:lang w:eastAsia="en-AU"/>
              </w:rPr>
              <w:noBreakHyphen/>
            </w:r>
            <w:r w:rsidRPr="006D52A9">
              <w:rPr>
                <w:rFonts w:ascii="Arial" w:hAnsi="Arial" w:cs="Arial"/>
                <w:sz w:val="16"/>
                <w:szCs w:val="16"/>
                <w:lang w:eastAsia="en-AU"/>
              </w:rPr>
              <w:t xml:space="preserve"> Supporting Information Form.</w:t>
            </w:r>
            <w:r w:rsidRPr="006D52A9">
              <w:rPr>
                <w:rFonts w:ascii="Arial" w:hAnsi="Arial" w:cs="Arial"/>
                <w:sz w:val="16"/>
                <w:szCs w:val="16"/>
                <w:lang w:eastAsia="en-AU"/>
              </w:rPr>
              <w:br/>
              <w:t>An application for a patient who has received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for this condition who wishes to recommence therapy with this drug, must be accompanied by evidence of a response to the patient’s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within the timeframes specified below.</w:t>
            </w:r>
            <w:r w:rsidRPr="006D52A9">
              <w:rPr>
                <w:rFonts w:ascii="Arial" w:hAnsi="Arial" w:cs="Arial"/>
                <w:sz w:val="16"/>
                <w:szCs w:val="16"/>
                <w:lang w:eastAsia="en-AU"/>
              </w:rPr>
              <w:br/>
              <w:t>Where the most recent course of PBS</w:t>
            </w:r>
            <w:r w:rsidR="0026100E">
              <w:rPr>
                <w:rFonts w:ascii="Arial" w:hAnsi="Arial" w:cs="Arial"/>
                <w:sz w:val="16"/>
                <w:szCs w:val="16"/>
                <w:lang w:eastAsia="en-AU"/>
              </w:rPr>
              <w:noBreakHyphen/>
            </w:r>
            <w:r w:rsidRPr="006D52A9">
              <w:rPr>
                <w:rFonts w:ascii="Arial" w:hAnsi="Arial" w:cs="Arial"/>
                <w:sz w:val="16"/>
                <w:szCs w:val="16"/>
                <w:lang w:eastAsia="en-AU"/>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lang w:eastAsia="en-AU"/>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lang w:eastAsia="en-AU"/>
              </w:rPr>
              <w:noBreakHyphen/>
            </w:r>
            <w:r w:rsidRPr="006D52A9">
              <w:rPr>
                <w:rFonts w:ascii="Arial" w:hAnsi="Arial" w:cs="Arial"/>
                <w:sz w:val="16"/>
                <w:szCs w:val="16"/>
                <w:lang w:eastAsia="en-AU"/>
              </w:rPr>
              <w:t>subsidised treatment.</w:t>
            </w:r>
            <w:r w:rsidRPr="006D52A9">
              <w:rPr>
                <w:rFonts w:ascii="Arial" w:hAnsi="Arial" w:cs="Arial"/>
                <w:sz w:val="16"/>
                <w:szCs w:val="16"/>
                <w:lang w:eastAsia="en-AU"/>
              </w:rPr>
              <w:br/>
              <w:t>Where the response assessment is not submitted within this timeframe, the patient will be deemed to have failed to respond to treatment with this drug.</w:t>
            </w:r>
            <w:r w:rsidRPr="006D52A9">
              <w:rPr>
                <w:rFonts w:ascii="Arial" w:hAnsi="Arial" w:cs="Arial"/>
                <w:sz w:val="16"/>
                <w:szCs w:val="16"/>
                <w:lang w:eastAsia="en-AU"/>
              </w:rPr>
              <w:br/>
              <w:t>If a patient fails to demonstrate a response to treatment with this drug they will not be eligible to receive further PBS</w:t>
            </w:r>
            <w:r w:rsidR="0026100E">
              <w:rPr>
                <w:rFonts w:ascii="Arial" w:hAnsi="Arial" w:cs="Arial"/>
                <w:sz w:val="16"/>
                <w:szCs w:val="16"/>
                <w:lang w:eastAsia="en-AU"/>
              </w:rPr>
              <w:noBreakHyphen/>
            </w:r>
            <w:r w:rsidRPr="006D52A9">
              <w:rPr>
                <w:rFonts w:ascii="Arial" w:hAnsi="Arial" w:cs="Arial"/>
                <w:sz w:val="16"/>
                <w:szCs w:val="16"/>
                <w:lang w:eastAsia="en-AU"/>
              </w:rPr>
              <w:t>subsidised treatment with this drug for this condition. Serious adverse reaction of a severity resulting in the necessity for permanent withdrawal of treatment is not considered as a treatment failure.</w:t>
            </w:r>
          </w:p>
        </w:tc>
        <w:tc>
          <w:tcPr>
            <w:tcW w:w="929" w:type="pct"/>
            <w:tcBorders>
              <w:bottom w:val="single" w:sz="4" w:space="0" w:color="auto"/>
            </w:tcBorders>
            <w:shd w:val="clear" w:color="auto" w:fill="auto"/>
            <w:tcMar>
              <w:top w:w="28" w:type="dxa"/>
              <w:left w:w="28" w:type="dxa"/>
              <w:right w:w="57" w:type="dxa"/>
            </w:tcMar>
          </w:tcPr>
          <w:p w14:paraId="087ABD43"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lastRenderedPageBreak/>
              <w:t>Compliance with Written Authority Required procedures</w:t>
            </w:r>
          </w:p>
        </w:tc>
      </w:tr>
      <w:tr w:rsidR="008F47B8" w:rsidRPr="006D52A9" w:rsidDel="002D20DA" w14:paraId="3CEC90E5" w14:textId="77777777" w:rsidTr="00FB6D2D">
        <w:tc>
          <w:tcPr>
            <w:tcW w:w="647" w:type="pct"/>
            <w:tcBorders>
              <w:bottom w:val="single" w:sz="4" w:space="0" w:color="auto"/>
            </w:tcBorders>
            <w:shd w:val="clear" w:color="auto" w:fill="auto"/>
            <w:tcMar>
              <w:top w:w="28" w:type="dxa"/>
              <w:left w:w="28" w:type="dxa"/>
            </w:tcMar>
          </w:tcPr>
          <w:p w14:paraId="1A19A079" w14:textId="77777777" w:rsidR="008F47B8" w:rsidRPr="006D52A9" w:rsidDel="002D20DA" w:rsidRDefault="008F47B8" w:rsidP="00FB6D2D">
            <w:pPr>
              <w:spacing w:line="240" w:lineRule="auto"/>
              <w:rPr>
                <w:rFonts w:ascii="Arial" w:hAnsi="Arial" w:cs="Arial"/>
                <w:sz w:val="16"/>
                <w:szCs w:val="16"/>
              </w:rPr>
            </w:pPr>
            <w:bookmarkStart w:id="66" w:name="CU_27171210"/>
            <w:bookmarkEnd w:id="66"/>
            <w:r w:rsidRPr="006D52A9">
              <w:rPr>
                <w:rFonts w:ascii="Arial" w:hAnsi="Arial" w:cs="Arial"/>
                <w:sz w:val="16"/>
                <w:szCs w:val="16"/>
              </w:rPr>
              <w:t>Adefovir</w:t>
            </w:r>
          </w:p>
        </w:tc>
        <w:tc>
          <w:tcPr>
            <w:tcW w:w="283" w:type="pct"/>
            <w:tcBorders>
              <w:bottom w:val="single" w:sz="4" w:space="0" w:color="auto"/>
            </w:tcBorders>
            <w:shd w:val="clear" w:color="auto" w:fill="auto"/>
            <w:tcMar>
              <w:top w:w="28" w:type="dxa"/>
              <w:left w:w="28" w:type="dxa"/>
            </w:tcMar>
          </w:tcPr>
          <w:p w14:paraId="642E028B"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C4490</w:t>
            </w:r>
          </w:p>
        </w:tc>
        <w:tc>
          <w:tcPr>
            <w:tcW w:w="274" w:type="pct"/>
            <w:tcBorders>
              <w:bottom w:val="single" w:sz="4" w:space="0" w:color="auto"/>
            </w:tcBorders>
            <w:shd w:val="clear" w:color="auto" w:fill="auto"/>
            <w:tcMar>
              <w:top w:w="28" w:type="dxa"/>
              <w:left w:w="28" w:type="dxa"/>
            </w:tcMar>
          </w:tcPr>
          <w:p w14:paraId="54247E5D" w14:textId="77777777" w:rsidR="008F47B8" w:rsidRPr="006D52A9" w:rsidDel="002D20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71096E5"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not have cirrhosis; AND</w:t>
            </w:r>
            <w:r w:rsidRPr="006D52A9">
              <w:rPr>
                <w:rFonts w:ascii="Arial" w:hAnsi="Arial" w:cs="Arial"/>
                <w:sz w:val="16"/>
                <w:szCs w:val="16"/>
              </w:rPr>
              <w:br/>
              <w:t>Patient must have failed antihepadnaviral therapy; AND</w:t>
            </w:r>
            <w:r w:rsidRPr="006D52A9">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6D52A9">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29" w:type="pct"/>
            <w:tcBorders>
              <w:bottom w:val="single" w:sz="4" w:space="0" w:color="auto"/>
            </w:tcBorders>
            <w:shd w:val="clear" w:color="auto" w:fill="auto"/>
            <w:tcMar>
              <w:top w:w="28" w:type="dxa"/>
              <w:left w:w="28" w:type="dxa"/>
              <w:right w:w="57" w:type="dxa"/>
            </w:tcMar>
          </w:tcPr>
          <w:p w14:paraId="72799240"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4490</w:t>
            </w:r>
          </w:p>
        </w:tc>
      </w:tr>
      <w:tr w:rsidR="008F47B8" w:rsidRPr="006D52A9" w:rsidDel="002D20DA" w14:paraId="0343B041" w14:textId="77777777" w:rsidTr="00FB6D2D">
        <w:tc>
          <w:tcPr>
            <w:tcW w:w="647" w:type="pct"/>
            <w:tcBorders>
              <w:bottom w:val="single" w:sz="4" w:space="0" w:color="auto"/>
            </w:tcBorders>
            <w:shd w:val="clear" w:color="auto" w:fill="auto"/>
            <w:tcMar>
              <w:top w:w="28" w:type="dxa"/>
              <w:left w:w="28" w:type="dxa"/>
            </w:tcMar>
          </w:tcPr>
          <w:p w14:paraId="5A7F6D8B" w14:textId="77777777" w:rsidR="008F47B8" w:rsidRPr="006D52A9" w:rsidDel="002D20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59A4ADB"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C4510</w:t>
            </w:r>
          </w:p>
        </w:tc>
        <w:tc>
          <w:tcPr>
            <w:tcW w:w="274" w:type="pct"/>
            <w:tcBorders>
              <w:bottom w:val="single" w:sz="4" w:space="0" w:color="auto"/>
            </w:tcBorders>
            <w:shd w:val="clear" w:color="auto" w:fill="auto"/>
            <w:tcMar>
              <w:top w:w="28" w:type="dxa"/>
              <w:left w:w="28" w:type="dxa"/>
            </w:tcMar>
          </w:tcPr>
          <w:p w14:paraId="6B3699D5" w14:textId="77777777" w:rsidR="008F47B8" w:rsidRPr="006D52A9" w:rsidDel="002D20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8B87E43"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have cirrhosis; AND</w:t>
            </w:r>
            <w:r w:rsidRPr="006D52A9">
              <w:rPr>
                <w:rFonts w:ascii="Arial" w:hAnsi="Arial" w:cs="Arial"/>
                <w:sz w:val="16"/>
                <w:szCs w:val="16"/>
              </w:rPr>
              <w:br/>
              <w:t>Patient must have failed antihepadnaviral therapy; AND</w:t>
            </w:r>
            <w:r w:rsidRPr="006D52A9">
              <w:rPr>
                <w:rFonts w:ascii="Arial" w:hAnsi="Arial" w:cs="Arial"/>
                <w:sz w:val="16"/>
                <w:szCs w:val="16"/>
              </w:rPr>
              <w:br/>
              <w:t>Patient must have detectable HBV DNA.</w:t>
            </w:r>
            <w:r w:rsidRPr="006D52A9">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29" w:type="pct"/>
            <w:tcBorders>
              <w:bottom w:val="single" w:sz="4" w:space="0" w:color="auto"/>
            </w:tcBorders>
            <w:shd w:val="clear" w:color="auto" w:fill="auto"/>
            <w:tcMar>
              <w:top w:w="28" w:type="dxa"/>
              <w:left w:w="28" w:type="dxa"/>
              <w:right w:w="57" w:type="dxa"/>
            </w:tcMar>
          </w:tcPr>
          <w:p w14:paraId="48D089CF" w14:textId="77777777" w:rsidR="008F47B8" w:rsidRPr="006D52A9" w:rsidDel="00195FB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4510</w:t>
            </w:r>
          </w:p>
        </w:tc>
      </w:tr>
      <w:tr w:rsidR="008F47B8" w:rsidRPr="006D52A9" w:rsidDel="002D20DA" w14:paraId="76A2B4A5" w14:textId="77777777" w:rsidTr="00FB6D2D">
        <w:tc>
          <w:tcPr>
            <w:tcW w:w="647" w:type="pct"/>
            <w:tcBorders>
              <w:bottom w:val="single" w:sz="4" w:space="0" w:color="auto"/>
            </w:tcBorders>
            <w:shd w:val="clear" w:color="auto" w:fill="auto"/>
            <w:tcMar>
              <w:top w:w="28" w:type="dxa"/>
              <w:left w:w="28" w:type="dxa"/>
            </w:tcMar>
          </w:tcPr>
          <w:p w14:paraId="56CD7039"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Alemtuzumab</w:t>
            </w:r>
          </w:p>
        </w:tc>
        <w:tc>
          <w:tcPr>
            <w:tcW w:w="283" w:type="pct"/>
            <w:tcBorders>
              <w:bottom w:val="single" w:sz="4" w:space="0" w:color="auto"/>
            </w:tcBorders>
            <w:shd w:val="clear" w:color="auto" w:fill="auto"/>
            <w:tcMar>
              <w:top w:w="28" w:type="dxa"/>
              <w:left w:w="28" w:type="dxa"/>
            </w:tcMar>
          </w:tcPr>
          <w:p w14:paraId="225726E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C6847</w:t>
            </w:r>
          </w:p>
        </w:tc>
        <w:tc>
          <w:tcPr>
            <w:tcW w:w="274" w:type="pct"/>
            <w:tcBorders>
              <w:bottom w:val="single" w:sz="4" w:space="0" w:color="auto"/>
            </w:tcBorders>
            <w:shd w:val="clear" w:color="auto" w:fill="auto"/>
            <w:tcMar>
              <w:top w:w="28" w:type="dxa"/>
              <w:left w:w="28" w:type="dxa"/>
            </w:tcMar>
          </w:tcPr>
          <w:p w14:paraId="047C67DA"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P6847</w:t>
            </w:r>
          </w:p>
        </w:tc>
        <w:tc>
          <w:tcPr>
            <w:tcW w:w="2867" w:type="pct"/>
            <w:tcBorders>
              <w:bottom w:val="single" w:sz="4" w:space="0" w:color="auto"/>
            </w:tcBorders>
            <w:shd w:val="clear" w:color="auto" w:fill="auto"/>
            <w:tcMar>
              <w:top w:w="28" w:type="dxa"/>
              <w:left w:w="28" w:type="dxa"/>
            </w:tcMar>
          </w:tcPr>
          <w:p w14:paraId="33A8DA4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Multiple sclerosis</w:t>
            </w:r>
            <w:r w:rsidRPr="006D52A9">
              <w:rPr>
                <w:rFonts w:ascii="Arial" w:hAnsi="Arial" w:cs="Arial"/>
                <w:sz w:val="16"/>
                <w:szCs w:val="16"/>
              </w:rPr>
              <w:br/>
              <w:t>Continuing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show continuing progression of disability while on treatment with this drug; AND</w:t>
            </w:r>
            <w:r w:rsidRPr="006D52A9">
              <w:rPr>
                <w:rFonts w:ascii="Arial" w:hAnsi="Arial" w:cs="Arial"/>
                <w:sz w:val="16"/>
                <w:szCs w:val="16"/>
              </w:rPr>
              <w:br/>
              <w:t>Patient must not receive more than one PBS</w:t>
            </w:r>
            <w:r w:rsidR="0026100E">
              <w:rPr>
                <w:rFonts w:ascii="Arial" w:hAnsi="Arial" w:cs="Arial"/>
                <w:sz w:val="16"/>
                <w:szCs w:val="16"/>
              </w:rPr>
              <w:noBreakHyphen/>
            </w:r>
            <w:r w:rsidRPr="006D52A9">
              <w:rPr>
                <w:rFonts w:ascii="Arial" w:hAnsi="Arial" w:cs="Arial"/>
                <w:sz w:val="16"/>
                <w:szCs w:val="16"/>
              </w:rPr>
              <w:t>subsidised treatment per year; AND</w:t>
            </w:r>
            <w:r w:rsidRPr="006D52A9">
              <w:rPr>
                <w:rFonts w:ascii="Arial" w:hAnsi="Arial" w:cs="Arial"/>
                <w:sz w:val="16"/>
                <w:szCs w:val="16"/>
              </w:rPr>
              <w:br/>
            </w:r>
            <w:r w:rsidRPr="006D52A9">
              <w:rPr>
                <w:rFonts w:ascii="Arial" w:hAnsi="Arial" w:cs="Arial"/>
                <w:sz w:val="16"/>
                <w:szCs w:val="16"/>
              </w:rPr>
              <w:lastRenderedPageBreak/>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have demonstrated compliance with, and an ability to tolerate this therapy.</w:t>
            </w:r>
            <w:r w:rsidRPr="006D52A9">
              <w:rPr>
                <w:rFonts w:ascii="Arial" w:hAnsi="Arial" w:cs="Arial"/>
                <w:sz w:val="16"/>
                <w:szCs w:val="16"/>
              </w:rPr>
              <w:br/>
              <w:t>Must be treated by a neurologist.</w:t>
            </w:r>
          </w:p>
        </w:tc>
        <w:tc>
          <w:tcPr>
            <w:tcW w:w="929" w:type="pct"/>
            <w:tcBorders>
              <w:bottom w:val="single" w:sz="4" w:space="0" w:color="auto"/>
            </w:tcBorders>
            <w:shd w:val="clear" w:color="auto" w:fill="auto"/>
            <w:tcMar>
              <w:top w:w="28" w:type="dxa"/>
              <w:left w:w="28" w:type="dxa"/>
              <w:right w:w="57" w:type="dxa"/>
            </w:tcMar>
          </w:tcPr>
          <w:p w14:paraId="6FCBC07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6847</w:t>
            </w:r>
          </w:p>
        </w:tc>
      </w:tr>
      <w:tr w:rsidR="008F47B8" w:rsidRPr="006D52A9" w:rsidDel="002D20DA" w14:paraId="35BD1AFE" w14:textId="77777777" w:rsidTr="00FB6D2D">
        <w:tc>
          <w:tcPr>
            <w:tcW w:w="647" w:type="pct"/>
            <w:tcBorders>
              <w:bottom w:val="single" w:sz="4" w:space="0" w:color="auto"/>
            </w:tcBorders>
            <w:shd w:val="clear" w:color="auto" w:fill="auto"/>
            <w:tcMar>
              <w:top w:w="28" w:type="dxa"/>
              <w:left w:w="28" w:type="dxa"/>
            </w:tcMar>
          </w:tcPr>
          <w:p w14:paraId="5AF9190C" w14:textId="77777777" w:rsidR="008F47B8" w:rsidRPr="006D52A9" w:rsidDel="002D20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142CBF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C7714</w:t>
            </w:r>
          </w:p>
        </w:tc>
        <w:tc>
          <w:tcPr>
            <w:tcW w:w="274" w:type="pct"/>
            <w:tcBorders>
              <w:bottom w:val="single" w:sz="4" w:space="0" w:color="auto"/>
            </w:tcBorders>
            <w:shd w:val="clear" w:color="auto" w:fill="auto"/>
            <w:tcMar>
              <w:top w:w="28" w:type="dxa"/>
              <w:left w:w="28" w:type="dxa"/>
            </w:tcMar>
          </w:tcPr>
          <w:p w14:paraId="1A98483C"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P7714</w:t>
            </w:r>
          </w:p>
        </w:tc>
        <w:tc>
          <w:tcPr>
            <w:tcW w:w="2867" w:type="pct"/>
            <w:tcBorders>
              <w:bottom w:val="single" w:sz="4" w:space="0" w:color="auto"/>
            </w:tcBorders>
            <w:shd w:val="clear" w:color="auto" w:fill="auto"/>
            <w:tcMar>
              <w:top w:w="28" w:type="dxa"/>
              <w:left w:w="28" w:type="dxa"/>
            </w:tcMar>
          </w:tcPr>
          <w:p w14:paraId="5F17D66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Multiple sclerosis</w:t>
            </w:r>
            <w:r w:rsidRPr="006D52A9">
              <w:rPr>
                <w:rFonts w:ascii="Arial" w:hAnsi="Arial" w:cs="Arial"/>
                <w:sz w:val="16"/>
                <w:szCs w:val="16"/>
              </w:rPr>
              <w:br/>
              <w:t>Initial treatment</w:t>
            </w:r>
            <w:r w:rsidRPr="006D52A9">
              <w:rPr>
                <w:rFonts w:ascii="Arial" w:hAnsi="Arial" w:cs="Arial"/>
                <w:sz w:val="16"/>
                <w:szCs w:val="16"/>
              </w:rPr>
              <w:br/>
              <w:t>The condition must be diagnosed as clinically definite relapsing</w:t>
            </w:r>
            <w:r w:rsidR="0026100E">
              <w:rPr>
                <w:rFonts w:ascii="Arial" w:hAnsi="Arial" w:cs="Arial"/>
                <w:sz w:val="16"/>
                <w:szCs w:val="16"/>
              </w:rPr>
              <w:noBreakHyphen/>
            </w:r>
            <w:r w:rsidRPr="006D52A9">
              <w:rPr>
                <w:rFonts w:ascii="Arial" w:hAnsi="Arial" w:cs="Arial"/>
                <w:sz w:val="16"/>
                <w:szCs w:val="16"/>
              </w:rPr>
              <w:t>remitting multiple sclerosis by magnetic resonance imaging of the brain and/or spinal cord; OR</w:t>
            </w:r>
            <w:r w:rsidRPr="006D52A9">
              <w:rPr>
                <w:rFonts w:ascii="Arial" w:hAnsi="Arial" w:cs="Arial"/>
                <w:sz w:val="16"/>
                <w:szCs w:val="16"/>
              </w:rPr>
              <w:br/>
              <w:t>The condition must be diagnosed as clinically definite relapsing</w:t>
            </w:r>
            <w:r w:rsidR="0026100E">
              <w:rPr>
                <w:rFonts w:ascii="Arial" w:hAnsi="Arial" w:cs="Arial"/>
                <w:sz w:val="16"/>
                <w:szCs w:val="16"/>
              </w:rPr>
              <w:noBreakHyphen/>
            </w:r>
            <w:r w:rsidRPr="006D52A9">
              <w:rPr>
                <w:rFonts w:ascii="Arial" w:hAnsi="Arial" w:cs="Arial"/>
                <w:sz w:val="16"/>
                <w:szCs w:val="16"/>
              </w:rPr>
              <w:t>remitting multiple sclerosis by accompanying written certification provided by a radiologist that a magnetic resonance imaging scan is contraindicated because of the risk of physical (not psychological) injury to the patient;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have experienced at least 2 documented attacks of neurological dysfunction, believed to be due to multiple sclerosis, in the preceding 2 years of commencing a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be ambulatory (without assistance or support).</w:t>
            </w:r>
            <w:r w:rsidRPr="006D52A9">
              <w:rPr>
                <w:rFonts w:ascii="Arial" w:hAnsi="Arial" w:cs="Arial"/>
                <w:sz w:val="16"/>
                <w:szCs w:val="16"/>
              </w:rPr>
              <w:br/>
              <w:t>Must be treated by a neurologist.</w:t>
            </w:r>
            <w:r w:rsidRPr="006D52A9">
              <w:rPr>
                <w:rFonts w:ascii="Arial" w:hAnsi="Arial" w:cs="Arial"/>
                <w:sz w:val="16"/>
                <w:szCs w:val="16"/>
              </w:rPr>
              <w:br/>
              <w:t>Where applicable, the date of the magnetic resonance imaging scan must be recorded in the patient's medical records.</w:t>
            </w:r>
          </w:p>
        </w:tc>
        <w:tc>
          <w:tcPr>
            <w:tcW w:w="929" w:type="pct"/>
            <w:tcBorders>
              <w:bottom w:val="single" w:sz="4" w:space="0" w:color="auto"/>
            </w:tcBorders>
            <w:shd w:val="clear" w:color="auto" w:fill="auto"/>
            <w:tcMar>
              <w:top w:w="28" w:type="dxa"/>
              <w:left w:w="28" w:type="dxa"/>
              <w:right w:w="57" w:type="dxa"/>
            </w:tcMar>
          </w:tcPr>
          <w:p w14:paraId="3089E90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7714</w:t>
            </w:r>
          </w:p>
        </w:tc>
      </w:tr>
      <w:tr w:rsidR="008F47B8" w:rsidRPr="006D52A9" w:rsidDel="002D20DA" w14:paraId="40E95D21" w14:textId="77777777" w:rsidTr="00FB6D2D">
        <w:tc>
          <w:tcPr>
            <w:tcW w:w="647" w:type="pct"/>
            <w:tcBorders>
              <w:bottom w:val="single" w:sz="4" w:space="0" w:color="auto"/>
            </w:tcBorders>
            <w:shd w:val="clear" w:color="auto" w:fill="auto"/>
            <w:tcMar>
              <w:top w:w="28" w:type="dxa"/>
              <w:left w:w="28" w:type="dxa"/>
            </w:tcMar>
          </w:tcPr>
          <w:p w14:paraId="32C14243" w14:textId="77777777" w:rsidR="008F47B8" w:rsidRPr="006D52A9" w:rsidDel="002D20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B17E2D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C9589</w:t>
            </w:r>
          </w:p>
        </w:tc>
        <w:tc>
          <w:tcPr>
            <w:tcW w:w="274" w:type="pct"/>
            <w:tcBorders>
              <w:bottom w:val="single" w:sz="4" w:space="0" w:color="auto"/>
            </w:tcBorders>
            <w:shd w:val="clear" w:color="auto" w:fill="auto"/>
            <w:tcMar>
              <w:top w:w="28" w:type="dxa"/>
              <w:left w:w="28" w:type="dxa"/>
            </w:tcMar>
          </w:tcPr>
          <w:p w14:paraId="1E65945E"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P9589</w:t>
            </w:r>
          </w:p>
        </w:tc>
        <w:tc>
          <w:tcPr>
            <w:tcW w:w="2867" w:type="pct"/>
            <w:tcBorders>
              <w:bottom w:val="single" w:sz="4" w:space="0" w:color="auto"/>
            </w:tcBorders>
            <w:shd w:val="clear" w:color="auto" w:fill="auto"/>
            <w:tcMar>
              <w:top w:w="28" w:type="dxa"/>
              <w:left w:w="28" w:type="dxa"/>
            </w:tcMar>
          </w:tcPr>
          <w:p w14:paraId="39F99A3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Multiple sclerosis</w:t>
            </w:r>
            <w:r w:rsidRPr="006D52A9">
              <w:rPr>
                <w:rFonts w:ascii="Arial" w:hAnsi="Arial" w:cs="Arial"/>
                <w:sz w:val="16"/>
                <w:szCs w:val="16"/>
              </w:rPr>
              <w:br/>
              <w:t>Continuing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show continuing progression of disability while on treatment with this drug; AND</w:t>
            </w:r>
            <w:r w:rsidRPr="006D52A9">
              <w:rPr>
                <w:rFonts w:ascii="Arial" w:hAnsi="Arial" w:cs="Arial"/>
                <w:sz w:val="16"/>
                <w:szCs w:val="16"/>
              </w:rPr>
              <w:br/>
              <w:t>Patient must not receive more than one PBS</w:t>
            </w:r>
            <w:r w:rsidR="0026100E">
              <w:rPr>
                <w:rFonts w:ascii="Arial" w:hAnsi="Arial" w:cs="Arial"/>
                <w:sz w:val="16"/>
                <w:szCs w:val="16"/>
              </w:rPr>
              <w:noBreakHyphen/>
            </w:r>
            <w:r w:rsidRPr="006D52A9">
              <w:rPr>
                <w:rFonts w:ascii="Arial" w:hAnsi="Arial" w:cs="Arial"/>
                <w:sz w:val="16"/>
                <w:szCs w:val="16"/>
              </w:rPr>
              <w:t>subsidised treatment per year;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have demonstrated compliance with, and an ability to tolerate this therapy.</w:t>
            </w:r>
            <w:r w:rsidRPr="006D52A9">
              <w:rPr>
                <w:rFonts w:ascii="Arial" w:hAnsi="Arial" w:cs="Arial"/>
                <w:sz w:val="16"/>
                <w:szCs w:val="16"/>
              </w:rPr>
              <w:br/>
              <w:t>Must be treated by a neurologist.</w:t>
            </w:r>
          </w:p>
        </w:tc>
        <w:tc>
          <w:tcPr>
            <w:tcW w:w="929" w:type="pct"/>
            <w:tcBorders>
              <w:bottom w:val="single" w:sz="4" w:space="0" w:color="auto"/>
            </w:tcBorders>
            <w:shd w:val="clear" w:color="auto" w:fill="auto"/>
            <w:tcMar>
              <w:top w:w="28" w:type="dxa"/>
              <w:left w:w="28" w:type="dxa"/>
              <w:right w:w="57" w:type="dxa"/>
            </w:tcMar>
          </w:tcPr>
          <w:p w14:paraId="379DEF1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9589</w:t>
            </w:r>
          </w:p>
        </w:tc>
      </w:tr>
      <w:tr w:rsidR="008F47B8" w:rsidRPr="006D52A9" w:rsidDel="002D20DA" w14:paraId="0D12A417" w14:textId="77777777" w:rsidTr="00FB6D2D">
        <w:tc>
          <w:tcPr>
            <w:tcW w:w="647" w:type="pct"/>
            <w:tcBorders>
              <w:bottom w:val="single" w:sz="4" w:space="0" w:color="auto"/>
            </w:tcBorders>
            <w:shd w:val="clear" w:color="auto" w:fill="auto"/>
            <w:tcMar>
              <w:top w:w="28" w:type="dxa"/>
              <w:left w:w="28" w:type="dxa"/>
            </w:tcMar>
          </w:tcPr>
          <w:p w14:paraId="53A6A1CA" w14:textId="77777777" w:rsidR="008F47B8" w:rsidRPr="006D52A9" w:rsidDel="002D20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A99A45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C9636</w:t>
            </w:r>
          </w:p>
        </w:tc>
        <w:tc>
          <w:tcPr>
            <w:tcW w:w="274" w:type="pct"/>
            <w:tcBorders>
              <w:bottom w:val="single" w:sz="4" w:space="0" w:color="auto"/>
            </w:tcBorders>
            <w:shd w:val="clear" w:color="auto" w:fill="auto"/>
            <w:tcMar>
              <w:top w:w="28" w:type="dxa"/>
              <w:left w:w="28" w:type="dxa"/>
            </w:tcMar>
          </w:tcPr>
          <w:p w14:paraId="33417A6A"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P9636</w:t>
            </w:r>
          </w:p>
        </w:tc>
        <w:tc>
          <w:tcPr>
            <w:tcW w:w="2867" w:type="pct"/>
            <w:tcBorders>
              <w:bottom w:val="single" w:sz="4" w:space="0" w:color="auto"/>
            </w:tcBorders>
            <w:shd w:val="clear" w:color="auto" w:fill="auto"/>
            <w:tcMar>
              <w:top w:w="28" w:type="dxa"/>
              <w:left w:w="28" w:type="dxa"/>
            </w:tcMar>
          </w:tcPr>
          <w:p w14:paraId="7201F6D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Multiple sclerosis</w:t>
            </w:r>
            <w:r w:rsidRPr="006D52A9">
              <w:rPr>
                <w:rFonts w:ascii="Arial" w:hAnsi="Arial" w:cs="Arial"/>
                <w:sz w:val="16"/>
                <w:szCs w:val="16"/>
              </w:rPr>
              <w:br/>
              <w:t>Initial treatment</w:t>
            </w:r>
            <w:r w:rsidRPr="006D52A9">
              <w:rPr>
                <w:rFonts w:ascii="Arial" w:hAnsi="Arial" w:cs="Arial"/>
                <w:sz w:val="16"/>
                <w:szCs w:val="16"/>
              </w:rPr>
              <w:br/>
              <w:t>The condition must be diagnosed as clinically definite relapsing</w:t>
            </w:r>
            <w:r w:rsidR="0026100E">
              <w:rPr>
                <w:rFonts w:ascii="Arial" w:hAnsi="Arial" w:cs="Arial"/>
                <w:sz w:val="16"/>
                <w:szCs w:val="16"/>
              </w:rPr>
              <w:noBreakHyphen/>
            </w:r>
            <w:r w:rsidRPr="006D52A9">
              <w:rPr>
                <w:rFonts w:ascii="Arial" w:hAnsi="Arial" w:cs="Arial"/>
                <w:sz w:val="16"/>
                <w:szCs w:val="16"/>
              </w:rPr>
              <w:t>remitting multiple sclerosis by magnetic resonance imaging of the brain and/or spinal cord; OR</w:t>
            </w:r>
            <w:r w:rsidRPr="006D52A9">
              <w:rPr>
                <w:rFonts w:ascii="Arial" w:hAnsi="Arial" w:cs="Arial"/>
                <w:sz w:val="16"/>
                <w:szCs w:val="16"/>
              </w:rPr>
              <w:br/>
              <w:t>The condition must be diagnosed as clinically definite relapsing</w:t>
            </w:r>
            <w:r w:rsidR="0026100E">
              <w:rPr>
                <w:rFonts w:ascii="Arial" w:hAnsi="Arial" w:cs="Arial"/>
                <w:sz w:val="16"/>
                <w:szCs w:val="16"/>
              </w:rPr>
              <w:noBreakHyphen/>
            </w:r>
            <w:r w:rsidRPr="006D52A9">
              <w:rPr>
                <w:rFonts w:ascii="Arial" w:hAnsi="Arial" w:cs="Arial"/>
                <w:sz w:val="16"/>
                <w:szCs w:val="16"/>
              </w:rPr>
              <w:t>remitting multiple sclerosis by accompanying written certification provided by a radiologist that a magnetic resonance imaging scan is contraindicated because of the risk of physical (not psychological) injury to the patient;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have experienced at least 2 documented attacks of neurological dysfunction, believed to be due to multiple sclerosis, in the preceding 2 years of commencing a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be ambulatory (without assistance or support).</w:t>
            </w:r>
            <w:r w:rsidRPr="006D52A9">
              <w:rPr>
                <w:rFonts w:ascii="Arial" w:hAnsi="Arial" w:cs="Arial"/>
                <w:sz w:val="16"/>
                <w:szCs w:val="16"/>
              </w:rPr>
              <w:br/>
              <w:t>Must be treated by a neurologist.</w:t>
            </w:r>
            <w:r w:rsidRPr="006D52A9">
              <w:rPr>
                <w:rFonts w:ascii="Arial" w:hAnsi="Arial" w:cs="Arial"/>
                <w:sz w:val="16"/>
                <w:szCs w:val="16"/>
              </w:rPr>
              <w:br/>
              <w:t>Where applicable, the date of the magnetic resonance imaging scan must be recorded in the patient's medical records.</w:t>
            </w:r>
          </w:p>
        </w:tc>
        <w:tc>
          <w:tcPr>
            <w:tcW w:w="929" w:type="pct"/>
            <w:tcBorders>
              <w:bottom w:val="single" w:sz="4" w:space="0" w:color="auto"/>
            </w:tcBorders>
            <w:shd w:val="clear" w:color="auto" w:fill="auto"/>
            <w:tcMar>
              <w:top w:w="28" w:type="dxa"/>
              <w:left w:w="28" w:type="dxa"/>
              <w:right w:w="57" w:type="dxa"/>
            </w:tcMar>
          </w:tcPr>
          <w:p w14:paraId="5066A69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9636</w:t>
            </w:r>
          </w:p>
        </w:tc>
      </w:tr>
      <w:tr w:rsidR="008F47B8" w:rsidRPr="006D52A9" w:rsidDel="003142D3" w14:paraId="3F72E5C0" w14:textId="77777777" w:rsidTr="00FB6D2D">
        <w:tc>
          <w:tcPr>
            <w:tcW w:w="647" w:type="pct"/>
            <w:tcBorders>
              <w:bottom w:val="single" w:sz="4" w:space="0" w:color="auto"/>
            </w:tcBorders>
            <w:shd w:val="clear" w:color="auto" w:fill="auto"/>
            <w:tcMar>
              <w:top w:w="28" w:type="dxa"/>
              <w:left w:w="28" w:type="dxa"/>
            </w:tcMar>
          </w:tcPr>
          <w:p w14:paraId="1F2DABAC" w14:textId="77777777" w:rsidR="008F47B8" w:rsidRPr="006D52A9" w:rsidDel="003142D3" w:rsidRDefault="008F47B8" w:rsidP="00FB6D2D">
            <w:pPr>
              <w:spacing w:line="240" w:lineRule="auto"/>
              <w:rPr>
                <w:rFonts w:ascii="Arial" w:hAnsi="Arial" w:cs="Arial"/>
                <w:sz w:val="16"/>
                <w:szCs w:val="16"/>
              </w:rPr>
            </w:pPr>
            <w:r w:rsidRPr="006D52A9">
              <w:rPr>
                <w:rFonts w:ascii="Arial" w:hAnsi="Arial" w:cs="Arial"/>
                <w:sz w:val="16"/>
                <w:szCs w:val="16"/>
              </w:rPr>
              <w:lastRenderedPageBreak/>
              <w:t>Ambrisentan</w:t>
            </w:r>
          </w:p>
        </w:tc>
        <w:tc>
          <w:tcPr>
            <w:tcW w:w="283" w:type="pct"/>
            <w:tcBorders>
              <w:bottom w:val="single" w:sz="4" w:space="0" w:color="auto"/>
            </w:tcBorders>
            <w:shd w:val="clear" w:color="auto" w:fill="auto"/>
            <w:tcMar>
              <w:top w:w="28" w:type="dxa"/>
              <w:left w:w="28" w:type="dxa"/>
            </w:tcMar>
          </w:tcPr>
          <w:p w14:paraId="361FAA7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C10228</w:t>
            </w:r>
          </w:p>
        </w:tc>
        <w:tc>
          <w:tcPr>
            <w:tcW w:w="274" w:type="pct"/>
            <w:tcBorders>
              <w:bottom w:val="single" w:sz="4" w:space="0" w:color="auto"/>
            </w:tcBorders>
            <w:shd w:val="clear" w:color="auto" w:fill="auto"/>
            <w:tcMar>
              <w:top w:w="28" w:type="dxa"/>
              <w:left w:w="28" w:type="dxa"/>
            </w:tcMar>
          </w:tcPr>
          <w:p w14:paraId="77DC88C6"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2780E7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w:t>
            </w:r>
            <w:r w:rsidRPr="006D52A9">
              <w:rPr>
                <w:rFonts w:ascii="Arial" w:hAnsi="Arial" w:cs="Arial"/>
                <w:sz w:val="16"/>
                <w:szCs w:val="16"/>
              </w:rPr>
              <w:br/>
              <w:t>Patient must have received their most recent course of PBS</w:t>
            </w:r>
            <w:r w:rsidR="0026100E">
              <w:rPr>
                <w:rFonts w:ascii="Arial" w:hAnsi="Arial" w:cs="Arial"/>
                <w:sz w:val="16"/>
                <w:szCs w:val="16"/>
              </w:rPr>
              <w:noBreakHyphen/>
            </w:r>
            <w:r w:rsidRPr="006D52A9">
              <w:rPr>
                <w:rFonts w:ascii="Arial" w:hAnsi="Arial" w:cs="Arial"/>
                <w:sz w:val="16"/>
                <w:szCs w:val="16"/>
              </w:rPr>
              <w:t>subsidised treatment with this PAH agent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32CEB7E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3142D3" w14:paraId="59D99218" w14:textId="77777777" w:rsidTr="00FB6D2D">
        <w:trPr>
          <w:cantSplit/>
        </w:trPr>
        <w:tc>
          <w:tcPr>
            <w:tcW w:w="647" w:type="pct"/>
            <w:tcBorders>
              <w:bottom w:val="single" w:sz="4" w:space="0" w:color="auto"/>
            </w:tcBorders>
            <w:shd w:val="clear" w:color="auto" w:fill="auto"/>
            <w:tcMar>
              <w:top w:w="28" w:type="dxa"/>
              <w:left w:w="28" w:type="dxa"/>
            </w:tcMar>
          </w:tcPr>
          <w:p w14:paraId="35E4CABF" w14:textId="77777777" w:rsidR="008F47B8" w:rsidRPr="006D52A9" w:rsidDel="003142D3"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542CC9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C10236</w:t>
            </w:r>
          </w:p>
        </w:tc>
        <w:tc>
          <w:tcPr>
            <w:tcW w:w="274" w:type="pct"/>
            <w:tcBorders>
              <w:bottom w:val="single" w:sz="4" w:space="0" w:color="auto"/>
            </w:tcBorders>
            <w:shd w:val="clear" w:color="auto" w:fill="auto"/>
            <w:tcMar>
              <w:top w:w="28" w:type="dxa"/>
              <w:left w:w="28" w:type="dxa"/>
            </w:tcMar>
          </w:tcPr>
          <w:p w14:paraId="0EB08AF7"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5CFD6B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(change)</w:t>
            </w:r>
            <w:r w:rsidRPr="006D52A9">
              <w:rPr>
                <w:rFonts w:ascii="Arial" w:hAnsi="Arial" w:cs="Arial"/>
                <w:sz w:val="16"/>
                <w:szCs w:val="16"/>
              </w:rPr>
              <w:br/>
              <w:t>Patient must have documented WHO Functional Class II PAH, or WHO Functional Class III PAH, or WHO Functional Class IV PAH; AND</w:t>
            </w:r>
            <w:r w:rsidRPr="006D52A9">
              <w:rPr>
                <w:rFonts w:ascii="Arial" w:hAnsi="Arial" w:cs="Arial"/>
                <w:sz w:val="16"/>
                <w:szCs w:val="16"/>
              </w:rPr>
              <w:br/>
              <w:t>Patient must have had their most recent course of PBS</w:t>
            </w:r>
            <w:r w:rsidR="0026100E">
              <w:rPr>
                <w:rFonts w:ascii="Arial" w:hAnsi="Arial" w:cs="Arial"/>
                <w:sz w:val="16"/>
                <w:szCs w:val="16"/>
              </w:rPr>
              <w:noBreakHyphen/>
            </w:r>
            <w:r w:rsidRPr="006D52A9">
              <w:rPr>
                <w:rFonts w:ascii="Arial" w:hAnsi="Arial" w:cs="Arial"/>
                <w:sz w:val="16"/>
                <w:szCs w:val="16"/>
              </w:rPr>
              <w:t>subsidised treatment for this condition with a PAH agent other than this agent;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hAnsi="Arial" w:cs="Arial"/>
                <w:sz w:val="16"/>
                <w:szCs w:val="16"/>
              </w:rPr>
              <w:noBreakHyphen/>
            </w:r>
            <w:r w:rsidRPr="006D52A9">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hAnsi="Arial" w:cs="Arial"/>
                <w:sz w:val="16"/>
                <w:szCs w:val="16"/>
              </w:rPr>
              <w:br/>
              <w:t>Applications to swap between the 8 PAH agents must be made under the relevant initial treatment (monotherapy) restriction.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316DBC3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3142D3" w14:paraId="4DC0E151" w14:textId="77777777" w:rsidTr="00FB6D2D">
        <w:tc>
          <w:tcPr>
            <w:tcW w:w="647" w:type="pct"/>
            <w:tcBorders>
              <w:bottom w:val="single" w:sz="4" w:space="0" w:color="auto"/>
            </w:tcBorders>
            <w:shd w:val="clear" w:color="auto" w:fill="auto"/>
            <w:tcMar>
              <w:top w:w="28" w:type="dxa"/>
              <w:left w:w="28" w:type="dxa"/>
            </w:tcMar>
          </w:tcPr>
          <w:p w14:paraId="0AC68AF3" w14:textId="77777777" w:rsidR="008F47B8" w:rsidRPr="006D52A9" w:rsidDel="003142D3"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DCD32C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C10285</w:t>
            </w:r>
          </w:p>
        </w:tc>
        <w:tc>
          <w:tcPr>
            <w:tcW w:w="274" w:type="pct"/>
            <w:tcBorders>
              <w:bottom w:val="single" w:sz="4" w:space="0" w:color="auto"/>
            </w:tcBorders>
            <w:shd w:val="clear" w:color="auto" w:fill="auto"/>
            <w:tcMar>
              <w:top w:w="28" w:type="dxa"/>
              <w:left w:w="28" w:type="dxa"/>
            </w:tcMar>
          </w:tcPr>
          <w:p w14:paraId="44225729"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476896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(new patients)</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been assessed by a physician with expertise in the management of PAH; AND</w:t>
            </w:r>
            <w:r w:rsidRPr="006D52A9">
              <w:rPr>
                <w:rFonts w:ascii="Arial" w:hAnsi="Arial" w:cs="Arial"/>
                <w:sz w:val="16"/>
                <w:szCs w:val="16"/>
              </w:rPr>
              <w:br/>
            </w:r>
            <w:r w:rsidRPr="006D52A9">
              <w:rPr>
                <w:rFonts w:ascii="Arial" w:hAnsi="Arial" w:cs="Arial"/>
                <w:sz w:val="16"/>
                <w:szCs w:val="16"/>
              </w:rPr>
              <w:lastRenderedPageBreak/>
              <w:t>Patient must have WHO Functional Class II PAH, or WHO Functional Class III PAH, or WHO Functional Class IV PAH;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0281EF2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A93A5F" w14:paraId="16C113E8" w14:textId="77777777" w:rsidTr="00FB6D2D">
        <w:tc>
          <w:tcPr>
            <w:tcW w:w="647" w:type="pct"/>
            <w:tcBorders>
              <w:bottom w:val="single" w:sz="4" w:space="0" w:color="auto"/>
            </w:tcBorders>
            <w:shd w:val="clear" w:color="auto" w:fill="auto"/>
            <w:tcMar>
              <w:top w:w="28" w:type="dxa"/>
              <w:left w:w="28" w:type="dxa"/>
            </w:tcMar>
          </w:tcPr>
          <w:p w14:paraId="7B90D011" w14:textId="77777777" w:rsidR="008F47B8" w:rsidRPr="006D52A9" w:rsidDel="00A93A5F"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D8B25BE"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C11229</w:t>
            </w:r>
          </w:p>
        </w:tc>
        <w:tc>
          <w:tcPr>
            <w:tcW w:w="274" w:type="pct"/>
            <w:tcBorders>
              <w:bottom w:val="single" w:sz="4" w:space="0" w:color="auto"/>
            </w:tcBorders>
            <w:shd w:val="clear" w:color="auto" w:fill="auto"/>
            <w:tcMar>
              <w:top w:w="28" w:type="dxa"/>
              <w:left w:w="28" w:type="dxa"/>
            </w:tcMar>
          </w:tcPr>
          <w:p w14:paraId="5E33D6BE" w14:textId="77777777" w:rsidR="008F47B8" w:rsidRPr="006D52A9" w:rsidDel="00A93A5F"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5C22672"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r>
            <w:r w:rsidRPr="006D52A9">
              <w:rPr>
                <w:rFonts w:ascii="Arial" w:hAnsi="Arial" w:cs="Arial"/>
                <w:sz w:val="16"/>
                <w:szCs w:val="16"/>
              </w:rPr>
              <w:lastRenderedPageBreak/>
              <w:t xml:space="preserve">Triple therapy </w:t>
            </w:r>
            <w:r w:rsidR="0026100E">
              <w:rPr>
                <w:rFonts w:ascii="Arial" w:hAnsi="Arial" w:cs="Arial"/>
                <w:sz w:val="16"/>
                <w:szCs w:val="16"/>
              </w:rPr>
              <w:noBreakHyphen/>
            </w:r>
            <w:r w:rsidRPr="006D52A9">
              <w:rPr>
                <w:rFonts w:ascii="Arial" w:hAnsi="Arial" w:cs="Arial"/>
                <w:sz w:val="16"/>
                <w:szCs w:val="16"/>
              </w:rPr>
              <w:t xml:space="preserve"> Initial treatment or continuing treatment of triple combination therapy (including dual therapy in lieu of triple therapy) that includes selexipag</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PBS</w:t>
            </w:r>
            <w:r w:rsidR="0026100E">
              <w:rPr>
                <w:rFonts w:ascii="Arial" w:hAnsi="Arial" w:cs="Arial"/>
                <w:sz w:val="16"/>
                <w:szCs w:val="16"/>
              </w:rPr>
              <w:noBreakHyphen/>
            </w:r>
            <w:r w:rsidRPr="006D52A9">
              <w:rPr>
                <w:rFonts w:ascii="Arial" w:hAnsi="Arial" w:cs="Arial"/>
                <w:sz w:val="16"/>
                <w:szCs w:val="16"/>
              </w:rPr>
              <w:t>subsidised selexipag (referred to as 'triple therapy'); OR</w:t>
            </w:r>
            <w:r w:rsidRPr="006D52A9">
              <w:rPr>
                <w:rFonts w:ascii="Arial" w:hAnsi="Arial" w:cs="Arial"/>
                <w:sz w:val="16"/>
                <w:szCs w:val="16"/>
              </w:rPr>
              <w:br/>
              <w:t>The treatment must form part of dual combination therapy consisting of either: (i) PBS</w:t>
            </w:r>
            <w:r w:rsidR="0026100E">
              <w:rPr>
                <w:rFonts w:ascii="Arial" w:hAnsi="Arial" w:cs="Arial"/>
                <w:sz w:val="16"/>
                <w:szCs w:val="16"/>
              </w:rPr>
              <w:noBreakHyphen/>
            </w:r>
            <w:r w:rsidRPr="006D52A9">
              <w:rPr>
                <w:rFonts w:ascii="Arial" w:hAnsi="Arial" w:cs="Arial"/>
                <w:sz w:val="16"/>
                <w:szCs w:val="16"/>
              </w:rPr>
              <w:t>subsidised selexipag with one endothelin receptor antagonist, (ii) PBS</w:t>
            </w:r>
            <w:r w:rsidR="0026100E">
              <w:rPr>
                <w:rFonts w:ascii="Arial" w:hAnsi="Arial" w:cs="Arial"/>
                <w:sz w:val="16"/>
                <w:szCs w:val="16"/>
              </w:rPr>
              <w:noBreakHyphen/>
            </w:r>
            <w:r w:rsidRPr="006D52A9">
              <w:rPr>
                <w:rFonts w:ascii="Arial" w:hAnsi="Arial" w:cs="Arial"/>
                <w:sz w:val="16"/>
                <w:szCs w:val="16"/>
              </w:rPr>
              <w:t>subsidised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authority application for selexipag must be approved prior to the authority application for this agent.</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04499AB7"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Required procedures</w:t>
            </w:r>
          </w:p>
        </w:tc>
      </w:tr>
      <w:tr w:rsidR="008F47B8" w:rsidRPr="006D52A9" w:rsidDel="009E2ADA" w14:paraId="53A95D30" w14:textId="77777777" w:rsidTr="00FB6D2D">
        <w:tc>
          <w:tcPr>
            <w:tcW w:w="647" w:type="pct"/>
            <w:tcBorders>
              <w:bottom w:val="single" w:sz="4" w:space="0" w:color="auto"/>
            </w:tcBorders>
            <w:shd w:val="clear" w:color="auto" w:fill="auto"/>
            <w:tcMar>
              <w:top w:w="28" w:type="dxa"/>
              <w:left w:w="28" w:type="dxa"/>
            </w:tcMar>
          </w:tcPr>
          <w:p w14:paraId="08257251" w14:textId="77777777" w:rsidR="008F47B8" w:rsidRPr="006D52A9" w:rsidDel="009E2A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F9F4866"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C11312</w:t>
            </w:r>
          </w:p>
        </w:tc>
        <w:tc>
          <w:tcPr>
            <w:tcW w:w="274" w:type="pct"/>
            <w:tcBorders>
              <w:bottom w:val="single" w:sz="4" w:space="0" w:color="auto"/>
            </w:tcBorders>
            <w:shd w:val="clear" w:color="auto" w:fill="auto"/>
            <w:tcMar>
              <w:top w:w="28" w:type="dxa"/>
              <w:left w:w="28" w:type="dxa"/>
            </w:tcMar>
          </w:tcPr>
          <w:p w14:paraId="3CA922A8" w14:textId="77777777" w:rsidR="008F47B8" w:rsidRPr="006D52A9" w:rsidDel="009E2A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FA36A50"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(starting dual therapy in an untreated patient for the first time)</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currently have WHO Functional Class III PAH or WHO Functional Class IV PAH;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r>
            <w:r w:rsidRPr="006D52A9">
              <w:rPr>
                <w:rFonts w:ascii="Arial" w:hAnsi="Arial" w:cs="Arial"/>
                <w:sz w:val="16"/>
                <w:szCs w:val="16"/>
              </w:rPr>
              <w:lastRenderedPageBreak/>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7B324C63"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9E2ADA" w14:paraId="422D361A" w14:textId="77777777" w:rsidTr="00FB6D2D">
        <w:tc>
          <w:tcPr>
            <w:tcW w:w="647" w:type="pct"/>
            <w:tcBorders>
              <w:bottom w:val="single" w:sz="4" w:space="0" w:color="auto"/>
            </w:tcBorders>
            <w:shd w:val="clear" w:color="auto" w:fill="auto"/>
            <w:tcMar>
              <w:top w:w="28" w:type="dxa"/>
              <w:left w:w="28" w:type="dxa"/>
            </w:tcMar>
          </w:tcPr>
          <w:p w14:paraId="2368D195" w14:textId="77777777" w:rsidR="008F47B8" w:rsidRPr="006D52A9" w:rsidDel="009E2A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73CFE20"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C11313</w:t>
            </w:r>
          </w:p>
        </w:tc>
        <w:tc>
          <w:tcPr>
            <w:tcW w:w="274" w:type="pct"/>
            <w:tcBorders>
              <w:bottom w:val="single" w:sz="4" w:space="0" w:color="auto"/>
            </w:tcBorders>
            <w:shd w:val="clear" w:color="auto" w:fill="auto"/>
            <w:tcMar>
              <w:top w:w="28" w:type="dxa"/>
              <w:left w:w="28" w:type="dxa"/>
            </w:tcMar>
          </w:tcPr>
          <w:p w14:paraId="49EDBF8E" w14:textId="77777777" w:rsidR="008F47B8" w:rsidRPr="006D52A9" w:rsidDel="009E2A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0DA91B0"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 (dual therapy)</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hAnsi="Arial" w:cs="Arial"/>
                <w:sz w:val="16"/>
                <w:szCs w:val="16"/>
              </w:rPr>
              <w:noBreakHyphen/>
            </w:r>
            <w:r w:rsidRPr="006D52A9">
              <w:rPr>
                <w:rFonts w:ascii="Arial" w:hAnsi="Arial" w:cs="Arial"/>
                <w:sz w:val="16"/>
                <w:szCs w:val="16"/>
              </w:rPr>
              <w:t>subsidised supply; AND</w:t>
            </w:r>
            <w:r w:rsidRPr="006D52A9">
              <w:rPr>
                <w:rFonts w:ascii="Arial" w:hAnsi="Arial" w:cs="Arial"/>
                <w:sz w:val="16"/>
                <w:szCs w:val="16"/>
              </w:rPr>
              <w:br/>
              <w:t xml:space="preserve">The treatment must form part of dual combination therapy consisting of: (i) one endothelin receptor </w:t>
            </w:r>
            <w:r w:rsidRPr="006D52A9">
              <w:rPr>
                <w:rFonts w:ascii="Arial" w:hAnsi="Arial" w:cs="Arial"/>
                <w:sz w:val="16"/>
                <w:szCs w:val="16"/>
              </w:rPr>
              <w:lastRenderedPageBreak/>
              <w:t>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1C13E462"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9E2ADA" w14:paraId="2C53E731" w14:textId="77777777" w:rsidTr="00FB6D2D">
        <w:tc>
          <w:tcPr>
            <w:tcW w:w="647" w:type="pct"/>
            <w:tcBorders>
              <w:bottom w:val="single" w:sz="4" w:space="0" w:color="auto"/>
            </w:tcBorders>
            <w:shd w:val="clear" w:color="auto" w:fill="auto"/>
            <w:tcMar>
              <w:top w:w="28" w:type="dxa"/>
              <w:left w:w="28" w:type="dxa"/>
            </w:tcMar>
          </w:tcPr>
          <w:p w14:paraId="5B816D9E" w14:textId="77777777" w:rsidR="008F47B8" w:rsidRPr="006D52A9" w:rsidDel="009E2A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F572F00"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C11314</w:t>
            </w:r>
          </w:p>
        </w:tc>
        <w:tc>
          <w:tcPr>
            <w:tcW w:w="274" w:type="pct"/>
            <w:tcBorders>
              <w:bottom w:val="single" w:sz="4" w:space="0" w:color="auto"/>
            </w:tcBorders>
            <w:shd w:val="clear" w:color="auto" w:fill="auto"/>
            <w:tcMar>
              <w:top w:w="28" w:type="dxa"/>
              <w:left w:w="28" w:type="dxa"/>
            </w:tcMar>
          </w:tcPr>
          <w:p w14:paraId="1EB2DC5B" w14:textId="77777777" w:rsidR="008F47B8" w:rsidRPr="006D52A9" w:rsidDel="009E2A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EBC623A"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(starting dual therapy in a treated patient for the first time)</w:t>
            </w:r>
            <w:r w:rsidRPr="006D52A9">
              <w:rPr>
                <w:rFonts w:ascii="Arial" w:hAnsi="Arial" w:cs="Arial"/>
                <w:sz w:val="16"/>
                <w:szCs w:val="16"/>
              </w:rPr>
              <w:br/>
              <w:t>The condition must be PAH of WHO Functional Class III severity at the time dual therapy is initiated; OR</w:t>
            </w:r>
            <w:r w:rsidRPr="006D52A9">
              <w:rPr>
                <w:rFonts w:ascii="Arial" w:hAnsi="Arial" w:cs="Arial"/>
                <w:sz w:val="16"/>
                <w:szCs w:val="16"/>
              </w:rPr>
              <w:br/>
              <w:t>The condition must be PAH of WHO Functional Class IV severity at the time dual therapy is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C113CBD"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9E2ADA" w14:paraId="44B4E924" w14:textId="77777777" w:rsidTr="00FB6D2D">
        <w:tc>
          <w:tcPr>
            <w:tcW w:w="647" w:type="pct"/>
            <w:tcBorders>
              <w:bottom w:val="single" w:sz="4" w:space="0" w:color="auto"/>
            </w:tcBorders>
            <w:shd w:val="clear" w:color="auto" w:fill="auto"/>
            <w:tcMar>
              <w:top w:w="28" w:type="dxa"/>
              <w:left w:w="28" w:type="dxa"/>
            </w:tcMar>
          </w:tcPr>
          <w:p w14:paraId="29D9160C" w14:textId="77777777" w:rsidR="008F47B8" w:rsidRPr="006D52A9" w:rsidDel="009E2A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82F9CA2"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C11321</w:t>
            </w:r>
          </w:p>
        </w:tc>
        <w:tc>
          <w:tcPr>
            <w:tcW w:w="274" w:type="pct"/>
            <w:tcBorders>
              <w:bottom w:val="single" w:sz="4" w:space="0" w:color="auto"/>
            </w:tcBorders>
            <w:shd w:val="clear" w:color="auto" w:fill="auto"/>
            <w:tcMar>
              <w:top w:w="28" w:type="dxa"/>
              <w:left w:w="28" w:type="dxa"/>
            </w:tcMar>
          </w:tcPr>
          <w:p w14:paraId="2598B743" w14:textId="77777777" w:rsidR="008F47B8" w:rsidRPr="006D52A9" w:rsidDel="009E2A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EBB58F5"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Initial 3 (dual therapy </w:t>
            </w:r>
            <w:r w:rsidR="0026100E">
              <w:rPr>
                <w:rFonts w:ascii="Arial" w:hAnsi="Arial" w:cs="Arial"/>
                <w:sz w:val="16"/>
                <w:szCs w:val="16"/>
              </w:rPr>
              <w:noBreakHyphen/>
            </w:r>
            <w:r w:rsidRPr="006D52A9">
              <w:rPr>
                <w:rFonts w:ascii="Arial" w:hAnsi="Arial" w:cs="Arial"/>
                <w:sz w:val="16"/>
                <w:szCs w:val="16"/>
              </w:rPr>
              <w:t xml:space="preserve"> change)</w:t>
            </w:r>
            <w:r w:rsidRPr="006D52A9">
              <w:rPr>
                <w:rFonts w:ascii="Arial" w:hAnsi="Arial" w:cs="Arial"/>
                <w:sz w:val="16"/>
                <w:szCs w:val="16"/>
              </w:rPr>
              <w:br/>
            </w:r>
            <w:r w:rsidRPr="006D52A9">
              <w:rPr>
                <w:rFonts w:ascii="Arial" w:hAnsi="Arial" w:cs="Arial"/>
                <w:sz w:val="16"/>
                <w:szCs w:val="16"/>
              </w:rPr>
              <w:lastRenderedPageBreak/>
              <w:t>Patient must have received PBS</w:t>
            </w:r>
            <w:r w:rsidR="0026100E">
              <w:rPr>
                <w:rFonts w:ascii="Arial" w:hAnsi="Arial" w:cs="Arial"/>
                <w:sz w:val="16"/>
                <w:szCs w:val="16"/>
              </w:rPr>
              <w:noBreakHyphen/>
            </w:r>
            <w:r w:rsidRPr="006D52A9">
              <w:rPr>
                <w:rFonts w:ascii="Arial" w:hAnsi="Arial" w:cs="Arial"/>
                <w:sz w:val="16"/>
                <w:szCs w:val="16"/>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450A41E"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9E2ADA" w14:paraId="59B76961" w14:textId="77777777" w:rsidTr="00FB6D2D">
        <w:tc>
          <w:tcPr>
            <w:tcW w:w="647" w:type="pct"/>
            <w:tcBorders>
              <w:bottom w:val="single" w:sz="4" w:space="0" w:color="auto"/>
            </w:tcBorders>
            <w:shd w:val="clear" w:color="auto" w:fill="auto"/>
            <w:tcMar>
              <w:top w:w="28" w:type="dxa"/>
              <w:left w:w="28" w:type="dxa"/>
            </w:tcMar>
          </w:tcPr>
          <w:p w14:paraId="6B60E68A" w14:textId="77777777" w:rsidR="008F47B8" w:rsidRPr="006D52A9" w:rsidDel="009E2AD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F791B83"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C11354</w:t>
            </w:r>
          </w:p>
        </w:tc>
        <w:tc>
          <w:tcPr>
            <w:tcW w:w="274" w:type="pct"/>
            <w:tcBorders>
              <w:bottom w:val="single" w:sz="4" w:space="0" w:color="auto"/>
            </w:tcBorders>
            <w:shd w:val="clear" w:color="auto" w:fill="auto"/>
            <w:tcMar>
              <w:top w:w="28" w:type="dxa"/>
              <w:left w:w="28" w:type="dxa"/>
            </w:tcMar>
          </w:tcPr>
          <w:p w14:paraId="642179A2" w14:textId="77777777" w:rsidR="008F47B8" w:rsidRPr="006D52A9" w:rsidDel="009E2AD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3441E3B"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Grandfathered patient (dual therapy)</w:t>
            </w:r>
            <w:r w:rsidRPr="006D52A9">
              <w:rPr>
                <w:rFonts w:ascii="Arial" w:hAnsi="Arial" w:cs="Arial"/>
                <w:sz w:val="16"/>
                <w:szCs w:val="16"/>
              </w:rPr>
              <w:br/>
              <w:t>Patient must be receiving dual therapy with this non PBS</w:t>
            </w:r>
            <w:r w:rsidR="0026100E">
              <w:rPr>
                <w:rFonts w:ascii="Arial" w:hAnsi="Arial" w:cs="Arial"/>
                <w:sz w:val="16"/>
                <w:szCs w:val="16"/>
              </w:rPr>
              <w:noBreakHyphen/>
            </w:r>
            <w:r w:rsidRPr="006D52A9">
              <w:rPr>
                <w:rFonts w:ascii="Arial" w:hAnsi="Arial" w:cs="Arial"/>
                <w:sz w:val="16"/>
                <w:szCs w:val="16"/>
              </w:rPr>
              <w:t>subsidised pulmonary arterial hypertension (PAH) agent and a non PBS</w:t>
            </w:r>
            <w:r w:rsidR="0026100E">
              <w:rPr>
                <w:rFonts w:ascii="Arial" w:hAnsi="Arial" w:cs="Arial"/>
                <w:sz w:val="16"/>
                <w:szCs w:val="16"/>
              </w:rPr>
              <w:noBreakHyphen/>
            </w:r>
            <w:r w:rsidRPr="006D52A9">
              <w:rPr>
                <w:rFonts w:ascii="Arial" w:hAnsi="Arial" w:cs="Arial"/>
                <w:sz w:val="16"/>
                <w:szCs w:val="16"/>
              </w:rPr>
              <w:t>subsidised phosphodiesterase</w:t>
            </w:r>
            <w:r w:rsidR="0026100E">
              <w:rPr>
                <w:rFonts w:ascii="Arial" w:hAnsi="Arial" w:cs="Arial"/>
                <w:sz w:val="16"/>
                <w:szCs w:val="16"/>
              </w:rPr>
              <w:noBreakHyphen/>
            </w:r>
            <w:r w:rsidRPr="006D52A9">
              <w:rPr>
                <w:rFonts w:ascii="Arial" w:hAnsi="Arial" w:cs="Arial"/>
                <w:sz w:val="16"/>
                <w:szCs w:val="16"/>
              </w:rPr>
              <w:t>5 inhibitor (PDE</w:t>
            </w:r>
            <w:r w:rsidR="0026100E">
              <w:rPr>
                <w:rFonts w:ascii="Arial" w:hAnsi="Arial" w:cs="Arial"/>
                <w:sz w:val="16"/>
                <w:szCs w:val="16"/>
              </w:rPr>
              <w:noBreakHyphen/>
            </w:r>
            <w:r w:rsidRPr="006D52A9">
              <w:rPr>
                <w:rFonts w:ascii="Arial" w:hAnsi="Arial" w:cs="Arial"/>
                <w:sz w:val="16"/>
                <w:szCs w:val="16"/>
              </w:rPr>
              <w:t xml:space="preserve">5i) for this condition prior to </w:t>
            </w:r>
            <w:r w:rsidR="003E082A" w:rsidRPr="006D52A9">
              <w:rPr>
                <w:rFonts w:ascii="Arial" w:hAnsi="Arial" w:cs="Arial"/>
                <w:sz w:val="16"/>
                <w:szCs w:val="16"/>
              </w:rPr>
              <w:t>1 December</w:t>
            </w:r>
            <w:r w:rsidRPr="006D52A9">
              <w:rPr>
                <w:rFonts w:ascii="Arial" w:hAnsi="Arial" w:cs="Arial"/>
                <w:sz w:val="16"/>
                <w:szCs w:val="16"/>
              </w:rPr>
              <w:t xml:space="preserve"> 2020; AND</w:t>
            </w:r>
            <w:r w:rsidRPr="006D52A9">
              <w:rPr>
                <w:rFonts w:ascii="Arial" w:hAnsi="Arial" w:cs="Arial"/>
                <w:sz w:val="16"/>
                <w:szCs w:val="16"/>
              </w:rPr>
              <w:br/>
              <w:t>Patient must have documented WHO Functional Class III PAH or WHO Functional Class IV PAH.</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A prior PAH agent is any of: ambrisentan, bosentan, macitentan, sildenafil, tadalafil, epoprostenol, iloprost, riociguat.</w:t>
            </w:r>
            <w:r w:rsidRPr="006D52A9">
              <w:rPr>
                <w:rFonts w:ascii="Arial" w:hAnsi="Arial" w:cs="Arial"/>
                <w:sz w:val="16"/>
                <w:szCs w:val="16"/>
              </w:rPr>
              <w:br/>
              <w:t>For the purposes of PBS subsidy, dual therapy refers to combined use of an endothelin receptor antagonist (ERA) and a phosphodiesterase</w:t>
            </w:r>
            <w:r w:rsidR="0026100E">
              <w:rPr>
                <w:rFonts w:ascii="Arial" w:hAnsi="Arial" w:cs="Arial"/>
                <w:sz w:val="16"/>
                <w:szCs w:val="16"/>
              </w:rPr>
              <w:noBreakHyphen/>
            </w:r>
            <w:r w:rsidRPr="006D52A9">
              <w:rPr>
                <w:rFonts w:ascii="Arial" w:hAnsi="Arial" w:cs="Arial"/>
                <w:sz w:val="16"/>
                <w:szCs w:val="16"/>
              </w:rPr>
              <w:t>5 inhibitor (PDE</w:t>
            </w:r>
            <w:r w:rsidR="0026100E">
              <w:rPr>
                <w:rFonts w:ascii="Arial" w:hAnsi="Arial" w:cs="Arial"/>
                <w:sz w:val="16"/>
                <w:szCs w:val="16"/>
              </w:rPr>
              <w:noBreakHyphen/>
            </w:r>
            <w:r w:rsidRPr="006D52A9">
              <w:rPr>
                <w:rFonts w:ascii="Arial" w:hAnsi="Arial" w:cs="Arial"/>
                <w:sz w:val="16"/>
                <w:szCs w:val="16"/>
              </w:rPr>
              <w:t>5i).</w:t>
            </w:r>
            <w:r w:rsidRPr="006D52A9">
              <w:rPr>
                <w:rFonts w:ascii="Arial" w:hAnsi="Arial" w:cs="Arial"/>
                <w:sz w:val="16"/>
                <w:szCs w:val="16"/>
              </w:rPr>
              <w:br/>
              <w:t>(i) An ERA includes ambrisentan, bosentan monohydrate, or macitentan.</w:t>
            </w:r>
            <w:r w:rsidRPr="006D52A9">
              <w:rPr>
                <w:rFonts w:ascii="Arial" w:hAnsi="Arial" w:cs="Arial"/>
                <w:sz w:val="16"/>
                <w:szCs w:val="16"/>
              </w:rPr>
              <w:br/>
              <w:t>(ii) A PDE</w:t>
            </w:r>
            <w:r w:rsidR="0026100E">
              <w:rPr>
                <w:rFonts w:ascii="Arial" w:hAnsi="Arial" w:cs="Arial"/>
                <w:sz w:val="16"/>
                <w:szCs w:val="16"/>
              </w:rPr>
              <w:noBreakHyphen/>
            </w:r>
            <w:r w:rsidRPr="006D52A9">
              <w:rPr>
                <w:rFonts w:ascii="Arial" w:hAnsi="Arial" w:cs="Arial"/>
                <w:sz w:val="16"/>
                <w:szCs w:val="16"/>
              </w:rPr>
              <w:t>5i includes sildenafil citrate, or tadalafil.</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r>
            <w:r w:rsidRPr="006D52A9">
              <w:rPr>
                <w:rFonts w:ascii="Arial" w:hAnsi="Arial" w:cs="Arial"/>
                <w:sz w:val="16"/>
                <w:szCs w:val="16"/>
              </w:rPr>
              <w:lastRenderedPageBreak/>
              <w:t>(iii) 6 Minute Walk Test (6MWT).</w:t>
            </w:r>
            <w:r w:rsidRPr="006D52A9">
              <w:rPr>
                <w:rFonts w:ascii="Arial" w:hAnsi="Arial" w:cs="Arial"/>
                <w:sz w:val="16"/>
                <w:szCs w:val="16"/>
              </w:rPr>
              <w:br/>
              <w:t>Where it was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A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 for dual therapy for this condition.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1748AA3B" w14:textId="77777777" w:rsidR="008F47B8" w:rsidRPr="006D52A9" w:rsidDel="009E2ADA"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20664" w14:paraId="345D7448" w14:textId="77777777" w:rsidTr="00FB6D2D">
        <w:tc>
          <w:tcPr>
            <w:tcW w:w="647" w:type="pct"/>
            <w:tcMar>
              <w:top w:w="28" w:type="dxa"/>
              <w:left w:w="28" w:type="dxa"/>
            </w:tcMar>
          </w:tcPr>
          <w:p w14:paraId="6C52A72C" w14:textId="77777777" w:rsidR="008F47B8" w:rsidRPr="006D52A9" w:rsidDel="00720664" w:rsidRDefault="008F47B8" w:rsidP="00FB6D2D">
            <w:pPr>
              <w:spacing w:line="240" w:lineRule="auto"/>
              <w:rPr>
                <w:rFonts w:ascii="Arial" w:hAnsi="Arial" w:cs="Arial"/>
                <w:sz w:val="16"/>
                <w:szCs w:val="16"/>
              </w:rPr>
            </w:pPr>
            <w:bookmarkStart w:id="67" w:name="CU_28171760"/>
            <w:bookmarkStart w:id="68" w:name="CU_29176394"/>
            <w:bookmarkStart w:id="69" w:name="CU_30182270"/>
            <w:bookmarkEnd w:id="67"/>
            <w:bookmarkEnd w:id="68"/>
            <w:bookmarkEnd w:id="69"/>
            <w:r w:rsidRPr="006D52A9">
              <w:rPr>
                <w:rFonts w:ascii="Arial" w:hAnsi="Arial" w:cs="Arial"/>
                <w:sz w:val="16"/>
                <w:szCs w:val="16"/>
              </w:rPr>
              <w:t>Anakinra</w:t>
            </w:r>
          </w:p>
        </w:tc>
        <w:tc>
          <w:tcPr>
            <w:tcW w:w="283" w:type="pct"/>
            <w:tcMar>
              <w:top w:w="28" w:type="dxa"/>
              <w:left w:w="28" w:type="dxa"/>
            </w:tcMar>
          </w:tcPr>
          <w:p w14:paraId="39E4234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C5450</w:t>
            </w:r>
          </w:p>
        </w:tc>
        <w:tc>
          <w:tcPr>
            <w:tcW w:w="274" w:type="pct"/>
            <w:tcMar>
              <w:top w:w="28" w:type="dxa"/>
              <w:left w:w="28" w:type="dxa"/>
            </w:tcMar>
          </w:tcPr>
          <w:p w14:paraId="0029D148" w14:textId="77777777" w:rsidR="008F47B8" w:rsidRPr="006D52A9" w:rsidDel="00720664" w:rsidRDefault="008F47B8" w:rsidP="00FB6D2D">
            <w:pPr>
              <w:spacing w:line="240" w:lineRule="auto"/>
              <w:rPr>
                <w:rFonts w:ascii="Arial" w:hAnsi="Arial" w:cs="Arial"/>
                <w:sz w:val="16"/>
                <w:szCs w:val="16"/>
              </w:rPr>
            </w:pPr>
          </w:p>
        </w:tc>
        <w:tc>
          <w:tcPr>
            <w:tcW w:w="2867" w:type="pct"/>
            <w:tcMar>
              <w:top w:w="28" w:type="dxa"/>
              <w:left w:w="28" w:type="dxa"/>
            </w:tcMar>
          </w:tcPr>
          <w:p w14:paraId="5F4E680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Moderate to severe cryopyrin associated periodic syndromes (CAPS)</w:t>
            </w:r>
            <w:r w:rsidRPr="006D52A9">
              <w:rPr>
                <w:rFonts w:ascii="Arial" w:hAnsi="Arial" w:cs="Arial"/>
                <w:sz w:val="16"/>
                <w:szCs w:val="16"/>
              </w:rPr>
              <w:br/>
              <w:t>Must be treated by a rheumatologist or in consultation with a rheumatologist; OR</w:t>
            </w:r>
            <w:r w:rsidRPr="006D52A9">
              <w:rPr>
                <w:rFonts w:ascii="Arial" w:hAnsi="Arial" w:cs="Arial"/>
                <w:sz w:val="16"/>
                <w:szCs w:val="16"/>
              </w:rPr>
              <w:br/>
              <w:t>Must be treated by a clinical immunologist or in consultation with a clinical immunologist.</w:t>
            </w:r>
            <w:r w:rsidRPr="006D52A9">
              <w:rPr>
                <w:rFonts w:ascii="Arial" w:hAnsi="Arial" w:cs="Arial"/>
                <w:sz w:val="16"/>
                <w:szCs w:val="16"/>
              </w:rPr>
              <w:br/>
              <w:t>A diagnosis of CAPS must be documented in the patient’s medical records.</w:t>
            </w:r>
          </w:p>
        </w:tc>
        <w:tc>
          <w:tcPr>
            <w:tcW w:w="929" w:type="pct"/>
            <w:tcMar>
              <w:top w:w="28" w:type="dxa"/>
              <w:left w:w="28" w:type="dxa"/>
              <w:right w:w="57" w:type="dxa"/>
            </w:tcMar>
          </w:tcPr>
          <w:p w14:paraId="5DF8FF0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5450</w:t>
            </w:r>
          </w:p>
        </w:tc>
      </w:tr>
      <w:tr w:rsidR="008F47B8" w:rsidRPr="006D52A9" w:rsidDel="00493276" w14:paraId="6852A20B" w14:textId="77777777" w:rsidTr="00FB6D2D">
        <w:tc>
          <w:tcPr>
            <w:tcW w:w="647" w:type="pct"/>
            <w:tcBorders>
              <w:bottom w:val="single" w:sz="4" w:space="0" w:color="auto"/>
            </w:tcBorders>
            <w:tcMar>
              <w:top w:w="28" w:type="dxa"/>
              <w:left w:w="28" w:type="dxa"/>
            </w:tcMar>
          </w:tcPr>
          <w:p w14:paraId="0042D0D7" w14:textId="77777777" w:rsidR="008F47B8" w:rsidRPr="006D52A9" w:rsidDel="00493276" w:rsidRDefault="008F47B8" w:rsidP="00FB6D2D">
            <w:pPr>
              <w:spacing w:line="240" w:lineRule="auto"/>
              <w:rPr>
                <w:rFonts w:ascii="Arial" w:hAnsi="Arial" w:cs="Arial"/>
                <w:sz w:val="16"/>
                <w:szCs w:val="16"/>
              </w:rPr>
            </w:pPr>
            <w:r w:rsidRPr="006D52A9">
              <w:rPr>
                <w:rFonts w:ascii="Arial" w:hAnsi="Arial" w:cs="Arial"/>
                <w:sz w:val="16"/>
                <w:szCs w:val="16"/>
              </w:rPr>
              <w:t>Apomorphine</w:t>
            </w:r>
          </w:p>
        </w:tc>
        <w:tc>
          <w:tcPr>
            <w:tcW w:w="283" w:type="pct"/>
            <w:tcBorders>
              <w:bottom w:val="single" w:sz="4" w:space="0" w:color="auto"/>
            </w:tcBorders>
            <w:tcMar>
              <w:top w:w="28" w:type="dxa"/>
              <w:left w:w="28" w:type="dxa"/>
            </w:tcMar>
          </w:tcPr>
          <w:p w14:paraId="1E52840D" w14:textId="77777777" w:rsidR="008F47B8" w:rsidRPr="006D52A9" w:rsidDel="00493276" w:rsidRDefault="008F47B8" w:rsidP="00FB6D2D">
            <w:pPr>
              <w:spacing w:line="240" w:lineRule="auto"/>
              <w:rPr>
                <w:rFonts w:ascii="Arial" w:hAnsi="Arial" w:cs="Arial"/>
                <w:sz w:val="16"/>
                <w:szCs w:val="16"/>
              </w:rPr>
            </w:pPr>
            <w:r w:rsidRPr="006D52A9">
              <w:rPr>
                <w:rFonts w:ascii="Arial" w:hAnsi="Arial" w:cs="Arial"/>
                <w:sz w:val="16"/>
                <w:szCs w:val="16"/>
              </w:rPr>
              <w:t>C4833</w:t>
            </w:r>
          </w:p>
        </w:tc>
        <w:tc>
          <w:tcPr>
            <w:tcW w:w="274" w:type="pct"/>
            <w:tcBorders>
              <w:bottom w:val="single" w:sz="4" w:space="0" w:color="auto"/>
            </w:tcBorders>
            <w:tcMar>
              <w:top w:w="28" w:type="dxa"/>
              <w:left w:w="28" w:type="dxa"/>
            </w:tcMar>
          </w:tcPr>
          <w:p w14:paraId="5EA0A630" w14:textId="77777777" w:rsidR="008F47B8" w:rsidRPr="006D52A9" w:rsidDel="00493276"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541461E4" w14:textId="77777777" w:rsidR="008F47B8" w:rsidRPr="006D52A9" w:rsidDel="00493276" w:rsidRDefault="008F47B8" w:rsidP="00FB6D2D">
            <w:pPr>
              <w:spacing w:line="240" w:lineRule="auto"/>
              <w:rPr>
                <w:rFonts w:ascii="Arial" w:hAnsi="Arial" w:cs="Arial"/>
                <w:sz w:val="16"/>
                <w:szCs w:val="16"/>
              </w:rPr>
            </w:pPr>
            <w:r w:rsidRPr="006D52A9">
              <w:rPr>
                <w:rFonts w:ascii="Arial" w:hAnsi="Arial" w:cs="Arial"/>
                <w:sz w:val="16"/>
                <w:szCs w:val="16"/>
              </w:rPr>
              <w:t>Parkinson disease</w:t>
            </w:r>
            <w:r w:rsidRPr="006D52A9">
              <w:rPr>
                <w:rFonts w:ascii="Arial" w:hAnsi="Arial" w:cs="Arial"/>
                <w:sz w:val="16"/>
                <w:szCs w:val="16"/>
              </w:rPr>
              <w:br/>
              <w:t>Patient must have experienced severely disabling motor fluctuations which have not responded to other therapy.</w:t>
            </w:r>
          </w:p>
        </w:tc>
        <w:tc>
          <w:tcPr>
            <w:tcW w:w="929" w:type="pct"/>
            <w:tcBorders>
              <w:bottom w:val="single" w:sz="4" w:space="0" w:color="auto"/>
            </w:tcBorders>
            <w:tcMar>
              <w:top w:w="28" w:type="dxa"/>
              <w:left w:w="28" w:type="dxa"/>
              <w:right w:w="57" w:type="dxa"/>
            </w:tcMar>
          </w:tcPr>
          <w:p w14:paraId="2CFC5B98" w14:textId="77777777" w:rsidR="008F47B8" w:rsidRPr="006D52A9" w:rsidDel="00493276"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4833</w:t>
            </w:r>
          </w:p>
        </w:tc>
      </w:tr>
      <w:tr w:rsidR="008F47B8" w:rsidRPr="006D52A9" w:rsidDel="00493276" w14:paraId="0E950CD5" w14:textId="77777777" w:rsidTr="00FB6D2D">
        <w:tc>
          <w:tcPr>
            <w:tcW w:w="647" w:type="pct"/>
            <w:tcBorders>
              <w:bottom w:val="single" w:sz="4" w:space="0" w:color="auto"/>
            </w:tcBorders>
            <w:tcMar>
              <w:top w:w="28" w:type="dxa"/>
              <w:left w:w="28" w:type="dxa"/>
            </w:tcMar>
          </w:tcPr>
          <w:p w14:paraId="451F794E" w14:textId="77777777" w:rsidR="008F47B8" w:rsidRPr="006D52A9" w:rsidDel="00493276"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37D821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C9561</w:t>
            </w:r>
          </w:p>
        </w:tc>
        <w:tc>
          <w:tcPr>
            <w:tcW w:w="274" w:type="pct"/>
            <w:tcBorders>
              <w:bottom w:val="single" w:sz="4" w:space="0" w:color="auto"/>
            </w:tcBorders>
            <w:tcMar>
              <w:top w:w="28" w:type="dxa"/>
              <w:left w:w="28" w:type="dxa"/>
            </w:tcMar>
          </w:tcPr>
          <w:p w14:paraId="60F4CDF9" w14:textId="77777777" w:rsidR="008F47B8" w:rsidRPr="006D52A9" w:rsidDel="00B52BEC"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2A8EC1F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Parkinson disease</w:t>
            </w:r>
            <w:r w:rsidRPr="006D52A9">
              <w:rPr>
                <w:rFonts w:ascii="Arial" w:hAnsi="Arial" w:cs="Arial"/>
                <w:sz w:val="16"/>
                <w:szCs w:val="16"/>
              </w:rPr>
              <w:br/>
              <w:t>Patient must have experienced severely disabling motor fluctuations which have not responded to other therapy.</w:t>
            </w:r>
          </w:p>
        </w:tc>
        <w:tc>
          <w:tcPr>
            <w:tcW w:w="929" w:type="pct"/>
            <w:tcBorders>
              <w:bottom w:val="single" w:sz="4" w:space="0" w:color="auto"/>
            </w:tcBorders>
            <w:tcMar>
              <w:top w:w="28" w:type="dxa"/>
              <w:left w:w="28" w:type="dxa"/>
              <w:right w:w="57" w:type="dxa"/>
            </w:tcMar>
          </w:tcPr>
          <w:p w14:paraId="41B3176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9561</w:t>
            </w:r>
          </w:p>
        </w:tc>
      </w:tr>
      <w:tr w:rsidR="008F47B8" w:rsidRPr="006D52A9" w:rsidDel="00493276" w14:paraId="71647A46" w14:textId="77777777" w:rsidTr="00FB6D2D">
        <w:tc>
          <w:tcPr>
            <w:tcW w:w="647" w:type="pct"/>
            <w:tcBorders>
              <w:bottom w:val="single" w:sz="4" w:space="0" w:color="auto"/>
            </w:tcBorders>
            <w:tcMar>
              <w:top w:w="28" w:type="dxa"/>
              <w:left w:w="28" w:type="dxa"/>
            </w:tcMar>
          </w:tcPr>
          <w:p w14:paraId="0719EF05" w14:textId="77777777" w:rsidR="008F47B8" w:rsidRPr="006D52A9" w:rsidDel="00493276"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08F349A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C10830</w:t>
            </w:r>
          </w:p>
        </w:tc>
        <w:tc>
          <w:tcPr>
            <w:tcW w:w="274" w:type="pct"/>
            <w:tcBorders>
              <w:bottom w:val="single" w:sz="4" w:space="0" w:color="auto"/>
            </w:tcBorders>
            <w:tcMar>
              <w:top w:w="28" w:type="dxa"/>
              <w:left w:w="28" w:type="dxa"/>
            </w:tcMar>
          </w:tcPr>
          <w:p w14:paraId="785DD718" w14:textId="77777777" w:rsidR="008F47B8" w:rsidRPr="006D52A9" w:rsidDel="00B52BEC"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4311B9D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Parkinson disease</w:t>
            </w:r>
            <w:r w:rsidRPr="006D52A9">
              <w:rPr>
                <w:rFonts w:ascii="Arial" w:hAnsi="Arial" w:cs="Arial"/>
                <w:sz w:val="16"/>
                <w:szCs w:val="16"/>
              </w:rPr>
              <w:br/>
              <w:t>Patient must have experienced severely disabling motor fluctuations which have not responded to other therapy; AND</w:t>
            </w:r>
            <w:r w:rsidRPr="006D52A9">
              <w:rPr>
                <w:rFonts w:ascii="Arial" w:hAnsi="Arial" w:cs="Arial"/>
                <w:sz w:val="16"/>
                <w:szCs w:val="16"/>
              </w:rPr>
              <w:br/>
              <w:t>The treatment must be commenced in a specialist unit in a hospital setting.</w:t>
            </w:r>
          </w:p>
        </w:tc>
        <w:tc>
          <w:tcPr>
            <w:tcW w:w="929" w:type="pct"/>
            <w:tcBorders>
              <w:bottom w:val="single" w:sz="4" w:space="0" w:color="auto"/>
            </w:tcBorders>
            <w:tcMar>
              <w:top w:w="28" w:type="dxa"/>
              <w:left w:w="28" w:type="dxa"/>
              <w:right w:w="57" w:type="dxa"/>
            </w:tcMar>
          </w:tcPr>
          <w:p w14:paraId="1A134C5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10830</w:t>
            </w:r>
          </w:p>
        </w:tc>
      </w:tr>
      <w:tr w:rsidR="008F47B8" w:rsidRPr="006D52A9" w:rsidDel="00493276" w14:paraId="4E732717" w14:textId="77777777" w:rsidTr="00FB6D2D">
        <w:tc>
          <w:tcPr>
            <w:tcW w:w="647" w:type="pct"/>
            <w:tcBorders>
              <w:bottom w:val="single" w:sz="4" w:space="0" w:color="auto"/>
            </w:tcBorders>
            <w:tcMar>
              <w:top w:w="28" w:type="dxa"/>
              <w:left w:w="28" w:type="dxa"/>
            </w:tcMar>
          </w:tcPr>
          <w:p w14:paraId="36B3B303" w14:textId="77777777" w:rsidR="008F47B8" w:rsidRPr="006D52A9" w:rsidDel="00493276"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26E73D0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C10863</w:t>
            </w:r>
          </w:p>
        </w:tc>
        <w:tc>
          <w:tcPr>
            <w:tcW w:w="274" w:type="pct"/>
            <w:tcBorders>
              <w:bottom w:val="single" w:sz="4" w:space="0" w:color="auto"/>
            </w:tcBorders>
            <w:tcMar>
              <w:top w:w="28" w:type="dxa"/>
              <w:left w:w="28" w:type="dxa"/>
            </w:tcMar>
          </w:tcPr>
          <w:p w14:paraId="101C0AB6" w14:textId="77777777" w:rsidR="008F47B8" w:rsidRPr="006D52A9" w:rsidDel="00B52BEC"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ED3963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Parkinson disease</w:t>
            </w:r>
            <w:r w:rsidRPr="006D52A9">
              <w:rPr>
                <w:rFonts w:ascii="Arial" w:hAnsi="Arial" w:cs="Arial"/>
                <w:sz w:val="16"/>
                <w:szCs w:val="16"/>
              </w:rPr>
              <w:br/>
              <w:t>Patient must have experienced severely disabling motor fluctuations which have not responded to other therapy; AND</w:t>
            </w:r>
            <w:r w:rsidRPr="006D52A9">
              <w:rPr>
                <w:rFonts w:ascii="Arial" w:hAnsi="Arial" w:cs="Arial"/>
                <w:sz w:val="16"/>
                <w:szCs w:val="16"/>
              </w:rPr>
              <w:br/>
              <w:t>The treatment must be commenced in a specialist unit in a hospital setting.</w:t>
            </w:r>
          </w:p>
        </w:tc>
        <w:tc>
          <w:tcPr>
            <w:tcW w:w="929" w:type="pct"/>
            <w:tcBorders>
              <w:bottom w:val="single" w:sz="4" w:space="0" w:color="auto"/>
            </w:tcBorders>
            <w:tcMar>
              <w:top w:w="28" w:type="dxa"/>
              <w:left w:w="28" w:type="dxa"/>
              <w:right w:w="57" w:type="dxa"/>
            </w:tcMar>
          </w:tcPr>
          <w:p w14:paraId="3635F13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10863</w:t>
            </w:r>
          </w:p>
        </w:tc>
      </w:tr>
      <w:tr w:rsidR="008F47B8" w:rsidRPr="006D52A9" w:rsidDel="002D20DA" w14:paraId="038A0BAB" w14:textId="77777777" w:rsidTr="00FB6D2D">
        <w:tblPrEx>
          <w:tblLook w:val="01E0" w:firstRow="1" w:lastRow="1" w:firstColumn="1" w:lastColumn="1" w:noHBand="0" w:noVBand="0"/>
        </w:tblPrEx>
        <w:tc>
          <w:tcPr>
            <w:tcW w:w="647" w:type="pct"/>
            <w:shd w:val="clear" w:color="auto" w:fill="auto"/>
            <w:tcMar>
              <w:top w:w="28" w:type="dxa"/>
              <w:left w:w="28" w:type="dxa"/>
            </w:tcMar>
          </w:tcPr>
          <w:p w14:paraId="32AF76F9" w14:textId="77777777" w:rsidR="008F47B8" w:rsidRPr="006D52A9" w:rsidDel="002D20DA" w:rsidRDefault="008F47B8" w:rsidP="00FB6D2D">
            <w:pPr>
              <w:spacing w:line="240" w:lineRule="auto"/>
              <w:rPr>
                <w:rFonts w:ascii="Arial" w:hAnsi="Arial" w:cs="Arial"/>
                <w:sz w:val="16"/>
                <w:szCs w:val="16"/>
              </w:rPr>
            </w:pPr>
            <w:bookmarkStart w:id="70" w:name="CU_35193547"/>
            <w:bookmarkStart w:id="71" w:name="CU_38194557"/>
            <w:bookmarkEnd w:id="70"/>
            <w:bookmarkEnd w:id="71"/>
            <w:r w:rsidRPr="006D52A9">
              <w:rPr>
                <w:rFonts w:ascii="Arial" w:hAnsi="Arial" w:cs="Arial"/>
                <w:sz w:val="16"/>
                <w:szCs w:val="16"/>
              </w:rPr>
              <w:t>Atazanavir</w:t>
            </w:r>
          </w:p>
        </w:tc>
        <w:tc>
          <w:tcPr>
            <w:tcW w:w="283" w:type="pct"/>
            <w:shd w:val="clear" w:color="auto" w:fill="auto"/>
            <w:tcMar>
              <w:top w:w="28" w:type="dxa"/>
              <w:left w:w="28" w:type="dxa"/>
            </w:tcMar>
          </w:tcPr>
          <w:p w14:paraId="1073EB3A"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 xml:space="preserve">C4454 </w:t>
            </w:r>
          </w:p>
        </w:tc>
        <w:tc>
          <w:tcPr>
            <w:tcW w:w="274" w:type="pct"/>
            <w:shd w:val="clear" w:color="auto" w:fill="auto"/>
            <w:tcMar>
              <w:top w:w="28" w:type="dxa"/>
              <w:left w:w="28" w:type="dxa"/>
            </w:tcMar>
          </w:tcPr>
          <w:p w14:paraId="4A13CF76" w14:textId="77777777" w:rsidR="008F47B8" w:rsidRPr="006D52A9" w:rsidDel="002D20D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50AAEF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35E73669"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021F3D94"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2D20DA" w14:paraId="63AF1F2E" w14:textId="77777777" w:rsidTr="00FB6D2D">
        <w:tblPrEx>
          <w:tblLook w:val="01E0" w:firstRow="1" w:lastRow="1" w:firstColumn="1" w:lastColumn="1" w:noHBand="0" w:noVBand="0"/>
        </w:tblPrEx>
        <w:trPr>
          <w:cantSplit/>
        </w:trPr>
        <w:tc>
          <w:tcPr>
            <w:tcW w:w="647" w:type="pct"/>
            <w:shd w:val="clear" w:color="auto" w:fill="auto"/>
            <w:tcMar>
              <w:top w:w="28" w:type="dxa"/>
              <w:left w:w="28" w:type="dxa"/>
            </w:tcMar>
          </w:tcPr>
          <w:p w14:paraId="61EE5BBD" w14:textId="77777777" w:rsidR="008F47B8" w:rsidRPr="006D52A9" w:rsidDel="002D20DA"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10425079"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shd w:val="clear" w:color="auto" w:fill="auto"/>
            <w:tcMar>
              <w:top w:w="28" w:type="dxa"/>
              <w:left w:w="28" w:type="dxa"/>
            </w:tcMar>
          </w:tcPr>
          <w:p w14:paraId="5B15EEF3" w14:textId="77777777" w:rsidR="008F47B8" w:rsidRPr="006D52A9" w:rsidDel="002D20D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37CB49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12282C25"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2A323885"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2D20DA" w14:paraId="06C7EA39" w14:textId="77777777" w:rsidTr="00FB6D2D">
        <w:tblPrEx>
          <w:tblLook w:val="01E0" w:firstRow="1" w:lastRow="1" w:firstColumn="1" w:lastColumn="1" w:noHBand="0" w:noVBand="0"/>
        </w:tblPrEx>
        <w:trPr>
          <w:cantSplit/>
        </w:trPr>
        <w:tc>
          <w:tcPr>
            <w:tcW w:w="647" w:type="pct"/>
            <w:shd w:val="clear" w:color="auto" w:fill="auto"/>
            <w:tcMar>
              <w:top w:w="28" w:type="dxa"/>
              <w:left w:w="28" w:type="dxa"/>
            </w:tcMar>
          </w:tcPr>
          <w:p w14:paraId="504C11E2" w14:textId="77777777" w:rsidR="008F47B8" w:rsidRPr="006D52A9" w:rsidDel="002D20DA" w:rsidRDefault="008F47B8" w:rsidP="00FB6D2D">
            <w:pPr>
              <w:spacing w:line="240" w:lineRule="auto"/>
              <w:rPr>
                <w:rFonts w:ascii="Arial" w:hAnsi="Arial" w:cs="Arial"/>
                <w:sz w:val="16"/>
                <w:szCs w:val="16"/>
              </w:rPr>
            </w:pPr>
            <w:r w:rsidRPr="006D52A9">
              <w:rPr>
                <w:rFonts w:ascii="Arial" w:hAnsi="Arial" w:cs="Arial"/>
                <w:sz w:val="16"/>
                <w:szCs w:val="16"/>
              </w:rPr>
              <w:t>Atazanavir with cobicistat</w:t>
            </w:r>
          </w:p>
        </w:tc>
        <w:tc>
          <w:tcPr>
            <w:tcW w:w="283" w:type="pct"/>
            <w:shd w:val="clear" w:color="auto" w:fill="auto"/>
            <w:tcMar>
              <w:top w:w="28" w:type="dxa"/>
              <w:left w:w="28" w:type="dxa"/>
            </w:tcMar>
          </w:tcPr>
          <w:p w14:paraId="1156F3B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shd w:val="clear" w:color="auto" w:fill="auto"/>
            <w:tcMar>
              <w:top w:w="28" w:type="dxa"/>
              <w:left w:w="28" w:type="dxa"/>
            </w:tcMar>
          </w:tcPr>
          <w:p w14:paraId="4FD009BF" w14:textId="77777777" w:rsidR="008F47B8" w:rsidRPr="006D52A9" w:rsidDel="002D20D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B12B78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1818B44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2D20DA" w14:paraId="504B12EB" w14:textId="77777777" w:rsidTr="00FB6D2D">
        <w:tblPrEx>
          <w:tblLook w:val="01E0" w:firstRow="1" w:lastRow="1" w:firstColumn="1" w:lastColumn="1" w:noHBand="0" w:noVBand="0"/>
        </w:tblPrEx>
        <w:tc>
          <w:tcPr>
            <w:tcW w:w="647" w:type="pct"/>
            <w:shd w:val="clear" w:color="auto" w:fill="auto"/>
            <w:tcMar>
              <w:top w:w="28" w:type="dxa"/>
              <w:left w:w="28" w:type="dxa"/>
            </w:tcMar>
          </w:tcPr>
          <w:p w14:paraId="3E71408F" w14:textId="77777777" w:rsidR="008F47B8" w:rsidRPr="006D52A9" w:rsidDel="002D20DA"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19C67C1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shd w:val="clear" w:color="auto" w:fill="auto"/>
            <w:tcMar>
              <w:top w:w="28" w:type="dxa"/>
              <w:left w:w="28" w:type="dxa"/>
            </w:tcMar>
          </w:tcPr>
          <w:p w14:paraId="6E93B63A" w14:textId="77777777" w:rsidR="008F47B8" w:rsidRPr="006D52A9" w:rsidDel="002D20DA"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33C2C5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r w:rsidRPr="006D52A9">
              <w:rPr>
                <w:rFonts w:ascii="Arial" w:hAnsi="Arial" w:cs="Arial"/>
                <w:sz w:val="16"/>
                <w:szCs w:val="16"/>
              </w:rPr>
              <w:br/>
              <w:t>Patient must be antiretroviral treatment naive;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5220D2FD"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14:paraId="5643CB0F"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6B21A77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Azacitidine</w:t>
            </w:r>
          </w:p>
        </w:tc>
        <w:tc>
          <w:tcPr>
            <w:tcW w:w="283" w:type="pct"/>
            <w:tcBorders>
              <w:bottom w:val="single" w:sz="4" w:space="0" w:color="auto"/>
            </w:tcBorders>
            <w:tcMar>
              <w:top w:w="28" w:type="dxa"/>
              <w:left w:w="28" w:type="dxa"/>
            </w:tcMar>
          </w:tcPr>
          <w:p w14:paraId="0523A31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C6132</w:t>
            </w:r>
          </w:p>
        </w:tc>
        <w:tc>
          <w:tcPr>
            <w:tcW w:w="274" w:type="pct"/>
            <w:tcBorders>
              <w:bottom w:val="single" w:sz="4" w:space="0" w:color="auto"/>
            </w:tcBorders>
            <w:tcMar>
              <w:top w:w="28" w:type="dxa"/>
              <w:left w:w="28" w:type="dxa"/>
            </w:tcMar>
          </w:tcPr>
          <w:p w14:paraId="43341E7E"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418294A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Myelomonocytic Leukaemia</w:t>
            </w:r>
            <w:r w:rsidRPr="006D52A9">
              <w:rPr>
                <w:rFonts w:ascii="Arial" w:hAnsi="Arial" w:cs="Arial"/>
                <w:sz w:val="16"/>
                <w:szCs w:val="16"/>
              </w:rPr>
              <w:br/>
              <w:t>Initial treatment</w:t>
            </w:r>
            <w:r w:rsidRPr="006D52A9">
              <w:rPr>
                <w:rFonts w:ascii="Arial" w:hAnsi="Arial" w:cs="Arial"/>
                <w:sz w:val="16"/>
                <w:szCs w:val="16"/>
              </w:rPr>
              <w:br/>
              <w:t>The condition must have 10% to 29% marrow blasts without Myeloproliferative Disorder.</w:t>
            </w:r>
            <w:r w:rsidRPr="006D52A9">
              <w:rPr>
                <w:rFonts w:ascii="Arial" w:hAnsi="Arial" w:cs="Arial"/>
                <w:sz w:val="16"/>
                <w:szCs w:val="16"/>
              </w:rPr>
              <w:br/>
              <w:t>The first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Azacitidine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(c) a copy of the bone marrow biopsy report demonstrating that the patient has chronic myelomonocytic leukaemia ; and</w:t>
            </w:r>
            <w:r w:rsidRPr="006D52A9">
              <w:rPr>
                <w:rFonts w:ascii="Arial" w:hAnsi="Arial" w:cs="Arial"/>
                <w:sz w:val="16"/>
                <w:szCs w:val="16"/>
              </w:rPr>
              <w:br/>
              <w:t>(d) a copy of the full blood examination report; and</w:t>
            </w:r>
            <w:r w:rsidRPr="006D52A9">
              <w:rPr>
                <w:rFonts w:ascii="Arial" w:hAnsi="Arial" w:cs="Arial"/>
                <w:sz w:val="16"/>
                <w:szCs w:val="16"/>
              </w:rPr>
              <w:br/>
              <w:t>(e) a signed patient acknowledgement.</w:t>
            </w:r>
            <w:r w:rsidRPr="006D52A9">
              <w:rPr>
                <w:rFonts w:ascii="Arial" w:hAnsi="Arial" w:cs="Arial"/>
                <w:sz w:val="16"/>
                <w:szCs w:val="16"/>
              </w:rPr>
              <w:br/>
              <w:t>No more than 3 cycles will be authorised.</w:t>
            </w:r>
          </w:p>
        </w:tc>
        <w:tc>
          <w:tcPr>
            <w:tcW w:w="929" w:type="pct"/>
            <w:tcBorders>
              <w:bottom w:val="single" w:sz="4" w:space="0" w:color="auto"/>
            </w:tcBorders>
            <w:tcMar>
              <w:top w:w="28" w:type="dxa"/>
              <w:left w:w="28" w:type="dxa"/>
              <w:right w:w="57" w:type="dxa"/>
            </w:tcMar>
          </w:tcPr>
          <w:p w14:paraId="498D8C1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Written Authority Required procedures</w:t>
            </w:r>
          </w:p>
        </w:tc>
      </w:tr>
      <w:tr w:rsidR="008F47B8" w:rsidRPr="006D52A9" w14:paraId="53CD9192"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01D1D898"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A6EE00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C6143</w:t>
            </w:r>
          </w:p>
        </w:tc>
        <w:tc>
          <w:tcPr>
            <w:tcW w:w="274" w:type="pct"/>
            <w:tcBorders>
              <w:bottom w:val="single" w:sz="4" w:space="0" w:color="auto"/>
            </w:tcBorders>
            <w:tcMar>
              <w:top w:w="28" w:type="dxa"/>
              <w:left w:w="28" w:type="dxa"/>
            </w:tcMar>
          </w:tcPr>
          <w:p w14:paraId="3A95A88B"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A6F9CD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Acute Myeloid Leukaemia</w:t>
            </w:r>
            <w:r w:rsidRPr="006D52A9">
              <w:rPr>
                <w:rFonts w:ascii="Arial" w:hAnsi="Arial" w:cs="Arial"/>
                <w:sz w:val="16"/>
                <w:szCs w:val="16"/>
              </w:rPr>
              <w:br/>
              <w:t>Initial treatment</w:t>
            </w:r>
            <w:r w:rsidRPr="006D52A9">
              <w:rPr>
                <w:rFonts w:ascii="Arial" w:hAnsi="Arial" w:cs="Arial"/>
                <w:sz w:val="16"/>
                <w:szCs w:val="16"/>
              </w:rPr>
              <w:br/>
              <w:t>The condition must have 20% to 30% marrow blasts and multi</w:t>
            </w:r>
            <w:r w:rsidR="0026100E">
              <w:rPr>
                <w:rFonts w:ascii="Arial" w:hAnsi="Arial" w:cs="Arial"/>
                <w:sz w:val="16"/>
                <w:szCs w:val="16"/>
              </w:rPr>
              <w:noBreakHyphen/>
            </w:r>
            <w:r w:rsidRPr="006D52A9">
              <w:rPr>
                <w:rFonts w:ascii="Arial" w:hAnsi="Arial" w:cs="Arial"/>
                <w:sz w:val="16"/>
                <w:szCs w:val="16"/>
              </w:rPr>
              <w:t>lineage dysplasia, according to World Health Organisation (WHO) Classification.</w:t>
            </w:r>
            <w:r w:rsidRPr="006D52A9">
              <w:rPr>
                <w:rFonts w:ascii="Arial" w:hAnsi="Arial" w:cs="Arial"/>
                <w:sz w:val="16"/>
                <w:szCs w:val="16"/>
              </w:rPr>
              <w:br/>
              <w:t>The first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Azacitidine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 xml:space="preserve">(c) a copy of the bone marrow biopsy report demonstrating that the patient has acute myeloid </w:t>
            </w:r>
            <w:r w:rsidRPr="006D52A9">
              <w:rPr>
                <w:rFonts w:ascii="Arial" w:hAnsi="Arial" w:cs="Arial"/>
                <w:sz w:val="16"/>
                <w:szCs w:val="16"/>
              </w:rPr>
              <w:lastRenderedPageBreak/>
              <w:t>leukaemia; and</w:t>
            </w:r>
            <w:r w:rsidRPr="006D52A9">
              <w:rPr>
                <w:rFonts w:ascii="Arial" w:hAnsi="Arial" w:cs="Arial"/>
                <w:sz w:val="16"/>
                <w:szCs w:val="16"/>
              </w:rPr>
              <w:br/>
              <w:t>(d) a copy of the full blood examination report; and</w:t>
            </w:r>
            <w:r w:rsidRPr="006D52A9">
              <w:rPr>
                <w:rFonts w:ascii="Arial" w:hAnsi="Arial" w:cs="Arial"/>
                <w:sz w:val="16"/>
                <w:szCs w:val="16"/>
              </w:rPr>
              <w:br/>
              <w:t>(e) a signed patient acknowledgement.</w:t>
            </w:r>
            <w:r w:rsidRPr="006D52A9">
              <w:rPr>
                <w:rFonts w:ascii="Arial" w:hAnsi="Arial" w:cs="Arial"/>
                <w:sz w:val="16"/>
                <w:szCs w:val="16"/>
              </w:rPr>
              <w:br/>
              <w:t>No more than 3 cycles will be authorised.</w:t>
            </w:r>
          </w:p>
        </w:tc>
        <w:tc>
          <w:tcPr>
            <w:tcW w:w="929" w:type="pct"/>
            <w:tcBorders>
              <w:bottom w:val="single" w:sz="4" w:space="0" w:color="auto"/>
            </w:tcBorders>
            <w:tcMar>
              <w:top w:w="28" w:type="dxa"/>
              <w:left w:w="28" w:type="dxa"/>
              <w:right w:w="57" w:type="dxa"/>
            </w:tcMar>
          </w:tcPr>
          <w:p w14:paraId="46E17EE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42ACAD1F"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10567658"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006BB7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C6144</w:t>
            </w:r>
          </w:p>
        </w:tc>
        <w:tc>
          <w:tcPr>
            <w:tcW w:w="274" w:type="pct"/>
            <w:tcBorders>
              <w:bottom w:val="single" w:sz="4" w:space="0" w:color="auto"/>
            </w:tcBorders>
            <w:tcMar>
              <w:top w:w="28" w:type="dxa"/>
              <w:left w:w="28" w:type="dxa"/>
            </w:tcMar>
          </w:tcPr>
          <w:p w14:paraId="7D520E6E"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5000822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Myelomonocytic Leukaemia</w:t>
            </w:r>
            <w:r w:rsidRPr="006D52A9">
              <w:rPr>
                <w:rFonts w:ascii="Arial" w:hAnsi="Arial" w:cs="Arial"/>
                <w:sz w:val="16"/>
                <w:szCs w:val="16"/>
              </w:rPr>
              <w:br/>
              <w:t>Continuing treatment</w:t>
            </w:r>
            <w:r w:rsidRPr="006D52A9">
              <w:rPr>
                <w:rFonts w:ascii="Arial" w:hAnsi="Arial" w:cs="Arial"/>
                <w:sz w:val="16"/>
                <w:szCs w:val="16"/>
              </w:rPr>
              <w:br/>
              <w:t>The condition must have 10% to 29% marrow blasts without Myeloproliferative Disorder;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progressive disease.</w:t>
            </w:r>
            <w:r w:rsidRPr="006D52A9">
              <w:rPr>
                <w:rFonts w:ascii="Arial" w:hAnsi="Arial" w:cs="Arial"/>
                <w:sz w:val="16"/>
                <w:szCs w:val="16"/>
              </w:rPr>
              <w:br/>
              <w:t>Applications for continuing therapy may be made by telephone.</w:t>
            </w:r>
            <w:r w:rsidRPr="006D52A9">
              <w:rPr>
                <w:rFonts w:ascii="Arial" w:hAnsi="Arial" w:cs="Arial"/>
                <w:sz w:val="16"/>
                <w:szCs w:val="16"/>
              </w:rPr>
              <w:br/>
              <w:t>Up to 6 cycles will be authorised.</w:t>
            </w:r>
          </w:p>
        </w:tc>
        <w:tc>
          <w:tcPr>
            <w:tcW w:w="929" w:type="pct"/>
            <w:tcBorders>
              <w:bottom w:val="single" w:sz="4" w:space="0" w:color="auto"/>
            </w:tcBorders>
            <w:tcMar>
              <w:top w:w="28" w:type="dxa"/>
              <w:left w:w="28" w:type="dxa"/>
              <w:right w:w="57" w:type="dxa"/>
            </w:tcMar>
          </w:tcPr>
          <w:p w14:paraId="3E8D02A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029ABF54"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757A44EB"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EB2D03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C6177</w:t>
            </w:r>
          </w:p>
        </w:tc>
        <w:tc>
          <w:tcPr>
            <w:tcW w:w="274" w:type="pct"/>
            <w:tcBorders>
              <w:bottom w:val="single" w:sz="4" w:space="0" w:color="auto"/>
            </w:tcBorders>
            <w:tcMar>
              <w:top w:w="28" w:type="dxa"/>
              <w:left w:w="28" w:type="dxa"/>
            </w:tcMar>
          </w:tcPr>
          <w:p w14:paraId="5CEB076D"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3F88D00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Myelodysplastic syndrome</w:t>
            </w:r>
            <w:r w:rsidRPr="006D52A9">
              <w:rPr>
                <w:rFonts w:ascii="Arial" w:hAnsi="Arial" w:cs="Arial"/>
                <w:sz w:val="16"/>
                <w:szCs w:val="16"/>
              </w:rPr>
              <w:br/>
              <w:t>Initial treatment</w:t>
            </w:r>
            <w:r w:rsidRPr="006D52A9">
              <w:rPr>
                <w:rFonts w:ascii="Arial" w:hAnsi="Arial" w:cs="Arial"/>
                <w:sz w:val="16"/>
                <w:szCs w:val="16"/>
              </w:rPr>
              <w:br/>
              <w:t>The condition must be classified as Intermediate</w:t>
            </w:r>
            <w:r w:rsidR="0026100E">
              <w:rPr>
                <w:rFonts w:ascii="Arial" w:hAnsi="Arial" w:cs="Arial"/>
                <w:sz w:val="16"/>
                <w:szCs w:val="16"/>
              </w:rPr>
              <w:noBreakHyphen/>
            </w:r>
            <w:r w:rsidRPr="006D52A9">
              <w:rPr>
                <w:rFonts w:ascii="Arial" w:hAnsi="Arial" w:cs="Arial"/>
                <w:sz w:val="16"/>
                <w:szCs w:val="16"/>
              </w:rPr>
              <w:t>2 according to the International Prognostic Scoring System (IPSS); OR</w:t>
            </w:r>
            <w:r w:rsidRPr="006D52A9">
              <w:rPr>
                <w:rFonts w:ascii="Arial" w:hAnsi="Arial" w:cs="Arial"/>
                <w:sz w:val="16"/>
                <w:szCs w:val="16"/>
              </w:rPr>
              <w:br/>
              <w:t>The condition must be classified as high risk according to the International Prognostic Scoring System (IPSS).</w:t>
            </w:r>
            <w:r w:rsidRPr="006D52A9">
              <w:rPr>
                <w:rFonts w:ascii="Arial" w:hAnsi="Arial" w:cs="Arial"/>
                <w:sz w:val="16"/>
                <w:szCs w:val="16"/>
              </w:rPr>
              <w:br/>
              <w:t>Classification of the condition as Intermediate</w:t>
            </w:r>
            <w:r w:rsidR="0026100E">
              <w:rPr>
                <w:rFonts w:ascii="Arial" w:hAnsi="Arial" w:cs="Arial"/>
                <w:sz w:val="16"/>
                <w:szCs w:val="16"/>
              </w:rPr>
              <w:noBreakHyphen/>
            </w:r>
            <w:r w:rsidRPr="006D52A9">
              <w:rPr>
                <w:rFonts w:ascii="Arial" w:hAnsi="Arial" w:cs="Arial"/>
                <w:sz w:val="16"/>
                <w:szCs w:val="16"/>
              </w:rPr>
              <w:t>2 requires a score of 1.5 to 2.0 on the IPSS, achieved with the possible combinations:</w:t>
            </w:r>
            <w:r w:rsidRPr="006D52A9">
              <w:rPr>
                <w:rFonts w:ascii="Arial" w:hAnsi="Arial" w:cs="Arial"/>
                <w:sz w:val="16"/>
                <w:szCs w:val="16"/>
              </w:rPr>
              <w:br/>
              <w:t xml:space="preserve">a. 11% to 30% marrow blasts with good karyotypic status (normal, </w:t>
            </w:r>
            <w:r w:rsidR="0026100E">
              <w:rPr>
                <w:rFonts w:ascii="Arial" w:hAnsi="Arial" w:cs="Arial"/>
                <w:sz w:val="16"/>
                <w:szCs w:val="16"/>
              </w:rPr>
              <w:noBreakHyphen/>
            </w:r>
            <w:r w:rsidRPr="006D52A9">
              <w:rPr>
                <w:rFonts w:ascii="Arial" w:hAnsi="Arial" w:cs="Arial"/>
                <w:sz w:val="16"/>
                <w:szCs w:val="16"/>
              </w:rPr>
              <w:t>Y alone, del(5q) alone, del(20q) alone), and 0 to 1 cytopenias; OR</w:t>
            </w:r>
            <w:r w:rsidRPr="006D52A9">
              <w:rPr>
                <w:rFonts w:ascii="Arial" w:hAnsi="Arial" w:cs="Arial"/>
                <w:sz w:val="16"/>
                <w:szCs w:val="16"/>
              </w:rPr>
              <w:br/>
              <w:t>b. 11% to 20% marrow blasts with intermediate karyotypic status (other abnormalities), and 0 to 1 cytopenias; OR</w:t>
            </w:r>
            <w:r w:rsidRPr="006D52A9">
              <w:rPr>
                <w:rFonts w:ascii="Arial" w:hAnsi="Arial" w:cs="Arial"/>
                <w:sz w:val="16"/>
                <w:szCs w:val="16"/>
              </w:rPr>
              <w:br/>
              <w:t xml:space="preserve">c. 11% to 20% marrow blasts with good karyotypic status (normal, </w:t>
            </w:r>
            <w:r w:rsidR="0026100E">
              <w:rPr>
                <w:rFonts w:ascii="Arial" w:hAnsi="Arial" w:cs="Arial"/>
                <w:sz w:val="16"/>
                <w:szCs w:val="16"/>
              </w:rPr>
              <w:noBreakHyphen/>
            </w:r>
            <w:r w:rsidRPr="006D52A9">
              <w:rPr>
                <w:rFonts w:ascii="Arial" w:hAnsi="Arial" w:cs="Arial"/>
                <w:sz w:val="16"/>
                <w:szCs w:val="16"/>
              </w:rPr>
              <w:t>Y alone, del(5q) alone, del(20q) alone), and 2 to 3 cytopenias; OR</w:t>
            </w:r>
            <w:r w:rsidRPr="006D52A9">
              <w:rPr>
                <w:rFonts w:ascii="Arial" w:hAnsi="Arial" w:cs="Arial"/>
                <w:sz w:val="16"/>
                <w:szCs w:val="16"/>
              </w:rPr>
              <w:br/>
              <w:t>d. 5% to 10% marrow blasts with poor karyotypic status (3 or more abnormalities or chromosome 7 anomalies), regardless of cytopenias; OR</w:t>
            </w:r>
            <w:r w:rsidRPr="006D52A9">
              <w:rPr>
                <w:rFonts w:ascii="Arial" w:hAnsi="Arial" w:cs="Arial"/>
                <w:sz w:val="16"/>
                <w:szCs w:val="16"/>
              </w:rPr>
              <w:br/>
              <w:t>e. 5% to 10% marrow blasts with intermediate karyotypic status (other abnormalities), and 2 to 3 cytopenias; OR</w:t>
            </w:r>
            <w:r w:rsidRPr="006D52A9">
              <w:rPr>
                <w:rFonts w:ascii="Arial" w:hAnsi="Arial" w:cs="Arial"/>
                <w:sz w:val="16"/>
                <w:szCs w:val="16"/>
              </w:rPr>
              <w:br/>
              <w:t>f. Less than 5% marrow blasts with poor karyotypic status (3 or more abnormalities or chromosome 7 anomalies), and 2 to 3 cytopenias.</w:t>
            </w:r>
            <w:r w:rsidRPr="006D52A9">
              <w:rPr>
                <w:rFonts w:ascii="Arial" w:hAnsi="Arial" w:cs="Arial"/>
                <w:sz w:val="16"/>
                <w:szCs w:val="16"/>
              </w:rPr>
              <w:br/>
              <w:t>Classification of the condition as high risk requires a score of 2.5 or more on the IPSS, achieved with the possible combinations:</w:t>
            </w:r>
            <w:r w:rsidRPr="006D52A9">
              <w:rPr>
                <w:rFonts w:ascii="Arial" w:hAnsi="Arial" w:cs="Arial"/>
                <w:sz w:val="16"/>
                <w:szCs w:val="16"/>
              </w:rPr>
              <w:br/>
              <w:t xml:space="preserve">a. 21% to 30% marrow blasts with good karyotypic status (normal, </w:t>
            </w:r>
            <w:r w:rsidR="0026100E">
              <w:rPr>
                <w:rFonts w:ascii="Arial" w:hAnsi="Arial" w:cs="Arial"/>
                <w:sz w:val="16"/>
                <w:szCs w:val="16"/>
              </w:rPr>
              <w:noBreakHyphen/>
            </w:r>
            <w:r w:rsidRPr="006D52A9">
              <w:rPr>
                <w:rFonts w:ascii="Arial" w:hAnsi="Arial" w:cs="Arial"/>
                <w:sz w:val="16"/>
                <w:szCs w:val="16"/>
              </w:rPr>
              <w:t>Y alone, del(5q) alone, del(20q) alone), and 2 to 3 cytopenias; OR</w:t>
            </w:r>
            <w:r w:rsidRPr="006D52A9">
              <w:rPr>
                <w:rFonts w:ascii="Arial" w:hAnsi="Arial" w:cs="Arial"/>
                <w:sz w:val="16"/>
                <w:szCs w:val="16"/>
              </w:rPr>
              <w:br/>
              <w:t>b. 21% to 30% marrow blasts with intermediate (other abnormalities) or poor karyotypic status (3 or more abnormalities or chromosome 7 anomalies), regardless of cytopenias; OR</w:t>
            </w:r>
            <w:r w:rsidRPr="006D52A9">
              <w:rPr>
                <w:rFonts w:ascii="Arial" w:hAnsi="Arial" w:cs="Arial"/>
                <w:sz w:val="16"/>
                <w:szCs w:val="16"/>
              </w:rPr>
              <w:br/>
              <w:t>c. 11% to 20% marrow blasts with poor karyotypic status (3 or more abnormalities or chromosome 7 anomalies), regardless of cytopenias; OR</w:t>
            </w:r>
            <w:r w:rsidRPr="006D52A9">
              <w:rPr>
                <w:rFonts w:ascii="Arial" w:hAnsi="Arial" w:cs="Arial"/>
                <w:sz w:val="16"/>
                <w:szCs w:val="16"/>
              </w:rPr>
              <w:br/>
              <w:t>d. 11% to 20% marrow blasts with intermediate karyotypic status (other abnormalities), and 2 to 3 cytopenias.</w:t>
            </w:r>
            <w:r w:rsidRPr="006D52A9">
              <w:rPr>
                <w:rFonts w:ascii="Arial" w:hAnsi="Arial" w:cs="Arial"/>
                <w:sz w:val="16"/>
                <w:szCs w:val="16"/>
              </w:rPr>
              <w:br/>
            </w:r>
            <w:r w:rsidRPr="006D52A9">
              <w:rPr>
                <w:rFonts w:ascii="Arial" w:hAnsi="Arial" w:cs="Arial"/>
                <w:sz w:val="16"/>
                <w:szCs w:val="16"/>
              </w:rPr>
              <w:lastRenderedPageBreak/>
              <w:t>The first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Azacitidine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(c) a copy of the bone marrow biopsy report demonstrating that the patient has myelodysplastic syndrome; and</w:t>
            </w:r>
            <w:r w:rsidRPr="006D52A9">
              <w:rPr>
                <w:rFonts w:ascii="Arial" w:hAnsi="Arial" w:cs="Arial"/>
                <w:sz w:val="16"/>
                <w:szCs w:val="16"/>
              </w:rPr>
              <w:br/>
              <w:t>(d) a copy of the full blood examination report; and</w:t>
            </w:r>
            <w:r w:rsidRPr="006D52A9">
              <w:rPr>
                <w:rFonts w:ascii="Arial" w:hAnsi="Arial" w:cs="Arial"/>
                <w:sz w:val="16"/>
                <w:szCs w:val="16"/>
              </w:rPr>
              <w:br/>
              <w:t>(e) a copy of the pathology report detailing the cytogenetics demonstrating intermediate</w:t>
            </w:r>
            <w:r w:rsidR="0026100E">
              <w:rPr>
                <w:rFonts w:ascii="Arial" w:hAnsi="Arial" w:cs="Arial"/>
                <w:sz w:val="16"/>
                <w:szCs w:val="16"/>
              </w:rPr>
              <w:noBreakHyphen/>
            </w:r>
            <w:r w:rsidRPr="006D52A9">
              <w:rPr>
                <w:rFonts w:ascii="Arial" w:hAnsi="Arial" w:cs="Arial"/>
                <w:sz w:val="16"/>
                <w:szCs w:val="16"/>
              </w:rPr>
              <w:t>2 or high risk disease according to the International Prognostic Scoring System (IPSS); and</w:t>
            </w:r>
            <w:r w:rsidRPr="006D52A9">
              <w:rPr>
                <w:rFonts w:ascii="Arial" w:hAnsi="Arial" w:cs="Arial"/>
                <w:sz w:val="16"/>
                <w:szCs w:val="16"/>
              </w:rPr>
              <w:br/>
              <w:t>(f) a signed patient acknowledgment form.</w:t>
            </w:r>
            <w:r w:rsidRPr="006D52A9">
              <w:rPr>
                <w:rFonts w:ascii="Arial" w:hAnsi="Arial" w:cs="Arial"/>
                <w:sz w:val="16"/>
                <w:szCs w:val="16"/>
              </w:rPr>
              <w:br/>
              <w:t>No more than 3 cycles will be authorised.</w:t>
            </w:r>
          </w:p>
        </w:tc>
        <w:tc>
          <w:tcPr>
            <w:tcW w:w="929" w:type="pct"/>
            <w:tcBorders>
              <w:bottom w:val="single" w:sz="4" w:space="0" w:color="auto"/>
            </w:tcBorders>
            <w:tcMar>
              <w:top w:w="28" w:type="dxa"/>
              <w:left w:w="28" w:type="dxa"/>
              <w:right w:w="57" w:type="dxa"/>
            </w:tcMar>
          </w:tcPr>
          <w:p w14:paraId="7EA1071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297C5DD7"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05AA9A43"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7CECBE4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C6186</w:t>
            </w:r>
          </w:p>
        </w:tc>
        <w:tc>
          <w:tcPr>
            <w:tcW w:w="274" w:type="pct"/>
            <w:tcBorders>
              <w:bottom w:val="single" w:sz="4" w:space="0" w:color="auto"/>
            </w:tcBorders>
            <w:tcMar>
              <w:top w:w="28" w:type="dxa"/>
              <w:left w:w="28" w:type="dxa"/>
            </w:tcMar>
          </w:tcPr>
          <w:p w14:paraId="214C94A2"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1EED64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Acute Myeloid Leukaemia</w:t>
            </w:r>
            <w:r w:rsidRPr="006D52A9">
              <w:rPr>
                <w:rFonts w:ascii="Arial" w:hAnsi="Arial" w:cs="Arial"/>
                <w:sz w:val="16"/>
                <w:szCs w:val="16"/>
              </w:rPr>
              <w:br/>
              <w:t>Continuing treatment</w:t>
            </w:r>
            <w:r w:rsidRPr="006D52A9">
              <w:rPr>
                <w:rFonts w:ascii="Arial" w:hAnsi="Arial" w:cs="Arial"/>
                <w:sz w:val="16"/>
                <w:szCs w:val="16"/>
              </w:rPr>
              <w:br/>
              <w:t>The condition must have 20% to 30% marrow blasts and multi</w:t>
            </w:r>
            <w:r w:rsidR="0026100E">
              <w:rPr>
                <w:rFonts w:ascii="Arial" w:hAnsi="Arial" w:cs="Arial"/>
                <w:sz w:val="16"/>
                <w:szCs w:val="16"/>
              </w:rPr>
              <w:noBreakHyphen/>
            </w:r>
            <w:r w:rsidRPr="006D52A9">
              <w:rPr>
                <w:rFonts w:ascii="Arial" w:hAnsi="Arial" w:cs="Arial"/>
                <w:sz w:val="16"/>
                <w:szCs w:val="16"/>
              </w:rPr>
              <w:t>lineage dysplasia, according to World Health Organisation (WHO) Classification;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progressive disease.</w:t>
            </w:r>
            <w:r w:rsidRPr="006D52A9">
              <w:rPr>
                <w:rFonts w:ascii="Arial" w:hAnsi="Arial" w:cs="Arial"/>
                <w:sz w:val="16"/>
                <w:szCs w:val="16"/>
              </w:rPr>
              <w:br/>
              <w:t>Applications for continuing therapy may be made by telephone.</w:t>
            </w:r>
            <w:r w:rsidRPr="006D52A9">
              <w:rPr>
                <w:rFonts w:ascii="Arial" w:hAnsi="Arial" w:cs="Arial"/>
                <w:sz w:val="16"/>
                <w:szCs w:val="16"/>
              </w:rPr>
              <w:br/>
              <w:t>Up to 6 cycles will be authorised.</w:t>
            </w:r>
          </w:p>
        </w:tc>
        <w:tc>
          <w:tcPr>
            <w:tcW w:w="929" w:type="pct"/>
            <w:tcBorders>
              <w:bottom w:val="single" w:sz="4" w:space="0" w:color="auto"/>
            </w:tcBorders>
            <w:tcMar>
              <w:top w:w="28" w:type="dxa"/>
              <w:left w:w="28" w:type="dxa"/>
              <w:right w:w="57" w:type="dxa"/>
            </w:tcMar>
          </w:tcPr>
          <w:p w14:paraId="12A044C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4DAA4A36"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2328D421"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705EB35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C6199</w:t>
            </w:r>
          </w:p>
        </w:tc>
        <w:tc>
          <w:tcPr>
            <w:tcW w:w="274" w:type="pct"/>
            <w:tcBorders>
              <w:bottom w:val="single" w:sz="4" w:space="0" w:color="auto"/>
            </w:tcBorders>
            <w:tcMar>
              <w:top w:w="28" w:type="dxa"/>
              <w:left w:w="28" w:type="dxa"/>
            </w:tcMar>
          </w:tcPr>
          <w:p w14:paraId="7C137AD4"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25C100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Myelodysplastic syndrome</w:t>
            </w:r>
            <w:r w:rsidRPr="006D52A9">
              <w:rPr>
                <w:rFonts w:ascii="Arial" w:hAnsi="Arial" w:cs="Arial"/>
                <w:sz w:val="16"/>
                <w:szCs w:val="16"/>
              </w:rPr>
              <w:br/>
              <w:t>Continuing treatment</w:t>
            </w:r>
            <w:r w:rsidRPr="006D52A9">
              <w:rPr>
                <w:rFonts w:ascii="Arial" w:hAnsi="Arial" w:cs="Arial"/>
                <w:sz w:val="16"/>
                <w:szCs w:val="16"/>
              </w:rPr>
              <w:br/>
              <w:t>The condition must be classified as Intermediate</w:t>
            </w:r>
            <w:r w:rsidR="0026100E">
              <w:rPr>
                <w:rFonts w:ascii="Arial" w:hAnsi="Arial" w:cs="Arial"/>
                <w:sz w:val="16"/>
                <w:szCs w:val="16"/>
              </w:rPr>
              <w:noBreakHyphen/>
            </w:r>
            <w:r w:rsidRPr="006D52A9">
              <w:rPr>
                <w:rFonts w:ascii="Arial" w:hAnsi="Arial" w:cs="Arial"/>
                <w:sz w:val="16"/>
                <w:szCs w:val="16"/>
              </w:rPr>
              <w:t>2 according to the International Prognostic Scoring System (IPSS); OR</w:t>
            </w:r>
            <w:r w:rsidRPr="006D52A9">
              <w:rPr>
                <w:rFonts w:ascii="Arial" w:hAnsi="Arial" w:cs="Arial"/>
                <w:sz w:val="16"/>
                <w:szCs w:val="16"/>
              </w:rPr>
              <w:br/>
              <w:t>The condition must be classified as high risk according to the International Prognostic Scoring System (IPSS);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progressive disease.</w:t>
            </w:r>
            <w:r w:rsidRPr="006D52A9">
              <w:rPr>
                <w:rFonts w:ascii="Arial" w:hAnsi="Arial" w:cs="Arial"/>
                <w:sz w:val="16"/>
                <w:szCs w:val="16"/>
              </w:rPr>
              <w:br/>
              <w:t>Applications for continuing therapy may be made by telephone.</w:t>
            </w:r>
            <w:r w:rsidRPr="006D52A9">
              <w:rPr>
                <w:rFonts w:ascii="Arial" w:hAnsi="Arial" w:cs="Arial"/>
                <w:sz w:val="16"/>
                <w:szCs w:val="16"/>
              </w:rPr>
              <w:br/>
              <w:t>Up to 6 cycles will be authorised.</w:t>
            </w:r>
          </w:p>
        </w:tc>
        <w:tc>
          <w:tcPr>
            <w:tcW w:w="929" w:type="pct"/>
            <w:tcBorders>
              <w:bottom w:val="single" w:sz="4" w:space="0" w:color="auto"/>
            </w:tcBorders>
            <w:tcMar>
              <w:top w:w="28" w:type="dxa"/>
              <w:left w:w="28" w:type="dxa"/>
              <w:right w:w="57" w:type="dxa"/>
            </w:tcMar>
          </w:tcPr>
          <w:p w14:paraId="70DF9D8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7D3CBF7E" w14:textId="77777777" w:rsidTr="00FB6D2D">
        <w:tc>
          <w:tcPr>
            <w:tcW w:w="647" w:type="pct"/>
            <w:tcMar>
              <w:top w:w="28" w:type="dxa"/>
              <w:left w:w="28" w:type="dxa"/>
            </w:tcMar>
          </w:tcPr>
          <w:p w14:paraId="18EDC646" w14:textId="77777777" w:rsidR="008F47B8" w:rsidRPr="006D52A9" w:rsidRDefault="008F47B8" w:rsidP="00FB6D2D">
            <w:pPr>
              <w:spacing w:line="240" w:lineRule="auto"/>
              <w:rPr>
                <w:rFonts w:ascii="Arial" w:hAnsi="Arial" w:cs="Arial"/>
                <w:sz w:val="16"/>
                <w:szCs w:val="16"/>
              </w:rPr>
            </w:pPr>
            <w:bookmarkStart w:id="72" w:name="CU_41198563"/>
            <w:bookmarkEnd w:id="72"/>
            <w:r w:rsidRPr="006D52A9">
              <w:rPr>
                <w:rFonts w:ascii="Arial" w:hAnsi="Arial" w:cs="Arial"/>
                <w:sz w:val="16"/>
                <w:szCs w:val="16"/>
              </w:rPr>
              <w:t>Azithromycin</w:t>
            </w:r>
          </w:p>
        </w:tc>
        <w:tc>
          <w:tcPr>
            <w:tcW w:w="283" w:type="pct"/>
            <w:tcMar>
              <w:top w:w="28" w:type="dxa"/>
              <w:left w:w="28" w:type="dxa"/>
            </w:tcMar>
          </w:tcPr>
          <w:p w14:paraId="74DC17E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C6356</w:t>
            </w:r>
          </w:p>
        </w:tc>
        <w:tc>
          <w:tcPr>
            <w:tcW w:w="274" w:type="pct"/>
            <w:tcMar>
              <w:top w:w="28" w:type="dxa"/>
              <w:left w:w="28" w:type="dxa"/>
            </w:tcMar>
            <w:vAlign w:val="center"/>
          </w:tcPr>
          <w:p w14:paraId="3A8F27FB"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20FDA147" w14:textId="77777777" w:rsidR="008F47B8" w:rsidRPr="006D52A9" w:rsidRDefault="008F47B8" w:rsidP="00FB6D2D">
            <w:pPr>
              <w:pStyle w:val="mps3-data"/>
              <w:rPr>
                <w:szCs w:val="16"/>
              </w:rPr>
            </w:pPr>
            <w:r w:rsidRPr="006D52A9">
              <w:rPr>
                <w:szCs w:val="16"/>
              </w:rPr>
              <w:t>Mycobacterium avium complex infection</w:t>
            </w:r>
          </w:p>
          <w:p w14:paraId="3D20D325" w14:textId="77777777" w:rsidR="008F47B8" w:rsidRPr="006D52A9" w:rsidRDefault="008F47B8" w:rsidP="00FB6D2D">
            <w:pPr>
              <w:pStyle w:val="mps3-data"/>
              <w:rPr>
                <w:b/>
                <w:szCs w:val="16"/>
              </w:rPr>
            </w:pPr>
            <w:r w:rsidRPr="006D52A9">
              <w:rPr>
                <w:szCs w:val="16"/>
              </w:rPr>
              <w:t>The treatment must be for prophylaxis; AND</w:t>
            </w:r>
          </w:p>
          <w:p w14:paraId="2F510EAE" w14:textId="77777777" w:rsidR="008F47B8" w:rsidRPr="006D52A9" w:rsidRDefault="008F47B8" w:rsidP="00FB6D2D">
            <w:pPr>
              <w:pStyle w:val="mps3-data"/>
              <w:rPr>
                <w:b/>
                <w:szCs w:val="16"/>
              </w:rPr>
            </w:pPr>
            <w:r w:rsidRPr="006D52A9">
              <w:rPr>
                <w:szCs w:val="16"/>
              </w:rPr>
              <w:t>Patient must be human immunodeficiency virus (HIV) positive; AND</w:t>
            </w:r>
          </w:p>
          <w:p w14:paraId="53ACF3B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CD4 cell counts of less than 75 per cubic millimetre.</w:t>
            </w:r>
          </w:p>
        </w:tc>
        <w:tc>
          <w:tcPr>
            <w:tcW w:w="929" w:type="pct"/>
            <w:tcMar>
              <w:top w:w="28" w:type="dxa"/>
              <w:left w:w="28" w:type="dxa"/>
              <w:right w:w="57" w:type="dxa"/>
            </w:tcMar>
          </w:tcPr>
          <w:p w14:paraId="2D0D95E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6356</w:t>
            </w:r>
          </w:p>
        </w:tc>
      </w:tr>
      <w:tr w:rsidR="008F47B8" w:rsidRPr="006D52A9" w14:paraId="2F2E7A6A" w14:textId="77777777" w:rsidTr="00FB6D2D">
        <w:tc>
          <w:tcPr>
            <w:tcW w:w="647" w:type="pct"/>
            <w:tcMar>
              <w:top w:w="28" w:type="dxa"/>
              <w:left w:w="28" w:type="dxa"/>
            </w:tcMar>
          </w:tcPr>
          <w:p w14:paraId="1E8B394A" w14:textId="77777777" w:rsidR="008F47B8" w:rsidRPr="006D52A9" w:rsidRDefault="008F47B8" w:rsidP="00FB6D2D">
            <w:pPr>
              <w:pStyle w:val="mps3-data"/>
              <w:rPr>
                <w:szCs w:val="16"/>
              </w:rPr>
            </w:pPr>
          </w:p>
        </w:tc>
        <w:tc>
          <w:tcPr>
            <w:tcW w:w="283" w:type="pct"/>
            <w:tcMar>
              <w:top w:w="28" w:type="dxa"/>
              <w:left w:w="28" w:type="dxa"/>
            </w:tcMar>
          </w:tcPr>
          <w:p w14:paraId="5E2190B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C9604</w:t>
            </w:r>
          </w:p>
        </w:tc>
        <w:tc>
          <w:tcPr>
            <w:tcW w:w="274" w:type="pct"/>
            <w:tcMar>
              <w:top w:w="28" w:type="dxa"/>
              <w:left w:w="28" w:type="dxa"/>
            </w:tcMar>
            <w:vAlign w:val="center"/>
          </w:tcPr>
          <w:p w14:paraId="48BAA017" w14:textId="77777777" w:rsidR="008F47B8" w:rsidRPr="006D52A9" w:rsidRDefault="008F47B8" w:rsidP="00FB6D2D">
            <w:pPr>
              <w:pStyle w:val="mps3-data"/>
              <w:rPr>
                <w:szCs w:val="16"/>
              </w:rPr>
            </w:pPr>
          </w:p>
        </w:tc>
        <w:tc>
          <w:tcPr>
            <w:tcW w:w="2867" w:type="pct"/>
            <w:tcMar>
              <w:top w:w="28" w:type="dxa"/>
              <w:left w:w="28" w:type="dxa"/>
            </w:tcMar>
          </w:tcPr>
          <w:p w14:paraId="3A9C6EBE" w14:textId="77777777" w:rsidR="008F47B8" w:rsidRPr="006D52A9" w:rsidRDefault="008F47B8" w:rsidP="00FB6D2D">
            <w:pPr>
              <w:pStyle w:val="mps3-data"/>
              <w:rPr>
                <w:szCs w:val="16"/>
              </w:rPr>
            </w:pPr>
            <w:r w:rsidRPr="006D52A9">
              <w:rPr>
                <w:szCs w:val="16"/>
              </w:rPr>
              <w:t>Mycobacterium avium complex infection</w:t>
            </w:r>
            <w:r w:rsidRPr="006D52A9">
              <w:rPr>
                <w:szCs w:val="16"/>
              </w:rPr>
              <w:br/>
              <w:t>The treatment must be for prophylaxis; AND</w:t>
            </w:r>
            <w:r w:rsidRPr="006D52A9">
              <w:rPr>
                <w:szCs w:val="16"/>
              </w:rPr>
              <w:br/>
              <w:t>Patient must be human immunodeficiency virus (HIV) positive; AND</w:t>
            </w:r>
            <w:r w:rsidRPr="006D52A9">
              <w:rPr>
                <w:szCs w:val="16"/>
              </w:rPr>
              <w:br/>
              <w:t>Patient must have CD4 cell counts of less than 75 per cubic millimetre.</w:t>
            </w:r>
          </w:p>
        </w:tc>
        <w:tc>
          <w:tcPr>
            <w:tcW w:w="929" w:type="pct"/>
            <w:tcMar>
              <w:top w:w="28" w:type="dxa"/>
              <w:left w:w="28" w:type="dxa"/>
              <w:right w:w="57" w:type="dxa"/>
            </w:tcMar>
          </w:tcPr>
          <w:p w14:paraId="1E51477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9604</w:t>
            </w:r>
          </w:p>
        </w:tc>
      </w:tr>
      <w:tr w:rsidR="008F47B8" w:rsidRPr="006D52A9" w:rsidDel="002167A7" w14:paraId="2D6D84FF" w14:textId="77777777" w:rsidTr="00FB6D2D">
        <w:tc>
          <w:tcPr>
            <w:tcW w:w="647" w:type="pct"/>
            <w:tcBorders>
              <w:bottom w:val="single" w:sz="4" w:space="0" w:color="auto"/>
            </w:tcBorders>
            <w:tcMar>
              <w:top w:w="28" w:type="dxa"/>
              <w:left w:w="28" w:type="dxa"/>
            </w:tcMar>
          </w:tcPr>
          <w:p w14:paraId="251B0F79" w14:textId="77777777" w:rsidR="008F47B8" w:rsidRPr="006D52A9" w:rsidDel="002167A7" w:rsidRDefault="008F47B8" w:rsidP="00FB6D2D">
            <w:pPr>
              <w:spacing w:line="240" w:lineRule="auto"/>
              <w:rPr>
                <w:rFonts w:ascii="Arial" w:hAnsi="Arial" w:cs="Arial"/>
                <w:sz w:val="16"/>
                <w:szCs w:val="16"/>
              </w:rPr>
            </w:pPr>
            <w:bookmarkStart w:id="73" w:name="CU_49201193"/>
            <w:bookmarkEnd w:id="73"/>
            <w:r w:rsidRPr="006D52A9">
              <w:rPr>
                <w:rFonts w:ascii="Arial" w:hAnsi="Arial" w:cs="Arial"/>
                <w:sz w:val="16"/>
                <w:szCs w:val="16"/>
              </w:rPr>
              <w:t>Baclofen</w:t>
            </w:r>
          </w:p>
        </w:tc>
        <w:tc>
          <w:tcPr>
            <w:tcW w:w="283" w:type="pct"/>
            <w:tcBorders>
              <w:bottom w:val="single" w:sz="4" w:space="0" w:color="auto"/>
            </w:tcBorders>
            <w:tcMar>
              <w:top w:w="28" w:type="dxa"/>
              <w:left w:w="28" w:type="dxa"/>
            </w:tcMar>
          </w:tcPr>
          <w:p w14:paraId="1A2D5C11"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C6911</w:t>
            </w:r>
          </w:p>
        </w:tc>
        <w:tc>
          <w:tcPr>
            <w:tcW w:w="274" w:type="pct"/>
            <w:tcBorders>
              <w:bottom w:val="single" w:sz="4" w:space="0" w:color="auto"/>
            </w:tcBorders>
            <w:tcMar>
              <w:top w:w="28" w:type="dxa"/>
              <w:left w:w="28" w:type="dxa"/>
            </w:tcMar>
          </w:tcPr>
          <w:p w14:paraId="5931BA1D"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3BDBE61"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r>
            <w:r w:rsidRPr="006D52A9">
              <w:rPr>
                <w:rFonts w:ascii="Arial" w:hAnsi="Arial" w:cs="Arial"/>
                <w:sz w:val="16"/>
                <w:szCs w:val="16"/>
              </w:rPr>
              <w:lastRenderedPageBreak/>
              <w:t>Patient must have had unacceptable side effects to treatment with oral antispastic agents; AND</w:t>
            </w:r>
            <w:r w:rsidRPr="006D52A9">
              <w:rPr>
                <w:rFonts w:ascii="Arial" w:hAnsi="Arial" w:cs="Arial"/>
                <w:sz w:val="16"/>
                <w:szCs w:val="16"/>
              </w:rPr>
              <w:br/>
              <w:t>Patient must have chronic spasticity due to spinal cord disease.</w:t>
            </w:r>
          </w:p>
        </w:tc>
        <w:tc>
          <w:tcPr>
            <w:tcW w:w="929" w:type="pct"/>
            <w:tcBorders>
              <w:bottom w:val="single" w:sz="4" w:space="0" w:color="auto"/>
            </w:tcBorders>
            <w:tcMar>
              <w:top w:w="28" w:type="dxa"/>
              <w:left w:w="28" w:type="dxa"/>
              <w:right w:w="57" w:type="dxa"/>
            </w:tcMar>
          </w:tcPr>
          <w:p w14:paraId="013D72E6"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w:t>
            </w:r>
            <w:r w:rsidRPr="006D52A9">
              <w:rPr>
                <w:rFonts w:ascii="Arial" w:hAnsi="Arial" w:cs="Arial"/>
                <w:sz w:val="16"/>
                <w:szCs w:val="16"/>
              </w:rPr>
              <w:lastRenderedPageBreak/>
              <w:t xml:space="preserve">procedures </w:t>
            </w:r>
            <w:r w:rsidR="0026100E">
              <w:rPr>
                <w:rFonts w:ascii="Arial" w:hAnsi="Arial" w:cs="Arial"/>
                <w:sz w:val="16"/>
                <w:szCs w:val="16"/>
              </w:rPr>
              <w:noBreakHyphen/>
            </w:r>
            <w:r w:rsidRPr="006D52A9">
              <w:rPr>
                <w:rFonts w:ascii="Arial" w:hAnsi="Arial" w:cs="Arial"/>
                <w:sz w:val="16"/>
                <w:szCs w:val="16"/>
              </w:rPr>
              <w:t xml:space="preserve"> Streamlined Authority Code 6911</w:t>
            </w:r>
          </w:p>
        </w:tc>
      </w:tr>
      <w:tr w:rsidR="008F47B8" w:rsidRPr="006D52A9" w:rsidDel="002167A7" w14:paraId="4983C037" w14:textId="77777777" w:rsidTr="00FB6D2D">
        <w:tc>
          <w:tcPr>
            <w:tcW w:w="647" w:type="pct"/>
            <w:tcBorders>
              <w:bottom w:val="single" w:sz="4" w:space="0" w:color="auto"/>
            </w:tcBorders>
            <w:tcMar>
              <w:top w:w="28" w:type="dxa"/>
              <w:left w:w="28" w:type="dxa"/>
            </w:tcMar>
          </w:tcPr>
          <w:p w14:paraId="5D940141"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1200FF0F"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C6925</w:t>
            </w:r>
          </w:p>
        </w:tc>
        <w:tc>
          <w:tcPr>
            <w:tcW w:w="274" w:type="pct"/>
            <w:tcBorders>
              <w:bottom w:val="single" w:sz="4" w:space="0" w:color="auto"/>
            </w:tcBorders>
            <w:tcMar>
              <w:top w:w="28" w:type="dxa"/>
              <w:left w:w="28" w:type="dxa"/>
            </w:tcMar>
          </w:tcPr>
          <w:p w14:paraId="4B45958D"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4787176A"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of cerebral origin.</w:t>
            </w:r>
          </w:p>
        </w:tc>
        <w:tc>
          <w:tcPr>
            <w:tcW w:w="929" w:type="pct"/>
            <w:tcBorders>
              <w:bottom w:val="single" w:sz="4" w:space="0" w:color="auto"/>
            </w:tcBorders>
            <w:tcMar>
              <w:top w:w="28" w:type="dxa"/>
              <w:left w:w="28" w:type="dxa"/>
              <w:right w:w="57" w:type="dxa"/>
            </w:tcMar>
          </w:tcPr>
          <w:p w14:paraId="249A2B81"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6925</w:t>
            </w:r>
          </w:p>
        </w:tc>
      </w:tr>
      <w:tr w:rsidR="008F47B8" w:rsidRPr="006D52A9" w:rsidDel="002167A7" w14:paraId="34C1432C" w14:textId="77777777" w:rsidTr="00FB6D2D">
        <w:tc>
          <w:tcPr>
            <w:tcW w:w="647" w:type="pct"/>
            <w:tcBorders>
              <w:bottom w:val="single" w:sz="4" w:space="0" w:color="auto"/>
            </w:tcBorders>
            <w:tcMar>
              <w:top w:w="28" w:type="dxa"/>
              <w:left w:w="28" w:type="dxa"/>
            </w:tcMar>
          </w:tcPr>
          <w:p w14:paraId="5E71DB57"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0F87EE2"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C6939</w:t>
            </w:r>
          </w:p>
        </w:tc>
        <w:tc>
          <w:tcPr>
            <w:tcW w:w="274" w:type="pct"/>
            <w:tcBorders>
              <w:bottom w:val="single" w:sz="4" w:space="0" w:color="auto"/>
            </w:tcBorders>
            <w:tcMar>
              <w:top w:w="28" w:type="dxa"/>
              <w:left w:w="28" w:type="dxa"/>
            </w:tcMar>
          </w:tcPr>
          <w:p w14:paraId="68287B9E"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741B3C3B"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multiple sclerosis.</w:t>
            </w:r>
          </w:p>
        </w:tc>
        <w:tc>
          <w:tcPr>
            <w:tcW w:w="929" w:type="pct"/>
            <w:tcBorders>
              <w:bottom w:val="single" w:sz="4" w:space="0" w:color="auto"/>
            </w:tcBorders>
            <w:tcMar>
              <w:top w:w="28" w:type="dxa"/>
              <w:left w:w="28" w:type="dxa"/>
              <w:right w:w="57" w:type="dxa"/>
            </w:tcMar>
          </w:tcPr>
          <w:p w14:paraId="53E2897C"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6939</w:t>
            </w:r>
          </w:p>
        </w:tc>
      </w:tr>
      <w:tr w:rsidR="008F47B8" w:rsidRPr="006D52A9" w:rsidDel="002167A7" w14:paraId="3D9DF933" w14:textId="77777777" w:rsidTr="00FB6D2D">
        <w:tc>
          <w:tcPr>
            <w:tcW w:w="647" w:type="pct"/>
            <w:tcBorders>
              <w:bottom w:val="single" w:sz="4" w:space="0" w:color="auto"/>
            </w:tcBorders>
            <w:tcMar>
              <w:top w:w="28" w:type="dxa"/>
              <w:left w:w="28" w:type="dxa"/>
            </w:tcMar>
          </w:tcPr>
          <w:p w14:paraId="753AC2C0"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A4E42CC"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C6940</w:t>
            </w:r>
          </w:p>
        </w:tc>
        <w:tc>
          <w:tcPr>
            <w:tcW w:w="274" w:type="pct"/>
            <w:tcBorders>
              <w:bottom w:val="single" w:sz="4" w:space="0" w:color="auto"/>
            </w:tcBorders>
            <w:tcMar>
              <w:top w:w="28" w:type="dxa"/>
              <w:left w:w="28" w:type="dxa"/>
            </w:tcMar>
          </w:tcPr>
          <w:p w14:paraId="57658079"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BFE7F2A"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spinal cord injury.</w:t>
            </w:r>
          </w:p>
        </w:tc>
        <w:tc>
          <w:tcPr>
            <w:tcW w:w="929" w:type="pct"/>
            <w:tcBorders>
              <w:bottom w:val="single" w:sz="4" w:space="0" w:color="auto"/>
            </w:tcBorders>
            <w:tcMar>
              <w:top w:w="28" w:type="dxa"/>
              <w:left w:w="28" w:type="dxa"/>
              <w:right w:w="57" w:type="dxa"/>
            </w:tcMar>
          </w:tcPr>
          <w:p w14:paraId="1D616CF7"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6940</w:t>
            </w:r>
          </w:p>
        </w:tc>
      </w:tr>
      <w:tr w:rsidR="008F47B8" w:rsidRPr="006D52A9" w:rsidDel="002167A7" w14:paraId="647133BD" w14:textId="77777777" w:rsidTr="00FB6D2D">
        <w:tc>
          <w:tcPr>
            <w:tcW w:w="647" w:type="pct"/>
            <w:tcBorders>
              <w:bottom w:val="single" w:sz="4" w:space="0" w:color="auto"/>
            </w:tcBorders>
            <w:tcMar>
              <w:top w:w="28" w:type="dxa"/>
              <w:left w:w="28" w:type="dxa"/>
            </w:tcMar>
          </w:tcPr>
          <w:p w14:paraId="706DFF94"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46F2B9B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C7134</w:t>
            </w:r>
          </w:p>
        </w:tc>
        <w:tc>
          <w:tcPr>
            <w:tcW w:w="274" w:type="pct"/>
            <w:tcBorders>
              <w:bottom w:val="single" w:sz="4" w:space="0" w:color="auto"/>
            </w:tcBorders>
            <w:tcMar>
              <w:top w:w="28" w:type="dxa"/>
              <w:left w:w="28" w:type="dxa"/>
            </w:tcMar>
          </w:tcPr>
          <w:p w14:paraId="68CC73EE"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6885D5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p>
          <w:p w14:paraId="38725B7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failed to respond to treatment with oral antispastic agents; OR</w:t>
            </w:r>
          </w:p>
          <w:p w14:paraId="162C34F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had unacceptable side effects to treatment with oral antispastic agents; AND</w:t>
            </w:r>
          </w:p>
          <w:p w14:paraId="38F95CF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chronic spasticity due to multiple sclerosis.</w:t>
            </w:r>
          </w:p>
        </w:tc>
        <w:tc>
          <w:tcPr>
            <w:tcW w:w="929" w:type="pct"/>
            <w:tcBorders>
              <w:bottom w:val="single" w:sz="4" w:space="0" w:color="auto"/>
            </w:tcBorders>
            <w:tcMar>
              <w:top w:w="28" w:type="dxa"/>
              <w:left w:w="28" w:type="dxa"/>
              <w:right w:w="57" w:type="dxa"/>
            </w:tcMar>
          </w:tcPr>
          <w:p w14:paraId="5170837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7134</w:t>
            </w:r>
          </w:p>
        </w:tc>
      </w:tr>
      <w:tr w:rsidR="008F47B8" w:rsidRPr="006D52A9" w:rsidDel="002167A7" w14:paraId="4AE3B539" w14:textId="77777777" w:rsidTr="00FB6D2D">
        <w:tc>
          <w:tcPr>
            <w:tcW w:w="647" w:type="pct"/>
            <w:tcBorders>
              <w:bottom w:val="single" w:sz="4" w:space="0" w:color="auto"/>
            </w:tcBorders>
            <w:tcMar>
              <w:top w:w="28" w:type="dxa"/>
              <w:left w:w="28" w:type="dxa"/>
            </w:tcMar>
          </w:tcPr>
          <w:p w14:paraId="65DAD7FD"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179CE83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C7148</w:t>
            </w:r>
          </w:p>
        </w:tc>
        <w:tc>
          <w:tcPr>
            <w:tcW w:w="274" w:type="pct"/>
            <w:tcBorders>
              <w:bottom w:val="single" w:sz="4" w:space="0" w:color="auto"/>
            </w:tcBorders>
            <w:tcMar>
              <w:top w:w="28" w:type="dxa"/>
              <w:left w:w="28" w:type="dxa"/>
            </w:tcMar>
          </w:tcPr>
          <w:p w14:paraId="79846D20"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85B4FD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p>
          <w:p w14:paraId="12130EF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failed to respond to treatment with oral antispastic agents; OR</w:t>
            </w:r>
          </w:p>
          <w:p w14:paraId="003249D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had unacceptable side effects to treatment with oral antispastic agents; AND</w:t>
            </w:r>
          </w:p>
          <w:p w14:paraId="244684D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chronic spasticity due to spinal cord disease.</w:t>
            </w:r>
          </w:p>
        </w:tc>
        <w:tc>
          <w:tcPr>
            <w:tcW w:w="929" w:type="pct"/>
            <w:tcBorders>
              <w:bottom w:val="single" w:sz="4" w:space="0" w:color="auto"/>
            </w:tcBorders>
            <w:tcMar>
              <w:top w:w="28" w:type="dxa"/>
              <w:left w:w="28" w:type="dxa"/>
              <w:right w:w="57" w:type="dxa"/>
            </w:tcMar>
          </w:tcPr>
          <w:p w14:paraId="4063ACA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7148</w:t>
            </w:r>
          </w:p>
        </w:tc>
      </w:tr>
      <w:tr w:rsidR="008F47B8" w:rsidRPr="006D52A9" w:rsidDel="002167A7" w14:paraId="63B76309" w14:textId="77777777" w:rsidTr="00FB6D2D">
        <w:tc>
          <w:tcPr>
            <w:tcW w:w="647" w:type="pct"/>
            <w:tcBorders>
              <w:bottom w:val="single" w:sz="4" w:space="0" w:color="auto"/>
            </w:tcBorders>
            <w:tcMar>
              <w:top w:w="28" w:type="dxa"/>
              <w:left w:w="28" w:type="dxa"/>
            </w:tcMar>
          </w:tcPr>
          <w:p w14:paraId="1CAC1FC7"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124BE77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C7152</w:t>
            </w:r>
          </w:p>
        </w:tc>
        <w:tc>
          <w:tcPr>
            <w:tcW w:w="274" w:type="pct"/>
            <w:tcBorders>
              <w:bottom w:val="single" w:sz="4" w:space="0" w:color="auto"/>
            </w:tcBorders>
            <w:tcMar>
              <w:top w:w="28" w:type="dxa"/>
              <w:left w:w="28" w:type="dxa"/>
            </w:tcMar>
          </w:tcPr>
          <w:p w14:paraId="04FC8A38"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74F37B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p>
          <w:p w14:paraId="6519829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failed to respond to treatment with oral antispastic agents; OR</w:t>
            </w:r>
          </w:p>
          <w:p w14:paraId="1EB367D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had unacceptable side effects to treatment with oral antispastic agents; AND</w:t>
            </w:r>
          </w:p>
          <w:p w14:paraId="63A2A70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chronic spasticity of cerebral origin.</w:t>
            </w:r>
          </w:p>
        </w:tc>
        <w:tc>
          <w:tcPr>
            <w:tcW w:w="929" w:type="pct"/>
            <w:tcBorders>
              <w:bottom w:val="single" w:sz="4" w:space="0" w:color="auto"/>
            </w:tcBorders>
            <w:tcMar>
              <w:top w:w="28" w:type="dxa"/>
              <w:left w:w="28" w:type="dxa"/>
              <w:right w:w="57" w:type="dxa"/>
            </w:tcMar>
          </w:tcPr>
          <w:p w14:paraId="71EE72C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7152</w:t>
            </w:r>
          </w:p>
        </w:tc>
      </w:tr>
      <w:tr w:rsidR="008F47B8" w:rsidRPr="006D52A9" w:rsidDel="002167A7" w14:paraId="2290E320" w14:textId="77777777" w:rsidTr="00FB6D2D">
        <w:tc>
          <w:tcPr>
            <w:tcW w:w="647" w:type="pct"/>
            <w:tcBorders>
              <w:bottom w:val="single" w:sz="4" w:space="0" w:color="auto"/>
            </w:tcBorders>
            <w:tcMar>
              <w:top w:w="28" w:type="dxa"/>
              <w:left w:w="28" w:type="dxa"/>
            </w:tcMar>
          </w:tcPr>
          <w:p w14:paraId="0D5F4995"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1B968F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C7153</w:t>
            </w:r>
          </w:p>
        </w:tc>
        <w:tc>
          <w:tcPr>
            <w:tcW w:w="274" w:type="pct"/>
            <w:tcBorders>
              <w:bottom w:val="single" w:sz="4" w:space="0" w:color="auto"/>
            </w:tcBorders>
            <w:tcMar>
              <w:top w:w="28" w:type="dxa"/>
              <w:left w:w="28" w:type="dxa"/>
            </w:tcMar>
          </w:tcPr>
          <w:p w14:paraId="7A0D02EF" w14:textId="77777777" w:rsidR="008F47B8" w:rsidRPr="006D52A9" w:rsidDel="002167A7"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036834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p>
          <w:p w14:paraId="26584A8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failed to respond to treatment with oral antispastic agents; OR</w:t>
            </w:r>
          </w:p>
          <w:p w14:paraId="243045A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had unacceptable side effects to treatment with oral antispastic agents; AND</w:t>
            </w:r>
          </w:p>
          <w:p w14:paraId="6AEC25D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chronic spasticity due to spinal cord injury.</w:t>
            </w:r>
          </w:p>
        </w:tc>
        <w:tc>
          <w:tcPr>
            <w:tcW w:w="929" w:type="pct"/>
            <w:tcBorders>
              <w:bottom w:val="single" w:sz="4" w:space="0" w:color="auto"/>
            </w:tcBorders>
            <w:tcMar>
              <w:top w:w="28" w:type="dxa"/>
              <w:left w:w="28" w:type="dxa"/>
              <w:right w:w="57" w:type="dxa"/>
            </w:tcMar>
          </w:tcPr>
          <w:p w14:paraId="0074F96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7153</w:t>
            </w:r>
          </w:p>
        </w:tc>
      </w:tr>
      <w:tr w:rsidR="008F47B8" w:rsidRPr="006D52A9" w:rsidDel="00C53AD4" w14:paraId="1F98B430" w14:textId="77777777" w:rsidTr="00FB6D2D">
        <w:tc>
          <w:tcPr>
            <w:tcW w:w="647" w:type="pct"/>
            <w:tcBorders>
              <w:bottom w:val="single" w:sz="4" w:space="0" w:color="auto"/>
            </w:tcBorders>
            <w:tcMar>
              <w:top w:w="28" w:type="dxa"/>
              <w:left w:w="28" w:type="dxa"/>
            </w:tcMar>
          </w:tcPr>
          <w:p w14:paraId="2B65FC06"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02823668"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C9488</w:t>
            </w:r>
          </w:p>
        </w:tc>
        <w:tc>
          <w:tcPr>
            <w:tcW w:w="274" w:type="pct"/>
            <w:tcBorders>
              <w:bottom w:val="single" w:sz="4" w:space="0" w:color="auto"/>
            </w:tcBorders>
            <w:tcMar>
              <w:top w:w="28" w:type="dxa"/>
              <w:left w:w="28" w:type="dxa"/>
            </w:tcMar>
          </w:tcPr>
          <w:p w14:paraId="586DE2CC"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AA29859"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of cerebral origin.</w:t>
            </w:r>
          </w:p>
        </w:tc>
        <w:tc>
          <w:tcPr>
            <w:tcW w:w="929" w:type="pct"/>
            <w:tcBorders>
              <w:bottom w:val="single" w:sz="4" w:space="0" w:color="auto"/>
            </w:tcBorders>
            <w:tcMar>
              <w:top w:w="28" w:type="dxa"/>
              <w:left w:w="28" w:type="dxa"/>
              <w:right w:w="57" w:type="dxa"/>
            </w:tcMar>
          </w:tcPr>
          <w:p w14:paraId="1ABB542B"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9488</w:t>
            </w:r>
          </w:p>
        </w:tc>
      </w:tr>
      <w:tr w:rsidR="008F47B8" w:rsidRPr="006D52A9" w:rsidDel="00C53AD4" w14:paraId="391BF28C" w14:textId="77777777" w:rsidTr="00FB6D2D">
        <w:tc>
          <w:tcPr>
            <w:tcW w:w="647" w:type="pct"/>
            <w:tcBorders>
              <w:bottom w:val="single" w:sz="4" w:space="0" w:color="auto"/>
            </w:tcBorders>
            <w:tcMar>
              <w:top w:w="28" w:type="dxa"/>
              <w:left w:w="28" w:type="dxa"/>
            </w:tcMar>
          </w:tcPr>
          <w:p w14:paraId="4045629D"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40E4FE52"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C9489</w:t>
            </w:r>
          </w:p>
        </w:tc>
        <w:tc>
          <w:tcPr>
            <w:tcW w:w="274" w:type="pct"/>
            <w:tcBorders>
              <w:bottom w:val="single" w:sz="4" w:space="0" w:color="auto"/>
            </w:tcBorders>
            <w:tcMar>
              <w:top w:w="28" w:type="dxa"/>
              <w:left w:w="28" w:type="dxa"/>
            </w:tcMar>
          </w:tcPr>
          <w:p w14:paraId="2BFD6F19"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349BEDB8"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spinal cord injury.</w:t>
            </w:r>
          </w:p>
        </w:tc>
        <w:tc>
          <w:tcPr>
            <w:tcW w:w="929" w:type="pct"/>
            <w:tcBorders>
              <w:bottom w:val="single" w:sz="4" w:space="0" w:color="auto"/>
            </w:tcBorders>
            <w:tcMar>
              <w:top w:w="28" w:type="dxa"/>
              <w:left w:w="28" w:type="dxa"/>
              <w:right w:w="57" w:type="dxa"/>
            </w:tcMar>
          </w:tcPr>
          <w:p w14:paraId="5CFB8B4D"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9489</w:t>
            </w:r>
          </w:p>
        </w:tc>
      </w:tr>
      <w:tr w:rsidR="008F47B8" w:rsidRPr="006D52A9" w:rsidDel="00C53AD4" w14:paraId="187F5074" w14:textId="77777777" w:rsidTr="00FB6D2D">
        <w:tc>
          <w:tcPr>
            <w:tcW w:w="647" w:type="pct"/>
            <w:tcBorders>
              <w:bottom w:val="single" w:sz="4" w:space="0" w:color="auto"/>
            </w:tcBorders>
            <w:tcMar>
              <w:top w:w="28" w:type="dxa"/>
              <w:left w:w="28" w:type="dxa"/>
            </w:tcMar>
          </w:tcPr>
          <w:p w14:paraId="0034BC15"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02200F3B"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C9524</w:t>
            </w:r>
          </w:p>
        </w:tc>
        <w:tc>
          <w:tcPr>
            <w:tcW w:w="274" w:type="pct"/>
            <w:tcBorders>
              <w:bottom w:val="single" w:sz="4" w:space="0" w:color="auto"/>
            </w:tcBorders>
            <w:tcMar>
              <w:top w:w="28" w:type="dxa"/>
              <w:left w:w="28" w:type="dxa"/>
            </w:tcMar>
          </w:tcPr>
          <w:p w14:paraId="22F4F43F"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2A4AE460"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spinal cord disease.</w:t>
            </w:r>
          </w:p>
        </w:tc>
        <w:tc>
          <w:tcPr>
            <w:tcW w:w="929" w:type="pct"/>
            <w:tcBorders>
              <w:bottom w:val="single" w:sz="4" w:space="0" w:color="auto"/>
            </w:tcBorders>
            <w:tcMar>
              <w:top w:w="28" w:type="dxa"/>
              <w:left w:w="28" w:type="dxa"/>
              <w:right w:w="57" w:type="dxa"/>
            </w:tcMar>
          </w:tcPr>
          <w:p w14:paraId="1628061D"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9524</w:t>
            </w:r>
          </w:p>
        </w:tc>
      </w:tr>
      <w:tr w:rsidR="008F47B8" w:rsidRPr="006D52A9" w:rsidDel="00C53AD4" w14:paraId="375E18E7" w14:textId="77777777" w:rsidTr="00FB6D2D">
        <w:tc>
          <w:tcPr>
            <w:tcW w:w="647" w:type="pct"/>
            <w:tcBorders>
              <w:bottom w:val="single" w:sz="4" w:space="0" w:color="auto"/>
            </w:tcBorders>
            <w:tcMar>
              <w:top w:w="28" w:type="dxa"/>
              <w:left w:w="28" w:type="dxa"/>
            </w:tcMar>
          </w:tcPr>
          <w:p w14:paraId="673E4007"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A2B327B"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C9525</w:t>
            </w:r>
          </w:p>
        </w:tc>
        <w:tc>
          <w:tcPr>
            <w:tcW w:w="274" w:type="pct"/>
            <w:tcBorders>
              <w:bottom w:val="single" w:sz="4" w:space="0" w:color="auto"/>
            </w:tcBorders>
            <w:tcMar>
              <w:top w:w="28" w:type="dxa"/>
              <w:left w:w="28" w:type="dxa"/>
            </w:tcMar>
          </w:tcPr>
          <w:p w14:paraId="463C8A6D"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B974719"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multiple sclerosis.</w:t>
            </w:r>
          </w:p>
        </w:tc>
        <w:tc>
          <w:tcPr>
            <w:tcW w:w="929" w:type="pct"/>
            <w:tcBorders>
              <w:bottom w:val="single" w:sz="4" w:space="0" w:color="auto"/>
            </w:tcBorders>
            <w:tcMar>
              <w:top w:w="28" w:type="dxa"/>
              <w:left w:w="28" w:type="dxa"/>
              <w:right w:w="57" w:type="dxa"/>
            </w:tcMar>
          </w:tcPr>
          <w:p w14:paraId="158F5936"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9525</w:t>
            </w:r>
          </w:p>
        </w:tc>
      </w:tr>
      <w:tr w:rsidR="008F47B8" w:rsidRPr="006D52A9" w:rsidDel="00C53AD4" w14:paraId="32C79BC3" w14:textId="77777777" w:rsidTr="00FB6D2D">
        <w:tc>
          <w:tcPr>
            <w:tcW w:w="647" w:type="pct"/>
            <w:tcBorders>
              <w:bottom w:val="single" w:sz="4" w:space="0" w:color="auto"/>
            </w:tcBorders>
            <w:tcMar>
              <w:top w:w="28" w:type="dxa"/>
              <w:left w:w="28" w:type="dxa"/>
            </w:tcMar>
          </w:tcPr>
          <w:p w14:paraId="2FEE16CF"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BEDC236"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C9562</w:t>
            </w:r>
          </w:p>
        </w:tc>
        <w:tc>
          <w:tcPr>
            <w:tcW w:w="274" w:type="pct"/>
            <w:tcBorders>
              <w:bottom w:val="single" w:sz="4" w:space="0" w:color="auto"/>
            </w:tcBorders>
            <w:tcMar>
              <w:top w:w="28" w:type="dxa"/>
              <w:left w:w="28" w:type="dxa"/>
            </w:tcMar>
          </w:tcPr>
          <w:p w14:paraId="4B40889A"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5C566DF"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of cerebral origin.</w:t>
            </w:r>
          </w:p>
        </w:tc>
        <w:tc>
          <w:tcPr>
            <w:tcW w:w="929" w:type="pct"/>
            <w:tcBorders>
              <w:bottom w:val="single" w:sz="4" w:space="0" w:color="auto"/>
            </w:tcBorders>
            <w:tcMar>
              <w:top w:w="28" w:type="dxa"/>
              <w:left w:w="28" w:type="dxa"/>
              <w:right w:w="57" w:type="dxa"/>
            </w:tcMar>
          </w:tcPr>
          <w:p w14:paraId="01083436"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9562</w:t>
            </w:r>
          </w:p>
        </w:tc>
      </w:tr>
      <w:tr w:rsidR="008F47B8" w:rsidRPr="006D52A9" w:rsidDel="00C53AD4" w14:paraId="659A6CAF" w14:textId="77777777" w:rsidTr="00FB6D2D">
        <w:tc>
          <w:tcPr>
            <w:tcW w:w="647" w:type="pct"/>
            <w:tcBorders>
              <w:bottom w:val="single" w:sz="4" w:space="0" w:color="auto"/>
            </w:tcBorders>
            <w:tcMar>
              <w:top w:w="28" w:type="dxa"/>
              <w:left w:w="28" w:type="dxa"/>
            </w:tcMar>
          </w:tcPr>
          <w:p w14:paraId="2EAF5EC2"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18D3126E"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C9606</w:t>
            </w:r>
          </w:p>
        </w:tc>
        <w:tc>
          <w:tcPr>
            <w:tcW w:w="274" w:type="pct"/>
            <w:tcBorders>
              <w:bottom w:val="single" w:sz="4" w:space="0" w:color="auto"/>
            </w:tcBorders>
            <w:tcMar>
              <w:top w:w="28" w:type="dxa"/>
              <w:left w:w="28" w:type="dxa"/>
            </w:tcMar>
          </w:tcPr>
          <w:p w14:paraId="7476CEE7"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CEC5A50"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spinal cord disease.</w:t>
            </w:r>
          </w:p>
        </w:tc>
        <w:tc>
          <w:tcPr>
            <w:tcW w:w="929" w:type="pct"/>
            <w:tcBorders>
              <w:bottom w:val="single" w:sz="4" w:space="0" w:color="auto"/>
            </w:tcBorders>
            <w:tcMar>
              <w:top w:w="28" w:type="dxa"/>
              <w:left w:w="28" w:type="dxa"/>
              <w:right w:w="57" w:type="dxa"/>
            </w:tcMar>
          </w:tcPr>
          <w:p w14:paraId="62515799" w14:textId="77777777" w:rsidR="008F47B8" w:rsidRPr="006D52A9" w:rsidDel="00C53AD4"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9606</w:t>
            </w:r>
          </w:p>
        </w:tc>
      </w:tr>
      <w:tr w:rsidR="008F47B8" w:rsidRPr="006D52A9" w:rsidDel="00C53AD4" w14:paraId="1EADDA5C" w14:textId="77777777" w:rsidTr="00FB6D2D">
        <w:tc>
          <w:tcPr>
            <w:tcW w:w="647" w:type="pct"/>
            <w:tcBorders>
              <w:bottom w:val="single" w:sz="4" w:space="0" w:color="auto"/>
            </w:tcBorders>
            <w:tcMar>
              <w:top w:w="28" w:type="dxa"/>
              <w:left w:w="28" w:type="dxa"/>
            </w:tcMar>
          </w:tcPr>
          <w:p w14:paraId="70486930"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24F83AB2"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C9637</w:t>
            </w:r>
          </w:p>
        </w:tc>
        <w:tc>
          <w:tcPr>
            <w:tcW w:w="274" w:type="pct"/>
            <w:tcBorders>
              <w:bottom w:val="single" w:sz="4" w:space="0" w:color="auto"/>
            </w:tcBorders>
            <w:tcMar>
              <w:top w:w="28" w:type="dxa"/>
              <w:left w:w="28" w:type="dxa"/>
            </w:tcMar>
          </w:tcPr>
          <w:p w14:paraId="61F073A3"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0911E29"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multiple sclerosis.</w:t>
            </w:r>
          </w:p>
        </w:tc>
        <w:tc>
          <w:tcPr>
            <w:tcW w:w="929" w:type="pct"/>
            <w:tcBorders>
              <w:bottom w:val="single" w:sz="4" w:space="0" w:color="auto"/>
            </w:tcBorders>
            <w:tcMar>
              <w:top w:w="28" w:type="dxa"/>
              <w:left w:w="28" w:type="dxa"/>
              <w:right w:w="57" w:type="dxa"/>
            </w:tcMar>
          </w:tcPr>
          <w:p w14:paraId="3A3F04F4" w14:textId="77777777" w:rsidR="008F47B8" w:rsidRPr="006D52A9" w:rsidDel="00C53AD4"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9637</w:t>
            </w:r>
          </w:p>
        </w:tc>
      </w:tr>
      <w:tr w:rsidR="008F47B8" w:rsidRPr="006D52A9" w:rsidDel="00C53AD4" w14:paraId="0649D3A8" w14:textId="77777777" w:rsidTr="00FB6D2D">
        <w:tc>
          <w:tcPr>
            <w:tcW w:w="647" w:type="pct"/>
            <w:tcBorders>
              <w:bottom w:val="single" w:sz="4" w:space="0" w:color="auto"/>
            </w:tcBorders>
            <w:tcMar>
              <w:top w:w="28" w:type="dxa"/>
              <w:left w:w="28" w:type="dxa"/>
            </w:tcMar>
          </w:tcPr>
          <w:p w14:paraId="0E9ECD79" w14:textId="77777777" w:rsidR="008F47B8" w:rsidRPr="006D52A9" w:rsidDel="00C53AD4"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7D3D4A75"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C9638</w:t>
            </w:r>
          </w:p>
        </w:tc>
        <w:tc>
          <w:tcPr>
            <w:tcW w:w="274" w:type="pct"/>
            <w:tcBorders>
              <w:bottom w:val="single" w:sz="4" w:space="0" w:color="auto"/>
            </w:tcBorders>
            <w:tcMar>
              <w:top w:w="28" w:type="dxa"/>
              <w:left w:w="28" w:type="dxa"/>
            </w:tcMar>
          </w:tcPr>
          <w:p w14:paraId="335E70DA" w14:textId="77777777" w:rsidR="008F47B8" w:rsidRPr="006D52A9" w:rsidDel="00C53AD4"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491C28E5" w14:textId="77777777" w:rsidR="008F47B8" w:rsidRPr="006D52A9" w:rsidDel="00C53AD4" w:rsidRDefault="008F47B8" w:rsidP="00FB6D2D">
            <w:pPr>
              <w:spacing w:line="240" w:lineRule="auto"/>
              <w:rPr>
                <w:rFonts w:ascii="Arial" w:hAnsi="Arial" w:cs="Arial"/>
                <w:sz w:val="16"/>
                <w:szCs w:val="16"/>
              </w:rPr>
            </w:pPr>
            <w:r w:rsidRPr="006D52A9">
              <w:rPr>
                <w:rFonts w:ascii="Arial" w:hAnsi="Arial" w:cs="Arial"/>
                <w:sz w:val="16"/>
                <w:szCs w:val="16"/>
              </w:rPr>
              <w:t>Severe chronic spasticity</w:t>
            </w:r>
            <w:r w:rsidRPr="006D52A9">
              <w:rPr>
                <w:rFonts w:ascii="Arial" w:hAnsi="Arial" w:cs="Arial"/>
                <w:sz w:val="16"/>
                <w:szCs w:val="16"/>
              </w:rPr>
              <w:br/>
              <w:t>Patient must have failed to respond to treatment with oral antispastic agents; OR</w:t>
            </w:r>
            <w:r w:rsidRPr="006D52A9">
              <w:rPr>
                <w:rFonts w:ascii="Arial" w:hAnsi="Arial" w:cs="Arial"/>
                <w:sz w:val="16"/>
                <w:szCs w:val="16"/>
              </w:rPr>
              <w:br/>
              <w:t>Patient must have had unacceptable side effects to treatment with oral antispastic agents; AND</w:t>
            </w:r>
            <w:r w:rsidRPr="006D52A9">
              <w:rPr>
                <w:rFonts w:ascii="Arial" w:hAnsi="Arial" w:cs="Arial"/>
                <w:sz w:val="16"/>
                <w:szCs w:val="16"/>
              </w:rPr>
              <w:br/>
              <w:t>Patient must have chronic spasticity due to spinal cord injury.</w:t>
            </w:r>
          </w:p>
        </w:tc>
        <w:tc>
          <w:tcPr>
            <w:tcW w:w="929" w:type="pct"/>
            <w:tcBorders>
              <w:bottom w:val="single" w:sz="4" w:space="0" w:color="auto"/>
            </w:tcBorders>
            <w:tcMar>
              <w:top w:w="28" w:type="dxa"/>
              <w:left w:w="28" w:type="dxa"/>
              <w:right w:w="57" w:type="dxa"/>
            </w:tcMar>
          </w:tcPr>
          <w:p w14:paraId="5859C0E4" w14:textId="77777777" w:rsidR="008F47B8" w:rsidRPr="006D52A9" w:rsidDel="00C53AD4"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9638</w:t>
            </w:r>
          </w:p>
        </w:tc>
      </w:tr>
      <w:tr w:rsidR="008F47B8" w:rsidRPr="006D52A9" w:rsidDel="009152C2" w14:paraId="51DF4BD6" w14:textId="77777777" w:rsidTr="00FB6D2D">
        <w:tc>
          <w:tcPr>
            <w:tcW w:w="647" w:type="pct"/>
            <w:tcBorders>
              <w:bottom w:val="single" w:sz="4" w:space="0" w:color="auto"/>
            </w:tcBorders>
            <w:tcMar>
              <w:top w:w="28" w:type="dxa"/>
              <w:left w:w="28" w:type="dxa"/>
            </w:tcMar>
          </w:tcPr>
          <w:p w14:paraId="59498BED"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Benralizumab</w:t>
            </w:r>
          </w:p>
        </w:tc>
        <w:tc>
          <w:tcPr>
            <w:tcW w:w="283" w:type="pct"/>
            <w:tcBorders>
              <w:bottom w:val="single" w:sz="4" w:space="0" w:color="auto"/>
            </w:tcBorders>
            <w:tcMar>
              <w:top w:w="28" w:type="dxa"/>
              <w:left w:w="28" w:type="dxa"/>
            </w:tcMar>
          </w:tcPr>
          <w:p w14:paraId="7589F044"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C9887</w:t>
            </w:r>
          </w:p>
        </w:tc>
        <w:tc>
          <w:tcPr>
            <w:tcW w:w="274" w:type="pct"/>
            <w:tcBorders>
              <w:bottom w:val="single" w:sz="4" w:space="0" w:color="auto"/>
            </w:tcBorders>
            <w:tcMar>
              <w:top w:w="28" w:type="dxa"/>
              <w:left w:w="28" w:type="dxa"/>
            </w:tcMar>
          </w:tcPr>
          <w:p w14:paraId="47D3537E" w14:textId="77777777" w:rsidR="008F47B8" w:rsidRPr="006D52A9" w:rsidDel="009152C2"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136ED1B"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Uncontrolled severe eosinophilic asthma</w:t>
            </w:r>
            <w:r w:rsidRPr="006D52A9">
              <w:rPr>
                <w:rFonts w:ascii="Arial" w:hAnsi="Arial" w:cs="Arial"/>
                <w:sz w:val="16"/>
                <w:szCs w:val="16"/>
              </w:rPr>
              <w:br/>
              <w:t>Balance of supply</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received insufficient therapy with this drug under the Initial 1 (new patients or recommencement of treatment in a new treatment cycle) restriction to complete 32 weeks treatment; OR</w:t>
            </w:r>
            <w:r w:rsidRPr="006D52A9">
              <w:rPr>
                <w:rFonts w:ascii="Arial" w:hAnsi="Arial" w:cs="Arial"/>
                <w:sz w:val="16"/>
                <w:szCs w:val="16"/>
              </w:rPr>
              <w:br/>
              <w:t>Patient must have received insufficient therapy with this drug under the Initial 2 (change of treatment) restriction to complete 32 weeks treatment; OR</w:t>
            </w:r>
            <w:r w:rsidRPr="006D52A9">
              <w:rPr>
                <w:rFonts w:ascii="Arial" w:hAnsi="Arial" w:cs="Arial"/>
                <w:sz w:val="16"/>
                <w:szCs w:val="16"/>
              </w:rPr>
              <w:br/>
              <w:t>Patient must have received insufficient therapy with this drug under the Continuing treatment restriction to complete 24 weeks treatment; AND</w:t>
            </w:r>
            <w:r w:rsidRPr="006D52A9">
              <w:rPr>
                <w:rFonts w:ascii="Arial" w:hAnsi="Arial" w:cs="Arial"/>
                <w:sz w:val="16"/>
                <w:szCs w:val="16"/>
              </w:rPr>
              <w:br/>
              <w:t>The treatment must not provide more than the balance of up to 32 weeks of treatment if the most recent authority approval was made under an Initial treatment restriction; OR</w:t>
            </w:r>
            <w:r w:rsidRPr="006D52A9">
              <w:rPr>
                <w:rFonts w:ascii="Arial" w:hAnsi="Arial" w:cs="Arial"/>
                <w:sz w:val="16"/>
                <w:szCs w:val="16"/>
              </w:rPr>
              <w:br/>
              <w:t>The treatment must not provide more than the balance of up to 24 weeks of treatment if the most recent authority approval was made under the Continuing treatment restriction.</w:t>
            </w:r>
          </w:p>
        </w:tc>
        <w:tc>
          <w:tcPr>
            <w:tcW w:w="929" w:type="pct"/>
            <w:tcBorders>
              <w:bottom w:val="single" w:sz="4" w:space="0" w:color="auto"/>
            </w:tcBorders>
            <w:tcMar>
              <w:top w:w="28" w:type="dxa"/>
              <w:left w:w="28" w:type="dxa"/>
              <w:right w:w="57" w:type="dxa"/>
            </w:tcMar>
          </w:tcPr>
          <w:p w14:paraId="0332E09B" w14:textId="77777777" w:rsidR="008F47B8" w:rsidRPr="006D52A9" w:rsidDel="009152C2" w:rsidRDefault="008F47B8" w:rsidP="00FB6D2D">
            <w:pPr>
              <w:keepNext/>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9152C2" w14:paraId="28A1538C" w14:textId="77777777" w:rsidTr="00FB6D2D">
        <w:tc>
          <w:tcPr>
            <w:tcW w:w="647" w:type="pct"/>
            <w:tcBorders>
              <w:bottom w:val="single" w:sz="4" w:space="0" w:color="auto"/>
            </w:tcBorders>
            <w:tcMar>
              <w:top w:w="28" w:type="dxa"/>
              <w:left w:w="28" w:type="dxa"/>
            </w:tcMar>
          </w:tcPr>
          <w:p w14:paraId="7E6D2D0D"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3D665A8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C10264</w:t>
            </w:r>
          </w:p>
        </w:tc>
        <w:tc>
          <w:tcPr>
            <w:tcW w:w="274" w:type="pct"/>
            <w:tcBorders>
              <w:bottom w:val="single" w:sz="4" w:space="0" w:color="auto"/>
            </w:tcBorders>
            <w:tcMar>
              <w:top w:w="28" w:type="dxa"/>
              <w:left w:w="28" w:type="dxa"/>
            </w:tcMar>
          </w:tcPr>
          <w:p w14:paraId="1AAC1BB4"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57AF8B6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Uncontrolled severe eosinophilic asthma</w:t>
            </w:r>
            <w:r w:rsidRPr="006D52A9">
              <w:rPr>
                <w:rFonts w:ascii="Arial" w:hAnsi="Arial" w:cs="Arial"/>
                <w:sz w:val="16"/>
                <w:szCs w:val="16"/>
              </w:rPr>
              <w:br/>
            </w:r>
            <w:r w:rsidRPr="006D52A9">
              <w:rPr>
                <w:rFonts w:ascii="Arial" w:hAnsi="Arial" w:cs="Arial"/>
                <w:sz w:val="16"/>
                <w:szCs w:val="16"/>
              </w:rPr>
              <w:lastRenderedPageBreak/>
              <w:t xml:space="preserve">Initial treatment </w:t>
            </w:r>
            <w:r w:rsidR="0026100E">
              <w:rPr>
                <w:rFonts w:ascii="Arial" w:hAnsi="Arial" w:cs="Arial"/>
                <w:sz w:val="16"/>
                <w:szCs w:val="16"/>
              </w:rPr>
              <w:noBreakHyphen/>
            </w:r>
            <w:r w:rsidRPr="006D52A9">
              <w:rPr>
                <w:rFonts w:ascii="Arial" w:hAnsi="Arial" w:cs="Arial"/>
                <w:sz w:val="16"/>
                <w:szCs w:val="16"/>
              </w:rPr>
              <w:t xml:space="preserve"> Initial 2 (Change of treatment)</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be under the care of the same physician for at least 6 months; OR</w:t>
            </w:r>
            <w:r w:rsidRPr="006D52A9">
              <w:rPr>
                <w:rFonts w:ascii="Arial" w:hAnsi="Arial" w:cs="Arial"/>
                <w:sz w:val="16"/>
                <w:szCs w:val="16"/>
              </w:rPr>
              <w:br/>
              <w:t>Patient must have been diagnosed by a multidisciplinary severe asthma clinic team; AND</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severe asthma in this treatment cycle; AND</w:t>
            </w:r>
            <w:r w:rsidRPr="006D52A9">
              <w:rPr>
                <w:rFonts w:ascii="Arial" w:hAnsi="Arial" w:cs="Arial"/>
                <w:sz w:val="16"/>
                <w:szCs w:val="16"/>
              </w:rPr>
              <w:br/>
              <w:t>Patient must not have failed, or ceased to respond to, PBS</w:t>
            </w:r>
            <w:r w:rsidR="0026100E">
              <w:rPr>
                <w:rFonts w:ascii="Arial" w:hAnsi="Arial" w:cs="Arial"/>
                <w:sz w:val="16"/>
                <w:szCs w:val="16"/>
              </w:rPr>
              <w:noBreakHyphen/>
            </w:r>
            <w:r w:rsidRPr="006D52A9">
              <w:rPr>
                <w:rFonts w:ascii="Arial" w:hAnsi="Arial" w:cs="Arial"/>
                <w:sz w:val="16"/>
                <w:szCs w:val="16"/>
              </w:rPr>
              <w:t>subsidised treatment with this drug for severe asthma during the current treatment cycle; AND</w:t>
            </w:r>
            <w:r w:rsidRPr="006D52A9">
              <w:rPr>
                <w:rFonts w:ascii="Arial" w:hAnsi="Arial" w:cs="Arial"/>
                <w:sz w:val="16"/>
                <w:szCs w:val="16"/>
              </w:rPr>
              <w:br/>
              <w:t>Patient must have had a blood eosinophil count greater than or equal to 300 cells per microlitre and that is no older than 12 months immediately prior to commencing PBS</w:t>
            </w:r>
            <w:r w:rsidR="0026100E">
              <w:rPr>
                <w:rFonts w:ascii="Arial" w:hAnsi="Arial" w:cs="Arial"/>
                <w:sz w:val="16"/>
                <w:szCs w:val="16"/>
              </w:rPr>
              <w:noBreakHyphen/>
            </w:r>
            <w:r w:rsidRPr="006D52A9">
              <w:rPr>
                <w:rFonts w:ascii="Arial" w:hAnsi="Arial" w:cs="Arial"/>
                <w:sz w:val="16"/>
                <w:szCs w:val="16"/>
              </w:rPr>
              <w:t>subsidised biological medicine treatment for severe asthma; OR</w:t>
            </w:r>
            <w:r w:rsidRPr="006D52A9">
              <w:rPr>
                <w:rFonts w:ascii="Arial" w:hAnsi="Arial" w:cs="Arial"/>
                <w:sz w:val="16"/>
                <w:szCs w:val="16"/>
              </w:rPr>
              <w:br/>
              <w:t>Patient must have had a blood eosinophil count greater than or equal to 150 cells per microlitre while receiving treatment with oral corticosteroids and that is no older than 12 months immediately prior to commencing PBS</w:t>
            </w:r>
            <w:r w:rsidR="0026100E">
              <w:rPr>
                <w:rFonts w:ascii="Arial" w:hAnsi="Arial" w:cs="Arial"/>
                <w:sz w:val="16"/>
                <w:szCs w:val="16"/>
              </w:rPr>
              <w:noBreakHyphen/>
            </w:r>
            <w:r w:rsidRPr="006D52A9">
              <w:rPr>
                <w:rFonts w:ascii="Arial" w:hAnsi="Arial" w:cs="Arial"/>
                <w:sz w:val="16"/>
                <w:szCs w:val="16"/>
              </w:rPr>
              <w:t>subsidised biological medicine treatment for severe asthma; AND</w:t>
            </w:r>
            <w:r w:rsidRPr="006D52A9">
              <w:rPr>
                <w:rFonts w:ascii="Arial" w:hAnsi="Arial" w:cs="Arial"/>
                <w:sz w:val="16"/>
                <w:szCs w:val="16"/>
              </w:rPr>
              <w:br/>
              <w:t>Patient must not receive more than 32 weeks of treatment under this restriction; AND</w:t>
            </w:r>
            <w:r w:rsidRPr="006D52A9">
              <w:rPr>
                <w:rFonts w:ascii="Arial" w:hAnsi="Arial" w:cs="Arial"/>
                <w:sz w:val="16"/>
                <w:szCs w:val="16"/>
              </w:rPr>
              <w:br/>
              <w:t>The treatment must not be used in combination with and within 4 weeks of another PBS</w:t>
            </w:r>
            <w:r w:rsidR="0026100E">
              <w:rPr>
                <w:rFonts w:ascii="Arial" w:hAnsi="Arial" w:cs="Arial"/>
                <w:sz w:val="16"/>
                <w:szCs w:val="16"/>
              </w:rPr>
              <w:noBreakHyphen/>
            </w:r>
            <w:r w:rsidRPr="006D52A9">
              <w:rPr>
                <w:rFonts w:ascii="Arial" w:hAnsi="Arial" w:cs="Arial"/>
                <w:sz w:val="16"/>
                <w:szCs w:val="16"/>
              </w:rPr>
              <w:t>subsidised biological medicine prescribed for severe asthma.</w:t>
            </w:r>
            <w:r w:rsidRPr="006D52A9">
              <w:rPr>
                <w:rFonts w:ascii="Arial" w:hAnsi="Arial" w:cs="Arial"/>
                <w:sz w:val="16"/>
                <w:szCs w:val="16"/>
              </w:rPr>
              <w:br/>
              <w:t>Patient must be aged 12 years or older.</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Severe Eosinophilic Asthma (mepolizumab/benralizumab) Initial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Asthma Control Questionnaire (ACQ</w:t>
            </w:r>
            <w:r w:rsidR="0026100E">
              <w:rPr>
                <w:rFonts w:ascii="Arial" w:hAnsi="Arial" w:cs="Arial"/>
                <w:sz w:val="16"/>
                <w:szCs w:val="16"/>
              </w:rPr>
              <w:noBreakHyphen/>
            </w:r>
            <w:r w:rsidRPr="006D52A9">
              <w:rPr>
                <w:rFonts w:ascii="Arial" w:hAnsi="Arial" w:cs="Arial"/>
                <w:sz w:val="16"/>
                <w:szCs w:val="16"/>
              </w:rPr>
              <w:t>5 item version) score (where a new baseline is being submitted or where the patient has responded to prior treatment); and</w:t>
            </w:r>
            <w:r w:rsidRPr="006D52A9">
              <w:rPr>
                <w:rFonts w:ascii="Arial" w:hAnsi="Arial" w:cs="Arial"/>
                <w:sz w:val="16"/>
                <w:szCs w:val="16"/>
              </w:rPr>
              <w:br/>
              <w:t>(ii) the details of prior biological medicine treatment including the details of date and duration of treatment; and</w:t>
            </w:r>
            <w:r w:rsidRPr="006D52A9">
              <w:rPr>
                <w:rFonts w:ascii="Arial" w:hAnsi="Arial" w:cs="Arial"/>
                <w:sz w:val="16"/>
                <w:szCs w:val="16"/>
              </w:rPr>
              <w:br/>
              <w:t>(iii) eosinophil count and date; and</w:t>
            </w:r>
            <w:r w:rsidRPr="006D52A9">
              <w:rPr>
                <w:rFonts w:ascii="Arial" w:hAnsi="Arial" w:cs="Arial"/>
                <w:sz w:val="16"/>
                <w:szCs w:val="16"/>
              </w:rPr>
              <w:br/>
              <w:t>(iv) the dose of the maintenance oral corticosteroid (where the response criteria or baseline is based on corticosteroid dose); and</w:t>
            </w:r>
            <w:r w:rsidRPr="006D52A9">
              <w:rPr>
                <w:rFonts w:ascii="Arial" w:hAnsi="Arial" w:cs="Arial"/>
                <w:sz w:val="16"/>
                <w:szCs w:val="16"/>
              </w:rPr>
              <w:br/>
              <w:t>(v) the reason for switching therapy (e.g. failure of prior therapy, partial response to prior therapy, adverse event to prior therapy).</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severe asthma who wishes to change therapy to this biological medicine, must be accompanied by the results of an ACQ</w:t>
            </w:r>
            <w:r w:rsidR="0026100E">
              <w:rPr>
                <w:rFonts w:ascii="Arial" w:hAnsi="Arial" w:cs="Arial"/>
                <w:sz w:val="16"/>
                <w:szCs w:val="16"/>
              </w:rPr>
              <w:noBreakHyphen/>
            </w:r>
            <w:r w:rsidRPr="006D52A9">
              <w:rPr>
                <w:rFonts w:ascii="Arial" w:hAnsi="Arial" w:cs="Arial"/>
                <w:sz w:val="16"/>
                <w:szCs w:val="16"/>
              </w:rPr>
              <w:t>5 assessment of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D52A9">
              <w:rPr>
                <w:rFonts w:ascii="Arial" w:hAnsi="Arial" w:cs="Arial"/>
                <w:sz w:val="16"/>
                <w:szCs w:val="16"/>
              </w:rPr>
              <w:br/>
              <w:t>An ACQ</w:t>
            </w:r>
            <w:r w:rsidR="0026100E">
              <w:rPr>
                <w:rFonts w:ascii="Arial" w:hAnsi="Arial" w:cs="Arial"/>
                <w:sz w:val="16"/>
                <w:szCs w:val="16"/>
              </w:rPr>
              <w:noBreakHyphen/>
            </w:r>
            <w:r w:rsidRPr="006D52A9">
              <w:rPr>
                <w:rFonts w:ascii="Arial" w:hAnsi="Arial" w:cs="Arial"/>
                <w:sz w:val="16"/>
                <w:szCs w:val="16"/>
              </w:rPr>
              <w:t>5 assessment of the patient may be made at the time of application for treatment (to establish a new baseline score), but should be made again around 28 weeks after the first PBS</w:t>
            </w:r>
            <w:r w:rsidR="0026100E">
              <w:rPr>
                <w:rFonts w:ascii="Arial" w:hAnsi="Arial" w:cs="Arial"/>
                <w:sz w:val="16"/>
                <w:szCs w:val="16"/>
              </w:rPr>
              <w:noBreakHyphen/>
            </w:r>
            <w:r w:rsidRPr="006D52A9">
              <w:rPr>
                <w:rFonts w:ascii="Arial" w:hAnsi="Arial" w:cs="Arial"/>
                <w:sz w:val="16"/>
                <w:szCs w:val="16"/>
              </w:rPr>
              <w:t>subsidised dose of this biological medicine under this restriction so that there is adequate time for a response to be demonstrated and for the application for the first continuing therapy to be processed.</w:t>
            </w:r>
            <w:r w:rsidRPr="006D52A9">
              <w:rPr>
                <w:rFonts w:ascii="Arial" w:hAnsi="Arial" w:cs="Arial"/>
                <w:sz w:val="16"/>
                <w:szCs w:val="16"/>
              </w:rPr>
              <w:br/>
            </w:r>
            <w:r w:rsidRPr="006D52A9">
              <w:rPr>
                <w:rFonts w:ascii="Arial" w:hAnsi="Arial" w:cs="Arial"/>
                <w:sz w:val="16"/>
                <w:szCs w:val="16"/>
              </w:rPr>
              <w:lastRenderedPageBreak/>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6D52A9">
              <w:rPr>
                <w:rFonts w:ascii="Arial" w:hAnsi="Arial" w:cs="Arial"/>
                <w:sz w:val="16"/>
                <w:szCs w:val="16"/>
              </w:rPr>
              <w:br/>
              <w:t>At the time of the authority application, medical practitioners should request up to 4 repeats to provide for an initial course sufficient for up to 32 weeks of therapy, based on a dose of 30 mg every 4 weeks for the first three doses (weeks 0, 4, and 8) then 30 mg every eight weeks thereafter (refer to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multidisciplinary severe asthma clinic team comprises of:</w:t>
            </w:r>
            <w:r w:rsidRPr="006D52A9">
              <w:rPr>
                <w:rFonts w:ascii="Arial" w:hAnsi="Arial" w:cs="Arial"/>
                <w:sz w:val="16"/>
                <w:szCs w:val="16"/>
              </w:rPr>
              <w:br/>
              <w:t>A respiratory physician; and</w:t>
            </w:r>
            <w:r w:rsidRPr="006D52A9">
              <w:rPr>
                <w:rFonts w:ascii="Arial" w:hAnsi="Arial" w:cs="Arial"/>
                <w:sz w:val="16"/>
                <w:szCs w:val="16"/>
              </w:rPr>
              <w:br/>
              <w:t>A pharmacist, nurse or asthma educator.</w:t>
            </w:r>
          </w:p>
        </w:tc>
        <w:tc>
          <w:tcPr>
            <w:tcW w:w="929" w:type="pct"/>
            <w:tcBorders>
              <w:bottom w:val="single" w:sz="4" w:space="0" w:color="auto"/>
            </w:tcBorders>
            <w:tcMar>
              <w:top w:w="28" w:type="dxa"/>
              <w:left w:w="28" w:type="dxa"/>
              <w:right w:w="57" w:type="dxa"/>
            </w:tcMar>
          </w:tcPr>
          <w:p w14:paraId="0482CA8E"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 xml:space="preserve">Compliance with Written </w:t>
            </w:r>
            <w:r w:rsidRPr="006D52A9">
              <w:rPr>
                <w:rFonts w:ascii="Arial" w:hAnsi="Arial" w:cs="Arial"/>
                <w:sz w:val="16"/>
                <w:szCs w:val="16"/>
              </w:rPr>
              <w:lastRenderedPageBreak/>
              <w:t>Authority Required procedures</w:t>
            </w:r>
          </w:p>
        </w:tc>
      </w:tr>
      <w:tr w:rsidR="008F47B8" w:rsidRPr="006D52A9" w:rsidDel="009152C2" w14:paraId="4936CB31" w14:textId="77777777" w:rsidTr="00FB6D2D">
        <w:tc>
          <w:tcPr>
            <w:tcW w:w="647" w:type="pct"/>
            <w:tcBorders>
              <w:bottom w:val="single" w:sz="4" w:space="0" w:color="auto"/>
            </w:tcBorders>
            <w:tcMar>
              <w:top w:w="28" w:type="dxa"/>
              <w:left w:w="28" w:type="dxa"/>
            </w:tcMar>
          </w:tcPr>
          <w:p w14:paraId="500EF0E8"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683CE65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C10281</w:t>
            </w:r>
          </w:p>
        </w:tc>
        <w:tc>
          <w:tcPr>
            <w:tcW w:w="274" w:type="pct"/>
            <w:tcBorders>
              <w:bottom w:val="single" w:sz="4" w:space="0" w:color="auto"/>
            </w:tcBorders>
            <w:tcMar>
              <w:top w:w="28" w:type="dxa"/>
              <w:left w:w="28" w:type="dxa"/>
            </w:tcMar>
          </w:tcPr>
          <w:p w14:paraId="035CC32A"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8B7E0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Uncontrolled severe eosinophilic asthma</w:t>
            </w:r>
            <w:r w:rsidRPr="006D52A9">
              <w:rPr>
                <w:rFonts w:ascii="Arial" w:hAnsi="Arial" w:cs="Arial"/>
                <w:sz w:val="16"/>
                <w:szCs w:val="16"/>
              </w:rPr>
              <w:br/>
              <w:t>Continuing treatment</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have demonstrated or sustained an adequate response to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The treatment must not be used in combination with and within 4 weeks of another PBS</w:t>
            </w:r>
            <w:r w:rsidR="0026100E">
              <w:rPr>
                <w:rFonts w:ascii="Arial" w:hAnsi="Arial" w:cs="Arial"/>
                <w:sz w:val="16"/>
                <w:szCs w:val="16"/>
              </w:rPr>
              <w:noBreakHyphen/>
            </w:r>
            <w:r w:rsidRPr="006D52A9">
              <w:rPr>
                <w:rFonts w:ascii="Arial" w:hAnsi="Arial" w:cs="Arial"/>
                <w:sz w:val="16"/>
                <w:szCs w:val="16"/>
              </w:rPr>
              <w:t>subsidised biological medicine prescribed for severe asthma; AND</w:t>
            </w:r>
            <w:r w:rsidRPr="006D52A9">
              <w:rPr>
                <w:rFonts w:ascii="Arial" w:hAnsi="Arial" w:cs="Arial"/>
                <w:sz w:val="16"/>
                <w:szCs w:val="16"/>
              </w:rPr>
              <w:br/>
              <w:t>Patient must not receive more than 24 weeks of treatment under this restriction.</w:t>
            </w:r>
            <w:r w:rsidRPr="006D52A9">
              <w:rPr>
                <w:rFonts w:ascii="Arial" w:hAnsi="Arial" w:cs="Arial"/>
                <w:sz w:val="16"/>
                <w:szCs w:val="16"/>
              </w:rPr>
              <w:br/>
              <w:t>Patient must be aged 12 years or older.</w:t>
            </w:r>
            <w:r w:rsidRPr="006D52A9">
              <w:rPr>
                <w:rFonts w:ascii="Arial" w:hAnsi="Arial" w:cs="Arial"/>
                <w:sz w:val="16"/>
                <w:szCs w:val="16"/>
              </w:rPr>
              <w:br/>
              <w:t>An adequate response to this biological medicine is defined as:</w:t>
            </w:r>
            <w:r w:rsidRPr="006D52A9">
              <w:rPr>
                <w:rFonts w:ascii="Arial" w:hAnsi="Arial" w:cs="Arial"/>
                <w:sz w:val="16"/>
                <w:szCs w:val="16"/>
              </w:rPr>
              <w:br/>
              <w:t>(a) a reduction in the Asthma Control Questionnaire (ACQ</w:t>
            </w:r>
            <w:r w:rsidR="0026100E">
              <w:rPr>
                <w:rFonts w:ascii="Arial" w:hAnsi="Arial" w:cs="Arial"/>
                <w:sz w:val="16"/>
                <w:szCs w:val="16"/>
              </w:rPr>
              <w:noBreakHyphen/>
            </w:r>
            <w:r w:rsidRPr="006D52A9">
              <w:rPr>
                <w:rFonts w:ascii="Arial" w:hAnsi="Arial" w:cs="Arial"/>
                <w:sz w:val="16"/>
                <w:szCs w:val="16"/>
              </w:rPr>
              <w:t>5) score of at least 0.5 from baseline,</w:t>
            </w:r>
            <w:r w:rsidRPr="006D52A9">
              <w:rPr>
                <w:rFonts w:ascii="Arial" w:hAnsi="Arial" w:cs="Arial"/>
                <w:sz w:val="16"/>
                <w:szCs w:val="16"/>
              </w:rPr>
              <w:br/>
              <w:t>OR</w:t>
            </w:r>
            <w:r w:rsidRPr="006D52A9">
              <w:rPr>
                <w:rFonts w:ascii="Arial" w:hAnsi="Arial" w:cs="Arial"/>
                <w:sz w:val="16"/>
                <w:szCs w:val="16"/>
              </w:rPr>
              <w:br/>
              <w:t>(b) maintenance oral corticosteroid dose reduced by at least 25% from baseline, and no deterioration in ACQ</w:t>
            </w:r>
            <w:r w:rsidR="0026100E">
              <w:rPr>
                <w:rFonts w:ascii="Arial" w:hAnsi="Arial" w:cs="Arial"/>
                <w:sz w:val="16"/>
                <w:szCs w:val="16"/>
              </w:rPr>
              <w:noBreakHyphen/>
            </w:r>
            <w:r w:rsidRPr="006D52A9">
              <w:rPr>
                <w:rFonts w:ascii="Arial" w:hAnsi="Arial" w:cs="Arial"/>
                <w:sz w:val="16"/>
                <w:szCs w:val="16"/>
              </w:rPr>
              <w:t>5 score from baseline or an increase in ACQ</w:t>
            </w:r>
            <w:r w:rsidR="0026100E">
              <w:rPr>
                <w:rFonts w:ascii="Arial" w:hAnsi="Arial" w:cs="Arial"/>
                <w:sz w:val="16"/>
                <w:szCs w:val="16"/>
              </w:rPr>
              <w:noBreakHyphen/>
            </w:r>
            <w:r w:rsidRPr="006D52A9">
              <w:rPr>
                <w:rFonts w:ascii="Arial" w:hAnsi="Arial" w:cs="Arial"/>
                <w:sz w:val="16"/>
                <w:szCs w:val="16"/>
              </w:rPr>
              <w:t>5 score from baseline less than or equal to 0.5.</w:t>
            </w:r>
            <w:r w:rsidRPr="006D52A9">
              <w:rPr>
                <w:rFonts w:ascii="Arial" w:hAnsi="Arial" w:cs="Arial"/>
                <w:sz w:val="16"/>
                <w:szCs w:val="16"/>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sidR="0026100E">
              <w:rPr>
                <w:rFonts w:ascii="Arial" w:hAnsi="Arial" w:cs="Arial"/>
                <w:sz w:val="16"/>
                <w:szCs w:val="16"/>
              </w:rPr>
              <w:noBreakHyphen/>
            </w:r>
            <w:r w:rsidRPr="006D52A9">
              <w:rPr>
                <w:rFonts w:ascii="Arial" w:hAnsi="Arial" w:cs="Arial"/>
                <w:sz w:val="16"/>
                <w:szCs w:val="16"/>
              </w:rPr>
              <w:t>subsidised dose of this drug under this restriction so that there is adequate time for a response to be demonstrated and for the application for continuing therapy to be processed.</w:t>
            </w:r>
            <w:r w:rsidRPr="006D52A9">
              <w:rPr>
                <w:rFonts w:ascii="Arial" w:hAnsi="Arial" w:cs="Arial"/>
                <w:sz w:val="16"/>
                <w:szCs w:val="16"/>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6D52A9">
              <w:rPr>
                <w:rFonts w:ascii="Arial" w:hAnsi="Arial" w:cs="Arial"/>
                <w:sz w:val="16"/>
                <w:szCs w:val="16"/>
              </w:rPr>
              <w:br/>
              <w:t xml:space="preserve">Where treatment was ceased for clinical reasons despite the patient experiencing improvement, an assessment of the patient’s response to treatment made at the time of treatment cessation or </w:t>
            </w:r>
            <w:r w:rsidRPr="006D52A9">
              <w:rPr>
                <w:rFonts w:ascii="Arial" w:hAnsi="Arial" w:cs="Arial"/>
                <w:sz w:val="16"/>
                <w:szCs w:val="16"/>
              </w:rPr>
              <w:lastRenderedPageBreak/>
              <w:t>retrospectively will be considered to determine whether the patient demonstrated or sustained an adequate response to treatment.</w:t>
            </w:r>
            <w:r w:rsidRPr="006D52A9">
              <w:rPr>
                <w:rFonts w:ascii="Arial" w:hAnsi="Arial" w:cs="Arial"/>
                <w:sz w:val="16"/>
                <w:szCs w:val="16"/>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6D52A9">
              <w:rPr>
                <w:rFonts w:ascii="Arial" w:hAnsi="Arial" w:cs="Arial"/>
                <w:sz w:val="16"/>
                <w:szCs w:val="16"/>
              </w:rPr>
              <w:br/>
              <w:t>At the time of the authority application, medical practitioners should request the appropriate number of repeats to provide for a continuing course of this drug sufficient for up to 24 weeks of therapy.</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Severe Eosinophilic Asthma Continuing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w:t>
            </w:r>
            <w:r w:rsidRPr="006D52A9">
              <w:rPr>
                <w:rFonts w:ascii="Arial" w:hAnsi="Arial" w:cs="Arial"/>
                <w:sz w:val="16"/>
                <w:szCs w:val="16"/>
              </w:rPr>
              <w:br/>
              <w:t>(i) details of maintenance oral corticosteroid dose; or</w:t>
            </w:r>
            <w:r w:rsidRPr="006D52A9">
              <w:rPr>
                <w:rFonts w:ascii="Arial" w:hAnsi="Arial" w:cs="Arial"/>
                <w:sz w:val="16"/>
                <w:szCs w:val="16"/>
              </w:rPr>
              <w:br/>
              <w:t>(ii) a completed Asthma Control Questionnaire (ACQ</w:t>
            </w:r>
            <w:r w:rsidR="0026100E">
              <w:rPr>
                <w:rFonts w:ascii="Arial" w:hAnsi="Arial" w:cs="Arial"/>
                <w:sz w:val="16"/>
                <w:szCs w:val="16"/>
              </w:rPr>
              <w:noBreakHyphen/>
            </w:r>
            <w:r w:rsidRPr="006D52A9">
              <w:rPr>
                <w:rFonts w:ascii="Arial" w:hAnsi="Arial" w:cs="Arial"/>
                <w:sz w:val="16"/>
                <w:szCs w:val="16"/>
              </w:rPr>
              <w:t>5) score.</w:t>
            </w:r>
          </w:p>
        </w:tc>
        <w:tc>
          <w:tcPr>
            <w:tcW w:w="929" w:type="pct"/>
            <w:tcBorders>
              <w:bottom w:val="single" w:sz="4" w:space="0" w:color="auto"/>
            </w:tcBorders>
            <w:tcMar>
              <w:top w:w="28" w:type="dxa"/>
              <w:left w:w="28" w:type="dxa"/>
              <w:right w:w="57" w:type="dxa"/>
            </w:tcMar>
          </w:tcPr>
          <w:p w14:paraId="613BABB3"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9152C2" w14:paraId="566C8F9C" w14:textId="77777777" w:rsidTr="00FB6D2D">
        <w:tc>
          <w:tcPr>
            <w:tcW w:w="647" w:type="pct"/>
            <w:tcBorders>
              <w:bottom w:val="single" w:sz="4" w:space="0" w:color="auto"/>
            </w:tcBorders>
            <w:tcMar>
              <w:top w:w="28" w:type="dxa"/>
              <w:left w:w="28" w:type="dxa"/>
            </w:tcMar>
          </w:tcPr>
          <w:p w14:paraId="561DF67C"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685CB2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C10314</w:t>
            </w:r>
          </w:p>
        </w:tc>
        <w:tc>
          <w:tcPr>
            <w:tcW w:w="274" w:type="pct"/>
            <w:tcBorders>
              <w:bottom w:val="single" w:sz="4" w:space="0" w:color="auto"/>
            </w:tcBorders>
            <w:tcMar>
              <w:top w:w="28" w:type="dxa"/>
              <w:left w:w="28" w:type="dxa"/>
            </w:tcMar>
          </w:tcPr>
          <w:p w14:paraId="65CFD51C"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712F7E9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Uncontrolled severe eosinophilic asthma</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1 (New patients; or Recommencement of treatment in a new treatment cycle following a break in PBS subsidised biological medicine therapy)</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be under the care of the same physician for at least 6 months; OR</w:t>
            </w:r>
            <w:r w:rsidRPr="006D52A9">
              <w:rPr>
                <w:rFonts w:ascii="Arial" w:hAnsi="Arial" w:cs="Arial"/>
                <w:sz w:val="16"/>
                <w:szCs w:val="16"/>
              </w:rPr>
              <w:br/>
              <w:t>Patient must have been diagnosed by a multidisciplinary severe asthma clinic team; AND</w:t>
            </w:r>
            <w:r w:rsidRPr="006D52A9">
              <w:rPr>
                <w:rFonts w:ascii="Arial" w:hAnsi="Arial" w:cs="Arial"/>
                <w:sz w:val="16"/>
                <w:szCs w:val="16"/>
              </w:rPr>
              <w:br/>
              <w:t>Patient must not have received PBS</w:t>
            </w:r>
            <w:r w:rsidR="0026100E">
              <w:rPr>
                <w:rFonts w:ascii="Arial" w:hAnsi="Arial" w:cs="Arial"/>
                <w:sz w:val="16"/>
                <w:szCs w:val="16"/>
              </w:rPr>
              <w:noBreakHyphen/>
            </w:r>
            <w:r w:rsidRPr="006D52A9">
              <w:rPr>
                <w:rFonts w:ascii="Arial" w:hAnsi="Arial" w:cs="Arial"/>
                <w:sz w:val="16"/>
                <w:szCs w:val="16"/>
              </w:rPr>
              <w:t>subsidised treatment with a biological medicine for severe asthma; OR</w:t>
            </w:r>
            <w:r w:rsidRPr="006D52A9">
              <w:rPr>
                <w:rFonts w:ascii="Arial" w:hAnsi="Arial" w:cs="Arial"/>
                <w:sz w:val="16"/>
                <w:szCs w:val="16"/>
              </w:rPr>
              <w:br/>
              <w:t>Patient must have had a break in treatment from the most recently approved PBS</w:t>
            </w:r>
            <w:r w:rsidR="0026100E">
              <w:rPr>
                <w:rFonts w:ascii="Arial" w:hAnsi="Arial" w:cs="Arial"/>
                <w:sz w:val="16"/>
                <w:szCs w:val="16"/>
              </w:rPr>
              <w:noBreakHyphen/>
            </w:r>
            <w:r w:rsidRPr="006D52A9">
              <w:rPr>
                <w:rFonts w:ascii="Arial" w:hAnsi="Arial" w:cs="Arial"/>
                <w:sz w:val="16"/>
                <w:szCs w:val="16"/>
              </w:rPr>
              <w:t>subsidised biological medicine for severe asthma; AND</w:t>
            </w:r>
            <w:r w:rsidRPr="006D52A9">
              <w:rPr>
                <w:rFonts w:ascii="Arial" w:hAnsi="Arial" w:cs="Arial"/>
                <w:sz w:val="16"/>
                <w:szCs w:val="16"/>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D52A9">
              <w:rPr>
                <w:rFonts w:ascii="Arial" w:hAnsi="Arial" w:cs="Arial"/>
                <w:sz w:val="16"/>
                <w:szCs w:val="16"/>
              </w:rPr>
              <w:br/>
              <w:t>Patient must have a diagnosis of asthma from at least two physicians experienced in the management of patients with severe asthma; AND</w:t>
            </w:r>
            <w:r w:rsidRPr="006D52A9">
              <w:rPr>
                <w:rFonts w:ascii="Arial" w:hAnsi="Arial" w:cs="Arial"/>
                <w:sz w:val="16"/>
                <w:szCs w:val="16"/>
              </w:rPr>
              <w:br/>
              <w:t>Patient must have a duration of asthma of at least 1 year; AND</w:t>
            </w:r>
            <w:r w:rsidRPr="006D52A9">
              <w:rPr>
                <w:rFonts w:ascii="Arial" w:hAnsi="Arial" w:cs="Arial"/>
                <w:sz w:val="16"/>
                <w:szCs w:val="16"/>
              </w:rPr>
              <w:br/>
              <w:t>Patient must have blood eosinophil count greater than or equal to 300 cells per microlitre in the last 12 months; OR</w:t>
            </w:r>
            <w:r w:rsidRPr="006D52A9">
              <w:rPr>
                <w:rFonts w:ascii="Arial" w:hAnsi="Arial" w:cs="Arial"/>
                <w:sz w:val="16"/>
                <w:szCs w:val="16"/>
              </w:rPr>
              <w:br/>
              <w:t>Patient must have blood eosinophil count greater than or equal to 150 cells per microlitre while receiving treatment with oral corticosteroids in the last 12 months; AND</w:t>
            </w:r>
            <w:r w:rsidRPr="006D52A9">
              <w:rPr>
                <w:rFonts w:ascii="Arial" w:hAnsi="Arial" w:cs="Arial"/>
                <w:sz w:val="16"/>
                <w:szCs w:val="16"/>
              </w:rPr>
              <w:br/>
              <w:t>Patient must have failed to achieve adequate control with optimised asthma therapy, despite formal assessment of and adherence to correct inhaler technique, which has been documented; AND</w:t>
            </w:r>
            <w:r w:rsidRPr="006D52A9">
              <w:rPr>
                <w:rFonts w:ascii="Arial" w:hAnsi="Arial" w:cs="Arial"/>
                <w:sz w:val="16"/>
                <w:szCs w:val="16"/>
              </w:rPr>
              <w:br/>
            </w:r>
            <w:r w:rsidRPr="006D52A9">
              <w:rPr>
                <w:rFonts w:ascii="Arial" w:hAnsi="Arial" w:cs="Arial"/>
                <w:sz w:val="16"/>
                <w:szCs w:val="16"/>
              </w:rPr>
              <w:lastRenderedPageBreak/>
              <w:t>Patient must not receive more than 32 weeks of treatment under this restriction; AND</w:t>
            </w:r>
            <w:r w:rsidRPr="006D52A9">
              <w:rPr>
                <w:rFonts w:ascii="Arial" w:hAnsi="Arial" w:cs="Arial"/>
                <w:sz w:val="16"/>
                <w:szCs w:val="16"/>
              </w:rPr>
              <w:br/>
              <w:t>The treatment must not be used in combination with and within 4 weeks of another PBS</w:t>
            </w:r>
            <w:r w:rsidR="0026100E">
              <w:rPr>
                <w:rFonts w:ascii="Arial" w:hAnsi="Arial" w:cs="Arial"/>
                <w:sz w:val="16"/>
                <w:szCs w:val="16"/>
              </w:rPr>
              <w:noBreakHyphen/>
            </w:r>
            <w:r w:rsidRPr="006D52A9">
              <w:rPr>
                <w:rFonts w:ascii="Arial" w:hAnsi="Arial" w:cs="Arial"/>
                <w:sz w:val="16"/>
                <w:szCs w:val="16"/>
              </w:rPr>
              <w:t>subsidised biological medicine prescribed for severe asthma.</w:t>
            </w:r>
            <w:r w:rsidRPr="006D52A9">
              <w:rPr>
                <w:rFonts w:ascii="Arial" w:hAnsi="Arial" w:cs="Arial"/>
                <w:sz w:val="16"/>
                <w:szCs w:val="16"/>
              </w:rPr>
              <w:br/>
              <w:t>Patient must be aged 12 years or older.</w:t>
            </w:r>
            <w:r w:rsidRPr="006D52A9">
              <w:rPr>
                <w:rFonts w:ascii="Arial" w:hAnsi="Arial" w:cs="Arial"/>
                <w:sz w:val="16"/>
                <w:szCs w:val="16"/>
              </w:rPr>
              <w:br/>
              <w:t>Optimised asthma therapy includes:</w:t>
            </w:r>
            <w:r w:rsidRPr="006D52A9">
              <w:rPr>
                <w:rFonts w:ascii="Arial" w:hAnsi="Arial" w:cs="Arial"/>
                <w:sz w:val="16"/>
                <w:szCs w:val="16"/>
              </w:rPr>
              <w:br/>
              <w:t>(i) Adherence to maximal inhaled therapy, including high dose inhaled corticosteroid (ICS) plus long</w:t>
            </w:r>
            <w:r w:rsidR="0026100E">
              <w:rPr>
                <w:rFonts w:ascii="Arial" w:hAnsi="Arial" w:cs="Arial"/>
                <w:sz w:val="16"/>
                <w:szCs w:val="16"/>
              </w:rPr>
              <w:noBreakHyphen/>
            </w:r>
            <w:r w:rsidRPr="006D52A9">
              <w:rPr>
                <w:rFonts w:ascii="Arial" w:hAnsi="Arial" w:cs="Arial"/>
                <w:sz w:val="16"/>
                <w:szCs w:val="16"/>
              </w:rPr>
              <w:t>acting beta</w:t>
            </w:r>
            <w:r w:rsidR="0026100E">
              <w:rPr>
                <w:rFonts w:ascii="Arial" w:hAnsi="Arial" w:cs="Arial"/>
                <w:sz w:val="16"/>
                <w:szCs w:val="16"/>
              </w:rPr>
              <w:noBreakHyphen/>
            </w:r>
            <w:r w:rsidRPr="006D52A9">
              <w:rPr>
                <w:rFonts w:ascii="Arial" w:hAnsi="Arial" w:cs="Arial"/>
                <w:sz w:val="16"/>
                <w:szCs w:val="16"/>
              </w:rPr>
              <w:t>2 agonist (LABA) therapy for at least 12 months, unless contraindicated or not tolerated;</w:t>
            </w:r>
            <w:r w:rsidRPr="006D52A9">
              <w:rPr>
                <w:rFonts w:ascii="Arial" w:hAnsi="Arial" w:cs="Arial"/>
                <w:sz w:val="16"/>
                <w:szCs w:val="16"/>
              </w:rPr>
              <w:br/>
              <w:t>AND</w:t>
            </w:r>
            <w:r w:rsidRPr="006D52A9">
              <w:rPr>
                <w:rFonts w:ascii="Arial" w:hAnsi="Arial" w:cs="Arial"/>
                <w:sz w:val="16"/>
                <w:szCs w:val="16"/>
              </w:rPr>
              <w:br/>
              <w:t>(ii) treatment with oral corticosteroids, either daily oral corticosteroids for at least 6 weeks, OR a cumulative dose of oral corticosteroids of at least 500 mg prednisolone equivalent in the previous 12 months, unless contraindicated or not tolerated.</w:t>
            </w:r>
            <w:r w:rsidRPr="006D52A9">
              <w:rPr>
                <w:rFonts w:ascii="Arial" w:hAnsi="Arial" w:cs="Arial"/>
                <w:sz w:val="16"/>
                <w:szCs w:val="16"/>
              </w:rPr>
              <w:br/>
              <w:t>If the requirement for treatment with optimised asthma therapy cannot be met because of contraindications according to the relevant TGA</w:t>
            </w:r>
            <w:r w:rsidR="0026100E">
              <w:rPr>
                <w:rFonts w:ascii="Arial" w:hAnsi="Arial" w:cs="Arial"/>
                <w:sz w:val="16"/>
                <w:szCs w:val="16"/>
              </w:rPr>
              <w:noBreakHyphen/>
            </w:r>
            <w:r w:rsidRPr="006D52A9">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w:t>
            </w:r>
            <w:r w:rsidRPr="006D52A9">
              <w:rPr>
                <w:rFonts w:ascii="Arial" w:hAnsi="Arial" w:cs="Arial"/>
                <w:sz w:val="16"/>
                <w:szCs w:val="16"/>
              </w:rPr>
              <w:br/>
              <w:t>The following initiation criteria indicate failure to achieve adequate control and must be demonstrated in all patients at the time of the application:</w:t>
            </w:r>
            <w:r w:rsidRPr="006D52A9">
              <w:rPr>
                <w:rFonts w:ascii="Arial" w:hAnsi="Arial" w:cs="Arial"/>
                <w:sz w:val="16"/>
                <w:szCs w:val="16"/>
              </w:rPr>
              <w:br/>
              <w:t>(a) an Asthma Control Questionnaire (ACQ</w:t>
            </w:r>
            <w:r w:rsidR="0026100E">
              <w:rPr>
                <w:rFonts w:ascii="Arial" w:hAnsi="Arial" w:cs="Arial"/>
                <w:sz w:val="16"/>
                <w:szCs w:val="16"/>
              </w:rPr>
              <w:noBreakHyphen/>
            </w:r>
            <w:r w:rsidRPr="006D52A9">
              <w:rPr>
                <w:rFonts w:ascii="Arial" w:hAnsi="Arial" w:cs="Arial"/>
                <w:sz w:val="16"/>
                <w:szCs w:val="16"/>
              </w:rPr>
              <w:t>5) score of at least 2.0, as assessed in the previous month, AND</w:t>
            </w:r>
            <w:r w:rsidRPr="006D52A9">
              <w:rPr>
                <w:rFonts w:ascii="Arial" w:hAnsi="Arial" w:cs="Arial"/>
                <w:sz w:val="16"/>
                <w:szCs w:val="16"/>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hAnsi="Arial" w:cs="Arial"/>
                <w:sz w:val="16"/>
                <w:szCs w:val="16"/>
              </w:rPr>
              <w:br/>
              <w:t>The Asthma Control Questionnaire (5 item version) assessment of the patient’s response to this initial course of treatment, and the assessment of oral corticosteroid dose, should be made at around 28 weeks after the first PBS</w:t>
            </w:r>
            <w:r w:rsidR="0026100E">
              <w:rPr>
                <w:rFonts w:ascii="Arial" w:hAnsi="Arial" w:cs="Arial"/>
                <w:sz w:val="16"/>
                <w:szCs w:val="16"/>
              </w:rPr>
              <w:noBreakHyphen/>
            </w:r>
            <w:r w:rsidRPr="006D52A9">
              <w:rPr>
                <w:rFonts w:ascii="Arial" w:hAnsi="Arial" w:cs="Arial"/>
                <w:sz w:val="16"/>
                <w:szCs w:val="16"/>
              </w:rPr>
              <w:t>subsidised dose of this drug under this restriction so that there is adequate time for a response to be demonstrated and for the application for the first continuing therapy to be processed.</w:t>
            </w:r>
            <w:r w:rsidRPr="006D52A9">
              <w:rPr>
                <w:rFonts w:ascii="Arial" w:hAnsi="Arial" w:cs="Arial"/>
                <w:sz w:val="16"/>
                <w:szCs w:val="16"/>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the same treatment cycle.</w:t>
            </w:r>
            <w:r w:rsidRPr="006D52A9">
              <w:rPr>
                <w:rFonts w:ascii="Arial" w:hAnsi="Arial" w:cs="Arial"/>
                <w:sz w:val="16"/>
                <w:szCs w:val="16"/>
              </w:rPr>
              <w:br/>
              <w:t>A treatment break in PBS</w:t>
            </w:r>
            <w:r w:rsidR="0026100E">
              <w:rPr>
                <w:rFonts w:ascii="Arial" w:hAnsi="Arial" w:cs="Arial"/>
                <w:sz w:val="16"/>
                <w:szCs w:val="16"/>
              </w:rPr>
              <w:noBreakHyphen/>
            </w:r>
            <w:r w:rsidRPr="006D52A9">
              <w:rPr>
                <w:rFonts w:ascii="Arial" w:hAnsi="Arial" w:cs="Arial"/>
                <w:sz w:val="16"/>
                <w:szCs w:val="16"/>
              </w:rPr>
              <w:t>subsidised biological medicine therapy of at least 12 months must be observed in a patient who has either failed to achieve or sustain a response to treatment with 3 biological medicines within the same treatment cycle.</w:t>
            </w:r>
            <w:r w:rsidRPr="006D52A9">
              <w:rPr>
                <w:rFonts w:ascii="Arial" w:hAnsi="Arial" w:cs="Arial"/>
                <w:sz w:val="16"/>
                <w:szCs w:val="16"/>
              </w:rPr>
              <w:br/>
              <w:t>The length of the break in therapy is measured from the date the most recent treatment with a PBS</w:t>
            </w:r>
            <w:r w:rsidR="0026100E">
              <w:rPr>
                <w:rFonts w:ascii="Arial" w:hAnsi="Arial" w:cs="Arial"/>
                <w:sz w:val="16"/>
                <w:szCs w:val="16"/>
              </w:rPr>
              <w:noBreakHyphen/>
            </w:r>
            <w:r w:rsidRPr="006D52A9">
              <w:rPr>
                <w:rFonts w:ascii="Arial" w:hAnsi="Arial" w:cs="Arial"/>
                <w:sz w:val="16"/>
                <w:szCs w:val="16"/>
              </w:rPr>
              <w:t>subsidised biological medicine was administered until the date of the first application for recommencement of treatment with a biological medicine under the new treatment cycle.</w:t>
            </w:r>
            <w:r w:rsidRPr="006D52A9">
              <w:rPr>
                <w:rFonts w:ascii="Arial" w:hAnsi="Arial" w:cs="Arial"/>
                <w:sz w:val="16"/>
                <w:szCs w:val="16"/>
              </w:rPr>
              <w:br/>
              <w:t>There is no limit to the number of treatment cycles that a patient may undertake in their lifetime.</w:t>
            </w:r>
            <w:r w:rsidRPr="006D52A9">
              <w:rPr>
                <w:rFonts w:ascii="Arial" w:hAnsi="Arial" w:cs="Arial"/>
                <w:sz w:val="16"/>
                <w:szCs w:val="16"/>
              </w:rPr>
              <w:br/>
              <w:t>A multidisciplinary severe asthma clinic team comprises of:</w:t>
            </w:r>
            <w:r w:rsidRPr="006D52A9">
              <w:rPr>
                <w:rFonts w:ascii="Arial" w:hAnsi="Arial" w:cs="Arial"/>
                <w:sz w:val="16"/>
                <w:szCs w:val="16"/>
              </w:rPr>
              <w:br/>
            </w:r>
            <w:r w:rsidRPr="006D52A9">
              <w:rPr>
                <w:rFonts w:ascii="Arial" w:hAnsi="Arial" w:cs="Arial"/>
                <w:sz w:val="16"/>
                <w:szCs w:val="16"/>
              </w:rPr>
              <w:lastRenderedPageBreak/>
              <w:t>A respiratory physician; and</w:t>
            </w:r>
            <w:r w:rsidRPr="006D52A9">
              <w:rPr>
                <w:rFonts w:ascii="Arial" w:hAnsi="Arial" w:cs="Arial"/>
                <w:sz w:val="16"/>
                <w:szCs w:val="16"/>
              </w:rPr>
              <w:br/>
              <w:t>A pharmacist, nurse or asthma educator.</w:t>
            </w:r>
            <w:r w:rsidRPr="006D52A9">
              <w:rPr>
                <w:rFonts w:ascii="Arial" w:hAnsi="Arial" w:cs="Arial"/>
                <w:sz w:val="16"/>
                <w:szCs w:val="16"/>
              </w:rPr>
              <w:br/>
              <w:t>At the time of the authority application, medical practitioners should request up to 4 repeats to provide for an initial course of benralizumab sufficient for up to 32 weeks of therapy, at a dose of 30 mg every 4 weeks for the first three doses (weeks 0, 4, and 8) then 30 mg every eight weeks thereafter.</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Severe Eosinophilic Asthma Initial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details of prior optimised asthma drug therapy (date of commencement and duration of therapy); and</w:t>
            </w:r>
            <w:r w:rsidRPr="006D52A9">
              <w:rPr>
                <w:rFonts w:ascii="Arial" w:hAnsi="Arial" w:cs="Arial"/>
                <w:sz w:val="16"/>
                <w:szCs w:val="16"/>
              </w:rPr>
              <w:br/>
              <w:t>(ii) details of severe exacerbation/s experienced in the past 12 months while receiving optimised asthma therapy (date and treatment); and</w:t>
            </w:r>
            <w:r w:rsidRPr="006D52A9">
              <w:rPr>
                <w:rFonts w:ascii="Arial" w:hAnsi="Arial" w:cs="Arial"/>
                <w:sz w:val="16"/>
                <w:szCs w:val="16"/>
              </w:rPr>
              <w:br/>
              <w:t>(iii) the eosinophil count and date; and</w:t>
            </w:r>
            <w:r w:rsidRPr="006D52A9">
              <w:rPr>
                <w:rFonts w:ascii="Arial" w:hAnsi="Arial" w:cs="Arial"/>
                <w:sz w:val="16"/>
                <w:szCs w:val="16"/>
              </w:rPr>
              <w:br/>
              <w:t>(iv) Asthma Control Questionnaire (ACQ</w:t>
            </w:r>
            <w:r w:rsidR="0026100E">
              <w:rPr>
                <w:rFonts w:ascii="Arial" w:hAnsi="Arial" w:cs="Arial"/>
                <w:sz w:val="16"/>
                <w:szCs w:val="16"/>
              </w:rPr>
              <w:noBreakHyphen/>
            </w:r>
            <w:r w:rsidRPr="006D52A9">
              <w:rPr>
                <w:rFonts w:ascii="Arial" w:hAnsi="Arial" w:cs="Arial"/>
                <w:sz w:val="16"/>
                <w:szCs w:val="16"/>
              </w:rPr>
              <w:t>5) score.</w:t>
            </w:r>
          </w:p>
        </w:tc>
        <w:tc>
          <w:tcPr>
            <w:tcW w:w="929" w:type="pct"/>
            <w:tcBorders>
              <w:bottom w:val="single" w:sz="4" w:space="0" w:color="auto"/>
            </w:tcBorders>
            <w:tcMar>
              <w:top w:w="28" w:type="dxa"/>
              <w:left w:w="28" w:type="dxa"/>
              <w:right w:w="57" w:type="dxa"/>
            </w:tcMar>
          </w:tcPr>
          <w:p w14:paraId="46195F5F"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3C3F8DF5" w14:textId="77777777" w:rsidTr="00FB6D2D">
        <w:tc>
          <w:tcPr>
            <w:tcW w:w="647" w:type="pct"/>
            <w:vMerge w:val="restart"/>
            <w:tcMar>
              <w:top w:w="28" w:type="dxa"/>
              <w:left w:w="28" w:type="dxa"/>
            </w:tcMar>
          </w:tcPr>
          <w:p w14:paraId="1DCE342F"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lastRenderedPageBreak/>
              <w:t>Bictegravir with emtricitabine with tenofovir alafenamide</w:t>
            </w:r>
          </w:p>
        </w:tc>
        <w:tc>
          <w:tcPr>
            <w:tcW w:w="283" w:type="pct"/>
            <w:tcBorders>
              <w:bottom w:val="single" w:sz="4" w:space="0" w:color="auto"/>
            </w:tcBorders>
            <w:tcMar>
              <w:top w:w="28" w:type="dxa"/>
              <w:left w:w="28" w:type="dxa"/>
            </w:tcMar>
          </w:tcPr>
          <w:p w14:paraId="0AB4A0C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C4470</w:t>
            </w:r>
          </w:p>
        </w:tc>
        <w:tc>
          <w:tcPr>
            <w:tcW w:w="274" w:type="pct"/>
            <w:tcBorders>
              <w:bottom w:val="single" w:sz="4" w:space="0" w:color="auto"/>
            </w:tcBorders>
            <w:tcMar>
              <w:top w:w="28" w:type="dxa"/>
              <w:left w:w="28" w:type="dxa"/>
            </w:tcMar>
          </w:tcPr>
          <w:p w14:paraId="4E87CFFF"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4B43593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p>
        </w:tc>
        <w:tc>
          <w:tcPr>
            <w:tcW w:w="929" w:type="pct"/>
            <w:tcBorders>
              <w:bottom w:val="single" w:sz="4" w:space="0" w:color="auto"/>
            </w:tcBorders>
            <w:tcMar>
              <w:top w:w="28" w:type="dxa"/>
              <w:left w:w="28" w:type="dxa"/>
              <w:right w:w="57" w:type="dxa"/>
            </w:tcMar>
          </w:tcPr>
          <w:p w14:paraId="71C20B7C"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4470</w:t>
            </w:r>
          </w:p>
        </w:tc>
      </w:tr>
      <w:tr w:rsidR="008F47B8" w:rsidRPr="006D52A9" w14:paraId="27EC58D6" w14:textId="77777777" w:rsidTr="00FB6D2D">
        <w:tc>
          <w:tcPr>
            <w:tcW w:w="647" w:type="pct"/>
            <w:vMerge/>
            <w:tcBorders>
              <w:bottom w:val="single" w:sz="4" w:space="0" w:color="auto"/>
            </w:tcBorders>
            <w:tcMar>
              <w:top w:w="28" w:type="dxa"/>
              <w:left w:w="28" w:type="dxa"/>
            </w:tcMar>
          </w:tcPr>
          <w:p w14:paraId="6D35B7DC"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40DB542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C4522</w:t>
            </w:r>
          </w:p>
        </w:tc>
        <w:tc>
          <w:tcPr>
            <w:tcW w:w="274" w:type="pct"/>
            <w:tcBorders>
              <w:bottom w:val="single" w:sz="4" w:space="0" w:color="auto"/>
            </w:tcBorders>
            <w:tcMar>
              <w:top w:w="28" w:type="dxa"/>
              <w:left w:w="28" w:type="dxa"/>
            </w:tcMar>
          </w:tcPr>
          <w:p w14:paraId="393939DC"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36D7BE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r w:rsidRPr="006D52A9">
              <w:rPr>
                <w:rFonts w:ascii="Arial" w:hAnsi="Arial" w:cs="Arial"/>
                <w:sz w:val="16"/>
                <w:szCs w:val="16"/>
              </w:rPr>
              <w:br/>
              <w:t>Patient must be antiretroviral treatment naive.</w:t>
            </w:r>
          </w:p>
        </w:tc>
        <w:tc>
          <w:tcPr>
            <w:tcW w:w="929" w:type="pct"/>
            <w:tcBorders>
              <w:bottom w:val="single" w:sz="4" w:space="0" w:color="auto"/>
            </w:tcBorders>
            <w:tcMar>
              <w:top w:w="28" w:type="dxa"/>
              <w:left w:w="28" w:type="dxa"/>
              <w:right w:w="57" w:type="dxa"/>
            </w:tcMar>
          </w:tcPr>
          <w:p w14:paraId="7A36EB43"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4522</w:t>
            </w:r>
          </w:p>
        </w:tc>
      </w:tr>
      <w:tr w:rsidR="008F47B8" w:rsidRPr="006D52A9" w14:paraId="09CDE461" w14:textId="77777777" w:rsidTr="00FB6D2D">
        <w:tc>
          <w:tcPr>
            <w:tcW w:w="647" w:type="pct"/>
            <w:tcBorders>
              <w:bottom w:val="single" w:sz="4" w:space="0" w:color="auto"/>
            </w:tcBorders>
            <w:tcMar>
              <w:top w:w="28" w:type="dxa"/>
              <w:left w:w="28" w:type="dxa"/>
            </w:tcMar>
          </w:tcPr>
          <w:p w14:paraId="3118C802" w14:textId="77777777" w:rsidR="008F47B8" w:rsidRPr="006D52A9" w:rsidDel="002167A7" w:rsidRDefault="008F47B8" w:rsidP="00FB6D2D">
            <w:pPr>
              <w:spacing w:line="240" w:lineRule="auto"/>
              <w:rPr>
                <w:rFonts w:ascii="Arial" w:hAnsi="Arial" w:cs="Arial"/>
                <w:sz w:val="16"/>
                <w:szCs w:val="16"/>
              </w:rPr>
            </w:pPr>
            <w:r w:rsidRPr="006D52A9">
              <w:rPr>
                <w:rFonts w:ascii="Arial" w:hAnsi="Arial" w:cs="Arial"/>
                <w:sz w:val="16"/>
                <w:szCs w:val="16"/>
              </w:rPr>
              <w:t>Bosentan</w:t>
            </w:r>
          </w:p>
        </w:tc>
        <w:tc>
          <w:tcPr>
            <w:tcW w:w="283" w:type="pct"/>
            <w:tcBorders>
              <w:bottom w:val="single" w:sz="4" w:space="0" w:color="auto"/>
            </w:tcBorders>
            <w:tcMar>
              <w:top w:w="28" w:type="dxa"/>
              <w:left w:w="28" w:type="dxa"/>
            </w:tcMar>
          </w:tcPr>
          <w:p w14:paraId="1EBDCC6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C10228</w:t>
            </w:r>
          </w:p>
        </w:tc>
        <w:tc>
          <w:tcPr>
            <w:tcW w:w="274" w:type="pct"/>
            <w:tcBorders>
              <w:bottom w:val="single" w:sz="4" w:space="0" w:color="auto"/>
            </w:tcBorders>
            <w:tcMar>
              <w:top w:w="28" w:type="dxa"/>
              <w:left w:w="28" w:type="dxa"/>
            </w:tcMar>
          </w:tcPr>
          <w:p w14:paraId="72570618"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F91CAE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w:t>
            </w:r>
            <w:r w:rsidRPr="006D52A9">
              <w:rPr>
                <w:rFonts w:ascii="Arial" w:hAnsi="Arial" w:cs="Arial"/>
                <w:sz w:val="16"/>
                <w:szCs w:val="16"/>
              </w:rPr>
              <w:br/>
              <w:t>Patient must have received their most recent course of PBS</w:t>
            </w:r>
            <w:r w:rsidR="0026100E">
              <w:rPr>
                <w:rFonts w:ascii="Arial" w:hAnsi="Arial" w:cs="Arial"/>
                <w:sz w:val="16"/>
                <w:szCs w:val="16"/>
              </w:rPr>
              <w:noBreakHyphen/>
            </w:r>
            <w:r w:rsidRPr="006D52A9">
              <w:rPr>
                <w:rFonts w:ascii="Arial" w:hAnsi="Arial" w:cs="Arial"/>
                <w:sz w:val="16"/>
                <w:szCs w:val="16"/>
              </w:rPr>
              <w:t>subsidised treatment with this PAH agent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tcMar>
              <w:top w:w="28" w:type="dxa"/>
              <w:left w:w="28" w:type="dxa"/>
              <w:right w:w="57" w:type="dxa"/>
            </w:tcMar>
          </w:tcPr>
          <w:p w14:paraId="6721768D"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7FDD51DE" w14:textId="77777777" w:rsidTr="00FB6D2D">
        <w:tc>
          <w:tcPr>
            <w:tcW w:w="647" w:type="pct"/>
            <w:tcBorders>
              <w:bottom w:val="single" w:sz="4" w:space="0" w:color="auto"/>
            </w:tcBorders>
            <w:tcMar>
              <w:top w:w="28" w:type="dxa"/>
              <w:left w:w="28" w:type="dxa"/>
            </w:tcMar>
          </w:tcPr>
          <w:p w14:paraId="3ABF18F5" w14:textId="77777777" w:rsidR="008F47B8" w:rsidRPr="006D52A9" w:rsidDel="002167A7"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02D3FE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C10238</w:t>
            </w:r>
          </w:p>
        </w:tc>
        <w:tc>
          <w:tcPr>
            <w:tcW w:w="274" w:type="pct"/>
            <w:tcBorders>
              <w:bottom w:val="single" w:sz="4" w:space="0" w:color="auto"/>
            </w:tcBorders>
            <w:tcMar>
              <w:top w:w="28" w:type="dxa"/>
              <w:left w:w="28" w:type="dxa"/>
            </w:tcMar>
          </w:tcPr>
          <w:p w14:paraId="72FA4787"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696FD7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Cessation of treatment (all patients)</w:t>
            </w:r>
            <w:r w:rsidRPr="006D52A9">
              <w:rPr>
                <w:rFonts w:ascii="Arial" w:hAnsi="Arial" w:cs="Arial"/>
                <w:sz w:val="16"/>
                <w:szCs w:val="16"/>
              </w:rPr>
              <w:br/>
              <w:t>Patient must be receiving PBS</w:t>
            </w:r>
            <w:r w:rsidR="0026100E">
              <w:rPr>
                <w:rFonts w:ascii="Arial" w:hAnsi="Arial" w:cs="Arial"/>
                <w:sz w:val="16"/>
                <w:szCs w:val="16"/>
              </w:rPr>
              <w:noBreakHyphen/>
            </w:r>
            <w:r w:rsidRPr="006D52A9">
              <w:rPr>
                <w:rFonts w:ascii="Arial" w:hAnsi="Arial" w:cs="Arial"/>
                <w:sz w:val="16"/>
                <w:szCs w:val="16"/>
              </w:rPr>
              <w:t>subsidised treatment with this PAH agent; AND</w:t>
            </w:r>
            <w:r w:rsidRPr="006D52A9">
              <w:rPr>
                <w:rFonts w:ascii="Arial" w:hAnsi="Arial" w:cs="Arial"/>
                <w:sz w:val="16"/>
                <w:szCs w:val="16"/>
              </w:rPr>
              <w:br/>
              <w:t>The treatment must be for the purpose of gradual dose reduction prior to ceasing therapy.</w:t>
            </w:r>
            <w:r w:rsidRPr="006D52A9">
              <w:rPr>
                <w:rFonts w:ascii="Arial" w:hAnsi="Arial" w:cs="Arial"/>
                <w:sz w:val="16"/>
                <w:szCs w:val="16"/>
              </w:rPr>
              <w:br/>
              <w:t xml:space="preserve">The maximum quantity authorised will be limited to provide sufficient supply for 1 month of treatment. </w:t>
            </w:r>
            <w:r w:rsidRPr="006D52A9">
              <w:rPr>
                <w:rFonts w:ascii="Arial" w:hAnsi="Arial" w:cs="Arial"/>
                <w:sz w:val="16"/>
                <w:szCs w:val="16"/>
              </w:rPr>
              <w:lastRenderedPageBreak/>
              <w:t>Treatment beyond 1 month will not be approved.</w:t>
            </w:r>
          </w:p>
        </w:tc>
        <w:tc>
          <w:tcPr>
            <w:tcW w:w="929" w:type="pct"/>
            <w:tcBorders>
              <w:bottom w:val="single" w:sz="4" w:space="0" w:color="auto"/>
            </w:tcBorders>
            <w:tcMar>
              <w:top w:w="28" w:type="dxa"/>
              <w:left w:w="28" w:type="dxa"/>
              <w:right w:w="57" w:type="dxa"/>
            </w:tcMar>
          </w:tcPr>
          <w:p w14:paraId="69871FD6"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14:paraId="477D04EA" w14:textId="77777777" w:rsidTr="00FB6D2D">
        <w:tc>
          <w:tcPr>
            <w:tcW w:w="647" w:type="pct"/>
            <w:tcMar>
              <w:top w:w="28" w:type="dxa"/>
              <w:left w:w="28" w:type="dxa"/>
            </w:tcMar>
          </w:tcPr>
          <w:p w14:paraId="689ABEE3"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1399F371"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C10924</w:t>
            </w:r>
          </w:p>
        </w:tc>
        <w:tc>
          <w:tcPr>
            <w:tcW w:w="274" w:type="pct"/>
            <w:tcMar>
              <w:top w:w="28" w:type="dxa"/>
              <w:left w:w="28" w:type="dxa"/>
            </w:tcMar>
          </w:tcPr>
          <w:p w14:paraId="141CFBE3"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36F7F208"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(change)</w:t>
            </w:r>
            <w:r w:rsidRPr="006D52A9">
              <w:rPr>
                <w:rFonts w:ascii="Arial" w:hAnsi="Arial" w:cs="Arial"/>
                <w:sz w:val="16"/>
                <w:szCs w:val="16"/>
              </w:rPr>
              <w:br/>
              <w:t>Patient must have documented WHO Functional Class II PAH, or WHO Functional Class III PAH, or WHO Functional Class IV PAH; AND</w:t>
            </w:r>
            <w:r w:rsidRPr="006D52A9">
              <w:rPr>
                <w:rFonts w:ascii="Arial" w:hAnsi="Arial" w:cs="Arial"/>
                <w:sz w:val="16"/>
                <w:szCs w:val="16"/>
              </w:rPr>
              <w:br/>
              <w:t>Patient must have had their most recent course of PBS</w:t>
            </w:r>
            <w:r w:rsidR="0026100E">
              <w:rPr>
                <w:rFonts w:ascii="Arial" w:hAnsi="Arial" w:cs="Arial"/>
                <w:sz w:val="16"/>
                <w:szCs w:val="16"/>
              </w:rPr>
              <w:noBreakHyphen/>
            </w:r>
            <w:r w:rsidRPr="006D52A9">
              <w:rPr>
                <w:rFonts w:ascii="Arial" w:hAnsi="Arial" w:cs="Arial"/>
                <w:sz w:val="16"/>
                <w:szCs w:val="16"/>
              </w:rPr>
              <w:t>subsidised treatment for this condition with a PAH agent other than this agent;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hAnsi="Arial" w:cs="Arial"/>
                <w:sz w:val="16"/>
                <w:szCs w:val="16"/>
              </w:rPr>
              <w:noBreakHyphen/>
            </w:r>
            <w:r w:rsidRPr="006D52A9">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hAnsi="Arial" w:cs="Arial"/>
                <w:sz w:val="16"/>
                <w:szCs w:val="16"/>
              </w:rPr>
              <w:br/>
              <w:t>Applications to swap between the 8 PAH agents must be made under the relevant initial treatment (monotherapy) restriction.</w:t>
            </w:r>
            <w:r w:rsidRPr="006D52A9">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 and no repeats.</w:t>
            </w:r>
            <w:r w:rsidRPr="006D52A9">
              <w:rPr>
                <w:rFonts w:ascii="Arial" w:hAnsi="Arial" w:cs="Arial"/>
                <w:sz w:val="16"/>
                <w:szCs w:val="16"/>
              </w:rPr>
              <w:br/>
              <w:t>Prescribers should request the second authority prescription of therapy with the 125 mg tablet strengths, with a quantity for one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 and a maximum of 4 repeats.</w:t>
            </w:r>
            <w:r w:rsidRPr="006D52A9">
              <w:rPr>
                <w:rFonts w:ascii="Arial" w:hAnsi="Arial" w:cs="Arial"/>
                <w:sz w:val="16"/>
                <w:szCs w:val="16"/>
              </w:rPr>
              <w:b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p>
        </w:tc>
        <w:tc>
          <w:tcPr>
            <w:tcW w:w="929" w:type="pct"/>
            <w:tcMar>
              <w:top w:w="28" w:type="dxa"/>
              <w:left w:w="28" w:type="dxa"/>
              <w:right w:w="57" w:type="dxa"/>
            </w:tcMar>
          </w:tcPr>
          <w:p w14:paraId="610CEA15"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3CBEAC5E" w14:textId="77777777" w:rsidTr="00FB6D2D">
        <w:tc>
          <w:tcPr>
            <w:tcW w:w="647" w:type="pct"/>
            <w:tcMar>
              <w:top w:w="28" w:type="dxa"/>
              <w:left w:w="28" w:type="dxa"/>
            </w:tcMar>
          </w:tcPr>
          <w:p w14:paraId="22326452"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023F5311"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C10945</w:t>
            </w:r>
          </w:p>
        </w:tc>
        <w:tc>
          <w:tcPr>
            <w:tcW w:w="274" w:type="pct"/>
            <w:tcMar>
              <w:top w:w="28" w:type="dxa"/>
              <w:left w:w="28" w:type="dxa"/>
            </w:tcMar>
          </w:tcPr>
          <w:p w14:paraId="52626C45"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24E07CA5"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(new patients)</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been assessed by a physician with expertise in the management of PAH; AND</w:t>
            </w:r>
            <w:r w:rsidRPr="006D52A9">
              <w:rPr>
                <w:rFonts w:ascii="Arial" w:hAnsi="Arial" w:cs="Arial"/>
                <w:sz w:val="16"/>
                <w:szCs w:val="16"/>
              </w:rPr>
              <w:br/>
              <w:t>Patient must have WHO Functional Class II PAH, or WHO Functional Class III PAH, or WHO Functional Class IV PAH;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 xml:space="preserve">The term 'PAH agents' refers to bosentan monohydrate, iloprost trometamol, epoprostenol sodium, </w:t>
            </w:r>
            <w:r w:rsidRPr="006D52A9">
              <w:rPr>
                <w:rFonts w:ascii="Arial" w:hAnsi="Arial" w:cs="Arial"/>
                <w:sz w:val="16"/>
                <w:szCs w:val="16"/>
              </w:rPr>
              <w:lastRenderedPageBreak/>
              <w:t>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two completed authority prescription forms;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If patients will be taking 62.5mg for the first month then 125 mg, prescribers should request the first authority prescription of therapy with the 62.5 mg tablet strength, with the quantity for one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 and no repeats.</w:t>
            </w:r>
            <w:r w:rsidRPr="006D52A9">
              <w:rPr>
                <w:rFonts w:ascii="Arial" w:hAnsi="Arial" w:cs="Arial"/>
                <w:sz w:val="16"/>
                <w:szCs w:val="16"/>
              </w:rPr>
              <w:br/>
              <w:t>Prescribers should request the second authority prescription of therapy with the 125 mg tablet strengths, with a quantity for one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 and a maximum of 4 repeats.</w:t>
            </w:r>
            <w:r w:rsidRPr="006D52A9">
              <w:rPr>
                <w:rFonts w:ascii="Arial" w:hAnsi="Arial" w:cs="Arial"/>
                <w:sz w:val="16"/>
                <w:szCs w:val="16"/>
              </w:rPr>
              <w:br/>
              <w:t xml:space="preserve">If patients will be taking 62.5mg for longer than 1 month, prescribers should request the first authority prescription of therapy with the 62.5 mg tablet strength, with the quantity for one month of treatment and </w:t>
            </w:r>
            <w:r w:rsidRPr="006D52A9">
              <w:rPr>
                <w:rFonts w:ascii="Arial" w:hAnsi="Arial" w:cs="Arial"/>
                <w:sz w:val="16"/>
                <w:szCs w:val="16"/>
              </w:rPr>
              <w:lastRenderedPageBreak/>
              <w:t>a maximum of 5 repeats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p>
        </w:tc>
        <w:tc>
          <w:tcPr>
            <w:tcW w:w="929" w:type="pct"/>
            <w:tcMar>
              <w:top w:w="28" w:type="dxa"/>
              <w:left w:w="28" w:type="dxa"/>
              <w:right w:w="57" w:type="dxa"/>
            </w:tcMar>
          </w:tcPr>
          <w:p w14:paraId="531A8DC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A93A5F" w14:paraId="6FBBE344" w14:textId="77777777" w:rsidTr="00FB6D2D">
        <w:tc>
          <w:tcPr>
            <w:tcW w:w="647" w:type="pct"/>
            <w:tcMar>
              <w:top w:w="28" w:type="dxa"/>
              <w:left w:w="28" w:type="dxa"/>
            </w:tcMar>
          </w:tcPr>
          <w:p w14:paraId="79E76325" w14:textId="77777777" w:rsidR="008F47B8" w:rsidRPr="006D52A9" w:rsidDel="00A93A5F" w:rsidRDefault="008F47B8" w:rsidP="00FB6D2D">
            <w:pPr>
              <w:spacing w:after="60" w:line="240" w:lineRule="auto"/>
              <w:rPr>
                <w:rFonts w:ascii="Arial" w:hAnsi="Arial" w:cs="Arial"/>
                <w:sz w:val="16"/>
                <w:szCs w:val="16"/>
              </w:rPr>
            </w:pPr>
          </w:p>
        </w:tc>
        <w:tc>
          <w:tcPr>
            <w:tcW w:w="283" w:type="pct"/>
            <w:tcMar>
              <w:top w:w="28" w:type="dxa"/>
              <w:left w:w="28" w:type="dxa"/>
            </w:tcMar>
          </w:tcPr>
          <w:p w14:paraId="3CD369D8" w14:textId="77777777" w:rsidR="008F47B8" w:rsidRPr="006D52A9" w:rsidDel="00A93A5F" w:rsidRDefault="008F47B8" w:rsidP="00FB6D2D">
            <w:pPr>
              <w:spacing w:after="60" w:line="240" w:lineRule="auto"/>
              <w:rPr>
                <w:rFonts w:ascii="Arial" w:hAnsi="Arial" w:cs="Arial"/>
                <w:sz w:val="16"/>
                <w:szCs w:val="16"/>
              </w:rPr>
            </w:pPr>
            <w:r w:rsidRPr="006D52A9">
              <w:rPr>
                <w:rFonts w:ascii="Arial" w:hAnsi="Arial" w:cs="Arial"/>
                <w:sz w:val="16"/>
                <w:szCs w:val="16"/>
              </w:rPr>
              <w:t>C11229</w:t>
            </w:r>
          </w:p>
        </w:tc>
        <w:tc>
          <w:tcPr>
            <w:tcW w:w="274" w:type="pct"/>
            <w:tcMar>
              <w:top w:w="28" w:type="dxa"/>
              <w:left w:w="28" w:type="dxa"/>
            </w:tcMar>
          </w:tcPr>
          <w:p w14:paraId="1590506C" w14:textId="77777777" w:rsidR="008F47B8" w:rsidRPr="006D52A9" w:rsidDel="00A93A5F" w:rsidRDefault="008F47B8" w:rsidP="00FB6D2D">
            <w:pPr>
              <w:spacing w:after="60" w:line="240" w:lineRule="auto"/>
              <w:rPr>
                <w:rFonts w:ascii="Arial" w:hAnsi="Arial" w:cs="Arial"/>
                <w:sz w:val="16"/>
                <w:szCs w:val="16"/>
              </w:rPr>
            </w:pPr>
          </w:p>
        </w:tc>
        <w:tc>
          <w:tcPr>
            <w:tcW w:w="2867" w:type="pct"/>
            <w:tcMar>
              <w:top w:w="28" w:type="dxa"/>
              <w:left w:w="28" w:type="dxa"/>
            </w:tcMar>
          </w:tcPr>
          <w:p w14:paraId="5C6A079D" w14:textId="77777777" w:rsidR="008F47B8" w:rsidRPr="006D52A9" w:rsidDel="00A93A5F"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Triple therapy </w:t>
            </w:r>
            <w:r w:rsidR="0026100E">
              <w:rPr>
                <w:rFonts w:ascii="Arial" w:hAnsi="Arial" w:cs="Arial"/>
                <w:sz w:val="16"/>
                <w:szCs w:val="16"/>
              </w:rPr>
              <w:noBreakHyphen/>
            </w:r>
            <w:r w:rsidRPr="006D52A9">
              <w:rPr>
                <w:rFonts w:ascii="Arial" w:hAnsi="Arial" w:cs="Arial"/>
                <w:sz w:val="16"/>
                <w:szCs w:val="16"/>
              </w:rPr>
              <w:t xml:space="preserve"> Initial treatment or continuing treatment of triple combination therapy (including dual therapy in lieu of triple therapy) that includes selexipag</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PBS</w:t>
            </w:r>
            <w:r w:rsidR="0026100E">
              <w:rPr>
                <w:rFonts w:ascii="Arial" w:hAnsi="Arial" w:cs="Arial"/>
                <w:sz w:val="16"/>
                <w:szCs w:val="16"/>
              </w:rPr>
              <w:noBreakHyphen/>
            </w:r>
            <w:r w:rsidRPr="006D52A9">
              <w:rPr>
                <w:rFonts w:ascii="Arial" w:hAnsi="Arial" w:cs="Arial"/>
                <w:sz w:val="16"/>
                <w:szCs w:val="16"/>
              </w:rPr>
              <w:t>subsidised selexipag (referred to as 'triple therapy'); OR</w:t>
            </w:r>
            <w:r w:rsidRPr="006D52A9">
              <w:rPr>
                <w:rFonts w:ascii="Arial" w:hAnsi="Arial" w:cs="Arial"/>
                <w:sz w:val="16"/>
                <w:szCs w:val="16"/>
              </w:rPr>
              <w:br/>
              <w:t>The treatment must form part of dual combination therapy consisting of either: (i) PBS</w:t>
            </w:r>
            <w:r w:rsidR="0026100E">
              <w:rPr>
                <w:rFonts w:ascii="Arial" w:hAnsi="Arial" w:cs="Arial"/>
                <w:sz w:val="16"/>
                <w:szCs w:val="16"/>
              </w:rPr>
              <w:noBreakHyphen/>
            </w:r>
            <w:r w:rsidRPr="006D52A9">
              <w:rPr>
                <w:rFonts w:ascii="Arial" w:hAnsi="Arial" w:cs="Arial"/>
                <w:sz w:val="16"/>
                <w:szCs w:val="16"/>
              </w:rPr>
              <w:t>subsidised selexipag with one endothelin receptor antagonist, (ii) PBS</w:t>
            </w:r>
            <w:r w:rsidR="0026100E">
              <w:rPr>
                <w:rFonts w:ascii="Arial" w:hAnsi="Arial" w:cs="Arial"/>
                <w:sz w:val="16"/>
                <w:szCs w:val="16"/>
              </w:rPr>
              <w:noBreakHyphen/>
            </w:r>
            <w:r w:rsidRPr="006D52A9">
              <w:rPr>
                <w:rFonts w:ascii="Arial" w:hAnsi="Arial" w:cs="Arial"/>
                <w:sz w:val="16"/>
                <w:szCs w:val="16"/>
              </w:rPr>
              <w:t>subsidised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authority application for selexipag must be approved prior to the authority application for this agent.</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6AB2FDB4" w14:textId="77777777" w:rsidR="008F47B8" w:rsidRPr="006D52A9" w:rsidDel="00A93A5F" w:rsidRDefault="008F47B8" w:rsidP="00FB6D2D">
            <w:pPr>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745A6A" w14:paraId="709B41D9" w14:textId="77777777" w:rsidTr="00FB6D2D">
        <w:tc>
          <w:tcPr>
            <w:tcW w:w="647" w:type="pct"/>
            <w:tcMar>
              <w:top w:w="28" w:type="dxa"/>
              <w:left w:w="28" w:type="dxa"/>
            </w:tcMar>
          </w:tcPr>
          <w:p w14:paraId="160A91BB" w14:textId="77777777" w:rsidR="008F47B8" w:rsidRPr="006D52A9" w:rsidDel="00745A6A" w:rsidRDefault="008F47B8" w:rsidP="00FB6D2D">
            <w:pPr>
              <w:spacing w:after="60" w:line="240" w:lineRule="auto"/>
              <w:rPr>
                <w:rFonts w:ascii="Arial" w:hAnsi="Arial" w:cs="Arial"/>
                <w:sz w:val="16"/>
                <w:szCs w:val="16"/>
              </w:rPr>
            </w:pPr>
          </w:p>
        </w:tc>
        <w:tc>
          <w:tcPr>
            <w:tcW w:w="283" w:type="pct"/>
            <w:tcMar>
              <w:top w:w="28" w:type="dxa"/>
              <w:left w:w="28" w:type="dxa"/>
            </w:tcMar>
          </w:tcPr>
          <w:p w14:paraId="2E85674F"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C11312</w:t>
            </w:r>
          </w:p>
        </w:tc>
        <w:tc>
          <w:tcPr>
            <w:tcW w:w="274" w:type="pct"/>
            <w:tcMar>
              <w:top w:w="28" w:type="dxa"/>
              <w:left w:w="28" w:type="dxa"/>
            </w:tcMar>
          </w:tcPr>
          <w:p w14:paraId="4ED91A44" w14:textId="77777777" w:rsidR="008F47B8" w:rsidRPr="006D52A9" w:rsidDel="00745A6A" w:rsidRDefault="008F47B8" w:rsidP="00FB6D2D">
            <w:pPr>
              <w:spacing w:after="60" w:line="240" w:lineRule="auto"/>
              <w:rPr>
                <w:rFonts w:ascii="Arial" w:hAnsi="Arial" w:cs="Arial"/>
                <w:sz w:val="16"/>
                <w:szCs w:val="16"/>
              </w:rPr>
            </w:pPr>
          </w:p>
        </w:tc>
        <w:tc>
          <w:tcPr>
            <w:tcW w:w="2867" w:type="pct"/>
            <w:tcMar>
              <w:top w:w="28" w:type="dxa"/>
              <w:left w:w="28" w:type="dxa"/>
            </w:tcMar>
          </w:tcPr>
          <w:p w14:paraId="79D17100"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(starting dual therapy in an untreated patient for the first time)</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currently have WHO Functional Class III PAH or WHO Functional Class IV PAH;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r>
            <w:r w:rsidRPr="006D52A9">
              <w:rPr>
                <w:rFonts w:ascii="Arial" w:hAnsi="Arial" w:cs="Arial"/>
                <w:sz w:val="16"/>
                <w:szCs w:val="16"/>
              </w:rPr>
              <w:lastRenderedPageBreak/>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72E90615"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45A6A" w14:paraId="71D5AE64" w14:textId="77777777" w:rsidTr="00FB6D2D">
        <w:tc>
          <w:tcPr>
            <w:tcW w:w="647" w:type="pct"/>
            <w:tcMar>
              <w:top w:w="28" w:type="dxa"/>
              <w:left w:w="28" w:type="dxa"/>
            </w:tcMar>
          </w:tcPr>
          <w:p w14:paraId="0F3A032B" w14:textId="77777777" w:rsidR="008F47B8" w:rsidRPr="006D52A9" w:rsidDel="00745A6A" w:rsidRDefault="008F47B8" w:rsidP="00FB6D2D">
            <w:pPr>
              <w:spacing w:after="60" w:line="240" w:lineRule="auto"/>
              <w:rPr>
                <w:rFonts w:ascii="Arial" w:hAnsi="Arial" w:cs="Arial"/>
                <w:sz w:val="16"/>
                <w:szCs w:val="16"/>
              </w:rPr>
            </w:pPr>
          </w:p>
        </w:tc>
        <w:tc>
          <w:tcPr>
            <w:tcW w:w="283" w:type="pct"/>
            <w:tcMar>
              <w:top w:w="28" w:type="dxa"/>
              <w:left w:w="28" w:type="dxa"/>
            </w:tcMar>
          </w:tcPr>
          <w:p w14:paraId="3F983A4D" w14:textId="77777777" w:rsidR="008F47B8" w:rsidRPr="006D52A9" w:rsidRDefault="008F47B8" w:rsidP="00FB6D2D">
            <w:pPr>
              <w:pStyle w:val="mps3-data"/>
              <w:rPr>
                <w:rFonts w:eastAsia="Calibri"/>
                <w:szCs w:val="16"/>
                <w:lang w:eastAsia="en-US"/>
              </w:rPr>
            </w:pPr>
            <w:r w:rsidRPr="006D52A9">
              <w:rPr>
                <w:rFonts w:eastAsia="Calibri"/>
                <w:szCs w:val="16"/>
                <w:lang w:eastAsia="en-US"/>
              </w:rPr>
              <w:t xml:space="preserve">C11313 </w:t>
            </w:r>
          </w:p>
          <w:p w14:paraId="4E015FDB" w14:textId="77777777" w:rsidR="008F47B8" w:rsidRPr="006D52A9" w:rsidDel="00745A6A" w:rsidRDefault="008F47B8" w:rsidP="00FB6D2D">
            <w:pPr>
              <w:spacing w:after="60" w:line="240" w:lineRule="auto"/>
              <w:rPr>
                <w:rFonts w:ascii="Arial" w:hAnsi="Arial" w:cs="Arial"/>
                <w:sz w:val="16"/>
                <w:szCs w:val="16"/>
              </w:rPr>
            </w:pPr>
          </w:p>
        </w:tc>
        <w:tc>
          <w:tcPr>
            <w:tcW w:w="274" w:type="pct"/>
            <w:tcMar>
              <w:top w:w="28" w:type="dxa"/>
              <w:left w:w="28" w:type="dxa"/>
            </w:tcMar>
          </w:tcPr>
          <w:p w14:paraId="25C74421" w14:textId="77777777" w:rsidR="008F47B8" w:rsidRPr="006D52A9" w:rsidDel="00745A6A" w:rsidRDefault="008F47B8" w:rsidP="00FB6D2D">
            <w:pPr>
              <w:spacing w:after="60" w:line="240" w:lineRule="auto"/>
              <w:rPr>
                <w:rFonts w:ascii="Arial" w:hAnsi="Arial" w:cs="Arial"/>
                <w:sz w:val="16"/>
                <w:szCs w:val="16"/>
              </w:rPr>
            </w:pPr>
          </w:p>
        </w:tc>
        <w:tc>
          <w:tcPr>
            <w:tcW w:w="2867" w:type="pct"/>
            <w:tcMar>
              <w:top w:w="28" w:type="dxa"/>
              <w:left w:w="28" w:type="dxa"/>
            </w:tcMar>
          </w:tcPr>
          <w:p w14:paraId="688D6B38"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 (dual therapy)</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 xml:space="preserve">subsidised dual therapy through one of the following treatment phase </w:t>
            </w:r>
            <w:r w:rsidRPr="006D52A9">
              <w:rPr>
                <w:rFonts w:ascii="Arial" w:hAnsi="Arial" w:cs="Arial"/>
                <w:sz w:val="16"/>
                <w:szCs w:val="16"/>
              </w:rPr>
              <w:lastRenderedPageBreak/>
              <w:t>restrictions: (i) Initial 1 for dual therapy, (ii) Initial 2 for dual therapy (iii) 'Grandfathered' treatment for dual therapy, with this agent in the combination remaining unchanged from the most recent PBS</w:t>
            </w:r>
            <w:r w:rsidR="0026100E">
              <w:rPr>
                <w:rFonts w:ascii="Arial" w:hAnsi="Arial" w:cs="Arial"/>
                <w:sz w:val="16"/>
                <w:szCs w:val="16"/>
              </w:rPr>
              <w:noBreakHyphen/>
            </w:r>
            <w:r w:rsidRPr="006D52A9">
              <w:rPr>
                <w:rFonts w:ascii="Arial" w:hAnsi="Arial" w:cs="Arial"/>
                <w:sz w:val="16"/>
                <w:szCs w:val="16"/>
              </w:rPr>
              <w:t>subsidised supply;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14573D41"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Authority Required procedures</w:t>
            </w:r>
            <w:r w:rsidRPr="006D52A9">
              <w:rPr>
                <w:rFonts w:ascii="Arial" w:hAnsi="Arial" w:cs="Arial"/>
                <w:sz w:val="16"/>
                <w:szCs w:val="16"/>
              </w:rPr>
              <w:br/>
            </w:r>
          </w:p>
        </w:tc>
      </w:tr>
      <w:tr w:rsidR="008F47B8" w:rsidRPr="006D52A9" w:rsidDel="00745A6A" w14:paraId="0A6D1CBA" w14:textId="77777777" w:rsidTr="00FB6D2D">
        <w:tc>
          <w:tcPr>
            <w:tcW w:w="647" w:type="pct"/>
            <w:tcMar>
              <w:top w:w="28" w:type="dxa"/>
              <w:left w:w="28" w:type="dxa"/>
            </w:tcMar>
          </w:tcPr>
          <w:p w14:paraId="2D9032FB" w14:textId="77777777" w:rsidR="008F47B8" w:rsidRPr="006D52A9" w:rsidDel="00745A6A" w:rsidRDefault="008F47B8" w:rsidP="00FB6D2D">
            <w:pPr>
              <w:spacing w:after="60" w:line="240" w:lineRule="auto"/>
              <w:rPr>
                <w:rFonts w:ascii="Arial" w:hAnsi="Arial" w:cs="Arial"/>
                <w:sz w:val="16"/>
                <w:szCs w:val="16"/>
              </w:rPr>
            </w:pPr>
          </w:p>
        </w:tc>
        <w:tc>
          <w:tcPr>
            <w:tcW w:w="283" w:type="pct"/>
            <w:tcMar>
              <w:top w:w="28" w:type="dxa"/>
              <w:left w:w="28" w:type="dxa"/>
            </w:tcMar>
          </w:tcPr>
          <w:p w14:paraId="10009C61"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C11314</w:t>
            </w:r>
          </w:p>
        </w:tc>
        <w:tc>
          <w:tcPr>
            <w:tcW w:w="274" w:type="pct"/>
            <w:tcMar>
              <w:top w:w="28" w:type="dxa"/>
              <w:left w:w="28" w:type="dxa"/>
            </w:tcMar>
          </w:tcPr>
          <w:p w14:paraId="027BFCE0" w14:textId="77777777" w:rsidR="008F47B8" w:rsidRPr="006D52A9" w:rsidDel="00745A6A" w:rsidRDefault="008F47B8" w:rsidP="00FB6D2D">
            <w:pPr>
              <w:spacing w:after="60" w:line="240" w:lineRule="auto"/>
              <w:rPr>
                <w:rFonts w:ascii="Arial" w:hAnsi="Arial" w:cs="Arial"/>
                <w:sz w:val="16"/>
                <w:szCs w:val="16"/>
              </w:rPr>
            </w:pPr>
          </w:p>
        </w:tc>
        <w:tc>
          <w:tcPr>
            <w:tcW w:w="2867" w:type="pct"/>
            <w:tcMar>
              <w:top w:w="28" w:type="dxa"/>
              <w:left w:w="28" w:type="dxa"/>
            </w:tcMar>
          </w:tcPr>
          <w:p w14:paraId="69A0C35D"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(starting dual therapy in a treated patient for the first time)</w:t>
            </w:r>
            <w:r w:rsidRPr="006D52A9">
              <w:rPr>
                <w:rFonts w:ascii="Arial" w:hAnsi="Arial" w:cs="Arial"/>
                <w:sz w:val="16"/>
                <w:szCs w:val="16"/>
              </w:rPr>
              <w:br/>
              <w:t>The condition must be PAH of WHO Functional Class III severity at the time dual therapy is initiated; OR</w:t>
            </w:r>
            <w:r w:rsidRPr="006D52A9">
              <w:rPr>
                <w:rFonts w:ascii="Arial" w:hAnsi="Arial" w:cs="Arial"/>
                <w:sz w:val="16"/>
                <w:szCs w:val="16"/>
              </w:rPr>
              <w:br/>
              <w:t>The condition must be PAH of WHO Functional Class IV severity at the time dual therapy is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 xml:space="preserve">The maximum quantity authorised will be limited to provide sufficient supply for 1 month of treatment, </w:t>
            </w:r>
            <w:r w:rsidRPr="006D52A9">
              <w:rPr>
                <w:rFonts w:ascii="Arial" w:hAnsi="Arial" w:cs="Arial"/>
                <w:sz w:val="16"/>
                <w:szCs w:val="16"/>
              </w:rPr>
              <w:lastRenderedPageBreak/>
              <w:t>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5773A426"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745A6A" w14:paraId="06C0E957" w14:textId="77777777" w:rsidTr="00FB6D2D">
        <w:tc>
          <w:tcPr>
            <w:tcW w:w="647" w:type="pct"/>
            <w:tcMar>
              <w:top w:w="28" w:type="dxa"/>
              <w:left w:w="28" w:type="dxa"/>
            </w:tcMar>
          </w:tcPr>
          <w:p w14:paraId="16F3B3A9" w14:textId="77777777" w:rsidR="008F47B8" w:rsidRPr="006D52A9" w:rsidDel="00745A6A" w:rsidRDefault="008F47B8" w:rsidP="00FB6D2D">
            <w:pPr>
              <w:spacing w:after="60" w:line="240" w:lineRule="auto"/>
              <w:rPr>
                <w:rFonts w:ascii="Arial" w:hAnsi="Arial" w:cs="Arial"/>
                <w:sz w:val="16"/>
                <w:szCs w:val="16"/>
              </w:rPr>
            </w:pPr>
          </w:p>
        </w:tc>
        <w:tc>
          <w:tcPr>
            <w:tcW w:w="283" w:type="pct"/>
            <w:tcMar>
              <w:top w:w="28" w:type="dxa"/>
              <w:left w:w="28" w:type="dxa"/>
            </w:tcMar>
          </w:tcPr>
          <w:p w14:paraId="1E4014B1"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C11317</w:t>
            </w:r>
          </w:p>
        </w:tc>
        <w:tc>
          <w:tcPr>
            <w:tcW w:w="274" w:type="pct"/>
            <w:tcMar>
              <w:top w:w="28" w:type="dxa"/>
              <w:left w:w="28" w:type="dxa"/>
            </w:tcMar>
          </w:tcPr>
          <w:p w14:paraId="1B6689EB" w14:textId="77777777" w:rsidR="008F47B8" w:rsidRPr="006D52A9" w:rsidDel="00745A6A" w:rsidRDefault="008F47B8" w:rsidP="00FB6D2D">
            <w:pPr>
              <w:spacing w:after="60" w:line="240" w:lineRule="auto"/>
              <w:rPr>
                <w:rFonts w:ascii="Arial" w:hAnsi="Arial" w:cs="Arial"/>
                <w:sz w:val="16"/>
                <w:szCs w:val="16"/>
              </w:rPr>
            </w:pPr>
          </w:p>
        </w:tc>
        <w:tc>
          <w:tcPr>
            <w:tcW w:w="2867" w:type="pct"/>
            <w:tcMar>
              <w:top w:w="28" w:type="dxa"/>
              <w:left w:w="28" w:type="dxa"/>
            </w:tcMar>
          </w:tcPr>
          <w:p w14:paraId="47C5B804"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Grandfathered patient (dual therapy)</w:t>
            </w:r>
            <w:r w:rsidRPr="006D52A9">
              <w:rPr>
                <w:rFonts w:ascii="Arial" w:hAnsi="Arial" w:cs="Arial"/>
                <w:sz w:val="16"/>
                <w:szCs w:val="16"/>
              </w:rPr>
              <w:br/>
              <w:t>Patient must be receiving dual therapy with this non PBS</w:t>
            </w:r>
            <w:r w:rsidR="0026100E">
              <w:rPr>
                <w:rFonts w:ascii="Arial" w:hAnsi="Arial" w:cs="Arial"/>
                <w:sz w:val="16"/>
                <w:szCs w:val="16"/>
              </w:rPr>
              <w:noBreakHyphen/>
            </w:r>
            <w:r w:rsidRPr="006D52A9">
              <w:rPr>
                <w:rFonts w:ascii="Arial" w:hAnsi="Arial" w:cs="Arial"/>
                <w:sz w:val="16"/>
                <w:szCs w:val="16"/>
              </w:rPr>
              <w:t>subsidised pulmonary arterial hypertension (PAH) agent and a non PBS</w:t>
            </w:r>
            <w:r w:rsidR="0026100E">
              <w:rPr>
                <w:rFonts w:ascii="Arial" w:hAnsi="Arial" w:cs="Arial"/>
                <w:sz w:val="16"/>
                <w:szCs w:val="16"/>
              </w:rPr>
              <w:noBreakHyphen/>
            </w:r>
            <w:r w:rsidRPr="006D52A9">
              <w:rPr>
                <w:rFonts w:ascii="Arial" w:hAnsi="Arial" w:cs="Arial"/>
                <w:sz w:val="16"/>
                <w:szCs w:val="16"/>
              </w:rPr>
              <w:t>subsidised phosphodiesterase</w:t>
            </w:r>
            <w:r w:rsidR="0026100E">
              <w:rPr>
                <w:rFonts w:ascii="Arial" w:hAnsi="Arial" w:cs="Arial"/>
                <w:sz w:val="16"/>
                <w:szCs w:val="16"/>
              </w:rPr>
              <w:noBreakHyphen/>
            </w:r>
            <w:r w:rsidRPr="006D52A9">
              <w:rPr>
                <w:rFonts w:ascii="Arial" w:hAnsi="Arial" w:cs="Arial"/>
                <w:sz w:val="16"/>
                <w:szCs w:val="16"/>
              </w:rPr>
              <w:t>5 inhibitor (PDE</w:t>
            </w:r>
            <w:r w:rsidR="0026100E">
              <w:rPr>
                <w:rFonts w:ascii="Arial" w:hAnsi="Arial" w:cs="Arial"/>
                <w:sz w:val="16"/>
                <w:szCs w:val="16"/>
              </w:rPr>
              <w:noBreakHyphen/>
            </w:r>
            <w:r w:rsidRPr="006D52A9">
              <w:rPr>
                <w:rFonts w:ascii="Arial" w:hAnsi="Arial" w:cs="Arial"/>
                <w:sz w:val="16"/>
                <w:szCs w:val="16"/>
              </w:rPr>
              <w:t xml:space="preserve">5i) for this condition prior to </w:t>
            </w:r>
            <w:r w:rsidR="003E082A" w:rsidRPr="006D52A9">
              <w:rPr>
                <w:rFonts w:ascii="Arial" w:hAnsi="Arial" w:cs="Arial"/>
                <w:sz w:val="16"/>
                <w:szCs w:val="16"/>
              </w:rPr>
              <w:t>1 October</w:t>
            </w:r>
            <w:r w:rsidRPr="006D52A9">
              <w:rPr>
                <w:rFonts w:ascii="Arial" w:hAnsi="Arial" w:cs="Arial"/>
                <w:sz w:val="16"/>
                <w:szCs w:val="16"/>
              </w:rPr>
              <w:t xml:space="preserve"> 2020; AND</w:t>
            </w:r>
            <w:r w:rsidRPr="006D52A9">
              <w:rPr>
                <w:rFonts w:ascii="Arial" w:hAnsi="Arial" w:cs="Arial"/>
                <w:sz w:val="16"/>
                <w:szCs w:val="16"/>
              </w:rPr>
              <w:br/>
              <w:t>Patient must have documented WHO Functional Class III PAH or WHO Functional Class IV PAH.</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A prior PAH agent is any of: ambrisentan, bosentan, macitentan, sildenafil, tadalafil, epoprostenol, iloprost, riociguat.</w:t>
            </w:r>
            <w:r w:rsidRPr="006D52A9">
              <w:rPr>
                <w:rFonts w:ascii="Arial" w:hAnsi="Arial" w:cs="Arial"/>
                <w:sz w:val="16"/>
                <w:szCs w:val="16"/>
              </w:rPr>
              <w:br/>
              <w:t>For the purposes of PBS subsidy, dual therapy refers to combined use of an endothelin receptor antagonist (ERA) and a phosphodiesterase</w:t>
            </w:r>
            <w:r w:rsidR="0026100E">
              <w:rPr>
                <w:rFonts w:ascii="Arial" w:hAnsi="Arial" w:cs="Arial"/>
                <w:sz w:val="16"/>
                <w:szCs w:val="16"/>
              </w:rPr>
              <w:noBreakHyphen/>
            </w:r>
            <w:r w:rsidRPr="006D52A9">
              <w:rPr>
                <w:rFonts w:ascii="Arial" w:hAnsi="Arial" w:cs="Arial"/>
                <w:sz w:val="16"/>
                <w:szCs w:val="16"/>
              </w:rPr>
              <w:t>5 inhibitor (PDE</w:t>
            </w:r>
            <w:r w:rsidR="0026100E">
              <w:rPr>
                <w:rFonts w:ascii="Arial" w:hAnsi="Arial" w:cs="Arial"/>
                <w:sz w:val="16"/>
                <w:szCs w:val="16"/>
              </w:rPr>
              <w:noBreakHyphen/>
            </w:r>
            <w:r w:rsidRPr="006D52A9">
              <w:rPr>
                <w:rFonts w:ascii="Arial" w:hAnsi="Arial" w:cs="Arial"/>
                <w:sz w:val="16"/>
                <w:szCs w:val="16"/>
              </w:rPr>
              <w:t>5i).</w:t>
            </w:r>
            <w:r w:rsidRPr="006D52A9">
              <w:rPr>
                <w:rFonts w:ascii="Arial" w:hAnsi="Arial" w:cs="Arial"/>
                <w:sz w:val="16"/>
                <w:szCs w:val="16"/>
              </w:rPr>
              <w:br/>
              <w:t>(i) An ERA includes ambrisentan, bosentan monohydrate, or macitentan.</w:t>
            </w:r>
            <w:r w:rsidRPr="006D52A9">
              <w:rPr>
                <w:rFonts w:ascii="Arial" w:hAnsi="Arial" w:cs="Arial"/>
                <w:sz w:val="16"/>
                <w:szCs w:val="16"/>
              </w:rPr>
              <w:br/>
              <w:t>(ii) A PDE</w:t>
            </w:r>
            <w:r w:rsidR="0026100E">
              <w:rPr>
                <w:rFonts w:ascii="Arial" w:hAnsi="Arial" w:cs="Arial"/>
                <w:sz w:val="16"/>
                <w:szCs w:val="16"/>
              </w:rPr>
              <w:noBreakHyphen/>
            </w:r>
            <w:r w:rsidRPr="006D52A9">
              <w:rPr>
                <w:rFonts w:ascii="Arial" w:hAnsi="Arial" w:cs="Arial"/>
                <w:sz w:val="16"/>
                <w:szCs w:val="16"/>
              </w:rPr>
              <w:t>5i includes sildenafil citrate, or tadalafil.</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was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r>
            <w:r w:rsidRPr="006D52A9">
              <w:rPr>
                <w:rFonts w:ascii="Arial" w:hAnsi="Arial" w:cs="Arial"/>
                <w:sz w:val="16"/>
                <w:szCs w:val="16"/>
              </w:rPr>
              <w:lastRenderedPageBreak/>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A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 for dual therapy for this condition.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07313B69"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45A6A" w14:paraId="26C20BAE" w14:textId="77777777" w:rsidTr="00FB6D2D">
        <w:tc>
          <w:tcPr>
            <w:tcW w:w="647" w:type="pct"/>
            <w:tcMar>
              <w:top w:w="28" w:type="dxa"/>
              <w:left w:w="28" w:type="dxa"/>
            </w:tcMar>
          </w:tcPr>
          <w:p w14:paraId="31C458F1" w14:textId="77777777" w:rsidR="008F47B8" w:rsidRPr="006D52A9" w:rsidDel="00745A6A" w:rsidRDefault="008F47B8" w:rsidP="00FB6D2D">
            <w:pPr>
              <w:spacing w:after="60" w:line="240" w:lineRule="auto"/>
              <w:rPr>
                <w:rFonts w:ascii="Arial" w:hAnsi="Arial" w:cs="Arial"/>
                <w:sz w:val="16"/>
                <w:szCs w:val="16"/>
              </w:rPr>
            </w:pPr>
          </w:p>
        </w:tc>
        <w:tc>
          <w:tcPr>
            <w:tcW w:w="283" w:type="pct"/>
            <w:tcMar>
              <w:top w:w="28" w:type="dxa"/>
              <w:left w:w="28" w:type="dxa"/>
            </w:tcMar>
          </w:tcPr>
          <w:p w14:paraId="5494E114"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C11321</w:t>
            </w:r>
          </w:p>
        </w:tc>
        <w:tc>
          <w:tcPr>
            <w:tcW w:w="274" w:type="pct"/>
            <w:tcMar>
              <w:top w:w="28" w:type="dxa"/>
              <w:left w:w="28" w:type="dxa"/>
            </w:tcMar>
          </w:tcPr>
          <w:p w14:paraId="6E8B99B3" w14:textId="77777777" w:rsidR="008F47B8" w:rsidRPr="006D52A9" w:rsidDel="00745A6A" w:rsidRDefault="008F47B8" w:rsidP="00FB6D2D">
            <w:pPr>
              <w:spacing w:after="60" w:line="240" w:lineRule="auto"/>
              <w:rPr>
                <w:rFonts w:ascii="Arial" w:hAnsi="Arial" w:cs="Arial"/>
                <w:sz w:val="16"/>
                <w:szCs w:val="16"/>
              </w:rPr>
            </w:pPr>
          </w:p>
        </w:tc>
        <w:tc>
          <w:tcPr>
            <w:tcW w:w="2867" w:type="pct"/>
            <w:tcMar>
              <w:top w:w="28" w:type="dxa"/>
              <w:left w:w="28" w:type="dxa"/>
            </w:tcMar>
          </w:tcPr>
          <w:p w14:paraId="7C945545"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Initial 3 (dual therapy </w:t>
            </w:r>
            <w:r w:rsidR="0026100E">
              <w:rPr>
                <w:rFonts w:ascii="Arial" w:hAnsi="Arial" w:cs="Arial"/>
                <w:sz w:val="16"/>
                <w:szCs w:val="16"/>
              </w:rPr>
              <w:noBreakHyphen/>
            </w:r>
            <w:r w:rsidRPr="006D52A9">
              <w:rPr>
                <w:rFonts w:ascii="Arial" w:hAnsi="Arial" w:cs="Arial"/>
                <w:sz w:val="16"/>
                <w:szCs w:val="16"/>
              </w:rPr>
              <w:t xml:space="preserve"> change)</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hAnsi="Arial" w:cs="Arial"/>
                <w:sz w:val="16"/>
                <w:szCs w:val="16"/>
              </w:rPr>
              <w:br/>
              <w:t>The treatment must form part of dual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Mar>
              <w:top w:w="28" w:type="dxa"/>
              <w:left w:w="28" w:type="dxa"/>
              <w:right w:w="57" w:type="dxa"/>
            </w:tcMar>
          </w:tcPr>
          <w:p w14:paraId="619831F9" w14:textId="77777777" w:rsidR="008F47B8" w:rsidRPr="006D52A9" w:rsidDel="00745A6A" w:rsidRDefault="008F47B8" w:rsidP="00FB6D2D">
            <w:pPr>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7348A4" w14:paraId="7C727D3D" w14:textId="77777777" w:rsidTr="00FB6D2D">
        <w:tc>
          <w:tcPr>
            <w:tcW w:w="647" w:type="pct"/>
            <w:tcMar>
              <w:top w:w="28" w:type="dxa"/>
              <w:left w:w="28" w:type="dxa"/>
            </w:tcMar>
          </w:tcPr>
          <w:p w14:paraId="7D46CD1A" w14:textId="77777777" w:rsidR="008F47B8" w:rsidRPr="006D52A9" w:rsidRDefault="008F47B8" w:rsidP="00FB6D2D">
            <w:pPr>
              <w:spacing w:line="240" w:lineRule="auto"/>
              <w:rPr>
                <w:rFonts w:ascii="Arial" w:hAnsi="Arial" w:cs="Arial"/>
                <w:sz w:val="16"/>
                <w:szCs w:val="16"/>
              </w:rPr>
            </w:pPr>
            <w:bookmarkStart w:id="74" w:name="CU_51201894"/>
            <w:bookmarkStart w:id="75" w:name="CU_52204398"/>
            <w:bookmarkStart w:id="76" w:name="CU_54207927"/>
            <w:bookmarkEnd w:id="74"/>
            <w:bookmarkEnd w:id="75"/>
            <w:bookmarkEnd w:id="76"/>
            <w:r w:rsidRPr="006D52A9">
              <w:rPr>
                <w:rFonts w:ascii="Arial" w:hAnsi="Arial" w:cs="Arial"/>
                <w:sz w:val="16"/>
                <w:szCs w:val="16"/>
              </w:rPr>
              <w:t>Ciclosporin</w:t>
            </w:r>
          </w:p>
        </w:tc>
        <w:tc>
          <w:tcPr>
            <w:tcW w:w="283" w:type="pct"/>
            <w:tcMar>
              <w:top w:w="28" w:type="dxa"/>
              <w:left w:w="28" w:type="dxa"/>
            </w:tcMar>
          </w:tcPr>
          <w:p w14:paraId="203755C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C6628</w:t>
            </w:r>
          </w:p>
        </w:tc>
        <w:tc>
          <w:tcPr>
            <w:tcW w:w="274" w:type="pct"/>
            <w:tcMar>
              <w:top w:w="28" w:type="dxa"/>
              <w:left w:w="28" w:type="dxa"/>
            </w:tcMar>
          </w:tcPr>
          <w:p w14:paraId="05E3A751"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09967BF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Management of transplant rejection</w:t>
            </w:r>
          </w:p>
          <w:p w14:paraId="6D1F36CE"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The treatment must be used by organ or tissue transplant recipients.</w:t>
            </w:r>
          </w:p>
        </w:tc>
        <w:tc>
          <w:tcPr>
            <w:tcW w:w="929" w:type="pct"/>
            <w:tcMar>
              <w:top w:w="28" w:type="dxa"/>
              <w:left w:w="28" w:type="dxa"/>
              <w:right w:w="57" w:type="dxa"/>
            </w:tcMar>
          </w:tcPr>
          <w:p w14:paraId="618668E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6628</w:t>
            </w:r>
          </w:p>
        </w:tc>
      </w:tr>
      <w:tr w:rsidR="008F47B8" w:rsidRPr="006D52A9" w:rsidDel="007348A4" w14:paraId="68F80BD9" w14:textId="77777777" w:rsidTr="00FB6D2D">
        <w:tc>
          <w:tcPr>
            <w:tcW w:w="647" w:type="pct"/>
            <w:tcMar>
              <w:top w:w="28" w:type="dxa"/>
              <w:left w:w="28" w:type="dxa"/>
            </w:tcMar>
          </w:tcPr>
          <w:p w14:paraId="4F3B96E1"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3C180A2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C6631</w:t>
            </w:r>
          </w:p>
        </w:tc>
        <w:tc>
          <w:tcPr>
            <w:tcW w:w="274" w:type="pct"/>
            <w:tcMar>
              <w:top w:w="28" w:type="dxa"/>
              <w:left w:w="28" w:type="dxa"/>
            </w:tcMar>
          </w:tcPr>
          <w:p w14:paraId="014B7BC1"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47D743F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Nephrotic syndrome</w:t>
            </w:r>
          </w:p>
          <w:p w14:paraId="28569AE5" w14:textId="77777777" w:rsidR="008F47B8" w:rsidRPr="006D52A9" w:rsidRDefault="008F47B8" w:rsidP="00FB6D2D">
            <w:pPr>
              <w:spacing w:after="60"/>
              <w:rPr>
                <w:rFonts w:ascii="Arial" w:hAnsi="Arial" w:cs="Arial"/>
                <w:sz w:val="16"/>
                <w:szCs w:val="16"/>
              </w:rPr>
            </w:pPr>
            <w:r w:rsidRPr="006D52A9">
              <w:rPr>
                <w:rFonts w:ascii="Arial" w:hAnsi="Arial" w:cs="Arial"/>
                <w:sz w:val="16"/>
                <w:szCs w:val="16"/>
              </w:rPr>
              <w:t>Management (initiation, stabilisation and review of therapy)</w:t>
            </w:r>
          </w:p>
          <w:p w14:paraId="1D810B6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failed prior treatment with steroids and cytostatic drugs; OR</w:t>
            </w:r>
            <w:r w:rsidRPr="006D52A9">
              <w:rPr>
                <w:rFonts w:ascii="Arial" w:hAnsi="Arial" w:cs="Arial"/>
                <w:sz w:val="16"/>
                <w:szCs w:val="16"/>
              </w:rPr>
              <w:br/>
              <w:t>Patient must be intolerant to treatment with steroids and cytostatic drugs; OR</w:t>
            </w:r>
            <w:r w:rsidRPr="006D52A9">
              <w:rPr>
                <w:rFonts w:ascii="Arial" w:hAnsi="Arial" w:cs="Arial"/>
                <w:sz w:val="16"/>
                <w:szCs w:val="16"/>
              </w:rPr>
              <w:br/>
              <w:t>The condition must be considered inappropriate for treatment with steroids and cytostatic drugs; AND</w:t>
            </w:r>
            <w:r w:rsidRPr="006D52A9">
              <w:rPr>
                <w:rFonts w:ascii="Arial" w:hAnsi="Arial" w:cs="Arial"/>
                <w:sz w:val="16"/>
                <w:szCs w:val="16"/>
              </w:rPr>
              <w:br/>
              <w:t>Patient must not have renal impairment.</w:t>
            </w:r>
            <w:r w:rsidRPr="006D52A9">
              <w:rPr>
                <w:rFonts w:ascii="Arial" w:hAnsi="Arial" w:cs="Arial"/>
                <w:sz w:val="16"/>
                <w:szCs w:val="16"/>
              </w:rPr>
              <w:br/>
              <w:t>Must be treated by a nephrologist.</w:t>
            </w:r>
          </w:p>
        </w:tc>
        <w:tc>
          <w:tcPr>
            <w:tcW w:w="929" w:type="pct"/>
            <w:tcMar>
              <w:top w:w="28" w:type="dxa"/>
              <w:left w:w="28" w:type="dxa"/>
              <w:right w:w="57" w:type="dxa"/>
            </w:tcMar>
          </w:tcPr>
          <w:p w14:paraId="7AA00BF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6631</w:t>
            </w:r>
          </w:p>
        </w:tc>
      </w:tr>
      <w:tr w:rsidR="008F47B8" w:rsidRPr="006D52A9" w:rsidDel="007348A4" w14:paraId="1A8447E4" w14:textId="77777777" w:rsidTr="00FB6D2D">
        <w:tc>
          <w:tcPr>
            <w:tcW w:w="647" w:type="pct"/>
            <w:tcMar>
              <w:top w:w="28" w:type="dxa"/>
              <w:left w:w="28" w:type="dxa"/>
            </w:tcMar>
          </w:tcPr>
          <w:p w14:paraId="0EEB6D42"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78CB464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C6638</w:t>
            </w:r>
          </w:p>
        </w:tc>
        <w:tc>
          <w:tcPr>
            <w:tcW w:w="274" w:type="pct"/>
            <w:tcMar>
              <w:top w:w="28" w:type="dxa"/>
              <w:left w:w="28" w:type="dxa"/>
            </w:tcMar>
          </w:tcPr>
          <w:p w14:paraId="29531E2E"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74B99A35"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p>
          <w:p w14:paraId="0F5DD8B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Management (initiation, stabilisation and review of therapy)</w:t>
            </w:r>
          </w:p>
          <w:p w14:paraId="1E50C3A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condition must have been ineffective to prior treatment with classical slow</w:t>
            </w:r>
            <w:r w:rsidR="0026100E">
              <w:rPr>
                <w:rFonts w:ascii="Arial" w:hAnsi="Arial" w:cs="Arial"/>
                <w:sz w:val="16"/>
                <w:szCs w:val="16"/>
              </w:rPr>
              <w:noBreakHyphen/>
            </w:r>
            <w:r w:rsidRPr="006D52A9">
              <w:rPr>
                <w:rFonts w:ascii="Arial" w:hAnsi="Arial" w:cs="Arial"/>
                <w:sz w:val="16"/>
                <w:szCs w:val="16"/>
              </w:rPr>
              <w:t>acting anti</w:t>
            </w:r>
            <w:r w:rsidR="0026100E">
              <w:rPr>
                <w:rFonts w:ascii="Arial" w:hAnsi="Arial" w:cs="Arial"/>
                <w:sz w:val="16"/>
                <w:szCs w:val="16"/>
              </w:rPr>
              <w:noBreakHyphen/>
            </w:r>
            <w:r w:rsidRPr="006D52A9">
              <w:rPr>
                <w:rFonts w:ascii="Arial" w:hAnsi="Arial" w:cs="Arial"/>
                <w:sz w:val="16"/>
                <w:szCs w:val="16"/>
              </w:rPr>
              <w:t>rheumatic agents (including methotrexate); OR</w:t>
            </w:r>
            <w:r w:rsidRPr="006D52A9">
              <w:rPr>
                <w:rFonts w:ascii="Arial" w:hAnsi="Arial" w:cs="Arial"/>
                <w:sz w:val="16"/>
                <w:szCs w:val="16"/>
              </w:rPr>
              <w:br/>
              <w:t>The condition must be considered inappropriate for treatment with slow</w:t>
            </w:r>
            <w:r w:rsidR="0026100E">
              <w:rPr>
                <w:rFonts w:ascii="Arial" w:hAnsi="Arial" w:cs="Arial"/>
                <w:sz w:val="16"/>
                <w:szCs w:val="16"/>
              </w:rPr>
              <w:noBreakHyphen/>
            </w:r>
            <w:r w:rsidRPr="006D52A9">
              <w:rPr>
                <w:rFonts w:ascii="Arial" w:hAnsi="Arial" w:cs="Arial"/>
                <w:sz w:val="16"/>
                <w:szCs w:val="16"/>
              </w:rPr>
              <w:t>acting anti</w:t>
            </w:r>
            <w:r w:rsidR="0026100E">
              <w:rPr>
                <w:rFonts w:ascii="Arial" w:hAnsi="Arial" w:cs="Arial"/>
                <w:sz w:val="16"/>
                <w:szCs w:val="16"/>
              </w:rPr>
              <w:noBreakHyphen/>
            </w:r>
            <w:r w:rsidRPr="006D52A9">
              <w:rPr>
                <w:rFonts w:ascii="Arial" w:hAnsi="Arial" w:cs="Arial"/>
                <w:sz w:val="16"/>
                <w:szCs w:val="16"/>
              </w:rPr>
              <w:t>rheumatic agents (including methotrexate).</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w:t>
            </w:r>
          </w:p>
        </w:tc>
        <w:tc>
          <w:tcPr>
            <w:tcW w:w="929" w:type="pct"/>
            <w:tcMar>
              <w:top w:w="28" w:type="dxa"/>
              <w:left w:w="28" w:type="dxa"/>
              <w:right w:w="57" w:type="dxa"/>
            </w:tcMar>
          </w:tcPr>
          <w:p w14:paraId="1B6F5E6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6638</w:t>
            </w:r>
          </w:p>
        </w:tc>
      </w:tr>
      <w:tr w:rsidR="008F47B8" w:rsidRPr="006D52A9" w:rsidDel="007348A4" w14:paraId="374FC5C3" w14:textId="77777777" w:rsidTr="00FB6D2D">
        <w:tc>
          <w:tcPr>
            <w:tcW w:w="647" w:type="pct"/>
            <w:tcMar>
              <w:top w:w="28" w:type="dxa"/>
              <w:left w:w="28" w:type="dxa"/>
            </w:tcMar>
          </w:tcPr>
          <w:p w14:paraId="5FC6C673"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67B814B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C6643</w:t>
            </w:r>
          </w:p>
        </w:tc>
        <w:tc>
          <w:tcPr>
            <w:tcW w:w="274" w:type="pct"/>
            <w:tcMar>
              <w:top w:w="28" w:type="dxa"/>
              <w:left w:w="28" w:type="dxa"/>
            </w:tcMar>
          </w:tcPr>
          <w:p w14:paraId="1BFEF896"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1F935901"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Management of transplant rejection</w:t>
            </w:r>
          </w:p>
          <w:p w14:paraId="72CA2BEA"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Management (initiation, stabilisation and review of therapy)</w:t>
            </w:r>
          </w:p>
          <w:p w14:paraId="5103A4D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had an organ or tissue transplantation;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13D6ED0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6643</w:t>
            </w:r>
          </w:p>
        </w:tc>
      </w:tr>
      <w:tr w:rsidR="008F47B8" w:rsidRPr="006D52A9" w:rsidDel="007348A4" w14:paraId="2ED8C687" w14:textId="77777777" w:rsidTr="00FB6D2D">
        <w:tc>
          <w:tcPr>
            <w:tcW w:w="647" w:type="pct"/>
            <w:tcMar>
              <w:top w:w="28" w:type="dxa"/>
              <w:left w:w="28" w:type="dxa"/>
            </w:tcMar>
          </w:tcPr>
          <w:p w14:paraId="0A62A7BB"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05C954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C6660</w:t>
            </w:r>
          </w:p>
        </w:tc>
        <w:tc>
          <w:tcPr>
            <w:tcW w:w="274" w:type="pct"/>
            <w:tcMar>
              <w:top w:w="28" w:type="dxa"/>
              <w:left w:w="28" w:type="dxa"/>
            </w:tcMar>
          </w:tcPr>
          <w:p w14:paraId="17CADC97"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5C7D48F2"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atopic dermatitis</w:t>
            </w:r>
          </w:p>
          <w:p w14:paraId="4D645FAE"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Management (initiation, stabilisation and review of therapy)</w:t>
            </w:r>
          </w:p>
          <w:p w14:paraId="1EB7620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Must be treated by a dermatologist; OR</w:t>
            </w:r>
            <w:r w:rsidRPr="006D52A9">
              <w:rPr>
                <w:rFonts w:ascii="Arial" w:hAnsi="Arial" w:cs="Arial"/>
                <w:sz w:val="16"/>
                <w:szCs w:val="16"/>
              </w:rPr>
              <w:br/>
              <w:t>Must be treated by a clinical immunologist.</w:t>
            </w:r>
            <w:r w:rsidRPr="006D52A9">
              <w:rPr>
                <w:rFonts w:ascii="Arial" w:hAnsi="Arial" w:cs="Arial"/>
                <w:sz w:val="16"/>
                <w:szCs w:val="16"/>
              </w:rPr>
              <w:br/>
              <w:t>The condition must be ineffective to other systemic therapies; OR</w:t>
            </w:r>
            <w:r w:rsidRPr="006D52A9">
              <w:rPr>
                <w:rFonts w:ascii="Arial" w:hAnsi="Arial" w:cs="Arial"/>
                <w:sz w:val="16"/>
                <w:szCs w:val="16"/>
              </w:rPr>
              <w:br/>
              <w:t>The condition must be inappropriate for other systemic therapies.</w:t>
            </w:r>
          </w:p>
        </w:tc>
        <w:tc>
          <w:tcPr>
            <w:tcW w:w="929" w:type="pct"/>
            <w:tcMar>
              <w:top w:w="28" w:type="dxa"/>
              <w:left w:w="28" w:type="dxa"/>
              <w:right w:w="57" w:type="dxa"/>
            </w:tcMar>
          </w:tcPr>
          <w:p w14:paraId="7C38EC9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6660</w:t>
            </w:r>
          </w:p>
        </w:tc>
      </w:tr>
      <w:tr w:rsidR="008F47B8" w:rsidRPr="006D52A9" w:rsidDel="007348A4" w14:paraId="657F1470" w14:textId="77777777" w:rsidTr="00FB6D2D">
        <w:tc>
          <w:tcPr>
            <w:tcW w:w="647" w:type="pct"/>
            <w:tcMar>
              <w:top w:w="28" w:type="dxa"/>
              <w:left w:w="28" w:type="dxa"/>
            </w:tcMar>
          </w:tcPr>
          <w:p w14:paraId="4D44FE16"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6AD4720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C6676</w:t>
            </w:r>
          </w:p>
        </w:tc>
        <w:tc>
          <w:tcPr>
            <w:tcW w:w="274" w:type="pct"/>
            <w:tcMar>
              <w:top w:w="28" w:type="dxa"/>
              <w:left w:w="28" w:type="dxa"/>
            </w:tcMar>
          </w:tcPr>
          <w:p w14:paraId="7328315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67F8CD1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psoriasis</w:t>
            </w:r>
          </w:p>
          <w:p w14:paraId="4EE19F89"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Management (initiation, stabilisation and review of therapy)</w:t>
            </w:r>
          </w:p>
          <w:p w14:paraId="40B227F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condition must be ineffective to other systemic therapies; OR</w:t>
            </w:r>
            <w:r w:rsidRPr="006D52A9">
              <w:rPr>
                <w:rFonts w:ascii="Arial" w:hAnsi="Arial" w:cs="Arial"/>
                <w:sz w:val="16"/>
                <w:szCs w:val="16"/>
              </w:rPr>
              <w:br/>
              <w:t>The condition must be inappropriate for other systemic therapies; AND</w:t>
            </w:r>
            <w:r w:rsidRPr="006D52A9">
              <w:rPr>
                <w:rFonts w:ascii="Arial" w:hAnsi="Arial" w:cs="Arial"/>
                <w:sz w:val="16"/>
                <w:szCs w:val="16"/>
              </w:rPr>
              <w:br/>
              <w:t>The condition must have caused significant interference with quality of life.</w:t>
            </w:r>
            <w:r w:rsidRPr="006D52A9">
              <w:rPr>
                <w:rFonts w:ascii="Arial" w:hAnsi="Arial" w:cs="Arial"/>
                <w:sz w:val="16"/>
                <w:szCs w:val="16"/>
              </w:rPr>
              <w:br/>
              <w:t>Must be treated by a dermatologist.</w:t>
            </w:r>
          </w:p>
        </w:tc>
        <w:tc>
          <w:tcPr>
            <w:tcW w:w="929" w:type="pct"/>
            <w:tcMar>
              <w:top w:w="28" w:type="dxa"/>
              <w:left w:w="28" w:type="dxa"/>
              <w:right w:w="57" w:type="dxa"/>
            </w:tcMar>
          </w:tcPr>
          <w:p w14:paraId="0DB4A08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6676</w:t>
            </w:r>
          </w:p>
        </w:tc>
      </w:tr>
      <w:tr w:rsidR="008F47B8" w:rsidRPr="006D52A9" w:rsidDel="00AB48A9" w14:paraId="5387CF6F" w14:textId="77777777" w:rsidTr="00FB6D2D">
        <w:tc>
          <w:tcPr>
            <w:tcW w:w="647" w:type="pct"/>
            <w:tcMar>
              <w:top w:w="28" w:type="dxa"/>
              <w:left w:w="28" w:type="dxa"/>
            </w:tcMar>
          </w:tcPr>
          <w:p w14:paraId="573FEBC5"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4A44D1A9"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C9694</w:t>
            </w:r>
          </w:p>
        </w:tc>
        <w:tc>
          <w:tcPr>
            <w:tcW w:w="274" w:type="pct"/>
            <w:tcMar>
              <w:top w:w="28" w:type="dxa"/>
              <w:left w:w="28" w:type="dxa"/>
            </w:tcMar>
          </w:tcPr>
          <w:p w14:paraId="4D2C2C37"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32A9226F"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Nephrotic syndrome</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have failed prior treatment with steroids and cytostatic drugs; OR</w:t>
            </w:r>
            <w:r w:rsidRPr="006D52A9">
              <w:rPr>
                <w:rFonts w:ascii="Arial" w:hAnsi="Arial" w:cs="Arial"/>
                <w:sz w:val="16"/>
                <w:szCs w:val="16"/>
              </w:rPr>
              <w:br/>
              <w:t>Patient must be intolerant to treatment with steroids and cytostatic drugs; OR</w:t>
            </w:r>
            <w:r w:rsidRPr="006D52A9">
              <w:rPr>
                <w:rFonts w:ascii="Arial" w:hAnsi="Arial" w:cs="Arial"/>
                <w:sz w:val="16"/>
                <w:szCs w:val="16"/>
              </w:rPr>
              <w:br/>
              <w:t>The condition must be considered inappropriate for treatment with steroids and cytostatic drugs; AND</w:t>
            </w:r>
            <w:r w:rsidRPr="006D52A9">
              <w:rPr>
                <w:rFonts w:ascii="Arial" w:hAnsi="Arial" w:cs="Arial"/>
                <w:sz w:val="16"/>
                <w:szCs w:val="16"/>
              </w:rPr>
              <w:br/>
              <w:t>Patient must not have renal impairment.</w:t>
            </w:r>
            <w:r w:rsidRPr="006D52A9">
              <w:rPr>
                <w:rFonts w:ascii="Arial" w:hAnsi="Arial" w:cs="Arial"/>
                <w:sz w:val="16"/>
                <w:szCs w:val="16"/>
              </w:rPr>
              <w:br/>
              <w:t>Must be treated by a nephrologist.</w:t>
            </w:r>
          </w:p>
        </w:tc>
        <w:tc>
          <w:tcPr>
            <w:tcW w:w="929" w:type="pct"/>
            <w:tcMar>
              <w:top w:w="28" w:type="dxa"/>
              <w:left w:w="28" w:type="dxa"/>
              <w:right w:w="57" w:type="dxa"/>
            </w:tcMar>
          </w:tcPr>
          <w:p w14:paraId="1D9AB7BF"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9694</w:t>
            </w:r>
          </w:p>
        </w:tc>
      </w:tr>
      <w:tr w:rsidR="008F47B8" w:rsidRPr="006D52A9" w:rsidDel="00447720" w14:paraId="53DE7612" w14:textId="77777777" w:rsidTr="00FB6D2D">
        <w:tc>
          <w:tcPr>
            <w:tcW w:w="647" w:type="pct"/>
            <w:tcMar>
              <w:top w:w="28" w:type="dxa"/>
              <w:left w:w="28" w:type="dxa"/>
            </w:tcMar>
          </w:tcPr>
          <w:p w14:paraId="1C2DC63E" w14:textId="77777777" w:rsidR="008F47B8" w:rsidRPr="006D52A9" w:rsidDel="00447720" w:rsidRDefault="008F47B8" w:rsidP="00FB6D2D">
            <w:pPr>
              <w:spacing w:after="60" w:line="240" w:lineRule="auto"/>
              <w:rPr>
                <w:rFonts w:ascii="Arial" w:hAnsi="Arial" w:cs="Arial"/>
                <w:sz w:val="16"/>
                <w:szCs w:val="16"/>
              </w:rPr>
            </w:pPr>
          </w:p>
        </w:tc>
        <w:tc>
          <w:tcPr>
            <w:tcW w:w="283" w:type="pct"/>
            <w:tcMar>
              <w:top w:w="28" w:type="dxa"/>
              <w:left w:w="28" w:type="dxa"/>
            </w:tcMar>
          </w:tcPr>
          <w:p w14:paraId="231B0819" w14:textId="77777777" w:rsidR="008F47B8" w:rsidRPr="006D52A9" w:rsidDel="00447720" w:rsidRDefault="008F47B8" w:rsidP="00FB6D2D">
            <w:pPr>
              <w:spacing w:after="60" w:line="240" w:lineRule="auto"/>
              <w:rPr>
                <w:rFonts w:ascii="Arial" w:hAnsi="Arial" w:cs="Arial"/>
                <w:sz w:val="16"/>
                <w:szCs w:val="16"/>
              </w:rPr>
            </w:pPr>
            <w:r w:rsidRPr="006D52A9">
              <w:rPr>
                <w:rFonts w:ascii="Arial" w:hAnsi="Arial" w:cs="Arial"/>
                <w:sz w:val="16"/>
                <w:szCs w:val="16"/>
              </w:rPr>
              <w:t>C9695</w:t>
            </w:r>
          </w:p>
        </w:tc>
        <w:tc>
          <w:tcPr>
            <w:tcW w:w="274" w:type="pct"/>
            <w:tcMar>
              <w:top w:w="28" w:type="dxa"/>
              <w:left w:w="28" w:type="dxa"/>
            </w:tcMar>
          </w:tcPr>
          <w:p w14:paraId="5F127D2C" w14:textId="77777777" w:rsidR="008F47B8" w:rsidRPr="006D52A9" w:rsidDel="00447720" w:rsidRDefault="008F47B8" w:rsidP="00FB6D2D">
            <w:pPr>
              <w:spacing w:after="60" w:line="240" w:lineRule="auto"/>
              <w:rPr>
                <w:rFonts w:ascii="Arial" w:hAnsi="Arial" w:cs="Arial"/>
                <w:sz w:val="16"/>
                <w:szCs w:val="16"/>
              </w:rPr>
            </w:pPr>
          </w:p>
        </w:tc>
        <w:tc>
          <w:tcPr>
            <w:tcW w:w="2867" w:type="pct"/>
            <w:tcMar>
              <w:top w:w="28" w:type="dxa"/>
              <w:left w:w="28" w:type="dxa"/>
            </w:tcMar>
          </w:tcPr>
          <w:p w14:paraId="6358F5DF" w14:textId="77777777" w:rsidR="008F47B8" w:rsidRPr="006D52A9" w:rsidDel="00447720" w:rsidRDefault="008F47B8" w:rsidP="00FB6D2D">
            <w:pPr>
              <w:spacing w:after="60" w:line="240" w:lineRule="auto"/>
              <w:rPr>
                <w:rFonts w:ascii="Arial" w:hAnsi="Arial" w:cs="Arial"/>
                <w:sz w:val="16"/>
                <w:szCs w:val="16"/>
              </w:rPr>
            </w:pPr>
            <w:r w:rsidRPr="006D52A9">
              <w:rPr>
                <w:rFonts w:ascii="Arial" w:hAnsi="Arial" w:cs="Arial"/>
                <w:sz w:val="16"/>
                <w:szCs w:val="16"/>
              </w:rPr>
              <w:t>Severe atopic dermatitis</w:t>
            </w:r>
            <w:r w:rsidRPr="006D52A9">
              <w:rPr>
                <w:rFonts w:ascii="Arial" w:hAnsi="Arial" w:cs="Arial"/>
                <w:sz w:val="16"/>
                <w:szCs w:val="16"/>
              </w:rPr>
              <w:br/>
              <w:t>Management (initiation, stabilisation and review of therapy)</w:t>
            </w:r>
            <w:r w:rsidRPr="006D52A9">
              <w:rPr>
                <w:rFonts w:ascii="Arial" w:hAnsi="Arial" w:cs="Arial"/>
                <w:sz w:val="16"/>
                <w:szCs w:val="16"/>
              </w:rPr>
              <w:br/>
              <w:t>Must be treated by a dermatologist; OR</w:t>
            </w:r>
            <w:r w:rsidRPr="006D52A9">
              <w:rPr>
                <w:rFonts w:ascii="Arial" w:hAnsi="Arial" w:cs="Arial"/>
                <w:sz w:val="16"/>
                <w:szCs w:val="16"/>
              </w:rPr>
              <w:br/>
              <w:t>Must be treated by a clinical immunologist.</w:t>
            </w:r>
            <w:r w:rsidRPr="006D52A9">
              <w:rPr>
                <w:rFonts w:ascii="Arial" w:hAnsi="Arial" w:cs="Arial"/>
                <w:sz w:val="16"/>
                <w:szCs w:val="16"/>
              </w:rPr>
              <w:br/>
              <w:t>The condition must be ineffective to other systemic therapies; OR</w:t>
            </w:r>
            <w:r w:rsidRPr="006D52A9">
              <w:rPr>
                <w:rFonts w:ascii="Arial" w:hAnsi="Arial" w:cs="Arial"/>
                <w:sz w:val="16"/>
                <w:szCs w:val="16"/>
              </w:rPr>
              <w:br/>
              <w:t>The condition must be inappropriate for other systemic therapies.</w:t>
            </w:r>
          </w:p>
        </w:tc>
        <w:tc>
          <w:tcPr>
            <w:tcW w:w="929" w:type="pct"/>
            <w:tcMar>
              <w:top w:w="28" w:type="dxa"/>
              <w:left w:w="28" w:type="dxa"/>
              <w:right w:w="57" w:type="dxa"/>
            </w:tcMar>
          </w:tcPr>
          <w:p w14:paraId="66DD53A3" w14:textId="77777777" w:rsidR="008F47B8" w:rsidRPr="006D52A9" w:rsidDel="00447720"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9695</w:t>
            </w:r>
          </w:p>
        </w:tc>
      </w:tr>
      <w:tr w:rsidR="008F47B8" w:rsidRPr="006D52A9" w:rsidDel="00AB48A9" w14:paraId="5CEF37F4" w14:textId="77777777" w:rsidTr="00FB6D2D">
        <w:tc>
          <w:tcPr>
            <w:tcW w:w="647" w:type="pct"/>
            <w:tcMar>
              <w:top w:w="28" w:type="dxa"/>
              <w:left w:w="28" w:type="dxa"/>
            </w:tcMar>
          </w:tcPr>
          <w:p w14:paraId="186472EC"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60998E2A"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C9742</w:t>
            </w:r>
          </w:p>
        </w:tc>
        <w:tc>
          <w:tcPr>
            <w:tcW w:w="274" w:type="pct"/>
            <w:tcMar>
              <w:top w:w="28" w:type="dxa"/>
              <w:left w:w="28" w:type="dxa"/>
            </w:tcMar>
          </w:tcPr>
          <w:p w14:paraId="7DEFD791"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752DCE9B"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Management (initiation, stabilisation and review of therapy)</w:t>
            </w:r>
            <w:r w:rsidRPr="006D52A9">
              <w:rPr>
                <w:rFonts w:ascii="Arial" w:hAnsi="Arial" w:cs="Arial"/>
                <w:sz w:val="16"/>
                <w:szCs w:val="16"/>
              </w:rPr>
              <w:br/>
              <w:t>The condition must have been ineffective to prior treatment with classical slow</w:t>
            </w:r>
            <w:r w:rsidR="0026100E">
              <w:rPr>
                <w:rFonts w:ascii="Arial" w:hAnsi="Arial" w:cs="Arial"/>
                <w:sz w:val="16"/>
                <w:szCs w:val="16"/>
              </w:rPr>
              <w:noBreakHyphen/>
            </w:r>
            <w:r w:rsidRPr="006D52A9">
              <w:rPr>
                <w:rFonts w:ascii="Arial" w:hAnsi="Arial" w:cs="Arial"/>
                <w:sz w:val="16"/>
                <w:szCs w:val="16"/>
              </w:rPr>
              <w:t>acting anti</w:t>
            </w:r>
            <w:r w:rsidR="0026100E">
              <w:rPr>
                <w:rFonts w:ascii="Arial" w:hAnsi="Arial" w:cs="Arial"/>
                <w:sz w:val="16"/>
                <w:szCs w:val="16"/>
              </w:rPr>
              <w:noBreakHyphen/>
            </w:r>
            <w:r w:rsidRPr="006D52A9">
              <w:rPr>
                <w:rFonts w:ascii="Arial" w:hAnsi="Arial" w:cs="Arial"/>
                <w:sz w:val="16"/>
                <w:szCs w:val="16"/>
              </w:rPr>
              <w:t>rheumatic agents (including methotrexate); OR</w:t>
            </w:r>
            <w:r w:rsidRPr="006D52A9">
              <w:rPr>
                <w:rFonts w:ascii="Arial" w:hAnsi="Arial" w:cs="Arial"/>
                <w:sz w:val="16"/>
                <w:szCs w:val="16"/>
              </w:rPr>
              <w:br/>
              <w:t>The condition must be considered inappropriate for treatment with slow</w:t>
            </w:r>
            <w:r w:rsidR="0026100E">
              <w:rPr>
                <w:rFonts w:ascii="Arial" w:hAnsi="Arial" w:cs="Arial"/>
                <w:sz w:val="16"/>
                <w:szCs w:val="16"/>
              </w:rPr>
              <w:noBreakHyphen/>
            </w:r>
            <w:r w:rsidRPr="006D52A9">
              <w:rPr>
                <w:rFonts w:ascii="Arial" w:hAnsi="Arial" w:cs="Arial"/>
                <w:sz w:val="16"/>
                <w:szCs w:val="16"/>
              </w:rPr>
              <w:t>acting anti</w:t>
            </w:r>
            <w:r w:rsidR="0026100E">
              <w:rPr>
                <w:rFonts w:ascii="Arial" w:hAnsi="Arial" w:cs="Arial"/>
                <w:sz w:val="16"/>
                <w:szCs w:val="16"/>
              </w:rPr>
              <w:noBreakHyphen/>
            </w:r>
            <w:r w:rsidRPr="006D52A9">
              <w:rPr>
                <w:rFonts w:ascii="Arial" w:hAnsi="Arial" w:cs="Arial"/>
                <w:sz w:val="16"/>
                <w:szCs w:val="16"/>
              </w:rPr>
              <w:t>rheumatic agents (including methotrexate).</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w:t>
            </w:r>
          </w:p>
        </w:tc>
        <w:tc>
          <w:tcPr>
            <w:tcW w:w="929" w:type="pct"/>
            <w:tcMar>
              <w:top w:w="28" w:type="dxa"/>
              <w:left w:w="28" w:type="dxa"/>
              <w:right w:w="57" w:type="dxa"/>
            </w:tcMar>
          </w:tcPr>
          <w:p w14:paraId="795C171A"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9742</w:t>
            </w:r>
          </w:p>
        </w:tc>
      </w:tr>
      <w:tr w:rsidR="008F47B8" w:rsidRPr="006D52A9" w:rsidDel="00AB48A9" w14:paraId="733AD355" w14:textId="77777777" w:rsidTr="00FB6D2D">
        <w:tc>
          <w:tcPr>
            <w:tcW w:w="647" w:type="pct"/>
            <w:tcMar>
              <w:top w:w="28" w:type="dxa"/>
              <w:left w:w="28" w:type="dxa"/>
            </w:tcMar>
          </w:tcPr>
          <w:p w14:paraId="6042810D"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725DC1C3"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C9763</w:t>
            </w:r>
          </w:p>
        </w:tc>
        <w:tc>
          <w:tcPr>
            <w:tcW w:w="274" w:type="pct"/>
            <w:tcMar>
              <w:top w:w="28" w:type="dxa"/>
              <w:left w:w="28" w:type="dxa"/>
            </w:tcMar>
          </w:tcPr>
          <w:p w14:paraId="11DF4137"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3CD599B2"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Severe psoriasis</w:t>
            </w:r>
            <w:r w:rsidRPr="006D52A9">
              <w:rPr>
                <w:rFonts w:ascii="Arial" w:hAnsi="Arial" w:cs="Arial"/>
                <w:sz w:val="16"/>
                <w:szCs w:val="16"/>
              </w:rPr>
              <w:br/>
              <w:t>Management (initiation, stabilisation and review of therapy)</w:t>
            </w:r>
            <w:r w:rsidRPr="006D52A9">
              <w:rPr>
                <w:rFonts w:ascii="Arial" w:hAnsi="Arial" w:cs="Arial"/>
                <w:sz w:val="16"/>
                <w:szCs w:val="16"/>
              </w:rPr>
              <w:br/>
              <w:t>The condition must be ineffective to other systemic therapies; OR</w:t>
            </w:r>
            <w:r w:rsidRPr="006D52A9">
              <w:rPr>
                <w:rFonts w:ascii="Arial" w:hAnsi="Arial" w:cs="Arial"/>
                <w:sz w:val="16"/>
                <w:szCs w:val="16"/>
              </w:rPr>
              <w:br/>
              <w:t>The condition must be inappropriate for other systemic therapies; AND</w:t>
            </w:r>
            <w:r w:rsidRPr="006D52A9">
              <w:rPr>
                <w:rFonts w:ascii="Arial" w:hAnsi="Arial" w:cs="Arial"/>
                <w:sz w:val="16"/>
                <w:szCs w:val="16"/>
              </w:rPr>
              <w:br/>
              <w:t>The condition must have caused significant interference with quality of life.</w:t>
            </w:r>
            <w:r w:rsidRPr="006D52A9">
              <w:rPr>
                <w:rFonts w:ascii="Arial" w:hAnsi="Arial" w:cs="Arial"/>
                <w:sz w:val="16"/>
                <w:szCs w:val="16"/>
              </w:rPr>
              <w:br/>
              <w:t>Must be treated by a dermatologist.</w:t>
            </w:r>
          </w:p>
        </w:tc>
        <w:tc>
          <w:tcPr>
            <w:tcW w:w="929" w:type="pct"/>
            <w:tcMar>
              <w:top w:w="28" w:type="dxa"/>
              <w:left w:w="28" w:type="dxa"/>
              <w:right w:w="57" w:type="dxa"/>
            </w:tcMar>
          </w:tcPr>
          <w:p w14:paraId="69761CC6"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9763</w:t>
            </w:r>
          </w:p>
        </w:tc>
      </w:tr>
      <w:tr w:rsidR="008F47B8" w:rsidRPr="006D52A9" w:rsidDel="00AB48A9" w14:paraId="65EC484A" w14:textId="77777777" w:rsidTr="00FB6D2D">
        <w:tc>
          <w:tcPr>
            <w:tcW w:w="647" w:type="pct"/>
            <w:tcMar>
              <w:top w:w="28" w:type="dxa"/>
              <w:left w:w="28" w:type="dxa"/>
            </w:tcMar>
          </w:tcPr>
          <w:p w14:paraId="32CA6A4D"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1A5CE0B8"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C9764</w:t>
            </w:r>
          </w:p>
        </w:tc>
        <w:tc>
          <w:tcPr>
            <w:tcW w:w="274" w:type="pct"/>
            <w:tcMar>
              <w:top w:w="28" w:type="dxa"/>
              <w:left w:w="28" w:type="dxa"/>
            </w:tcMar>
          </w:tcPr>
          <w:p w14:paraId="7825B707"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59EB6C9F"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Management of transplant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have had an organ or tissue transplantation;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37B2EAF3"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9764</w:t>
            </w:r>
          </w:p>
        </w:tc>
      </w:tr>
      <w:tr w:rsidR="008F47B8" w:rsidRPr="006D52A9" w:rsidDel="00AB48A9" w14:paraId="5FCE05A7" w14:textId="77777777" w:rsidTr="00FB6D2D">
        <w:tc>
          <w:tcPr>
            <w:tcW w:w="647" w:type="pct"/>
            <w:tcMar>
              <w:top w:w="28" w:type="dxa"/>
              <w:left w:w="28" w:type="dxa"/>
            </w:tcMar>
          </w:tcPr>
          <w:p w14:paraId="349E1AD2"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3077BF42"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C9831</w:t>
            </w:r>
          </w:p>
        </w:tc>
        <w:tc>
          <w:tcPr>
            <w:tcW w:w="274" w:type="pct"/>
            <w:tcMar>
              <w:top w:w="28" w:type="dxa"/>
              <w:left w:w="28" w:type="dxa"/>
            </w:tcMar>
          </w:tcPr>
          <w:p w14:paraId="7CF12010"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496804E4"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Management of transplant rejection</w:t>
            </w:r>
            <w:r w:rsidRPr="006D52A9">
              <w:rPr>
                <w:rFonts w:ascii="Arial" w:hAnsi="Arial" w:cs="Arial"/>
                <w:sz w:val="16"/>
                <w:szCs w:val="16"/>
              </w:rPr>
              <w:br/>
              <w:t>The treatment must be used by organ or tissue transplant recipients.</w:t>
            </w:r>
          </w:p>
        </w:tc>
        <w:tc>
          <w:tcPr>
            <w:tcW w:w="929" w:type="pct"/>
            <w:tcMar>
              <w:top w:w="28" w:type="dxa"/>
              <w:left w:w="28" w:type="dxa"/>
              <w:right w:w="57" w:type="dxa"/>
            </w:tcMar>
          </w:tcPr>
          <w:p w14:paraId="36907B11"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9831</w:t>
            </w:r>
          </w:p>
        </w:tc>
      </w:tr>
      <w:tr w:rsidR="008F47B8" w:rsidRPr="006D52A9" w:rsidDel="00AB48A9" w14:paraId="037C760D" w14:textId="77777777" w:rsidTr="00FB6D2D">
        <w:tc>
          <w:tcPr>
            <w:tcW w:w="647" w:type="pct"/>
            <w:tcMar>
              <w:top w:w="28" w:type="dxa"/>
              <w:left w:w="28" w:type="dxa"/>
            </w:tcMar>
          </w:tcPr>
          <w:p w14:paraId="7DBBC6A2" w14:textId="77777777" w:rsidR="008F47B8" w:rsidRPr="006D52A9" w:rsidDel="00AB48A9" w:rsidRDefault="008F47B8" w:rsidP="00FB6D2D">
            <w:pPr>
              <w:spacing w:after="60" w:line="240" w:lineRule="auto"/>
              <w:rPr>
                <w:rFonts w:ascii="Arial" w:hAnsi="Arial" w:cs="Arial"/>
                <w:sz w:val="16"/>
                <w:szCs w:val="16"/>
              </w:rPr>
            </w:pPr>
            <w:r w:rsidRPr="006D52A9">
              <w:rPr>
                <w:rFonts w:ascii="Arial" w:hAnsi="Arial" w:cs="Arial"/>
                <w:sz w:val="16"/>
                <w:szCs w:val="16"/>
              </w:rPr>
              <w:t>Cinacalcet</w:t>
            </w:r>
          </w:p>
        </w:tc>
        <w:tc>
          <w:tcPr>
            <w:tcW w:w="283" w:type="pct"/>
            <w:tcMar>
              <w:top w:w="28" w:type="dxa"/>
              <w:left w:w="28" w:type="dxa"/>
            </w:tcMar>
          </w:tcPr>
          <w:p w14:paraId="27C0356E"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C10063</w:t>
            </w:r>
          </w:p>
        </w:tc>
        <w:tc>
          <w:tcPr>
            <w:tcW w:w="274" w:type="pct"/>
            <w:tcMar>
              <w:top w:w="28" w:type="dxa"/>
              <w:left w:w="28" w:type="dxa"/>
            </w:tcMar>
          </w:tcPr>
          <w:p w14:paraId="13CE8B1D"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75BB9C51"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Secondary hyperparathyroidism</w:t>
            </w:r>
            <w:r w:rsidRPr="006D52A9">
              <w:rPr>
                <w:rFonts w:ascii="Arial" w:hAnsi="Arial" w:cs="Arial"/>
                <w:sz w:val="16"/>
                <w:szCs w:val="16"/>
              </w:rPr>
              <w:br/>
              <w:t>Continuing treatment</w:t>
            </w:r>
            <w:r w:rsidRPr="006D52A9">
              <w:rPr>
                <w:rFonts w:ascii="Arial" w:hAnsi="Arial" w:cs="Arial"/>
                <w:sz w:val="16"/>
                <w:szCs w:val="16"/>
              </w:rPr>
              <w:br/>
              <w:t>Must be treated by a nephrologist.</w:t>
            </w:r>
            <w:r w:rsidRPr="006D52A9">
              <w:rPr>
                <w:rFonts w:ascii="Arial" w:hAnsi="Arial" w:cs="Arial"/>
                <w:sz w:val="16"/>
                <w:szCs w:val="16"/>
              </w:rPr>
              <w:br/>
              <w:t>Patient must have chronic kidney disease; AND</w:t>
            </w:r>
            <w:r w:rsidRPr="006D52A9">
              <w:rPr>
                <w:rFonts w:ascii="Arial" w:hAnsi="Arial" w:cs="Arial"/>
                <w:sz w:val="16"/>
                <w:szCs w:val="16"/>
              </w:rPr>
              <w:br/>
              <w:t>Patient must be on dialysis;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During the maintenance phase, iPTH should be monitored quarterly (measured at least 12 hours post dose) and dose adjusted as necessary to maintain an appropriate iPTH concentration.</w:t>
            </w:r>
            <w:r w:rsidRPr="006D52A9">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929" w:type="pct"/>
            <w:tcMar>
              <w:top w:w="28" w:type="dxa"/>
              <w:left w:w="28" w:type="dxa"/>
              <w:right w:w="57" w:type="dxa"/>
            </w:tcMar>
          </w:tcPr>
          <w:p w14:paraId="3968C5E3"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10063</w:t>
            </w:r>
          </w:p>
        </w:tc>
      </w:tr>
      <w:tr w:rsidR="008F47B8" w:rsidRPr="006D52A9" w:rsidDel="00AB48A9" w14:paraId="5E3AD4C3" w14:textId="77777777" w:rsidTr="00FB6D2D">
        <w:tc>
          <w:tcPr>
            <w:tcW w:w="647" w:type="pct"/>
            <w:tcMar>
              <w:top w:w="28" w:type="dxa"/>
              <w:left w:w="28" w:type="dxa"/>
            </w:tcMar>
          </w:tcPr>
          <w:p w14:paraId="58C9895E"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46A7C147"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C10067</w:t>
            </w:r>
          </w:p>
        </w:tc>
        <w:tc>
          <w:tcPr>
            <w:tcW w:w="274" w:type="pct"/>
            <w:tcMar>
              <w:top w:w="28" w:type="dxa"/>
              <w:left w:w="28" w:type="dxa"/>
            </w:tcMar>
          </w:tcPr>
          <w:p w14:paraId="2CAE8A60"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3EFF4696"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Secondary hyperparathyroidism</w:t>
            </w:r>
            <w:r w:rsidRPr="006D52A9">
              <w:rPr>
                <w:rFonts w:ascii="Arial" w:hAnsi="Arial" w:cs="Arial"/>
                <w:sz w:val="16"/>
                <w:szCs w:val="16"/>
              </w:rPr>
              <w:br/>
              <w:t>Continuing treatment</w:t>
            </w:r>
            <w:r w:rsidRPr="006D52A9">
              <w:rPr>
                <w:rFonts w:ascii="Arial" w:hAnsi="Arial" w:cs="Arial"/>
                <w:sz w:val="16"/>
                <w:szCs w:val="16"/>
              </w:rPr>
              <w:br/>
              <w:t>Must be treated by a nephrologist.</w:t>
            </w:r>
            <w:r w:rsidRPr="006D52A9">
              <w:rPr>
                <w:rFonts w:ascii="Arial" w:hAnsi="Arial" w:cs="Arial"/>
                <w:sz w:val="16"/>
                <w:szCs w:val="16"/>
              </w:rPr>
              <w:br/>
              <w:t>Patient must have chronic kidney disease; AND</w:t>
            </w:r>
            <w:r w:rsidRPr="006D52A9">
              <w:rPr>
                <w:rFonts w:ascii="Arial" w:hAnsi="Arial" w:cs="Arial"/>
                <w:sz w:val="16"/>
                <w:szCs w:val="16"/>
              </w:rPr>
              <w:br/>
              <w:t>Patient must be on dialysis; AND</w:t>
            </w:r>
            <w:r w:rsidRPr="006D52A9">
              <w:rPr>
                <w:rFonts w:ascii="Arial" w:hAnsi="Arial" w:cs="Arial"/>
                <w:sz w:val="16"/>
                <w:szCs w:val="16"/>
              </w:rPr>
              <w:br/>
            </w:r>
            <w:r w:rsidRPr="006D52A9">
              <w:rPr>
                <w:rFonts w:ascii="Arial" w:hAnsi="Arial" w:cs="Arial"/>
                <w:sz w:val="16"/>
                <w:szCs w:val="16"/>
              </w:rPr>
              <w:lastRenderedPageBreak/>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During the maintenance phase, iPTH should be monitored quarterly (measured at least 12 hours post dose) and dose adjusted as necessary to maintain an appropriate iPTH concentration.</w:t>
            </w:r>
            <w:r w:rsidRPr="006D52A9">
              <w:rPr>
                <w:rFonts w:ascii="Arial" w:hAnsi="Arial" w:cs="Arial"/>
                <w:sz w:val="16"/>
                <w:szCs w:val="16"/>
              </w:rPr>
              <w:br/>
              <w:t>During the maintenance phase, prescribers should request approval to allow sufficient supply for 4 weeks treatment up to a maximum of 6 months supply, with doses between 30 and 180 mg per day according to the patient’s response and tolerability.</w:t>
            </w:r>
          </w:p>
        </w:tc>
        <w:tc>
          <w:tcPr>
            <w:tcW w:w="929" w:type="pct"/>
            <w:tcMar>
              <w:top w:w="28" w:type="dxa"/>
              <w:left w:w="28" w:type="dxa"/>
              <w:right w:w="57" w:type="dxa"/>
            </w:tcMar>
          </w:tcPr>
          <w:p w14:paraId="6243CDCB"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10067</w:t>
            </w:r>
          </w:p>
        </w:tc>
      </w:tr>
      <w:tr w:rsidR="008F47B8" w:rsidRPr="006D52A9" w:rsidDel="00AB48A9" w14:paraId="7655C044" w14:textId="77777777" w:rsidTr="00FB6D2D">
        <w:tc>
          <w:tcPr>
            <w:tcW w:w="647" w:type="pct"/>
            <w:tcMar>
              <w:top w:w="28" w:type="dxa"/>
              <w:left w:w="28" w:type="dxa"/>
            </w:tcMar>
          </w:tcPr>
          <w:p w14:paraId="12012BE3" w14:textId="77777777" w:rsidR="008F47B8" w:rsidRPr="006D52A9" w:rsidDel="00AB48A9" w:rsidRDefault="008F47B8" w:rsidP="00FB6D2D">
            <w:pPr>
              <w:spacing w:after="60" w:line="240" w:lineRule="auto"/>
              <w:rPr>
                <w:rFonts w:ascii="Arial" w:hAnsi="Arial" w:cs="Arial"/>
                <w:sz w:val="16"/>
                <w:szCs w:val="16"/>
              </w:rPr>
            </w:pPr>
          </w:p>
        </w:tc>
        <w:tc>
          <w:tcPr>
            <w:tcW w:w="283" w:type="pct"/>
            <w:tcMar>
              <w:top w:w="28" w:type="dxa"/>
              <w:left w:w="28" w:type="dxa"/>
            </w:tcMar>
          </w:tcPr>
          <w:p w14:paraId="51FD5E48"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C10073</w:t>
            </w:r>
          </w:p>
        </w:tc>
        <w:tc>
          <w:tcPr>
            <w:tcW w:w="274" w:type="pct"/>
            <w:tcMar>
              <w:top w:w="28" w:type="dxa"/>
              <w:left w:w="28" w:type="dxa"/>
            </w:tcMar>
          </w:tcPr>
          <w:p w14:paraId="0016E08E" w14:textId="77777777" w:rsidR="008F47B8" w:rsidRPr="006D52A9" w:rsidDel="00AB48A9" w:rsidRDefault="008F47B8" w:rsidP="00FB6D2D">
            <w:pPr>
              <w:spacing w:after="60" w:line="240" w:lineRule="auto"/>
              <w:rPr>
                <w:rFonts w:ascii="Arial" w:hAnsi="Arial" w:cs="Arial"/>
                <w:sz w:val="16"/>
                <w:szCs w:val="16"/>
              </w:rPr>
            </w:pPr>
          </w:p>
        </w:tc>
        <w:tc>
          <w:tcPr>
            <w:tcW w:w="2867" w:type="pct"/>
            <w:tcMar>
              <w:top w:w="28" w:type="dxa"/>
              <w:left w:w="28" w:type="dxa"/>
            </w:tcMar>
          </w:tcPr>
          <w:p w14:paraId="08B14663"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Secondary hyperparathyroidism</w:t>
            </w:r>
            <w:r w:rsidRPr="006D52A9">
              <w:rPr>
                <w:rFonts w:ascii="Arial" w:hAnsi="Arial" w:cs="Arial"/>
                <w:sz w:val="16"/>
                <w:szCs w:val="16"/>
              </w:rPr>
              <w:br/>
              <w:t>Initial treatment</w:t>
            </w:r>
            <w:r w:rsidRPr="006D52A9">
              <w:rPr>
                <w:rFonts w:ascii="Arial" w:hAnsi="Arial" w:cs="Arial"/>
                <w:sz w:val="16"/>
                <w:szCs w:val="16"/>
              </w:rPr>
              <w:br/>
              <w:t>Must be treated by a nephrologist.</w:t>
            </w:r>
            <w:r w:rsidRPr="006D52A9">
              <w:rPr>
                <w:rFonts w:ascii="Arial" w:hAnsi="Arial" w:cs="Arial"/>
                <w:sz w:val="16"/>
                <w:szCs w:val="16"/>
              </w:rPr>
              <w:br/>
              <w:t>Patient must have chronic kidney disease; AND</w:t>
            </w:r>
            <w:r w:rsidRPr="006D52A9">
              <w:rPr>
                <w:rFonts w:ascii="Arial" w:hAnsi="Arial" w:cs="Arial"/>
                <w:sz w:val="16"/>
                <w:szCs w:val="16"/>
              </w:rPr>
              <w:br/>
              <w:t>Patient must be on dialysis; AND</w:t>
            </w:r>
            <w:r w:rsidRPr="006D52A9">
              <w:rPr>
                <w:rFonts w:ascii="Arial" w:hAnsi="Arial" w:cs="Arial"/>
                <w:sz w:val="16"/>
                <w:szCs w:val="16"/>
              </w:rPr>
              <w:br/>
              <w:t>Patient must have failed to respond to conventional therapy; AND</w:t>
            </w:r>
            <w:r w:rsidRPr="006D52A9">
              <w:rPr>
                <w:rFonts w:ascii="Arial" w:hAnsi="Arial" w:cs="Arial"/>
                <w:sz w:val="16"/>
                <w:szCs w:val="16"/>
              </w:rPr>
              <w:br/>
              <w:t>Patient must have sustained hyperparathyroidism with iPTH of at least 50 pmol per L; OR</w:t>
            </w:r>
            <w:r w:rsidRPr="006D52A9">
              <w:rPr>
                <w:rFonts w:ascii="Arial" w:hAnsi="Arial" w:cs="Arial"/>
                <w:sz w:val="16"/>
                <w:szCs w:val="16"/>
              </w:rPr>
              <w:br/>
              <w:t>Patient must have sustained hyperparathyroidism with iPTH of at least 15 pmol per L and less than 50 pmol per L and an (adjusted) serum calcium concentration at least 2.6 mmol per L.</w:t>
            </w:r>
            <w:r w:rsidRPr="006D52A9">
              <w:rPr>
                <w:rFonts w:ascii="Arial" w:hAnsi="Arial" w:cs="Arial"/>
                <w:sz w:val="16"/>
                <w:szCs w:val="16"/>
              </w:rPr>
              <w:br/>
              <w:t>During the titration phase, intact PTH (iPTH) should be monitored 4 weekly (measured at least 12 hours post dose) and dose titrated until an appropriate iPTH concentration is achieved.</w:t>
            </w:r>
            <w:r w:rsidRPr="006D52A9">
              <w:rPr>
                <w:rFonts w:ascii="Arial" w:hAnsi="Arial" w:cs="Arial"/>
                <w:sz w:val="16"/>
                <w:szCs w:val="16"/>
              </w:rPr>
              <w:br/>
              <w:t>During the titration phase, prescribers should request approval to allow sufficient supply for 4 weeks treatment at a time, with doses between 30 and 180 mg per day according to the patient’s response and tolerability.</w:t>
            </w:r>
          </w:p>
        </w:tc>
        <w:tc>
          <w:tcPr>
            <w:tcW w:w="929" w:type="pct"/>
            <w:tcMar>
              <w:top w:w="28" w:type="dxa"/>
              <w:left w:w="28" w:type="dxa"/>
              <w:right w:w="57" w:type="dxa"/>
            </w:tcMar>
          </w:tcPr>
          <w:p w14:paraId="13E5EA2F"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503DA9" w14:paraId="49F20E55" w14:textId="77777777" w:rsidTr="00FB6D2D">
        <w:tc>
          <w:tcPr>
            <w:tcW w:w="647" w:type="pct"/>
            <w:tcBorders>
              <w:bottom w:val="single" w:sz="4" w:space="0" w:color="auto"/>
            </w:tcBorders>
            <w:tcMar>
              <w:top w:w="28" w:type="dxa"/>
              <w:left w:w="28" w:type="dxa"/>
            </w:tcMar>
          </w:tcPr>
          <w:p w14:paraId="52BDEB61" w14:textId="77777777" w:rsidR="008F47B8" w:rsidRPr="006D52A9" w:rsidDel="00503DA9" w:rsidRDefault="008F47B8" w:rsidP="00FB6D2D">
            <w:pPr>
              <w:spacing w:line="240" w:lineRule="auto"/>
              <w:rPr>
                <w:rFonts w:ascii="Arial" w:hAnsi="Arial" w:cs="Arial"/>
                <w:sz w:val="16"/>
                <w:szCs w:val="16"/>
              </w:rPr>
            </w:pPr>
            <w:bookmarkStart w:id="77" w:name="CU_55210392"/>
            <w:bookmarkStart w:id="78" w:name="CU_56215953"/>
            <w:bookmarkStart w:id="79" w:name="CU_58227432"/>
            <w:bookmarkStart w:id="80" w:name="CU_59228199"/>
            <w:bookmarkStart w:id="81" w:name="CU_64234815"/>
            <w:bookmarkEnd w:id="77"/>
            <w:bookmarkEnd w:id="78"/>
            <w:bookmarkEnd w:id="79"/>
            <w:bookmarkEnd w:id="80"/>
            <w:bookmarkEnd w:id="81"/>
            <w:r w:rsidRPr="006D52A9">
              <w:rPr>
                <w:rFonts w:ascii="Arial" w:hAnsi="Arial" w:cs="Arial"/>
                <w:sz w:val="16"/>
                <w:szCs w:val="16"/>
              </w:rPr>
              <w:t>Clozapine</w:t>
            </w:r>
          </w:p>
        </w:tc>
        <w:tc>
          <w:tcPr>
            <w:tcW w:w="283" w:type="pct"/>
            <w:tcBorders>
              <w:bottom w:val="single" w:sz="4" w:space="0" w:color="auto"/>
            </w:tcBorders>
            <w:tcMar>
              <w:top w:w="28" w:type="dxa"/>
              <w:left w:w="28" w:type="dxa"/>
            </w:tcMar>
          </w:tcPr>
          <w:p w14:paraId="5AFBC79F"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C4998</w:t>
            </w:r>
          </w:p>
        </w:tc>
        <w:tc>
          <w:tcPr>
            <w:tcW w:w="274" w:type="pct"/>
            <w:tcBorders>
              <w:bottom w:val="single" w:sz="4" w:space="0" w:color="auto"/>
            </w:tcBorders>
            <w:tcMar>
              <w:top w:w="28" w:type="dxa"/>
              <w:left w:w="28" w:type="dxa"/>
            </w:tcMar>
          </w:tcPr>
          <w:p w14:paraId="0826015F" w14:textId="77777777" w:rsidR="008F47B8" w:rsidRPr="006D52A9" w:rsidDel="00503D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350F4E7D"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Schizophrenia</w:t>
            </w:r>
            <w:r w:rsidRPr="006D52A9">
              <w:rPr>
                <w:rFonts w:ascii="Arial" w:hAnsi="Arial" w:cs="Arial"/>
                <w:sz w:val="16"/>
                <w:szCs w:val="16"/>
              </w:rPr>
              <w:br/>
              <w:t>Continuing treatment</w:t>
            </w:r>
            <w:r w:rsidRPr="006D52A9">
              <w:rPr>
                <w:rFonts w:ascii="Arial" w:hAnsi="Arial" w:cs="Arial"/>
                <w:sz w:val="16"/>
                <w:szCs w:val="16"/>
              </w:rPr>
              <w:br/>
              <w:t>Must be treated by a psychiatrist; OR</w:t>
            </w:r>
            <w:r w:rsidRPr="006D52A9">
              <w:rPr>
                <w:rFonts w:ascii="Arial" w:hAnsi="Arial" w:cs="Arial"/>
                <w:sz w:val="16"/>
                <w:szCs w:val="16"/>
              </w:rPr>
              <w:br/>
              <w:t>Must be treated by an authorised medical practitioner, with the agreement of the treating psychiatrist.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with this drug for this condition; AND</w:t>
            </w:r>
            <w:r w:rsidRPr="006D52A9">
              <w:rPr>
                <w:rFonts w:ascii="Arial" w:hAnsi="Arial" w:cs="Arial"/>
                <w:sz w:val="16"/>
                <w:szCs w:val="16"/>
              </w:rPr>
              <w:br/>
              <w:t>Patient must have completed at least 18 weeks therapy; AND</w:t>
            </w:r>
            <w:r w:rsidRPr="006D52A9">
              <w:rPr>
                <w:rFonts w:ascii="Arial" w:hAnsi="Arial" w:cs="Arial"/>
                <w:sz w:val="16"/>
                <w:szCs w:val="16"/>
              </w:rPr>
              <w:br/>
              <w:t>Patient must be on a clozapine dosage considered stable by a treating psychiatrist; AND</w:t>
            </w:r>
            <w:r w:rsidRPr="006D52A9">
              <w:rPr>
                <w:rFonts w:ascii="Arial" w:hAnsi="Arial" w:cs="Arial"/>
                <w:sz w:val="16"/>
                <w:szCs w:val="16"/>
              </w:rPr>
              <w:br/>
              <w:t>The treatment must be under the supervision and direction of a psychiatrist reviewing the patient at regular intervals.</w:t>
            </w:r>
            <w:r w:rsidRPr="006D52A9">
              <w:rPr>
                <w:rFonts w:ascii="Arial" w:hAnsi="Arial" w:cs="Arial"/>
                <w:sz w:val="16"/>
                <w:szCs w:val="16"/>
              </w:rPr>
              <w:br/>
              <w:t>A medical practitioner should request a quantity sufficient for up to one month’s supply. Up to 5 repeats will be authorised.</w:t>
            </w:r>
          </w:p>
        </w:tc>
        <w:tc>
          <w:tcPr>
            <w:tcW w:w="929" w:type="pct"/>
            <w:tcBorders>
              <w:bottom w:val="single" w:sz="4" w:space="0" w:color="auto"/>
            </w:tcBorders>
            <w:tcMar>
              <w:top w:w="28" w:type="dxa"/>
              <w:left w:w="28" w:type="dxa"/>
              <w:right w:w="57" w:type="dxa"/>
            </w:tcMar>
          </w:tcPr>
          <w:p w14:paraId="2742D4FF"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4998</w:t>
            </w:r>
          </w:p>
        </w:tc>
      </w:tr>
      <w:tr w:rsidR="008F47B8" w:rsidRPr="006D52A9" w:rsidDel="00503DA9" w14:paraId="60664F26" w14:textId="77777777" w:rsidTr="00FB6D2D">
        <w:tc>
          <w:tcPr>
            <w:tcW w:w="647" w:type="pct"/>
            <w:tcBorders>
              <w:bottom w:val="single" w:sz="4" w:space="0" w:color="auto"/>
            </w:tcBorders>
            <w:tcMar>
              <w:top w:w="28" w:type="dxa"/>
              <w:left w:w="28" w:type="dxa"/>
            </w:tcMar>
          </w:tcPr>
          <w:p w14:paraId="661CA898" w14:textId="77777777" w:rsidR="008F47B8" w:rsidRPr="006D52A9" w:rsidDel="00503D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747CC7A0"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C5015</w:t>
            </w:r>
          </w:p>
        </w:tc>
        <w:tc>
          <w:tcPr>
            <w:tcW w:w="274" w:type="pct"/>
            <w:tcBorders>
              <w:bottom w:val="single" w:sz="4" w:space="0" w:color="auto"/>
            </w:tcBorders>
            <w:tcMar>
              <w:top w:w="28" w:type="dxa"/>
              <w:left w:w="28" w:type="dxa"/>
            </w:tcMar>
          </w:tcPr>
          <w:p w14:paraId="7203415A" w14:textId="77777777" w:rsidR="008F47B8" w:rsidRPr="006D52A9" w:rsidDel="00503D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1EF2032"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Schizophrenia</w:t>
            </w:r>
            <w:r w:rsidRPr="006D52A9">
              <w:rPr>
                <w:rFonts w:ascii="Arial" w:hAnsi="Arial" w:cs="Arial"/>
                <w:sz w:val="16"/>
                <w:szCs w:val="16"/>
              </w:rPr>
              <w:br/>
              <w:t>Initial treatment</w:t>
            </w:r>
            <w:r w:rsidRPr="006D52A9">
              <w:rPr>
                <w:rFonts w:ascii="Arial" w:hAnsi="Arial" w:cs="Arial"/>
                <w:sz w:val="16"/>
                <w:szCs w:val="16"/>
              </w:rPr>
              <w:br/>
              <w:t>Must be treated by a psychiatrist or in consultation with the psychiatrist affiliated with the hospital or specialised unit managing the patient.</w:t>
            </w:r>
            <w:r w:rsidRPr="006D52A9">
              <w:rPr>
                <w:rFonts w:ascii="Arial" w:hAnsi="Arial" w:cs="Arial"/>
                <w:sz w:val="16"/>
                <w:szCs w:val="16"/>
              </w:rPr>
              <w:br/>
              <w:t>Patient must be non</w:t>
            </w:r>
            <w:r w:rsidR="0026100E">
              <w:rPr>
                <w:rFonts w:ascii="Arial" w:hAnsi="Arial" w:cs="Arial"/>
                <w:sz w:val="16"/>
                <w:szCs w:val="16"/>
              </w:rPr>
              <w:noBreakHyphen/>
            </w:r>
            <w:r w:rsidRPr="006D52A9">
              <w:rPr>
                <w:rFonts w:ascii="Arial" w:hAnsi="Arial" w:cs="Arial"/>
                <w:sz w:val="16"/>
                <w:szCs w:val="16"/>
              </w:rPr>
              <w:t>responsive to other neuroleptic agents; OR</w:t>
            </w:r>
            <w:r w:rsidRPr="006D52A9">
              <w:rPr>
                <w:rFonts w:ascii="Arial" w:hAnsi="Arial" w:cs="Arial"/>
                <w:sz w:val="16"/>
                <w:szCs w:val="16"/>
              </w:rPr>
              <w:br/>
              <w:t>Patient must be intolerant of other neuroleptic agents.</w:t>
            </w:r>
            <w:r w:rsidRPr="006D52A9">
              <w:rPr>
                <w:rFonts w:ascii="Arial" w:hAnsi="Arial" w:cs="Arial"/>
                <w:sz w:val="16"/>
                <w:szCs w:val="16"/>
              </w:rPr>
              <w:br/>
              <w:t>Patients must complete at least 18 weeks of initial treatment under this restriction before being able to qualify for treatment under the continuing restriction.</w:t>
            </w:r>
            <w:r w:rsidRPr="006D52A9">
              <w:rPr>
                <w:rFonts w:ascii="Arial" w:hAnsi="Arial" w:cs="Arial"/>
                <w:sz w:val="16"/>
                <w:szCs w:val="16"/>
              </w:rPr>
              <w:br/>
              <w:t>The name of the consulting psychiatrist should be included in the patient’s medical records.</w:t>
            </w:r>
            <w:r w:rsidRPr="006D52A9">
              <w:rPr>
                <w:rFonts w:ascii="Arial" w:hAnsi="Arial" w:cs="Arial"/>
                <w:sz w:val="16"/>
                <w:szCs w:val="16"/>
              </w:rPr>
              <w:br/>
            </w:r>
            <w:r w:rsidRPr="006D52A9">
              <w:rPr>
                <w:rFonts w:ascii="Arial" w:hAnsi="Arial" w:cs="Arial"/>
                <w:sz w:val="16"/>
                <w:szCs w:val="16"/>
              </w:rPr>
              <w:lastRenderedPageBreak/>
              <w:t>A medical practitioner should request a quantity sufficient for up to one month’s supply. Up to 5 repeats will be authorised.</w:t>
            </w:r>
          </w:p>
        </w:tc>
        <w:tc>
          <w:tcPr>
            <w:tcW w:w="929" w:type="pct"/>
            <w:tcBorders>
              <w:bottom w:val="single" w:sz="4" w:space="0" w:color="auto"/>
            </w:tcBorders>
            <w:tcMar>
              <w:top w:w="28" w:type="dxa"/>
              <w:left w:w="28" w:type="dxa"/>
              <w:right w:w="57" w:type="dxa"/>
            </w:tcMar>
          </w:tcPr>
          <w:p w14:paraId="4DB2D370"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5015</w:t>
            </w:r>
          </w:p>
        </w:tc>
      </w:tr>
      <w:tr w:rsidR="008F47B8" w:rsidRPr="006D52A9" w:rsidDel="002D20DA" w14:paraId="5A676E4A" w14:textId="77777777" w:rsidTr="00FB6D2D">
        <w:tc>
          <w:tcPr>
            <w:tcW w:w="647" w:type="pct"/>
            <w:tcBorders>
              <w:bottom w:val="single" w:sz="4" w:space="0" w:color="auto"/>
            </w:tcBorders>
            <w:tcMar>
              <w:top w:w="28" w:type="dxa"/>
              <w:left w:w="28" w:type="dxa"/>
            </w:tcMar>
          </w:tcPr>
          <w:p w14:paraId="4FF73F05" w14:textId="77777777" w:rsidR="008F47B8" w:rsidRPr="006D52A9" w:rsidDel="002D20DA"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5B3970F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C9490</w:t>
            </w:r>
          </w:p>
        </w:tc>
        <w:tc>
          <w:tcPr>
            <w:tcW w:w="274" w:type="pct"/>
            <w:tcBorders>
              <w:bottom w:val="single" w:sz="4" w:space="0" w:color="auto"/>
            </w:tcBorders>
            <w:tcMar>
              <w:top w:w="28" w:type="dxa"/>
              <w:left w:w="28" w:type="dxa"/>
            </w:tcMar>
          </w:tcPr>
          <w:p w14:paraId="45AF9EE1" w14:textId="77777777" w:rsidR="008F47B8" w:rsidRPr="006D52A9" w:rsidDel="002D20DA"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7D6EEDD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Schizophrenia</w:t>
            </w:r>
            <w:r w:rsidRPr="006D52A9">
              <w:rPr>
                <w:rFonts w:ascii="Arial" w:hAnsi="Arial" w:cs="Arial"/>
                <w:sz w:val="16"/>
                <w:szCs w:val="16"/>
              </w:rPr>
              <w:br/>
              <w:t>Initial treatment</w:t>
            </w:r>
            <w:r w:rsidRPr="006D52A9">
              <w:rPr>
                <w:rFonts w:ascii="Arial" w:hAnsi="Arial" w:cs="Arial"/>
                <w:sz w:val="16"/>
                <w:szCs w:val="16"/>
              </w:rPr>
              <w:br/>
              <w:t>Must be treated by a psychiatrist or in consultation with the psychiatrist affiliated with the hospital or specialised unit managing the patient.</w:t>
            </w:r>
            <w:r w:rsidRPr="006D52A9">
              <w:rPr>
                <w:rFonts w:ascii="Arial" w:hAnsi="Arial" w:cs="Arial"/>
                <w:sz w:val="16"/>
                <w:szCs w:val="16"/>
              </w:rPr>
              <w:br/>
              <w:t>Patient must be non</w:t>
            </w:r>
            <w:r w:rsidR="0026100E">
              <w:rPr>
                <w:rFonts w:ascii="Arial" w:hAnsi="Arial" w:cs="Arial"/>
                <w:sz w:val="16"/>
                <w:szCs w:val="16"/>
              </w:rPr>
              <w:noBreakHyphen/>
            </w:r>
            <w:r w:rsidRPr="006D52A9">
              <w:rPr>
                <w:rFonts w:ascii="Arial" w:hAnsi="Arial" w:cs="Arial"/>
                <w:sz w:val="16"/>
                <w:szCs w:val="16"/>
              </w:rPr>
              <w:t>responsive to other neuroleptic agents; OR</w:t>
            </w:r>
            <w:r w:rsidRPr="006D52A9">
              <w:rPr>
                <w:rFonts w:ascii="Arial" w:hAnsi="Arial" w:cs="Arial"/>
                <w:sz w:val="16"/>
                <w:szCs w:val="16"/>
              </w:rPr>
              <w:br/>
              <w:t>Patient must be intolerant of other neuroleptic agents.</w:t>
            </w:r>
            <w:r w:rsidRPr="006D52A9">
              <w:rPr>
                <w:rFonts w:ascii="Arial" w:hAnsi="Arial" w:cs="Arial"/>
                <w:sz w:val="16"/>
                <w:szCs w:val="16"/>
              </w:rPr>
              <w:br/>
              <w:t>Patients must complete at least 18 weeks of initial treatment under this restriction before being able to qualify for treatment under the continuing restriction.</w:t>
            </w:r>
            <w:r w:rsidRPr="006D52A9">
              <w:rPr>
                <w:rFonts w:ascii="Arial" w:hAnsi="Arial" w:cs="Arial"/>
                <w:sz w:val="16"/>
                <w:szCs w:val="16"/>
              </w:rPr>
              <w:br/>
              <w:t>The name of the consulting psychiatrist should be included in the patient’s medical records.</w:t>
            </w:r>
            <w:r w:rsidRPr="006D52A9">
              <w:rPr>
                <w:rFonts w:ascii="Arial" w:hAnsi="Arial" w:cs="Arial"/>
                <w:sz w:val="16"/>
                <w:szCs w:val="16"/>
              </w:rPr>
              <w:br/>
              <w:t>A medical practitioner should request a quantity sufficient for up to one month’s supply. Up to 5 repeats will be authorised.</w:t>
            </w:r>
          </w:p>
        </w:tc>
        <w:tc>
          <w:tcPr>
            <w:tcW w:w="929" w:type="pct"/>
            <w:tcBorders>
              <w:bottom w:val="single" w:sz="4" w:space="0" w:color="auto"/>
            </w:tcBorders>
            <w:tcMar>
              <w:top w:w="28" w:type="dxa"/>
              <w:left w:w="28" w:type="dxa"/>
              <w:right w:w="57" w:type="dxa"/>
            </w:tcMar>
          </w:tcPr>
          <w:p w14:paraId="23A70B4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9490</w:t>
            </w:r>
          </w:p>
        </w:tc>
      </w:tr>
      <w:tr w:rsidR="008F47B8" w:rsidRPr="006D52A9" w:rsidDel="00E02E18" w14:paraId="61CF8C7F" w14:textId="77777777" w:rsidTr="00FB6D2D">
        <w:trPr>
          <w:cantSplit/>
        </w:trPr>
        <w:tc>
          <w:tcPr>
            <w:tcW w:w="647" w:type="pct"/>
            <w:tcMar>
              <w:top w:w="28" w:type="dxa"/>
              <w:left w:w="28" w:type="dxa"/>
            </w:tcMar>
          </w:tcPr>
          <w:p w14:paraId="4CFEF721" w14:textId="77777777" w:rsidR="008F47B8" w:rsidRPr="006D52A9" w:rsidDel="00E02E18" w:rsidRDefault="008F47B8" w:rsidP="00FB6D2D">
            <w:pPr>
              <w:spacing w:line="240" w:lineRule="auto"/>
              <w:rPr>
                <w:rFonts w:ascii="Arial" w:hAnsi="Arial" w:cs="Arial"/>
                <w:sz w:val="16"/>
                <w:szCs w:val="16"/>
              </w:rPr>
            </w:pPr>
            <w:bookmarkStart w:id="82" w:name="CU_71237633"/>
            <w:bookmarkStart w:id="83" w:name="CU_79240660"/>
            <w:bookmarkEnd w:id="82"/>
            <w:bookmarkEnd w:id="83"/>
            <w:r w:rsidRPr="006D52A9">
              <w:rPr>
                <w:rFonts w:ascii="Arial" w:hAnsi="Arial" w:cs="Arial"/>
                <w:sz w:val="16"/>
                <w:szCs w:val="16"/>
              </w:rPr>
              <w:t>Darbepoetin Alfa</w:t>
            </w:r>
          </w:p>
        </w:tc>
        <w:tc>
          <w:tcPr>
            <w:tcW w:w="283" w:type="pct"/>
            <w:tcMar>
              <w:top w:w="28" w:type="dxa"/>
              <w:left w:w="28" w:type="dxa"/>
            </w:tcMar>
          </w:tcPr>
          <w:p w14:paraId="6C5B9C8E"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C6294</w:t>
            </w:r>
          </w:p>
        </w:tc>
        <w:tc>
          <w:tcPr>
            <w:tcW w:w="274" w:type="pct"/>
            <w:tcMar>
              <w:top w:w="28" w:type="dxa"/>
              <w:left w:w="28" w:type="dxa"/>
            </w:tcMar>
          </w:tcPr>
          <w:p w14:paraId="1191DF30" w14:textId="77777777" w:rsidR="008F47B8" w:rsidRPr="006D52A9" w:rsidDel="00E02E18" w:rsidRDefault="008F47B8" w:rsidP="00FB6D2D">
            <w:pPr>
              <w:spacing w:line="240" w:lineRule="auto"/>
              <w:rPr>
                <w:rFonts w:ascii="Arial" w:hAnsi="Arial" w:cs="Arial"/>
                <w:sz w:val="16"/>
                <w:szCs w:val="16"/>
              </w:rPr>
            </w:pPr>
          </w:p>
        </w:tc>
        <w:tc>
          <w:tcPr>
            <w:tcW w:w="2867" w:type="pct"/>
            <w:tcMar>
              <w:top w:w="28" w:type="dxa"/>
              <w:left w:w="28" w:type="dxa"/>
            </w:tcMar>
          </w:tcPr>
          <w:p w14:paraId="242BE19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p>
          <w:p w14:paraId="427B588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require transfusion; AND</w:t>
            </w:r>
          </w:p>
          <w:p w14:paraId="1100A6C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a haemoglobin level of less than 100 g per L; AND</w:t>
            </w:r>
          </w:p>
          <w:p w14:paraId="610B4223"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Patient must have intrinsic renal disease, as assessed by a nephrologist.</w:t>
            </w:r>
          </w:p>
        </w:tc>
        <w:tc>
          <w:tcPr>
            <w:tcW w:w="929" w:type="pct"/>
            <w:tcMar>
              <w:top w:w="28" w:type="dxa"/>
              <w:left w:w="28" w:type="dxa"/>
              <w:right w:w="57" w:type="dxa"/>
            </w:tcMar>
          </w:tcPr>
          <w:p w14:paraId="07F51FBF"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6294</w:t>
            </w:r>
          </w:p>
        </w:tc>
      </w:tr>
      <w:tr w:rsidR="008F47B8" w:rsidRPr="006D52A9" w:rsidDel="00E02E18" w14:paraId="418B6785" w14:textId="77777777" w:rsidTr="00FB6D2D">
        <w:trPr>
          <w:cantSplit/>
        </w:trPr>
        <w:tc>
          <w:tcPr>
            <w:tcW w:w="647" w:type="pct"/>
            <w:tcMar>
              <w:top w:w="28" w:type="dxa"/>
              <w:left w:w="28" w:type="dxa"/>
            </w:tcMar>
          </w:tcPr>
          <w:p w14:paraId="724DC11F" w14:textId="77777777" w:rsidR="008F47B8" w:rsidRPr="006D52A9" w:rsidDel="00E02E18" w:rsidRDefault="008F47B8" w:rsidP="00FB6D2D">
            <w:pPr>
              <w:spacing w:line="240" w:lineRule="auto"/>
              <w:rPr>
                <w:rFonts w:ascii="Arial" w:hAnsi="Arial" w:cs="Arial"/>
                <w:sz w:val="16"/>
                <w:szCs w:val="16"/>
              </w:rPr>
            </w:pPr>
          </w:p>
        </w:tc>
        <w:tc>
          <w:tcPr>
            <w:tcW w:w="283" w:type="pct"/>
            <w:tcMar>
              <w:top w:w="28" w:type="dxa"/>
              <w:left w:w="28" w:type="dxa"/>
            </w:tcMar>
          </w:tcPr>
          <w:p w14:paraId="2BF6AC1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C9688</w:t>
            </w:r>
          </w:p>
        </w:tc>
        <w:tc>
          <w:tcPr>
            <w:tcW w:w="274" w:type="pct"/>
            <w:tcMar>
              <w:top w:w="28" w:type="dxa"/>
              <w:left w:w="28" w:type="dxa"/>
            </w:tcMar>
          </w:tcPr>
          <w:p w14:paraId="3133A792" w14:textId="77777777" w:rsidR="008F47B8" w:rsidRPr="006D52A9" w:rsidDel="00E02E18" w:rsidRDefault="008F47B8" w:rsidP="00FB6D2D">
            <w:pPr>
              <w:spacing w:line="240" w:lineRule="auto"/>
              <w:rPr>
                <w:rFonts w:ascii="Arial" w:hAnsi="Arial" w:cs="Arial"/>
                <w:sz w:val="16"/>
                <w:szCs w:val="16"/>
              </w:rPr>
            </w:pPr>
          </w:p>
        </w:tc>
        <w:tc>
          <w:tcPr>
            <w:tcW w:w="2867" w:type="pct"/>
            <w:tcMar>
              <w:top w:w="28" w:type="dxa"/>
              <w:left w:w="28" w:type="dxa"/>
            </w:tcMar>
          </w:tcPr>
          <w:p w14:paraId="25B06A0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Mar>
              <w:top w:w="28" w:type="dxa"/>
              <w:left w:w="28" w:type="dxa"/>
              <w:right w:w="57" w:type="dxa"/>
            </w:tcMar>
          </w:tcPr>
          <w:p w14:paraId="7BDF534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9688</w:t>
            </w:r>
          </w:p>
        </w:tc>
      </w:tr>
      <w:tr w:rsidR="008F47B8" w:rsidRPr="006D52A9" w14:paraId="55BF5404" w14:textId="77777777" w:rsidTr="00FB6D2D">
        <w:tc>
          <w:tcPr>
            <w:tcW w:w="647" w:type="pct"/>
            <w:tcMar>
              <w:top w:w="28" w:type="dxa"/>
              <w:left w:w="28" w:type="dxa"/>
            </w:tcMar>
          </w:tcPr>
          <w:p w14:paraId="1C0F3C2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Darunavir</w:t>
            </w:r>
          </w:p>
        </w:tc>
        <w:tc>
          <w:tcPr>
            <w:tcW w:w="283" w:type="pct"/>
            <w:tcMar>
              <w:top w:w="28" w:type="dxa"/>
              <w:left w:w="28" w:type="dxa"/>
            </w:tcMar>
          </w:tcPr>
          <w:p w14:paraId="0F8347B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C4313</w:t>
            </w:r>
          </w:p>
        </w:tc>
        <w:tc>
          <w:tcPr>
            <w:tcW w:w="274" w:type="pct"/>
            <w:tcMar>
              <w:top w:w="28" w:type="dxa"/>
              <w:left w:w="28" w:type="dxa"/>
            </w:tcMar>
          </w:tcPr>
          <w:p w14:paraId="3A61E229"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582E13B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Human immunodeficiency virus (HIV) infection</w:t>
            </w:r>
          </w:p>
          <w:p w14:paraId="7AB71EA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in addition to optimised background therapy, AND</w:t>
            </w:r>
          </w:p>
          <w:p w14:paraId="5E1F0DC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in combination with other antiretroviral agents, AND</w:t>
            </w:r>
          </w:p>
          <w:p w14:paraId="686199D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co</w:t>
            </w:r>
            <w:r w:rsidR="0026100E">
              <w:rPr>
                <w:rFonts w:ascii="Arial" w:hAnsi="Arial" w:cs="Arial"/>
                <w:sz w:val="16"/>
                <w:szCs w:val="16"/>
              </w:rPr>
              <w:noBreakHyphen/>
            </w:r>
            <w:r w:rsidRPr="006D52A9">
              <w:rPr>
                <w:rFonts w:ascii="Arial" w:hAnsi="Arial" w:cs="Arial"/>
                <w:sz w:val="16"/>
                <w:szCs w:val="16"/>
              </w:rPr>
              <w:t>administered with 100 mg ritonavir, AND</w:t>
            </w:r>
          </w:p>
          <w:p w14:paraId="0357863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experienced virological failure or clinical failure or genotypic resistance after at least one antiretroviral regimen, AND</w:t>
            </w:r>
          </w:p>
          <w:p w14:paraId="4FC43C1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not have demonstrated darunavir resistance associated mutations detected on resistance testing.</w:t>
            </w:r>
          </w:p>
          <w:p w14:paraId="364288A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sidR="0026100E">
              <w:rPr>
                <w:rFonts w:ascii="Arial" w:hAnsi="Arial" w:cs="Arial"/>
                <w:sz w:val="16"/>
                <w:szCs w:val="16"/>
              </w:rPr>
              <w:noBreakHyphen/>
            </w:r>
            <w:r w:rsidRPr="006D52A9">
              <w:rPr>
                <w:rFonts w:ascii="Arial" w:hAnsi="Arial" w:cs="Arial"/>
                <w:sz w:val="16"/>
                <w:szCs w:val="16"/>
              </w:rPr>
              <w:t>limiting toxicity.</w:t>
            </w:r>
          </w:p>
        </w:tc>
        <w:tc>
          <w:tcPr>
            <w:tcW w:w="929" w:type="pct"/>
            <w:tcMar>
              <w:top w:w="28" w:type="dxa"/>
              <w:left w:w="28" w:type="dxa"/>
              <w:right w:w="57" w:type="dxa"/>
            </w:tcMar>
          </w:tcPr>
          <w:p w14:paraId="3181A5B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4313</w:t>
            </w:r>
          </w:p>
        </w:tc>
      </w:tr>
      <w:tr w:rsidR="008F47B8" w:rsidRPr="006D52A9" w14:paraId="10D10480" w14:textId="77777777" w:rsidTr="00FB6D2D">
        <w:tc>
          <w:tcPr>
            <w:tcW w:w="647" w:type="pct"/>
            <w:tcMar>
              <w:top w:w="28" w:type="dxa"/>
              <w:left w:w="28" w:type="dxa"/>
            </w:tcMar>
          </w:tcPr>
          <w:p w14:paraId="280704EE"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3054F26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C5094</w:t>
            </w:r>
          </w:p>
        </w:tc>
        <w:tc>
          <w:tcPr>
            <w:tcW w:w="274" w:type="pct"/>
            <w:tcMar>
              <w:top w:w="28" w:type="dxa"/>
              <w:left w:w="28" w:type="dxa"/>
            </w:tcMar>
          </w:tcPr>
          <w:p w14:paraId="45E35DDC"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3E94ACF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Human immunodeficiency virus (HIV) infection</w:t>
            </w:r>
          </w:p>
          <w:p w14:paraId="68BC7D1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in addition to optimised background therapy, AND</w:t>
            </w:r>
          </w:p>
          <w:p w14:paraId="22178A6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in combination with other antiretroviral agents, AND</w:t>
            </w:r>
          </w:p>
          <w:p w14:paraId="7C25BAA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co</w:t>
            </w:r>
            <w:r w:rsidR="0026100E">
              <w:rPr>
                <w:rFonts w:ascii="Arial" w:hAnsi="Arial" w:cs="Arial"/>
                <w:sz w:val="16"/>
                <w:szCs w:val="16"/>
              </w:rPr>
              <w:noBreakHyphen/>
            </w:r>
            <w:r w:rsidRPr="006D52A9">
              <w:rPr>
                <w:rFonts w:ascii="Arial" w:hAnsi="Arial" w:cs="Arial"/>
                <w:sz w:val="16"/>
                <w:szCs w:val="16"/>
              </w:rPr>
              <w:t>administered with 100 mg ritonavir twice daily, AND</w:t>
            </w:r>
          </w:p>
          <w:p w14:paraId="4E778B9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experienced virological failure or clinical failure or genotypic resistance after at least one antiretroviral regimen.</w:t>
            </w:r>
          </w:p>
          <w:p w14:paraId="5B31F1F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Virological failure is defined as a viral load greater than 400 copies per mL on two consecutive occasions, while clinical failure is linked to emerging signs and symptoms of progressing HIV infection or </w:t>
            </w:r>
            <w:r w:rsidRPr="006D52A9">
              <w:rPr>
                <w:rFonts w:ascii="Arial" w:hAnsi="Arial" w:cs="Arial"/>
                <w:sz w:val="16"/>
                <w:szCs w:val="16"/>
              </w:rPr>
              <w:lastRenderedPageBreak/>
              <w:t>treatment</w:t>
            </w:r>
            <w:r w:rsidR="0026100E">
              <w:rPr>
                <w:rFonts w:ascii="Arial" w:hAnsi="Arial" w:cs="Arial"/>
                <w:sz w:val="16"/>
                <w:szCs w:val="16"/>
              </w:rPr>
              <w:noBreakHyphen/>
            </w:r>
            <w:r w:rsidRPr="006D52A9">
              <w:rPr>
                <w:rFonts w:ascii="Arial" w:hAnsi="Arial" w:cs="Arial"/>
                <w:sz w:val="16"/>
                <w:szCs w:val="16"/>
              </w:rPr>
              <w:t>limiting toxicity.</w:t>
            </w:r>
          </w:p>
        </w:tc>
        <w:tc>
          <w:tcPr>
            <w:tcW w:w="929" w:type="pct"/>
            <w:tcMar>
              <w:top w:w="28" w:type="dxa"/>
              <w:left w:w="28" w:type="dxa"/>
              <w:right w:w="57" w:type="dxa"/>
            </w:tcMar>
          </w:tcPr>
          <w:p w14:paraId="261BBA9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5094</w:t>
            </w:r>
          </w:p>
        </w:tc>
      </w:tr>
      <w:tr w:rsidR="008F47B8" w:rsidRPr="006D52A9" w14:paraId="10013A64" w14:textId="77777777" w:rsidTr="00FB6D2D">
        <w:trPr>
          <w:cantSplit/>
        </w:trPr>
        <w:tc>
          <w:tcPr>
            <w:tcW w:w="647" w:type="pct"/>
            <w:tcMar>
              <w:top w:w="28" w:type="dxa"/>
              <w:left w:w="28" w:type="dxa"/>
            </w:tcMar>
          </w:tcPr>
          <w:p w14:paraId="3DA6625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Darunavir with cobicistat</w:t>
            </w:r>
          </w:p>
        </w:tc>
        <w:tc>
          <w:tcPr>
            <w:tcW w:w="283" w:type="pct"/>
            <w:tcMar>
              <w:top w:w="28" w:type="dxa"/>
              <w:left w:w="28" w:type="dxa"/>
            </w:tcMar>
          </w:tcPr>
          <w:p w14:paraId="3317742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C6377</w:t>
            </w:r>
          </w:p>
        </w:tc>
        <w:tc>
          <w:tcPr>
            <w:tcW w:w="274" w:type="pct"/>
            <w:tcMar>
              <w:top w:w="28" w:type="dxa"/>
              <w:left w:w="28" w:type="dxa"/>
            </w:tcMar>
          </w:tcPr>
          <w:p w14:paraId="25CFE02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32D5EAF1" w14:textId="77777777" w:rsidR="008F47B8" w:rsidRPr="006D52A9" w:rsidRDefault="008F47B8" w:rsidP="00FB6D2D">
            <w:pPr>
              <w:spacing w:line="240" w:lineRule="auto"/>
              <w:rPr>
                <w:szCs w:val="16"/>
              </w:rPr>
            </w:pPr>
            <w:r w:rsidRPr="006D52A9">
              <w:rPr>
                <w:rFonts w:ascii="Arial" w:hAnsi="Arial" w:cs="Arial"/>
                <w:sz w:val="16"/>
                <w:szCs w:val="16"/>
              </w:rPr>
              <w:t>Human immunodeficiency virus (HIV) infection</w:t>
            </w:r>
          </w:p>
          <w:p w14:paraId="53A2E5AF" w14:textId="77777777" w:rsidR="008F47B8" w:rsidRPr="006D52A9" w:rsidRDefault="008F47B8" w:rsidP="00FB6D2D">
            <w:pPr>
              <w:spacing w:line="240" w:lineRule="auto"/>
              <w:rPr>
                <w:szCs w:val="16"/>
              </w:rPr>
            </w:pPr>
            <w:r w:rsidRPr="006D52A9">
              <w:rPr>
                <w:rFonts w:ascii="Arial" w:hAnsi="Arial" w:cs="Arial"/>
                <w:sz w:val="16"/>
                <w:szCs w:val="16"/>
              </w:rPr>
              <w:t>The treatment must be in addition to optimised background therapy; AND</w:t>
            </w:r>
          </w:p>
          <w:p w14:paraId="2B524504" w14:textId="77777777" w:rsidR="008F47B8" w:rsidRPr="006D52A9" w:rsidRDefault="008F47B8" w:rsidP="00FB6D2D">
            <w:pPr>
              <w:spacing w:line="240" w:lineRule="auto"/>
              <w:rPr>
                <w:szCs w:val="16"/>
              </w:rPr>
            </w:pPr>
            <w:r w:rsidRPr="006D52A9">
              <w:rPr>
                <w:rFonts w:ascii="Arial" w:hAnsi="Arial" w:cs="Arial"/>
                <w:sz w:val="16"/>
                <w:szCs w:val="16"/>
              </w:rPr>
              <w:t>The treatment must be in combination with other antiretroviral agents; AND</w:t>
            </w:r>
          </w:p>
          <w:p w14:paraId="0E2E6726" w14:textId="77777777" w:rsidR="008F47B8" w:rsidRPr="006D52A9" w:rsidRDefault="008F47B8" w:rsidP="00FB6D2D">
            <w:pPr>
              <w:spacing w:line="240" w:lineRule="auto"/>
              <w:rPr>
                <w:szCs w:val="16"/>
              </w:rPr>
            </w:pPr>
            <w:r w:rsidRPr="006D52A9">
              <w:rPr>
                <w:rFonts w:ascii="Arial" w:hAnsi="Arial" w:cs="Arial"/>
                <w:sz w:val="16"/>
                <w:szCs w:val="16"/>
              </w:rPr>
              <w:t>The treatment must not be in combination with ritonavir; AND</w:t>
            </w:r>
          </w:p>
          <w:p w14:paraId="2537D53A" w14:textId="77777777" w:rsidR="008F47B8" w:rsidRPr="006D52A9" w:rsidRDefault="008F47B8" w:rsidP="00FB6D2D">
            <w:pPr>
              <w:spacing w:line="240" w:lineRule="auto"/>
              <w:rPr>
                <w:szCs w:val="16"/>
              </w:rPr>
            </w:pPr>
            <w:r w:rsidRPr="006D52A9">
              <w:rPr>
                <w:rFonts w:ascii="Arial" w:hAnsi="Arial" w:cs="Arial"/>
                <w:sz w:val="16"/>
                <w:szCs w:val="16"/>
              </w:rPr>
              <w:t>Patient must have experienced virological failure or clinical failure or genotypic resistance after at least one antiretroviral regimen.</w:t>
            </w:r>
          </w:p>
          <w:p w14:paraId="69FBE34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Virological failure is defined as a viral load greater than 400 copies per mL on two consecutive occasions, while clinical failure is linked to emerging signs and symptoms of progressing HIV infection or treatment</w:t>
            </w:r>
            <w:r w:rsidR="0026100E">
              <w:rPr>
                <w:rFonts w:ascii="Arial" w:hAnsi="Arial" w:cs="Arial"/>
                <w:sz w:val="16"/>
                <w:szCs w:val="16"/>
              </w:rPr>
              <w:noBreakHyphen/>
            </w:r>
            <w:r w:rsidRPr="006D52A9">
              <w:rPr>
                <w:rFonts w:ascii="Arial" w:hAnsi="Arial" w:cs="Arial"/>
                <w:sz w:val="16"/>
                <w:szCs w:val="16"/>
              </w:rPr>
              <w:t>limiting toxicity.</w:t>
            </w:r>
          </w:p>
        </w:tc>
        <w:tc>
          <w:tcPr>
            <w:tcW w:w="929" w:type="pct"/>
            <w:tcMar>
              <w:top w:w="28" w:type="dxa"/>
              <w:left w:w="28" w:type="dxa"/>
              <w:right w:w="57" w:type="dxa"/>
            </w:tcMar>
          </w:tcPr>
          <w:p w14:paraId="7F4B8A2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6377</w:t>
            </w:r>
          </w:p>
        </w:tc>
      </w:tr>
      <w:tr w:rsidR="008F47B8" w:rsidRPr="006D52A9" w14:paraId="30591CE0" w14:textId="77777777" w:rsidTr="00FB6D2D">
        <w:trPr>
          <w:cantSplit/>
        </w:trPr>
        <w:tc>
          <w:tcPr>
            <w:tcW w:w="647" w:type="pct"/>
            <w:tcMar>
              <w:top w:w="28" w:type="dxa"/>
              <w:left w:w="28" w:type="dxa"/>
            </w:tcMar>
          </w:tcPr>
          <w:p w14:paraId="1A29D7FC"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524FA73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C6413</w:t>
            </w:r>
          </w:p>
        </w:tc>
        <w:tc>
          <w:tcPr>
            <w:tcW w:w="274" w:type="pct"/>
            <w:tcMar>
              <w:top w:w="28" w:type="dxa"/>
              <w:left w:w="28" w:type="dxa"/>
            </w:tcMar>
          </w:tcPr>
          <w:p w14:paraId="54CF3D4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2D6DB0A5" w14:textId="77777777" w:rsidR="008F47B8" w:rsidRPr="006D52A9" w:rsidRDefault="008F47B8" w:rsidP="00FB6D2D">
            <w:pPr>
              <w:spacing w:line="240" w:lineRule="auto"/>
              <w:rPr>
                <w:szCs w:val="16"/>
              </w:rPr>
            </w:pPr>
            <w:r w:rsidRPr="006D52A9">
              <w:rPr>
                <w:rFonts w:ascii="Arial" w:hAnsi="Arial" w:cs="Arial"/>
                <w:sz w:val="16"/>
                <w:szCs w:val="16"/>
              </w:rPr>
              <w:t>Human immunodeficiency virus (HIV) infection</w:t>
            </w:r>
          </w:p>
          <w:p w14:paraId="641E6F19" w14:textId="77777777" w:rsidR="008F47B8" w:rsidRPr="006D52A9" w:rsidRDefault="008F47B8" w:rsidP="00FB6D2D">
            <w:pPr>
              <w:spacing w:line="240" w:lineRule="auto"/>
              <w:rPr>
                <w:szCs w:val="16"/>
              </w:rPr>
            </w:pPr>
            <w:r w:rsidRPr="006D52A9">
              <w:rPr>
                <w:rFonts w:ascii="Arial" w:hAnsi="Arial" w:cs="Arial"/>
                <w:sz w:val="16"/>
                <w:szCs w:val="16"/>
              </w:rPr>
              <w:t>Initial treatment</w:t>
            </w:r>
          </w:p>
          <w:p w14:paraId="7E990505" w14:textId="77777777" w:rsidR="008F47B8" w:rsidRPr="006D52A9" w:rsidRDefault="008F47B8" w:rsidP="00FB6D2D">
            <w:pPr>
              <w:spacing w:line="240" w:lineRule="auto"/>
              <w:rPr>
                <w:szCs w:val="16"/>
              </w:rPr>
            </w:pPr>
            <w:r w:rsidRPr="006D52A9">
              <w:rPr>
                <w:rFonts w:ascii="Arial" w:hAnsi="Arial" w:cs="Arial"/>
                <w:sz w:val="16"/>
                <w:szCs w:val="16"/>
              </w:rPr>
              <w:t>Patient must be antiretroviral treatment naive; AND</w:t>
            </w:r>
          </w:p>
          <w:p w14:paraId="4F628315" w14:textId="77777777" w:rsidR="008F47B8" w:rsidRPr="006D52A9" w:rsidRDefault="008F47B8" w:rsidP="00FB6D2D">
            <w:pPr>
              <w:spacing w:line="240" w:lineRule="auto"/>
              <w:rPr>
                <w:szCs w:val="16"/>
              </w:rPr>
            </w:pPr>
            <w:r w:rsidRPr="006D52A9">
              <w:rPr>
                <w:rFonts w:ascii="Arial" w:hAnsi="Arial" w:cs="Arial"/>
                <w:sz w:val="16"/>
                <w:szCs w:val="16"/>
              </w:rPr>
              <w:t>The treatment must be in combination with other antiretroviral agents; AND</w:t>
            </w:r>
          </w:p>
          <w:p w14:paraId="114B969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not be in combination with ritonavir.</w:t>
            </w:r>
          </w:p>
        </w:tc>
        <w:tc>
          <w:tcPr>
            <w:tcW w:w="929" w:type="pct"/>
            <w:tcMar>
              <w:top w:w="28" w:type="dxa"/>
              <w:left w:w="28" w:type="dxa"/>
              <w:right w:w="57" w:type="dxa"/>
            </w:tcMar>
          </w:tcPr>
          <w:p w14:paraId="1BDE0B0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6413</w:t>
            </w:r>
          </w:p>
        </w:tc>
      </w:tr>
      <w:tr w:rsidR="008F47B8" w:rsidRPr="006D52A9" w14:paraId="6B056F8A" w14:textId="77777777" w:rsidTr="00FB6D2D">
        <w:trPr>
          <w:cantSplit/>
        </w:trPr>
        <w:tc>
          <w:tcPr>
            <w:tcW w:w="647" w:type="pct"/>
            <w:tcMar>
              <w:top w:w="28" w:type="dxa"/>
              <w:left w:w="28" w:type="dxa"/>
            </w:tcMar>
          </w:tcPr>
          <w:p w14:paraId="65B58C59"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00D61D6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C6428</w:t>
            </w:r>
          </w:p>
        </w:tc>
        <w:tc>
          <w:tcPr>
            <w:tcW w:w="274" w:type="pct"/>
            <w:tcMar>
              <w:top w:w="28" w:type="dxa"/>
              <w:left w:w="28" w:type="dxa"/>
            </w:tcMar>
          </w:tcPr>
          <w:p w14:paraId="3132E7EA"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08F7BA47" w14:textId="77777777" w:rsidR="008F47B8" w:rsidRPr="006D52A9" w:rsidRDefault="008F47B8" w:rsidP="00FB6D2D">
            <w:pPr>
              <w:spacing w:line="240" w:lineRule="auto"/>
              <w:rPr>
                <w:szCs w:val="16"/>
              </w:rPr>
            </w:pPr>
            <w:r w:rsidRPr="006D52A9">
              <w:rPr>
                <w:rFonts w:ascii="Arial" w:hAnsi="Arial" w:cs="Arial"/>
                <w:sz w:val="16"/>
                <w:szCs w:val="16"/>
              </w:rPr>
              <w:t>Human immunodeficiency virus (HIV) infection</w:t>
            </w:r>
          </w:p>
          <w:p w14:paraId="22B1F299" w14:textId="77777777" w:rsidR="008F47B8" w:rsidRPr="006D52A9" w:rsidRDefault="008F47B8" w:rsidP="00FB6D2D">
            <w:pPr>
              <w:spacing w:line="240" w:lineRule="auto"/>
              <w:rPr>
                <w:szCs w:val="16"/>
              </w:rPr>
            </w:pPr>
            <w:r w:rsidRPr="006D52A9">
              <w:rPr>
                <w:rFonts w:ascii="Arial" w:hAnsi="Arial" w:cs="Arial"/>
                <w:sz w:val="16"/>
                <w:szCs w:val="16"/>
              </w:rPr>
              <w:t>Continuing treatment</w:t>
            </w:r>
          </w:p>
          <w:p w14:paraId="1FB4ADA4" w14:textId="77777777" w:rsidR="008F47B8" w:rsidRPr="006D52A9" w:rsidRDefault="008F47B8" w:rsidP="00FB6D2D">
            <w:pPr>
              <w:spacing w:line="240" w:lineRule="auto"/>
              <w:rPr>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p>
          <w:p w14:paraId="7176246F" w14:textId="77777777" w:rsidR="008F47B8" w:rsidRPr="006D52A9" w:rsidRDefault="008F47B8" w:rsidP="00FB6D2D">
            <w:pPr>
              <w:spacing w:line="240" w:lineRule="auto"/>
              <w:rPr>
                <w:szCs w:val="16"/>
              </w:rPr>
            </w:pPr>
            <w:r w:rsidRPr="006D52A9">
              <w:rPr>
                <w:rFonts w:ascii="Arial" w:hAnsi="Arial" w:cs="Arial"/>
                <w:sz w:val="16"/>
                <w:szCs w:val="16"/>
              </w:rPr>
              <w:t>The treatment must be in combination with other antiretroviral agents; AND</w:t>
            </w:r>
          </w:p>
          <w:p w14:paraId="5C60B33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not be in combination with ritonavir.</w:t>
            </w:r>
          </w:p>
        </w:tc>
        <w:tc>
          <w:tcPr>
            <w:tcW w:w="929" w:type="pct"/>
            <w:tcMar>
              <w:top w:w="28" w:type="dxa"/>
              <w:left w:w="28" w:type="dxa"/>
              <w:right w:w="57" w:type="dxa"/>
            </w:tcMar>
          </w:tcPr>
          <w:p w14:paraId="04C7409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6428</w:t>
            </w:r>
          </w:p>
        </w:tc>
      </w:tr>
      <w:tr w:rsidR="008F47B8" w:rsidRPr="006D52A9" w14:paraId="69E0E013" w14:textId="77777777" w:rsidTr="00FB6D2D">
        <w:trPr>
          <w:cantSplit/>
        </w:trPr>
        <w:tc>
          <w:tcPr>
            <w:tcW w:w="647" w:type="pct"/>
            <w:tcMar>
              <w:top w:w="28" w:type="dxa"/>
              <w:left w:w="28" w:type="dxa"/>
            </w:tcMar>
          </w:tcPr>
          <w:p w14:paraId="4A94F20D"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22"/>
                <w:lang w:eastAsia="zh-CN"/>
              </w:rPr>
              <w:t>Darunavir with cobicistat, emtricitabine and tenofovir alafenamide</w:t>
            </w:r>
          </w:p>
        </w:tc>
        <w:tc>
          <w:tcPr>
            <w:tcW w:w="283" w:type="pct"/>
            <w:tcMar>
              <w:top w:w="28" w:type="dxa"/>
              <w:left w:w="28" w:type="dxa"/>
            </w:tcMar>
          </w:tcPr>
          <w:p w14:paraId="4F16AC5F"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22"/>
                <w:lang w:eastAsia="zh-CN"/>
              </w:rPr>
              <w:t xml:space="preserve">C10317 </w:t>
            </w:r>
          </w:p>
        </w:tc>
        <w:tc>
          <w:tcPr>
            <w:tcW w:w="274" w:type="pct"/>
            <w:tcMar>
              <w:top w:w="28" w:type="dxa"/>
              <w:left w:w="28" w:type="dxa"/>
            </w:tcMar>
          </w:tcPr>
          <w:p w14:paraId="33DF9593"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2379F2CF" w14:textId="77777777" w:rsidR="008F47B8" w:rsidRPr="006D52A9" w:rsidRDefault="008F47B8" w:rsidP="00FB6D2D">
            <w:pPr>
              <w:pStyle w:val="mps3-data"/>
              <w:spacing w:before="0" w:after="0"/>
              <w:rPr>
                <w:rFonts w:eastAsia="Times New Roman"/>
                <w:szCs w:val="16"/>
                <w:lang w:eastAsia="en-US"/>
              </w:rPr>
            </w:pPr>
            <w:r w:rsidRPr="006D52A9">
              <w:t>HIV infection</w:t>
            </w:r>
            <w:r w:rsidRPr="006D52A9">
              <w:br/>
              <w:t>Continuing treatment</w:t>
            </w:r>
            <w:r w:rsidRPr="006D52A9">
              <w:br/>
              <w:t>Must be treated by a medical practitioner or an authorised nurse practitioner in consultation with a medical practitioner.</w:t>
            </w:r>
            <w:r w:rsidRPr="006D52A9">
              <w:br/>
              <w:t>Patient must have previously received PBS</w:t>
            </w:r>
            <w:r w:rsidR="0026100E">
              <w:noBreakHyphen/>
            </w:r>
            <w:r w:rsidRPr="006D52A9">
              <w:t>subsidised therapy for HIV infection; AND</w:t>
            </w:r>
            <w:r w:rsidRPr="006D52A9">
              <w:br/>
              <w:t>The treatment must not be in combination with ritonavir.</w:t>
            </w:r>
          </w:p>
        </w:tc>
        <w:tc>
          <w:tcPr>
            <w:tcW w:w="929" w:type="pct"/>
            <w:tcMar>
              <w:top w:w="28" w:type="dxa"/>
              <w:left w:w="28" w:type="dxa"/>
              <w:right w:w="57" w:type="dxa"/>
            </w:tcMar>
          </w:tcPr>
          <w:p w14:paraId="1864B0D7"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22"/>
                <w:lang w:eastAsia="zh-CN"/>
              </w:rPr>
              <w:t xml:space="preserve">Compliance with Authority Required procedures </w:t>
            </w:r>
            <w:r w:rsidR="0026100E">
              <w:rPr>
                <w:rFonts w:ascii="Arial" w:eastAsia="Arial" w:hAnsi="Arial" w:cs="Arial"/>
                <w:sz w:val="16"/>
                <w:szCs w:val="22"/>
                <w:lang w:eastAsia="zh-CN"/>
              </w:rPr>
              <w:noBreakHyphen/>
            </w:r>
            <w:r w:rsidRPr="006D52A9">
              <w:rPr>
                <w:rFonts w:ascii="Arial" w:eastAsia="Arial" w:hAnsi="Arial" w:cs="Arial"/>
                <w:sz w:val="16"/>
                <w:szCs w:val="22"/>
                <w:lang w:eastAsia="zh-CN"/>
              </w:rPr>
              <w:t xml:space="preserve"> Streamlined Authority Code 10317</w:t>
            </w:r>
          </w:p>
        </w:tc>
      </w:tr>
      <w:tr w:rsidR="008F47B8" w:rsidRPr="006D52A9" w14:paraId="61C3E344" w14:textId="77777777" w:rsidTr="00FB6D2D">
        <w:trPr>
          <w:cantSplit/>
        </w:trPr>
        <w:tc>
          <w:tcPr>
            <w:tcW w:w="647" w:type="pct"/>
            <w:tcMar>
              <w:top w:w="28" w:type="dxa"/>
              <w:left w:w="28" w:type="dxa"/>
            </w:tcMar>
          </w:tcPr>
          <w:p w14:paraId="73012D0A"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0F29C74E"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22"/>
                <w:lang w:eastAsia="zh-CN"/>
              </w:rPr>
              <w:t>C10324</w:t>
            </w:r>
          </w:p>
        </w:tc>
        <w:tc>
          <w:tcPr>
            <w:tcW w:w="274" w:type="pct"/>
            <w:tcMar>
              <w:top w:w="28" w:type="dxa"/>
              <w:left w:w="28" w:type="dxa"/>
            </w:tcMar>
          </w:tcPr>
          <w:p w14:paraId="50CFB9C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4C15E05A" w14:textId="77777777" w:rsidR="008F47B8" w:rsidRPr="006D52A9" w:rsidRDefault="008F47B8" w:rsidP="00FB6D2D">
            <w:pPr>
              <w:pStyle w:val="mps3-data"/>
              <w:spacing w:before="0" w:after="0"/>
              <w:rPr>
                <w:rFonts w:eastAsia="Times New Roman"/>
                <w:szCs w:val="16"/>
                <w:lang w:eastAsia="en-US"/>
              </w:rPr>
            </w:pPr>
            <w:r w:rsidRPr="006D52A9">
              <w:t>HIV infection</w:t>
            </w:r>
            <w:r w:rsidRPr="006D52A9">
              <w:br/>
              <w:t>Initial treatment</w:t>
            </w:r>
            <w:r w:rsidRPr="006D52A9">
              <w:br/>
              <w:t>Must be treated by a medical practitioner or an authorised nurse practitioner in consultation with a medical practitioner.</w:t>
            </w:r>
            <w:r w:rsidRPr="006D52A9">
              <w:br/>
              <w:t>Patient must be antiretroviral treatment naive; OR</w:t>
            </w:r>
            <w:r w:rsidRPr="006D52A9">
              <w:br/>
              <w:t>Patient must have experienced virological failure or clinical failure or genotypic resistance after at least one antiretroviral regimen; AND</w:t>
            </w:r>
            <w:r w:rsidRPr="006D52A9">
              <w:br/>
              <w:t>The treatment must not be in combination with ritonavir.</w:t>
            </w:r>
            <w:r w:rsidRPr="006D52A9">
              <w:br/>
              <w:t>Virological failure is defined as a viral load greater than 400 copies per mL on two consecutive occasions, while clinical failure is linked to emerging signs and symptoms of progressing HIV infection or treatment</w:t>
            </w:r>
            <w:r w:rsidR="0026100E">
              <w:noBreakHyphen/>
            </w:r>
            <w:r w:rsidRPr="006D52A9">
              <w:t>limiting toxicity.</w:t>
            </w:r>
          </w:p>
        </w:tc>
        <w:tc>
          <w:tcPr>
            <w:tcW w:w="929" w:type="pct"/>
            <w:tcMar>
              <w:top w:w="28" w:type="dxa"/>
              <w:left w:w="28" w:type="dxa"/>
              <w:right w:w="57" w:type="dxa"/>
            </w:tcMar>
          </w:tcPr>
          <w:p w14:paraId="7E4CC238"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22"/>
                <w:lang w:eastAsia="zh-CN"/>
              </w:rPr>
              <w:t xml:space="preserve">Compliance with Authority Required procedures </w:t>
            </w:r>
            <w:r w:rsidR="0026100E">
              <w:rPr>
                <w:rFonts w:ascii="Arial" w:eastAsia="Arial" w:hAnsi="Arial" w:cs="Arial"/>
                <w:sz w:val="16"/>
                <w:szCs w:val="22"/>
                <w:lang w:eastAsia="zh-CN"/>
              </w:rPr>
              <w:noBreakHyphen/>
            </w:r>
            <w:r w:rsidRPr="006D52A9">
              <w:rPr>
                <w:rFonts w:ascii="Arial" w:eastAsia="Arial" w:hAnsi="Arial" w:cs="Arial"/>
                <w:sz w:val="16"/>
                <w:szCs w:val="22"/>
                <w:lang w:eastAsia="zh-CN"/>
              </w:rPr>
              <w:t xml:space="preserve"> Streamlined Authority Code 10324</w:t>
            </w:r>
          </w:p>
        </w:tc>
      </w:tr>
      <w:tr w:rsidR="008F47B8" w:rsidRPr="006D52A9" w14:paraId="5FBA3C95" w14:textId="77777777" w:rsidTr="00FB6D2D">
        <w:trPr>
          <w:cantSplit/>
        </w:trPr>
        <w:tc>
          <w:tcPr>
            <w:tcW w:w="647" w:type="pct"/>
            <w:tcMar>
              <w:top w:w="28" w:type="dxa"/>
              <w:left w:w="28" w:type="dxa"/>
            </w:tcMar>
          </w:tcPr>
          <w:p w14:paraId="32F28A8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Deferasirox</w:t>
            </w:r>
          </w:p>
        </w:tc>
        <w:tc>
          <w:tcPr>
            <w:tcW w:w="283" w:type="pct"/>
            <w:tcMar>
              <w:top w:w="28" w:type="dxa"/>
              <w:left w:w="28" w:type="dxa"/>
            </w:tcMar>
          </w:tcPr>
          <w:p w14:paraId="1DB973A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C7374</w:t>
            </w:r>
          </w:p>
        </w:tc>
        <w:tc>
          <w:tcPr>
            <w:tcW w:w="274" w:type="pct"/>
            <w:tcMar>
              <w:top w:w="28" w:type="dxa"/>
              <w:left w:w="28" w:type="dxa"/>
            </w:tcMar>
          </w:tcPr>
          <w:p w14:paraId="6E9684E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P7374</w:t>
            </w:r>
          </w:p>
        </w:tc>
        <w:tc>
          <w:tcPr>
            <w:tcW w:w="2867" w:type="pct"/>
            <w:tcMar>
              <w:top w:w="28" w:type="dxa"/>
              <w:left w:w="28" w:type="dxa"/>
            </w:tcMar>
          </w:tcPr>
          <w:p w14:paraId="1F74F3A6" w14:textId="77777777" w:rsidR="008F47B8" w:rsidRPr="006D52A9" w:rsidRDefault="008F47B8" w:rsidP="00FB6D2D">
            <w:pPr>
              <w:pStyle w:val="mps3-data"/>
              <w:spacing w:before="0" w:after="0"/>
              <w:rPr>
                <w:rFonts w:eastAsia="Times New Roman"/>
                <w:szCs w:val="16"/>
                <w:lang w:eastAsia="en-US"/>
              </w:rPr>
            </w:pPr>
            <w:r w:rsidRPr="006D52A9">
              <w:rPr>
                <w:rFonts w:eastAsia="Times New Roman"/>
                <w:szCs w:val="16"/>
                <w:lang w:eastAsia="en-US"/>
              </w:rPr>
              <w:t>Chronic iron overload</w:t>
            </w:r>
          </w:p>
          <w:p w14:paraId="64B3F275" w14:textId="77777777" w:rsidR="008F47B8" w:rsidRPr="006D52A9" w:rsidRDefault="008F47B8" w:rsidP="00FB6D2D">
            <w:pPr>
              <w:pStyle w:val="mps3-data"/>
              <w:spacing w:before="0" w:after="0"/>
              <w:rPr>
                <w:rFonts w:eastAsia="Times New Roman"/>
                <w:szCs w:val="16"/>
                <w:lang w:eastAsia="en-US"/>
              </w:rPr>
            </w:pPr>
            <w:r w:rsidRPr="006D52A9">
              <w:rPr>
                <w:rFonts w:eastAsia="Times New Roman"/>
                <w:szCs w:val="16"/>
                <w:lang w:eastAsia="en-US"/>
              </w:rPr>
              <w:t>Initial treatment</w:t>
            </w:r>
          </w:p>
          <w:p w14:paraId="66695376" w14:textId="77777777" w:rsidR="008F47B8" w:rsidRPr="006D52A9" w:rsidRDefault="008F47B8" w:rsidP="00FB6D2D">
            <w:pPr>
              <w:pStyle w:val="mps3-data"/>
              <w:spacing w:before="0" w:after="0"/>
              <w:rPr>
                <w:rFonts w:eastAsia="Times New Roman"/>
                <w:szCs w:val="16"/>
                <w:lang w:eastAsia="en-US"/>
              </w:rPr>
            </w:pPr>
            <w:r w:rsidRPr="006D52A9">
              <w:rPr>
                <w:rFonts w:eastAsia="Times New Roman"/>
                <w:szCs w:val="16"/>
                <w:lang w:eastAsia="en-US"/>
              </w:rPr>
              <w:t>Patient must not be transfusion dependent; AND</w:t>
            </w:r>
          </w:p>
          <w:p w14:paraId="71B3B15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condition must be thalassaemia.</w:t>
            </w:r>
          </w:p>
        </w:tc>
        <w:tc>
          <w:tcPr>
            <w:tcW w:w="929" w:type="pct"/>
            <w:tcMar>
              <w:top w:w="28" w:type="dxa"/>
              <w:left w:w="28" w:type="dxa"/>
              <w:right w:w="57" w:type="dxa"/>
            </w:tcMar>
          </w:tcPr>
          <w:p w14:paraId="15A7C19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3CAD3E62" w14:textId="77777777" w:rsidTr="00FB6D2D">
        <w:trPr>
          <w:cantSplit/>
        </w:trPr>
        <w:tc>
          <w:tcPr>
            <w:tcW w:w="647" w:type="pct"/>
            <w:tcMar>
              <w:top w:w="28" w:type="dxa"/>
              <w:left w:w="28" w:type="dxa"/>
            </w:tcMar>
          </w:tcPr>
          <w:p w14:paraId="06B2F69A"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1AAB169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C7375</w:t>
            </w:r>
          </w:p>
        </w:tc>
        <w:tc>
          <w:tcPr>
            <w:tcW w:w="274" w:type="pct"/>
            <w:tcMar>
              <w:top w:w="28" w:type="dxa"/>
              <w:left w:w="28" w:type="dxa"/>
            </w:tcMar>
          </w:tcPr>
          <w:p w14:paraId="308E4B8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P7375</w:t>
            </w:r>
          </w:p>
        </w:tc>
        <w:tc>
          <w:tcPr>
            <w:tcW w:w="2867" w:type="pct"/>
            <w:tcMar>
              <w:top w:w="28" w:type="dxa"/>
              <w:left w:w="28" w:type="dxa"/>
            </w:tcMar>
          </w:tcPr>
          <w:p w14:paraId="5DF3C451"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Chronic iron overload</w:t>
            </w:r>
          </w:p>
          <w:p w14:paraId="6BBF4E8F"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Initial treatment</w:t>
            </w:r>
          </w:p>
          <w:p w14:paraId="2535BCCF"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Patient must be transfusion dependent; AND</w:t>
            </w:r>
          </w:p>
          <w:p w14:paraId="19992A9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not have a malignant disorder of erythropoiesis.</w:t>
            </w:r>
          </w:p>
        </w:tc>
        <w:tc>
          <w:tcPr>
            <w:tcW w:w="929" w:type="pct"/>
            <w:tcMar>
              <w:top w:w="28" w:type="dxa"/>
              <w:left w:w="28" w:type="dxa"/>
              <w:right w:w="57" w:type="dxa"/>
            </w:tcMar>
          </w:tcPr>
          <w:p w14:paraId="2403B11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1525910D" w14:textId="77777777" w:rsidTr="00FB6D2D">
        <w:tc>
          <w:tcPr>
            <w:tcW w:w="647" w:type="pct"/>
            <w:tcMar>
              <w:top w:w="28" w:type="dxa"/>
              <w:left w:w="28" w:type="dxa"/>
            </w:tcMar>
          </w:tcPr>
          <w:p w14:paraId="5D3F0194"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552C6BA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C7385</w:t>
            </w:r>
          </w:p>
        </w:tc>
        <w:tc>
          <w:tcPr>
            <w:tcW w:w="274" w:type="pct"/>
            <w:tcMar>
              <w:top w:w="28" w:type="dxa"/>
              <w:left w:w="28" w:type="dxa"/>
            </w:tcMar>
          </w:tcPr>
          <w:p w14:paraId="242A93D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P7385</w:t>
            </w:r>
          </w:p>
        </w:tc>
        <w:tc>
          <w:tcPr>
            <w:tcW w:w="2867" w:type="pct"/>
            <w:tcMar>
              <w:top w:w="28" w:type="dxa"/>
              <w:left w:w="28" w:type="dxa"/>
            </w:tcMar>
          </w:tcPr>
          <w:p w14:paraId="1075DB4C"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Chronic iron overload</w:t>
            </w:r>
          </w:p>
          <w:p w14:paraId="146ABDB1"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Initial treatment</w:t>
            </w:r>
          </w:p>
          <w:p w14:paraId="5DFBE2ED"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Patient must be red blood cell transfusion dependent; AND</w:t>
            </w:r>
          </w:p>
          <w:p w14:paraId="233D7DB5"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Patient must have a serum ferritin level of greater than 1000 microgram/L; AND</w:t>
            </w:r>
          </w:p>
          <w:p w14:paraId="090C59E8"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Patient must have a malignant disorder of haemopoiesis; AND</w:t>
            </w:r>
          </w:p>
          <w:p w14:paraId="39E1C1E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a median life expectancy exceeding five years.</w:t>
            </w:r>
          </w:p>
        </w:tc>
        <w:tc>
          <w:tcPr>
            <w:tcW w:w="929" w:type="pct"/>
            <w:tcMar>
              <w:top w:w="28" w:type="dxa"/>
              <w:left w:w="28" w:type="dxa"/>
              <w:right w:w="57" w:type="dxa"/>
            </w:tcMar>
          </w:tcPr>
          <w:p w14:paraId="24D832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3AA411BF" w14:textId="77777777" w:rsidTr="00FB6D2D">
        <w:tc>
          <w:tcPr>
            <w:tcW w:w="647" w:type="pct"/>
            <w:tcMar>
              <w:top w:w="28" w:type="dxa"/>
              <w:left w:w="28" w:type="dxa"/>
            </w:tcMar>
          </w:tcPr>
          <w:p w14:paraId="5D3A5DFD"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23348A9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C8326</w:t>
            </w:r>
          </w:p>
        </w:tc>
        <w:tc>
          <w:tcPr>
            <w:tcW w:w="274" w:type="pct"/>
            <w:tcMar>
              <w:top w:w="28" w:type="dxa"/>
              <w:left w:w="28" w:type="dxa"/>
            </w:tcMar>
          </w:tcPr>
          <w:p w14:paraId="31B5172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P8326</w:t>
            </w:r>
          </w:p>
        </w:tc>
        <w:tc>
          <w:tcPr>
            <w:tcW w:w="2867" w:type="pct"/>
            <w:tcMar>
              <w:top w:w="28" w:type="dxa"/>
              <w:left w:w="28" w:type="dxa"/>
            </w:tcMar>
          </w:tcPr>
          <w:p w14:paraId="0B46D0CC"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Chronic iron overload</w:t>
            </w:r>
            <w:r w:rsidRPr="006D52A9">
              <w:rPr>
                <w:rFonts w:eastAsia="Calibri"/>
                <w:szCs w:val="16"/>
                <w:lang w:eastAsia="en-US"/>
              </w:rPr>
              <w:br/>
              <w:t>Continuing treatment</w:t>
            </w:r>
            <w:r w:rsidRPr="006D52A9">
              <w:rPr>
                <w:rFonts w:eastAsia="Calibri"/>
                <w:szCs w:val="16"/>
                <w:lang w:eastAsia="en-US"/>
              </w:rPr>
              <w:br/>
              <w:t>Patient must be red blood cell transfusion dependent; AND</w:t>
            </w:r>
            <w:r w:rsidRPr="006D52A9">
              <w:rPr>
                <w:rFonts w:eastAsia="Calibri"/>
                <w:szCs w:val="16"/>
                <w:lang w:eastAsia="en-US"/>
              </w:rPr>
              <w:br/>
              <w:t>Patient must have a malignant disorder of haemopoieisis; AND</w:t>
            </w:r>
            <w:r w:rsidRPr="006D52A9">
              <w:rPr>
                <w:rFonts w:eastAsia="Calibri"/>
                <w:szCs w:val="16"/>
                <w:lang w:eastAsia="en-US"/>
              </w:rPr>
              <w:br/>
              <w:t>Patient must have previously received PBS</w:t>
            </w:r>
            <w:r w:rsidR="0026100E">
              <w:rPr>
                <w:rFonts w:eastAsia="Calibri"/>
                <w:szCs w:val="16"/>
                <w:lang w:eastAsia="en-US"/>
              </w:rPr>
              <w:noBreakHyphen/>
            </w:r>
            <w:r w:rsidRPr="006D52A9">
              <w:rPr>
                <w:rFonts w:eastAsia="Calibri"/>
                <w:szCs w:val="16"/>
                <w:lang w:eastAsia="en-US"/>
              </w:rPr>
              <w:t>subsidised therapy with deferasirox for this condition.</w:t>
            </w:r>
          </w:p>
        </w:tc>
        <w:tc>
          <w:tcPr>
            <w:tcW w:w="929" w:type="pct"/>
            <w:tcMar>
              <w:top w:w="28" w:type="dxa"/>
              <w:left w:w="28" w:type="dxa"/>
              <w:right w:w="57" w:type="dxa"/>
            </w:tcMar>
          </w:tcPr>
          <w:p w14:paraId="36C4E57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8326</w:t>
            </w:r>
          </w:p>
        </w:tc>
      </w:tr>
      <w:tr w:rsidR="008F47B8" w:rsidRPr="006D52A9" w14:paraId="7E409A4C" w14:textId="77777777" w:rsidTr="00FB6D2D">
        <w:tc>
          <w:tcPr>
            <w:tcW w:w="647" w:type="pct"/>
            <w:tcMar>
              <w:top w:w="28" w:type="dxa"/>
              <w:left w:w="28" w:type="dxa"/>
            </w:tcMar>
          </w:tcPr>
          <w:p w14:paraId="4349AE78"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7CB7028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C8328</w:t>
            </w:r>
          </w:p>
        </w:tc>
        <w:tc>
          <w:tcPr>
            <w:tcW w:w="274" w:type="pct"/>
            <w:tcMar>
              <w:top w:w="28" w:type="dxa"/>
              <w:left w:w="28" w:type="dxa"/>
            </w:tcMar>
          </w:tcPr>
          <w:p w14:paraId="13E8626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P8328</w:t>
            </w:r>
          </w:p>
        </w:tc>
        <w:tc>
          <w:tcPr>
            <w:tcW w:w="2867" w:type="pct"/>
            <w:tcMar>
              <w:top w:w="28" w:type="dxa"/>
              <w:left w:w="28" w:type="dxa"/>
            </w:tcMar>
          </w:tcPr>
          <w:p w14:paraId="5513411C"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Chronic iron overload</w:t>
            </w:r>
            <w:r w:rsidRPr="006D52A9">
              <w:rPr>
                <w:rFonts w:eastAsia="Calibri"/>
                <w:szCs w:val="16"/>
                <w:lang w:eastAsia="en-US"/>
              </w:rPr>
              <w:br/>
              <w:t>Continuing treatment</w:t>
            </w:r>
            <w:r w:rsidRPr="006D52A9">
              <w:rPr>
                <w:rFonts w:eastAsia="Calibri"/>
                <w:szCs w:val="16"/>
                <w:lang w:eastAsia="en-US"/>
              </w:rPr>
              <w:br/>
              <w:t>Patient must be transfusion dependent; AND</w:t>
            </w:r>
            <w:r w:rsidRPr="006D52A9">
              <w:rPr>
                <w:rFonts w:eastAsia="Calibri"/>
                <w:szCs w:val="16"/>
                <w:lang w:eastAsia="en-US"/>
              </w:rPr>
              <w:br/>
              <w:t>Patient must not have a malignant disorder of erythropoiesis; AND</w:t>
            </w:r>
            <w:r w:rsidRPr="006D52A9">
              <w:rPr>
                <w:rFonts w:eastAsia="Calibri"/>
                <w:szCs w:val="16"/>
                <w:lang w:eastAsia="en-US"/>
              </w:rPr>
              <w:br/>
              <w:t>Patient must have previously received PBS</w:t>
            </w:r>
            <w:r w:rsidR="0026100E">
              <w:rPr>
                <w:rFonts w:eastAsia="Calibri"/>
                <w:szCs w:val="16"/>
                <w:lang w:eastAsia="en-US"/>
              </w:rPr>
              <w:noBreakHyphen/>
            </w:r>
            <w:r w:rsidRPr="006D52A9">
              <w:rPr>
                <w:rFonts w:eastAsia="Calibri"/>
                <w:szCs w:val="16"/>
                <w:lang w:eastAsia="en-US"/>
              </w:rPr>
              <w:t>subsidised therapy with deferasirox for this condition.</w:t>
            </w:r>
          </w:p>
        </w:tc>
        <w:tc>
          <w:tcPr>
            <w:tcW w:w="929" w:type="pct"/>
            <w:tcMar>
              <w:top w:w="28" w:type="dxa"/>
              <w:left w:w="28" w:type="dxa"/>
              <w:right w:w="57" w:type="dxa"/>
            </w:tcMar>
          </w:tcPr>
          <w:p w14:paraId="5EB5C48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8328</w:t>
            </w:r>
          </w:p>
        </w:tc>
      </w:tr>
      <w:tr w:rsidR="008F47B8" w:rsidRPr="006D52A9" w14:paraId="45FABE4D" w14:textId="77777777" w:rsidTr="00FB6D2D">
        <w:tc>
          <w:tcPr>
            <w:tcW w:w="647" w:type="pct"/>
            <w:tcMar>
              <w:top w:w="28" w:type="dxa"/>
              <w:left w:w="28" w:type="dxa"/>
            </w:tcMar>
          </w:tcPr>
          <w:p w14:paraId="0F6C451B"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47A3DB1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C8329</w:t>
            </w:r>
          </w:p>
        </w:tc>
        <w:tc>
          <w:tcPr>
            <w:tcW w:w="274" w:type="pct"/>
            <w:tcMar>
              <w:top w:w="28" w:type="dxa"/>
              <w:left w:w="28" w:type="dxa"/>
            </w:tcMar>
          </w:tcPr>
          <w:p w14:paraId="74183F9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P8329</w:t>
            </w:r>
          </w:p>
        </w:tc>
        <w:tc>
          <w:tcPr>
            <w:tcW w:w="2867" w:type="pct"/>
            <w:tcMar>
              <w:top w:w="28" w:type="dxa"/>
              <w:left w:w="28" w:type="dxa"/>
            </w:tcMar>
          </w:tcPr>
          <w:p w14:paraId="614B8B72"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Chronic iron overload</w:t>
            </w:r>
            <w:r w:rsidRPr="006D52A9">
              <w:rPr>
                <w:rFonts w:eastAsia="Calibri"/>
                <w:szCs w:val="16"/>
                <w:lang w:eastAsia="en-US"/>
              </w:rPr>
              <w:br/>
              <w:t>Continuing treatment</w:t>
            </w:r>
            <w:r w:rsidRPr="006D52A9">
              <w:rPr>
                <w:rFonts w:eastAsia="Calibri"/>
                <w:szCs w:val="16"/>
                <w:lang w:eastAsia="en-US"/>
              </w:rPr>
              <w:br/>
              <w:t>Patient must not be transfusion dependent; AND</w:t>
            </w:r>
            <w:r w:rsidRPr="006D52A9">
              <w:rPr>
                <w:rFonts w:eastAsia="Calibri"/>
                <w:szCs w:val="16"/>
                <w:lang w:eastAsia="en-US"/>
              </w:rPr>
              <w:br/>
              <w:t>The condition must be thalassaemia; AND</w:t>
            </w:r>
            <w:r w:rsidRPr="006D52A9">
              <w:rPr>
                <w:rFonts w:eastAsia="Calibri"/>
                <w:szCs w:val="16"/>
                <w:lang w:eastAsia="en-US"/>
              </w:rPr>
              <w:br/>
              <w:t>Patient must have previously received PBS</w:t>
            </w:r>
            <w:r w:rsidR="0026100E">
              <w:rPr>
                <w:rFonts w:eastAsia="Calibri"/>
                <w:szCs w:val="16"/>
                <w:lang w:eastAsia="en-US"/>
              </w:rPr>
              <w:noBreakHyphen/>
            </w:r>
            <w:r w:rsidRPr="006D52A9">
              <w:rPr>
                <w:rFonts w:eastAsia="Calibri"/>
                <w:szCs w:val="16"/>
                <w:lang w:eastAsia="en-US"/>
              </w:rPr>
              <w:t>subsidised therapy with deferasirox for this condition.</w:t>
            </w:r>
          </w:p>
        </w:tc>
        <w:tc>
          <w:tcPr>
            <w:tcW w:w="929" w:type="pct"/>
            <w:tcMar>
              <w:top w:w="28" w:type="dxa"/>
              <w:left w:w="28" w:type="dxa"/>
              <w:right w:w="57" w:type="dxa"/>
            </w:tcMar>
          </w:tcPr>
          <w:p w14:paraId="2A31724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8329</w:t>
            </w:r>
          </w:p>
        </w:tc>
      </w:tr>
      <w:tr w:rsidR="008F47B8" w:rsidRPr="006D52A9" w:rsidDel="00FB1157" w14:paraId="6FD2C1A8" w14:textId="77777777" w:rsidTr="00FB6D2D">
        <w:tc>
          <w:tcPr>
            <w:tcW w:w="647" w:type="pct"/>
            <w:tcMar>
              <w:top w:w="28" w:type="dxa"/>
              <w:left w:w="28" w:type="dxa"/>
            </w:tcMar>
          </w:tcPr>
          <w:p w14:paraId="3F637101" w14:textId="77777777" w:rsidR="008F47B8" w:rsidRPr="006D52A9" w:rsidDel="00FB1157" w:rsidRDefault="008F47B8" w:rsidP="00FB6D2D">
            <w:pPr>
              <w:spacing w:line="240" w:lineRule="auto"/>
              <w:rPr>
                <w:rFonts w:ascii="Arial" w:hAnsi="Arial" w:cs="Arial"/>
                <w:sz w:val="16"/>
                <w:szCs w:val="16"/>
              </w:rPr>
            </w:pPr>
          </w:p>
        </w:tc>
        <w:tc>
          <w:tcPr>
            <w:tcW w:w="283" w:type="pct"/>
            <w:tcMar>
              <w:top w:w="28" w:type="dxa"/>
              <w:left w:w="28" w:type="dxa"/>
            </w:tcMar>
          </w:tcPr>
          <w:p w14:paraId="64F315D1"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C9222</w:t>
            </w:r>
          </w:p>
        </w:tc>
        <w:tc>
          <w:tcPr>
            <w:tcW w:w="274" w:type="pct"/>
            <w:tcMar>
              <w:top w:w="28" w:type="dxa"/>
              <w:left w:w="28" w:type="dxa"/>
            </w:tcMar>
          </w:tcPr>
          <w:p w14:paraId="5C98E6B0"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P9222</w:t>
            </w:r>
          </w:p>
        </w:tc>
        <w:tc>
          <w:tcPr>
            <w:tcW w:w="2867" w:type="pct"/>
            <w:tcMar>
              <w:top w:w="28" w:type="dxa"/>
              <w:left w:w="28" w:type="dxa"/>
            </w:tcMar>
          </w:tcPr>
          <w:p w14:paraId="70D6E020" w14:textId="77777777" w:rsidR="008F47B8" w:rsidRPr="006D52A9" w:rsidDel="00FB1157" w:rsidRDefault="008F47B8" w:rsidP="00FB6D2D">
            <w:pPr>
              <w:pStyle w:val="mps3-data"/>
              <w:spacing w:before="0" w:after="0"/>
              <w:rPr>
                <w:rFonts w:eastAsia="Calibri"/>
                <w:szCs w:val="16"/>
                <w:lang w:eastAsia="en-US"/>
              </w:rPr>
            </w:pPr>
            <w:r w:rsidRPr="006D52A9">
              <w:rPr>
                <w:szCs w:val="16"/>
              </w:rPr>
              <w:t>Chronic iron overload</w:t>
            </w:r>
            <w:r w:rsidRPr="006D52A9">
              <w:rPr>
                <w:szCs w:val="16"/>
              </w:rPr>
              <w:br/>
              <w:t>Continuing treatment</w:t>
            </w:r>
            <w:r w:rsidRPr="006D52A9">
              <w:rPr>
                <w:szCs w:val="16"/>
              </w:rPr>
              <w:br/>
              <w:t>Patient must not be transfusion dependent; AND</w:t>
            </w:r>
            <w:r w:rsidRPr="006D52A9">
              <w:rPr>
                <w:szCs w:val="16"/>
              </w:rPr>
              <w:br/>
              <w:t>The condition must be thalassaemia; AND</w:t>
            </w:r>
            <w:r w:rsidRPr="006D52A9">
              <w:rPr>
                <w:szCs w:val="16"/>
              </w:rPr>
              <w:br/>
              <w:t>Patient must have previously received PBS</w:t>
            </w:r>
            <w:r w:rsidR="0026100E">
              <w:rPr>
                <w:szCs w:val="16"/>
              </w:rPr>
              <w:noBreakHyphen/>
            </w:r>
            <w:r w:rsidRPr="006D52A9">
              <w:rPr>
                <w:szCs w:val="16"/>
              </w:rPr>
              <w:t>subsidised therapy with deferasirox for this condition.</w:t>
            </w:r>
          </w:p>
        </w:tc>
        <w:tc>
          <w:tcPr>
            <w:tcW w:w="929" w:type="pct"/>
            <w:tcMar>
              <w:top w:w="28" w:type="dxa"/>
              <w:left w:w="28" w:type="dxa"/>
              <w:right w:w="57" w:type="dxa"/>
            </w:tcMar>
          </w:tcPr>
          <w:p w14:paraId="7E6124EE"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9222</w:t>
            </w:r>
          </w:p>
        </w:tc>
      </w:tr>
      <w:tr w:rsidR="008F47B8" w:rsidRPr="006D52A9" w:rsidDel="00FB1157" w14:paraId="62E8E74D" w14:textId="77777777" w:rsidTr="00FB6D2D">
        <w:tc>
          <w:tcPr>
            <w:tcW w:w="647" w:type="pct"/>
            <w:tcMar>
              <w:top w:w="28" w:type="dxa"/>
              <w:left w:w="28" w:type="dxa"/>
            </w:tcMar>
          </w:tcPr>
          <w:p w14:paraId="035C4C56" w14:textId="77777777" w:rsidR="008F47B8" w:rsidRPr="006D52A9" w:rsidDel="00FB1157" w:rsidRDefault="008F47B8" w:rsidP="00FB6D2D">
            <w:pPr>
              <w:spacing w:line="240" w:lineRule="auto"/>
              <w:rPr>
                <w:rFonts w:ascii="Arial" w:hAnsi="Arial" w:cs="Arial"/>
                <w:sz w:val="16"/>
                <w:szCs w:val="16"/>
              </w:rPr>
            </w:pPr>
          </w:p>
        </w:tc>
        <w:tc>
          <w:tcPr>
            <w:tcW w:w="283" w:type="pct"/>
            <w:tcMar>
              <w:top w:w="28" w:type="dxa"/>
              <w:left w:w="28" w:type="dxa"/>
            </w:tcMar>
          </w:tcPr>
          <w:p w14:paraId="06E92DED"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C9258</w:t>
            </w:r>
          </w:p>
        </w:tc>
        <w:tc>
          <w:tcPr>
            <w:tcW w:w="274" w:type="pct"/>
            <w:tcMar>
              <w:top w:w="28" w:type="dxa"/>
              <w:left w:w="28" w:type="dxa"/>
            </w:tcMar>
          </w:tcPr>
          <w:p w14:paraId="3A9396CB"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P9258</w:t>
            </w:r>
          </w:p>
        </w:tc>
        <w:tc>
          <w:tcPr>
            <w:tcW w:w="2867" w:type="pct"/>
            <w:tcMar>
              <w:top w:w="28" w:type="dxa"/>
              <w:left w:w="28" w:type="dxa"/>
            </w:tcMar>
          </w:tcPr>
          <w:p w14:paraId="4B0CBE57" w14:textId="77777777" w:rsidR="008F47B8" w:rsidRPr="006D52A9" w:rsidDel="00FB1157" w:rsidRDefault="008F47B8" w:rsidP="00FB6D2D">
            <w:pPr>
              <w:pStyle w:val="mps3-data"/>
              <w:spacing w:before="0" w:after="0"/>
              <w:rPr>
                <w:rFonts w:eastAsia="Calibri"/>
                <w:szCs w:val="16"/>
                <w:lang w:eastAsia="en-US"/>
              </w:rPr>
            </w:pPr>
            <w:r w:rsidRPr="006D52A9">
              <w:rPr>
                <w:szCs w:val="16"/>
              </w:rPr>
              <w:t>Chronic iron overload</w:t>
            </w:r>
            <w:r w:rsidRPr="006D52A9">
              <w:rPr>
                <w:szCs w:val="16"/>
              </w:rPr>
              <w:br/>
              <w:t>Continuing treatment</w:t>
            </w:r>
            <w:r w:rsidRPr="006D52A9">
              <w:rPr>
                <w:szCs w:val="16"/>
              </w:rPr>
              <w:br/>
              <w:t>Patient must be red blood cell transfusion dependent; AND</w:t>
            </w:r>
            <w:r w:rsidRPr="006D52A9">
              <w:rPr>
                <w:szCs w:val="16"/>
              </w:rPr>
              <w:br/>
              <w:t>Patient must have a malignant disorder of haemopoieisis; AND</w:t>
            </w:r>
            <w:r w:rsidRPr="006D52A9">
              <w:rPr>
                <w:szCs w:val="16"/>
              </w:rPr>
              <w:br/>
              <w:t>Patient must have previously received PBS</w:t>
            </w:r>
            <w:r w:rsidR="0026100E">
              <w:rPr>
                <w:szCs w:val="16"/>
              </w:rPr>
              <w:noBreakHyphen/>
            </w:r>
            <w:r w:rsidRPr="006D52A9">
              <w:rPr>
                <w:szCs w:val="16"/>
              </w:rPr>
              <w:t>subsidised therapy with deferasirox for this condition.</w:t>
            </w:r>
          </w:p>
        </w:tc>
        <w:tc>
          <w:tcPr>
            <w:tcW w:w="929" w:type="pct"/>
            <w:tcMar>
              <w:top w:w="28" w:type="dxa"/>
              <w:left w:w="28" w:type="dxa"/>
              <w:right w:w="57" w:type="dxa"/>
            </w:tcMar>
          </w:tcPr>
          <w:p w14:paraId="42EEEC38"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9258</w:t>
            </w:r>
          </w:p>
        </w:tc>
      </w:tr>
      <w:tr w:rsidR="008F47B8" w:rsidRPr="006D52A9" w:rsidDel="00FB1157" w14:paraId="65DA5FC8" w14:textId="77777777" w:rsidTr="00FB6D2D">
        <w:tc>
          <w:tcPr>
            <w:tcW w:w="647" w:type="pct"/>
            <w:tcMar>
              <w:top w:w="28" w:type="dxa"/>
              <w:left w:w="28" w:type="dxa"/>
            </w:tcMar>
          </w:tcPr>
          <w:p w14:paraId="1BFE4F57" w14:textId="77777777" w:rsidR="008F47B8" w:rsidRPr="006D52A9" w:rsidDel="00FB1157" w:rsidRDefault="008F47B8" w:rsidP="00FB6D2D">
            <w:pPr>
              <w:spacing w:line="240" w:lineRule="auto"/>
              <w:rPr>
                <w:rFonts w:ascii="Arial" w:hAnsi="Arial" w:cs="Arial"/>
                <w:sz w:val="16"/>
                <w:szCs w:val="16"/>
              </w:rPr>
            </w:pPr>
          </w:p>
        </w:tc>
        <w:tc>
          <w:tcPr>
            <w:tcW w:w="283" w:type="pct"/>
            <w:tcMar>
              <w:top w:w="28" w:type="dxa"/>
              <w:left w:w="28" w:type="dxa"/>
            </w:tcMar>
          </w:tcPr>
          <w:p w14:paraId="06367255"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C9302</w:t>
            </w:r>
          </w:p>
        </w:tc>
        <w:tc>
          <w:tcPr>
            <w:tcW w:w="274" w:type="pct"/>
            <w:tcMar>
              <w:top w:w="28" w:type="dxa"/>
              <w:left w:w="28" w:type="dxa"/>
            </w:tcMar>
          </w:tcPr>
          <w:p w14:paraId="71CCE36B"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P9302</w:t>
            </w:r>
          </w:p>
        </w:tc>
        <w:tc>
          <w:tcPr>
            <w:tcW w:w="2867" w:type="pct"/>
            <w:tcMar>
              <w:top w:w="28" w:type="dxa"/>
              <w:left w:w="28" w:type="dxa"/>
            </w:tcMar>
          </w:tcPr>
          <w:p w14:paraId="5C3D7715" w14:textId="77777777" w:rsidR="008F47B8" w:rsidRPr="006D52A9" w:rsidDel="00FB1157" w:rsidRDefault="008F47B8" w:rsidP="00FB6D2D">
            <w:pPr>
              <w:pStyle w:val="mps3-data"/>
              <w:spacing w:before="0" w:after="0"/>
              <w:rPr>
                <w:rFonts w:eastAsia="Calibri"/>
                <w:szCs w:val="16"/>
                <w:lang w:eastAsia="en-US"/>
              </w:rPr>
            </w:pPr>
            <w:r w:rsidRPr="006D52A9">
              <w:rPr>
                <w:szCs w:val="16"/>
              </w:rPr>
              <w:t>Chronic iron overload</w:t>
            </w:r>
            <w:r w:rsidRPr="006D52A9">
              <w:rPr>
                <w:szCs w:val="16"/>
              </w:rPr>
              <w:br/>
              <w:t>Continuing treatment</w:t>
            </w:r>
            <w:r w:rsidRPr="006D52A9">
              <w:rPr>
                <w:szCs w:val="16"/>
              </w:rPr>
              <w:br/>
              <w:t>Patient must be transfusion dependent; AND</w:t>
            </w:r>
            <w:r w:rsidRPr="006D52A9">
              <w:rPr>
                <w:szCs w:val="16"/>
              </w:rPr>
              <w:br/>
              <w:t>Patient must not have a malignant disorder of erythropoiesis; AND</w:t>
            </w:r>
            <w:r w:rsidRPr="006D52A9">
              <w:rPr>
                <w:szCs w:val="16"/>
              </w:rPr>
              <w:br/>
              <w:t>Patient must have previously received PBS</w:t>
            </w:r>
            <w:r w:rsidR="0026100E">
              <w:rPr>
                <w:szCs w:val="16"/>
              </w:rPr>
              <w:noBreakHyphen/>
            </w:r>
            <w:r w:rsidRPr="006D52A9">
              <w:rPr>
                <w:szCs w:val="16"/>
              </w:rPr>
              <w:t>subsidised therapy with deferasirox for this condition.</w:t>
            </w:r>
          </w:p>
        </w:tc>
        <w:tc>
          <w:tcPr>
            <w:tcW w:w="929" w:type="pct"/>
            <w:tcMar>
              <w:top w:w="28" w:type="dxa"/>
              <w:left w:w="28" w:type="dxa"/>
              <w:right w:w="57" w:type="dxa"/>
            </w:tcMar>
          </w:tcPr>
          <w:p w14:paraId="3D0E3A2B" w14:textId="77777777" w:rsidR="008F47B8" w:rsidRPr="006D52A9" w:rsidDel="00FB115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9302</w:t>
            </w:r>
          </w:p>
        </w:tc>
      </w:tr>
      <w:tr w:rsidR="008F47B8" w:rsidRPr="006D52A9" w14:paraId="7680EF5D" w14:textId="77777777" w:rsidTr="00FB6D2D">
        <w:trPr>
          <w:cantSplit/>
        </w:trPr>
        <w:tc>
          <w:tcPr>
            <w:tcW w:w="647" w:type="pct"/>
            <w:tcMar>
              <w:top w:w="28" w:type="dxa"/>
              <w:left w:w="28" w:type="dxa"/>
            </w:tcMar>
          </w:tcPr>
          <w:p w14:paraId="05996589" w14:textId="77777777" w:rsidR="008F47B8" w:rsidRPr="006D52A9" w:rsidRDefault="008F47B8" w:rsidP="00FB6D2D">
            <w:pPr>
              <w:spacing w:line="240" w:lineRule="auto"/>
              <w:rPr>
                <w:rFonts w:ascii="Arial" w:hAnsi="Arial" w:cs="Arial"/>
                <w:sz w:val="16"/>
                <w:szCs w:val="16"/>
              </w:rPr>
            </w:pPr>
            <w:bookmarkStart w:id="84" w:name="CU_86243758"/>
            <w:bookmarkStart w:id="85" w:name="CU_91246766"/>
            <w:bookmarkEnd w:id="84"/>
            <w:bookmarkEnd w:id="85"/>
            <w:r w:rsidRPr="006D52A9">
              <w:rPr>
                <w:rFonts w:ascii="Arial" w:hAnsi="Arial" w:cs="Arial"/>
                <w:sz w:val="16"/>
                <w:szCs w:val="16"/>
              </w:rPr>
              <w:t>Deferiprone</w:t>
            </w:r>
          </w:p>
        </w:tc>
        <w:tc>
          <w:tcPr>
            <w:tcW w:w="283" w:type="pct"/>
            <w:tcMar>
              <w:top w:w="28" w:type="dxa"/>
              <w:left w:w="28" w:type="dxa"/>
            </w:tcMar>
          </w:tcPr>
          <w:p w14:paraId="68D8DF2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C6403</w:t>
            </w:r>
          </w:p>
        </w:tc>
        <w:tc>
          <w:tcPr>
            <w:tcW w:w="274" w:type="pct"/>
            <w:tcMar>
              <w:top w:w="28" w:type="dxa"/>
              <w:left w:w="28" w:type="dxa"/>
            </w:tcMar>
          </w:tcPr>
          <w:p w14:paraId="62F4F53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6A6F2A7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Iron overload</w:t>
            </w:r>
          </w:p>
          <w:p w14:paraId="45BD3D5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thalassaemia major; AND</w:t>
            </w:r>
          </w:p>
          <w:p w14:paraId="07E74D9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be one in whom desferrioxamine therapy has proven ineffective.</w:t>
            </w:r>
          </w:p>
        </w:tc>
        <w:tc>
          <w:tcPr>
            <w:tcW w:w="929" w:type="pct"/>
            <w:tcMar>
              <w:top w:w="28" w:type="dxa"/>
              <w:left w:w="28" w:type="dxa"/>
              <w:right w:w="57" w:type="dxa"/>
            </w:tcMar>
          </w:tcPr>
          <w:p w14:paraId="4F9732B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6403</w:t>
            </w:r>
          </w:p>
        </w:tc>
      </w:tr>
      <w:tr w:rsidR="008F47B8" w:rsidRPr="006D52A9" w14:paraId="4DCCD14A" w14:textId="77777777" w:rsidTr="00FB6D2D">
        <w:trPr>
          <w:cantSplit/>
        </w:trPr>
        <w:tc>
          <w:tcPr>
            <w:tcW w:w="647" w:type="pct"/>
            <w:tcMar>
              <w:top w:w="28" w:type="dxa"/>
              <w:left w:w="28" w:type="dxa"/>
            </w:tcMar>
          </w:tcPr>
          <w:p w14:paraId="4B6BCA08"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0132698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C6448</w:t>
            </w:r>
          </w:p>
        </w:tc>
        <w:tc>
          <w:tcPr>
            <w:tcW w:w="274" w:type="pct"/>
            <w:tcMar>
              <w:top w:w="28" w:type="dxa"/>
              <w:left w:w="28" w:type="dxa"/>
            </w:tcMar>
          </w:tcPr>
          <w:p w14:paraId="0606301D"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36708F7F" w14:textId="77777777" w:rsidR="008F47B8" w:rsidRPr="006D52A9" w:rsidRDefault="008F47B8" w:rsidP="00FB6D2D">
            <w:pPr>
              <w:spacing w:line="240" w:lineRule="auto"/>
              <w:rPr>
                <w:szCs w:val="16"/>
              </w:rPr>
            </w:pPr>
            <w:r w:rsidRPr="006D52A9">
              <w:rPr>
                <w:rFonts w:ascii="Arial" w:hAnsi="Arial" w:cs="Arial"/>
                <w:sz w:val="16"/>
                <w:szCs w:val="16"/>
              </w:rPr>
              <w:t>Iron overload</w:t>
            </w:r>
          </w:p>
          <w:p w14:paraId="173DBAA3" w14:textId="77777777" w:rsidR="008F47B8" w:rsidRPr="006D52A9" w:rsidRDefault="008F47B8" w:rsidP="00FB6D2D">
            <w:pPr>
              <w:spacing w:line="240" w:lineRule="auto"/>
              <w:rPr>
                <w:szCs w:val="16"/>
              </w:rPr>
            </w:pPr>
            <w:r w:rsidRPr="006D52A9">
              <w:rPr>
                <w:rFonts w:ascii="Arial" w:hAnsi="Arial" w:cs="Arial"/>
                <w:sz w:val="16"/>
                <w:szCs w:val="16"/>
              </w:rPr>
              <w:t>Patient must have thalassaemia major; AND</w:t>
            </w:r>
          </w:p>
          <w:p w14:paraId="362DBBF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be unable to take desferrioxamine therapy.</w:t>
            </w:r>
          </w:p>
        </w:tc>
        <w:tc>
          <w:tcPr>
            <w:tcW w:w="929" w:type="pct"/>
            <w:tcMar>
              <w:top w:w="28" w:type="dxa"/>
              <w:left w:w="28" w:type="dxa"/>
              <w:right w:w="57" w:type="dxa"/>
            </w:tcMar>
          </w:tcPr>
          <w:p w14:paraId="139171F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6448</w:t>
            </w:r>
          </w:p>
        </w:tc>
      </w:tr>
      <w:tr w:rsidR="008F47B8" w:rsidRPr="006D52A9" w14:paraId="6B15CCAB" w14:textId="77777777" w:rsidTr="00FB6D2D">
        <w:trPr>
          <w:cantSplit/>
        </w:trPr>
        <w:tc>
          <w:tcPr>
            <w:tcW w:w="647" w:type="pct"/>
            <w:tcMar>
              <w:top w:w="28" w:type="dxa"/>
              <w:left w:w="28" w:type="dxa"/>
            </w:tcMar>
          </w:tcPr>
          <w:p w14:paraId="4585DA33"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3B10B9F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C9228</w:t>
            </w:r>
          </w:p>
        </w:tc>
        <w:tc>
          <w:tcPr>
            <w:tcW w:w="274" w:type="pct"/>
            <w:tcMar>
              <w:top w:w="28" w:type="dxa"/>
              <w:left w:w="28" w:type="dxa"/>
            </w:tcMar>
          </w:tcPr>
          <w:p w14:paraId="0BBAC745"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177B5EB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Iron overload</w:t>
            </w:r>
            <w:r w:rsidRPr="006D52A9">
              <w:rPr>
                <w:szCs w:val="16"/>
              </w:rPr>
              <w:br/>
            </w:r>
            <w:r w:rsidRPr="006D52A9">
              <w:rPr>
                <w:rFonts w:ascii="Arial" w:hAnsi="Arial" w:cs="Arial"/>
                <w:sz w:val="16"/>
                <w:szCs w:val="16"/>
              </w:rPr>
              <w:t>Patient must have thalassaemia major; AND</w:t>
            </w:r>
            <w:r w:rsidRPr="006D52A9">
              <w:rPr>
                <w:szCs w:val="16"/>
              </w:rPr>
              <w:br/>
            </w:r>
            <w:r w:rsidRPr="006D52A9">
              <w:rPr>
                <w:rFonts w:ascii="Arial" w:hAnsi="Arial" w:cs="Arial"/>
                <w:sz w:val="16"/>
                <w:szCs w:val="16"/>
              </w:rPr>
              <w:t>Patient must be one in whom desferrioxamine therapy has proven ineffective.</w:t>
            </w:r>
          </w:p>
        </w:tc>
        <w:tc>
          <w:tcPr>
            <w:tcW w:w="929" w:type="pct"/>
            <w:tcMar>
              <w:top w:w="28" w:type="dxa"/>
              <w:left w:w="28" w:type="dxa"/>
              <w:right w:w="57" w:type="dxa"/>
            </w:tcMar>
          </w:tcPr>
          <w:p w14:paraId="72EC376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9228</w:t>
            </w:r>
          </w:p>
        </w:tc>
      </w:tr>
      <w:tr w:rsidR="008F47B8" w:rsidRPr="006D52A9" w14:paraId="40687674" w14:textId="77777777" w:rsidTr="00FB6D2D">
        <w:trPr>
          <w:cantSplit/>
        </w:trPr>
        <w:tc>
          <w:tcPr>
            <w:tcW w:w="647" w:type="pct"/>
            <w:tcMar>
              <w:top w:w="28" w:type="dxa"/>
              <w:left w:w="28" w:type="dxa"/>
            </w:tcMar>
          </w:tcPr>
          <w:p w14:paraId="3E59B821"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12F9952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C9286</w:t>
            </w:r>
          </w:p>
        </w:tc>
        <w:tc>
          <w:tcPr>
            <w:tcW w:w="274" w:type="pct"/>
            <w:tcMar>
              <w:top w:w="28" w:type="dxa"/>
              <w:left w:w="28" w:type="dxa"/>
            </w:tcMar>
          </w:tcPr>
          <w:p w14:paraId="0BDB670A"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7B0C9FC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Iron overload</w:t>
            </w:r>
            <w:r w:rsidRPr="006D52A9">
              <w:rPr>
                <w:szCs w:val="16"/>
              </w:rPr>
              <w:br/>
            </w:r>
            <w:r w:rsidRPr="006D52A9">
              <w:rPr>
                <w:rFonts w:ascii="Arial" w:hAnsi="Arial" w:cs="Arial"/>
                <w:sz w:val="16"/>
                <w:szCs w:val="16"/>
              </w:rPr>
              <w:t>Patient must have thalassaemia major; AND</w:t>
            </w:r>
            <w:r w:rsidRPr="006D52A9">
              <w:rPr>
                <w:szCs w:val="16"/>
              </w:rPr>
              <w:br/>
            </w:r>
            <w:r w:rsidRPr="006D52A9">
              <w:rPr>
                <w:rFonts w:ascii="Arial" w:hAnsi="Arial" w:cs="Arial"/>
                <w:sz w:val="16"/>
                <w:szCs w:val="16"/>
              </w:rPr>
              <w:t>Patient must be unable to take desferrioxamine therapy.</w:t>
            </w:r>
          </w:p>
        </w:tc>
        <w:tc>
          <w:tcPr>
            <w:tcW w:w="929" w:type="pct"/>
            <w:tcMar>
              <w:top w:w="28" w:type="dxa"/>
              <w:left w:w="28" w:type="dxa"/>
              <w:right w:w="57" w:type="dxa"/>
            </w:tcMar>
          </w:tcPr>
          <w:p w14:paraId="2E59A70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9286</w:t>
            </w:r>
          </w:p>
        </w:tc>
      </w:tr>
      <w:tr w:rsidR="008F47B8" w:rsidRPr="006D52A9" w14:paraId="288A9019" w14:textId="77777777" w:rsidTr="00FB6D2D">
        <w:trPr>
          <w:cantSplit/>
        </w:trPr>
        <w:tc>
          <w:tcPr>
            <w:tcW w:w="647" w:type="pct"/>
            <w:tcMar>
              <w:top w:w="28" w:type="dxa"/>
              <w:left w:w="28" w:type="dxa"/>
            </w:tcMar>
          </w:tcPr>
          <w:p w14:paraId="0295169D"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2C9129A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C9590</w:t>
            </w:r>
          </w:p>
        </w:tc>
        <w:tc>
          <w:tcPr>
            <w:tcW w:w="274" w:type="pct"/>
            <w:tcMar>
              <w:top w:w="28" w:type="dxa"/>
              <w:left w:w="28" w:type="dxa"/>
            </w:tcMar>
          </w:tcPr>
          <w:p w14:paraId="57F8A4DF"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78D9D36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Iron overload</w:t>
            </w:r>
            <w:r w:rsidRPr="006D52A9">
              <w:rPr>
                <w:rFonts w:ascii="Arial" w:hAnsi="Arial" w:cs="Arial"/>
                <w:sz w:val="16"/>
                <w:szCs w:val="16"/>
              </w:rPr>
              <w:br/>
              <w:t>Patient must have thalassaemia major; AND</w:t>
            </w:r>
            <w:r w:rsidRPr="006D52A9">
              <w:rPr>
                <w:rFonts w:ascii="Arial" w:hAnsi="Arial" w:cs="Arial"/>
                <w:sz w:val="16"/>
                <w:szCs w:val="16"/>
              </w:rPr>
              <w:br/>
              <w:t>Patient must be one in whom desferrioxamine therapy has proven ineffective.</w:t>
            </w:r>
          </w:p>
        </w:tc>
        <w:tc>
          <w:tcPr>
            <w:tcW w:w="929" w:type="pct"/>
            <w:tcMar>
              <w:top w:w="28" w:type="dxa"/>
              <w:left w:w="28" w:type="dxa"/>
              <w:right w:w="57" w:type="dxa"/>
            </w:tcMar>
          </w:tcPr>
          <w:p w14:paraId="578F1E4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9590</w:t>
            </w:r>
          </w:p>
        </w:tc>
      </w:tr>
      <w:tr w:rsidR="008F47B8" w:rsidRPr="006D52A9" w14:paraId="6CF22238" w14:textId="77777777" w:rsidTr="00FB6D2D">
        <w:trPr>
          <w:cantSplit/>
        </w:trPr>
        <w:tc>
          <w:tcPr>
            <w:tcW w:w="647" w:type="pct"/>
            <w:tcMar>
              <w:top w:w="28" w:type="dxa"/>
              <w:left w:w="28" w:type="dxa"/>
            </w:tcMar>
          </w:tcPr>
          <w:p w14:paraId="66C6C8ED"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73170EA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C9623</w:t>
            </w:r>
          </w:p>
        </w:tc>
        <w:tc>
          <w:tcPr>
            <w:tcW w:w="274" w:type="pct"/>
            <w:tcMar>
              <w:top w:w="28" w:type="dxa"/>
              <w:left w:w="28" w:type="dxa"/>
            </w:tcMar>
          </w:tcPr>
          <w:p w14:paraId="56990ADB"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484261C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Iron overload</w:t>
            </w:r>
            <w:r w:rsidRPr="006D52A9">
              <w:rPr>
                <w:rFonts w:ascii="Arial" w:hAnsi="Arial" w:cs="Arial"/>
                <w:sz w:val="16"/>
                <w:szCs w:val="16"/>
              </w:rPr>
              <w:br/>
              <w:t>Patient must have thalassaemia major; AND</w:t>
            </w:r>
            <w:r w:rsidRPr="006D52A9">
              <w:rPr>
                <w:rFonts w:ascii="Arial" w:hAnsi="Arial" w:cs="Arial"/>
                <w:sz w:val="16"/>
                <w:szCs w:val="16"/>
              </w:rPr>
              <w:br/>
              <w:t>Patient must be unable to take desferrioxamine therapy.</w:t>
            </w:r>
          </w:p>
        </w:tc>
        <w:tc>
          <w:tcPr>
            <w:tcW w:w="929" w:type="pct"/>
            <w:tcMar>
              <w:top w:w="28" w:type="dxa"/>
              <w:left w:w="28" w:type="dxa"/>
              <w:right w:w="57" w:type="dxa"/>
            </w:tcMar>
          </w:tcPr>
          <w:p w14:paraId="35ADF08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9623</w:t>
            </w:r>
          </w:p>
        </w:tc>
      </w:tr>
      <w:tr w:rsidR="008F47B8" w:rsidRPr="006D52A9" w14:paraId="03DDF0CC" w14:textId="77777777" w:rsidTr="00FB6D2D">
        <w:trPr>
          <w:cantSplit/>
        </w:trPr>
        <w:tc>
          <w:tcPr>
            <w:tcW w:w="647" w:type="pct"/>
            <w:tcMar>
              <w:top w:w="28" w:type="dxa"/>
              <w:left w:w="28" w:type="dxa"/>
            </w:tcMar>
          </w:tcPr>
          <w:p w14:paraId="2017A5B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Desferrioxamine</w:t>
            </w:r>
          </w:p>
        </w:tc>
        <w:tc>
          <w:tcPr>
            <w:tcW w:w="283" w:type="pct"/>
            <w:tcMar>
              <w:top w:w="28" w:type="dxa"/>
              <w:left w:w="28" w:type="dxa"/>
            </w:tcMar>
          </w:tcPr>
          <w:p w14:paraId="463E5D5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C6394</w:t>
            </w:r>
          </w:p>
        </w:tc>
        <w:tc>
          <w:tcPr>
            <w:tcW w:w="274" w:type="pct"/>
            <w:tcMar>
              <w:top w:w="28" w:type="dxa"/>
              <w:left w:w="28" w:type="dxa"/>
            </w:tcMar>
          </w:tcPr>
          <w:p w14:paraId="618F9AFC"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5D39A138" w14:textId="77777777" w:rsidR="008F47B8" w:rsidRPr="006D52A9" w:rsidRDefault="008F47B8" w:rsidP="00FB6D2D">
            <w:pPr>
              <w:spacing w:line="240" w:lineRule="auto"/>
              <w:rPr>
                <w:szCs w:val="16"/>
              </w:rPr>
            </w:pPr>
            <w:r w:rsidRPr="006D52A9">
              <w:rPr>
                <w:rFonts w:ascii="Arial" w:hAnsi="Arial" w:cs="Arial"/>
                <w:sz w:val="16"/>
                <w:szCs w:val="16"/>
              </w:rPr>
              <w:t>Disorders of erythropoiesis</w:t>
            </w:r>
          </w:p>
          <w:p w14:paraId="06EABBD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condition must be associated with treatment</w:t>
            </w:r>
            <w:r w:rsidR="0026100E">
              <w:rPr>
                <w:rFonts w:ascii="Arial" w:hAnsi="Arial" w:cs="Arial"/>
                <w:sz w:val="16"/>
                <w:szCs w:val="16"/>
              </w:rPr>
              <w:noBreakHyphen/>
            </w:r>
            <w:r w:rsidRPr="006D52A9">
              <w:rPr>
                <w:rFonts w:ascii="Arial" w:hAnsi="Arial" w:cs="Arial"/>
                <w:sz w:val="16"/>
                <w:szCs w:val="16"/>
              </w:rPr>
              <w:t>related chronic iron overload.</w:t>
            </w:r>
          </w:p>
        </w:tc>
        <w:tc>
          <w:tcPr>
            <w:tcW w:w="929" w:type="pct"/>
            <w:tcMar>
              <w:top w:w="28" w:type="dxa"/>
              <w:left w:w="28" w:type="dxa"/>
              <w:right w:w="57" w:type="dxa"/>
            </w:tcMar>
          </w:tcPr>
          <w:p w14:paraId="7635AA9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6394</w:t>
            </w:r>
          </w:p>
        </w:tc>
      </w:tr>
      <w:tr w:rsidR="008F47B8" w:rsidRPr="006D52A9" w:rsidDel="00FD7BD7" w14:paraId="0C9A5F63" w14:textId="77777777" w:rsidTr="00FB6D2D">
        <w:trPr>
          <w:cantSplit/>
        </w:trPr>
        <w:tc>
          <w:tcPr>
            <w:tcW w:w="647" w:type="pct"/>
            <w:tcMar>
              <w:top w:w="28" w:type="dxa"/>
              <w:left w:w="28" w:type="dxa"/>
            </w:tcMar>
          </w:tcPr>
          <w:p w14:paraId="746B6D7D" w14:textId="77777777" w:rsidR="008F47B8" w:rsidRPr="006D52A9" w:rsidDel="00FD7BD7" w:rsidRDefault="008F47B8" w:rsidP="00FB6D2D">
            <w:pPr>
              <w:spacing w:line="240" w:lineRule="auto"/>
              <w:rPr>
                <w:rFonts w:ascii="Arial" w:hAnsi="Arial" w:cs="Arial"/>
                <w:sz w:val="16"/>
                <w:szCs w:val="16"/>
              </w:rPr>
            </w:pPr>
          </w:p>
        </w:tc>
        <w:tc>
          <w:tcPr>
            <w:tcW w:w="283" w:type="pct"/>
            <w:tcMar>
              <w:top w:w="28" w:type="dxa"/>
              <w:left w:w="28" w:type="dxa"/>
            </w:tcMar>
          </w:tcPr>
          <w:p w14:paraId="58545B21" w14:textId="77777777" w:rsidR="008F47B8" w:rsidRPr="006D52A9" w:rsidDel="00FD7BD7" w:rsidRDefault="008F47B8" w:rsidP="00FB6D2D">
            <w:pPr>
              <w:spacing w:line="240" w:lineRule="auto"/>
              <w:rPr>
                <w:rFonts w:ascii="Arial" w:hAnsi="Arial" w:cs="Arial"/>
                <w:sz w:val="16"/>
                <w:szCs w:val="16"/>
              </w:rPr>
            </w:pPr>
            <w:r w:rsidRPr="006D52A9">
              <w:rPr>
                <w:rFonts w:ascii="Arial" w:hAnsi="Arial" w:cs="Arial"/>
                <w:sz w:val="16"/>
                <w:szCs w:val="16"/>
              </w:rPr>
              <w:t>C9696</w:t>
            </w:r>
          </w:p>
        </w:tc>
        <w:tc>
          <w:tcPr>
            <w:tcW w:w="274" w:type="pct"/>
            <w:tcMar>
              <w:top w:w="28" w:type="dxa"/>
              <w:left w:w="28" w:type="dxa"/>
            </w:tcMar>
          </w:tcPr>
          <w:p w14:paraId="3738F19B" w14:textId="77777777" w:rsidR="008F47B8" w:rsidRPr="006D52A9" w:rsidDel="00FD7BD7" w:rsidRDefault="008F47B8" w:rsidP="00FB6D2D">
            <w:pPr>
              <w:spacing w:line="240" w:lineRule="auto"/>
              <w:rPr>
                <w:rFonts w:ascii="Arial" w:hAnsi="Arial" w:cs="Arial"/>
                <w:sz w:val="16"/>
                <w:szCs w:val="16"/>
              </w:rPr>
            </w:pPr>
          </w:p>
        </w:tc>
        <w:tc>
          <w:tcPr>
            <w:tcW w:w="2867" w:type="pct"/>
            <w:tcMar>
              <w:top w:w="28" w:type="dxa"/>
              <w:left w:w="28" w:type="dxa"/>
            </w:tcMar>
          </w:tcPr>
          <w:p w14:paraId="1E99A160" w14:textId="77777777" w:rsidR="008F47B8" w:rsidRPr="006D52A9" w:rsidDel="00FD7BD7" w:rsidRDefault="008F47B8" w:rsidP="00FB6D2D">
            <w:pPr>
              <w:spacing w:line="240" w:lineRule="auto"/>
              <w:rPr>
                <w:rFonts w:ascii="Arial" w:hAnsi="Arial" w:cs="Arial"/>
                <w:sz w:val="16"/>
                <w:szCs w:val="16"/>
              </w:rPr>
            </w:pPr>
            <w:r w:rsidRPr="006D52A9">
              <w:rPr>
                <w:rFonts w:ascii="Arial" w:hAnsi="Arial" w:cs="Arial"/>
                <w:sz w:val="16"/>
                <w:szCs w:val="16"/>
              </w:rPr>
              <w:t>Disorders of erythropoiesis</w:t>
            </w:r>
            <w:r w:rsidRPr="006D52A9">
              <w:rPr>
                <w:rFonts w:ascii="Arial" w:hAnsi="Arial" w:cs="Arial"/>
                <w:sz w:val="16"/>
                <w:szCs w:val="16"/>
              </w:rPr>
              <w:br/>
              <w:t>The condition must be associated with treatment</w:t>
            </w:r>
            <w:r w:rsidR="0026100E">
              <w:rPr>
                <w:rFonts w:ascii="Arial" w:hAnsi="Arial" w:cs="Arial"/>
                <w:sz w:val="16"/>
                <w:szCs w:val="16"/>
              </w:rPr>
              <w:noBreakHyphen/>
            </w:r>
            <w:r w:rsidRPr="006D52A9">
              <w:rPr>
                <w:rFonts w:ascii="Arial" w:hAnsi="Arial" w:cs="Arial"/>
                <w:sz w:val="16"/>
                <w:szCs w:val="16"/>
              </w:rPr>
              <w:t>related chronic iron overload.</w:t>
            </w:r>
          </w:p>
        </w:tc>
        <w:tc>
          <w:tcPr>
            <w:tcW w:w="929" w:type="pct"/>
            <w:tcMar>
              <w:top w:w="28" w:type="dxa"/>
              <w:left w:w="28" w:type="dxa"/>
              <w:right w:w="57" w:type="dxa"/>
            </w:tcMar>
          </w:tcPr>
          <w:p w14:paraId="06D0A018" w14:textId="77777777" w:rsidR="008F47B8" w:rsidRPr="006D52A9" w:rsidDel="00FD7BD7"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9696</w:t>
            </w:r>
          </w:p>
        </w:tc>
      </w:tr>
      <w:tr w:rsidR="008F47B8" w:rsidRPr="006D52A9" w:rsidDel="007D41EA" w14:paraId="02E39401"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194A01F4" w14:textId="77777777" w:rsidR="008F47B8" w:rsidRPr="006D52A9" w:rsidDel="007D41EA" w:rsidRDefault="008F47B8" w:rsidP="00FB6D2D">
            <w:pPr>
              <w:spacing w:line="240" w:lineRule="auto"/>
              <w:rPr>
                <w:rFonts w:ascii="Arial" w:hAnsi="Arial" w:cs="Arial"/>
                <w:sz w:val="16"/>
                <w:szCs w:val="16"/>
              </w:rPr>
            </w:pPr>
            <w:bookmarkStart w:id="86" w:name="CU_98248710"/>
            <w:bookmarkEnd w:id="86"/>
            <w:r w:rsidRPr="006D52A9">
              <w:rPr>
                <w:rFonts w:ascii="Arial" w:hAnsi="Arial" w:cs="Arial"/>
                <w:sz w:val="16"/>
                <w:szCs w:val="16"/>
              </w:rPr>
              <w:t>Dolutegravir</w:t>
            </w:r>
          </w:p>
        </w:tc>
        <w:tc>
          <w:tcPr>
            <w:tcW w:w="283" w:type="pct"/>
            <w:tcBorders>
              <w:bottom w:val="single" w:sz="4" w:space="0" w:color="auto"/>
            </w:tcBorders>
            <w:tcMar>
              <w:top w:w="28" w:type="dxa"/>
              <w:left w:w="28" w:type="dxa"/>
            </w:tcMar>
          </w:tcPr>
          <w:p w14:paraId="4739AED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tcBorders>
              <w:bottom w:val="single" w:sz="4" w:space="0" w:color="auto"/>
            </w:tcBorders>
            <w:tcMar>
              <w:top w:w="28" w:type="dxa"/>
              <w:left w:w="28" w:type="dxa"/>
            </w:tcMar>
          </w:tcPr>
          <w:p w14:paraId="0AF4D5E8" w14:textId="77777777" w:rsidR="008F47B8" w:rsidRPr="006D52A9" w:rsidDel="007D41EA"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DBEE56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p>
          <w:p w14:paraId="4F74264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Continuing</w:t>
            </w:r>
          </w:p>
          <w:p w14:paraId="35EDDEC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 subsidised therapy for HIV infection; AND</w:t>
            </w:r>
          </w:p>
          <w:p w14:paraId="0188D9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in combination with other antiretroviral agents</w:t>
            </w:r>
          </w:p>
        </w:tc>
        <w:tc>
          <w:tcPr>
            <w:tcW w:w="929" w:type="pct"/>
            <w:tcBorders>
              <w:bottom w:val="single" w:sz="4" w:space="0" w:color="auto"/>
            </w:tcBorders>
            <w:tcMar>
              <w:top w:w="28" w:type="dxa"/>
              <w:left w:w="28" w:type="dxa"/>
              <w:right w:w="57" w:type="dxa"/>
            </w:tcMar>
          </w:tcPr>
          <w:p w14:paraId="7A0DEA5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Required procedures   Streamlined Authority Code 4454</w:t>
            </w:r>
          </w:p>
        </w:tc>
      </w:tr>
      <w:tr w:rsidR="008F47B8" w:rsidRPr="006D52A9" w:rsidDel="007D41EA" w14:paraId="31DFA3C8" w14:textId="77777777" w:rsidTr="00FB6D2D">
        <w:tblPrEx>
          <w:tblLook w:val="01E0" w:firstRow="1" w:lastRow="1" w:firstColumn="1" w:lastColumn="1" w:noHBand="0" w:noVBand="0"/>
        </w:tblPrEx>
        <w:tc>
          <w:tcPr>
            <w:tcW w:w="647" w:type="pct"/>
            <w:tcBorders>
              <w:bottom w:val="single" w:sz="4" w:space="0" w:color="auto"/>
            </w:tcBorders>
            <w:tcMar>
              <w:top w:w="28" w:type="dxa"/>
              <w:left w:w="28" w:type="dxa"/>
            </w:tcMar>
          </w:tcPr>
          <w:p w14:paraId="6FB19033"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09F5EA5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tcBorders>
              <w:bottom w:val="single" w:sz="4" w:space="0" w:color="auto"/>
            </w:tcBorders>
            <w:tcMar>
              <w:top w:w="28" w:type="dxa"/>
              <w:left w:w="28" w:type="dxa"/>
            </w:tcMar>
          </w:tcPr>
          <w:p w14:paraId="3A2B04A9" w14:textId="77777777" w:rsidR="008F47B8" w:rsidRPr="006D52A9" w:rsidDel="007D41EA"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F5E9C1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0B95F56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tcBorders>
              <w:bottom w:val="single" w:sz="4" w:space="0" w:color="auto"/>
            </w:tcBorders>
            <w:tcMar>
              <w:top w:w="28" w:type="dxa"/>
              <w:left w:w="28" w:type="dxa"/>
              <w:right w:w="57" w:type="dxa"/>
            </w:tcMar>
          </w:tcPr>
          <w:p w14:paraId="12F3E6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9152C2" w14:paraId="3EB0E25F"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6B9B0838" w14:textId="77777777" w:rsidR="008F47B8" w:rsidRPr="006D52A9" w:rsidDel="009152C2" w:rsidRDefault="008F47B8" w:rsidP="00FB6D2D">
            <w:pPr>
              <w:spacing w:line="240" w:lineRule="auto"/>
              <w:rPr>
                <w:rFonts w:ascii="Arial" w:hAnsi="Arial" w:cs="Arial"/>
                <w:sz w:val="16"/>
                <w:szCs w:val="16"/>
              </w:rPr>
            </w:pPr>
            <w:bookmarkStart w:id="87" w:name="CU_103250365"/>
            <w:bookmarkStart w:id="88" w:name="CU_104250701"/>
            <w:bookmarkEnd w:id="87"/>
            <w:bookmarkEnd w:id="88"/>
            <w:r w:rsidRPr="006D52A9">
              <w:rPr>
                <w:rFonts w:ascii="Arial" w:hAnsi="Arial" w:cs="Arial"/>
                <w:sz w:val="16"/>
                <w:szCs w:val="16"/>
              </w:rPr>
              <w:t>Dolutegravir with abacavir and lamivudine</w:t>
            </w:r>
          </w:p>
        </w:tc>
        <w:tc>
          <w:tcPr>
            <w:tcW w:w="283" w:type="pct"/>
            <w:tcBorders>
              <w:bottom w:val="single" w:sz="4" w:space="0" w:color="auto"/>
            </w:tcBorders>
            <w:shd w:val="clear" w:color="auto" w:fill="auto"/>
            <w:tcMar>
              <w:top w:w="28" w:type="dxa"/>
              <w:left w:w="28" w:type="dxa"/>
            </w:tcMar>
          </w:tcPr>
          <w:p w14:paraId="35974102"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C9981</w:t>
            </w:r>
          </w:p>
        </w:tc>
        <w:tc>
          <w:tcPr>
            <w:tcW w:w="274" w:type="pct"/>
            <w:tcBorders>
              <w:bottom w:val="single" w:sz="4" w:space="0" w:color="auto"/>
            </w:tcBorders>
            <w:shd w:val="clear" w:color="auto" w:fill="auto"/>
            <w:tcMar>
              <w:top w:w="28" w:type="dxa"/>
              <w:left w:w="28" w:type="dxa"/>
            </w:tcMar>
          </w:tcPr>
          <w:p w14:paraId="06A5BC87" w14:textId="77777777" w:rsidR="008F47B8" w:rsidRPr="006D52A9" w:rsidDel="009152C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F3E2F82"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 treatment</w:t>
            </w:r>
            <w:r w:rsidRPr="006D52A9">
              <w:rPr>
                <w:rFonts w:ascii="Arial" w:hAnsi="Arial" w:cs="Arial"/>
                <w:sz w:val="16"/>
                <w:szCs w:val="16"/>
              </w:rPr>
              <w:br/>
              <w:t>Patient must be antiretroviral treatment naive.</w:t>
            </w:r>
          </w:p>
        </w:tc>
        <w:tc>
          <w:tcPr>
            <w:tcW w:w="929" w:type="pct"/>
            <w:tcBorders>
              <w:bottom w:val="single" w:sz="4" w:space="0" w:color="auto"/>
            </w:tcBorders>
            <w:shd w:val="clear" w:color="auto" w:fill="auto"/>
            <w:tcMar>
              <w:top w:w="28" w:type="dxa"/>
              <w:left w:w="28" w:type="dxa"/>
              <w:right w:w="57" w:type="dxa"/>
            </w:tcMar>
          </w:tcPr>
          <w:p w14:paraId="2FB14500"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9981</w:t>
            </w:r>
          </w:p>
        </w:tc>
      </w:tr>
      <w:tr w:rsidR="008F47B8" w:rsidRPr="006D52A9" w:rsidDel="009152C2" w14:paraId="0B78959C"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22E93A65" w14:textId="77777777" w:rsidR="008F47B8" w:rsidRPr="006D52A9" w:rsidDel="009152C2"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871ED0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C10116</w:t>
            </w:r>
          </w:p>
        </w:tc>
        <w:tc>
          <w:tcPr>
            <w:tcW w:w="274" w:type="pct"/>
            <w:tcBorders>
              <w:bottom w:val="single" w:sz="4" w:space="0" w:color="auto"/>
            </w:tcBorders>
            <w:shd w:val="clear" w:color="auto" w:fill="auto"/>
            <w:tcMar>
              <w:top w:w="28" w:type="dxa"/>
              <w:left w:w="28" w:type="dxa"/>
            </w:tcMar>
          </w:tcPr>
          <w:p w14:paraId="759F62E2" w14:textId="77777777" w:rsidR="008F47B8" w:rsidRPr="006D52A9" w:rsidDel="009152C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EA1788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p>
        </w:tc>
        <w:tc>
          <w:tcPr>
            <w:tcW w:w="929" w:type="pct"/>
            <w:tcBorders>
              <w:bottom w:val="single" w:sz="4" w:space="0" w:color="auto"/>
            </w:tcBorders>
            <w:shd w:val="clear" w:color="auto" w:fill="auto"/>
            <w:tcMar>
              <w:top w:w="28" w:type="dxa"/>
              <w:left w:w="28" w:type="dxa"/>
              <w:right w:w="57" w:type="dxa"/>
            </w:tcMar>
          </w:tcPr>
          <w:p w14:paraId="1399B9C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10116</w:t>
            </w:r>
          </w:p>
        </w:tc>
      </w:tr>
      <w:tr w:rsidR="008F47B8" w:rsidRPr="006D52A9" w:rsidDel="009152C2" w14:paraId="71F4813E"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2C102963" w14:textId="77777777" w:rsidR="008F47B8" w:rsidRPr="006D52A9" w:rsidDel="009152C2" w:rsidRDefault="008F47B8" w:rsidP="00FB6D2D">
            <w:pPr>
              <w:spacing w:line="240" w:lineRule="auto"/>
              <w:rPr>
                <w:rFonts w:ascii="Arial" w:hAnsi="Arial" w:cs="Arial"/>
                <w:sz w:val="16"/>
                <w:szCs w:val="16"/>
              </w:rPr>
            </w:pPr>
            <w:r w:rsidRPr="006D52A9">
              <w:rPr>
                <w:rFonts w:ascii="Arial" w:hAnsi="Arial" w:cs="Arial"/>
                <w:sz w:val="16"/>
                <w:szCs w:val="16"/>
              </w:rPr>
              <w:t>Dolutegravir with lamivudine</w:t>
            </w:r>
          </w:p>
        </w:tc>
        <w:tc>
          <w:tcPr>
            <w:tcW w:w="283" w:type="pct"/>
            <w:tcBorders>
              <w:bottom w:val="single" w:sz="4" w:space="0" w:color="auto"/>
            </w:tcBorders>
            <w:shd w:val="clear" w:color="auto" w:fill="auto"/>
            <w:tcMar>
              <w:top w:w="28" w:type="dxa"/>
              <w:left w:w="28" w:type="dxa"/>
            </w:tcMar>
          </w:tcPr>
          <w:p w14:paraId="031078C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C9987</w:t>
            </w:r>
          </w:p>
        </w:tc>
        <w:tc>
          <w:tcPr>
            <w:tcW w:w="274" w:type="pct"/>
            <w:tcBorders>
              <w:bottom w:val="single" w:sz="4" w:space="0" w:color="auto"/>
            </w:tcBorders>
            <w:shd w:val="clear" w:color="auto" w:fill="auto"/>
            <w:tcMar>
              <w:top w:w="28" w:type="dxa"/>
              <w:left w:w="28" w:type="dxa"/>
            </w:tcMar>
          </w:tcPr>
          <w:p w14:paraId="29F664E1" w14:textId="77777777" w:rsidR="008F47B8" w:rsidRPr="006D52A9" w:rsidDel="009152C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C88C58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 treatment</w:t>
            </w:r>
            <w:r w:rsidRPr="006D52A9">
              <w:rPr>
                <w:rFonts w:ascii="Arial" w:hAnsi="Arial" w:cs="Arial"/>
                <w:sz w:val="16"/>
                <w:szCs w:val="16"/>
              </w:rPr>
              <w:br/>
              <w:t>Patient must be antiretroviral treatment naive; AND</w:t>
            </w:r>
            <w:r w:rsidRPr="006D52A9">
              <w:rPr>
                <w:rFonts w:ascii="Arial" w:hAnsi="Arial" w:cs="Arial"/>
                <w:sz w:val="16"/>
                <w:szCs w:val="16"/>
              </w:rPr>
              <w:br/>
              <w:t>Patient must not have suspected resistance to either antiretroviral component.</w:t>
            </w:r>
          </w:p>
        </w:tc>
        <w:tc>
          <w:tcPr>
            <w:tcW w:w="929" w:type="pct"/>
            <w:tcBorders>
              <w:bottom w:val="single" w:sz="4" w:space="0" w:color="auto"/>
            </w:tcBorders>
            <w:shd w:val="clear" w:color="auto" w:fill="auto"/>
            <w:tcMar>
              <w:top w:w="28" w:type="dxa"/>
              <w:left w:w="28" w:type="dxa"/>
              <w:right w:w="57" w:type="dxa"/>
            </w:tcMar>
          </w:tcPr>
          <w:p w14:paraId="560DFEC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9987</w:t>
            </w:r>
          </w:p>
        </w:tc>
      </w:tr>
      <w:tr w:rsidR="008F47B8" w:rsidRPr="006D52A9" w:rsidDel="009152C2" w14:paraId="0E69C85D"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4C0F1D03"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AD8CEB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C11066</w:t>
            </w:r>
          </w:p>
        </w:tc>
        <w:tc>
          <w:tcPr>
            <w:tcW w:w="274" w:type="pct"/>
            <w:tcBorders>
              <w:bottom w:val="single" w:sz="4" w:space="0" w:color="auto"/>
            </w:tcBorders>
            <w:shd w:val="clear" w:color="auto" w:fill="auto"/>
            <w:tcMar>
              <w:top w:w="28" w:type="dxa"/>
              <w:left w:w="28" w:type="dxa"/>
            </w:tcMar>
          </w:tcPr>
          <w:p w14:paraId="6A7FE98C" w14:textId="77777777" w:rsidR="008F47B8" w:rsidRPr="006D52A9" w:rsidDel="009152C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82F856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 or change of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p>
        </w:tc>
        <w:tc>
          <w:tcPr>
            <w:tcW w:w="929" w:type="pct"/>
            <w:tcBorders>
              <w:bottom w:val="single" w:sz="4" w:space="0" w:color="auto"/>
            </w:tcBorders>
            <w:shd w:val="clear" w:color="auto" w:fill="auto"/>
            <w:tcMar>
              <w:top w:w="28" w:type="dxa"/>
              <w:left w:w="28" w:type="dxa"/>
              <w:right w:w="57" w:type="dxa"/>
            </w:tcMar>
          </w:tcPr>
          <w:p w14:paraId="621D058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11066</w:t>
            </w:r>
          </w:p>
        </w:tc>
      </w:tr>
      <w:tr w:rsidR="008F47B8" w:rsidRPr="006D52A9" w:rsidDel="007D41EA" w14:paraId="376C5E76"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0B3853BB" w14:textId="77777777" w:rsidR="008F47B8" w:rsidRPr="006D52A9" w:rsidDel="007D41EA" w:rsidRDefault="008F47B8" w:rsidP="00FB6D2D">
            <w:pPr>
              <w:spacing w:line="240" w:lineRule="auto"/>
              <w:rPr>
                <w:rFonts w:ascii="Arial" w:hAnsi="Arial" w:cs="Arial"/>
                <w:sz w:val="16"/>
                <w:szCs w:val="16"/>
              </w:rPr>
            </w:pPr>
            <w:r w:rsidRPr="006D52A9">
              <w:rPr>
                <w:rFonts w:ascii="Arial" w:hAnsi="Arial" w:cs="Arial"/>
                <w:sz w:val="16"/>
                <w:szCs w:val="16"/>
              </w:rPr>
              <w:t>Dolutegravir with rilpivirine</w:t>
            </w:r>
          </w:p>
        </w:tc>
        <w:tc>
          <w:tcPr>
            <w:tcW w:w="283" w:type="pct"/>
            <w:tcBorders>
              <w:bottom w:val="single" w:sz="4" w:space="0" w:color="auto"/>
            </w:tcBorders>
            <w:shd w:val="clear" w:color="auto" w:fill="auto"/>
            <w:tcMar>
              <w:top w:w="28" w:type="dxa"/>
              <w:left w:w="28" w:type="dxa"/>
            </w:tcMar>
          </w:tcPr>
          <w:p w14:paraId="0AF0EC6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C8214</w:t>
            </w:r>
          </w:p>
        </w:tc>
        <w:tc>
          <w:tcPr>
            <w:tcW w:w="274" w:type="pct"/>
            <w:tcBorders>
              <w:bottom w:val="single" w:sz="4" w:space="0" w:color="auto"/>
            </w:tcBorders>
            <w:shd w:val="clear" w:color="auto" w:fill="auto"/>
            <w:tcMar>
              <w:top w:w="28" w:type="dxa"/>
              <w:left w:w="28" w:type="dxa"/>
            </w:tcMar>
          </w:tcPr>
          <w:p w14:paraId="57A9D920" w14:textId="77777777" w:rsidR="008F47B8" w:rsidRPr="006D52A9" w:rsidDel="007D41E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9FB72D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 treatment</w:t>
            </w:r>
            <w:r w:rsidRPr="006D52A9">
              <w:rPr>
                <w:rFonts w:ascii="Arial" w:hAnsi="Arial" w:cs="Arial"/>
                <w:sz w:val="16"/>
                <w:szCs w:val="16"/>
              </w:rPr>
              <w:br/>
              <w:t>Patient must be virologically suppressed on a stable antiretroviral regimen for at least 6 months;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therapy for this condition.</w:t>
            </w:r>
          </w:p>
        </w:tc>
        <w:tc>
          <w:tcPr>
            <w:tcW w:w="929" w:type="pct"/>
            <w:tcBorders>
              <w:bottom w:val="single" w:sz="4" w:space="0" w:color="auto"/>
            </w:tcBorders>
            <w:shd w:val="clear" w:color="auto" w:fill="auto"/>
            <w:tcMar>
              <w:top w:w="28" w:type="dxa"/>
              <w:left w:w="28" w:type="dxa"/>
              <w:right w:w="57" w:type="dxa"/>
            </w:tcMar>
          </w:tcPr>
          <w:p w14:paraId="2E70C61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8214</w:t>
            </w:r>
          </w:p>
        </w:tc>
      </w:tr>
      <w:tr w:rsidR="008F47B8" w:rsidRPr="006D52A9" w:rsidDel="007D41EA" w14:paraId="4BE2A1E3" w14:textId="77777777" w:rsidTr="00FB6D2D">
        <w:tblPrEx>
          <w:tblLook w:val="01E0" w:firstRow="1" w:lastRow="1" w:firstColumn="1" w:lastColumn="1" w:noHBand="0" w:noVBand="0"/>
        </w:tblPrEx>
        <w:trPr>
          <w:cantSplit/>
        </w:trPr>
        <w:tc>
          <w:tcPr>
            <w:tcW w:w="647" w:type="pct"/>
            <w:tcBorders>
              <w:bottom w:val="single" w:sz="4" w:space="0" w:color="auto"/>
            </w:tcBorders>
            <w:shd w:val="clear" w:color="auto" w:fill="auto"/>
            <w:tcMar>
              <w:top w:w="28" w:type="dxa"/>
              <w:left w:w="28" w:type="dxa"/>
            </w:tcMar>
          </w:tcPr>
          <w:p w14:paraId="5370A33E" w14:textId="77777777" w:rsidR="008F47B8" w:rsidRPr="006D52A9" w:rsidDel="007D41EA"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3335B3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C8226</w:t>
            </w:r>
          </w:p>
        </w:tc>
        <w:tc>
          <w:tcPr>
            <w:tcW w:w="274" w:type="pct"/>
            <w:tcBorders>
              <w:bottom w:val="single" w:sz="4" w:space="0" w:color="auto"/>
            </w:tcBorders>
            <w:shd w:val="clear" w:color="auto" w:fill="auto"/>
            <w:tcMar>
              <w:top w:w="28" w:type="dxa"/>
              <w:left w:w="28" w:type="dxa"/>
            </w:tcMar>
          </w:tcPr>
          <w:p w14:paraId="043F10B8" w14:textId="77777777" w:rsidR="008F47B8" w:rsidRPr="006D52A9" w:rsidDel="007D41EA"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2711E1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with this drug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therapy for this condition.</w:t>
            </w:r>
          </w:p>
        </w:tc>
        <w:tc>
          <w:tcPr>
            <w:tcW w:w="929" w:type="pct"/>
            <w:tcBorders>
              <w:bottom w:val="single" w:sz="4" w:space="0" w:color="auto"/>
            </w:tcBorders>
            <w:shd w:val="clear" w:color="auto" w:fill="auto"/>
            <w:tcMar>
              <w:top w:w="28" w:type="dxa"/>
              <w:left w:w="28" w:type="dxa"/>
              <w:right w:w="57" w:type="dxa"/>
            </w:tcMar>
          </w:tcPr>
          <w:p w14:paraId="489D0C0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8226</w:t>
            </w:r>
          </w:p>
        </w:tc>
      </w:tr>
      <w:tr w:rsidR="008F47B8" w:rsidRPr="006D52A9" w:rsidDel="008B44D2" w14:paraId="3926FF23" w14:textId="77777777" w:rsidTr="00FB6D2D">
        <w:tc>
          <w:tcPr>
            <w:tcW w:w="647" w:type="pct"/>
            <w:tcMar>
              <w:top w:w="28" w:type="dxa"/>
              <w:left w:w="28" w:type="dxa"/>
            </w:tcMar>
          </w:tcPr>
          <w:p w14:paraId="5069674B" w14:textId="77777777" w:rsidR="008F47B8" w:rsidRPr="006D52A9" w:rsidDel="008B44D2" w:rsidRDefault="008F47B8" w:rsidP="00FB6D2D">
            <w:pPr>
              <w:spacing w:line="240" w:lineRule="auto"/>
              <w:rPr>
                <w:rFonts w:ascii="Arial" w:hAnsi="Arial" w:cs="Arial"/>
                <w:sz w:val="16"/>
                <w:szCs w:val="16"/>
              </w:rPr>
            </w:pPr>
            <w:bookmarkStart w:id="89" w:name="CU_105251034"/>
            <w:bookmarkStart w:id="90" w:name="CU_107257648"/>
            <w:bookmarkStart w:id="91" w:name="CU_110260099"/>
            <w:bookmarkStart w:id="92" w:name="CU_111260920"/>
            <w:bookmarkEnd w:id="89"/>
            <w:bookmarkEnd w:id="90"/>
            <w:bookmarkEnd w:id="91"/>
            <w:bookmarkEnd w:id="92"/>
            <w:r w:rsidRPr="006D52A9">
              <w:rPr>
                <w:rFonts w:ascii="Arial" w:hAnsi="Arial" w:cs="Arial"/>
                <w:sz w:val="16"/>
                <w:szCs w:val="16"/>
              </w:rPr>
              <w:t>Dornase alfa</w:t>
            </w:r>
          </w:p>
        </w:tc>
        <w:tc>
          <w:tcPr>
            <w:tcW w:w="283" w:type="pct"/>
            <w:tcMar>
              <w:top w:w="28" w:type="dxa"/>
              <w:left w:w="28" w:type="dxa"/>
            </w:tcMar>
          </w:tcPr>
          <w:p w14:paraId="76AC7C50"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C5634</w:t>
            </w:r>
          </w:p>
        </w:tc>
        <w:tc>
          <w:tcPr>
            <w:tcW w:w="274" w:type="pct"/>
            <w:tcMar>
              <w:top w:w="28" w:type="dxa"/>
              <w:left w:w="28" w:type="dxa"/>
            </w:tcMar>
          </w:tcPr>
          <w:p w14:paraId="522A019F" w14:textId="77777777" w:rsidR="008F47B8" w:rsidRPr="006D52A9" w:rsidDel="008B44D2" w:rsidRDefault="008F47B8" w:rsidP="00FB6D2D">
            <w:pPr>
              <w:spacing w:line="240" w:lineRule="auto"/>
              <w:rPr>
                <w:rFonts w:ascii="Arial" w:hAnsi="Arial" w:cs="Arial"/>
                <w:sz w:val="16"/>
                <w:szCs w:val="16"/>
              </w:rPr>
            </w:pPr>
          </w:p>
        </w:tc>
        <w:tc>
          <w:tcPr>
            <w:tcW w:w="2867" w:type="pct"/>
            <w:tcMar>
              <w:top w:w="28" w:type="dxa"/>
              <w:left w:w="28" w:type="dxa"/>
            </w:tcMar>
          </w:tcPr>
          <w:p w14:paraId="308D14A4"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6D52A9">
              <w:rPr>
                <w:rFonts w:ascii="Arial" w:hAnsi="Arial" w:cs="Arial"/>
                <w:sz w:val="16"/>
                <w:szCs w:val="16"/>
              </w:rPr>
              <w:br/>
              <w:t>Patient must have significant bronchiectasis on chest high resolution computed tomography scan; OR</w:t>
            </w:r>
            <w:r w:rsidRPr="006D52A9">
              <w:rPr>
                <w:rFonts w:ascii="Arial" w:hAnsi="Arial" w:cs="Arial"/>
                <w:sz w:val="16"/>
                <w:szCs w:val="16"/>
              </w:rPr>
              <w:br/>
              <w:t>Patient must have severe cystic fibrosis bronchiolitis with persistent wheeze non</w:t>
            </w:r>
            <w:r w:rsidR="0026100E">
              <w:rPr>
                <w:rFonts w:ascii="Arial" w:hAnsi="Arial" w:cs="Arial"/>
                <w:sz w:val="16"/>
                <w:szCs w:val="16"/>
              </w:rPr>
              <w:noBreakHyphen/>
            </w:r>
            <w:r w:rsidRPr="006D52A9">
              <w:rPr>
                <w:rFonts w:ascii="Arial" w:hAnsi="Arial" w:cs="Arial"/>
                <w:sz w:val="16"/>
                <w:szCs w:val="16"/>
              </w:rPr>
              <w:t>responsive to conventional medicines; OR</w:t>
            </w:r>
            <w:r w:rsidRPr="006D52A9">
              <w:rPr>
                <w:rFonts w:ascii="Arial" w:hAnsi="Arial" w:cs="Arial"/>
                <w:sz w:val="16"/>
                <w:szCs w:val="16"/>
              </w:rPr>
              <w:br/>
              <w:t xml:space="preserve">Patient must have severe physiological deficit measure by forced oscillation technique or multiple breath </w:t>
            </w:r>
            <w:r w:rsidRPr="006D52A9">
              <w:rPr>
                <w:rFonts w:ascii="Arial" w:hAnsi="Arial" w:cs="Arial"/>
                <w:sz w:val="16"/>
                <w:szCs w:val="16"/>
              </w:rPr>
              <w:lastRenderedPageBreak/>
              <w:t>nitrogen washout and failure to respond to conventional therapy.</w:t>
            </w:r>
            <w:r w:rsidRPr="006D52A9">
              <w:rPr>
                <w:rFonts w:ascii="Arial" w:hAnsi="Arial" w:cs="Arial"/>
                <w:sz w:val="16"/>
                <w:szCs w:val="16"/>
              </w:rPr>
              <w:br/>
              <w:t>Patient must be less than 5 years of age.</w:t>
            </w:r>
            <w:r w:rsidRPr="006D52A9">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w:t>
            </w:r>
          </w:p>
        </w:tc>
        <w:tc>
          <w:tcPr>
            <w:tcW w:w="929" w:type="pct"/>
            <w:tcMar>
              <w:top w:w="28" w:type="dxa"/>
              <w:left w:w="28" w:type="dxa"/>
              <w:right w:w="57" w:type="dxa"/>
            </w:tcMar>
          </w:tcPr>
          <w:p w14:paraId="2F5DB64A"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5634</w:t>
            </w:r>
          </w:p>
        </w:tc>
      </w:tr>
      <w:tr w:rsidR="008F47B8" w:rsidRPr="006D52A9" w:rsidDel="008B44D2" w14:paraId="0DDAA830" w14:textId="77777777" w:rsidTr="00FB6D2D">
        <w:tc>
          <w:tcPr>
            <w:tcW w:w="647" w:type="pct"/>
            <w:tcMar>
              <w:top w:w="28" w:type="dxa"/>
              <w:left w:w="28" w:type="dxa"/>
            </w:tcMar>
          </w:tcPr>
          <w:p w14:paraId="2816BBC8" w14:textId="77777777" w:rsidR="008F47B8" w:rsidRPr="006D52A9" w:rsidDel="008B44D2" w:rsidRDefault="008F47B8" w:rsidP="00FB6D2D">
            <w:pPr>
              <w:spacing w:line="240" w:lineRule="auto"/>
              <w:rPr>
                <w:rFonts w:ascii="Arial" w:hAnsi="Arial" w:cs="Arial"/>
                <w:sz w:val="16"/>
                <w:szCs w:val="16"/>
              </w:rPr>
            </w:pPr>
          </w:p>
        </w:tc>
        <w:tc>
          <w:tcPr>
            <w:tcW w:w="283" w:type="pct"/>
            <w:tcMar>
              <w:top w:w="28" w:type="dxa"/>
              <w:left w:w="28" w:type="dxa"/>
            </w:tcMar>
          </w:tcPr>
          <w:p w14:paraId="0B2EA7E0"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C5635</w:t>
            </w:r>
          </w:p>
        </w:tc>
        <w:tc>
          <w:tcPr>
            <w:tcW w:w="274" w:type="pct"/>
            <w:tcMar>
              <w:top w:w="28" w:type="dxa"/>
              <w:left w:w="28" w:type="dxa"/>
            </w:tcMar>
          </w:tcPr>
          <w:p w14:paraId="17EAE30A" w14:textId="77777777" w:rsidR="008F47B8" w:rsidRPr="006D52A9" w:rsidDel="008B44D2" w:rsidRDefault="008F47B8" w:rsidP="00FB6D2D">
            <w:pPr>
              <w:spacing w:line="240" w:lineRule="auto"/>
              <w:rPr>
                <w:rFonts w:ascii="Arial" w:hAnsi="Arial" w:cs="Arial"/>
                <w:sz w:val="16"/>
                <w:szCs w:val="16"/>
              </w:rPr>
            </w:pPr>
          </w:p>
        </w:tc>
        <w:tc>
          <w:tcPr>
            <w:tcW w:w="2867" w:type="pct"/>
            <w:tcMar>
              <w:top w:w="28" w:type="dxa"/>
              <w:left w:w="28" w:type="dxa"/>
            </w:tcMar>
          </w:tcPr>
          <w:p w14:paraId="2914C5FC"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Continuing treatment</w:t>
            </w:r>
            <w:r w:rsidRPr="006D52A9">
              <w:rPr>
                <w:rFonts w:ascii="Arial" w:hAnsi="Arial" w:cs="Arial"/>
                <w:sz w:val="16"/>
                <w:szCs w:val="16"/>
              </w:rPr>
              <w:br/>
              <w:t>Patient must have initiated treatment with dornase alfa at an age of less than 5 years,AND</w:t>
            </w:r>
            <w:r w:rsidRPr="006D52A9">
              <w:rPr>
                <w:rFonts w:ascii="Arial" w:hAnsi="Arial" w:cs="Arial"/>
                <w:sz w:val="16"/>
                <w:szCs w:val="16"/>
              </w:rPr>
              <w:br/>
              <w:t>Patient must have undergone a comprehensive assessment which documents agreement that dornase alfa treatment is continuing to produce worthwhile benefit.</w:t>
            </w:r>
            <w:r w:rsidRPr="006D52A9">
              <w:rPr>
                <w:rFonts w:ascii="Arial" w:hAnsi="Arial" w:cs="Arial"/>
                <w:sz w:val="16"/>
                <w:szCs w:val="16"/>
              </w:rPr>
              <w:br/>
              <w:t>Patient must be 5 years of age or older.</w:t>
            </w:r>
            <w:r w:rsidRPr="006D52A9">
              <w:rPr>
                <w:rFonts w:ascii="Arial" w:hAnsi="Arial" w:cs="Arial"/>
                <w:sz w:val="16"/>
                <w:szCs w:val="16"/>
              </w:rPr>
              <w:br/>
              <w:t>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 Treatment with this drug should cease if there is not agreement of benefit as there is always the possibility of harm from unnecessary use.</w:t>
            </w:r>
          </w:p>
        </w:tc>
        <w:tc>
          <w:tcPr>
            <w:tcW w:w="929" w:type="pct"/>
            <w:tcMar>
              <w:top w:w="28" w:type="dxa"/>
              <w:left w:w="28" w:type="dxa"/>
              <w:right w:w="57" w:type="dxa"/>
            </w:tcMar>
          </w:tcPr>
          <w:p w14:paraId="1CFC15BD"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5635</w:t>
            </w:r>
          </w:p>
        </w:tc>
      </w:tr>
      <w:tr w:rsidR="008F47B8" w:rsidRPr="006D52A9" w:rsidDel="008B44D2" w14:paraId="224B63D2" w14:textId="77777777" w:rsidTr="00FB6D2D">
        <w:tc>
          <w:tcPr>
            <w:tcW w:w="647" w:type="pct"/>
            <w:tcMar>
              <w:top w:w="28" w:type="dxa"/>
              <w:left w:w="28" w:type="dxa"/>
            </w:tcMar>
          </w:tcPr>
          <w:p w14:paraId="1872F994" w14:textId="77777777" w:rsidR="008F47B8" w:rsidRPr="006D52A9" w:rsidDel="008B44D2" w:rsidRDefault="008F47B8" w:rsidP="00FB6D2D">
            <w:pPr>
              <w:spacing w:line="240" w:lineRule="auto"/>
              <w:rPr>
                <w:rFonts w:ascii="Arial" w:hAnsi="Arial" w:cs="Arial"/>
                <w:sz w:val="16"/>
                <w:szCs w:val="16"/>
              </w:rPr>
            </w:pPr>
          </w:p>
        </w:tc>
        <w:tc>
          <w:tcPr>
            <w:tcW w:w="283" w:type="pct"/>
            <w:tcMar>
              <w:top w:w="28" w:type="dxa"/>
              <w:left w:w="28" w:type="dxa"/>
            </w:tcMar>
          </w:tcPr>
          <w:p w14:paraId="0DDD68D4"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C5740</w:t>
            </w:r>
          </w:p>
        </w:tc>
        <w:tc>
          <w:tcPr>
            <w:tcW w:w="274" w:type="pct"/>
            <w:tcMar>
              <w:top w:w="28" w:type="dxa"/>
              <w:left w:w="28" w:type="dxa"/>
            </w:tcMar>
          </w:tcPr>
          <w:p w14:paraId="020B3A20" w14:textId="77777777" w:rsidR="008F47B8" w:rsidRPr="006D52A9" w:rsidDel="008B44D2" w:rsidRDefault="008F47B8" w:rsidP="00FB6D2D">
            <w:pPr>
              <w:spacing w:line="240" w:lineRule="auto"/>
              <w:rPr>
                <w:rFonts w:ascii="Arial" w:hAnsi="Arial" w:cs="Arial"/>
                <w:sz w:val="16"/>
                <w:szCs w:val="16"/>
              </w:rPr>
            </w:pPr>
          </w:p>
        </w:tc>
        <w:tc>
          <w:tcPr>
            <w:tcW w:w="2867" w:type="pct"/>
            <w:tcMar>
              <w:top w:w="28" w:type="dxa"/>
              <w:left w:w="28" w:type="dxa"/>
            </w:tcMar>
          </w:tcPr>
          <w:p w14:paraId="03C19E71"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Patient must be 5 years of age or older.</w:t>
            </w:r>
            <w:r w:rsidRPr="006D52A9">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hAnsi="Arial" w:cs="Arial"/>
                <w:sz w:val="16"/>
                <w:szCs w:val="16"/>
              </w:rPr>
              <w:br/>
              <w:t>Prior to therapy with this drug, a baseline measurement of forced expiratory volume in 1 second (FEV1) must be undertaken during a stable period of the disease.</w:t>
            </w:r>
            <w:r w:rsidRPr="006D52A9">
              <w:rPr>
                <w:rFonts w:ascii="Arial" w:hAnsi="Arial" w:cs="Arial"/>
                <w:sz w:val="16"/>
                <w:szCs w:val="16"/>
              </w:rPr>
              <w:br/>
              <w:t>Initial therapy is limited to 3 months treatment with dornase alfa at a dose of 2.5 mg daily.</w:t>
            </w:r>
            <w:r w:rsidRPr="006D52A9">
              <w:rPr>
                <w:rFonts w:ascii="Arial" w:hAnsi="Arial" w:cs="Arial"/>
                <w:sz w:val="16"/>
                <w:szCs w:val="16"/>
              </w:rPr>
              <w:br/>
              <w:t>To be eligible for continued PBS</w:t>
            </w:r>
            <w:r w:rsidR="0026100E">
              <w:rPr>
                <w:rFonts w:ascii="Arial" w:hAnsi="Arial" w:cs="Arial"/>
                <w:sz w:val="16"/>
                <w:szCs w:val="16"/>
              </w:rPr>
              <w:noBreakHyphen/>
            </w:r>
            <w:r w:rsidRPr="006D52A9">
              <w:rPr>
                <w:rFonts w:ascii="Arial" w:hAnsi="Arial" w:cs="Arial"/>
                <w:sz w:val="16"/>
                <w:szCs w:val="16"/>
              </w:rPr>
              <w:t>subsidised treatment with this drug following 3 months of initial treatment:</w:t>
            </w:r>
            <w:r w:rsidRPr="006D52A9">
              <w:rPr>
                <w:rFonts w:ascii="Arial" w:hAnsi="Arial" w:cs="Arial"/>
                <w:sz w:val="16"/>
                <w:szCs w:val="16"/>
              </w:rPr>
              <w:br/>
              <w:t>(1) the patient must demonstrate no deterioration in FEV1 compared to baseline; AND</w:t>
            </w:r>
            <w:r w:rsidRPr="006D52A9">
              <w:rPr>
                <w:rFonts w:ascii="Arial" w:hAnsi="Arial" w:cs="Arial"/>
                <w:sz w:val="16"/>
                <w:szCs w:val="16"/>
              </w:rPr>
              <w:br/>
              <w:t>(2) the patient or the patient’s family (in the case of paediatric patients) and the treating physician(s) must report a benefit in the clinical status of the patient.</w:t>
            </w:r>
            <w:r w:rsidRPr="006D52A9">
              <w:rPr>
                <w:rFonts w:ascii="Arial" w:hAnsi="Arial" w:cs="Arial"/>
                <w:sz w:val="16"/>
                <w:szCs w:val="16"/>
              </w:rPr>
              <w:br/>
              <w:t>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 Therapy with this drug should cease if there is not general agreement of benefit as there is always the possibility of harm from unnecessary use.</w:t>
            </w:r>
          </w:p>
        </w:tc>
        <w:tc>
          <w:tcPr>
            <w:tcW w:w="929" w:type="pct"/>
            <w:tcMar>
              <w:top w:w="28" w:type="dxa"/>
              <w:left w:w="28" w:type="dxa"/>
              <w:right w:w="57" w:type="dxa"/>
            </w:tcMar>
          </w:tcPr>
          <w:p w14:paraId="35E80D1A" w14:textId="77777777" w:rsidR="008F47B8" w:rsidRPr="006D52A9" w:rsidDel="008B44D2"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5740</w:t>
            </w:r>
          </w:p>
        </w:tc>
      </w:tr>
      <w:tr w:rsidR="008F47B8" w:rsidRPr="006D52A9" w:rsidDel="00FC572D" w14:paraId="6376A5FD" w14:textId="77777777" w:rsidTr="00FB6D2D">
        <w:tc>
          <w:tcPr>
            <w:tcW w:w="647" w:type="pct"/>
            <w:tcMar>
              <w:top w:w="28" w:type="dxa"/>
              <w:left w:w="28" w:type="dxa"/>
            </w:tcMar>
          </w:tcPr>
          <w:p w14:paraId="4141417C" w14:textId="77777777" w:rsidR="008F47B8" w:rsidRPr="006D52A9" w:rsidDel="00FC572D" w:rsidRDefault="008F47B8" w:rsidP="00FB6D2D">
            <w:pPr>
              <w:spacing w:line="240" w:lineRule="auto"/>
              <w:rPr>
                <w:rFonts w:ascii="Arial" w:hAnsi="Arial" w:cs="Arial"/>
                <w:sz w:val="16"/>
                <w:szCs w:val="16"/>
              </w:rPr>
            </w:pPr>
          </w:p>
        </w:tc>
        <w:tc>
          <w:tcPr>
            <w:tcW w:w="283" w:type="pct"/>
            <w:tcMar>
              <w:top w:w="28" w:type="dxa"/>
              <w:left w:w="28" w:type="dxa"/>
            </w:tcMar>
          </w:tcPr>
          <w:p w14:paraId="7F7A15D9"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C9591</w:t>
            </w:r>
          </w:p>
        </w:tc>
        <w:tc>
          <w:tcPr>
            <w:tcW w:w="274" w:type="pct"/>
            <w:tcMar>
              <w:top w:w="28" w:type="dxa"/>
              <w:left w:w="28" w:type="dxa"/>
            </w:tcMar>
          </w:tcPr>
          <w:p w14:paraId="09A523F1" w14:textId="77777777" w:rsidR="008F47B8" w:rsidRPr="006D52A9" w:rsidDel="00FC572D" w:rsidRDefault="008F47B8" w:rsidP="00FB6D2D">
            <w:pPr>
              <w:spacing w:line="240" w:lineRule="auto"/>
              <w:rPr>
                <w:rFonts w:ascii="Arial" w:hAnsi="Arial" w:cs="Arial"/>
                <w:sz w:val="16"/>
                <w:szCs w:val="16"/>
              </w:rPr>
            </w:pPr>
          </w:p>
        </w:tc>
        <w:tc>
          <w:tcPr>
            <w:tcW w:w="2867" w:type="pct"/>
            <w:tcMar>
              <w:top w:w="28" w:type="dxa"/>
              <w:left w:w="28" w:type="dxa"/>
            </w:tcMar>
          </w:tcPr>
          <w:p w14:paraId="1F607CA4"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Patient must have a severe clinical course with frequent respiratory exacerbations or chronic respiratory symptoms (including chronic or recurrent cough, wheeze or tachypnoea) requiring hospital admissions more frequently than 3 times per year; OR</w:t>
            </w:r>
            <w:r w:rsidRPr="006D52A9">
              <w:rPr>
                <w:rFonts w:ascii="Arial" w:hAnsi="Arial" w:cs="Arial"/>
                <w:sz w:val="16"/>
                <w:szCs w:val="16"/>
              </w:rPr>
              <w:br/>
              <w:t>Patient must have significant bronchiectasis on chest high resolution computed tomography scan; OR</w:t>
            </w:r>
            <w:r w:rsidRPr="006D52A9">
              <w:rPr>
                <w:rFonts w:ascii="Arial" w:hAnsi="Arial" w:cs="Arial"/>
                <w:sz w:val="16"/>
                <w:szCs w:val="16"/>
              </w:rPr>
              <w:br/>
              <w:t>Patient must have severe cystic fibrosis bronchiolitis with persistent wheeze non</w:t>
            </w:r>
            <w:r w:rsidR="0026100E">
              <w:rPr>
                <w:rFonts w:ascii="Arial" w:hAnsi="Arial" w:cs="Arial"/>
                <w:sz w:val="16"/>
                <w:szCs w:val="16"/>
              </w:rPr>
              <w:noBreakHyphen/>
            </w:r>
            <w:r w:rsidRPr="006D52A9">
              <w:rPr>
                <w:rFonts w:ascii="Arial" w:hAnsi="Arial" w:cs="Arial"/>
                <w:sz w:val="16"/>
                <w:szCs w:val="16"/>
              </w:rPr>
              <w:t>responsive to conventional medicines; OR</w:t>
            </w:r>
            <w:r w:rsidRPr="006D52A9">
              <w:rPr>
                <w:rFonts w:ascii="Arial" w:hAnsi="Arial" w:cs="Arial"/>
                <w:sz w:val="16"/>
                <w:szCs w:val="16"/>
              </w:rPr>
              <w:br/>
            </w:r>
            <w:r w:rsidRPr="006D52A9">
              <w:rPr>
                <w:rFonts w:ascii="Arial" w:hAnsi="Arial" w:cs="Arial"/>
                <w:sz w:val="16"/>
                <w:szCs w:val="16"/>
              </w:rPr>
              <w:lastRenderedPageBreak/>
              <w:t>Patient must have severe physiological deficit measure by forced oscillation technique or multiple breath nitrogen washout and failure to respond to conventional therapy.</w:t>
            </w:r>
            <w:r w:rsidRPr="006D52A9">
              <w:rPr>
                <w:rFonts w:ascii="Arial" w:hAnsi="Arial" w:cs="Arial"/>
                <w:sz w:val="16"/>
                <w:szCs w:val="16"/>
              </w:rPr>
              <w:br/>
              <w:t>Patient must be less than 5 years of age.</w:t>
            </w:r>
            <w:r w:rsidRPr="006D52A9">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hAnsi="Arial" w:cs="Arial"/>
                <w:sz w:val="16"/>
                <w:szCs w:val="16"/>
              </w:rPr>
              <w:br/>
              <w:t>Following an initial 6 months therapy, a comprehensive assessment must be undertaken and documented. Treatment with this drug should cease if there is not agreement of benefit, as there is always the possibility of harm from unnecessary use. 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w:t>
            </w:r>
          </w:p>
        </w:tc>
        <w:tc>
          <w:tcPr>
            <w:tcW w:w="929" w:type="pct"/>
            <w:tcMar>
              <w:top w:w="28" w:type="dxa"/>
              <w:left w:w="28" w:type="dxa"/>
              <w:right w:w="57" w:type="dxa"/>
            </w:tcMar>
          </w:tcPr>
          <w:p w14:paraId="539A59DF"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9591</w:t>
            </w:r>
          </w:p>
        </w:tc>
      </w:tr>
      <w:tr w:rsidR="008F47B8" w:rsidRPr="006D52A9" w:rsidDel="00FC572D" w14:paraId="48CCC78E" w14:textId="77777777" w:rsidTr="00FB6D2D">
        <w:tc>
          <w:tcPr>
            <w:tcW w:w="647" w:type="pct"/>
            <w:tcMar>
              <w:top w:w="28" w:type="dxa"/>
              <w:left w:w="28" w:type="dxa"/>
            </w:tcMar>
          </w:tcPr>
          <w:p w14:paraId="59CABCEA" w14:textId="77777777" w:rsidR="008F47B8" w:rsidRPr="006D52A9" w:rsidDel="00FC572D" w:rsidRDefault="008F47B8" w:rsidP="00FB6D2D">
            <w:pPr>
              <w:spacing w:line="240" w:lineRule="auto"/>
              <w:rPr>
                <w:rFonts w:ascii="Arial" w:hAnsi="Arial" w:cs="Arial"/>
                <w:sz w:val="16"/>
                <w:szCs w:val="16"/>
              </w:rPr>
            </w:pPr>
          </w:p>
        </w:tc>
        <w:tc>
          <w:tcPr>
            <w:tcW w:w="283" w:type="pct"/>
            <w:tcMar>
              <w:top w:w="28" w:type="dxa"/>
              <w:left w:w="28" w:type="dxa"/>
            </w:tcMar>
          </w:tcPr>
          <w:p w14:paraId="51BE4D53"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C9592</w:t>
            </w:r>
          </w:p>
        </w:tc>
        <w:tc>
          <w:tcPr>
            <w:tcW w:w="274" w:type="pct"/>
            <w:tcMar>
              <w:top w:w="28" w:type="dxa"/>
              <w:left w:w="28" w:type="dxa"/>
            </w:tcMar>
          </w:tcPr>
          <w:p w14:paraId="0CA94DB6" w14:textId="77777777" w:rsidR="008F47B8" w:rsidRPr="006D52A9" w:rsidDel="00FC572D" w:rsidRDefault="008F47B8" w:rsidP="00FB6D2D">
            <w:pPr>
              <w:spacing w:line="240" w:lineRule="auto"/>
              <w:rPr>
                <w:rFonts w:ascii="Arial" w:hAnsi="Arial" w:cs="Arial"/>
                <w:sz w:val="16"/>
                <w:szCs w:val="16"/>
              </w:rPr>
            </w:pPr>
          </w:p>
        </w:tc>
        <w:tc>
          <w:tcPr>
            <w:tcW w:w="2867" w:type="pct"/>
            <w:tcMar>
              <w:top w:w="28" w:type="dxa"/>
              <w:left w:w="28" w:type="dxa"/>
            </w:tcMar>
          </w:tcPr>
          <w:p w14:paraId="5616E973"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Continuing treatment</w:t>
            </w:r>
            <w:r w:rsidRPr="006D52A9">
              <w:rPr>
                <w:rFonts w:ascii="Arial" w:hAnsi="Arial" w:cs="Arial"/>
                <w:sz w:val="16"/>
                <w:szCs w:val="16"/>
              </w:rPr>
              <w:br/>
              <w:t>Patient must have initiated treatment with dornase alfa at an age of less than 5 years; AND</w:t>
            </w:r>
            <w:r w:rsidRPr="006D52A9">
              <w:rPr>
                <w:rFonts w:ascii="Arial" w:hAnsi="Arial" w:cs="Arial"/>
                <w:sz w:val="16"/>
                <w:szCs w:val="16"/>
              </w:rPr>
              <w:br/>
              <w:t>Patient must have undergone a comprehensive assessment which documents agreement that dornase alfa treatment is continuing to produce worthwhile benefit.</w:t>
            </w:r>
            <w:r w:rsidRPr="006D52A9">
              <w:rPr>
                <w:rFonts w:ascii="Arial" w:hAnsi="Arial" w:cs="Arial"/>
                <w:sz w:val="16"/>
                <w:szCs w:val="16"/>
              </w:rPr>
              <w:br/>
              <w:t>Patient must be 5 years of age or older.</w:t>
            </w:r>
            <w:r w:rsidRPr="006D52A9">
              <w:rPr>
                <w:rFonts w:ascii="Arial" w:hAnsi="Arial" w:cs="Arial"/>
                <w:sz w:val="16"/>
                <w:szCs w:val="16"/>
              </w:rPr>
              <w:br/>
              <w:t>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 Treatment with this drug should cease if there is not agreement of benefit as there is always the possibility of harm from unnecessary use.</w:t>
            </w:r>
          </w:p>
        </w:tc>
        <w:tc>
          <w:tcPr>
            <w:tcW w:w="929" w:type="pct"/>
            <w:tcMar>
              <w:top w:w="28" w:type="dxa"/>
              <w:left w:w="28" w:type="dxa"/>
              <w:right w:w="57" w:type="dxa"/>
            </w:tcMar>
          </w:tcPr>
          <w:p w14:paraId="4806D2AB"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9592</w:t>
            </w:r>
          </w:p>
        </w:tc>
      </w:tr>
      <w:tr w:rsidR="008F47B8" w:rsidRPr="006D52A9" w:rsidDel="00FC572D" w14:paraId="150862E3" w14:textId="77777777" w:rsidTr="00FB6D2D">
        <w:tc>
          <w:tcPr>
            <w:tcW w:w="647" w:type="pct"/>
            <w:tcMar>
              <w:top w:w="28" w:type="dxa"/>
              <w:left w:w="28" w:type="dxa"/>
            </w:tcMar>
          </w:tcPr>
          <w:p w14:paraId="73107FD4" w14:textId="77777777" w:rsidR="008F47B8" w:rsidRPr="006D52A9" w:rsidDel="00FC572D" w:rsidRDefault="008F47B8" w:rsidP="00FB6D2D">
            <w:pPr>
              <w:spacing w:line="240" w:lineRule="auto"/>
              <w:rPr>
                <w:rFonts w:ascii="Arial" w:hAnsi="Arial" w:cs="Arial"/>
                <w:sz w:val="16"/>
                <w:szCs w:val="16"/>
              </w:rPr>
            </w:pPr>
          </w:p>
        </w:tc>
        <w:tc>
          <w:tcPr>
            <w:tcW w:w="283" w:type="pct"/>
            <w:tcMar>
              <w:top w:w="28" w:type="dxa"/>
              <w:left w:w="28" w:type="dxa"/>
            </w:tcMar>
          </w:tcPr>
          <w:p w14:paraId="5B04E1C6"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C9624</w:t>
            </w:r>
          </w:p>
        </w:tc>
        <w:tc>
          <w:tcPr>
            <w:tcW w:w="274" w:type="pct"/>
            <w:tcMar>
              <w:top w:w="28" w:type="dxa"/>
              <w:left w:w="28" w:type="dxa"/>
            </w:tcMar>
          </w:tcPr>
          <w:p w14:paraId="65564936" w14:textId="77777777" w:rsidR="008F47B8" w:rsidRPr="006D52A9" w:rsidDel="00FC572D" w:rsidRDefault="008F47B8" w:rsidP="00FB6D2D">
            <w:pPr>
              <w:spacing w:line="240" w:lineRule="auto"/>
              <w:rPr>
                <w:rFonts w:ascii="Arial" w:hAnsi="Arial" w:cs="Arial"/>
                <w:sz w:val="16"/>
                <w:szCs w:val="16"/>
              </w:rPr>
            </w:pPr>
          </w:p>
        </w:tc>
        <w:tc>
          <w:tcPr>
            <w:tcW w:w="2867" w:type="pct"/>
            <w:tcMar>
              <w:top w:w="28" w:type="dxa"/>
              <w:left w:w="28" w:type="dxa"/>
            </w:tcMar>
          </w:tcPr>
          <w:p w14:paraId="3A43861E"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Cystic fibrosis</w:t>
            </w:r>
            <w:r w:rsidRPr="006D52A9">
              <w:rPr>
                <w:rFonts w:ascii="Arial" w:hAnsi="Arial" w:cs="Arial"/>
                <w:sz w:val="16"/>
                <w:szCs w:val="16"/>
              </w:rPr>
              <w:br/>
              <w:t>Patient must be 5 years of age or older.</w:t>
            </w:r>
            <w:r w:rsidRPr="006D52A9">
              <w:rPr>
                <w:rFonts w:ascii="Arial" w:hAnsi="Arial" w:cs="Arial"/>
                <w:sz w:val="16"/>
                <w:szCs w:val="16"/>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hAnsi="Arial" w:cs="Arial"/>
                <w:sz w:val="16"/>
                <w:szCs w:val="16"/>
              </w:rPr>
              <w:br/>
              <w:t>Prior to therapy with this drug, a baseline measurement of forced expiratory volume in 1 second (FEV1) must be undertaken during a stable period of the disease.</w:t>
            </w:r>
            <w:r w:rsidRPr="006D52A9">
              <w:rPr>
                <w:rFonts w:ascii="Arial" w:hAnsi="Arial" w:cs="Arial"/>
                <w:sz w:val="16"/>
                <w:szCs w:val="16"/>
              </w:rPr>
              <w:br/>
              <w:t>Initial therapy is limited to 3 months treatment with dornase alfa at a dose of 2.5 mg daily.</w:t>
            </w:r>
            <w:r w:rsidRPr="006D52A9">
              <w:rPr>
                <w:rFonts w:ascii="Arial" w:hAnsi="Arial" w:cs="Arial"/>
                <w:sz w:val="16"/>
                <w:szCs w:val="16"/>
              </w:rPr>
              <w:br/>
              <w:t>To be eligible for continued PBS</w:t>
            </w:r>
            <w:r w:rsidR="0026100E">
              <w:rPr>
                <w:rFonts w:ascii="Arial" w:hAnsi="Arial" w:cs="Arial"/>
                <w:sz w:val="16"/>
                <w:szCs w:val="16"/>
              </w:rPr>
              <w:noBreakHyphen/>
            </w:r>
            <w:r w:rsidRPr="006D52A9">
              <w:rPr>
                <w:rFonts w:ascii="Arial" w:hAnsi="Arial" w:cs="Arial"/>
                <w:sz w:val="16"/>
                <w:szCs w:val="16"/>
              </w:rPr>
              <w:t>subsidised treatment with this drug following 3 months of initial treatment:</w:t>
            </w:r>
            <w:r w:rsidRPr="006D52A9">
              <w:rPr>
                <w:rFonts w:ascii="Arial" w:hAnsi="Arial" w:cs="Arial"/>
                <w:sz w:val="16"/>
                <w:szCs w:val="16"/>
              </w:rPr>
              <w:br/>
              <w:t>(1) the patient must demonstrate no deterioration in FEV1 compared to baseline; AND</w:t>
            </w:r>
            <w:r w:rsidRPr="006D52A9">
              <w:rPr>
                <w:rFonts w:ascii="Arial" w:hAnsi="Arial" w:cs="Arial"/>
                <w:sz w:val="16"/>
                <w:szCs w:val="16"/>
              </w:rPr>
              <w:br/>
              <w:t>(2) the patient or the patient’s family (in the case of paediatric patients) and the treating physician(s) must report a benefit in the clinical status of the patient.</w:t>
            </w:r>
            <w:r w:rsidRPr="006D52A9">
              <w:rPr>
                <w:rFonts w:ascii="Arial" w:hAnsi="Arial" w:cs="Arial"/>
                <w:sz w:val="16"/>
                <w:szCs w:val="16"/>
              </w:rPr>
              <w:br/>
              <w:t>Further reassessments must be undertaken and documented at six</w:t>
            </w:r>
            <w:r w:rsidR="0026100E">
              <w:rPr>
                <w:rFonts w:ascii="Arial" w:hAnsi="Arial" w:cs="Arial"/>
                <w:sz w:val="16"/>
                <w:szCs w:val="16"/>
              </w:rPr>
              <w:noBreakHyphen/>
            </w:r>
            <w:r w:rsidRPr="006D52A9">
              <w:rPr>
                <w:rFonts w:ascii="Arial" w:hAnsi="Arial" w:cs="Arial"/>
                <w:sz w:val="16"/>
                <w:szCs w:val="16"/>
              </w:rPr>
              <w:t>monthly intervals. Therapy with this drug should cease if there is not general agreement of benefit as there is always the possibility of harm from unnecessary use.</w:t>
            </w:r>
          </w:p>
        </w:tc>
        <w:tc>
          <w:tcPr>
            <w:tcW w:w="929" w:type="pct"/>
            <w:tcMar>
              <w:top w:w="28" w:type="dxa"/>
              <w:left w:w="28" w:type="dxa"/>
              <w:right w:w="57" w:type="dxa"/>
            </w:tcMar>
          </w:tcPr>
          <w:p w14:paraId="4B7CFD25" w14:textId="77777777" w:rsidR="008F47B8" w:rsidRPr="006D52A9" w:rsidDel="00FC572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9624</w:t>
            </w:r>
          </w:p>
        </w:tc>
      </w:tr>
      <w:tr w:rsidR="008F47B8" w:rsidRPr="006D52A9" w:rsidDel="00E02E18" w14:paraId="3BEF97D4" w14:textId="77777777" w:rsidTr="00FB6D2D">
        <w:tc>
          <w:tcPr>
            <w:tcW w:w="647" w:type="pct"/>
            <w:tcBorders>
              <w:bottom w:val="single" w:sz="4" w:space="0" w:color="auto"/>
            </w:tcBorders>
            <w:shd w:val="clear" w:color="auto" w:fill="auto"/>
            <w:tcMar>
              <w:top w:w="28" w:type="dxa"/>
              <w:left w:w="28" w:type="dxa"/>
            </w:tcMar>
          </w:tcPr>
          <w:p w14:paraId="7DC66E43" w14:textId="77777777" w:rsidR="008F47B8" w:rsidRPr="006D52A9" w:rsidDel="00E02E18" w:rsidRDefault="008F47B8" w:rsidP="00FB6D2D">
            <w:pPr>
              <w:spacing w:line="240" w:lineRule="auto"/>
              <w:rPr>
                <w:rFonts w:ascii="Arial" w:hAnsi="Arial" w:cs="Arial"/>
                <w:sz w:val="16"/>
                <w:szCs w:val="16"/>
              </w:rPr>
            </w:pPr>
            <w:bookmarkStart w:id="93" w:name="CU_116265759"/>
            <w:bookmarkEnd w:id="93"/>
            <w:r w:rsidRPr="006D52A9">
              <w:rPr>
                <w:rFonts w:ascii="Arial" w:hAnsi="Arial" w:cs="Arial"/>
                <w:sz w:val="16"/>
                <w:szCs w:val="16"/>
              </w:rPr>
              <w:t xml:space="preserve">Doxorubicin </w:t>
            </w:r>
            <w:r w:rsidR="0026100E">
              <w:rPr>
                <w:rFonts w:ascii="Arial" w:hAnsi="Arial" w:cs="Arial"/>
                <w:sz w:val="16"/>
                <w:szCs w:val="16"/>
              </w:rPr>
              <w:noBreakHyphen/>
            </w:r>
            <w:r w:rsidRPr="006D52A9">
              <w:rPr>
                <w:rFonts w:ascii="Arial" w:hAnsi="Arial" w:cs="Arial"/>
                <w:sz w:val="16"/>
                <w:szCs w:val="16"/>
              </w:rPr>
              <w:t xml:space="preserve"> </w:t>
            </w:r>
            <w:r w:rsidRPr="006D52A9">
              <w:rPr>
                <w:rFonts w:ascii="Arial" w:hAnsi="Arial" w:cs="Arial"/>
                <w:sz w:val="16"/>
                <w:szCs w:val="16"/>
              </w:rPr>
              <w:br/>
              <w:t>Pegylated Liposomal</w:t>
            </w:r>
          </w:p>
        </w:tc>
        <w:tc>
          <w:tcPr>
            <w:tcW w:w="283" w:type="pct"/>
            <w:tcBorders>
              <w:bottom w:val="single" w:sz="4" w:space="0" w:color="auto"/>
            </w:tcBorders>
            <w:shd w:val="clear" w:color="auto" w:fill="auto"/>
            <w:tcMar>
              <w:top w:w="28" w:type="dxa"/>
              <w:left w:w="28" w:type="dxa"/>
            </w:tcMar>
          </w:tcPr>
          <w:p w14:paraId="4080EB56"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C6234</w:t>
            </w:r>
          </w:p>
        </w:tc>
        <w:tc>
          <w:tcPr>
            <w:tcW w:w="274" w:type="pct"/>
            <w:tcBorders>
              <w:bottom w:val="single" w:sz="4" w:space="0" w:color="auto"/>
            </w:tcBorders>
            <w:shd w:val="clear" w:color="auto" w:fill="auto"/>
            <w:tcMar>
              <w:top w:w="28" w:type="dxa"/>
              <w:left w:w="28" w:type="dxa"/>
            </w:tcMar>
          </w:tcPr>
          <w:p w14:paraId="2CD12AC5" w14:textId="77777777" w:rsidR="008F47B8" w:rsidRPr="006D52A9" w:rsidDel="00E02E18"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F6289F3"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Kaposi sarcoma</w:t>
            </w:r>
            <w:r w:rsidRPr="006D52A9">
              <w:rPr>
                <w:rFonts w:ascii="Arial" w:hAnsi="Arial" w:cs="Arial"/>
                <w:sz w:val="16"/>
                <w:szCs w:val="16"/>
              </w:rPr>
              <w:br/>
              <w:t>The condition must be AIDS</w:t>
            </w:r>
            <w:r w:rsidR="0026100E">
              <w:rPr>
                <w:rFonts w:ascii="Arial" w:hAnsi="Arial" w:cs="Arial"/>
                <w:sz w:val="16"/>
                <w:szCs w:val="16"/>
              </w:rPr>
              <w:noBreakHyphen/>
            </w:r>
            <w:r w:rsidRPr="006D52A9">
              <w:rPr>
                <w:rFonts w:ascii="Arial" w:hAnsi="Arial" w:cs="Arial"/>
                <w:sz w:val="16"/>
                <w:szCs w:val="16"/>
              </w:rPr>
              <w:t>related; AND</w:t>
            </w:r>
            <w:r w:rsidRPr="006D52A9">
              <w:rPr>
                <w:rFonts w:ascii="Arial" w:hAnsi="Arial" w:cs="Arial"/>
                <w:sz w:val="16"/>
                <w:szCs w:val="16"/>
              </w:rPr>
              <w:br/>
              <w:t>Patient must have a CD4 cell count of less than 200 per cubic millimetre; AND</w:t>
            </w:r>
            <w:r w:rsidRPr="006D52A9">
              <w:rPr>
                <w:rFonts w:ascii="Arial" w:hAnsi="Arial" w:cs="Arial"/>
                <w:sz w:val="16"/>
                <w:szCs w:val="16"/>
              </w:rPr>
              <w:br/>
              <w:t>The condition must include extensive mucocutaneous involvement.</w:t>
            </w:r>
          </w:p>
        </w:tc>
        <w:tc>
          <w:tcPr>
            <w:tcW w:w="929" w:type="pct"/>
            <w:tcBorders>
              <w:bottom w:val="single" w:sz="4" w:space="0" w:color="auto"/>
            </w:tcBorders>
            <w:shd w:val="clear" w:color="auto" w:fill="auto"/>
            <w:tcMar>
              <w:top w:w="28" w:type="dxa"/>
              <w:left w:w="28" w:type="dxa"/>
              <w:right w:w="57" w:type="dxa"/>
            </w:tcMar>
          </w:tcPr>
          <w:p w14:paraId="32532CEF"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6234</w:t>
            </w:r>
          </w:p>
        </w:tc>
      </w:tr>
      <w:tr w:rsidR="008F47B8" w:rsidRPr="006D52A9" w:rsidDel="00E02E18" w14:paraId="1D36208B" w14:textId="77777777" w:rsidTr="00FB6D2D">
        <w:tc>
          <w:tcPr>
            <w:tcW w:w="647" w:type="pct"/>
            <w:tcBorders>
              <w:bottom w:val="single" w:sz="4" w:space="0" w:color="auto"/>
            </w:tcBorders>
            <w:shd w:val="clear" w:color="auto" w:fill="auto"/>
            <w:tcMar>
              <w:top w:w="28" w:type="dxa"/>
              <w:left w:w="28" w:type="dxa"/>
            </w:tcMar>
          </w:tcPr>
          <w:p w14:paraId="71A07309" w14:textId="77777777" w:rsidR="008F47B8" w:rsidRPr="006D52A9" w:rsidDel="00E02E18"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36A0400"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C6274</w:t>
            </w:r>
          </w:p>
        </w:tc>
        <w:tc>
          <w:tcPr>
            <w:tcW w:w="274" w:type="pct"/>
            <w:tcBorders>
              <w:bottom w:val="single" w:sz="4" w:space="0" w:color="auto"/>
            </w:tcBorders>
            <w:shd w:val="clear" w:color="auto" w:fill="auto"/>
            <w:tcMar>
              <w:top w:w="28" w:type="dxa"/>
              <w:left w:w="28" w:type="dxa"/>
            </w:tcMar>
          </w:tcPr>
          <w:p w14:paraId="052844DA" w14:textId="77777777" w:rsidR="008F47B8" w:rsidRPr="006D52A9" w:rsidDel="00E02E18"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4E6124B"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Kaposi sarcoma</w:t>
            </w:r>
            <w:r w:rsidRPr="006D52A9">
              <w:rPr>
                <w:rFonts w:ascii="Arial" w:hAnsi="Arial" w:cs="Arial"/>
                <w:sz w:val="16"/>
                <w:szCs w:val="16"/>
              </w:rPr>
              <w:br/>
            </w:r>
            <w:r w:rsidRPr="006D52A9">
              <w:rPr>
                <w:rFonts w:ascii="Arial" w:hAnsi="Arial" w:cs="Arial"/>
                <w:sz w:val="16"/>
                <w:szCs w:val="16"/>
              </w:rPr>
              <w:lastRenderedPageBreak/>
              <w:t>The condition must be AIDS</w:t>
            </w:r>
            <w:r w:rsidR="0026100E">
              <w:rPr>
                <w:rFonts w:ascii="Arial" w:hAnsi="Arial" w:cs="Arial"/>
                <w:sz w:val="16"/>
                <w:szCs w:val="16"/>
              </w:rPr>
              <w:noBreakHyphen/>
            </w:r>
            <w:r w:rsidRPr="006D52A9">
              <w:rPr>
                <w:rFonts w:ascii="Arial" w:hAnsi="Arial" w:cs="Arial"/>
                <w:sz w:val="16"/>
                <w:szCs w:val="16"/>
              </w:rPr>
              <w:t>related; AND</w:t>
            </w:r>
            <w:r w:rsidRPr="006D52A9">
              <w:rPr>
                <w:rFonts w:ascii="Arial" w:hAnsi="Arial" w:cs="Arial"/>
                <w:sz w:val="16"/>
                <w:szCs w:val="16"/>
              </w:rPr>
              <w:br/>
              <w:t>Patient must have a CD4 cell count of less than 200 per cubic millimetre; AND</w:t>
            </w:r>
            <w:r w:rsidRPr="006D52A9">
              <w:rPr>
                <w:rFonts w:ascii="Arial" w:hAnsi="Arial" w:cs="Arial"/>
                <w:sz w:val="16"/>
                <w:szCs w:val="16"/>
              </w:rPr>
              <w:br/>
              <w:t>The condition must include extensive visceral involvement.</w:t>
            </w:r>
          </w:p>
        </w:tc>
        <w:tc>
          <w:tcPr>
            <w:tcW w:w="929" w:type="pct"/>
            <w:tcBorders>
              <w:bottom w:val="single" w:sz="4" w:space="0" w:color="auto"/>
            </w:tcBorders>
            <w:shd w:val="clear" w:color="auto" w:fill="auto"/>
            <w:tcMar>
              <w:top w:w="28" w:type="dxa"/>
              <w:left w:w="28" w:type="dxa"/>
              <w:right w:w="57" w:type="dxa"/>
            </w:tcMar>
          </w:tcPr>
          <w:p w14:paraId="3958C2CE"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 xml:space="preserve">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6274</w:t>
            </w:r>
          </w:p>
        </w:tc>
      </w:tr>
      <w:tr w:rsidR="008F47B8" w:rsidRPr="006D52A9" w:rsidDel="00E02E18" w14:paraId="658DFCC3" w14:textId="77777777" w:rsidTr="00FB6D2D">
        <w:tc>
          <w:tcPr>
            <w:tcW w:w="647" w:type="pct"/>
            <w:tcBorders>
              <w:bottom w:val="single" w:sz="4" w:space="0" w:color="auto"/>
            </w:tcBorders>
            <w:shd w:val="clear" w:color="auto" w:fill="auto"/>
            <w:tcMar>
              <w:top w:w="28" w:type="dxa"/>
              <w:left w:w="28" w:type="dxa"/>
            </w:tcMar>
          </w:tcPr>
          <w:p w14:paraId="408B47D1" w14:textId="77777777" w:rsidR="008F47B8" w:rsidRPr="006D52A9" w:rsidDel="00E02E18"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A4EF62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C9223</w:t>
            </w:r>
          </w:p>
        </w:tc>
        <w:tc>
          <w:tcPr>
            <w:tcW w:w="274" w:type="pct"/>
            <w:tcBorders>
              <w:bottom w:val="single" w:sz="4" w:space="0" w:color="auto"/>
            </w:tcBorders>
            <w:shd w:val="clear" w:color="auto" w:fill="auto"/>
            <w:tcMar>
              <w:top w:w="28" w:type="dxa"/>
              <w:left w:w="28" w:type="dxa"/>
            </w:tcMar>
          </w:tcPr>
          <w:p w14:paraId="02468FEA" w14:textId="77777777" w:rsidR="008F47B8" w:rsidRPr="006D52A9" w:rsidDel="00E02E18"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80BB1A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Kaposi sarcoma</w:t>
            </w:r>
            <w:r w:rsidRPr="006D52A9">
              <w:rPr>
                <w:rFonts w:ascii="Arial" w:hAnsi="Arial" w:cs="Arial"/>
                <w:sz w:val="16"/>
                <w:szCs w:val="16"/>
              </w:rPr>
              <w:br/>
              <w:t>The condition must be AIDS</w:t>
            </w:r>
            <w:r w:rsidR="0026100E">
              <w:rPr>
                <w:rFonts w:ascii="Arial" w:hAnsi="Arial" w:cs="Arial"/>
                <w:sz w:val="16"/>
                <w:szCs w:val="16"/>
              </w:rPr>
              <w:noBreakHyphen/>
            </w:r>
            <w:r w:rsidRPr="006D52A9">
              <w:rPr>
                <w:rFonts w:ascii="Arial" w:hAnsi="Arial" w:cs="Arial"/>
                <w:sz w:val="16"/>
                <w:szCs w:val="16"/>
              </w:rPr>
              <w:t>related; AND</w:t>
            </w:r>
            <w:r w:rsidRPr="006D52A9">
              <w:rPr>
                <w:rFonts w:ascii="Arial" w:hAnsi="Arial" w:cs="Arial"/>
                <w:sz w:val="16"/>
                <w:szCs w:val="16"/>
              </w:rPr>
              <w:br/>
              <w:t>Patient must have a CD4 cell count of less than 200 per cubic millimetre; AND</w:t>
            </w:r>
            <w:r w:rsidRPr="006D52A9">
              <w:rPr>
                <w:rFonts w:ascii="Arial" w:hAnsi="Arial" w:cs="Arial"/>
                <w:sz w:val="16"/>
                <w:szCs w:val="16"/>
              </w:rPr>
              <w:br/>
              <w:t>The condition must include extensive visceral involvement.</w:t>
            </w:r>
          </w:p>
        </w:tc>
        <w:tc>
          <w:tcPr>
            <w:tcW w:w="929" w:type="pct"/>
            <w:tcBorders>
              <w:bottom w:val="single" w:sz="4" w:space="0" w:color="auto"/>
            </w:tcBorders>
            <w:shd w:val="clear" w:color="auto" w:fill="auto"/>
            <w:tcMar>
              <w:top w:w="28" w:type="dxa"/>
              <w:left w:w="28" w:type="dxa"/>
              <w:right w:w="57" w:type="dxa"/>
            </w:tcMar>
          </w:tcPr>
          <w:p w14:paraId="23AAABC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9223</w:t>
            </w:r>
          </w:p>
        </w:tc>
      </w:tr>
      <w:tr w:rsidR="008F47B8" w:rsidRPr="006D52A9" w:rsidDel="00E02E18" w14:paraId="3BEA34AC" w14:textId="77777777" w:rsidTr="00FB6D2D">
        <w:tc>
          <w:tcPr>
            <w:tcW w:w="647" w:type="pct"/>
            <w:tcBorders>
              <w:bottom w:val="single" w:sz="4" w:space="0" w:color="auto"/>
            </w:tcBorders>
            <w:shd w:val="clear" w:color="auto" w:fill="auto"/>
            <w:tcMar>
              <w:top w:w="28" w:type="dxa"/>
              <w:left w:w="28" w:type="dxa"/>
            </w:tcMar>
          </w:tcPr>
          <w:p w14:paraId="1326B982" w14:textId="77777777" w:rsidR="008F47B8" w:rsidRPr="006D52A9" w:rsidDel="00E02E18"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FA75C9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C9287</w:t>
            </w:r>
          </w:p>
        </w:tc>
        <w:tc>
          <w:tcPr>
            <w:tcW w:w="274" w:type="pct"/>
            <w:tcBorders>
              <w:bottom w:val="single" w:sz="4" w:space="0" w:color="auto"/>
            </w:tcBorders>
            <w:shd w:val="clear" w:color="auto" w:fill="auto"/>
            <w:tcMar>
              <w:top w:w="28" w:type="dxa"/>
              <w:left w:w="28" w:type="dxa"/>
            </w:tcMar>
          </w:tcPr>
          <w:p w14:paraId="6297AE59" w14:textId="77777777" w:rsidR="008F47B8" w:rsidRPr="006D52A9" w:rsidDel="00E02E18"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0086D9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Kaposi sarcoma</w:t>
            </w:r>
            <w:r w:rsidRPr="006D52A9">
              <w:rPr>
                <w:rFonts w:ascii="Arial" w:hAnsi="Arial" w:cs="Arial"/>
                <w:sz w:val="16"/>
                <w:szCs w:val="16"/>
              </w:rPr>
              <w:br/>
              <w:t>The condition must be AIDS</w:t>
            </w:r>
            <w:r w:rsidR="0026100E">
              <w:rPr>
                <w:rFonts w:ascii="Arial" w:hAnsi="Arial" w:cs="Arial"/>
                <w:sz w:val="16"/>
                <w:szCs w:val="16"/>
              </w:rPr>
              <w:noBreakHyphen/>
            </w:r>
            <w:r w:rsidRPr="006D52A9">
              <w:rPr>
                <w:rFonts w:ascii="Arial" w:hAnsi="Arial" w:cs="Arial"/>
                <w:sz w:val="16"/>
                <w:szCs w:val="16"/>
              </w:rPr>
              <w:t>related; AND</w:t>
            </w:r>
            <w:r w:rsidRPr="006D52A9">
              <w:rPr>
                <w:rFonts w:ascii="Arial" w:hAnsi="Arial" w:cs="Arial"/>
                <w:sz w:val="16"/>
                <w:szCs w:val="16"/>
              </w:rPr>
              <w:br/>
              <w:t>Patient must have a CD4 cell count of less than 200 per cubic millimetre; AND</w:t>
            </w:r>
            <w:r w:rsidRPr="006D52A9">
              <w:rPr>
                <w:rFonts w:ascii="Arial" w:hAnsi="Arial" w:cs="Arial"/>
                <w:sz w:val="16"/>
                <w:szCs w:val="16"/>
              </w:rPr>
              <w:br/>
              <w:t>The condition must include extensive mucocutaneous involvement.</w:t>
            </w:r>
          </w:p>
        </w:tc>
        <w:tc>
          <w:tcPr>
            <w:tcW w:w="929" w:type="pct"/>
            <w:tcBorders>
              <w:bottom w:val="single" w:sz="4" w:space="0" w:color="auto"/>
            </w:tcBorders>
            <w:shd w:val="clear" w:color="auto" w:fill="auto"/>
            <w:tcMar>
              <w:top w:w="28" w:type="dxa"/>
              <w:left w:w="28" w:type="dxa"/>
              <w:right w:w="57" w:type="dxa"/>
            </w:tcMar>
          </w:tcPr>
          <w:p w14:paraId="0E610AD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9287</w:t>
            </w:r>
          </w:p>
        </w:tc>
      </w:tr>
      <w:tr w:rsidR="008F47B8" w:rsidRPr="006D52A9" w:rsidDel="00107F2B" w14:paraId="1F032525" w14:textId="77777777" w:rsidTr="00FB6D2D">
        <w:tc>
          <w:tcPr>
            <w:tcW w:w="647" w:type="pct"/>
            <w:shd w:val="clear" w:color="auto" w:fill="auto"/>
            <w:tcMar>
              <w:top w:w="28" w:type="dxa"/>
              <w:left w:w="28" w:type="dxa"/>
            </w:tcMar>
          </w:tcPr>
          <w:p w14:paraId="22F37E68" w14:textId="77777777" w:rsidR="008F47B8" w:rsidRPr="006D52A9" w:rsidDel="00107F2B" w:rsidRDefault="008F47B8" w:rsidP="00FB6D2D">
            <w:pPr>
              <w:spacing w:line="240" w:lineRule="auto"/>
              <w:rPr>
                <w:rFonts w:ascii="Arial" w:hAnsi="Arial" w:cs="Arial"/>
                <w:sz w:val="16"/>
                <w:szCs w:val="16"/>
              </w:rPr>
            </w:pPr>
            <w:bookmarkStart w:id="94" w:name="CU_117266115"/>
            <w:bookmarkStart w:id="95" w:name="CU_118270177"/>
            <w:bookmarkStart w:id="96" w:name="CU_119277392"/>
            <w:bookmarkStart w:id="97" w:name="CU_120281444"/>
            <w:bookmarkStart w:id="98" w:name="CU_121285432"/>
            <w:bookmarkStart w:id="99" w:name="CU_122288886"/>
            <w:bookmarkStart w:id="100" w:name="CU_123292076"/>
            <w:bookmarkStart w:id="101" w:name="CU_124299289"/>
            <w:bookmarkStart w:id="102" w:name="CU_125303277"/>
            <w:bookmarkStart w:id="103" w:name="CU_126304775"/>
            <w:bookmarkStart w:id="104" w:name="CU_127309022"/>
            <w:bookmarkStart w:id="105" w:name="CU_129316503"/>
            <w:bookmarkEnd w:id="94"/>
            <w:bookmarkEnd w:id="95"/>
            <w:bookmarkEnd w:id="96"/>
            <w:bookmarkEnd w:id="97"/>
            <w:bookmarkEnd w:id="98"/>
            <w:bookmarkEnd w:id="99"/>
            <w:bookmarkEnd w:id="100"/>
            <w:bookmarkEnd w:id="101"/>
            <w:bookmarkEnd w:id="102"/>
            <w:bookmarkEnd w:id="103"/>
            <w:bookmarkEnd w:id="104"/>
            <w:bookmarkEnd w:id="105"/>
            <w:r w:rsidRPr="006D52A9">
              <w:rPr>
                <w:rFonts w:ascii="Arial" w:hAnsi="Arial" w:cs="Arial"/>
                <w:sz w:val="16"/>
                <w:szCs w:val="16"/>
              </w:rPr>
              <w:t>Eculizumab</w:t>
            </w:r>
          </w:p>
        </w:tc>
        <w:tc>
          <w:tcPr>
            <w:tcW w:w="283" w:type="pct"/>
            <w:shd w:val="clear" w:color="auto" w:fill="auto"/>
            <w:tcMar>
              <w:top w:w="28" w:type="dxa"/>
              <w:left w:w="28" w:type="dxa"/>
            </w:tcMar>
          </w:tcPr>
          <w:p w14:paraId="7245200A"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C6626</w:t>
            </w:r>
          </w:p>
        </w:tc>
        <w:tc>
          <w:tcPr>
            <w:tcW w:w="274" w:type="pct"/>
            <w:shd w:val="clear" w:color="auto" w:fill="auto"/>
            <w:tcMar>
              <w:top w:w="28" w:type="dxa"/>
              <w:left w:w="28" w:type="dxa"/>
            </w:tcMar>
          </w:tcPr>
          <w:p w14:paraId="60EB0BAE"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P6626</w:t>
            </w:r>
          </w:p>
        </w:tc>
        <w:tc>
          <w:tcPr>
            <w:tcW w:w="2867" w:type="pct"/>
            <w:shd w:val="clear" w:color="auto" w:fill="auto"/>
            <w:tcMar>
              <w:top w:w="28" w:type="dxa"/>
              <w:left w:w="28" w:type="dxa"/>
            </w:tcMar>
          </w:tcPr>
          <w:p w14:paraId="342BE95B" w14:textId="77777777" w:rsidR="008F47B8" w:rsidRPr="006D52A9" w:rsidRDefault="008F47B8" w:rsidP="00FB6D2D">
            <w:pPr>
              <w:pStyle w:val="mps3-data"/>
              <w:spacing w:before="0"/>
              <w:rPr>
                <w:b/>
                <w:szCs w:val="16"/>
              </w:rPr>
            </w:pPr>
            <w:r w:rsidRPr="006D52A9">
              <w:rPr>
                <w:szCs w:val="16"/>
              </w:rPr>
              <w:t>Atypical haemolytic uraemic syndrome (aHUS)</w:t>
            </w:r>
          </w:p>
          <w:p w14:paraId="13A4050E" w14:textId="77777777" w:rsidR="008F47B8" w:rsidRPr="006D52A9" w:rsidRDefault="008F47B8" w:rsidP="00FB6D2D">
            <w:pPr>
              <w:pStyle w:val="mps3-data"/>
              <w:rPr>
                <w:b/>
                <w:szCs w:val="16"/>
              </w:rPr>
            </w:pPr>
            <w:r w:rsidRPr="006D52A9">
              <w:rPr>
                <w:szCs w:val="16"/>
              </w:rPr>
              <w:t>Initial treatment</w:t>
            </w:r>
          </w:p>
          <w:p w14:paraId="16629805" w14:textId="77777777" w:rsidR="008F47B8" w:rsidRPr="006D52A9" w:rsidRDefault="008F47B8" w:rsidP="00FB6D2D">
            <w:pPr>
              <w:pStyle w:val="mps3-data"/>
              <w:rPr>
                <w:b/>
                <w:szCs w:val="16"/>
              </w:rPr>
            </w:pPr>
            <w:r w:rsidRPr="006D52A9">
              <w:rPr>
                <w:szCs w:val="16"/>
              </w:rPr>
              <w:t>Patient must have active and progressing thrombotic microangiopathy (TMA) caused by aHUS; AND</w:t>
            </w:r>
          </w:p>
          <w:p w14:paraId="5F6EB88E" w14:textId="77777777" w:rsidR="008F47B8" w:rsidRPr="006D52A9" w:rsidRDefault="008F47B8" w:rsidP="00FB6D2D">
            <w:pPr>
              <w:pStyle w:val="mps3-data"/>
              <w:rPr>
                <w:b/>
                <w:szCs w:val="16"/>
              </w:rPr>
            </w:pPr>
            <w:r w:rsidRPr="006D52A9">
              <w:rPr>
                <w:szCs w:val="16"/>
              </w:rPr>
              <w:t>Patient must have ADAMTS</w:t>
            </w:r>
            <w:r w:rsidR="0026100E">
              <w:rPr>
                <w:szCs w:val="16"/>
              </w:rPr>
              <w:noBreakHyphen/>
            </w:r>
            <w:r w:rsidRPr="006D52A9">
              <w:rPr>
                <w:szCs w:val="16"/>
              </w:rPr>
              <w:t>13 activity of greater than or equal to 10% on a blood sample taken prior to plasma exchange or infusion; or, if ADAMTS</w:t>
            </w:r>
            <w:r w:rsidR="0026100E">
              <w:rPr>
                <w:szCs w:val="16"/>
              </w:rPr>
              <w:noBreakHyphen/>
            </w:r>
            <w:r w:rsidRPr="006D52A9">
              <w:rPr>
                <w:szCs w:val="16"/>
              </w:rPr>
              <w:t>13 activity was not collected prior to plasma exchange or infusion, patient must have platelet counts of greater than 30x10</w:t>
            </w:r>
            <w:r w:rsidR="00867038">
              <w:rPr>
                <w:szCs w:val="16"/>
              </w:rPr>
              <w:t>^</w:t>
            </w:r>
            <w:r w:rsidRPr="006D52A9">
              <w:rPr>
                <w:szCs w:val="16"/>
              </w:rPr>
              <w:t>9/L and a serum creatinine of greater than 150 mol/L; AND</w:t>
            </w:r>
          </w:p>
          <w:p w14:paraId="35AAF707" w14:textId="77777777" w:rsidR="008F47B8" w:rsidRPr="006D52A9" w:rsidRDefault="008F47B8" w:rsidP="00FB6D2D">
            <w:pPr>
              <w:pStyle w:val="mps3-data"/>
              <w:rPr>
                <w:b/>
                <w:szCs w:val="16"/>
              </w:rPr>
            </w:pPr>
            <w:r w:rsidRPr="006D52A9">
              <w:rPr>
                <w:szCs w:val="16"/>
              </w:rPr>
              <w:t>Patient must have a confirmed negative STEC (Shiga toxin</w:t>
            </w:r>
            <w:r w:rsidR="0026100E">
              <w:rPr>
                <w:szCs w:val="16"/>
              </w:rPr>
              <w:noBreakHyphen/>
            </w:r>
            <w:r w:rsidRPr="006D52A9">
              <w:rPr>
                <w:szCs w:val="16"/>
              </w:rPr>
              <w:t>producing E.Coli) result if the patient has had diarrhoea in the preceding 14 days; AND</w:t>
            </w:r>
          </w:p>
          <w:p w14:paraId="7AD3A068" w14:textId="77777777" w:rsidR="008F47B8" w:rsidRPr="006D52A9" w:rsidRDefault="008F47B8" w:rsidP="00FB6D2D">
            <w:pPr>
              <w:pStyle w:val="mps3-data"/>
              <w:rPr>
                <w:b/>
                <w:szCs w:val="16"/>
              </w:rPr>
            </w:pPr>
            <w:r w:rsidRPr="006D52A9">
              <w:rPr>
                <w:szCs w:val="16"/>
              </w:rPr>
              <w:t>Patient must have clinical features of active organ damage or impairment; AND</w:t>
            </w:r>
          </w:p>
          <w:p w14:paraId="23BD9FF5" w14:textId="77777777" w:rsidR="008F47B8" w:rsidRPr="006D52A9" w:rsidRDefault="008F47B8" w:rsidP="00FB6D2D">
            <w:pPr>
              <w:pStyle w:val="mps3-data"/>
              <w:rPr>
                <w:b/>
                <w:szCs w:val="16"/>
              </w:rPr>
            </w:pPr>
            <w:r w:rsidRPr="006D52A9">
              <w:rPr>
                <w:szCs w:val="16"/>
              </w:rPr>
              <w:t>Patient must not receive more than 4 weeks of treatment under this restriction.</w:t>
            </w:r>
          </w:p>
          <w:p w14:paraId="3CAE3C51" w14:textId="77777777" w:rsidR="008F47B8" w:rsidRPr="006D52A9" w:rsidRDefault="008F47B8" w:rsidP="00FB6D2D">
            <w:pPr>
              <w:pStyle w:val="mps3-data"/>
              <w:rPr>
                <w:b/>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034CBFC1" w14:textId="77777777" w:rsidR="008F47B8" w:rsidRPr="006D52A9" w:rsidRDefault="008F47B8" w:rsidP="00FB6D2D">
            <w:pPr>
              <w:pStyle w:val="mps3-data"/>
              <w:rPr>
                <w:b/>
                <w:szCs w:val="16"/>
              </w:rPr>
            </w:pPr>
            <w:r w:rsidRPr="006D52A9">
              <w:rPr>
                <w:szCs w:val="16"/>
              </w:rPr>
              <w:t>Evidence of active and progressing TMA is defined by the following:</w:t>
            </w:r>
          </w:p>
          <w:p w14:paraId="3264F7CD" w14:textId="77777777" w:rsidR="008F47B8" w:rsidRPr="006D52A9" w:rsidRDefault="008F47B8" w:rsidP="00FB6D2D">
            <w:pPr>
              <w:pStyle w:val="mps3-data"/>
              <w:rPr>
                <w:b/>
                <w:szCs w:val="16"/>
              </w:rPr>
            </w:pPr>
            <w:r w:rsidRPr="006D52A9">
              <w:rPr>
                <w:szCs w:val="16"/>
              </w:rPr>
              <w:t>(1) a platelet count of less than 150x10</w:t>
            </w:r>
            <w:r w:rsidR="002B2518">
              <w:rPr>
                <w:szCs w:val="16"/>
              </w:rPr>
              <w:t>^</w:t>
            </w:r>
            <w:r w:rsidRPr="006D52A9">
              <w:rPr>
                <w:szCs w:val="16"/>
              </w:rPr>
              <w:t>9/L; and evidence of two of the following:</w:t>
            </w:r>
          </w:p>
          <w:p w14:paraId="66833F27" w14:textId="77777777" w:rsidR="008F47B8" w:rsidRPr="006D52A9" w:rsidRDefault="008F47B8" w:rsidP="00FB6D2D">
            <w:pPr>
              <w:pStyle w:val="mps3-data"/>
              <w:rPr>
                <w:b/>
                <w:szCs w:val="16"/>
              </w:rPr>
            </w:pPr>
            <w:r w:rsidRPr="006D52A9">
              <w:rPr>
                <w:szCs w:val="16"/>
              </w:rPr>
              <w:t>(i) presence of schistocytes on blood film;</w:t>
            </w:r>
          </w:p>
          <w:p w14:paraId="541A972E" w14:textId="77777777" w:rsidR="008F47B8" w:rsidRPr="006D52A9" w:rsidRDefault="008F47B8" w:rsidP="00FB6D2D">
            <w:pPr>
              <w:pStyle w:val="mps3-data"/>
              <w:rPr>
                <w:b/>
                <w:szCs w:val="16"/>
              </w:rPr>
            </w:pPr>
            <w:r w:rsidRPr="006D52A9">
              <w:rPr>
                <w:szCs w:val="16"/>
              </w:rPr>
              <w:t>(ii) low or absent haptoglobin;</w:t>
            </w:r>
          </w:p>
          <w:p w14:paraId="1B269BA7" w14:textId="77777777" w:rsidR="008F47B8" w:rsidRPr="006D52A9" w:rsidRDefault="008F47B8" w:rsidP="00FB6D2D">
            <w:pPr>
              <w:pStyle w:val="mps3-data"/>
              <w:rPr>
                <w:b/>
                <w:szCs w:val="16"/>
              </w:rPr>
            </w:pPr>
            <w:r w:rsidRPr="006D52A9">
              <w:rPr>
                <w:szCs w:val="16"/>
              </w:rPr>
              <w:t>(iii) lactate dehydrogenase (LDH) above normal range;</w:t>
            </w:r>
          </w:p>
          <w:p w14:paraId="332E0446" w14:textId="77777777" w:rsidR="008F47B8" w:rsidRPr="006D52A9" w:rsidRDefault="008F47B8" w:rsidP="00FB6D2D">
            <w:pPr>
              <w:pStyle w:val="mps3-data"/>
              <w:rPr>
                <w:b/>
                <w:szCs w:val="16"/>
              </w:rPr>
            </w:pPr>
            <w:r w:rsidRPr="006D52A9">
              <w:rPr>
                <w:szCs w:val="16"/>
              </w:rPr>
              <w:t>OR</w:t>
            </w:r>
          </w:p>
          <w:p w14:paraId="0766CA86" w14:textId="77777777" w:rsidR="008F47B8" w:rsidRPr="006D52A9" w:rsidRDefault="008F47B8" w:rsidP="00FB6D2D">
            <w:pPr>
              <w:pStyle w:val="mps3-data"/>
              <w:rPr>
                <w:b/>
                <w:szCs w:val="16"/>
              </w:rPr>
            </w:pPr>
            <w:r w:rsidRPr="006D52A9">
              <w:rPr>
                <w:szCs w:val="16"/>
              </w:rPr>
              <w:t>(2) in recipients of a kidney transplant for end</w:t>
            </w:r>
            <w:r w:rsidR="0026100E">
              <w:rPr>
                <w:szCs w:val="16"/>
              </w:rPr>
              <w:noBreakHyphen/>
            </w:r>
            <w:r w:rsidRPr="006D52A9">
              <w:rPr>
                <w:szCs w:val="16"/>
              </w:rPr>
              <w:t>stage kidney disease due to aHUS, a kidney biopsy confirming TMA;</w:t>
            </w:r>
          </w:p>
          <w:p w14:paraId="0D742909" w14:textId="77777777" w:rsidR="008F47B8" w:rsidRPr="006D52A9" w:rsidRDefault="008F47B8" w:rsidP="00FB6D2D">
            <w:pPr>
              <w:pStyle w:val="mps3-data"/>
              <w:rPr>
                <w:b/>
                <w:szCs w:val="16"/>
              </w:rPr>
            </w:pPr>
            <w:r w:rsidRPr="006D52A9">
              <w:rPr>
                <w:szCs w:val="16"/>
              </w:rPr>
              <w:t>AND</w:t>
            </w:r>
          </w:p>
          <w:p w14:paraId="3C56F425" w14:textId="77777777" w:rsidR="008F47B8" w:rsidRPr="006D52A9" w:rsidRDefault="008F47B8" w:rsidP="00FB6D2D">
            <w:pPr>
              <w:pStyle w:val="mps3-data"/>
              <w:rPr>
                <w:b/>
                <w:szCs w:val="16"/>
              </w:rPr>
            </w:pPr>
            <w:r w:rsidRPr="006D52A9">
              <w:rPr>
                <w:szCs w:val="16"/>
              </w:rPr>
              <w:t>(3) evidence of at least one of the following clinical features of active TMA</w:t>
            </w:r>
            <w:r w:rsidR="0026100E">
              <w:rPr>
                <w:szCs w:val="16"/>
              </w:rPr>
              <w:noBreakHyphen/>
            </w:r>
            <w:r w:rsidRPr="006D52A9">
              <w:rPr>
                <w:szCs w:val="16"/>
              </w:rPr>
              <w:t xml:space="preserve">related organ damage or </w:t>
            </w:r>
            <w:r w:rsidRPr="006D52A9">
              <w:rPr>
                <w:szCs w:val="16"/>
              </w:rPr>
              <w:lastRenderedPageBreak/>
              <w:t>impairment is defined as below:</w:t>
            </w:r>
          </w:p>
          <w:p w14:paraId="6EE0F9EB" w14:textId="77777777" w:rsidR="008F47B8" w:rsidRPr="006D52A9" w:rsidRDefault="008F47B8" w:rsidP="00FB6D2D">
            <w:pPr>
              <w:pStyle w:val="mps3-data"/>
              <w:rPr>
                <w:b/>
                <w:szCs w:val="16"/>
              </w:rPr>
            </w:pPr>
            <w:r w:rsidRPr="006D52A9">
              <w:rPr>
                <w:szCs w:val="16"/>
              </w:rPr>
              <w:t>(a) kidney impairment as demonstrated by one of the following:</w:t>
            </w:r>
          </w:p>
          <w:p w14:paraId="47E09B57" w14:textId="77777777" w:rsidR="008F47B8" w:rsidRPr="006D52A9" w:rsidRDefault="008F47B8" w:rsidP="00FB6D2D">
            <w:pPr>
              <w:pStyle w:val="mps3-data"/>
              <w:rPr>
                <w:b/>
                <w:szCs w:val="16"/>
              </w:rPr>
            </w:pPr>
            <w:r w:rsidRPr="006D52A9">
              <w:rPr>
                <w:szCs w:val="16"/>
              </w:rPr>
              <w:t>(i) a decline in estimated Glomerular Filtration Rate (eGFR) of greater than 20% in a patient who has pre</w:t>
            </w:r>
            <w:r w:rsidR="0026100E">
              <w:rPr>
                <w:szCs w:val="16"/>
              </w:rPr>
              <w:noBreakHyphen/>
            </w:r>
            <w:r w:rsidRPr="006D52A9">
              <w:rPr>
                <w:szCs w:val="16"/>
              </w:rPr>
              <w:t>existing kidney impairment; and/or</w:t>
            </w:r>
          </w:p>
          <w:p w14:paraId="0EB432E6" w14:textId="77777777" w:rsidR="008F47B8" w:rsidRPr="006D52A9" w:rsidRDefault="008F47B8" w:rsidP="00FB6D2D">
            <w:pPr>
              <w:pStyle w:val="mps3-data"/>
              <w:rPr>
                <w:b/>
                <w:szCs w:val="16"/>
              </w:rPr>
            </w:pPr>
            <w:r w:rsidRPr="006D52A9">
              <w:rPr>
                <w:szCs w:val="16"/>
              </w:rPr>
              <w:t>(ii) a serum creatinine (sCr) of greater than the upper limit of normal (ULN) in a patient who has no history of pre</w:t>
            </w:r>
            <w:r w:rsidR="0026100E">
              <w:rPr>
                <w:szCs w:val="16"/>
              </w:rPr>
              <w:noBreakHyphen/>
            </w:r>
            <w:r w:rsidRPr="006D52A9">
              <w:rPr>
                <w:szCs w:val="16"/>
              </w:rPr>
              <w:t>existing kidney impairment; or</w:t>
            </w:r>
          </w:p>
          <w:p w14:paraId="32115050" w14:textId="77777777" w:rsidR="008F47B8" w:rsidRPr="006D52A9" w:rsidRDefault="008F47B8" w:rsidP="00FB6D2D">
            <w:pPr>
              <w:pStyle w:val="mps3-data"/>
              <w:rPr>
                <w:b/>
                <w:szCs w:val="16"/>
              </w:rPr>
            </w:pPr>
            <w:r w:rsidRPr="006D52A9">
              <w:rPr>
                <w:szCs w:val="16"/>
              </w:rPr>
              <w:t>(iii) a sCr of greater than the age</w:t>
            </w:r>
            <w:r w:rsidR="0026100E">
              <w:rPr>
                <w:szCs w:val="16"/>
              </w:rPr>
              <w:noBreakHyphen/>
            </w:r>
            <w:r w:rsidRPr="006D52A9">
              <w:rPr>
                <w:szCs w:val="16"/>
              </w:rPr>
              <w:t>appropriate ULN in paediatric patients; or</w:t>
            </w:r>
          </w:p>
          <w:p w14:paraId="5D42CDB9" w14:textId="77777777" w:rsidR="008F47B8" w:rsidRPr="006D52A9" w:rsidRDefault="008F47B8" w:rsidP="00FB6D2D">
            <w:pPr>
              <w:pStyle w:val="mps3-data"/>
              <w:rPr>
                <w:b/>
                <w:szCs w:val="16"/>
              </w:rPr>
            </w:pPr>
            <w:r w:rsidRPr="006D52A9">
              <w:rPr>
                <w:szCs w:val="16"/>
              </w:rPr>
              <w:t>(iv) a renal biopsy consistent with aHUS;</w:t>
            </w:r>
          </w:p>
          <w:p w14:paraId="66DB290B" w14:textId="77777777" w:rsidR="008F47B8" w:rsidRPr="006D52A9" w:rsidRDefault="008F47B8" w:rsidP="00FB6D2D">
            <w:pPr>
              <w:pStyle w:val="mps3-data"/>
              <w:rPr>
                <w:b/>
                <w:szCs w:val="16"/>
              </w:rPr>
            </w:pPr>
            <w:r w:rsidRPr="006D52A9">
              <w:rPr>
                <w:szCs w:val="16"/>
              </w:rPr>
              <w:t>(b) onset of TMA</w:t>
            </w:r>
            <w:r w:rsidR="0026100E">
              <w:rPr>
                <w:szCs w:val="16"/>
              </w:rPr>
              <w:noBreakHyphen/>
            </w:r>
            <w:r w:rsidRPr="006D52A9">
              <w:rPr>
                <w:szCs w:val="16"/>
              </w:rPr>
              <w:t>related neurological impairment;</w:t>
            </w:r>
          </w:p>
          <w:p w14:paraId="00C267FC" w14:textId="77777777" w:rsidR="008F47B8" w:rsidRPr="006D52A9" w:rsidRDefault="008F47B8" w:rsidP="00FB6D2D">
            <w:pPr>
              <w:pStyle w:val="mps3-data"/>
              <w:rPr>
                <w:b/>
                <w:szCs w:val="16"/>
              </w:rPr>
            </w:pPr>
            <w:r w:rsidRPr="006D52A9">
              <w:rPr>
                <w:szCs w:val="16"/>
              </w:rPr>
              <w:t>(c) onset of TMA</w:t>
            </w:r>
            <w:r w:rsidR="0026100E">
              <w:rPr>
                <w:szCs w:val="16"/>
              </w:rPr>
              <w:noBreakHyphen/>
            </w:r>
            <w:r w:rsidRPr="006D52A9">
              <w:rPr>
                <w:szCs w:val="16"/>
              </w:rPr>
              <w:t>related cardiac impairment;</w:t>
            </w:r>
          </w:p>
          <w:p w14:paraId="3D1BF1FC" w14:textId="77777777" w:rsidR="008F47B8" w:rsidRPr="006D52A9" w:rsidRDefault="008F47B8" w:rsidP="00FB6D2D">
            <w:pPr>
              <w:pStyle w:val="mps3-data"/>
              <w:rPr>
                <w:b/>
                <w:szCs w:val="16"/>
              </w:rPr>
            </w:pPr>
            <w:r w:rsidRPr="006D52A9">
              <w:rPr>
                <w:szCs w:val="16"/>
              </w:rPr>
              <w:t>(d) onset of TMA</w:t>
            </w:r>
            <w:r w:rsidR="0026100E">
              <w:rPr>
                <w:szCs w:val="16"/>
              </w:rPr>
              <w:noBreakHyphen/>
            </w:r>
            <w:r w:rsidRPr="006D52A9">
              <w:rPr>
                <w:szCs w:val="16"/>
              </w:rPr>
              <w:t>related gastrointestinal impairment;</w:t>
            </w:r>
          </w:p>
          <w:p w14:paraId="741F164E" w14:textId="77777777" w:rsidR="008F47B8" w:rsidRPr="006D52A9" w:rsidRDefault="008F47B8" w:rsidP="00FB6D2D">
            <w:pPr>
              <w:pStyle w:val="mps3-data"/>
              <w:rPr>
                <w:b/>
                <w:szCs w:val="16"/>
              </w:rPr>
            </w:pPr>
            <w:r w:rsidRPr="006D52A9">
              <w:rPr>
                <w:szCs w:val="16"/>
              </w:rPr>
              <w:t>(e) onset of TMA</w:t>
            </w:r>
            <w:r w:rsidR="0026100E">
              <w:rPr>
                <w:szCs w:val="16"/>
              </w:rPr>
              <w:noBreakHyphen/>
            </w:r>
            <w:r w:rsidRPr="006D52A9">
              <w:rPr>
                <w:szCs w:val="16"/>
              </w:rPr>
              <w:t>related pulmonary impairment.</w:t>
            </w:r>
          </w:p>
          <w:p w14:paraId="67A797C2" w14:textId="77777777" w:rsidR="008F47B8" w:rsidRPr="006D52A9" w:rsidRDefault="008F47B8" w:rsidP="00FB6D2D">
            <w:pPr>
              <w:pStyle w:val="mps3-data"/>
              <w:rPr>
                <w:b/>
                <w:szCs w:val="16"/>
              </w:rPr>
            </w:pPr>
            <w:r w:rsidRPr="006D52A9">
              <w:rPr>
                <w:szCs w:val="16"/>
              </w:rPr>
              <w:t>Claims of non</w:t>
            </w:r>
            <w:r w:rsidR="0026100E">
              <w:rPr>
                <w:szCs w:val="16"/>
              </w:rPr>
              <w:noBreakHyphen/>
            </w:r>
            <w:r w:rsidRPr="006D52A9">
              <w:rPr>
                <w:szCs w:val="16"/>
              </w:rPr>
              <w:t>renal TMA</w:t>
            </w:r>
            <w:r w:rsidR="0026100E">
              <w:rPr>
                <w:szCs w:val="16"/>
              </w:rPr>
              <w:noBreakHyphen/>
            </w:r>
            <w:r w:rsidRPr="006D52A9">
              <w:rPr>
                <w:szCs w:val="16"/>
              </w:rPr>
              <w:t>related organ damage should be made at the point of application for initial PBS</w:t>
            </w:r>
            <w:r w:rsidR="0026100E">
              <w:rPr>
                <w:szCs w:val="16"/>
              </w:rPr>
              <w:noBreakHyphen/>
            </w:r>
            <w:r w:rsidRPr="006D52A9">
              <w:rPr>
                <w:szCs w:val="16"/>
              </w:rPr>
              <w:t>subsidised eculizumab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p>
          <w:p w14:paraId="2375DD32" w14:textId="77777777" w:rsidR="008F47B8" w:rsidRPr="006D52A9" w:rsidRDefault="008F47B8" w:rsidP="00FB6D2D">
            <w:pPr>
              <w:pStyle w:val="mps3-data"/>
              <w:rPr>
                <w:b/>
                <w:szCs w:val="16"/>
              </w:rPr>
            </w:pPr>
            <w:r w:rsidRPr="006D52A9">
              <w:rPr>
                <w:szCs w:val="16"/>
              </w:rPr>
              <w:t>Serial haematological results (every 3 months while the patient is receiving treatment) must be provided with every subsequent application for treatment.</w:t>
            </w:r>
          </w:p>
          <w:p w14:paraId="7BB39A55" w14:textId="77777777" w:rsidR="008F47B8" w:rsidRPr="006D52A9" w:rsidRDefault="008F47B8" w:rsidP="00FB6D2D">
            <w:pPr>
              <w:pStyle w:val="mps3-data"/>
              <w:rPr>
                <w:b/>
                <w:szCs w:val="16"/>
              </w:rPr>
            </w:pPr>
            <w:r w:rsidRPr="006D52A9">
              <w:rPr>
                <w:szCs w:val="16"/>
              </w:rPr>
              <w:t>The authority application must be in writing and must include:</w:t>
            </w:r>
          </w:p>
          <w:p w14:paraId="3434A08C" w14:textId="77777777" w:rsidR="008F47B8" w:rsidRPr="006D52A9" w:rsidRDefault="008F47B8" w:rsidP="00FB6D2D">
            <w:pPr>
              <w:pStyle w:val="mps3-data"/>
              <w:rPr>
                <w:b/>
                <w:szCs w:val="16"/>
              </w:rPr>
            </w:pPr>
            <w:r w:rsidRPr="006D52A9">
              <w:rPr>
                <w:szCs w:val="16"/>
              </w:rPr>
              <w:t>(1) A completed authority prescription form; and</w:t>
            </w:r>
          </w:p>
          <w:p w14:paraId="61FFE377" w14:textId="77777777" w:rsidR="008F47B8" w:rsidRPr="006D52A9" w:rsidRDefault="008F47B8" w:rsidP="00FB6D2D">
            <w:pPr>
              <w:pStyle w:val="mps3-data"/>
              <w:rPr>
                <w:b/>
                <w:szCs w:val="16"/>
              </w:rPr>
            </w:pPr>
            <w:r w:rsidRPr="006D52A9">
              <w:rPr>
                <w:szCs w:val="16"/>
              </w:rPr>
              <w:t xml:space="preserve">(2) A completed aHUS eculizumab Authority Application Supporting Information Form </w:t>
            </w:r>
            <w:r w:rsidR="0026100E">
              <w:rPr>
                <w:szCs w:val="16"/>
              </w:rPr>
              <w:noBreakHyphen/>
            </w:r>
            <w:r w:rsidRPr="006D52A9">
              <w:rPr>
                <w:szCs w:val="16"/>
              </w:rPr>
              <w:t xml:space="preserve"> Initial PBS</w:t>
            </w:r>
            <w:r w:rsidR="0026100E">
              <w:rPr>
                <w:szCs w:val="16"/>
              </w:rPr>
              <w:noBreakHyphen/>
            </w:r>
            <w:r w:rsidRPr="006D52A9">
              <w:rPr>
                <w:szCs w:val="16"/>
              </w:rPr>
              <w:t>subsidised eculizumab treatment; and</w:t>
            </w:r>
          </w:p>
          <w:p w14:paraId="30C62672" w14:textId="77777777" w:rsidR="008F47B8" w:rsidRPr="006D52A9" w:rsidRDefault="008F47B8" w:rsidP="00FB6D2D">
            <w:pPr>
              <w:pStyle w:val="mps3-data"/>
              <w:rPr>
                <w:b/>
                <w:szCs w:val="16"/>
              </w:rPr>
            </w:pPr>
            <w:r w:rsidRPr="006D52A9">
              <w:rPr>
                <w:szCs w:val="16"/>
              </w:rPr>
              <w:t>(3) A signed patient acknowledgement or an acknowledgement signed by a parent or authorised guardian, if applicable; and</w:t>
            </w:r>
          </w:p>
          <w:p w14:paraId="3CBDB191" w14:textId="77777777" w:rsidR="008F47B8" w:rsidRPr="006D52A9" w:rsidRDefault="008F47B8" w:rsidP="00FB6D2D">
            <w:pPr>
              <w:pStyle w:val="mps3-data"/>
              <w:rPr>
                <w:b/>
                <w:szCs w:val="16"/>
              </w:rPr>
            </w:pPr>
            <w:r w:rsidRPr="006D52A9">
              <w:rPr>
                <w:szCs w:val="16"/>
              </w:rPr>
              <w:t>(4) A detailed cover letter from the prescriber; and</w:t>
            </w:r>
          </w:p>
          <w:p w14:paraId="5451CC76" w14:textId="77777777" w:rsidR="008F47B8" w:rsidRPr="006D52A9" w:rsidRDefault="008F47B8" w:rsidP="00FB6D2D">
            <w:pPr>
              <w:pStyle w:val="mps3-data"/>
              <w:rPr>
                <w:b/>
                <w:szCs w:val="16"/>
              </w:rPr>
            </w:pPr>
            <w:r w:rsidRPr="006D52A9">
              <w:rPr>
                <w:szCs w:val="16"/>
              </w:rPr>
              <w:t>(5) A copy of a current Certificate of vaccination or a statement that vaccination has or will be administered and appropriate antibiotic prophylaxis has been prescribed; and</w:t>
            </w:r>
          </w:p>
          <w:p w14:paraId="611D9AF7" w14:textId="77777777" w:rsidR="008F47B8" w:rsidRPr="006D52A9" w:rsidRDefault="008F47B8" w:rsidP="00FB6D2D">
            <w:pPr>
              <w:pStyle w:val="mps3-data"/>
              <w:rPr>
                <w:b/>
                <w:szCs w:val="16"/>
              </w:rPr>
            </w:pPr>
            <w:r w:rsidRPr="006D52A9">
              <w:rPr>
                <w:szCs w:val="16"/>
              </w:rPr>
              <w:t>(6) A measurement of body weight at the time of application; and</w:t>
            </w:r>
          </w:p>
          <w:p w14:paraId="47CED63D" w14:textId="77777777" w:rsidR="008F47B8" w:rsidRPr="006D52A9" w:rsidRDefault="008F47B8" w:rsidP="00FB6D2D">
            <w:pPr>
              <w:pStyle w:val="mps3-data"/>
              <w:rPr>
                <w:b/>
                <w:szCs w:val="16"/>
              </w:rPr>
            </w:pPr>
            <w:r w:rsidRPr="006D52A9">
              <w:rPr>
                <w:szCs w:val="16"/>
              </w:rPr>
              <w:t>(7) The result of ADAMTS</w:t>
            </w:r>
            <w:r w:rsidR="0026100E">
              <w:rPr>
                <w:szCs w:val="16"/>
              </w:rPr>
              <w:noBreakHyphen/>
            </w:r>
            <w:r w:rsidRPr="006D52A9">
              <w:rPr>
                <w:szCs w:val="16"/>
              </w:rPr>
              <w:t>13 activity on a blood sample taken prior to plasma exchange or infusion; the date and time that the sample for the ADAMTS</w:t>
            </w:r>
            <w:r w:rsidR="0026100E">
              <w:rPr>
                <w:szCs w:val="16"/>
              </w:rPr>
              <w:noBreakHyphen/>
            </w:r>
            <w:r w:rsidRPr="006D52A9">
              <w:rPr>
                <w:szCs w:val="16"/>
              </w:rPr>
              <w:t>13 assay was collected, and the dates and times of any plasma exchanges or infusions that were undertaken in the two weeks prior to collection of the ADAMTS</w:t>
            </w:r>
            <w:r w:rsidR="0026100E">
              <w:rPr>
                <w:szCs w:val="16"/>
              </w:rPr>
              <w:noBreakHyphen/>
            </w:r>
            <w:r w:rsidRPr="006D52A9">
              <w:rPr>
                <w:szCs w:val="16"/>
              </w:rPr>
              <w:t>13 assay; and</w:t>
            </w:r>
          </w:p>
          <w:p w14:paraId="64FDBA33" w14:textId="77777777" w:rsidR="008F47B8" w:rsidRPr="006D52A9" w:rsidRDefault="008F47B8" w:rsidP="00FB6D2D">
            <w:pPr>
              <w:pStyle w:val="mps3-data"/>
              <w:rPr>
                <w:b/>
                <w:szCs w:val="16"/>
              </w:rPr>
            </w:pPr>
            <w:r w:rsidRPr="006D52A9">
              <w:rPr>
                <w:szCs w:val="16"/>
              </w:rPr>
              <w:t>(8) In the case that a sample for ADAMTS</w:t>
            </w:r>
            <w:r w:rsidR="0026100E">
              <w:rPr>
                <w:szCs w:val="16"/>
              </w:rPr>
              <w:noBreakHyphen/>
            </w:r>
            <w:r w:rsidRPr="006D52A9">
              <w:rPr>
                <w:szCs w:val="16"/>
              </w:rPr>
              <w:t>13 assay was not collected prior to plasma exchange or infusion, measurement of ADAMTS</w:t>
            </w:r>
            <w:r w:rsidR="0026100E">
              <w:rPr>
                <w:szCs w:val="16"/>
              </w:rPr>
              <w:noBreakHyphen/>
            </w:r>
            <w:r w:rsidRPr="006D52A9">
              <w:rPr>
                <w:szCs w:val="16"/>
              </w:rPr>
              <w:t>13 activity must be taken 1</w:t>
            </w:r>
            <w:r w:rsidR="0026100E">
              <w:rPr>
                <w:szCs w:val="16"/>
              </w:rPr>
              <w:noBreakHyphen/>
            </w:r>
            <w:r w:rsidRPr="006D52A9">
              <w:rPr>
                <w:szCs w:val="16"/>
              </w:rPr>
              <w:t xml:space="preserve">2 weeks following the last plasma </w:t>
            </w:r>
            <w:r w:rsidRPr="006D52A9">
              <w:rPr>
                <w:szCs w:val="16"/>
              </w:rPr>
              <w:lastRenderedPageBreak/>
              <w:t>exchange or infusion. The ADAMTS</w:t>
            </w:r>
            <w:r w:rsidR="0026100E">
              <w:rPr>
                <w:szCs w:val="16"/>
              </w:rPr>
              <w:noBreakHyphen/>
            </w:r>
            <w:r w:rsidRPr="006D52A9">
              <w:rPr>
                <w:szCs w:val="16"/>
              </w:rPr>
              <w:t>13 result must be submitted to the Department of Human Services within 27 days of commencement of eculizumab treatment in order for the patient to be considered as eligible for further PBS</w:t>
            </w:r>
            <w:r w:rsidR="0026100E">
              <w:rPr>
                <w:szCs w:val="16"/>
              </w:rPr>
              <w:noBreakHyphen/>
            </w:r>
            <w:r w:rsidRPr="006D52A9">
              <w:rPr>
                <w:szCs w:val="16"/>
              </w:rPr>
              <w:t>subsidised eculizumab treatment, underInitial treatment 1</w:t>
            </w:r>
            <w:r w:rsidR="0026100E">
              <w:rPr>
                <w:szCs w:val="16"/>
              </w:rPr>
              <w:noBreakHyphen/>
            </w:r>
            <w:r w:rsidRPr="006D52A9">
              <w:rPr>
                <w:szCs w:val="16"/>
              </w:rPr>
              <w:t>balance of supply; and</w:t>
            </w:r>
          </w:p>
          <w:p w14:paraId="74DD20C6" w14:textId="77777777" w:rsidR="008F47B8" w:rsidRPr="006D52A9" w:rsidRDefault="008F47B8" w:rsidP="00FB6D2D">
            <w:pPr>
              <w:pStyle w:val="mps3-data"/>
              <w:rPr>
                <w:b/>
                <w:szCs w:val="16"/>
              </w:rPr>
            </w:pPr>
            <w:r w:rsidRPr="006D52A9">
              <w:rPr>
                <w:szCs w:val="16"/>
              </w:rPr>
              <w:t>(9) A confirmed negative STEC result if the patient has had diarrhoea in the preceding 14 days; and</w:t>
            </w:r>
          </w:p>
          <w:p w14:paraId="623F3B7F" w14:textId="77777777" w:rsidR="008F47B8" w:rsidRPr="006D52A9" w:rsidRDefault="008F47B8" w:rsidP="00FB6D2D">
            <w:pPr>
              <w:pStyle w:val="mps3-data"/>
              <w:rPr>
                <w:b/>
                <w:szCs w:val="16"/>
              </w:rPr>
            </w:pPr>
            <w:r w:rsidRPr="006D52A9">
              <w:rPr>
                <w:szCs w:val="16"/>
              </w:rPr>
              <w:t>(10) Evidence of active and progressing TMA, including pathology results where relevant. Evidence of the onset of TMA</w:t>
            </w:r>
            <w:r w:rsidR="0026100E">
              <w:rPr>
                <w:szCs w:val="16"/>
              </w:rPr>
              <w:noBreakHyphen/>
            </w:r>
            <w:r w:rsidRPr="006D52A9">
              <w:rPr>
                <w:szCs w:val="16"/>
              </w:rPr>
              <w:t>related neurological, cardiac, gastrointestinal or pulmonary impairment requires a supporting statement with clinical evidence in patient records. All tests must have been performed within one month of application; and</w:t>
            </w:r>
          </w:p>
          <w:p w14:paraId="2EDA62CF"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(11) For all patients, a recent measurement of eGFR, platelets and two of either LDH, haptoglobin or schistocytes of no more than 1 week old at the time of application.</w:t>
            </w:r>
          </w:p>
        </w:tc>
        <w:tc>
          <w:tcPr>
            <w:tcW w:w="929" w:type="pct"/>
            <w:shd w:val="clear" w:color="auto" w:fill="auto"/>
            <w:tcMar>
              <w:top w:w="28" w:type="dxa"/>
              <w:left w:w="28" w:type="dxa"/>
              <w:right w:w="57" w:type="dxa"/>
            </w:tcMar>
          </w:tcPr>
          <w:p w14:paraId="0B0D79B7"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107F2B" w14:paraId="6A75D150" w14:textId="77777777" w:rsidTr="00FB6D2D">
        <w:tc>
          <w:tcPr>
            <w:tcW w:w="647" w:type="pct"/>
            <w:shd w:val="clear" w:color="auto" w:fill="auto"/>
            <w:tcMar>
              <w:top w:w="28" w:type="dxa"/>
              <w:left w:w="28" w:type="dxa"/>
            </w:tcMar>
            <w:vAlign w:val="center"/>
          </w:tcPr>
          <w:p w14:paraId="56B4B0BE" w14:textId="77777777" w:rsidR="008F47B8" w:rsidRPr="006D52A9" w:rsidDel="00107F2B"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6CED3A9E"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C6637</w:t>
            </w:r>
          </w:p>
        </w:tc>
        <w:tc>
          <w:tcPr>
            <w:tcW w:w="274" w:type="pct"/>
            <w:shd w:val="clear" w:color="auto" w:fill="auto"/>
            <w:tcMar>
              <w:top w:w="28" w:type="dxa"/>
              <w:left w:w="28" w:type="dxa"/>
            </w:tcMar>
          </w:tcPr>
          <w:p w14:paraId="63EEB82E"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P6637</w:t>
            </w:r>
          </w:p>
        </w:tc>
        <w:tc>
          <w:tcPr>
            <w:tcW w:w="2867" w:type="pct"/>
            <w:shd w:val="clear" w:color="auto" w:fill="auto"/>
            <w:tcMar>
              <w:top w:w="28" w:type="dxa"/>
              <w:left w:w="28" w:type="dxa"/>
            </w:tcMar>
          </w:tcPr>
          <w:p w14:paraId="581CB56B" w14:textId="77777777" w:rsidR="008F47B8" w:rsidRPr="006D52A9" w:rsidRDefault="008F47B8" w:rsidP="00FB6D2D">
            <w:pPr>
              <w:pStyle w:val="mps3-data"/>
              <w:spacing w:before="0"/>
              <w:rPr>
                <w:szCs w:val="16"/>
              </w:rPr>
            </w:pPr>
            <w:r w:rsidRPr="006D52A9">
              <w:rPr>
                <w:szCs w:val="16"/>
              </w:rPr>
              <w:t>Atypical haemolytic uraemic syndrome (aHUS)</w:t>
            </w:r>
          </w:p>
          <w:p w14:paraId="6068BB9C" w14:textId="77777777" w:rsidR="008F47B8" w:rsidRPr="006D52A9" w:rsidRDefault="008F47B8" w:rsidP="00FB6D2D">
            <w:pPr>
              <w:pStyle w:val="mps3-data"/>
              <w:rPr>
                <w:szCs w:val="16"/>
              </w:rPr>
            </w:pPr>
            <w:r w:rsidRPr="006D52A9">
              <w:rPr>
                <w:szCs w:val="16"/>
              </w:rPr>
              <w:t xml:space="preserve">Extended initial treatment </w:t>
            </w:r>
            <w:r w:rsidR="0026100E">
              <w:rPr>
                <w:szCs w:val="16"/>
              </w:rPr>
              <w:noBreakHyphen/>
            </w:r>
            <w:r w:rsidRPr="006D52A9">
              <w:rPr>
                <w:szCs w:val="16"/>
              </w:rPr>
              <w:t xml:space="preserve"> Assessment phase</w:t>
            </w:r>
          </w:p>
          <w:p w14:paraId="2CF24589" w14:textId="77777777" w:rsidR="008F47B8" w:rsidRPr="006D52A9" w:rsidRDefault="008F47B8" w:rsidP="00FB6D2D">
            <w:pPr>
              <w:pStyle w:val="mps3-data"/>
              <w:rPr>
                <w:szCs w:val="16"/>
              </w:rPr>
            </w:pPr>
            <w:r w:rsidRPr="006D52A9">
              <w:rPr>
                <w:szCs w:val="16"/>
              </w:rPr>
              <w:t>Patient must have received treatment under the initial restriction with PBS subsidised eculizumab for this condition; AND</w:t>
            </w:r>
          </w:p>
          <w:p w14:paraId="656267E4" w14:textId="77777777" w:rsidR="008F47B8" w:rsidRPr="006D52A9" w:rsidRDefault="008F47B8" w:rsidP="00FB6D2D">
            <w:pPr>
              <w:pStyle w:val="mps3-data"/>
              <w:rPr>
                <w:szCs w:val="16"/>
              </w:rPr>
            </w:pPr>
            <w:r w:rsidRPr="006D52A9">
              <w:rPr>
                <w:szCs w:val="16"/>
              </w:rPr>
              <w:t>Patient must have demonstrated on</w:t>
            </w:r>
            <w:r w:rsidR="0026100E">
              <w:rPr>
                <w:szCs w:val="16"/>
              </w:rPr>
              <w:noBreakHyphen/>
            </w:r>
            <w:r w:rsidRPr="006D52A9">
              <w:rPr>
                <w:szCs w:val="16"/>
              </w:rPr>
              <w:t>going treatment response of PBS</w:t>
            </w:r>
            <w:r w:rsidR="0026100E">
              <w:rPr>
                <w:szCs w:val="16"/>
              </w:rPr>
              <w:noBreakHyphen/>
            </w:r>
            <w:r w:rsidRPr="006D52A9">
              <w:rPr>
                <w:szCs w:val="16"/>
              </w:rPr>
              <w:t>subsidised eculizumab treatment for this condition; AND</w:t>
            </w:r>
          </w:p>
          <w:p w14:paraId="0B388ED7" w14:textId="77777777" w:rsidR="008F47B8" w:rsidRPr="006D52A9" w:rsidRDefault="008F47B8" w:rsidP="00FB6D2D">
            <w:pPr>
              <w:pStyle w:val="mps3-data"/>
              <w:rPr>
                <w:szCs w:val="16"/>
              </w:rPr>
            </w:pPr>
            <w:r w:rsidRPr="006D52A9">
              <w:rPr>
                <w:szCs w:val="16"/>
              </w:rPr>
              <w:t>Patient must not have experienced treatment failure with eculizumab including PBS</w:t>
            </w:r>
            <w:r w:rsidR="0026100E">
              <w:rPr>
                <w:szCs w:val="16"/>
              </w:rPr>
              <w:noBreakHyphen/>
            </w:r>
            <w:r w:rsidRPr="006D52A9">
              <w:rPr>
                <w:szCs w:val="16"/>
              </w:rPr>
              <w:t>subsidised eculizumab for this condition; AND</w:t>
            </w:r>
          </w:p>
          <w:p w14:paraId="13CC8EFF" w14:textId="77777777" w:rsidR="008F47B8" w:rsidRPr="006D52A9" w:rsidRDefault="008F47B8" w:rsidP="00FB6D2D">
            <w:pPr>
              <w:pStyle w:val="mps3-data"/>
              <w:rPr>
                <w:szCs w:val="16"/>
              </w:rPr>
            </w:pPr>
            <w:r w:rsidRPr="006D52A9">
              <w:rPr>
                <w:szCs w:val="16"/>
              </w:rPr>
              <w:t>Patient must not receive more than 56 weeks of treatment under this restriction.</w:t>
            </w:r>
          </w:p>
          <w:p w14:paraId="29968BA7" w14:textId="77777777" w:rsidR="008F47B8" w:rsidRPr="006D52A9" w:rsidRDefault="008F47B8" w:rsidP="00FB6D2D">
            <w:pPr>
              <w:pStyle w:val="mps3-data"/>
              <w:rPr>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0F78564B" w14:textId="77777777" w:rsidR="008F47B8" w:rsidRPr="006D52A9" w:rsidRDefault="008F47B8" w:rsidP="00FB6D2D">
            <w:pPr>
              <w:pStyle w:val="mps3-data"/>
              <w:rPr>
                <w:szCs w:val="16"/>
              </w:rPr>
            </w:pPr>
            <w:r w:rsidRPr="006D52A9">
              <w:rPr>
                <w:szCs w:val="16"/>
              </w:rPr>
              <w:t>A treatment response is defined as:</w:t>
            </w:r>
          </w:p>
          <w:p w14:paraId="16933FCF" w14:textId="77777777" w:rsidR="008F47B8" w:rsidRPr="006D52A9" w:rsidRDefault="008F47B8" w:rsidP="00FB6D2D">
            <w:pPr>
              <w:pStyle w:val="mps3-data"/>
              <w:rPr>
                <w:szCs w:val="16"/>
              </w:rPr>
            </w:pPr>
            <w:r w:rsidRPr="006D52A9">
              <w:rPr>
                <w:szCs w:val="16"/>
              </w:rPr>
              <w:t>(1) Normalisation of haematology as demonstrated by at least 2 of the following: platelet count, haptoglobin, and LDH; AND</w:t>
            </w:r>
          </w:p>
          <w:p w14:paraId="2A03A365" w14:textId="77777777" w:rsidR="008F47B8" w:rsidRPr="006D52A9" w:rsidRDefault="008F47B8" w:rsidP="00FB6D2D">
            <w:pPr>
              <w:pStyle w:val="mps3-data"/>
              <w:rPr>
                <w:szCs w:val="16"/>
              </w:rPr>
            </w:pPr>
            <w:r w:rsidRPr="006D52A9">
              <w:rPr>
                <w:szCs w:val="16"/>
              </w:rPr>
              <w:t>(2) One of the following:</w:t>
            </w:r>
          </w:p>
          <w:p w14:paraId="68A02032" w14:textId="77777777" w:rsidR="008F47B8" w:rsidRPr="006D52A9" w:rsidRDefault="008F47B8" w:rsidP="00FB6D2D">
            <w:pPr>
              <w:pStyle w:val="mps3-data"/>
              <w:rPr>
                <w:szCs w:val="16"/>
              </w:rPr>
            </w:pPr>
            <w:r w:rsidRPr="006D52A9">
              <w:rPr>
                <w:szCs w:val="16"/>
              </w:rPr>
              <w:t>a) An increase in eGFR of &gt; 25% from baseline, where the baseline is the eGFR measurement immediately prior to commencing treatment with eculizumab or</w:t>
            </w:r>
          </w:p>
          <w:p w14:paraId="62001B71" w14:textId="77777777" w:rsidR="008F47B8" w:rsidRPr="006D52A9" w:rsidRDefault="008F47B8" w:rsidP="00FB6D2D">
            <w:pPr>
              <w:pStyle w:val="mps3-data"/>
              <w:rPr>
                <w:szCs w:val="16"/>
              </w:rPr>
            </w:pPr>
            <w:r w:rsidRPr="006D52A9">
              <w:rPr>
                <w:szCs w:val="16"/>
              </w:rPr>
              <w:t>b) an eGFR within +/</w:t>
            </w:r>
            <w:r w:rsidR="0026100E">
              <w:rPr>
                <w:szCs w:val="16"/>
              </w:rPr>
              <w:noBreakHyphen/>
            </w:r>
            <w:r w:rsidRPr="006D52A9">
              <w:rPr>
                <w:szCs w:val="16"/>
              </w:rPr>
              <w:t xml:space="preserve"> 25% from baseline; or</w:t>
            </w:r>
          </w:p>
          <w:p w14:paraId="3929B2DD" w14:textId="77777777" w:rsidR="008F47B8" w:rsidRPr="006D52A9" w:rsidRDefault="008F47B8" w:rsidP="00FB6D2D">
            <w:pPr>
              <w:pStyle w:val="mps3-data"/>
              <w:rPr>
                <w:szCs w:val="16"/>
              </w:rPr>
            </w:pPr>
            <w:r w:rsidRPr="006D52A9">
              <w:rPr>
                <w:szCs w:val="16"/>
              </w:rPr>
              <w:t>c) an avoidance of dialysis</w:t>
            </w:r>
            <w:r w:rsidR="0026100E">
              <w:rPr>
                <w:szCs w:val="16"/>
              </w:rPr>
              <w:noBreakHyphen/>
            </w:r>
            <w:r w:rsidRPr="006D52A9">
              <w:rPr>
                <w:szCs w:val="16"/>
              </w:rPr>
              <w:t>dependence but worsening of kidney function with a reduction in eGFR 25% from baseline.</w:t>
            </w:r>
          </w:p>
          <w:p w14:paraId="0FBFA8F2" w14:textId="77777777" w:rsidR="008F47B8" w:rsidRPr="006D52A9" w:rsidRDefault="008F47B8" w:rsidP="00FB6D2D">
            <w:pPr>
              <w:pStyle w:val="mps3-data"/>
              <w:rPr>
                <w:szCs w:val="16"/>
              </w:rPr>
            </w:pPr>
            <w:r w:rsidRPr="006D52A9">
              <w:rPr>
                <w:szCs w:val="16"/>
              </w:rPr>
              <w:t>PBS</w:t>
            </w:r>
            <w:r w:rsidR="0026100E">
              <w:rPr>
                <w:szCs w:val="16"/>
              </w:rPr>
              <w:noBreakHyphen/>
            </w:r>
            <w:r w:rsidRPr="006D52A9">
              <w:rPr>
                <w:szCs w:val="16"/>
              </w:rPr>
              <w:t>subsidised treatment with eculizumab will not be permitted if a patient has experienced treatment failure.</w:t>
            </w:r>
          </w:p>
          <w:p w14:paraId="46C10B87" w14:textId="77777777" w:rsidR="008F47B8" w:rsidRPr="006D52A9" w:rsidRDefault="008F47B8" w:rsidP="00FB6D2D">
            <w:pPr>
              <w:pStyle w:val="mps3-data"/>
              <w:rPr>
                <w:szCs w:val="16"/>
              </w:rPr>
            </w:pPr>
            <w:r w:rsidRPr="006D52A9">
              <w:rPr>
                <w:szCs w:val="16"/>
              </w:rPr>
              <w:t>A treatment failure is defined as a patient who is:</w:t>
            </w:r>
          </w:p>
          <w:p w14:paraId="76E41C0C" w14:textId="77777777" w:rsidR="008F47B8" w:rsidRPr="006D52A9" w:rsidRDefault="008F47B8" w:rsidP="00FB6D2D">
            <w:pPr>
              <w:pStyle w:val="mps3-data"/>
              <w:rPr>
                <w:szCs w:val="16"/>
              </w:rPr>
            </w:pPr>
            <w:r w:rsidRPr="006D52A9">
              <w:rPr>
                <w:szCs w:val="16"/>
              </w:rPr>
              <w:t>(1) dialysis</w:t>
            </w:r>
            <w:r w:rsidR="0026100E">
              <w:rPr>
                <w:szCs w:val="16"/>
              </w:rPr>
              <w:noBreakHyphen/>
            </w:r>
            <w:r w:rsidRPr="006D52A9">
              <w:rPr>
                <w:szCs w:val="16"/>
              </w:rPr>
              <w:t xml:space="preserve">dependent at the time of application and has failed to demonstrate significant resolution of </w:t>
            </w:r>
            <w:r w:rsidRPr="006D52A9">
              <w:rPr>
                <w:szCs w:val="16"/>
              </w:rPr>
              <w:lastRenderedPageBreak/>
              <w:t>extra</w:t>
            </w:r>
            <w:r w:rsidR="0026100E">
              <w:rPr>
                <w:szCs w:val="16"/>
              </w:rPr>
              <w:noBreakHyphen/>
            </w:r>
            <w:r w:rsidRPr="006D52A9">
              <w:rPr>
                <w:szCs w:val="16"/>
              </w:rPr>
              <w:t>renal complications if originally presented; or</w:t>
            </w:r>
          </w:p>
          <w:p w14:paraId="2814E8AE" w14:textId="77777777" w:rsidR="008F47B8" w:rsidRPr="006D52A9" w:rsidRDefault="008F47B8" w:rsidP="00FB6D2D">
            <w:pPr>
              <w:pStyle w:val="mps3-data"/>
              <w:rPr>
                <w:szCs w:val="16"/>
              </w:rPr>
            </w:pPr>
            <w:r w:rsidRPr="006D52A9">
              <w:rPr>
                <w:szCs w:val="16"/>
              </w:rPr>
              <w:t>(2) on dialysis and has been on dialysis for 4 months of the previous 6 months while receiving PBS</w:t>
            </w:r>
            <w:r w:rsidR="0026100E">
              <w:rPr>
                <w:szCs w:val="16"/>
              </w:rPr>
              <w:noBreakHyphen/>
            </w:r>
            <w:r w:rsidRPr="006D52A9">
              <w:rPr>
                <w:szCs w:val="16"/>
              </w:rPr>
              <w:t>subsidised eculizumab and has failed to demonstrate significant resolution of extra</w:t>
            </w:r>
            <w:r w:rsidR="0026100E">
              <w:rPr>
                <w:szCs w:val="16"/>
              </w:rPr>
              <w:noBreakHyphen/>
            </w:r>
            <w:r w:rsidRPr="006D52A9">
              <w:rPr>
                <w:szCs w:val="16"/>
              </w:rPr>
              <w:t>renal complications if originally presented.</w:t>
            </w:r>
          </w:p>
          <w:p w14:paraId="452F197A" w14:textId="77777777" w:rsidR="008F47B8" w:rsidRPr="006D52A9" w:rsidRDefault="008F47B8" w:rsidP="00FB6D2D">
            <w:pPr>
              <w:pStyle w:val="mps3-data"/>
              <w:rPr>
                <w:szCs w:val="16"/>
              </w:rPr>
            </w:pPr>
            <w:r w:rsidRPr="006D52A9">
              <w:rPr>
                <w:szCs w:val="16"/>
              </w:rPr>
              <w:t>A maximum of up to 56 weeks of treatment is allowed under this restriction, however an application must be submitted at 6 months, 12 months, 18 months and 24 months following commencing PBS</w:t>
            </w:r>
            <w:r w:rsidR="0026100E">
              <w:rPr>
                <w:szCs w:val="16"/>
              </w:rPr>
              <w:noBreakHyphen/>
            </w:r>
            <w:r w:rsidRPr="006D52A9">
              <w:rPr>
                <w:szCs w:val="16"/>
              </w:rPr>
              <w:t>subsidised eculizumab.</w:t>
            </w:r>
          </w:p>
          <w:p w14:paraId="3AF134FD" w14:textId="77777777" w:rsidR="008F47B8" w:rsidRPr="006D52A9" w:rsidRDefault="008F47B8" w:rsidP="00FB6D2D">
            <w:pPr>
              <w:pStyle w:val="mps3-data"/>
              <w:rPr>
                <w:szCs w:val="16"/>
              </w:rPr>
            </w:pPr>
            <w:r w:rsidRPr="006D52A9">
              <w:rPr>
                <w:szCs w:val="16"/>
              </w:rPr>
              <w:t>The authority application must include the following measures of response to the prior course of treatment, including serial haematological results (every 3 months while the patient is receiving treatment).</w:t>
            </w:r>
          </w:p>
          <w:p w14:paraId="528A9551" w14:textId="77777777" w:rsidR="008F47B8" w:rsidRPr="006D52A9" w:rsidRDefault="008F47B8" w:rsidP="00FB6D2D">
            <w:pPr>
              <w:pStyle w:val="mps3-data"/>
              <w:rPr>
                <w:szCs w:val="16"/>
              </w:rPr>
            </w:pPr>
            <w:r w:rsidRPr="006D52A9">
              <w:rPr>
                <w:szCs w:val="16"/>
              </w:rPr>
              <w:t>The authority application must be in writing and must include:</w:t>
            </w:r>
          </w:p>
          <w:p w14:paraId="298F223D" w14:textId="77777777" w:rsidR="008F47B8" w:rsidRPr="006D52A9" w:rsidRDefault="008F47B8" w:rsidP="00FB6D2D">
            <w:pPr>
              <w:pStyle w:val="mps3-data"/>
              <w:rPr>
                <w:szCs w:val="16"/>
              </w:rPr>
            </w:pPr>
            <w:r w:rsidRPr="006D52A9">
              <w:rPr>
                <w:szCs w:val="16"/>
              </w:rPr>
              <w:t>(1) A completed authority prescription form; and</w:t>
            </w:r>
          </w:p>
          <w:p w14:paraId="73214185" w14:textId="77777777" w:rsidR="008F47B8" w:rsidRPr="006D52A9" w:rsidRDefault="008F47B8" w:rsidP="00FB6D2D">
            <w:pPr>
              <w:pStyle w:val="mps3-data"/>
              <w:rPr>
                <w:szCs w:val="16"/>
              </w:rPr>
            </w:pPr>
            <w:r w:rsidRPr="006D52A9">
              <w:rPr>
                <w:szCs w:val="16"/>
              </w:rPr>
              <w:t>(2) A completed aHUS eculizumab Authority Application Supporting Information Form for Extended Initial treatment; and</w:t>
            </w:r>
          </w:p>
          <w:p w14:paraId="5DDB7078" w14:textId="77777777" w:rsidR="008F47B8" w:rsidRPr="006D52A9" w:rsidRDefault="008F47B8" w:rsidP="00FB6D2D">
            <w:pPr>
              <w:pStyle w:val="mps3-data"/>
              <w:rPr>
                <w:szCs w:val="16"/>
              </w:rPr>
            </w:pPr>
            <w:r w:rsidRPr="006D52A9">
              <w:rPr>
                <w:szCs w:val="16"/>
              </w:rPr>
              <w:t>(3) A detailed cover letter from the prescriber; and</w:t>
            </w:r>
          </w:p>
          <w:p w14:paraId="46768DD3" w14:textId="77777777" w:rsidR="008F47B8" w:rsidRPr="006D52A9" w:rsidRDefault="008F47B8" w:rsidP="00FB6D2D">
            <w:pPr>
              <w:pStyle w:val="mps3-data"/>
              <w:rPr>
                <w:szCs w:val="16"/>
              </w:rPr>
            </w:pPr>
            <w:r w:rsidRPr="006D52A9">
              <w:rPr>
                <w:szCs w:val="16"/>
              </w:rPr>
              <w:t>(4) A copy of a current Certificate of vaccination or a statement that vaccination has or will be administered and appropriate antibiotic prophylaxis has been prescribed; and</w:t>
            </w:r>
          </w:p>
          <w:p w14:paraId="4D2BB683" w14:textId="77777777" w:rsidR="008F47B8" w:rsidRPr="006D52A9" w:rsidRDefault="008F47B8" w:rsidP="00FB6D2D">
            <w:pPr>
              <w:pStyle w:val="mps3-data"/>
              <w:rPr>
                <w:szCs w:val="16"/>
              </w:rPr>
            </w:pPr>
            <w:r w:rsidRPr="006D52A9">
              <w:rPr>
                <w:szCs w:val="16"/>
              </w:rPr>
              <w:t>(5) A measurement of body weight at the time of application; and</w:t>
            </w:r>
          </w:p>
          <w:p w14:paraId="210597C8" w14:textId="77777777" w:rsidR="008F47B8" w:rsidRPr="006D52A9" w:rsidRDefault="008F47B8" w:rsidP="00FB6D2D">
            <w:pPr>
              <w:pStyle w:val="mps3-data"/>
              <w:rPr>
                <w:szCs w:val="16"/>
              </w:rPr>
            </w:pPr>
            <w:r w:rsidRPr="006D52A9">
              <w:rPr>
                <w:szCs w:val="16"/>
              </w:rPr>
              <w:t>(6) An identified genetic mutation, if applicable; and</w:t>
            </w:r>
          </w:p>
          <w:p w14:paraId="6E9CA57A" w14:textId="77777777" w:rsidR="008F47B8" w:rsidRPr="006D52A9" w:rsidRDefault="008F47B8" w:rsidP="00FB6D2D">
            <w:pPr>
              <w:pStyle w:val="mps3-data"/>
              <w:rPr>
                <w:szCs w:val="16"/>
              </w:rPr>
            </w:pPr>
            <w:r w:rsidRPr="006D52A9">
              <w:rPr>
                <w:szCs w:val="16"/>
              </w:rPr>
              <w:t>(7) A family history of aHUS, if applicable; and</w:t>
            </w:r>
          </w:p>
          <w:p w14:paraId="0A8520A6" w14:textId="77777777" w:rsidR="008F47B8" w:rsidRPr="006D52A9" w:rsidRDefault="008F47B8" w:rsidP="00FB6D2D">
            <w:pPr>
              <w:pStyle w:val="mps3-data"/>
              <w:rPr>
                <w:szCs w:val="16"/>
              </w:rPr>
            </w:pPr>
            <w:r w:rsidRPr="006D52A9">
              <w:rPr>
                <w:szCs w:val="16"/>
              </w:rPr>
              <w:t>(8) A history of multiple episodes of aHUS before commencing eculizumab treatment, if applicable; and</w:t>
            </w:r>
          </w:p>
          <w:p w14:paraId="3042465D" w14:textId="77777777" w:rsidR="008F47B8" w:rsidRPr="006D52A9" w:rsidRDefault="008F47B8" w:rsidP="00FB6D2D">
            <w:pPr>
              <w:pStyle w:val="mps3-data"/>
              <w:rPr>
                <w:szCs w:val="16"/>
              </w:rPr>
            </w:pPr>
            <w:r w:rsidRPr="006D52A9">
              <w:rPr>
                <w:szCs w:val="16"/>
              </w:rPr>
              <w:t>(9) A history of kidney transplant, if applicable, (especially if required due to aHUS); and</w:t>
            </w:r>
          </w:p>
          <w:p w14:paraId="79923141" w14:textId="77777777" w:rsidR="008F47B8" w:rsidRPr="006D52A9" w:rsidRDefault="008F47B8" w:rsidP="00FB6D2D">
            <w:pPr>
              <w:pStyle w:val="mps3-data"/>
              <w:rPr>
                <w:szCs w:val="16"/>
              </w:rPr>
            </w:pPr>
            <w:r w:rsidRPr="006D52A9">
              <w:rPr>
                <w:szCs w:val="16"/>
              </w:rPr>
              <w:t>(10) An inclusion of the individual consequences of recurrent disease, if applicable; and</w:t>
            </w:r>
          </w:p>
          <w:p w14:paraId="787871C9" w14:textId="77777777" w:rsidR="008F47B8" w:rsidRPr="006D52A9" w:rsidRDefault="008F47B8" w:rsidP="00FB6D2D">
            <w:pPr>
              <w:pStyle w:val="mps3-data"/>
              <w:rPr>
                <w:szCs w:val="16"/>
              </w:rPr>
            </w:pPr>
            <w:r w:rsidRPr="006D52A9">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14:paraId="3FB230DE" w14:textId="77777777" w:rsidR="008F47B8" w:rsidRPr="006D52A9" w:rsidRDefault="008F47B8" w:rsidP="00FB6D2D">
            <w:pPr>
              <w:pStyle w:val="mps3-data"/>
              <w:rPr>
                <w:szCs w:val="16"/>
              </w:rPr>
            </w:pPr>
            <w:r w:rsidRPr="006D52A9">
              <w:rPr>
                <w:szCs w:val="16"/>
              </w:rPr>
              <w:t>(12) Evidence that the patient has not experienced treatment failure, including a supporting statement with clinical evidence that the patient does not require dialysis, unless the indication for continuing eculizumab is severe extra</w:t>
            </w:r>
            <w:r w:rsidR="0026100E">
              <w:rPr>
                <w:szCs w:val="16"/>
              </w:rPr>
              <w:noBreakHyphen/>
            </w:r>
            <w:r w:rsidRPr="006D52A9">
              <w:rPr>
                <w:szCs w:val="16"/>
              </w:rPr>
              <w:t>renal complications that have significantly improved; and</w:t>
            </w:r>
          </w:p>
          <w:p w14:paraId="32099070" w14:textId="77777777" w:rsidR="008F47B8" w:rsidRPr="006D52A9" w:rsidRDefault="008F47B8" w:rsidP="00FB6D2D">
            <w:pPr>
              <w:pStyle w:val="mps3-data"/>
              <w:rPr>
                <w:szCs w:val="16"/>
              </w:rPr>
            </w:pPr>
            <w:r w:rsidRPr="006D52A9">
              <w:rPr>
                <w:szCs w:val="16"/>
              </w:rPr>
              <w:t>(13) If the indication for continuing eculizumab is severe extra</w:t>
            </w:r>
            <w:r w:rsidR="0026100E">
              <w:rPr>
                <w:szCs w:val="16"/>
              </w:rPr>
              <w:noBreakHyphen/>
            </w:r>
            <w:r w:rsidRPr="006D52A9">
              <w:rPr>
                <w:szCs w:val="16"/>
              </w:rPr>
              <w:t>renal complications, then a supporting statement with clinical evidence that any initial extra</w:t>
            </w:r>
            <w:r w:rsidR="0026100E">
              <w:rPr>
                <w:szCs w:val="16"/>
              </w:rPr>
              <w:noBreakHyphen/>
            </w:r>
            <w:r w:rsidRPr="006D52A9">
              <w:rPr>
                <w:szCs w:val="16"/>
              </w:rPr>
              <w:t>renal complications of TMA have significantly improved is required.</w:t>
            </w:r>
          </w:p>
          <w:p w14:paraId="33F6DFB8"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29" w:type="pct"/>
            <w:shd w:val="clear" w:color="auto" w:fill="auto"/>
            <w:tcMar>
              <w:top w:w="28" w:type="dxa"/>
              <w:left w:w="28" w:type="dxa"/>
              <w:right w:w="57" w:type="dxa"/>
            </w:tcMar>
          </w:tcPr>
          <w:p w14:paraId="20F1772E"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503DA9" w14:paraId="3FDAA3D0" w14:textId="77777777" w:rsidTr="00FB6D2D">
        <w:tc>
          <w:tcPr>
            <w:tcW w:w="647" w:type="pct"/>
            <w:shd w:val="clear" w:color="auto" w:fill="auto"/>
            <w:tcMar>
              <w:top w:w="28" w:type="dxa"/>
              <w:left w:w="28" w:type="dxa"/>
            </w:tcMar>
          </w:tcPr>
          <w:p w14:paraId="44EBCD58" w14:textId="77777777" w:rsidR="008F47B8" w:rsidRPr="006D52A9" w:rsidDel="00503DA9"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2531764C"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rPr>
              <w:t>C6642</w:t>
            </w:r>
          </w:p>
        </w:tc>
        <w:tc>
          <w:tcPr>
            <w:tcW w:w="274" w:type="pct"/>
            <w:shd w:val="clear" w:color="auto" w:fill="auto"/>
            <w:tcMar>
              <w:top w:w="28" w:type="dxa"/>
              <w:left w:w="28" w:type="dxa"/>
            </w:tcMar>
          </w:tcPr>
          <w:p w14:paraId="75940677" w14:textId="77777777" w:rsidR="008F47B8" w:rsidRPr="006D52A9" w:rsidDel="00503DA9" w:rsidRDefault="008F47B8" w:rsidP="00FB6D2D">
            <w:pPr>
              <w:spacing w:line="240" w:lineRule="auto"/>
              <w:rPr>
                <w:rFonts w:ascii="Arial" w:hAnsi="Arial" w:cs="Arial"/>
                <w:sz w:val="16"/>
                <w:szCs w:val="16"/>
              </w:rPr>
            </w:pPr>
            <w:r w:rsidRPr="006D52A9">
              <w:rPr>
                <w:rFonts w:ascii="Arial" w:hAnsi="Arial" w:cs="Arial"/>
                <w:sz w:val="16"/>
                <w:szCs w:val="16"/>
                <w:lang w:eastAsia="en-AU"/>
              </w:rPr>
              <w:t>P6642</w:t>
            </w:r>
          </w:p>
        </w:tc>
        <w:tc>
          <w:tcPr>
            <w:tcW w:w="2867" w:type="pct"/>
            <w:shd w:val="clear" w:color="auto" w:fill="auto"/>
            <w:tcMar>
              <w:top w:w="28" w:type="dxa"/>
              <w:left w:w="28" w:type="dxa"/>
            </w:tcMar>
          </w:tcPr>
          <w:p w14:paraId="4AC900A9" w14:textId="77777777" w:rsidR="008F47B8" w:rsidRPr="006D52A9" w:rsidDel="00503DA9" w:rsidRDefault="008F47B8" w:rsidP="00FB6D2D">
            <w:pPr>
              <w:pStyle w:val="mps3-data"/>
              <w:spacing w:before="0"/>
              <w:rPr>
                <w:szCs w:val="16"/>
              </w:rPr>
            </w:pPr>
            <w:r w:rsidRPr="006D52A9">
              <w:rPr>
                <w:szCs w:val="16"/>
              </w:rPr>
              <w:t>Atypical haemolytic uraemic syndrome (aHUS)</w:t>
            </w:r>
            <w:r w:rsidRPr="006D52A9">
              <w:rPr>
                <w:szCs w:val="16"/>
              </w:rPr>
              <w:br/>
              <w:t xml:space="preserve">Initial treatment </w:t>
            </w:r>
            <w:r w:rsidR="0026100E">
              <w:rPr>
                <w:szCs w:val="16"/>
              </w:rPr>
              <w:noBreakHyphen/>
            </w:r>
            <w:r w:rsidRPr="006D52A9">
              <w:rPr>
                <w:szCs w:val="16"/>
              </w:rPr>
              <w:t xml:space="preserve"> Balance of Supply</w:t>
            </w:r>
            <w:r w:rsidRPr="006D52A9">
              <w:rPr>
                <w:szCs w:val="16"/>
              </w:rPr>
              <w:br/>
              <w:t>Must be treated by a paediatric nephrologist, a nephrologist, a paediatric haematologist or a haematologist, or, must be in consultation with a paediatric nephrologist, a nephrologist, a paediatric haematologist or a haematologist.</w:t>
            </w:r>
            <w:r w:rsidRPr="006D52A9">
              <w:rPr>
                <w:szCs w:val="16"/>
              </w:rPr>
              <w:br/>
              <w:t>Patient must have received PBS</w:t>
            </w:r>
            <w:r w:rsidR="0026100E">
              <w:rPr>
                <w:szCs w:val="16"/>
              </w:rPr>
              <w:noBreakHyphen/>
            </w:r>
            <w:r w:rsidRPr="006D52A9">
              <w:rPr>
                <w:szCs w:val="16"/>
              </w:rPr>
              <w:t>subsidised initial supply of eculizumab for this condition; AND</w:t>
            </w:r>
            <w:r w:rsidRPr="006D52A9">
              <w:rPr>
                <w:szCs w:val="16"/>
              </w:rPr>
              <w:br/>
              <w:t>Patient must have ADAMTS</w:t>
            </w:r>
            <w:r w:rsidR="0026100E">
              <w:rPr>
                <w:szCs w:val="16"/>
              </w:rPr>
              <w:noBreakHyphen/>
            </w:r>
            <w:r w:rsidRPr="006D52A9">
              <w:rPr>
                <w:szCs w:val="16"/>
              </w:rPr>
              <w:t>13 activity of greater than or equal to 10% on a blood sample; AND</w:t>
            </w:r>
            <w:r w:rsidRPr="006D52A9">
              <w:rPr>
                <w:szCs w:val="16"/>
              </w:rPr>
              <w:br/>
              <w:t>Patient must not receive more than 20 weeks supply under this restriction.</w:t>
            </w:r>
            <w:r w:rsidRPr="006D52A9">
              <w:rPr>
                <w:szCs w:val="16"/>
              </w:rPr>
              <w:br/>
              <w:t>ADAMTS</w:t>
            </w:r>
            <w:r w:rsidR="0026100E">
              <w:rPr>
                <w:szCs w:val="16"/>
              </w:rPr>
              <w:noBreakHyphen/>
            </w:r>
            <w:r w:rsidRPr="006D52A9">
              <w:rPr>
                <w:szCs w:val="16"/>
              </w:rPr>
              <w:t>13 activity result must have been submitted to the Department of Human Services. In the case that a sample for ADAMTS</w:t>
            </w:r>
            <w:r w:rsidR="0026100E">
              <w:rPr>
                <w:szCs w:val="16"/>
              </w:rPr>
              <w:noBreakHyphen/>
            </w:r>
            <w:r w:rsidRPr="006D52A9">
              <w:rPr>
                <w:szCs w:val="16"/>
              </w:rPr>
              <w:t>13 activity taken prior to plasma exchange or infusion was not available at the time of application for Initial Treatment, ADAMTS</w:t>
            </w:r>
            <w:r w:rsidR="0026100E">
              <w:rPr>
                <w:szCs w:val="16"/>
              </w:rPr>
              <w:noBreakHyphen/>
            </w:r>
            <w:r w:rsidRPr="006D52A9">
              <w:rPr>
                <w:szCs w:val="16"/>
              </w:rPr>
              <w:t>13 activity must have been measured 1</w:t>
            </w:r>
            <w:r w:rsidR="0026100E">
              <w:rPr>
                <w:szCs w:val="16"/>
              </w:rPr>
              <w:noBreakHyphen/>
            </w:r>
            <w:r w:rsidRPr="006D52A9">
              <w:rPr>
                <w:szCs w:val="16"/>
              </w:rPr>
              <w:t>2 weeks following the last plasma exchange or infusion, and must have been submitted to the Department of Human Services within 27 days of commencement of eculizumab. The date and time that the sample for the ADAMTS</w:t>
            </w:r>
            <w:r w:rsidR="0026100E">
              <w:rPr>
                <w:szCs w:val="16"/>
              </w:rPr>
              <w:noBreakHyphen/>
            </w:r>
            <w:r w:rsidRPr="006D52A9">
              <w:rPr>
                <w:szCs w:val="16"/>
              </w:rPr>
              <w:t>13 assay was collected, and the dates and times of the last, if any, plasma exchange or infusion that was undertaken in the two weeks prior to collection of the ADAMTS</w:t>
            </w:r>
            <w:r w:rsidR="0026100E">
              <w:rPr>
                <w:szCs w:val="16"/>
              </w:rPr>
              <w:noBreakHyphen/>
            </w:r>
            <w:r w:rsidRPr="006D52A9">
              <w:rPr>
                <w:szCs w:val="16"/>
              </w:rPr>
              <w:t>13 assay must also have been provided to Department of Human Services.</w:t>
            </w:r>
            <w:r w:rsidRPr="006D52A9">
              <w:rPr>
                <w:szCs w:val="16"/>
              </w:rPr>
              <w:br/>
              <w:t>Serial haematological results (every 3 months while the patient is receiving treatment) must be provided with every subsequent application for treatment.</w:t>
            </w:r>
          </w:p>
        </w:tc>
        <w:tc>
          <w:tcPr>
            <w:tcW w:w="929" w:type="pct"/>
            <w:shd w:val="clear" w:color="auto" w:fill="auto"/>
            <w:tcMar>
              <w:top w:w="28" w:type="dxa"/>
              <w:left w:w="28" w:type="dxa"/>
              <w:right w:w="57" w:type="dxa"/>
            </w:tcMar>
          </w:tcPr>
          <w:p w14:paraId="1C2B2FEF" w14:textId="77777777" w:rsidR="008F47B8" w:rsidRPr="006D52A9" w:rsidDel="00503DA9" w:rsidRDefault="008F47B8" w:rsidP="00FB6D2D">
            <w:pPr>
              <w:keepNext/>
              <w:spacing w:line="240" w:lineRule="auto"/>
              <w:rPr>
                <w:rFonts w:ascii="Arial" w:hAnsi="Arial" w:cs="Arial"/>
                <w:sz w:val="16"/>
                <w:szCs w:val="16"/>
              </w:rPr>
            </w:pPr>
            <w:r w:rsidRPr="006D52A9">
              <w:rPr>
                <w:rFonts w:ascii="Arial" w:hAnsi="Arial" w:cs="Arial"/>
                <w:sz w:val="16"/>
                <w:szCs w:val="16"/>
              </w:rPr>
              <w:t>Compliance with Written Authority Required procedures</w:t>
            </w:r>
          </w:p>
        </w:tc>
      </w:tr>
      <w:tr w:rsidR="008F47B8" w:rsidRPr="006D52A9" w:rsidDel="00107F2B" w14:paraId="4A39BCB5" w14:textId="77777777" w:rsidTr="00FB6D2D">
        <w:tc>
          <w:tcPr>
            <w:tcW w:w="647" w:type="pct"/>
            <w:shd w:val="clear" w:color="auto" w:fill="auto"/>
            <w:tcMar>
              <w:top w:w="28" w:type="dxa"/>
              <w:left w:w="28" w:type="dxa"/>
            </w:tcMar>
          </w:tcPr>
          <w:p w14:paraId="41CB410C" w14:textId="77777777" w:rsidR="008F47B8" w:rsidRPr="006D52A9" w:rsidDel="00107F2B"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2D8B4513"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C6668</w:t>
            </w:r>
          </w:p>
        </w:tc>
        <w:tc>
          <w:tcPr>
            <w:tcW w:w="274" w:type="pct"/>
            <w:shd w:val="clear" w:color="auto" w:fill="auto"/>
            <w:tcMar>
              <w:top w:w="28" w:type="dxa"/>
              <w:left w:w="28" w:type="dxa"/>
            </w:tcMar>
          </w:tcPr>
          <w:p w14:paraId="52E5A9F7"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P6668</w:t>
            </w:r>
          </w:p>
        </w:tc>
        <w:tc>
          <w:tcPr>
            <w:tcW w:w="2867" w:type="pct"/>
            <w:shd w:val="clear" w:color="auto" w:fill="auto"/>
            <w:tcMar>
              <w:top w:w="28" w:type="dxa"/>
              <w:left w:w="28" w:type="dxa"/>
            </w:tcMar>
          </w:tcPr>
          <w:p w14:paraId="4FB64E2F" w14:textId="77777777" w:rsidR="008F47B8" w:rsidRPr="006D52A9" w:rsidRDefault="008F47B8" w:rsidP="00FB6D2D">
            <w:pPr>
              <w:pStyle w:val="mps3-data"/>
              <w:spacing w:before="0"/>
              <w:rPr>
                <w:szCs w:val="16"/>
              </w:rPr>
            </w:pPr>
            <w:r w:rsidRPr="006D52A9">
              <w:rPr>
                <w:szCs w:val="16"/>
              </w:rPr>
              <w:t>Atypical haemolytic uraemic syndrome (aHUS)</w:t>
            </w:r>
          </w:p>
          <w:p w14:paraId="1FE238AB" w14:textId="77777777" w:rsidR="008F47B8" w:rsidRPr="006D52A9" w:rsidRDefault="008F47B8" w:rsidP="00FB6D2D">
            <w:pPr>
              <w:pStyle w:val="mps3-data"/>
              <w:rPr>
                <w:szCs w:val="16"/>
              </w:rPr>
            </w:pPr>
            <w:r w:rsidRPr="006D52A9">
              <w:rPr>
                <w:szCs w:val="16"/>
              </w:rPr>
              <w:t>Continuing treatment</w:t>
            </w:r>
          </w:p>
          <w:p w14:paraId="44A4B88F" w14:textId="77777777" w:rsidR="008F47B8" w:rsidRPr="006D52A9" w:rsidRDefault="008F47B8" w:rsidP="00FB6D2D">
            <w:pPr>
              <w:pStyle w:val="mps3-data"/>
              <w:rPr>
                <w:szCs w:val="16"/>
              </w:rPr>
            </w:pPr>
            <w:r w:rsidRPr="006D52A9">
              <w:rPr>
                <w:szCs w:val="16"/>
              </w:rPr>
              <w:t>Patient must have received treatment under Extended Initial restriction with PBS subsidised eculizumab for this condition; AND</w:t>
            </w:r>
          </w:p>
          <w:p w14:paraId="7E4927E1" w14:textId="77777777" w:rsidR="008F47B8" w:rsidRPr="006D52A9" w:rsidRDefault="008F47B8" w:rsidP="00FB6D2D">
            <w:pPr>
              <w:pStyle w:val="mps3-data"/>
              <w:rPr>
                <w:szCs w:val="16"/>
              </w:rPr>
            </w:pPr>
            <w:r w:rsidRPr="006D52A9">
              <w:rPr>
                <w:szCs w:val="16"/>
              </w:rPr>
              <w:t>Patient must have demonstrated on</w:t>
            </w:r>
            <w:r w:rsidR="0026100E">
              <w:rPr>
                <w:szCs w:val="16"/>
              </w:rPr>
              <w:noBreakHyphen/>
            </w:r>
            <w:r w:rsidRPr="006D52A9">
              <w:rPr>
                <w:szCs w:val="16"/>
              </w:rPr>
              <w:t>going treatment response of PBS</w:t>
            </w:r>
            <w:r w:rsidR="0026100E">
              <w:rPr>
                <w:szCs w:val="16"/>
              </w:rPr>
              <w:noBreakHyphen/>
            </w:r>
            <w:r w:rsidRPr="006D52A9">
              <w:rPr>
                <w:szCs w:val="16"/>
              </w:rPr>
              <w:t>subsidised eculizumab treatment for this condition; AND</w:t>
            </w:r>
          </w:p>
          <w:p w14:paraId="578BCC16" w14:textId="77777777" w:rsidR="008F47B8" w:rsidRPr="006D52A9" w:rsidRDefault="008F47B8" w:rsidP="00FB6D2D">
            <w:pPr>
              <w:pStyle w:val="mps3-data"/>
              <w:rPr>
                <w:szCs w:val="16"/>
              </w:rPr>
            </w:pPr>
            <w:r w:rsidRPr="006D52A9">
              <w:rPr>
                <w:szCs w:val="16"/>
              </w:rPr>
              <w:t>Patient must not have experienced treatment failure with eculizumab including PBS</w:t>
            </w:r>
            <w:r w:rsidR="0026100E">
              <w:rPr>
                <w:szCs w:val="16"/>
              </w:rPr>
              <w:noBreakHyphen/>
            </w:r>
            <w:r w:rsidRPr="006D52A9">
              <w:rPr>
                <w:szCs w:val="16"/>
              </w:rPr>
              <w:t>subsidised eculizumab for this condition; AND</w:t>
            </w:r>
          </w:p>
          <w:p w14:paraId="292150D2" w14:textId="77777777" w:rsidR="008F47B8" w:rsidRPr="006D52A9" w:rsidRDefault="008F47B8" w:rsidP="00FB6D2D">
            <w:pPr>
              <w:pStyle w:val="mps3-data"/>
              <w:rPr>
                <w:szCs w:val="16"/>
              </w:rPr>
            </w:pPr>
            <w:r w:rsidRPr="006D52A9">
              <w:rPr>
                <w:szCs w:val="16"/>
              </w:rPr>
              <w:t>Patient must not receive more than 24 weeks of treatment under this restriction.</w:t>
            </w:r>
          </w:p>
          <w:p w14:paraId="7E26402F" w14:textId="77777777" w:rsidR="008F47B8" w:rsidRPr="006D52A9" w:rsidRDefault="008F47B8" w:rsidP="00FB6D2D">
            <w:pPr>
              <w:pStyle w:val="mps3-data"/>
              <w:rPr>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1C79383F" w14:textId="77777777" w:rsidR="008F47B8" w:rsidRPr="006D52A9" w:rsidRDefault="008F47B8" w:rsidP="00FB6D2D">
            <w:pPr>
              <w:pStyle w:val="mps3-data"/>
              <w:rPr>
                <w:szCs w:val="16"/>
              </w:rPr>
            </w:pPr>
            <w:r w:rsidRPr="006D52A9">
              <w:rPr>
                <w:szCs w:val="16"/>
              </w:rPr>
              <w:t>A treatment response is defined as:</w:t>
            </w:r>
          </w:p>
          <w:p w14:paraId="716F9563" w14:textId="77777777" w:rsidR="008F47B8" w:rsidRPr="006D52A9" w:rsidRDefault="008F47B8" w:rsidP="00FB6D2D">
            <w:pPr>
              <w:pStyle w:val="mps3-data"/>
              <w:rPr>
                <w:szCs w:val="16"/>
              </w:rPr>
            </w:pPr>
            <w:r w:rsidRPr="006D52A9">
              <w:rPr>
                <w:szCs w:val="16"/>
              </w:rPr>
              <w:t>(1) Normalisation of haematology as demonstrated by at least 2 of the following: platelet count, haptoglobin, and LDH; AND</w:t>
            </w:r>
          </w:p>
          <w:p w14:paraId="60C2E243" w14:textId="77777777" w:rsidR="008F47B8" w:rsidRPr="006D52A9" w:rsidRDefault="008F47B8" w:rsidP="00FB6D2D">
            <w:pPr>
              <w:pStyle w:val="mps3-data"/>
              <w:rPr>
                <w:szCs w:val="16"/>
              </w:rPr>
            </w:pPr>
            <w:r w:rsidRPr="006D52A9">
              <w:rPr>
                <w:szCs w:val="16"/>
              </w:rPr>
              <w:t>(2) One of the following:</w:t>
            </w:r>
          </w:p>
          <w:p w14:paraId="2F6F0260" w14:textId="77777777" w:rsidR="008F47B8" w:rsidRPr="006D52A9" w:rsidRDefault="008F47B8" w:rsidP="00FB6D2D">
            <w:pPr>
              <w:pStyle w:val="mps3-data"/>
              <w:rPr>
                <w:szCs w:val="16"/>
              </w:rPr>
            </w:pPr>
            <w:r w:rsidRPr="006D52A9">
              <w:rPr>
                <w:szCs w:val="16"/>
              </w:rPr>
              <w:t>a) An increase in eGFR of &gt; 25% from baseline, where the baseline is the eGFR measurement immediately prior to commencing treatment with eculizumab or</w:t>
            </w:r>
          </w:p>
          <w:p w14:paraId="50BAF524" w14:textId="77777777" w:rsidR="008F47B8" w:rsidRPr="006D52A9" w:rsidRDefault="008F47B8" w:rsidP="00FB6D2D">
            <w:pPr>
              <w:pStyle w:val="mps3-data"/>
              <w:rPr>
                <w:szCs w:val="16"/>
              </w:rPr>
            </w:pPr>
            <w:r w:rsidRPr="006D52A9">
              <w:rPr>
                <w:szCs w:val="16"/>
              </w:rPr>
              <w:t>b) an eGFR within +/</w:t>
            </w:r>
            <w:r w:rsidR="0026100E">
              <w:rPr>
                <w:szCs w:val="16"/>
              </w:rPr>
              <w:noBreakHyphen/>
            </w:r>
            <w:r w:rsidRPr="006D52A9">
              <w:rPr>
                <w:szCs w:val="16"/>
              </w:rPr>
              <w:t xml:space="preserve"> 25% from baseline; or</w:t>
            </w:r>
          </w:p>
          <w:p w14:paraId="2F5B3EDF" w14:textId="77777777" w:rsidR="008F47B8" w:rsidRPr="006D52A9" w:rsidRDefault="008F47B8" w:rsidP="00FB6D2D">
            <w:pPr>
              <w:pStyle w:val="mps3-data"/>
              <w:rPr>
                <w:szCs w:val="16"/>
              </w:rPr>
            </w:pPr>
            <w:r w:rsidRPr="006D52A9">
              <w:rPr>
                <w:szCs w:val="16"/>
              </w:rPr>
              <w:lastRenderedPageBreak/>
              <w:t>c) an avoidance of dialysis</w:t>
            </w:r>
            <w:r w:rsidR="0026100E">
              <w:rPr>
                <w:szCs w:val="16"/>
              </w:rPr>
              <w:noBreakHyphen/>
            </w:r>
            <w:r w:rsidRPr="006D52A9">
              <w:rPr>
                <w:szCs w:val="16"/>
              </w:rPr>
              <w:t>dependence but worsening of kidney function with a reduction in eGFR 25% from baseline.</w:t>
            </w:r>
          </w:p>
          <w:p w14:paraId="5A87ADDA" w14:textId="77777777" w:rsidR="008F47B8" w:rsidRPr="006D52A9" w:rsidRDefault="008F47B8" w:rsidP="00FB6D2D">
            <w:pPr>
              <w:pStyle w:val="mps3-data"/>
              <w:rPr>
                <w:szCs w:val="16"/>
              </w:rPr>
            </w:pPr>
            <w:r w:rsidRPr="006D52A9">
              <w:rPr>
                <w:szCs w:val="16"/>
              </w:rPr>
              <w:t>PBS</w:t>
            </w:r>
            <w:r w:rsidR="0026100E">
              <w:rPr>
                <w:szCs w:val="16"/>
              </w:rPr>
              <w:noBreakHyphen/>
            </w:r>
            <w:r w:rsidRPr="006D52A9">
              <w:rPr>
                <w:szCs w:val="16"/>
              </w:rPr>
              <w:t>subsidised treatment with eculizumab will not be permitted if a patient has experienced treatment failure.</w:t>
            </w:r>
          </w:p>
          <w:p w14:paraId="222570EB" w14:textId="77777777" w:rsidR="008F47B8" w:rsidRPr="006D52A9" w:rsidRDefault="008F47B8" w:rsidP="00FB6D2D">
            <w:pPr>
              <w:pStyle w:val="mps3-data"/>
              <w:rPr>
                <w:szCs w:val="16"/>
              </w:rPr>
            </w:pPr>
            <w:r w:rsidRPr="006D52A9">
              <w:rPr>
                <w:szCs w:val="16"/>
              </w:rPr>
              <w:t>A treatment failure is defined as a patient who is:</w:t>
            </w:r>
          </w:p>
          <w:p w14:paraId="1169B05B" w14:textId="77777777" w:rsidR="008F47B8" w:rsidRPr="006D52A9" w:rsidRDefault="008F47B8" w:rsidP="00FB6D2D">
            <w:pPr>
              <w:pStyle w:val="mps3-data"/>
              <w:rPr>
                <w:szCs w:val="16"/>
              </w:rPr>
            </w:pPr>
            <w:r w:rsidRPr="006D52A9">
              <w:rPr>
                <w:szCs w:val="16"/>
              </w:rPr>
              <w:t>(1) dialysis</w:t>
            </w:r>
            <w:r w:rsidR="0026100E">
              <w:rPr>
                <w:szCs w:val="16"/>
              </w:rPr>
              <w:noBreakHyphen/>
            </w:r>
            <w:r w:rsidRPr="006D52A9">
              <w:rPr>
                <w:szCs w:val="16"/>
              </w:rPr>
              <w:t>dependent at the time of application and has failed to demonstrate significant resolution of extra</w:t>
            </w:r>
            <w:r w:rsidR="0026100E">
              <w:rPr>
                <w:szCs w:val="16"/>
              </w:rPr>
              <w:noBreakHyphen/>
            </w:r>
            <w:r w:rsidRPr="006D52A9">
              <w:rPr>
                <w:szCs w:val="16"/>
              </w:rPr>
              <w:t>renal complications if originally presented; or</w:t>
            </w:r>
          </w:p>
          <w:p w14:paraId="1E9F4364" w14:textId="77777777" w:rsidR="008F47B8" w:rsidRPr="006D52A9" w:rsidRDefault="008F47B8" w:rsidP="00FB6D2D">
            <w:pPr>
              <w:pStyle w:val="mps3-data"/>
              <w:rPr>
                <w:szCs w:val="16"/>
              </w:rPr>
            </w:pPr>
            <w:r w:rsidRPr="006D52A9">
              <w:rPr>
                <w:szCs w:val="16"/>
              </w:rPr>
              <w:t>(2) on dialysis and has been on dialysis for 4 months of the previous 6 months while receiving PBS</w:t>
            </w:r>
            <w:r w:rsidR="0026100E">
              <w:rPr>
                <w:szCs w:val="16"/>
              </w:rPr>
              <w:noBreakHyphen/>
            </w:r>
            <w:r w:rsidRPr="006D52A9">
              <w:rPr>
                <w:szCs w:val="16"/>
              </w:rPr>
              <w:t>subsidised eculizumab and has failed to demonstrate significant resolution of extra</w:t>
            </w:r>
            <w:r w:rsidR="0026100E">
              <w:rPr>
                <w:szCs w:val="16"/>
              </w:rPr>
              <w:noBreakHyphen/>
            </w:r>
            <w:r w:rsidRPr="006D52A9">
              <w:rPr>
                <w:szCs w:val="16"/>
              </w:rPr>
              <w:t>renal complications if originally presented.</w:t>
            </w:r>
          </w:p>
          <w:p w14:paraId="5EE90CDF" w14:textId="77777777" w:rsidR="008F47B8" w:rsidRPr="006D52A9" w:rsidRDefault="008F47B8" w:rsidP="00FB6D2D">
            <w:pPr>
              <w:pStyle w:val="mps3-data"/>
              <w:rPr>
                <w:szCs w:val="16"/>
              </w:rPr>
            </w:pPr>
            <w:r w:rsidRPr="006D52A9">
              <w:rPr>
                <w:szCs w:val="16"/>
              </w:rPr>
              <w:t>The authority application must include the following measures of response to the prior course of treatment, including serial haematological results (every 3 months while the patient is receiving treatment).</w:t>
            </w:r>
          </w:p>
          <w:p w14:paraId="2D9FB409" w14:textId="77777777" w:rsidR="008F47B8" w:rsidRPr="006D52A9" w:rsidRDefault="008F47B8" w:rsidP="00FB6D2D">
            <w:pPr>
              <w:pStyle w:val="mps3-data"/>
              <w:rPr>
                <w:szCs w:val="16"/>
              </w:rPr>
            </w:pPr>
            <w:r w:rsidRPr="006D52A9">
              <w:rPr>
                <w:szCs w:val="16"/>
              </w:rPr>
              <w:t>The authority application must be in writing and must include:</w:t>
            </w:r>
          </w:p>
          <w:p w14:paraId="62CA7BC2" w14:textId="77777777" w:rsidR="008F47B8" w:rsidRPr="006D52A9" w:rsidRDefault="008F47B8" w:rsidP="00FB6D2D">
            <w:pPr>
              <w:pStyle w:val="mps3-data"/>
              <w:rPr>
                <w:szCs w:val="16"/>
              </w:rPr>
            </w:pPr>
            <w:r w:rsidRPr="006D52A9">
              <w:rPr>
                <w:szCs w:val="16"/>
              </w:rPr>
              <w:t>(1) A completed authority prescription form; and</w:t>
            </w:r>
          </w:p>
          <w:p w14:paraId="0CFAAE0D" w14:textId="77777777" w:rsidR="008F47B8" w:rsidRPr="006D52A9" w:rsidRDefault="008F47B8" w:rsidP="00FB6D2D">
            <w:pPr>
              <w:pStyle w:val="mps3-data"/>
              <w:rPr>
                <w:szCs w:val="16"/>
              </w:rPr>
            </w:pPr>
            <w:r w:rsidRPr="006D52A9">
              <w:rPr>
                <w:szCs w:val="16"/>
              </w:rPr>
              <w:t>(2) A completed aHUS eculizumab Authority Application Supporting Information Form for Continuing treatment; and</w:t>
            </w:r>
          </w:p>
          <w:p w14:paraId="07F3E3C5" w14:textId="77777777" w:rsidR="008F47B8" w:rsidRPr="006D52A9" w:rsidRDefault="008F47B8" w:rsidP="00FB6D2D">
            <w:pPr>
              <w:pStyle w:val="mps3-data"/>
              <w:rPr>
                <w:szCs w:val="16"/>
              </w:rPr>
            </w:pPr>
            <w:r w:rsidRPr="006D52A9">
              <w:rPr>
                <w:szCs w:val="16"/>
              </w:rPr>
              <w:t>(3) A detailed cover letter from the prescriber; and</w:t>
            </w:r>
          </w:p>
          <w:p w14:paraId="3275B523" w14:textId="77777777" w:rsidR="008F47B8" w:rsidRPr="006D52A9" w:rsidRDefault="008F47B8" w:rsidP="00FB6D2D">
            <w:pPr>
              <w:pStyle w:val="mps3-data"/>
              <w:rPr>
                <w:szCs w:val="16"/>
              </w:rPr>
            </w:pPr>
            <w:r w:rsidRPr="006D52A9">
              <w:rPr>
                <w:szCs w:val="16"/>
              </w:rPr>
              <w:t>(4) A copy of a current Certificate of vaccination or a statement that vaccination has or will be administered and appropriate antibiotic prophylaxis has been prescribed; and</w:t>
            </w:r>
          </w:p>
          <w:p w14:paraId="68B2DEDF" w14:textId="77777777" w:rsidR="008F47B8" w:rsidRPr="006D52A9" w:rsidRDefault="008F47B8" w:rsidP="00FB6D2D">
            <w:pPr>
              <w:pStyle w:val="mps3-data"/>
              <w:rPr>
                <w:szCs w:val="16"/>
              </w:rPr>
            </w:pPr>
            <w:r w:rsidRPr="006D52A9">
              <w:rPr>
                <w:szCs w:val="16"/>
              </w:rPr>
              <w:t>(5) A measurement of body weight at the time of application; and</w:t>
            </w:r>
          </w:p>
          <w:p w14:paraId="311D0514" w14:textId="77777777" w:rsidR="008F47B8" w:rsidRPr="006D52A9" w:rsidRDefault="008F47B8" w:rsidP="00FB6D2D">
            <w:pPr>
              <w:pStyle w:val="mps3-data"/>
              <w:rPr>
                <w:szCs w:val="16"/>
              </w:rPr>
            </w:pPr>
            <w:r w:rsidRPr="006D52A9">
              <w:rPr>
                <w:szCs w:val="16"/>
              </w:rPr>
              <w:t>(6) An identified genetic mutation, if applicable; and</w:t>
            </w:r>
          </w:p>
          <w:p w14:paraId="4158919A" w14:textId="77777777" w:rsidR="008F47B8" w:rsidRPr="006D52A9" w:rsidRDefault="008F47B8" w:rsidP="00FB6D2D">
            <w:pPr>
              <w:pStyle w:val="mps3-data"/>
              <w:rPr>
                <w:szCs w:val="16"/>
              </w:rPr>
            </w:pPr>
            <w:r w:rsidRPr="006D52A9">
              <w:rPr>
                <w:szCs w:val="16"/>
              </w:rPr>
              <w:t>(7) A family history of aHUS, if applicable; and</w:t>
            </w:r>
          </w:p>
          <w:p w14:paraId="7DD6A9C4" w14:textId="77777777" w:rsidR="008F47B8" w:rsidRPr="006D52A9" w:rsidRDefault="008F47B8" w:rsidP="00FB6D2D">
            <w:pPr>
              <w:pStyle w:val="mps3-data"/>
              <w:rPr>
                <w:szCs w:val="16"/>
              </w:rPr>
            </w:pPr>
            <w:r w:rsidRPr="006D52A9">
              <w:rPr>
                <w:szCs w:val="16"/>
              </w:rPr>
              <w:t>(8) A history of multiple episodes of aHUS before recommencing eculizumab treatment, if applicable; and</w:t>
            </w:r>
          </w:p>
          <w:p w14:paraId="2F3BC8D4" w14:textId="77777777" w:rsidR="008F47B8" w:rsidRPr="006D52A9" w:rsidRDefault="008F47B8" w:rsidP="00FB6D2D">
            <w:pPr>
              <w:pStyle w:val="mps3-data"/>
              <w:rPr>
                <w:szCs w:val="16"/>
              </w:rPr>
            </w:pPr>
            <w:r w:rsidRPr="006D52A9">
              <w:rPr>
                <w:szCs w:val="16"/>
              </w:rPr>
              <w:t>(9) A history of kidney transplant if applicable (especially if required due to aHUS); and</w:t>
            </w:r>
          </w:p>
          <w:p w14:paraId="239433FA" w14:textId="77777777" w:rsidR="008F47B8" w:rsidRPr="006D52A9" w:rsidRDefault="008F47B8" w:rsidP="00FB6D2D">
            <w:pPr>
              <w:pStyle w:val="mps3-data"/>
              <w:rPr>
                <w:szCs w:val="16"/>
              </w:rPr>
            </w:pPr>
            <w:r w:rsidRPr="006D52A9">
              <w:rPr>
                <w:szCs w:val="16"/>
              </w:rPr>
              <w:t>(10) An inclusion of the individual consequences of recurrent disease, if applicable; and</w:t>
            </w:r>
          </w:p>
          <w:p w14:paraId="079AB1D3" w14:textId="77777777" w:rsidR="008F47B8" w:rsidRPr="006D52A9" w:rsidRDefault="008F47B8" w:rsidP="00FB6D2D">
            <w:pPr>
              <w:pStyle w:val="mps3-data"/>
              <w:rPr>
                <w:szCs w:val="16"/>
              </w:rPr>
            </w:pPr>
            <w:r w:rsidRPr="006D52A9">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14:paraId="54A4A160" w14:textId="77777777" w:rsidR="008F47B8" w:rsidRPr="006D52A9" w:rsidRDefault="008F47B8" w:rsidP="00FB6D2D">
            <w:pPr>
              <w:pStyle w:val="mps3-data"/>
              <w:rPr>
                <w:szCs w:val="16"/>
              </w:rPr>
            </w:pPr>
            <w:r w:rsidRPr="006D52A9">
              <w:rPr>
                <w:szCs w:val="16"/>
              </w:rPr>
              <w:t>(12) Evidence that the patient has not experienced treatment failure, including a supporting statement with clinical evidence that the patient does not require dialysis, unless the indication for continuing eculizumab is severe extra</w:t>
            </w:r>
            <w:r w:rsidR="0026100E">
              <w:rPr>
                <w:szCs w:val="16"/>
              </w:rPr>
              <w:noBreakHyphen/>
            </w:r>
            <w:r w:rsidRPr="006D52A9">
              <w:rPr>
                <w:szCs w:val="16"/>
              </w:rPr>
              <w:t>renal complications that have significantly improved; and</w:t>
            </w:r>
          </w:p>
          <w:p w14:paraId="4ACFC2C8" w14:textId="77777777" w:rsidR="008F47B8" w:rsidRPr="006D52A9" w:rsidRDefault="008F47B8" w:rsidP="00FB6D2D">
            <w:pPr>
              <w:pStyle w:val="mps3-data"/>
              <w:rPr>
                <w:szCs w:val="16"/>
              </w:rPr>
            </w:pPr>
            <w:r w:rsidRPr="006D52A9">
              <w:rPr>
                <w:szCs w:val="16"/>
              </w:rPr>
              <w:t>(13) If the indication for continuing eculizumab is severe extra</w:t>
            </w:r>
            <w:r w:rsidR="0026100E">
              <w:rPr>
                <w:szCs w:val="16"/>
              </w:rPr>
              <w:noBreakHyphen/>
            </w:r>
            <w:r w:rsidRPr="006D52A9">
              <w:rPr>
                <w:szCs w:val="16"/>
              </w:rPr>
              <w:t>renal complications, then a supporting statement with clinical evidence that any initial extra</w:t>
            </w:r>
            <w:r w:rsidR="0026100E">
              <w:rPr>
                <w:szCs w:val="16"/>
              </w:rPr>
              <w:noBreakHyphen/>
            </w:r>
            <w:r w:rsidRPr="006D52A9">
              <w:rPr>
                <w:szCs w:val="16"/>
              </w:rPr>
              <w:t xml:space="preserve">renal complications of TMA have significantly </w:t>
            </w:r>
            <w:r w:rsidRPr="006D52A9">
              <w:rPr>
                <w:szCs w:val="16"/>
              </w:rPr>
              <w:lastRenderedPageBreak/>
              <w:t>improved is required.</w:t>
            </w:r>
          </w:p>
          <w:p w14:paraId="1F704382"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29" w:type="pct"/>
            <w:shd w:val="clear" w:color="auto" w:fill="auto"/>
            <w:tcMar>
              <w:top w:w="28" w:type="dxa"/>
              <w:left w:w="28" w:type="dxa"/>
              <w:right w:w="57" w:type="dxa"/>
            </w:tcMar>
          </w:tcPr>
          <w:p w14:paraId="30DA8554"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107F2B" w14:paraId="75D10606" w14:textId="77777777" w:rsidTr="00FB6D2D">
        <w:tc>
          <w:tcPr>
            <w:tcW w:w="647" w:type="pct"/>
            <w:shd w:val="clear" w:color="auto" w:fill="auto"/>
            <w:tcMar>
              <w:top w:w="28" w:type="dxa"/>
              <w:left w:w="28" w:type="dxa"/>
            </w:tcMar>
            <w:vAlign w:val="center"/>
          </w:tcPr>
          <w:p w14:paraId="240959C0" w14:textId="77777777" w:rsidR="008F47B8" w:rsidRPr="006D52A9" w:rsidDel="00107F2B"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15C4E71B"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C6686</w:t>
            </w:r>
          </w:p>
        </w:tc>
        <w:tc>
          <w:tcPr>
            <w:tcW w:w="274" w:type="pct"/>
            <w:shd w:val="clear" w:color="auto" w:fill="auto"/>
            <w:tcMar>
              <w:top w:w="28" w:type="dxa"/>
              <w:left w:w="28" w:type="dxa"/>
            </w:tcMar>
          </w:tcPr>
          <w:p w14:paraId="3DE2ADCE"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P6686</w:t>
            </w:r>
          </w:p>
        </w:tc>
        <w:tc>
          <w:tcPr>
            <w:tcW w:w="2867" w:type="pct"/>
            <w:shd w:val="clear" w:color="auto" w:fill="auto"/>
            <w:tcMar>
              <w:top w:w="28" w:type="dxa"/>
              <w:left w:w="28" w:type="dxa"/>
            </w:tcMar>
          </w:tcPr>
          <w:p w14:paraId="3C329E1D" w14:textId="77777777" w:rsidR="008F47B8" w:rsidRPr="006D52A9" w:rsidRDefault="008F47B8" w:rsidP="00FB6D2D">
            <w:pPr>
              <w:pStyle w:val="mps3-data"/>
              <w:spacing w:before="0"/>
              <w:rPr>
                <w:szCs w:val="16"/>
              </w:rPr>
            </w:pPr>
            <w:r w:rsidRPr="006D52A9">
              <w:rPr>
                <w:szCs w:val="16"/>
              </w:rPr>
              <w:t>Atypical haemolytic uraemic syndrome (aHUS)</w:t>
            </w:r>
          </w:p>
          <w:p w14:paraId="7CE8960C" w14:textId="77777777" w:rsidR="008F47B8" w:rsidRPr="006D52A9" w:rsidRDefault="008F47B8" w:rsidP="00FB6D2D">
            <w:pPr>
              <w:pStyle w:val="mps3-data"/>
              <w:rPr>
                <w:szCs w:val="16"/>
              </w:rPr>
            </w:pPr>
            <w:r w:rsidRPr="006D52A9">
              <w:rPr>
                <w:szCs w:val="16"/>
              </w:rPr>
              <w:t>Extended Continuing treatment</w:t>
            </w:r>
          </w:p>
          <w:p w14:paraId="01D1508F" w14:textId="77777777" w:rsidR="008F47B8" w:rsidRPr="006D52A9" w:rsidRDefault="008F47B8" w:rsidP="00FB6D2D">
            <w:pPr>
              <w:pStyle w:val="mps3-data"/>
              <w:rPr>
                <w:szCs w:val="16"/>
              </w:rPr>
            </w:pPr>
            <w:r w:rsidRPr="006D52A9">
              <w:rPr>
                <w:szCs w:val="16"/>
              </w:rPr>
              <w:t>Patient must have received treatment under the Continuing treatment with PBS</w:t>
            </w:r>
            <w:r w:rsidR="0026100E">
              <w:rPr>
                <w:szCs w:val="16"/>
              </w:rPr>
              <w:noBreakHyphen/>
            </w:r>
            <w:r w:rsidRPr="006D52A9">
              <w:rPr>
                <w:szCs w:val="16"/>
              </w:rPr>
              <w:t>subsidised eculizumab for this condition; AND</w:t>
            </w:r>
          </w:p>
          <w:p w14:paraId="560C3DB6" w14:textId="77777777" w:rsidR="008F47B8" w:rsidRPr="006D52A9" w:rsidRDefault="008F47B8" w:rsidP="00FB6D2D">
            <w:pPr>
              <w:pStyle w:val="mps3-data"/>
              <w:rPr>
                <w:szCs w:val="16"/>
              </w:rPr>
            </w:pPr>
            <w:r w:rsidRPr="006D52A9">
              <w:rPr>
                <w:szCs w:val="16"/>
              </w:rPr>
              <w:t>Patient must have demonstrated on</w:t>
            </w:r>
            <w:r w:rsidR="0026100E">
              <w:rPr>
                <w:szCs w:val="16"/>
              </w:rPr>
              <w:noBreakHyphen/>
            </w:r>
            <w:r w:rsidRPr="006D52A9">
              <w:rPr>
                <w:szCs w:val="16"/>
              </w:rPr>
              <w:t>going treatment response with PBS</w:t>
            </w:r>
            <w:r w:rsidR="0026100E">
              <w:rPr>
                <w:szCs w:val="16"/>
              </w:rPr>
              <w:noBreakHyphen/>
            </w:r>
            <w:r w:rsidRPr="006D52A9">
              <w:rPr>
                <w:szCs w:val="16"/>
              </w:rPr>
              <w:t>subsidised eculizumab for this condition; AND</w:t>
            </w:r>
          </w:p>
          <w:p w14:paraId="2EA85F10" w14:textId="77777777" w:rsidR="008F47B8" w:rsidRPr="006D52A9" w:rsidRDefault="008F47B8" w:rsidP="00FB6D2D">
            <w:pPr>
              <w:pStyle w:val="mps3-data"/>
              <w:rPr>
                <w:szCs w:val="16"/>
              </w:rPr>
            </w:pPr>
            <w:r w:rsidRPr="006D52A9">
              <w:rPr>
                <w:szCs w:val="16"/>
              </w:rPr>
              <w:t>Patient must not have ever experienced treatment failure with eculizumab including PBS</w:t>
            </w:r>
            <w:r w:rsidR="0026100E">
              <w:rPr>
                <w:szCs w:val="16"/>
              </w:rPr>
              <w:noBreakHyphen/>
            </w:r>
            <w:r w:rsidRPr="006D52A9">
              <w:rPr>
                <w:szCs w:val="16"/>
              </w:rPr>
              <w:t>subsidised eculizumab for this condition; AND</w:t>
            </w:r>
          </w:p>
          <w:p w14:paraId="0C53C188" w14:textId="77777777" w:rsidR="008F47B8" w:rsidRPr="006D52A9" w:rsidRDefault="008F47B8" w:rsidP="00FB6D2D">
            <w:pPr>
              <w:pStyle w:val="mps3-data"/>
              <w:rPr>
                <w:szCs w:val="16"/>
              </w:rPr>
            </w:pPr>
            <w:r w:rsidRPr="006D52A9">
              <w:rPr>
                <w:szCs w:val="16"/>
              </w:rPr>
              <w:t>Patient must have a TMA</w:t>
            </w:r>
            <w:r w:rsidR="0026100E">
              <w:rPr>
                <w:szCs w:val="16"/>
              </w:rPr>
              <w:noBreakHyphen/>
            </w:r>
            <w:r w:rsidRPr="006D52A9">
              <w:rPr>
                <w:szCs w:val="16"/>
              </w:rPr>
              <w:t>related cardiomyopathy as evidenced by left ventricular ejection fraction &lt; 40% on current objective measurement; OR</w:t>
            </w:r>
          </w:p>
          <w:p w14:paraId="04343449" w14:textId="77777777" w:rsidR="008F47B8" w:rsidRPr="006D52A9" w:rsidRDefault="008F47B8" w:rsidP="00FB6D2D">
            <w:pPr>
              <w:pStyle w:val="mps3-data"/>
              <w:rPr>
                <w:szCs w:val="16"/>
              </w:rPr>
            </w:pPr>
            <w:r w:rsidRPr="006D52A9">
              <w:rPr>
                <w:szCs w:val="16"/>
              </w:rPr>
              <w:t>Patient must have severe TMA</w:t>
            </w:r>
            <w:r w:rsidR="0026100E">
              <w:rPr>
                <w:szCs w:val="16"/>
              </w:rPr>
              <w:noBreakHyphen/>
            </w:r>
            <w:r w:rsidRPr="006D52A9">
              <w:rPr>
                <w:szCs w:val="16"/>
              </w:rPr>
              <w:t>related neurological impairment; OR</w:t>
            </w:r>
          </w:p>
          <w:p w14:paraId="61C678A2" w14:textId="77777777" w:rsidR="008F47B8" w:rsidRPr="006D52A9" w:rsidRDefault="008F47B8" w:rsidP="00FB6D2D">
            <w:pPr>
              <w:pStyle w:val="mps3-data"/>
              <w:rPr>
                <w:szCs w:val="16"/>
              </w:rPr>
            </w:pPr>
            <w:r w:rsidRPr="006D52A9">
              <w:rPr>
                <w:szCs w:val="16"/>
              </w:rPr>
              <w:t>Patient must have severe TMA</w:t>
            </w:r>
            <w:r w:rsidR="0026100E">
              <w:rPr>
                <w:szCs w:val="16"/>
              </w:rPr>
              <w:noBreakHyphen/>
            </w:r>
            <w:r w:rsidRPr="006D52A9">
              <w:rPr>
                <w:szCs w:val="16"/>
              </w:rPr>
              <w:t>related gastrointestinal impairment; OR</w:t>
            </w:r>
          </w:p>
          <w:p w14:paraId="160ECDD3" w14:textId="77777777" w:rsidR="008F47B8" w:rsidRPr="006D52A9" w:rsidRDefault="008F47B8" w:rsidP="00FB6D2D">
            <w:pPr>
              <w:pStyle w:val="mps3-data"/>
              <w:rPr>
                <w:szCs w:val="16"/>
              </w:rPr>
            </w:pPr>
            <w:r w:rsidRPr="006D52A9">
              <w:rPr>
                <w:szCs w:val="16"/>
              </w:rPr>
              <w:t>Patient must have severe TMA</w:t>
            </w:r>
            <w:r w:rsidR="0026100E">
              <w:rPr>
                <w:szCs w:val="16"/>
              </w:rPr>
              <w:noBreakHyphen/>
            </w:r>
            <w:r w:rsidRPr="006D52A9">
              <w:rPr>
                <w:szCs w:val="16"/>
              </w:rPr>
              <w:t>related pulmonary impairment on current objective measurement; OR</w:t>
            </w:r>
          </w:p>
          <w:p w14:paraId="50FACB81" w14:textId="77777777" w:rsidR="008F47B8" w:rsidRPr="006D52A9" w:rsidRDefault="008F47B8" w:rsidP="00FB6D2D">
            <w:pPr>
              <w:pStyle w:val="mps3-data"/>
              <w:rPr>
                <w:szCs w:val="16"/>
              </w:rPr>
            </w:pPr>
            <w:r w:rsidRPr="006D52A9">
              <w:rPr>
                <w:szCs w:val="16"/>
              </w:rPr>
              <w:t>Patient must have grade 4 or 5 chronic kidney disease (eGFR of less than 30 mL/min); OR</w:t>
            </w:r>
          </w:p>
          <w:p w14:paraId="405DE204" w14:textId="77777777" w:rsidR="008F47B8" w:rsidRPr="006D52A9" w:rsidRDefault="008F47B8" w:rsidP="00FB6D2D">
            <w:pPr>
              <w:pStyle w:val="mps3-data"/>
              <w:rPr>
                <w:szCs w:val="16"/>
              </w:rPr>
            </w:pPr>
            <w:r w:rsidRPr="006D52A9">
              <w:rPr>
                <w:szCs w:val="16"/>
              </w:rPr>
              <w:t>Patient must have a high risk of aHUS recurrence in the short term in the absence of continued treatment with eculizumab; AND</w:t>
            </w:r>
          </w:p>
          <w:p w14:paraId="6CB4783C" w14:textId="77777777" w:rsidR="008F47B8" w:rsidRPr="006D52A9" w:rsidRDefault="008F47B8" w:rsidP="00FB6D2D">
            <w:pPr>
              <w:pStyle w:val="mps3-data"/>
              <w:rPr>
                <w:szCs w:val="16"/>
              </w:rPr>
            </w:pPr>
            <w:r w:rsidRPr="006D52A9">
              <w:rPr>
                <w:szCs w:val="16"/>
              </w:rPr>
              <w:t>Patient must not receive more than 24 weeks of treatment per continuing treatment course authorised under this restriction.</w:t>
            </w:r>
          </w:p>
          <w:p w14:paraId="62758C42" w14:textId="77777777" w:rsidR="008F47B8" w:rsidRPr="006D52A9" w:rsidRDefault="008F47B8" w:rsidP="00FB6D2D">
            <w:pPr>
              <w:pStyle w:val="mps3-data"/>
              <w:rPr>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5292A08F" w14:textId="77777777" w:rsidR="008F47B8" w:rsidRPr="006D52A9" w:rsidRDefault="008F47B8" w:rsidP="00FB6D2D">
            <w:pPr>
              <w:pStyle w:val="mps3-data"/>
              <w:rPr>
                <w:szCs w:val="16"/>
              </w:rPr>
            </w:pPr>
            <w:r w:rsidRPr="006D52A9">
              <w:rPr>
                <w:szCs w:val="16"/>
              </w:rPr>
              <w:t>A treatment response is defined as:</w:t>
            </w:r>
          </w:p>
          <w:p w14:paraId="5E266CF5" w14:textId="77777777" w:rsidR="008F47B8" w:rsidRPr="006D52A9" w:rsidRDefault="008F47B8" w:rsidP="00FB6D2D">
            <w:pPr>
              <w:pStyle w:val="mps3-data"/>
              <w:rPr>
                <w:szCs w:val="16"/>
              </w:rPr>
            </w:pPr>
            <w:r w:rsidRPr="006D52A9">
              <w:rPr>
                <w:szCs w:val="16"/>
              </w:rPr>
              <w:t>(1) Normalisation of haematology as demonstrated by at least 2 of the following: platelet count, haptoglobin, and LDH; AND</w:t>
            </w:r>
          </w:p>
          <w:p w14:paraId="032ED923" w14:textId="77777777" w:rsidR="008F47B8" w:rsidRPr="006D52A9" w:rsidRDefault="008F47B8" w:rsidP="00FB6D2D">
            <w:pPr>
              <w:pStyle w:val="mps3-data"/>
              <w:rPr>
                <w:szCs w:val="16"/>
              </w:rPr>
            </w:pPr>
            <w:r w:rsidRPr="006D52A9">
              <w:rPr>
                <w:szCs w:val="16"/>
              </w:rPr>
              <w:t>(2) One of the following:</w:t>
            </w:r>
          </w:p>
          <w:p w14:paraId="374CB6EF" w14:textId="77777777" w:rsidR="008F47B8" w:rsidRPr="006D52A9" w:rsidRDefault="008F47B8" w:rsidP="00FB6D2D">
            <w:pPr>
              <w:pStyle w:val="mps3-data"/>
              <w:rPr>
                <w:szCs w:val="16"/>
              </w:rPr>
            </w:pPr>
            <w:r w:rsidRPr="006D52A9">
              <w:rPr>
                <w:szCs w:val="16"/>
              </w:rPr>
              <w:t>a) An increase in eGFR of &gt; 25% from baseline, where the baseline is the eGFR measurement immediately prior to commencing treatment with eculizumab or</w:t>
            </w:r>
          </w:p>
          <w:p w14:paraId="1512B08B" w14:textId="77777777" w:rsidR="008F47B8" w:rsidRPr="006D52A9" w:rsidRDefault="008F47B8" w:rsidP="00FB6D2D">
            <w:pPr>
              <w:pStyle w:val="mps3-data"/>
              <w:rPr>
                <w:szCs w:val="16"/>
              </w:rPr>
            </w:pPr>
            <w:r w:rsidRPr="006D52A9">
              <w:rPr>
                <w:szCs w:val="16"/>
              </w:rPr>
              <w:t>b) an eGFR within +/</w:t>
            </w:r>
            <w:r w:rsidR="0026100E">
              <w:rPr>
                <w:szCs w:val="16"/>
              </w:rPr>
              <w:noBreakHyphen/>
            </w:r>
            <w:r w:rsidRPr="006D52A9">
              <w:rPr>
                <w:szCs w:val="16"/>
              </w:rPr>
              <w:t xml:space="preserve"> 25% from baseline; or</w:t>
            </w:r>
          </w:p>
          <w:p w14:paraId="090B7414" w14:textId="77777777" w:rsidR="008F47B8" w:rsidRPr="006D52A9" w:rsidRDefault="008F47B8" w:rsidP="00FB6D2D">
            <w:pPr>
              <w:pStyle w:val="mps3-data"/>
              <w:rPr>
                <w:szCs w:val="16"/>
              </w:rPr>
            </w:pPr>
            <w:r w:rsidRPr="006D52A9">
              <w:rPr>
                <w:szCs w:val="16"/>
              </w:rPr>
              <w:t>c) an avoidance of dialysis</w:t>
            </w:r>
            <w:r w:rsidR="0026100E">
              <w:rPr>
                <w:szCs w:val="16"/>
              </w:rPr>
              <w:noBreakHyphen/>
            </w:r>
            <w:r w:rsidRPr="006D52A9">
              <w:rPr>
                <w:szCs w:val="16"/>
              </w:rPr>
              <w:t>dependence but worsening of kidney function with a reduction in eGFR 25% from baseline.</w:t>
            </w:r>
          </w:p>
          <w:p w14:paraId="1770E3DB" w14:textId="77777777" w:rsidR="008F47B8" w:rsidRPr="006D52A9" w:rsidRDefault="008F47B8" w:rsidP="00FB6D2D">
            <w:pPr>
              <w:pStyle w:val="mps3-data"/>
              <w:rPr>
                <w:szCs w:val="16"/>
              </w:rPr>
            </w:pPr>
            <w:r w:rsidRPr="006D52A9">
              <w:rPr>
                <w:szCs w:val="16"/>
              </w:rPr>
              <w:t>PBS</w:t>
            </w:r>
            <w:r w:rsidR="0026100E">
              <w:rPr>
                <w:szCs w:val="16"/>
              </w:rPr>
              <w:noBreakHyphen/>
            </w:r>
            <w:r w:rsidRPr="006D52A9">
              <w:rPr>
                <w:szCs w:val="16"/>
              </w:rPr>
              <w:t xml:space="preserve">subsidised treatment with eculizumab will not be permitted if a patient has experienced treatment </w:t>
            </w:r>
            <w:r w:rsidRPr="006D52A9">
              <w:rPr>
                <w:szCs w:val="16"/>
              </w:rPr>
              <w:lastRenderedPageBreak/>
              <w:t>failure. A treatment failure is defined as a patient who is:</w:t>
            </w:r>
          </w:p>
          <w:p w14:paraId="60E21210" w14:textId="77777777" w:rsidR="008F47B8" w:rsidRPr="006D52A9" w:rsidRDefault="008F47B8" w:rsidP="00FB6D2D">
            <w:pPr>
              <w:pStyle w:val="mps3-data"/>
              <w:rPr>
                <w:szCs w:val="16"/>
              </w:rPr>
            </w:pPr>
            <w:r w:rsidRPr="006D52A9">
              <w:rPr>
                <w:szCs w:val="16"/>
              </w:rPr>
              <w:t>(1) dialysis</w:t>
            </w:r>
            <w:r w:rsidR="0026100E">
              <w:rPr>
                <w:szCs w:val="16"/>
              </w:rPr>
              <w:noBreakHyphen/>
            </w:r>
            <w:r w:rsidRPr="006D52A9">
              <w:rPr>
                <w:szCs w:val="16"/>
              </w:rPr>
              <w:t>dependent at the time of application and has failed to demonstrate significant resolution of extra</w:t>
            </w:r>
            <w:r w:rsidR="0026100E">
              <w:rPr>
                <w:szCs w:val="16"/>
              </w:rPr>
              <w:noBreakHyphen/>
            </w:r>
            <w:r w:rsidRPr="006D52A9">
              <w:rPr>
                <w:szCs w:val="16"/>
              </w:rPr>
              <w:t>renal complications if originally presented; or</w:t>
            </w:r>
          </w:p>
          <w:p w14:paraId="5BDBD0EB" w14:textId="77777777" w:rsidR="008F47B8" w:rsidRPr="006D52A9" w:rsidRDefault="008F47B8" w:rsidP="00FB6D2D">
            <w:pPr>
              <w:pStyle w:val="mps3-data"/>
              <w:rPr>
                <w:szCs w:val="16"/>
              </w:rPr>
            </w:pPr>
            <w:r w:rsidRPr="006D52A9">
              <w:rPr>
                <w:szCs w:val="16"/>
              </w:rPr>
              <w:t>(2) on dialysis and has been on dialysis for 4 months of the previous 6 months while receiving PBS</w:t>
            </w:r>
            <w:r w:rsidR="0026100E">
              <w:rPr>
                <w:szCs w:val="16"/>
              </w:rPr>
              <w:noBreakHyphen/>
            </w:r>
            <w:r w:rsidRPr="006D52A9">
              <w:rPr>
                <w:szCs w:val="16"/>
              </w:rPr>
              <w:t>subsidised eculizumab and has failed to demonstrate significant resolution of extra</w:t>
            </w:r>
            <w:r w:rsidR="0026100E">
              <w:rPr>
                <w:szCs w:val="16"/>
              </w:rPr>
              <w:noBreakHyphen/>
            </w:r>
            <w:r w:rsidRPr="006D52A9">
              <w:rPr>
                <w:szCs w:val="16"/>
              </w:rPr>
              <w:t>renal complications if originally presented.</w:t>
            </w:r>
          </w:p>
          <w:p w14:paraId="1AEAB0CC" w14:textId="77777777" w:rsidR="008F47B8" w:rsidRPr="006D52A9" w:rsidRDefault="008F47B8" w:rsidP="00FB6D2D">
            <w:pPr>
              <w:pStyle w:val="mps3-data"/>
              <w:rPr>
                <w:szCs w:val="16"/>
              </w:rPr>
            </w:pPr>
            <w:r w:rsidRPr="006D52A9">
              <w:rPr>
                <w:szCs w:val="16"/>
              </w:rPr>
              <w:t>The authority application must include the following measures of response to the prior course of treatment, including serial haematological results (every 3 months while the patient is receiving treatment).</w:t>
            </w:r>
          </w:p>
          <w:p w14:paraId="388D4B64" w14:textId="77777777" w:rsidR="008F47B8" w:rsidRPr="006D52A9" w:rsidRDefault="008F47B8" w:rsidP="00FB6D2D">
            <w:pPr>
              <w:pStyle w:val="mps3-data"/>
              <w:rPr>
                <w:szCs w:val="16"/>
              </w:rPr>
            </w:pPr>
            <w:r w:rsidRPr="006D52A9">
              <w:rPr>
                <w:szCs w:val="16"/>
              </w:rPr>
              <w:t>The authority application must be in writing and must include:</w:t>
            </w:r>
          </w:p>
          <w:p w14:paraId="1F920788" w14:textId="77777777" w:rsidR="008F47B8" w:rsidRPr="006D52A9" w:rsidRDefault="008F47B8" w:rsidP="00FB6D2D">
            <w:pPr>
              <w:pStyle w:val="mps3-data"/>
              <w:rPr>
                <w:szCs w:val="16"/>
              </w:rPr>
            </w:pPr>
            <w:r w:rsidRPr="006D52A9">
              <w:rPr>
                <w:szCs w:val="16"/>
              </w:rPr>
              <w:t>(1) A completed authority prescription form; and</w:t>
            </w:r>
          </w:p>
          <w:p w14:paraId="4037BBD5" w14:textId="77777777" w:rsidR="008F47B8" w:rsidRPr="006D52A9" w:rsidRDefault="008F47B8" w:rsidP="00FB6D2D">
            <w:pPr>
              <w:pStyle w:val="mps3-data"/>
              <w:rPr>
                <w:szCs w:val="16"/>
              </w:rPr>
            </w:pPr>
            <w:r w:rsidRPr="006D52A9">
              <w:rPr>
                <w:szCs w:val="16"/>
              </w:rPr>
              <w:t>(2) A completed aHUS eculizumab Authority Application Supporting Information Form for Continuing treatment; and</w:t>
            </w:r>
          </w:p>
          <w:p w14:paraId="352DA289" w14:textId="77777777" w:rsidR="008F47B8" w:rsidRPr="006D52A9" w:rsidRDefault="008F47B8" w:rsidP="00FB6D2D">
            <w:pPr>
              <w:pStyle w:val="mps3-data"/>
              <w:rPr>
                <w:szCs w:val="16"/>
              </w:rPr>
            </w:pPr>
            <w:r w:rsidRPr="006D52A9">
              <w:rPr>
                <w:szCs w:val="16"/>
              </w:rPr>
              <w:t>(3) A detailed cover letter from the prescriber; and</w:t>
            </w:r>
          </w:p>
          <w:p w14:paraId="32C1388A" w14:textId="77777777" w:rsidR="008F47B8" w:rsidRPr="006D52A9" w:rsidRDefault="008F47B8" w:rsidP="00FB6D2D">
            <w:pPr>
              <w:pStyle w:val="mps3-data"/>
              <w:rPr>
                <w:szCs w:val="16"/>
              </w:rPr>
            </w:pPr>
            <w:r w:rsidRPr="006D52A9">
              <w:rPr>
                <w:szCs w:val="16"/>
              </w:rPr>
              <w:t>(4) A copy of a current Certificate of vaccination or a statement that vaccination has or will be administered and appropriate antibiotic prophylaxis has been prescribed; and</w:t>
            </w:r>
          </w:p>
          <w:p w14:paraId="39A2C6A6" w14:textId="77777777" w:rsidR="008F47B8" w:rsidRPr="006D52A9" w:rsidRDefault="008F47B8" w:rsidP="00FB6D2D">
            <w:pPr>
              <w:pStyle w:val="mps3-data"/>
              <w:rPr>
                <w:szCs w:val="16"/>
              </w:rPr>
            </w:pPr>
            <w:r w:rsidRPr="006D52A9">
              <w:rPr>
                <w:szCs w:val="16"/>
              </w:rPr>
              <w:t>(5) A measurement of body weight at the time of application; and</w:t>
            </w:r>
          </w:p>
          <w:p w14:paraId="34AB90D8" w14:textId="77777777" w:rsidR="008F47B8" w:rsidRPr="006D52A9" w:rsidRDefault="008F47B8" w:rsidP="00FB6D2D">
            <w:pPr>
              <w:pStyle w:val="mps3-data"/>
              <w:rPr>
                <w:szCs w:val="16"/>
              </w:rPr>
            </w:pPr>
            <w:r w:rsidRPr="006D52A9">
              <w:rPr>
                <w:szCs w:val="16"/>
              </w:rPr>
              <w:t>(6) An identified genetic mutation, if applicable; and</w:t>
            </w:r>
          </w:p>
          <w:p w14:paraId="34E06D56" w14:textId="77777777" w:rsidR="008F47B8" w:rsidRPr="006D52A9" w:rsidRDefault="008F47B8" w:rsidP="00FB6D2D">
            <w:pPr>
              <w:pStyle w:val="mps3-data"/>
              <w:rPr>
                <w:szCs w:val="16"/>
              </w:rPr>
            </w:pPr>
            <w:r w:rsidRPr="006D52A9">
              <w:rPr>
                <w:szCs w:val="16"/>
              </w:rPr>
              <w:t>(7) A family history of aHUS, if applicable; and</w:t>
            </w:r>
          </w:p>
          <w:p w14:paraId="20CF3EEE" w14:textId="77777777" w:rsidR="008F47B8" w:rsidRPr="006D52A9" w:rsidRDefault="008F47B8" w:rsidP="00FB6D2D">
            <w:pPr>
              <w:pStyle w:val="mps3-data"/>
              <w:rPr>
                <w:szCs w:val="16"/>
              </w:rPr>
            </w:pPr>
            <w:r w:rsidRPr="006D52A9">
              <w:rPr>
                <w:szCs w:val="16"/>
              </w:rPr>
              <w:t>(8) A history of multiple episodes of aHUS before commencing eculizumab treatment, if applicable; and</w:t>
            </w:r>
          </w:p>
          <w:p w14:paraId="49ADFD43" w14:textId="77777777" w:rsidR="008F47B8" w:rsidRPr="006D52A9" w:rsidRDefault="008F47B8" w:rsidP="00FB6D2D">
            <w:pPr>
              <w:pStyle w:val="mps3-data"/>
              <w:rPr>
                <w:szCs w:val="16"/>
              </w:rPr>
            </w:pPr>
            <w:r w:rsidRPr="006D52A9">
              <w:rPr>
                <w:szCs w:val="16"/>
              </w:rPr>
              <w:t>(9) A history of kidney transplant, if applicable (especially if required due to aHUS); and</w:t>
            </w:r>
          </w:p>
          <w:p w14:paraId="32D9D426" w14:textId="77777777" w:rsidR="008F47B8" w:rsidRPr="006D52A9" w:rsidRDefault="008F47B8" w:rsidP="00FB6D2D">
            <w:pPr>
              <w:pStyle w:val="mps3-data"/>
              <w:rPr>
                <w:szCs w:val="16"/>
              </w:rPr>
            </w:pPr>
            <w:r w:rsidRPr="006D52A9">
              <w:rPr>
                <w:szCs w:val="16"/>
              </w:rPr>
              <w:t>(10) An inclusion of the individual consequences of recurrent disease; and</w:t>
            </w:r>
          </w:p>
          <w:p w14:paraId="69AC835A" w14:textId="77777777" w:rsidR="008F47B8" w:rsidRPr="006D52A9" w:rsidRDefault="008F47B8" w:rsidP="00FB6D2D">
            <w:pPr>
              <w:pStyle w:val="mps3-data"/>
              <w:rPr>
                <w:szCs w:val="16"/>
              </w:rPr>
            </w:pPr>
            <w:r w:rsidRPr="006D52A9">
              <w:rPr>
                <w:szCs w:val="16"/>
              </w:rPr>
              <w:t>(11) A supporting statement with clinical evidence of severe TMA</w:t>
            </w:r>
            <w:r w:rsidR="0026100E">
              <w:rPr>
                <w:szCs w:val="16"/>
              </w:rPr>
              <w:noBreakHyphen/>
            </w:r>
            <w:r w:rsidRPr="006D52A9">
              <w:rPr>
                <w:szCs w:val="16"/>
              </w:rPr>
              <w:t>related cardiomyopathy (including current LVEF result), neurological impairment, gastrointestinal impairment or pulmonary impairment; and</w:t>
            </w:r>
          </w:p>
          <w:p w14:paraId="1A3813D3" w14:textId="77777777" w:rsidR="008F47B8" w:rsidRPr="006D52A9" w:rsidRDefault="008F47B8" w:rsidP="00FB6D2D">
            <w:pPr>
              <w:pStyle w:val="mps3-data"/>
              <w:rPr>
                <w:szCs w:val="16"/>
              </w:rPr>
            </w:pPr>
            <w:r w:rsidRPr="006D52A9">
              <w:rPr>
                <w:szCs w:val="16"/>
              </w:rPr>
              <w:t>(12) Evidence that the patient has had a treatment response including haematological results of no more than 1 month old at the time of application (platelet count, haptoglobin and LDH); and an eGFR level of no more than 1 month old at the time of application; and</w:t>
            </w:r>
          </w:p>
          <w:p w14:paraId="745D505A" w14:textId="77777777" w:rsidR="008F47B8" w:rsidRPr="006D52A9" w:rsidRDefault="008F47B8" w:rsidP="00FB6D2D">
            <w:pPr>
              <w:pStyle w:val="mps3-data"/>
              <w:rPr>
                <w:szCs w:val="16"/>
              </w:rPr>
            </w:pPr>
            <w:r w:rsidRPr="006D52A9">
              <w:rPr>
                <w:szCs w:val="16"/>
              </w:rPr>
              <w:t>(13) Evidence that the patient has not experienced treatment failure, including a supporting statement with clinical evidence that the patient does not require dialysis, unless the indication for continuing eculizumab is severe extra</w:t>
            </w:r>
            <w:r w:rsidR="0026100E">
              <w:rPr>
                <w:szCs w:val="16"/>
              </w:rPr>
              <w:noBreakHyphen/>
            </w:r>
            <w:r w:rsidRPr="006D52A9">
              <w:rPr>
                <w:szCs w:val="16"/>
              </w:rPr>
              <w:t>renal complications that have significantly improved; and</w:t>
            </w:r>
          </w:p>
          <w:p w14:paraId="3AE09092" w14:textId="77777777" w:rsidR="008F47B8" w:rsidRPr="006D52A9" w:rsidRDefault="008F47B8" w:rsidP="00FB6D2D">
            <w:pPr>
              <w:pStyle w:val="mps3-data"/>
              <w:rPr>
                <w:szCs w:val="16"/>
              </w:rPr>
            </w:pPr>
            <w:r w:rsidRPr="006D52A9">
              <w:rPr>
                <w:szCs w:val="16"/>
              </w:rPr>
              <w:t>(14) If the indication for continuing eculizumab is severe extra</w:t>
            </w:r>
            <w:r w:rsidR="0026100E">
              <w:rPr>
                <w:szCs w:val="16"/>
              </w:rPr>
              <w:noBreakHyphen/>
            </w:r>
            <w:r w:rsidRPr="006D52A9">
              <w:rPr>
                <w:szCs w:val="16"/>
              </w:rPr>
              <w:t>renal complications, then a supporting statement with clinical evidence that any initial extra</w:t>
            </w:r>
            <w:r w:rsidR="0026100E">
              <w:rPr>
                <w:szCs w:val="16"/>
              </w:rPr>
              <w:noBreakHyphen/>
            </w:r>
            <w:r w:rsidRPr="006D52A9">
              <w:rPr>
                <w:szCs w:val="16"/>
              </w:rPr>
              <w:t>renal complications of TMA have significantly improved is required.</w:t>
            </w:r>
          </w:p>
          <w:p w14:paraId="5416FEE3"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 xml:space="preserve">This assessment must be submitted no later than 4 weeks from the cessation of the prior treatment. Where a response assessment is not undertaken and submitted within these timeframes, the patient will </w:t>
            </w:r>
            <w:r w:rsidRPr="006D52A9">
              <w:rPr>
                <w:rFonts w:ascii="Arial" w:hAnsi="Arial" w:cs="Arial"/>
                <w:sz w:val="16"/>
                <w:szCs w:val="16"/>
              </w:rPr>
              <w:lastRenderedPageBreak/>
              <w:t>be deemed to have failed to respond to treatment with eculizumab.</w:t>
            </w:r>
          </w:p>
        </w:tc>
        <w:tc>
          <w:tcPr>
            <w:tcW w:w="929" w:type="pct"/>
            <w:shd w:val="clear" w:color="auto" w:fill="auto"/>
            <w:tcMar>
              <w:top w:w="28" w:type="dxa"/>
              <w:left w:w="28" w:type="dxa"/>
              <w:right w:w="57" w:type="dxa"/>
            </w:tcMar>
          </w:tcPr>
          <w:p w14:paraId="113D401B"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107F2B" w14:paraId="222C57FB" w14:textId="77777777" w:rsidTr="00FB6D2D">
        <w:tc>
          <w:tcPr>
            <w:tcW w:w="647" w:type="pct"/>
            <w:shd w:val="clear" w:color="auto" w:fill="auto"/>
            <w:tcMar>
              <w:top w:w="28" w:type="dxa"/>
              <w:left w:w="28" w:type="dxa"/>
            </w:tcMar>
            <w:vAlign w:val="center"/>
          </w:tcPr>
          <w:p w14:paraId="6EE1198D" w14:textId="77777777" w:rsidR="008F47B8" w:rsidRPr="006D52A9" w:rsidDel="00107F2B"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4C9E1C59"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C6687</w:t>
            </w:r>
          </w:p>
        </w:tc>
        <w:tc>
          <w:tcPr>
            <w:tcW w:w="274" w:type="pct"/>
            <w:shd w:val="clear" w:color="auto" w:fill="auto"/>
            <w:tcMar>
              <w:top w:w="28" w:type="dxa"/>
              <w:left w:w="28" w:type="dxa"/>
            </w:tcMar>
          </w:tcPr>
          <w:p w14:paraId="68B27259"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P6687</w:t>
            </w:r>
          </w:p>
        </w:tc>
        <w:tc>
          <w:tcPr>
            <w:tcW w:w="2867" w:type="pct"/>
            <w:shd w:val="clear" w:color="auto" w:fill="auto"/>
            <w:tcMar>
              <w:top w:w="28" w:type="dxa"/>
              <w:left w:w="28" w:type="dxa"/>
            </w:tcMar>
          </w:tcPr>
          <w:p w14:paraId="20D9AF61" w14:textId="77777777" w:rsidR="008F47B8" w:rsidRPr="006D52A9" w:rsidRDefault="008F47B8" w:rsidP="00FB6D2D">
            <w:pPr>
              <w:pStyle w:val="mps3-data"/>
              <w:spacing w:before="0"/>
              <w:rPr>
                <w:szCs w:val="16"/>
              </w:rPr>
            </w:pPr>
            <w:r w:rsidRPr="006D52A9">
              <w:rPr>
                <w:szCs w:val="16"/>
              </w:rPr>
              <w:t>Atypical haemolytic uraemic syndrome (aHUS)</w:t>
            </w:r>
          </w:p>
          <w:p w14:paraId="5A29D70E" w14:textId="77777777" w:rsidR="008F47B8" w:rsidRPr="006D52A9" w:rsidRDefault="008F47B8" w:rsidP="00FB6D2D">
            <w:pPr>
              <w:pStyle w:val="mps3-data"/>
              <w:rPr>
                <w:szCs w:val="16"/>
              </w:rPr>
            </w:pPr>
            <w:r w:rsidRPr="006D52A9">
              <w:rPr>
                <w:szCs w:val="16"/>
              </w:rPr>
              <w:t>Recommencement of treatment</w:t>
            </w:r>
          </w:p>
          <w:p w14:paraId="122C247B" w14:textId="77777777" w:rsidR="008F47B8" w:rsidRPr="006D52A9" w:rsidRDefault="008F47B8" w:rsidP="00FB6D2D">
            <w:pPr>
              <w:pStyle w:val="mps3-data"/>
              <w:rPr>
                <w:szCs w:val="16"/>
              </w:rPr>
            </w:pPr>
            <w:r w:rsidRPr="006D52A9">
              <w:rPr>
                <w:szCs w:val="16"/>
              </w:rPr>
              <w:t>Patient must have demonstrated treatment response to previous treatment with PBS</w:t>
            </w:r>
            <w:r w:rsidR="0026100E">
              <w:rPr>
                <w:szCs w:val="16"/>
              </w:rPr>
              <w:noBreakHyphen/>
            </w:r>
            <w:r w:rsidRPr="006D52A9">
              <w:rPr>
                <w:szCs w:val="16"/>
              </w:rPr>
              <w:t>subsidised eculizumab for this condition; AND</w:t>
            </w:r>
          </w:p>
          <w:p w14:paraId="428047D8" w14:textId="77777777" w:rsidR="008F47B8" w:rsidRPr="006D52A9" w:rsidRDefault="008F47B8" w:rsidP="00FB6D2D">
            <w:pPr>
              <w:pStyle w:val="mps3-data"/>
              <w:rPr>
                <w:szCs w:val="16"/>
              </w:rPr>
            </w:pPr>
            <w:r w:rsidRPr="006D52A9">
              <w:rPr>
                <w:szCs w:val="16"/>
              </w:rPr>
              <w:t>Patient must not have ever experienced treatment failure with eculizumab including PBS</w:t>
            </w:r>
            <w:r w:rsidR="0026100E">
              <w:rPr>
                <w:szCs w:val="16"/>
              </w:rPr>
              <w:noBreakHyphen/>
            </w:r>
            <w:r w:rsidRPr="006D52A9">
              <w:rPr>
                <w:szCs w:val="16"/>
              </w:rPr>
              <w:t>subsidised eculizumab for this condition; AND</w:t>
            </w:r>
          </w:p>
          <w:p w14:paraId="4E50F60B" w14:textId="77777777" w:rsidR="008F47B8" w:rsidRPr="006D52A9" w:rsidRDefault="008F47B8" w:rsidP="00FB6D2D">
            <w:pPr>
              <w:pStyle w:val="mps3-data"/>
              <w:rPr>
                <w:szCs w:val="16"/>
              </w:rPr>
            </w:pPr>
            <w:r w:rsidRPr="006D52A9">
              <w:rPr>
                <w:szCs w:val="16"/>
              </w:rPr>
              <w:t>Patient must have the following clinical conditions:(i) either significant haemolysis as measured by low/absent haptoglobin; or presence of schistocytes on the blood film; or lactate dehydrogenase (LDH) above normal;AND(ii) either platelet consumption as measured by either 25% decline from patient baseline or thrombocytopenia (platelet count &lt;150 x 10</w:t>
            </w:r>
            <w:r w:rsidR="002B2518">
              <w:rPr>
                <w:szCs w:val="16"/>
              </w:rPr>
              <w:t>^</w:t>
            </w:r>
            <w:r w:rsidRPr="006D52A9">
              <w:rPr>
                <w:szCs w:val="16"/>
              </w:rPr>
              <w:t>9/L);OR(iii) TMA</w:t>
            </w:r>
            <w:r w:rsidR="0026100E">
              <w:rPr>
                <w:szCs w:val="16"/>
              </w:rPr>
              <w:noBreakHyphen/>
            </w:r>
            <w:r w:rsidRPr="006D52A9">
              <w:rPr>
                <w:szCs w:val="16"/>
              </w:rPr>
              <w:t>related organ impairment including on recent biopsy; AND</w:t>
            </w:r>
          </w:p>
          <w:p w14:paraId="12FBF644" w14:textId="77777777" w:rsidR="008F47B8" w:rsidRPr="006D52A9" w:rsidRDefault="008F47B8" w:rsidP="00FB6D2D">
            <w:pPr>
              <w:pStyle w:val="mps3-data"/>
              <w:rPr>
                <w:szCs w:val="16"/>
              </w:rPr>
            </w:pPr>
            <w:r w:rsidRPr="006D52A9">
              <w:rPr>
                <w:szCs w:val="16"/>
              </w:rPr>
              <w:t>Patient must not receive more than 24 weeks of treatment under this restriction.</w:t>
            </w:r>
          </w:p>
          <w:p w14:paraId="67234240" w14:textId="77777777" w:rsidR="008F47B8" w:rsidRPr="006D52A9" w:rsidRDefault="008F47B8" w:rsidP="00FB6D2D">
            <w:pPr>
              <w:pStyle w:val="mps3-data"/>
              <w:rPr>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4EB19041" w14:textId="77777777" w:rsidR="008F47B8" w:rsidRPr="006D52A9" w:rsidRDefault="008F47B8" w:rsidP="00FB6D2D">
            <w:pPr>
              <w:pStyle w:val="mps3-data"/>
              <w:rPr>
                <w:szCs w:val="16"/>
              </w:rPr>
            </w:pPr>
            <w:r w:rsidRPr="006D52A9">
              <w:rPr>
                <w:szCs w:val="16"/>
              </w:rPr>
              <w:t>A treatment response is defined as:</w:t>
            </w:r>
          </w:p>
          <w:p w14:paraId="0CF7E2E3" w14:textId="77777777" w:rsidR="008F47B8" w:rsidRPr="006D52A9" w:rsidRDefault="008F47B8" w:rsidP="00FB6D2D">
            <w:pPr>
              <w:pStyle w:val="mps3-data"/>
              <w:rPr>
                <w:szCs w:val="16"/>
              </w:rPr>
            </w:pPr>
            <w:r w:rsidRPr="006D52A9">
              <w:rPr>
                <w:szCs w:val="16"/>
              </w:rPr>
              <w:t>(1) Normalisation of haematology as demonstrated by at least 2 of the following: platelet count, haptoglobin, and LDH; AND</w:t>
            </w:r>
          </w:p>
          <w:p w14:paraId="1CC7C6B4" w14:textId="77777777" w:rsidR="008F47B8" w:rsidRPr="006D52A9" w:rsidRDefault="008F47B8" w:rsidP="00FB6D2D">
            <w:pPr>
              <w:pStyle w:val="mps3-data"/>
              <w:rPr>
                <w:szCs w:val="16"/>
              </w:rPr>
            </w:pPr>
            <w:r w:rsidRPr="006D52A9">
              <w:rPr>
                <w:szCs w:val="16"/>
              </w:rPr>
              <w:t>(2) One of the following:</w:t>
            </w:r>
          </w:p>
          <w:p w14:paraId="371EAF9F" w14:textId="77777777" w:rsidR="008F47B8" w:rsidRPr="006D52A9" w:rsidRDefault="008F47B8" w:rsidP="00FB6D2D">
            <w:pPr>
              <w:pStyle w:val="mps3-data"/>
              <w:rPr>
                <w:szCs w:val="16"/>
              </w:rPr>
            </w:pPr>
            <w:r w:rsidRPr="006D52A9">
              <w:rPr>
                <w:szCs w:val="16"/>
              </w:rPr>
              <w:t>a) An increase in eGFR of &gt; 25% from baseline, where the baseline is the eGFR measurement immediately prior to commencing treatment with eculizumab or</w:t>
            </w:r>
          </w:p>
          <w:p w14:paraId="2F444480" w14:textId="77777777" w:rsidR="008F47B8" w:rsidRPr="006D52A9" w:rsidRDefault="008F47B8" w:rsidP="00FB6D2D">
            <w:pPr>
              <w:pStyle w:val="mps3-data"/>
              <w:rPr>
                <w:szCs w:val="16"/>
              </w:rPr>
            </w:pPr>
            <w:r w:rsidRPr="006D52A9">
              <w:rPr>
                <w:szCs w:val="16"/>
              </w:rPr>
              <w:t>b) an eGFR within +/</w:t>
            </w:r>
            <w:r w:rsidR="0026100E">
              <w:rPr>
                <w:szCs w:val="16"/>
              </w:rPr>
              <w:noBreakHyphen/>
            </w:r>
            <w:r w:rsidRPr="006D52A9">
              <w:rPr>
                <w:szCs w:val="16"/>
              </w:rPr>
              <w:t xml:space="preserve"> 25% from baseline; or</w:t>
            </w:r>
          </w:p>
          <w:p w14:paraId="69049EE4" w14:textId="77777777" w:rsidR="008F47B8" w:rsidRPr="006D52A9" w:rsidRDefault="008F47B8" w:rsidP="00FB6D2D">
            <w:pPr>
              <w:pStyle w:val="mps3-data"/>
              <w:rPr>
                <w:szCs w:val="16"/>
              </w:rPr>
            </w:pPr>
            <w:r w:rsidRPr="006D52A9">
              <w:rPr>
                <w:szCs w:val="16"/>
              </w:rPr>
              <w:t>c) an avoidance of dialysis</w:t>
            </w:r>
            <w:r w:rsidR="0026100E">
              <w:rPr>
                <w:szCs w:val="16"/>
              </w:rPr>
              <w:noBreakHyphen/>
            </w:r>
            <w:r w:rsidRPr="006D52A9">
              <w:rPr>
                <w:szCs w:val="16"/>
              </w:rPr>
              <w:t>dependence but worsening of kidney function with a reduction in eGFR 25% from baseline.</w:t>
            </w:r>
          </w:p>
          <w:p w14:paraId="71507A1A" w14:textId="77777777" w:rsidR="008F47B8" w:rsidRPr="006D52A9" w:rsidRDefault="008F47B8" w:rsidP="00FB6D2D">
            <w:pPr>
              <w:pStyle w:val="mps3-data"/>
              <w:rPr>
                <w:szCs w:val="16"/>
              </w:rPr>
            </w:pPr>
            <w:r w:rsidRPr="006D52A9">
              <w:rPr>
                <w:szCs w:val="16"/>
              </w:rPr>
              <w:t>PBS</w:t>
            </w:r>
            <w:r w:rsidR="0026100E">
              <w:rPr>
                <w:szCs w:val="16"/>
              </w:rPr>
              <w:noBreakHyphen/>
            </w:r>
            <w:r w:rsidRPr="006D52A9">
              <w:rPr>
                <w:szCs w:val="16"/>
              </w:rPr>
              <w:t>subsidised treatment with eculizumab will not be permitted if a patient has experienced treatment failure. A treatment failure is defined as a patient who is:</w:t>
            </w:r>
          </w:p>
          <w:p w14:paraId="37691927" w14:textId="77777777" w:rsidR="008F47B8" w:rsidRPr="006D52A9" w:rsidRDefault="008F47B8" w:rsidP="00FB6D2D">
            <w:pPr>
              <w:pStyle w:val="mps3-data"/>
              <w:rPr>
                <w:szCs w:val="16"/>
              </w:rPr>
            </w:pPr>
            <w:r w:rsidRPr="006D52A9">
              <w:rPr>
                <w:szCs w:val="16"/>
              </w:rPr>
              <w:t>(1) dialysis</w:t>
            </w:r>
            <w:r w:rsidR="0026100E">
              <w:rPr>
                <w:szCs w:val="16"/>
              </w:rPr>
              <w:noBreakHyphen/>
            </w:r>
            <w:r w:rsidRPr="006D52A9">
              <w:rPr>
                <w:szCs w:val="16"/>
              </w:rPr>
              <w:t>dependent at the time of application and has failed to demonstrate significant resolution of extra</w:t>
            </w:r>
            <w:r w:rsidR="0026100E">
              <w:rPr>
                <w:szCs w:val="16"/>
              </w:rPr>
              <w:noBreakHyphen/>
            </w:r>
            <w:r w:rsidRPr="006D52A9">
              <w:rPr>
                <w:szCs w:val="16"/>
              </w:rPr>
              <w:t>renal complications if originally presented; or</w:t>
            </w:r>
          </w:p>
          <w:p w14:paraId="55F6C19C" w14:textId="77777777" w:rsidR="008F47B8" w:rsidRPr="006D52A9" w:rsidRDefault="008F47B8" w:rsidP="00FB6D2D">
            <w:pPr>
              <w:pStyle w:val="mps3-data"/>
              <w:rPr>
                <w:szCs w:val="16"/>
              </w:rPr>
            </w:pPr>
            <w:r w:rsidRPr="006D52A9">
              <w:rPr>
                <w:szCs w:val="16"/>
              </w:rPr>
              <w:t>(2) on dialysis and has been on dialysis for 4 months of the previous 6 months while receiving PBS</w:t>
            </w:r>
            <w:r w:rsidR="0026100E">
              <w:rPr>
                <w:szCs w:val="16"/>
              </w:rPr>
              <w:noBreakHyphen/>
            </w:r>
            <w:r w:rsidRPr="006D52A9">
              <w:rPr>
                <w:szCs w:val="16"/>
              </w:rPr>
              <w:t>subsidised eculizumab and has failed to demonstrate significant resolution of extra</w:t>
            </w:r>
            <w:r w:rsidR="0026100E">
              <w:rPr>
                <w:szCs w:val="16"/>
              </w:rPr>
              <w:noBreakHyphen/>
            </w:r>
            <w:r w:rsidRPr="006D52A9">
              <w:rPr>
                <w:szCs w:val="16"/>
              </w:rPr>
              <w:t>renal complications if originally presented.</w:t>
            </w:r>
          </w:p>
          <w:p w14:paraId="766E72B5" w14:textId="77777777" w:rsidR="008F47B8" w:rsidRPr="006D52A9" w:rsidRDefault="008F47B8" w:rsidP="00FB6D2D">
            <w:pPr>
              <w:pStyle w:val="mps3-data"/>
              <w:rPr>
                <w:szCs w:val="16"/>
              </w:rPr>
            </w:pPr>
            <w:r w:rsidRPr="006D52A9">
              <w:rPr>
                <w:szCs w:val="16"/>
              </w:rPr>
              <w:t>The authority application must include the following measures of response to the prior course of treatment, including serial haematological results (every 3 months while the patient is receiving treatment).</w:t>
            </w:r>
          </w:p>
          <w:p w14:paraId="06337F52" w14:textId="77777777" w:rsidR="008F47B8" w:rsidRPr="006D52A9" w:rsidRDefault="008F47B8" w:rsidP="00FB6D2D">
            <w:pPr>
              <w:pStyle w:val="mps3-data"/>
              <w:rPr>
                <w:szCs w:val="16"/>
              </w:rPr>
            </w:pPr>
            <w:r w:rsidRPr="006D52A9">
              <w:rPr>
                <w:szCs w:val="16"/>
              </w:rPr>
              <w:lastRenderedPageBreak/>
              <w:t>The authority application must be in writing and must include:</w:t>
            </w:r>
          </w:p>
          <w:p w14:paraId="00A8201E" w14:textId="77777777" w:rsidR="008F47B8" w:rsidRPr="006D52A9" w:rsidRDefault="008F47B8" w:rsidP="00FB6D2D">
            <w:pPr>
              <w:pStyle w:val="mps3-data"/>
              <w:rPr>
                <w:szCs w:val="16"/>
              </w:rPr>
            </w:pPr>
            <w:r w:rsidRPr="006D52A9">
              <w:rPr>
                <w:szCs w:val="16"/>
              </w:rPr>
              <w:t>(1) A completed authority prescription form(s); and</w:t>
            </w:r>
          </w:p>
          <w:p w14:paraId="4CE4E2A2" w14:textId="77777777" w:rsidR="008F47B8" w:rsidRPr="006D52A9" w:rsidRDefault="008F47B8" w:rsidP="00FB6D2D">
            <w:pPr>
              <w:pStyle w:val="mps3-data"/>
              <w:rPr>
                <w:szCs w:val="16"/>
              </w:rPr>
            </w:pPr>
            <w:r w:rsidRPr="006D52A9">
              <w:rPr>
                <w:szCs w:val="16"/>
              </w:rPr>
              <w:t>(2) A completed aHUS eculizumab Authority Application Supporting Information Form for Recommencement of treatment; and</w:t>
            </w:r>
          </w:p>
          <w:p w14:paraId="03D7427D" w14:textId="77777777" w:rsidR="008F47B8" w:rsidRPr="006D52A9" w:rsidRDefault="008F47B8" w:rsidP="00FB6D2D">
            <w:pPr>
              <w:pStyle w:val="mps3-data"/>
              <w:rPr>
                <w:szCs w:val="16"/>
              </w:rPr>
            </w:pPr>
            <w:r w:rsidRPr="006D52A9">
              <w:rPr>
                <w:szCs w:val="16"/>
              </w:rPr>
              <w:t>(3) A signed patient acknowledgement or an acknowledgement signed by a parent or authorised guardian, if applicable; and</w:t>
            </w:r>
          </w:p>
          <w:p w14:paraId="741E67FC" w14:textId="77777777" w:rsidR="008F47B8" w:rsidRPr="006D52A9" w:rsidRDefault="008F47B8" w:rsidP="00FB6D2D">
            <w:pPr>
              <w:pStyle w:val="mps3-data"/>
              <w:rPr>
                <w:szCs w:val="16"/>
              </w:rPr>
            </w:pPr>
            <w:r w:rsidRPr="006D52A9">
              <w:rPr>
                <w:szCs w:val="16"/>
              </w:rPr>
              <w:t>(4) A detailed cover letter from the prescriber; and</w:t>
            </w:r>
          </w:p>
          <w:p w14:paraId="4D881FB0" w14:textId="77777777" w:rsidR="008F47B8" w:rsidRPr="006D52A9" w:rsidRDefault="008F47B8" w:rsidP="00FB6D2D">
            <w:pPr>
              <w:pStyle w:val="mps3-data"/>
              <w:rPr>
                <w:szCs w:val="16"/>
              </w:rPr>
            </w:pPr>
            <w:r w:rsidRPr="006D52A9">
              <w:rPr>
                <w:szCs w:val="16"/>
              </w:rPr>
              <w:t>(5) A copy of a current Certificate of vaccination or a statement that vaccination has or will be administered and appropriate antibiotic prophylaxis has been prescribed; and</w:t>
            </w:r>
          </w:p>
          <w:p w14:paraId="7A348790" w14:textId="77777777" w:rsidR="008F47B8" w:rsidRPr="006D52A9" w:rsidRDefault="008F47B8" w:rsidP="00FB6D2D">
            <w:pPr>
              <w:pStyle w:val="mps3-data"/>
              <w:rPr>
                <w:szCs w:val="16"/>
              </w:rPr>
            </w:pPr>
            <w:r w:rsidRPr="006D52A9">
              <w:rPr>
                <w:szCs w:val="16"/>
              </w:rPr>
              <w:t>(6) A measurement of body weight at the time of application, and</w:t>
            </w:r>
          </w:p>
          <w:p w14:paraId="4C419D57" w14:textId="77777777" w:rsidR="008F47B8" w:rsidRPr="006D52A9" w:rsidRDefault="008F47B8" w:rsidP="00FB6D2D">
            <w:pPr>
              <w:pStyle w:val="mps3-data"/>
              <w:rPr>
                <w:szCs w:val="16"/>
              </w:rPr>
            </w:pPr>
            <w:r w:rsidRPr="006D52A9">
              <w:rPr>
                <w:szCs w:val="16"/>
              </w:rPr>
              <w:t>(7) An identified genetic mutation, if applicable; and</w:t>
            </w:r>
          </w:p>
          <w:p w14:paraId="0C3E0087" w14:textId="77777777" w:rsidR="008F47B8" w:rsidRPr="006D52A9" w:rsidRDefault="008F47B8" w:rsidP="00FB6D2D">
            <w:pPr>
              <w:pStyle w:val="mps3-data"/>
              <w:rPr>
                <w:szCs w:val="16"/>
              </w:rPr>
            </w:pPr>
            <w:r w:rsidRPr="006D52A9">
              <w:rPr>
                <w:szCs w:val="16"/>
              </w:rPr>
              <w:t>(8) A family history of aHUS if applicable; and</w:t>
            </w:r>
          </w:p>
          <w:p w14:paraId="41A7006D" w14:textId="77777777" w:rsidR="008F47B8" w:rsidRPr="006D52A9" w:rsidRDefault="008F47B8" w:rsidP="00FB6D2D">
            <w:pPr>
              <w:pStyle w:val="mps3-data"/>
              <w:rPr>
                <w:szCs w:val="16"/>
              </w:rPr>
            </w:pPr>
            <w:r w:rsidRPr="006D52A9">
              <w:rPr>
                <w:szCs w:val="16"/>
              </w:rPr>
              <w:t>(9) A history of multiple episodes of aHUS following the treatment break, if applicable; and</w:t>
            </w:r>
          </w:p>
          <w:p w14:paraId="3EC83714" w14:textId="77777777" w:rsidR="008F47B8" w:rsidRPr="006D52A9" w:rsidRDefault="008F47B8" w:rsidP="00FB6D2D">
            <w:pPr>
              <w:pStyle w:val="mps3-data"/>
              <w:rPr>
                <w:szCs w:val="16"/>
              </w:rPr>
            </w:pPr>
            <w:r w:rsidRPr="006D52A9">
              <w:rPr>
                <w:szCs w:val="16"/>
              </w:rPr>
              <w:t>(10) A history of kidney transplant if applicable (especially if required due to aHUS); and</w:t>
            </w:r>
          </w:p>
          <w:p w14:paraId="21F5E02C" w14:textId="77777777" w:rsidR="008F47B8" w:rsidRPr="006D52A9" w:rsidRDefault="008F47B8" w:rsidP="00FB6D2D">
            <w:pPr>
              <w:pStyle w:val="mps3-data"/>
              <w:rPr>
                <w:szCs w:val="16"/>
              </w:rPr>
            </w:pPr>
            <w:r w:rsidRPr="006D52A9">
              <w:rPr>
                <w:szCs w:val="16"/>
              </w:rPr>
              <w:t>(11) An inclusion of the individual consequences of recurrent disease; and</w:t>
            </w:r>
          </w:p>
          <w:p w14:paraId="70A5ACA8" w14:textId="77777777" w:rsidR="008F47B8" w:rsidRPr="006D52A9" w:rsidRDefault="008F47B8" w:rsidP="00FB6D2D">
            <w:pPr>
              <w:pStyle w:val="mps3-data"/>
              <w:rPr>
                <w:szCs w:val="16"/>
              </w:rPr>
            </w:pPr>
            <w:r w:rsidRPr="006D52A9">
              <w:rPr>
                <w:szCs w:val="16"/>
              </w:rPr>
              <w:t>(12) A supporting statement with clinical evidence of TMA</w:t>
            </w:r>
            <w:r w:rsidR="0026100E">
              <w:rPr>
                <w:szCs w:val="16"/>
              </w:rPr>
              <w:noBreakHyphen/>
            </w:r>
            <w:r w:rsidRPr="006D52A9">
              <w:rPr>
                <w:szCs w:val="16"/>
              </w:rPr>
              <w:t>related organ damage including current (within one week of application) haematological results (platelet count, haptoglobin and LDH), eGFR level, and, if applicable, on recent biopsy;</w:t>
            </w:r>
          </w:p>
          <w:p w14:paraId="1EDD9D79" w14:textId="77777777" w:rsidR="008F47B8" w:rsidRPr="006D52A9" w:rsidRDefault="008F47B8" w:rsidP="00FB6D2D">
            <w:pPr>
              <w:pStyle w:val="mps3-data"/>
              <w:rPr>
                <w:szCs w:val="16"/>
              </w:rPr>
            </w:pPr>
            <w:r w:rsidRPr="006D52A9">
              <w:rPr>
                <w:szCs w:val="16"/>
              </w:rPr>
              <w:t>(13) Evidence that the patient has had a treatment response to their previous treatment with eculizumab; and</w:t>
            </w:r>
          </w:p>
          <w:p w14:paraId="36EEE8EC" w14:textId="77777777" w:rsidR="008F47B8" w:rsidRPr="006D52A9" w:rsidRDefault="008F47B8" w:rsidP="00FB6D2D">
            <w:pPr>
              <w:pStyle w:val="mps3-data"/>
              <w:rPr>
                <w:szCs w:val="16"/>
              </w:rPr>
            </w:pPr>
            <w:r w:rsidRPr="006D52A9">
              <w:rPr>
                <w:szCs w:val="16"/>
              </w:rPr>
              <w:t>(14) Evidence that the patient has not experienced treatment failure, including a supporting statement with clinical evidence that the patient does not require dialysis, unless the indication for continuing eculizumab is severe extra</w:t>
            </w:r>
            <w:r w:rsidR="0026100E">
              <w:rPr>
                <w:szCs w:val="16"/>
              </w:rPr>
              <w:noBreakHyphen/>
            </w:r>
            <w:r w:rsidRPr="006D52A9">
              <w:rPr>
                <w:szCs w:val="16"/>
              </w:rPr>
              <w:t>renal complications that have significantly improved; and</w:t>
            </w:r>
          </w:p>
          <w:p w14:paraId="066A87E5" w14:textId="77777777" w:rsidR="008F47B8" w:rsidRPr="006D52A9" w:rsidRDefault="008F47B8" w:rsidP="00FB6D2D">
            <w:pPr>
              <w:pStyle w:val="mps3-data"/>
              <w:rPr>
                <w:szCs w:val="16"/>
              </w:rPr>
            </w:pPr>
            <w:r w:rsidRPr="006D52A9">
              <w:rPr>
                <w:szCs w:val="16"/>
              </w:rPr>
              <w:t>(15) If the indication for continuing eculizumab is severe extra</w:t>
            </w:r>
            <w:r w:rsidR="0026100E">
              <w:rPr>
                <w:szCs w:val="16"/>
              </w:rPr>
              <w:noBreakHyphen/>
            </w:r>
            <w:r w:rsidRPr="006D52A9">
              <w:rPr>
                <w:szCs w:val="16"/>
              </w:rPr>
              <w:t>renal complications, then a supporting statement with clinical evidence that any initial extra</w:t>
            </w:r>
            <w:r w:rsidR="0026100E">
              <w:rPr>
                <w:szCs w:val="16"/>
              </w:rPr>
              <w:noBreakHyphen/>
            </w:r>
            <w:r w:rsidRPr="006D52A9">
              <w:rPr>
                <w:szCs w:val="16"/>
              </w:rPr>
              <w:t>renal complications of TMA have significantly improved is required.</w:t>
            </w:r>
          </w:p>
          <w:p w14:paraId="3FEC0DB8"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29" w:type="pct"/>
            <w:shd w:val="clear" w:color="auto" w:fill="auto"/>
            <w:tcMar>
              <w:top w:w="28" w:type="dxa"/>
              <w:left w:w="28" w:type="dxa"/>
              <w:right w:w="57" w:type="dxa"/>
            </w:tcMar>
          </w:tcPr>
          <w:p w14:paraId="5DD72827"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107F2B" w14:paraId="1219C8E2" w14:textId="77777777" w:rsidTr="00FB6D2D">
        <w:tc>
          <w:tcPr>
            <w:tcW w:w="647" w:type="pct"/>
            <w:shd w:val="clear" w:color="auto" w:fill="auto"/>
            <w:tcMar>
              <w:top w:w="28" w:type="dxa"/>
              <w:left w:w="28" w:type="dxa"/>
            </w:tcMar>
            <w:vAlign w:val="center"/>
          </w:tcPr>
          <w:p w14:paraId="1A37FCAC" w14:textId="77777777" w:rsidR="008F47B8" w:rsidRPr="006D52A9" w:rsidDel="00107F2B"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70E506B5"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C6688</w:t>
            </w:r>
          </w:p>
        </w:tc>
        <w:tc>
          <w:tcPr>
            <w:tcW w:w="274" w:type="pct"/>
            <w:shd w:val="clear" w:color="auto" w:fill="auto"/>
            <w:tcMar>
              <w:top w:w="28" w:type="dxa"/>
              <w:left w:w="28" w:type="dxa"/>
            </w:tcMar>
          </w:tcPr>
          <w:p w14:paraId="1D3F3EC0"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P6688</w:t>
            </w:r>
          </w:p>
        </w:tc>
        <w:tc>
          <w:tcPr>
            <w:tcW w:w="2867" w:type="pct"/>
            <w:shd w:val="clear" w:color="auto" w:fill="auto"/>
            <w:tcMar>
              <w:top w:w="28" w:type="dxa"/>
              <w:left w:w="28" w:type="dxa"/>
            </w:tcMar>
          </w:tcPr>
          <w:p w14:paraId="1E56FBEE" w14:textId="77777777" w:rsidR="008F47B8" w:rsidRPr="006D52A9" w:rsidRDefault="008F47B8" w:rsidP="00FB6D2D">
            <w:pPr>
              <w:pStyle w:val="mps3-data"/>
              <w:spacing w:before="0"/>
              <w:rPr>
                <w:szCs w:val="16"/>
              </w:rPr>
            </w:pPr>
            <w:r w:rsidRPr="006D52A9">
              <w:rPr>
                <w:szCs w:val="16"/>
              </w:rPr>
              <w:t>Atypical haemolytic uraemic syndrome (aHUS)</w:t>
            </w:r>
          </w:p>
          <w:p w14:paraId="0A0BAB70" w14:textId="77777777" w:rsidR="008F47B8" w:rsidRPr="006D52A9" w:rsidRDefault="008F47B8" w:rsidP="00FB6D2D">
            <w:pPr>
              <w:pStyle w:val="mps3-data"/>
              <w:rPr>
                <w:szCs w:val="16"/>
              </w:rPr>
            </w:pPr>
            <w:r w:rsidRPr="006D52A9">
              <w:rPr>
                <w:szCs w:val="16"/>
              </w:rPr>
              <w:t>Continuing recommencement of treatment</w:t>
            </w:r>
          </w:p>
          <w:p w14:paraId="7CBC9038" w14:textId="77777777" w:rsidR="008F47B8" w:rsidRPr="006D52A9" w:rsidRDefault="008F47B8" w:rsidP="00FB6D2D">
            <w:pPr>
              <w:pStyle w:val="mps3-data"/>
              <w:rPr>
                <w:szCs w:val="16"/>
              </w:rPr>
            </w:pPr>
            <w:r w:rsidRPr="006D52A9">
              <w:rPr>
                <w:szCs w:val="16"/>
              </w:rPr>
              <w:t>Patient must have received treatment under Recommencement of treatment restriction with PBS</w:t>
            </w:r>
            <w:r w:rsidR="0026100E">
              <w:rPr>
                <w:szCs w:val="16"/>
              </w:rPr>
              <w:noBreakHyphen/>
            </w:r>
            <w:r w:rsidRPr="006D52A9">
              <w:rPr>
                <w:szCs w:val="16"/>
              </w:rPr>
              <w:t>subsidised eculizumab for this condition; AND</w:t>
            </w:r>
          </w:p>
          <w:p w14:paraId="68F5BECF" w14:textId="77777777" w:rsidR="008F47B8" w:rsidRPr="006D52A9" w:rsidRDefault="008F47B8" w:rsidP="00FB6D2D">
            <w:pPr>
              <w:pStyle w:val="mps3-data"/>
              <w:rPr>
                <w:szCs w:val="16"/>
              </w:rPr>
            </w:pPr>
            <w:r w:rsidRPr="006D52A9">
              <w:rPr>
                <w:szCs w:val="16"/>
              </w:rPr>
              <w:t>Patient must have demonstrated ongoing treatment response to the previous 24 weeks of PBS</w:t>
            </w:r>
            <w:r w:rsidR="0026100E">
              <w:rPr>
                <w:szCs w:val="16"/>
              </w:rPr>
              <w:noBreakHyphen/>
            </w:r>
            <w:r w:rsidRPr="006D52A9">
              <w:rPr>
                <w:szCs w:val="16"/>
              </w:rPr>
              <w:t>subsidised eculizumab for this condition; AND</w:t>
            </w:r>
          </w:p>
          <w:p w14:paraId="36A5FED1" w14:textId="77777777" w:rsidR="008F47B8" w:rsidRPr="006D52A9" w:rsidRDefault="008F47B8" w:rsidP="00FB6D2D">
            <w:pPr>
              <w:pStyle w:val="mps3-data"/>
              <w:rPr>
                <w:szCs w:val="16"/>
              </w:rPr>
            </w:pPr>
            <w:r w:rsidRPr="006D52A9">
              <w:rPr>
                <w:szCs w:val="16"/>
              </w:rPr>
              <w:lastRenderedPageBreak/>
              <w:t>Patient must not have experienced treatment failure with eculizumab including PBS</w:t>
            </w:r>
            <w:r w:rsidR="0026100E">
              <w:rPr>
                <w:szCs w:val="16"/>
              </w:rPr>
              <w:noBreakHyphen/>
            </w:r>
            <w:r w:rsidRPr="006D52A9">
              <w:rPr>
                <w:szCs w:val="16"/>
              </w:rPr>
              <w:t>subsidised eculizumab for this condition; AND</w:t>
            </w:r>
          </w:p>
          <w:p w14:paraId="192D55D2" w14:textId="77777777" w:rsidR="008F47B8" w:rsidRPr="006D52A9" w:rsidRDefault="008F47B8" w:rsidP="00FB6D2D">
            <w:pPr>
              <w:pStyle w:val="mps3-data"/>
              <w:rPr>
                <w:szCs w:val="16"/>
              </w:rPr>
            </w:pPr>
            <w:r w:rsidRPr="006D52A9">
              <w:rPr>
                <w:szCs w:val="16"/>
              </w:rPr>
              <w:t>Patient must not receive more than 24 weeks of treatment under this restriction.</w:t>
            </w:r>
          </w:p>
          <w:p w14:paraId="7B420E1C" w14:textId="77777777" w:rsidR="008F47B8" w:rsidRPr="006D52A9" w:rsidRDefault="008F47B8" w:rsidP="00FB6D2D">
            <w:pPr>
              <w:pStyle w:val="mps3-data"/>
              <w:rPr>
                <w:szCs w:val="16"/>
              </w:rPr>
            </w:pPr>
            <w:r w:rsidRPr="006D52A9">
              <w:rPr>
                <w:szCs w:val="16"/>
              </w:rPr>
              <w:t>Must be treated by a paediatric nephrologist, a nephrologist, a paediatric haematologist or a haematologist, or, must be in consultation with a paediatric nephrologist, a nephrologist, a paediatric haematologist or a haematologist.</w:t>
            </w:r>
          </w:p>
          <w:p w14:paraId="30244A8C" w14:textId="77777777" w:rsidR="008F47B8" w:rsidRPr="006D52A9" w:rsidRDefault="008F47B8" w:rsidP="00FB6D2D">
            <w:pPr>
              <w:pStyle w:val="mps3-data"/>
              <w:rPr>
                <w:szCs w:val="16"/>
              </w:rPr>
            </w:pPr>
            <w:r w:rsidRPr="006D52A9">
              <w:rPr>
                <w:szCs w:val="16"/>
              </w:rPr>
              <w:t>A treatment response is defined as:</w:t>
            </w:r>
          </w:p>
          <w:p w14:paraId="7B4CB8CB" w14:textId="77777777" w:rsidR="008F47B8" w:rsidRPr="006D52A9" w:rsidRDefault="008F47B8" w:rsidP="00FB6D2D">
            <w:pPr>
              <w:pStyle w:val="mps3-data"/>
              <w:rPr>
                <w:szCs w:val="16"/>
              </w:rPr>
            </w:pPr>
            <w:r w:rsidRPr="006D52A9">
              <w:rPr>
                <w:szCs w:val="16"/>
              </w:rPr>
              <w:t>(1) Normalisation of haematology as demonstrated by at least 2 of the following: platelet count, haptoglobin, and LDH; AND</w:t>
            </w:r>
          </w:p>
          <w:p w14:paraId="495A3F14" w14:textId="77777777" w:rsidR="008F47B8" w:rsidRPr="006D52A9" w:rsidRDefault="008F47B8" w:rsidP="00FB6D2D">
            <w:pPr>
              <w:pStyle w:val="mps3-data"/>
              <w:rPr>
                <w:szCs w:val="16"/>
              </w:rPr>
            </w:pPr>
            <w:r w:rsidRPr="006D52A9">
              <w:rPr>
                <w:szCs w:val="16"/>
              </w:rPr>
              <w:t>(2) One of the following:</w:t>
            </w:r>
          </w:p>
          <w:p w14:paraId="2632BB82" w14:textId="77777777" w:rsidR="008F47B8" w:rsidRPr="006D52A9" w:rsidRDefault="008F47B8" w:rsidP="00FB6D2D">
            <w:pPr>
              <w:pStyle w:val="mps3-data"/>
              <w:rPr>
                <w:szCs w:val="16"/>
              </w:rPr>
            </w:pPr>
            <w:r w:rsidRPr="006D52A9">
              <w:rPr>
                <w:szCs w:val="16"/>
              </w:rPr>
              <w:t>a) An increase in eGFR of &gt; 25% from baseline, where the baseline is the eGFR measurement immediately prior to commencing treatment with eculizumab or</w:t>
            </w:r>
          </w:p>
          <w:p w14:paraId="03502A85" w14:textId="77777777" w:rsidR="008F47B8" w:rsidRPr="006D52A9" w:rsidRDefault="008F47B8" w:rsidP="00FB6D2D">
            <w:pPr>
              <w:pStyle w:val="mps3-data"/>
              <w:rPr>
                <w:szCs w:val="16"/>
              </w:rPr>
            </w:pPr>
            <w:r w:rsidRPr="006D52A9">
              <w:rPr>
                <w:szCs w:val="16"/>
              </w:rPr>
              <w:t>b) an eGFR within +/</w:t>
            </w:r>
            <w:r w:rsidR="0026100E">
              <w:rPr>
                <w:szCs w:val="16"/>
              </w:rPr>
              <w:noBreakHyphen/>
            </w:r>
            <w:r w:rsidRPr="006D52A9">
              <w:rPr>
                <w:szCs w:val="16"/>
              </w:rPr>
              <w:t xml:space="preserve"> 25% from baseline; or</w:t>
            </w:r>
          </w:p>
          <w:p w14:paraId="357BDDF3" w14:textId="77777777" w:rsidR="008F47B8" w:rsidRPr="006D52A9" w:rsidRDefault="008F47B8" w:rsidP="00FB6D2D">
            <w:pPr>
              <w:pStyle w:val="mps3-data"/>
              <w:rPr>
                <w:szCs w:val="16"/>
              </w:rPr>
            </w:pPr>
            <w:r w:rsidRPr="006D52A9">
              <w:rPr>
                <w:szCs w:val="16"/>
              </w:rPr>
              <w:t>c) an avoidance of dialysis</w:t>
            </w:r>
            <w:r w:rsidR="0026100E">
              <w:rPr>
                <w:szCs w:val="16"/>
              </w:rPr>
              <w:noBreakHyphen/>
            </w:r>
            <w:r w:rsidRPr="006D52A9">
              <w:rPr>
                <w:szCs w:val="16"/>
              </w:rPr>
              <w:t>dependence but worsening of kidney function with a reduction in eGFR 25% from baseline.</w:t>
            </w:r>
          </w:p>
          <w:p w14:paraId="6BFE7E81" w14:textId="77777777" w:rsidR="008F47B8" w:rsidRPr="006D52A9" w:rsidRDefault="008F47B8" w:rsidP="00FB6D2D">
            <w:pPr>
              <w:pStyle w:val="mps3-data"/>
              <w:rPr>
                <w:szCs w:val="16"/>
              </w:rPr>
            </w:pPr>
            <w:r w:rsidRPr="006D52A9">
              <w:rPr>
                <w:szCs w:val="16"/>
              </w:rPr>
              <w:t>PBS</w:t>
            </w:r>
            <w:r w:rsidR="0026100E">
              <w:rPr>
                <w:szCs w:val="16"/>
              </w:rPr>
              <w:noBreakHyphen/>
            </w:r>
            <w:r w:rsidRPr="006D52A9">
              <w:rPr>
                <w:szCs w:val="16"/>
              </w:rPr>
              <w:t>subsidised treatment with eculizumab will not be permitted if a patient has experienced treatment failure. A treatment failure is defined as a patient who is:</w:t>
            </w:r>
          </w:p>
          <w:p w14:paraId="1D4819CB" w14:textId="77777777" w:rsidR="008F47B8" w:rsidRPr="006D52A9" w:rsidRDefault="008F47B8" w:rsidP="00FB6D2D">
            <w:pPr>
              <w:pStyle w:val="mps3-data"/>
              <w:rPr>
                <w:szCs w:val="16"/>
              </w:rPr>
            </w:pPr>
            <w:r w:rsidRPr="006D52A9">
              <w:rPr>
                <w:szCs w:val="16"/>
              </w:rPr>
              <w:t>(1) dialysis</w:t>
            </w:r>
            <w:r w:rsidR="0026100E">
              <w:rPr>
                <w:szCs w:val="16"/>
              </w:rPr>
              <w:noBreakHyphen/>
            </w:r>
            <w:r w:rsidRPr="006D52A9">
              <w:rPr>
                <w:szCs w:val="16"/>
              </w:rPr>
              <w:t>dependent at the time of application and has failed to demonstrate significant resolution of extra</w:t>
            </w:r>
            <w:r w:rsidR="0026100E">
              <w:rPr>
                <w:szCs w:val="16"/>
              </w:rPr>
              <w:noBreakHyphen/>
            </w:r>
            <w:r w:rsidRPr="006D52A9">
              <w:rPr>
                <w:szCs w:val="16"/>
              </w:rPr>
              <w:t>renal complications if originally presented; or</w:t>
            </w:r>
          </w:p>
          <w:p w14:paraId="72124F31" w14:textId="77777777" w:rsidR="008F47B8" w:rsidRPr="006D52A9" w:rsidRDefault="008F47B8" w:rsidP="00FB6D2D">
            <w:pPr>
              <w:pStyle w:val="mps3-data"/>
              <w:rPr>
                <w:szCs w:val="16"/>
              </w:rPr>
            </w:pPr>
            <w:r w:rsidRPr="006D52A9">
              <w:rPr>
                <w:szCs w:val="16"/>
              </w:rPr>
              <w:t>(2) on dialysis and has been on dialysis for 4 months of the previous 6 months while receiving PBS</w:t>
            </w:r>
            <w:r w:rsidR="0026100E">
              <w:rPr>
                <w:szCs w:val="16"/>
              </w:rPr>
              <w:noBreakHyphen/>
            </w:r>
            <w:r w:rsidRPr="006D52A9">
              <w:rPr>
                <w:szCs w:val="16"/>
              </w:rPr>
              <w:t>subsidised eculizumab and has failed to demonstrate significant resolution of extra</w:t>
            </w:r>
            <w:r w:rsidR="0026100E">
              <w:rPr>
                <w:szCs w:val="16"/>
              </w:rPr>
              <w:noBreakHyphen/>
            </w:r>
            <w:r w:rsidRPr="006D52A9">
              <w:rPr>
                <w:szCs w:val="16"/>
              </w:rPr>
              <w:t>renal complications if originally presented.</w:t>
            </w:r>
          </w:p>
          <w:p w14:paraId="437511D2" w14:textId="77777777" w:rsidR="008F47B8" w:rsidRPr="006D52A9" w:rsidRDefault="008F47B8" w:rsidP="00FB6D2D">
            <w:pPr>
              <w:pStyle w:val="mps3-data"/>
              <w:rPr>
                <w:szCs w:val="16"/>
              </w:rPr>
            </w:pPr>
            <w:r w:rsidRPr="006D52A9">
              <w:rPr>
                <w:szCs w:val="16"/>
              </w:rPr>
              <w:t>The authority application must include the following measures of response to the prior course of treatment, including serial haematological results (every 3 months while the patient is receiving treatment).</w:t>
            </w:r>
          </w:p>
          <w:p w14:paraId="7D398B6A" w14:textId="77777777" w:rsidR="008F47B8" w:rsidRPr="006D52A9" w:rsidRDefault="008F47B8" w:rsidP="00FB6D2D">
            <w:pPr>
              <w:pStyle w:val="mps3-data"/>
              <w:rPr>
                <w:szCs w:val="16"/>
              </w:rPr>
            </w:pPr>
            <w:r w:rsidRPr="006D52A9">
              <w:rPr>
                <w:szCs w:val="16"/>
              </w:rPr>
              <w:t>The authority application must be in writing and must include:</w:t>
            </w:r>
          </w:p>
          <w:p w14:paraId="23A65174" w14:textId="77777777" w:rsidR="008F47B8" w:rsidRPr="006D52A9" w:rsidRDefault="008F47B8" w:rsidP="00FB6D2D">
            <w:pPr>
              <w:pStyle w:val="mps3-data"/>
              <w:rPr>
                <w:szCs w:val="16"/>
              </w:rPr>
            </w:pPr>
            <w:r w:rsidRPr="006D52A9">
              <w:rPr>
                <w:szCs w:val="16"/>
              </w:rPr>
              <w:t>(1) A completed authority prescription form; and</w:t>
            </w:r>
          </w:p>
          <w:p w14:paraId="3E8F9101" w14:textId="77777777" w:rsidR="008F47B8" w:rsidRPr="006D52A9" w:rsidRDefault="008F47B8" w:rsidP="00FB6D2D">
            <w:pPr>
              <w:pStyle w:val="mps3-data"/>
              <w:rPr>
                <w:szCs w:val="16"/>
              </w:rPr>
            </w:pPr>
            <w:r w:rsidRPr="006D52A9">
              <w:rPr>
                <w:szCs w:val="16"/>
              </w:rPr>
              <w:t>(2) A completed aHUS eculizumab Authority Application Supporting Information Form for Continuing treatment; and</w:t>
            </w:r>
          </w:p>
          <w:p w14:paraId="24BAA03E" w14:textId="77777777" w:rsidR="008F47B8" w:rsidRPr="006D52A9" w:rsidRDefault="008F47B8" w:rsidP="00FB6D2D">
            <w:pPr>
              <w:pStyle w:val="mps3-data"/>
              <w:rPr>
                <w:szCs w:val="16"/>
              </w:rPr>
            </w:pPr>
            <w:r w:rsidRPr="006D52A9">
              <w:rPr>
                <w:szCs w:val="16"/>
              </w:rPr>
              <w:t>(3) A detailed cover letter from the prescriber; and</w:t>
            </w:r>
          </w:p>
          <w:p w14:paraId="26A22BF0" w14:textId="77777777" w:rsidR="008F47B8" w:rsidRPr="006D52A9" w:rsidRDefault="008F47B8" w:rsidP="00FB6D2D">
            <w:pPr>
              <w:pStyle w:val="mps3-data"/>
              <w:rPr>
                <w:szCs w:val="16"/>
              </w:rPr>
            </w:pPr>
            <w:r w:rsidRPr="006D52A9">
              <w:rPr>
                <w:szCs w:val="16"/>
              </w:rPr>
              <w:t>(4) A copy of a current Certificate of vaccination or a statement that vaccination has or will be administered and appropriate antibiotic prophylaxis has been prescribed; and</w:t>
            </w:r>
          </w:p>
          <w:p w14:paraId="367C5F9E" w14:textId="77777777" w:rsidR="008F47B8" w:rsidRPr="006D52A9" w:rsidRDefault="008F47B8" w:rsidP="00FB6D2D">
            <w:pPr>
              <w:pStyle w:val="mps3-data"/>
              <w:rPr>
                <w:szCs w:val="16"/>
              </w:rPr>
            </w:pPr>
            <w:r w:rsidRPr="006D52A9">
              <w:rPr>
                <w:szCs w:val="16"/>
              </w:rPr>
              <w:t>(5) A measurement of body weight at the time of application; and</w:t>
            </w:r>
          </w:p>
          <w:p w14:paraId="5C6D0A89" w14:textId="77777777" w:rsidR="008F47B8" w:rsidRPr="006D52A9" w:rsidRDefault="008F47B8" w:rsidP="00FB6D2D">
            <w:pPr>
              <w:pStyle w:val="mps3-data"/>
              <w:rPr>
                <w:szCs w:val="16"/>
              </w:rPr>
            </w:pPr>
            <w:r w:rsidRPr="006D52A9">
              <w:rPr>
                <w:szCs w:val="16"/>
              </w:rPr>
              <w:t>(6) An identified genetic mutation, if applicable; and</w:t>
            </w:r>
          </w:p>
          <w:p w14:paraId="5E3A1750" w14:textId="77777777" w:rsidR="008F47B8" w:rsidRPr="006D52A9" w:rsidRDefault="008F47B8" w:rsidP="00FB6D2D">
            <w:pPr>
              <w:pStyle w:val="mps3-data"/>
              <w:rPr>
                <w:szCs w:val="16"/>
              </w:rPr>
            </w:pPr>
            <w:r w:rsidRPr="006D52A9">
              <w:rPr>
                <w:szCs w:val="16"/>
              </w:rPr>
              <w:t>(7) A family history of aHUS, if applicable; and</w:t>
            </w:r>
          </w:p>
          <w:p w14:paraId="759D4754" w14:textId="77777777" w:rsidR="008F47B8" w:rsidRPr="006D52A9" w:rsidRDefault="008F47B8" w:rsidP="00FB6D2D">
            <w:pPr>
              <w:pStyle w:val="mps3-data"/>
              <w:rPr>
                <w:szCs w:val="16"/>
              </w:rPr>
            </w:pPr>
            <w:r w:rsidRPr="006D52A9">
              <w:rPr>
                <w:szCs w:val="16"/>
              </w:rPr>
              <w:lastRenderedPageBreak/>
              <w:t>(8) A history of multiple episodes of aHUS before recommencing eculizumab treatment, if applicable; and</w:t>
            </w:r>
          </w:p>
          <w:p w14:paraId="2DC6579B" w14:textId="77777777" w:rsidR="008F47B8" w:rsidRPr="006D52A9" w:rsidRDefault="008F47B8" w:rsidP="00FB6D2D">
            <w:pPr>
              <w:pStyle w:val="mps3-data"/>
              <w:rPr>
                <w:szCs w:val="16"/>
              </w:rPr>
            </w:pPr>
            <w:r w:rsidRPr="006D52A9">
              <w:rPr>
                <w:szCs w:val="16"/>
              </w:rPr>
              <w:t>(9) A history of kidney transplant if applicable (especially if required due to aHUS); and</w:t>
            </w:r>
          </w:p>
          <w:p w14:paraId="2D1B92FA" w14:textId="77777777" w:rsidR="008F47B8" w:rsidRPr="006D52A9" w:rsidRDefault="008F47B8" w:rsidP="00FB6D2D">
            <w:pPr>
              <w:pStyle w:val="mps3-data"/>
              <w:rPr>
                <w:szCs w:val="16"/>
              </w:rPr>
            </w:pPr>
            <w:r w:rsidRPr="006D52A9">
              <w:rPr>
                <w:szCs w:val="16"/>
              </w:rPr>
              <w:t>(10) An inclusion of the individual consequences of recurrent disease, if applicable; and</w:t>
            </w:r>
          </w:p>
          <w:p w14:paraId="15E2471B" w14:textId="77777777" w:rsidR="008F47B8" w:rsidRPr="006D52A9" w:rsidRDefault="008F47B8" w:rsidP="00FB6D2D">
            <w:pPr>
              <w:pStyle w:val="mps3-data"/>
              <w:rPr>
                <w:szCs w:val="16"/>
              </w:rPr>
            </w:pPr>
            <w:r w:rsidRPr="006D52A9">
              <w:rPr>
                <w:szCs w:val="16"/>
              </w:rPr>
              <w:t>(11) Evidence that the patient has had a treatment response including haematological results of no more than 1 week old at the time of application (platelet count, haptoglobin and LDH); and an eGFR level of no more than 1 week old at the time of application; and</w:t>
            </w:r>
          </w:p>
          <w:p w14:paraId="24CE98D3" w14:textId="77777777" w:rsidR="008F47B8" w:rsidRPr="006D52A9" w:rsidRDefault="008F47B8" w:rsidP="00FB6D2D">
            <w:pPr>
              <w:pStyle w:val="mps3-data"/>
              <w:rPr>
                <w:szCs w:val="16"/>
              </w:rPr>
            </w:pPr>
            <w:r w:rsidRPr="006D52A9">
              <w:rPr>
                <w:szCs w:val="16"/>
              </w:rPr>
              <w:t>(12) Evidence that the patient has not experienced treatment failure, including a supporting statement with clinical evidence that the patient does not require dialysis, unless the indication for continuing eculizumab is severe extra</w:t>
            </w:r>
            <w:r w:rsidR="0026100E">
              <w:rPr>
                <w:szCs w:val="16"/>
              </w:rPr>
              <w:noBreakHyphen/>
            </w:r>
            <w:r w:rsidRPr="006D52A9">
              <w:rPr>
                <w:szCs w:val="16"/>
              </w:rPr>
              <w:t>renal complications that have significantly improved; and</w:t>
            </w:r>
          </w:p>
          <w:p w14:paraId="24C98B1B" w14:textId="77777777" w:rsidR="008F47B8" w:rsidRPr="006D52A9" w:rsidRDefault="008F47B8" w:rsidP="00FB6D2D">
            <w:pPr>
              <w:pStyle w:val="mps3-data"/>
              <w:rPr>
                <w:szCs w:val="16"/>
              </w:rPr>
            </w:pPr>
            <w:r w:rsidRPr="006D52A9">
              <w:rPr>
                <w:szCs w:val="16"/>
              </w:rPr>
              <w:t>(13) If the indication for continuing eculizumab is severe extra</w:t>
            </w:r>
            <w:r w:rsidR="0026100E">
              <w:rPr>
                <w:szCs w:val="16"/>
              </w:rPr>
              <w:noBreakHyphen/>
            </w:r>
            <w:r w:rsidRPr="006D52A9">
              <w:rPr>
                <w:szCs w:val="16"/>
              </w:rPr>
              <w:t>renal complications, then a supporting statement with clinical evidence that any initial extra</w:t>
            </w:r>
            <w:r w:rsidR="0026100E">
              <w:rPr>
                <w:szCs w:val="16"/>
              </w:rPr>
              <w:noBreakHyphen/>
            </w:r>
            <w:r w:rsidRPr="006D52A9">
              <w:rPr>
                <w:szCs w:val="16"/>
              </w:rPr>
              <w:t>renal complications of TMA have significantly improved is required.</w:t>
            </w:r>
          </w:p>
          <w:p w14:paraId="62EA43FA" w14:textId="77777777" w:rsidR="008F47B8" w:rsidRPr="006D52A9" w:rsidDel="00107F2B" w:rsidRDefault="008F47B8" w:rsidP="00FB6D2D">
            <w:pPr>
              <w:spacing w:line="240" w:lineRule="auto"/>
              <w:rPr>
                <w:rFonts w:ascii="Arial" w:hAnsi="Arial" w:cs="Arial"/>
                <w:sz w:val="16"/>
                <w:szCs w:val="16"/>
              </w:rPr>
            </w:pPr>
            <w:r w:rsidRPr="006D52A9">
              <w:rPr>
                <w:rFonts w:ascii="Arial"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eculizumab.</w:t>
            </w:r>
          </w:p>
        </w:tc>
        <w:tc>
          <w:tcPr>
            <w:tcW w:w="929" w:type="pct"/>
            <w:shd w:val="clear" w:color="auto" w:fill="auto"/>
            <w:tcMar>
              <w:top w:w="28" w:type="dxa"/>
              <w:left w:w="28" w:type="dxa"/>
              <w:right w:w="57" w:type="dxa"/>
            </w:tcMar>
          </w:tcPr>
          <w:p w14:paraId="503EBE5D" w14:textId="77777777" w:rsidR="008F47B8" w:rsidRPr="006D52A9" w:rsidDel="00107F2B"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E46204" w14:paraId="4E21F8B3" w14:textId="77777777" w:rsidTr="00FB6D2D">
        <w:tblPrEx>
          <w:tblLook w:val="01E0" w:firstRow="1" w:lastRow="1" w:firstColumn="1" w:lastColumn="1" w:noHBand="0" w:noVBand="0"/>
        </w:tblPrEx>
        <w:tc>
          <w:tcPr>
            <w:tcW w:w="647" w:type="pct"/>
            <w:shd w:val="clear" w:color="auto" w:fill="auto"/>
            <w:tcMar>
              <w:top w:w="28" w:type="dxa"/>
              <w:left w:w="28" w:type="dxa"/>
            </w:tcMar>
          </w:tcPr>
          <w:p w14:paraId="023C4A71" w14:textId="77777777" w:rsidR="008F47B8" w:rsidRPr="006D52A9" w:rsidDel="00E46204" w:rsidRDefault="008F47B8" w:rsidP="00FB6D2D">
            <w:pPr>
              <w:spacing w:line="240" w:lineRule="auto"/>
              <w:rPr>
                <w:rFonts w:ascii="Arial" w:hAnsi="Arial" w:cs="Arial"/>
                <w:sz w:val="16"/>
                <w:szCs w:val="16"/>
              </w:rPr>
            </w:pPr>
            <w:bookmarkStart w:id="106" w:name="CU_131321455"/>
            <w:bookmarkStart w:id="107" w:name="CU_134322475"/>
            <w:bookmarkEnd w:id="106"/>
            <w:bookmarkEnd w:id="107"/>
            <w:r w:rsidRPr="006D52A9">
              <w:rPr>
                <w:rFonts w:ascii="Arial" w:hAnsi="Arial" w:cs="Arial"/>
                <w:sz w:val="16"/>
                <w:szCs w:val="16"/>
              </w:rPr>
              <w:lastRenderedPageBreak/>
              <w:t>Efavirenz</w:t>
            </w:r>
          </w:p>
        </w:tc>
        <w:tc>
          <w:tcPr>
            <w:tcW w:w="283" w:type="pct"/>
            <w:shd w:val="clear" w:color="auto" w:fill="auto"/>
            <w:tcMar>
              <w:top w:w="28" w:type="dxa"/>
              <w:left w:w="28" w:type="dxa"/>
            </w:tcMar>
          </w:tcPr>
          <w:p w14:paraId="5E007756" w14:textId="77777777" w:rsidR="008F47B8" w:rsidRPr="006D52A9" w:rsidDel="00E46204"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shd w:val="clear" w:color="auto" w:fill="auto"/>
            <w:tcMar>
              <w:top w:w="28" w:type="dxa"/>
              <w:left w:w="28" w:type="dxa"/>
            </w:tcMar>
          </w:tcPr>
          <w:p w14:paraId="52EF177A"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3964901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61F99ED8" w14:textId="77777777" w:rsidR="008F47B8" w:rsidRPr="006D52A9" w:rsidDel="00E46204"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404FBD67" w14:textId="77777777" w:rsidR="008F47B8" w:rsidRPr="006D52A9" w:rsidDel="00E46204"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E46204" w14:paraId="26BF8235" w14:textId="77777777" w:rsidTr="00FB6D2D">
        <w:tblPrEx>
          <w:tblLook w:val="01E0" w:firstRow="1" w:lastRow="1" w:firstColumn="1" w:lastColumn="1" w:noHBand="0" w:noVBand="0"/>
        </w:tblPrEx>
        <w:tc>
          <w:tcPr>
            <w:tcW w:w="647" w:type="pct"/>
            <w:shd w:val="clear" w:color="auto" w:fill="auto"/>
            <w:tcMar>
              <w:top w:w="28" w:type="dxa"/>
              <w:left w:w="28" w:type="dxa"/>
            </w:tcMar>
          </w:tcPr>
          <w:p w14:paraId="084ED488" w14:textId="77777777" w:rsidR="008F47B8" w:rsidRPr="006D52A9" w:rsidDel="00E46204"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533C0F4A" w14:textId="77777777" w:rsidR="008F47B8" w:rsidRPr="006D52A9" w:rsidDel="00E46204"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shd w:val="clear" w:color="auto" w:fill="auto"/>
            <w:tcMar>
              <w:top w:w="28" w:type="dxa"/>
              <w:left w:w="28" w:type="dxa"/>
            </w:tcMar>
          </w:tcPr>
          <w:p w14:paraId="42237854"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65CBFE5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5DE82E0F" w14:textId="77777777" w:rsidR="008F47B8" w:rsidRPr="006D52A9" w:rsidDel="00E46204"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2F3BDDFA" w14:textId="77777777" w:rsidR="008F47B8" w:rsidRPr="006D52A9" w:rsidDel="00E46204"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A93A5F" w14:paraId="25D06968" w14:textId="77777777" w:rsidTr="00FB6D2D">
        <w:tblPrEx>
          <w:tblLook w:val="01E0" w:firstRow="1" w:lastRow="1" w:firstColumn="1" w:lastColumn="1" w:noHBand="0" w:noVBand="0"/>
        </w:tblPrEx>
        <w:tc>
          <w:tcPr>
            <w:tcW w:w="647" w:type="pct"/>
            <w:shd w:val="clear" w:color="auto" w:fill="auto"/>
            <w:tcMar>
              <w:top w:w="28" w:type="dxa"/>
              <w:left w:w="28" w:type="dxa"/>
            </w:tcMar>
          </w:tcPr>
          <w:p w14:paraId="1BF3028C" w14:textId="77777777" w:rsidR="008F47B8" w:rsidRPr="006D52A9" w:rsidDel="00A93A5F" w:rsidRDefault="008F47B8" w:rsidP="00FB6D2D">
            <w:pPr>
              <w:spacing w:line="240" w:lineRule="auto"/>
              <w:rPr>
                <w:rFonts w:ascii="Arial" w:hAnsi="Arial" w:cs="Arial"/>
                <w:sz w:val="16"/>
                <w:szCs w:val="16"/>
              </w:rPr>
            </w:pPr>
            <w:bookmarkStart w:id="108" w:name="CU_136325018"/>
            <w:bookmarkStart w:id="109" w:name="CU_137326289"/>
            <w:bookmarkEnd w:id="108"/>
            <w:bookmarkEnd w:id="109"/>
            <w:r w:rsidRPr="006D52A9">
              <w:rPr>
                <w:rFonts w:ascii="Arial" w:hAnsi="Arial" w:cs="Arial"/>
                <w:sz w:val="16"/>
                <w:szCs w:val="16"/>
              </w:rPr>
              <w:t>Eltrombopag</w:t>
            </w:r>
          </w:p>
        </w:tc>
        <w:tc>
          <w:tcPr>
            <w:tcW w:w="283" w:type="pct"/>
            <w:shd w:val="clear" w:color="auto" w:fill="auto"/>
            <w:tcMar>
              <w:top w:w="28" w:type="dxa"/>
              <w:left w:w="28" w:type="dxa"/>
            </w:tcMar>
          </w:tcPr>
          <w:p w14:paraId="54B57FC9"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C11199</w:t>
            </w:r>
          </w:p>
        </w:tc>
        <w:tc>
          <w:tcPr>
            <w:tcW w:w="274" w:type="pct"/>
            <w:shd w:val="clear" w:color="auto" w:fill="auto"/>
            <w:tcMar>
              <w:top w:w="28" w:type="dxa"/>
              <w:left w:w="28" w:type="dxa"/>
            </w:tcMar>
          </w:tcPr>
          <w:p w14:paraId="51F4346F" w14:textId="77777777" w:rsidR="008F47B8" w:rsidRPr="006D52A9" w:rsidDel="00A93A5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208C6E2D"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Severe thrombocytopenia</w:t>
            </w:r>
            <w:r w:rsidRPr="006D52A9">
              <w:rPr>
                <w:rFonts w:ascii="Arial" w:hAnsi="Arial" w:cs="Arial"/>
                <w:sz w:val="16"/>
                <w:szCs w:val="16"/>
              </w:rPr>
              <w:br/>
              <w:t>Second or subsequent Continuing treatment</w:t>
            </w:r>
            <w:r w:rsidRPr="006D52A9">
              <w:rPr>
                <w:rFonts w:ascii="Arial" w:hAnsi="Arial" w:cs="Arial"/>
                <w:sz w:val="16"/>
                <w:szCs w:val="16"/>
              </w:rPr>
              <w:br/>
              <w:t>The condition must be severe chronic immune (idiopathic) thrombocytopenic purpura (ITP);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first continuing or re</w:t>
            </w:r>
            <w:r w:rsidR="0026100E">
              <w:rPr>
                <w:rFonts w:ascii="Arial" w:hAnsi="Arial" w:cs="Arial"/>
                <w:sz w:val="16"/>
                <w:szCs w:val="16"/>
              </w:rPr>
              <w:noBreakHyphen/>
            </w:r>
            <w:r w:rsidRPr="006D52A9">
              <w:rPr>
                <w:rFonts w:ascii="Arial" w:hAnsi="Arial" w:cs="Arial"/>
                <w:sz w:val="16"/>
                <w:szCs w:val="16"/>
              </w:rPr>
              <w:t>initiation of interrupted continuing treatment restriction; AND</w:t>
            </w:r>
            <w:r w:rsidRPr="006D52A9">
              <w:rPr>
                <w:rFonts w:ascii="Arial" w:hAnsi="Arial" w:cs="Arial"/>
                <w:sz w:val="16"/>
                <w:szCs w:val="16"/>
              </w:rPr>
              <w:br/>
              <w:t>Patient must have demonstrated a continuing response to PBS</w:t>
            </w:r>
            <w:r w:rsidR="0026100E">
              <w:rPr>
                <w:rFonts w:ascii="Arial" w:hAnsi="Arial" w:cs="Arial"/>
                <w:sz w:val="16"/>
                <w:szCs w:val="16"/>
              </w:rPr>
              <w:noBreakHyphen/>
            </w:r>
            <w:r w:rsidRPr="006D52A9">
              <w:rPr>
                <w:rFonts w:ascii="Arial" w:hAnsi="Arial" w:cs="Arial"/>
                <w:sz w:val="16"/>
                <w:szCs w:val="16"/>
              </w:rPr>
              <w:t>subsidised treatment with this drug;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thrombopoietin receptor agonist (TRA) for this condition.</w:t>
            </w:r>
            <w:r w:rsidRPr="006D52A9">
              <w:rPr>
                <w:rFonts w:ascii="Arial" w:hAnsi="Arial" w:cs="Arial"/>
                <w:sz w:val="16"/>
                <w:szCs w:val="16"/>
              </w:rPr>
              <w:br/>
              <w:t>Patient must be aged 18 years or older.</w:t>
            </w:r>
            <w:r w:rsidRPr="006D52A9">
              <w:rPr>
                <w:rFonts w:ascii="Arial" w:hAnsi="Arial" w:cs="Arial"/>
                <w:sz w:val="16"/>
                <w:szCs w:val="16"/>
              </w:rPr>
              <w:br/>
              <w:t>For the purpose of this restriction, a continuing response to treatment with drug is defined as:</w:t>
            </w:r>
            <w:r w:rsidRPr="006D52A9">
              <w:rPr>
                <w:rFonts w:ascii="Arial" w:hAnsi="Arial" w:cs="Arial"/>
                <w:sz w:val="16"/>
                <w:szCs w:val="16"/>
              </w:rPr>
              <w:br/>
              <w:t>(a) use of rescue medication (corticosteroids or immunoglobulins) on no more than one occasion during the most recent 24 week period of PBS</w:t>
            </w:r>
            <w:r w:rsidR="0026100E">
              <w:rPr>
                <w:rFonts w:ascii="Arial" w:hAnsi="Arial" w:cs="Arial"/>
                <w:sz w:val="16"/>
                <w:szCs w:val="16"/>
              </w:rPr>
              <w:noBreakHyphen/>
            </w:r>
            <w:r w:rsidRPr="006D52A9">
              <w:rPr>
                <w:rFonts w:ascii="Arial" w:hAnsi="Arial" w:cs="Arial"/>
                <w:sz w:val="16"/>
                <w:szCs w:val="16"/>
              </w:rPr>
              <w:t>subsidised treatment with this drug</w:t>
            </w:r>
            <w:r w:rsidRPr="006D52A9">
              <w:rPr>
                <w:rFonts w:ascii="Arial" w:hAnsi="Arial" w:cs="Arial"/>
                <w:sz w:val="16"/>
                <w:szCs w:val="16"/>
              </w:rPr>
              <w:br/>
              <w:t>AND either of the following:</w:t>
            </w:r>
            <w:r w:rsidRPr="006D52A9">
              <w:rPr>
                <w:rFonts w:ascii="Arial" w:hAnsi="Arial" w:cs="Arial"/>
                <w:sz w:val="16"/>
                <w:szCs w:val="16"/>
              </w:rPr>
              <w:br/>
              <w:t>(b) a platelet count greater than or equal to 50,000 million per L</w:t>
            </w:r>
            <w:r w:rsidRPr="006D52A9">
              <w:rPr>
                <w:rFonts w:ascii="Arial" w:hAnsi="Arial" w:cs="Arial"/>
                <w:sz w:val="16"/>
                <w:szCs w:val="16"/>
              </w:rPr>
              <w:br/>
              <w:t>OR</w:t>
            </w:r>
            <w:r w:rsidRPr="006D52A9">
              <w:rPr>
                <w:rFonts w:ascii="Arial" w:hAnsi="Arial" w:cs="Arial"/>
                <w:sz w:val="16"/>
                <w:szCs w:val="16"/>
              </w:rPr>
              <w:br/>
            </w:r>
            <w:r w:rsidRPr="006D52A9">
              <w:rPr>
                <w:rFonts w:ascii="Arial" w:hAnsi="Arial" w:cs="Arial"/>
                <w:sz w:val="16"/>
                <w:szCs w:val="16"/>
              </w:rPr>
              <w:lastRenderedPageBreak/>
              <w:t>(c) a platelet count greater than 30,000 million per L and which is double the baseline platelet count.</w:t>
            </w:r>
            <w:r w:rsidRPr="006D52A9">
              <w:rPr>
                <w:rFonts w:ascii="Arial" w:hAnsi="Arial" w:cs="Arial"/>
                <w:sz w:val="16"/>
                <w:szCs w:val="16"/>
              </w:rPr>
              <w:br/>
              <w:t>The platelet count must be no more than 4 weeks old at the time of application.</w:t>
            </w:r>
          </w:p>
        </w:tc>
        <w:tc>
          <w:tcPr>
            <w:tcW w:w="929" w:type="pct"/>
            <w:shd w:val="clear" w:color="auto" w:fill="auto"/>
            <w:tcMar>
              <w:top w:w="28" w:type="dxa"/>
              <w:left w:w="28" w:type="dxa"/>
              <w:right w:w="57" w:type="dxa"/>
            </w:tcMar>
          </w:tcPr>
          <w:p w14:paraId="466B84BF" w14:textId="77777777" w:rsidR="008F47B8" w:rsidRPr="006D52A9" w:rsidDel="00A93A5F"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A93A5F" w14:paraId="27EC8B09" w14:textId="77777777" w:rsidTr="00FB6D2D">
        <w:tblPrEx>
          <w:tblLook w:val="01E0" w:firstRow="1" w:lastRow="1" w:firstColumn="1" w:lastColumn="1" w:noHBand="0" w:noVBand="0"/>
        </w:tblPrEx>
        <w:tc>
          <w:tcPr>
            <w:tcW w:w="647" w:type="pct"/>
            <w:shd w:val="clear" w:color="auto" w:fill="auto"/>
            <w:tcMar>
              <w:top w:w="28" w:type="dxa"/>
              <w:left w:w="28" w:type="dxa"/>
            </w:tcMar>
          </w:tcPr>
          <w:p w14:paraId="47688256" w14:textId="77777777" w:rsidR="008F47B8" w:rsidRPr="006D52A9" w:rsidDel="00A93A5F"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0F5D08FE"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C11202</w:t>
            </w:r>
          </w:p>
        </w:tc>
        <w:tc>
          <w:tcPr>
            <w:tcW w:w="274" w:type="pct"/>
            <w:shd w:val="clear" w:color="auto" w:fill="auto"/>
            <w:tcMar>
              <w:top w:w="28" w:type="dxa"/>
              <w:left w:w="28" w:type="dxa"/>
            </w:tcMar>
          </w:tcPr>
          <w:p w14:paraId="7F2EB363" w14:textId="77777777" w:rsidR="008F47B8" w:rsidRPr="006D52A9" w:rsidDel="00A93A5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3DA4E93B"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Severe thrombocytopenia</w:t>
            </w:r>
            <w:r w:rsidRPr="006D52A9">
              <w:rPr>
                <w:rFonts w:ascii="Arial" w:hAnsi="Arial" w:cs="Arial"/>
                <w:sz w:val="16"/>
                <w:szCs w:val="16"/>
              </w:rPr>
              <w:br/>
              <w:t xml:space="preserve">Initial treatment 1 </w:t>
            </w:r>
            <w:r w:rsidR="0026100E">
              <w:rPr>
                <w:rFonts w:ascii="Arial" w:hAnsi="Arial" w:cs="Arial"/>
                <w:sz w:val="16"/>
                <w:szCs w:val="16"/>
              </w:rPr>
              <w:noBreakHyphen/>
            </w:r>
            <w:r w:rsidRPr="006D52A9">
              <w:rPr>
                <w:rFonts w:ascii="Arial" w:hAnsi="Arial" w:cs="Arial"/>
                <w:sz w:val="16"/>
                <w:szCs w:val="16"/>
              </w:rPr>
              <w:t xml:space="preserve"> New patient</w:t>
            </w:r>
            <w:r w:rsidRPr="006D52A9">
              <w:rPr>
                <w:rFonts w:ascii="Arial" w:hAnsi="Arial" w:cs="Arial"/>
                <w:sz w:val="16"/>
                <w:szCs w:val="16"/>
              </w:rPr>
              <w:br/>
              <w:t>The condition must be severe chronic immune (idiopathic) thrombocytopenic purpura (ITP); AND</w:t>
            </w:r>
            <w:r w:rsidRPr="006D52A9">
              <w:rPr>
                <w:rFonts w:ascii="Arial" w:hAnsi="Arial" w:cs="Arial"/>
                <w:sz w:val="16"/>
                <w:szCs w:val="16"/>
              </w:rPr>
              <w:br/>
              <w:t>Patient must have had a splenectomy; AND</w:t>
            </w:r>
            <w:r w:rsidRPr="006D52A9">
              <w:rPr>
                <w:rFonts w:ascii="Arial" w:hAnsi="Arial" w:cs="Arial"/>
                <w:sz w:val="16"/>
                <w:szCs w:val="16"/>
              </w:rPr>
              <w:br/>
              <w:t>Patient must have failed to achieve an adequate response to, or be intolerant to, corticosteroid therapy following the splenectomy; AND</w:t>
            </w:r>
            <w:r w:rsidRPr="006D52A9">
              <w:rPr>
                <w:rFonts w:ascii="Arial" w:hAnsi="Arial" w:cs="Arial"/>
                <w:sz w:val="16"/>
                <w:szCs w:val="16"/>
              </w:rPr>
              <w:br/>
              <w:t>Patient must have failed to achieve an adequate response to, or be intolerant to, immunoglobulin therapy following the splenectomy;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thrombopoietin receptor agonist (TRA) for this condition.</w:t>
            </w:r>
            <w:r w:rsidRPr="006D52A9">
              <w:rPr>
                <w:rFonts w:ascii="Arial" w:hAnsi="Arial" w:cs="Arial"/>
                <w:sz w:val="16"/>
                <w:szCs w:val="16"/>
              </w:rPr>
              <w:br/>
              <w:t>Patient must be aged 18 years or older.</w:t>
            </w:r>
            <w:r w:rsidRPr="006D52A9">
              <w:rPr>
                <w:rFonts w:ascii="Arial" w:hAnsi="Arial" w:cs="Arial"/>
                <w:sz w:val="16"/>
                <w:szCs w:val="16"/>
              </w:rPr>
              <w:br/>
              <w:t>The following criteria indicate failure to achieve an adequate response and must be demonstrated at the time of initial application;</w:t>
            </w:r>
            <w:r w:rsidRPr="006D52A9">
              <w:rPr>
                <w:rFonts w:ascii="Arial" w:hAnsi="Arial" w:cs="Arial"/>
                <w:sz w:val="16"/>
                <w:szCs w:val="16"/>
              </w:rPr>
              <w:br/>
              <w:t>(a) a platelet count of less than or equal to 20,000 million per L; OR</w:t>
            </w:r>
            <w:r w:rsidRPr="006D52A9">
              <w:rPr>
                <w:rFonts w:ascii="Arial" w:hAnsi="Arial" w:cs="Arial"/>
                <w:sz w:val="16"/>
                <w:szCs w:val="16"/>
              </w:rPr>
              <w:br/>
              <w:t>(b) a platelet count of 20,000 million to 30,000 million per L, where the patient is experiencing significant bleeding or has a history of significant bleeding in this platelet range.</w:t>
            </w:r>
            <w:r w:rsidRPr="006D52A9">
              <w:rPr>
                <w:rFonts w:ascii="Arial" w:hAnsi="Arial" w:cs="Arial"/>
                <w:sz w:val="16"/>
                <w:szCs w:val="16"/>
              </w:rPr>
              <w:br/>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w:t>
            </w:r>
            <w:r w:rsidRPr="006D52A9">
              <w:rPr>
                <w:rFonts w:ascii="Arial" w:hAnsi="Arial" w:cs="Arial"/>
                <w:sz w:val="16"/>
                <w:szCs w:val="16"/>
              </w:rPr>
              <w:br/>
              <w:t xml:space="preserve">(2) a completed Idiopathic Thrombocytopenic Purpura Initial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(3) details of a platelet count supporting the diagnosis of ITP.</w:t>
            </w:r>
            <w:r w:rsidRPr="006D52A9">
              <w:rPr>
                <w:rFonts w:ascii="Arial" w:hAnsi="Arial" w:cs="Arial"/>
                <w:sz w:val="16"/>
                <w:szCs w:val="16"/>
              </w:rPr>
              <w:br/>
              <w:t>The platelet count must be no more than 4 weeks old at the time of application.</w:t>
            </w:r>
            <w:r w:rsidRPr="006D52A9">
              <w:rPr>
                <w:rFonts w:ascii="Arial" w:hAnsi="Arial" w:cs="Arial"/>
                <w:sz w:val="16"/>
                <w:szCs w:val="16"/>
              </w:rPr>
              <w:br/>
              <w:t>A maximum of 24 weeks of treatment with this drug will be authorised under this criterion.</w:t>
            </w:r>
            <w:r w:rsidRPr="006D52A9">
              <w:rPr>
                <w:rFonts w:ascii="Arial" w:hAnsi="Arial" w:cs="Arial"/>
                <w:sz w:val="16"/>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either of these drugs.</w:t>
            </w:r>
          </w:p>
        </w:tc>
        <w:tc>
          <w:tcPr>
            <w:tcW w:w="929" w:type="pct"/>
            <w:shd w:val="clear" w:color="auto" w:fill="auto"/>
            <w:tcMar>
              <w:top w:w="28" w:type="dxa"/>
              <w:left w:w="28" w:type="dxa"/>
              <w:right w:w="57" w:type="dxa"/>
            </w:tcMar>
          </w:tcPr>
          <w:p w14:paraId="7A945778" w14:textId="77777777" w:rsidR="008F47B8" w:rsidRPr="006D52A9" w:rsidDel="00A93A5F" w:rsidRDefault="008F47B8" w:rsidP="00FB6D2D">
            <w:pPr>
              <w:keepNext/>
              <w:spacing w:line="240" w:lineRule="auto"/>
              <w:rPr>
                <w:rFonts w:ascii="Arial" w:hAnsi="Arial" w:cs="Arial"/>
                <w:sz w:val="16"/>
                <w:szCs w:val="16"/>
              </w:rPr>
            </w:pPr>
            <w:r w:rsidRPr="006D52A9">
              <w:rPr>
                <w:rFonts w:ascii="Arial" w:hAnsi="Arial" w:cs="Arial"/>
                <w:sz w:val="16"/>
                <w:szCs w:val="16"/>
              </w:rPr>
              <w:t>Compliance with Written Authority Required procedures</w:t>
            </w:r>
          </w:p>
        </w:tc>
      </w:tr>
      <w:tr w:rsidR="008F47B8" w:rsidRPr="006D52A9" w:rsidDel="00A93A5F" w14:paraId="49822FBB" w14:textId="77777777" w:rsidTr="00FB6D2D">
        <w:tblPrEx>
          <w:tblLook w:val="01E0" w:firstRow="1" w:lastRow="1" w:firstColumn="1" w:lastColumn="1" w:noHBand="0" w:noVBand="0"/>
        </w:tblPrEx>
        <w:tc>
          <w:tcPr>
            <w:tcW w:w="647" w:type="pct"/>
            <w:shd w:val="clear" w:color="auto" w:fill="auto"/>
            <w:tcMar>
              <w:top w:w="28" w:type="dxa"/>
              <w:left w:w="28" w:type="dxa"/>
            </w:tcMar>
          </w:tcPr>
          <w:p w14:paraId="389E963C" w14:textId="77777777" w:rsidR="008F47B8" w:rsidRPr="006D52A9" w:rsidDel="00A93A5F"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36F65DF4"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C11244</w:t>
            </w:r>
          </w:p>
        </w:tc>
        <w:tc>
          <w:tcPr>
            <w:tcW w:w="274" w:type="pct"/>
            <w:shd w:val="clear" w:color="auto" w:fill="auto"/>
            <w:tcMar>
              <w:top w:w="28" w:type="dxa"/>
              <w:left w:w="28" w:type="dxa"/>
            </w:tcMar>
          </w:tcPr>
          <w:p w14:paraId="247F3189" w14:textId="77777777" w:rsidR="008F47B8" w:rsidRPr="006D52A9" w:rsidDel="00A93A5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3E9C0AB8"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Severe thrombocytopenia</w:t>
            </w:r>
            <w:r w:rsidRPr="006D52A9">
              <w:rPr>
                <w:rFonts w:ascii="Arial" w:hAnsi="Arial" w:cs="Arial"/>
                <w:sz w:val="16"/>
                <w:szCs w:val="16"/>
              </w:rPr>
              <w:br/>
              <w:t>Balance of supply or change of therapy within 24 weeks initial treatment</w:t>
            </w:r>
            <w:r w:rsidRPr="006D52A9">
              <w:rPr>
                <w:rFonts w:ascii="Arial" w:hAnsi="Arial" w:cs="Arial"/>
                <w:sz w:val="16"/>
                <w:szCs w:val="16"/>
              </w:rPr>
              <w:br/>
              <w:t>The condition must be severe chronic immune (idiopathic) thrombocytopenic purpura (ITP);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thrombopoietin receptor agonist (TRA) for this condition; AND</w:t>
            </w:r>
            <w:r w:rsidRPr="006D52A9">
              <w:rPr>
                <w:rFonts w:ascii="Arial" w:hAnsi="Arial" w:cs="Arial"/>
                <w:sz w:val="16"/>
                <w:szCs w:val="16"/>
              </w:rPr>
              <w:br/>
              <w:t>Patient must have received insufficient therapy with this drug for this condition under the Initial 1 restriction to complete 24 weeks treatment; OR</w:t>
            </w:r>
            <w:r w:rsidRPr="006D52A9">
              <w:rPr>
                <w:rFonts w:ascii="Arial" w:hAnsi="Arial" w:cs="Arial"/>
                <w:sz w:val="16"/>
                <w:szCs w:val="16"/>
              </w:rPr>
              <w:br/>
            </w:r>
            <w:r w:rsidRPr="006D52A9">
              <w:rPr>
                <w:rFonts w:ascii="Arial" w:hAnsi="Arial" w:cs="Arial"/>
                <w:sz w:val="16"/>
                <w:szCs w:val="16"/>
              </w:rPr>
              <w:lastRenderedPageBreak/>
              <w:t>Patient must have received insufficient therapy with this drug for this condition under the Initial 2 restriction to complete 24 weeks treatment; OR</w:t>
            </w:r>
            <w:r w:rsidRPr="006D52A9">
              <w:rPr>
                <w:rFonts w:ascii="Arial" w:hAnsi="Arial" w:cs="Arial"/>
                <w:sz w:val="16"/>
                <w:szCs w:val="16"/>
              </w:rPr>
              <w:br/>
              <w:t>Patient must be swapping therapy from romiplostim to this drug for this condition within the initial 24 weeks of treatment; OR</w:t>
            </w:r>
            <w:r w:rsidRPr="006D52A9">
              <w:rPr>
                <w:rFonts w:ascii="Arial" w:hAnsi="Arial" w:cs="Arial"/>
                <w:sz w:val="16"/>
                <w:szCs w:val="16"/>
              </w:rPr>
              <w:br/>
              <w:t>Patient must have received insufficient therapy with this drug for this condition under the First Continuing treatment or Re</w:t>
            </w:r>
            <w:r w:rsidR="0026100E">
              <w:rPr>
                <w:rFonts w:ascii="Arial" w:hAnsi="Arial" w:cs="Arial"/>
                <w:sz w:val="16"/>
                <w:szCs w:val="16"/>
              </w:rPr>
              <w:noBreakHyphen/>
            </w:r>
            <w:r w:rsidRPr="006D52A9">
              <w:rPr>
                <w:rFonts w:ascii="Arial" w:hAnsi="Arial" w:cs="Arial"/>
                <w:sz w:val="16"/>
                <w:szCs w:val="16"/>
              </w:rPr>
              <w:t>initiation of interrupted continuing treatment restriction to complete 24 weeks treatment; OR</w:t>
            </w:r>
            <w:r w:rsidRPr="006D52A9">
              <w:rPr>
                <w:rFonts w:ascii="Arial" w:hAnsi="Arial" w:cs="Arial"/>
                <w:sz w:val="16"/>
                <w:szCs w:val="16"/>
              </w:rPr>
              <w:br/>
              <w:t>Patient must have received insufficient therapy with this drug for this condition under the Second and subsequent Continuing treatment restriction to complete 24 weeks treatment; AND</w:t>
            </w:r>
            <w:r w:rsidRPr="006D52A9">
              <w:rPr>
                <w:rFonts w:ascii="Arial" w:hAnsi="Arial" w:cs="Arial"/>
                <w:sz w:val="16"/>
                <w:szCs w:val="16"/>
              </w:rPr>
              <w:br/>
              <w:t>The treatment must provide no more than the balance of up to 24 weeks treatment available under the above restriction.</w:t>
            </w:r>
            <w:r w:rsidRPr="006D52A9">
              <w:rPr>
                <w:rFonts w:ascii="Arial" w:hAnsi="Arial" w:cs="Arial"/>
                <w:sz w:val="16"/>
                <w:szCs w:val="16"/>
              </w:rPr>
              <w:br/>
              <w:t>Patient must be aged 18 years or older.</w:t>
            </w:r>
            <w:r w:rsidRPr="006D52A9">
              <w:rPr>
                <w:rFonts w:ascii="Arial" w:hAnsi="Arial" w:cs="Arial"/>
                <w:sz w:val="16"/>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either of these drugs.</w:t>
            </w:r>
          </w:p>
        </w:tc>
        <w:tc>
          <w:tcPr>
            <w:tcW w:w="929" w:type="pct"/>
            <w:shd w:val="clear" w:color="auto" w:fill="auto"/>
            <w:tcMar>
              <w:top w:w="28" w:type="dxa"/>
              <w:left w:w="28" w:type="dxa"/>
              <w:right w:w="57" w:type="dxa"/>
            </w:tcMar>
          </w:tcPr>
          <w:p w14:paraId="0354064B" w14:textId="77777777" w:rsidR="008F47B8" w:rsidRPr="006D52A9" w:rsidDel="00A93A5F"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A93A5F" w14:paraId="6770D56F" w14:textId="77777777" w:rsidTr="00FB6D2D">
        <w:tblPrEx>
          <w:tblLook w:val="01E0" w:firstRow="1" w:lastRow="1" w:firstColumn="1" w:lastColumn="1" w:noHBand="0" w:noVBand="0"/>
        </w:tblPrEx>
        <w:tc>
          <w:tcPr>
            <w:tcW w:w="647" w:type="pct"/>
            <w:shd w:val="clear" w:color="auto" w:fill="auto"/>
            <w:tcMar>
              <w:top w:w="28" w:type="dxa"/>
              <w:left w:w="28" w:type="dxa"/>
            </w:tcMar>
          </w:tcPr>
          <w:p w14:paraId="226DF387" w14:textId="77777777" w:rsidR="008F47B8" w:rsidRPr="006D52A9" w:rsidDel="00A93A5F"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6F243D4F"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C11262</w:t>
            </w:r>
          </w:p>
        </w:tc>
        <w:tc>
          <w:tcPr>
            <w:tcW w:w="274" w:type="pct"/>
            <w:shd w:val="clear" w:color="auto" w:fill="auto"/>
            <w:tcMar>
              <w:top w:w="28" w:type="dxa"/>
              <w:left w:w="28" w:type="dxa"/>
            </w:tcMar>
          </w:tcPr>
          <w:p w14:paraId="5C50F389" w14:textId="77777777" w:rsidR="008F47B8" w:rsidRPr="006D52A9" w:rsidDel="00A93A5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289BC815"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Severe thrombocytopenia</w:t>
            </w:r>
            <w:r w:rsidRPr="006D52A9">
              <w:rPr>
                <w:rFonts w:ascii="Arial" w:hAnsi="Arial" w:cs="Arial"/>
                <w:sz w:val="16"/>
                <w:szCs w:val="16"/>
              </w:rPr>
              <w:br/>
              <w:t xml:space="preserve">Initial treatment 2 </w:t>
            </w:r>
            <w:r w:rsidR="0026100E">
              <w:rPr>
                <w:rFonts w:ascii="Arial" w:hAnsi="Arial" w:cs="Arial"/>
                <w:sz w:val="16"/>
                <w:szCs w:val="16"/>
              </w:rPr>
              <w:noBreakHyphen/>
            </w:r>
            <w:r w:rsidRPr="006D52A9">
              <w:rPr>
                <w:rFonts w:ascii="Arial" w:hAnsi="Arial" w:cs="Arial"/>
                <w:sz w:val="16"/>
                <w:szCs w:val="16"/>
              </w:rPr>
              <w:t xml:space="preserve"> New patient</w:t>
            </w:r>
            <w:r w:rsidRPr="006D52A9">
              <w:rPr>
                <w:rFonts w:ascii="Arial" w:hAnsi="Arial" w:cs="Arial"/>
                <w:sz w:val="16"/>
                <w:szCs w:val="16"/>
              </w:rPr>
              <w:br/>
              <w:t>The condition must be severe chronic immune (idiopathic) thrombocytopenic purpura (ITP); AND</w:t>
            </w:r>
            <w:r w:rsidRPr="006D52A9">
              <w:rPr>
                <w:rFonts w:ascii="Arial" w:hAnsi="Arial" w:cs="Arial"/>
                <w:sz w:val="16"/>
                <w:szCs w:val="16"/>
              </w:rPr>
              <w:br/>
              <w:t>Patient must not have had a splenectomy; AND</w:t>
            </w:r>
            <w:r w:rsidRPr="006D52A9">
              <w:rPr>
                <w:rFonts w:ascii="Arial" w:hAnsi="Arial" w:cs="Arial"/>
                <w:sz w:val="16"/>
                <w:szCs w:val="16"/>
              </w:rPr>
              <w:br/>
              <w:t>Patient must have failed to achieve an adequate response to, or be intolerant to, corticosteroid therapy at a dose equivalent to 0.5</w:t>
            </w:r>
            <w:r w:rsidR="0026100E">
              <w:rPr>
                <w:rFonts w:ascii="Arial" w:hAnsi="Arial" w:cs="Arial"/>
                <w:sz w:val="16"/>
                <w:szCs w:val="16"/>
              </w:rPr>
              <w:noBreakHyphen/>
            </w:r>
            <w:r w:rsidRPr="006D52A9">
              <w:rPr>
                <w:rFonts w:ascii="Arial" w:hAnsi="Arial" w:cs="Arial"/>
                <w:sz w:val="16"/>
                <w:szCs w:val="16"/>
              </w:rPr>
              <w:t>2 mg/kg/day of prednisone for at least 4</w:t>
            </w:r>
            <w:r w:rsidR="0026100E">
              <w:rPr>
                <w:rFonts w:ascii="Arial" w:hAnsi="Arial" w:cs="Arial"/>
                <w:sz w:val="16"/>
                <w:szCs w:val="16"/>
              </w:rPr>
              <w:noBreakHyphen/>
            </w:r>
            <w:r w:rsidRPr="006D52A9">
              <w:rPr>
                <w:rFonts w:ascii="Arial" w:hAnsi="Arial" w:cs="Arial"/>
                <w:sz w:val="16"/>
                <w:szCs w:val="16"/>
              </w:rPr>
              <w:t>6 weeks; AND</w:t>
            </w:r>
            <w:r w:rsidRPr="006D52A9">
              <w:rPr>
                <w:rFonts w:ascii="Arial" w:hAnsi="Arial" w:cs="Arial"/>
                <w:sz w:val="16"/>
                <w:szCs w:val="16"/>
              </w:rPr>
              <w:br/>
              <w:t>Patient must have failed to achieve an adequate response to, or be intolerant to, immunoglobulin therapy; AND</w:t>
            </w:r>
            <w:r w:rsidRPr="006D52A9">
              <w:rPr>
                <w:rFonts w:ascii="Arial" w:hAnsi="Arial" w:cs="Arial"/>
                <w:sz w:val="16"/>
                <w:szCs w:val="16"/>
              </w:rPr>
              <w:br/>
              <w:t>Patient must be unsuitable for splenectomy due to medical reasons;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thrombopoietin receptor agonist (TRA) for this condition.</w:t>
            </w:r>
            <w:r w:rsidRPr="006D52A9">
              <w:rPr>
                <w:rFonts w:ascii="Arial" w:hAnsi="Arial" w:cs="Arial"/>
                <w:sz w:val="16"/>
                <w:szCs w:val="16"/>
              </w:rPr>
              <w:br/>
              <w:t>Patient must be aged 18 years or older.</w:t>
            </w:r>
            <w:r w:rsidRPr="006D52A9">
              <w:rPr>
                <w:rFonts w:ascii="Arial" w:hAnsi="Arial" w:cs="Arial"/>
                <w:sz w:val="16"/>
                <w:szCs w:val="16"/>
              </w:rPr>
              <w:br/>
              <w:t>The following criteria indicate failure to achieve an adequate response and must be demonstrated at the time of initial application;</w:t>
            </w:r>
            <w:r w:rsidRPr="006D52A9">
              <w:rPr>
                <w:rFonts w:ascii="Arial" w:hAnsi="Arial" w:cs="Arial"/>
                <w:sz w:val="16"/>
                <w:szCs w:val="16"/>
              </w:rPr>
              <w:br/>
              <w:t>(a) a platelet count of less than or equal to 20,000 million per L; OR</w:t>
            </w:r>
            <w:r w:rsidRPr="006D52A9">
              <w:rPr>
                <w:rFonts w:ascii="Arial" w:hAnsi="Arial" w:cs="Arial"/>
                <w:sz w:val="16"/>
                <w:szCs w:val="16"/>
              </w:rPr>
              <w:br/>
              <w:t>(b) a platelet count of 20,000 million to 30,000 million per L, where the patient is experiencing significant bleeding or has a history of significant bleeding in this platelet range.</w:t>
            </w:r>
            <w:r w:rsidRPr="006D52A9">
              <w:rPr>
                <w:rFonts w:ascii="Arial" w:hAnsi="Arial" w:cs="Arial"/>
                <w:sz w:val="16"/>
                <w:szCs w:val="16"/>
              </w:rPr>
              <w:br/>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w:t>
            </w:r>
            <w:r w:rsidRPr="006D52A9">
              <w:rPr>
                <w:rFonts w:ascii="Arial" w:hAnsi="Arial" w:cs="Arial"/>
                <w:sz w:val="16"/>
                <w:szCs w:val="16"/>
              </w:rPr>
              <w:br/>
              <w:t xml:space="preserve">(2) a completed Idiopathic Thrombocytopenic Purpura Initial PBS Authority Application </w:t>
            </w:r>
            <w:r w:rsidR="0026100E">
              <w:rPr>
                <w:rFonts w:ascii="Arial" w:hAnsi="Arial" w:cs="Arial"/>
                <w:sz w:val="16"/>
                <w:szCs w:val="16"/>
              </w:rPr>
              <w:noBreakHyphen/>
            </w:r>
            <w:r w:rsidRPr="006D52A9">
              <w:rPr>
                <w:rFonts w:ascii="Arial" w:hAnsi="Arial" w:cs="Arial"/>
                <w:sz w:val="16"/>
                <w:szCs w:val="16"/>
              </w:rPr>
              <w:t xml:space="preserve"> Supporting </w:t>
            </w:r>
            <w:r w:rsidRPr="006D52A9">
              <w:rPr>
                <w:rFonts w:ascii="Arial" w:hAnsi="Arial" w:cs="Arial"/>
                <w:sz w:val="16"/>
                <w:szCs w:val="16"/>
              </w:rPr>
              <w:lastRenderedPageBreak/>
              <w:t>Information Form,</w:t>
            </w:r>
            <w:r w:rsidRPr="006D52A9">
              <w:rPr>
                <w:rFonts w:ascii="Arial" w:hAnsi="Arial" w:cs="Arial"/>
                <w:sz w:val="16"/>
                <w:szCs w:val="16"/>
              </w:rPr>
              <w:br/>
              <w:t>(3) details of a platelet count supporting the diagnosis of ITP, and</w:t>
            </w:r>
            <w:r w:rsidRPr="006D52A9">
              <w:rPr>
                <w:rFonts w:ascii="Arial" w:hAnsi="Arial" w:cs="Arial"/>
                <w:sz w:val="16"/>
                <w:szCs w:val="16"/>
              </w:rPr>
              <w:br/>
              <w:t>(4) details of the reason of medical contraindication for surgery and date of assessment.</w:t>
            </w:r>
            <w:r w:rsidRPr="006D52A9">
              <w:rPr>
                <w:rFonts w:ascii="Arial" w:hAnsi="Arial" w:cs="Arial"/>
                <w:sz w:val="16"/>
                <w:szCs w:val="16"/>
              </w:rPr>
              <w:br/>
              <w:t>The platelet count must be no more than 4 weeks old at the time of application.</w:t>
            </w:r>
            <w:r w:rsidRPr="006D52A9">
              <w:rPr>
                <w:rFonts w:ascii="Arial" w:hAnsi="Arial" w:cs="Arial"/>
                <w:sz w:val="16"/>
                <w:szCs w:val="16"/>
              </w:rPr>
              <w:br/>
              <w:t>A maximum of 24 weeks of treatment with this drug will be authorised under this criterion.</w:t>
            </w:r>
            <w:r w:rsidRPr="006D52A9">
              <w:rPr>
                <w:rFonts w:ascii="Arial" w:hAnsi="Arial" w:cs="Arial"/>
                <w:sz w:val="16"/>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either of these drugs.</w:t>
            </w:r>
          </w:p>
        </w:tc>
        <w:tc>
          <w:tcPr>
            <w:tcW w:w="929" w:type="pct"/>
            <w:shd w:val="clear" w:color="auto" w:fill="auto"/>
            <w:tcMar>
              <w:top w:w="28" w:type="dxa"/>
              <w:left w:w="28" w:type="dxa"/>
              <w:right w:w="57" w:type="dxa"/>
            </w:tcMar>
          </w:tcPr>
          <w:p w14:paraId="7B578406" w14:textId="77777777" w:rsidR="008F47B8" w:rsidRPr="006D52A9" w:rsidDel="00A93A5F"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A93A5F" w14:paraId="113EB49B" w14:textId="77777777" w:rsidTr="00FB6D2D">
        <w:tblPrEx>
          <w:tblLook w:val="01E0" w:firstRow="1" w:lastRow="1" w:firstColumn="1" w:lastColumn="1" w:noHBand="0" w:noVBand="0"/>
        </w:tblPrEx>
        <w:tc>
          <w:tcPr>
            <w:tcW w:w="647" w:type="pct"/>
            <w:shd w:val="clear" w:color="auto" w:fill="auto"/>
            <w:tcMar>
              <w:top w:w="28" w:type="dxa"/>
              <w:left w:w="28" w:type="dxa"/>
            </w:tcMar>
          </w:tcPr>
          <w:p w14:paraId="6EB8FBE2" w14:textId="77777777" w:rsidR="008F47B8" w:rsidRPr="006D52A9" w:rsidDel="00A93A5F"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49A3F0E8"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C11263</w:t>
            </w:r>
          </w:p>
        </w:tc>
        <w:tc>
          <w:tcPr>
            <w:tcW w:w="274" w:type="pct"/>
            <w:shd w:val="clear" w:color="auto" w:fill="auto"/>
            <w:tcMar>
              <w:top w:w="28" w:type="dxa"/>
              <w:left w:w="28" w:type="dxa"/>
            </w:tcMar>
          </w:tcPr>
          <w:p w14:paraId="315DCC06" w14:textId="77777777" w:rsidR="008F47B8" w:rsidRPr="006D52A9" w:rsidDel="00A93A5F"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7668D08D" w14:textId="77777777" w:rsidR="008F47B8" w:rsidRPr="006D52A9" w:rsidDel="00A93A5F" w:rsidRDefault="008F47B8" w:rsidP="00FB6D2D">
            <w:pPr>
              <w:spacing w:line="240" w:lineRule="auto"/>
              <w:rPr>
                <w:rFonts w:ascii="Arial" w:hAnsi="Arial" w:cs="Arial"/>
                <w:sz w:val="16"/>
                <w:szCs w:val="16"/>
              </w:rPr>
            </w:pPr>
            <w:r w:rsidRPr="006D52A9">
              <w:rPr>
                <w:rFonts w:ascii="Arial" w:hAnsi="Arial" w:cs="Arial"/>
                <w:sz w:val="16"/>
                <w:szCs w:val="16"/>
              </w:rPr>
              <w:t>Severe thrombocytopenia</w:t>
            </w:r>
            <w:r w:rsidRPr="006D52A9">
              <w:rPr>
                <w:rFonts w:ascii="Arial" w:hAnsi="Arial" w:cs="Arial"/>
                <w:sz w:val="16"/>
                <w:szCs w:val="16"/>
              </w:rPr>
              <w:br/>
              <w:t>First Continuing treatment or Re</w:t>
            </w:r>
            <w:r w:rsidR="0026100E">
              <w:rPr>
                <w:rFonts w:ascii="Arial" w:hAnsi="Arial" w:cs="Arial"/>
                <w:sz w:val="16"/>
                <w:szCs w:val="16"/>
              </w:rPr>
              <w:noBreakHyphen/>
            </w:r>
            <w:r w:rsidRPr="006D52A9">
              <w:rPr>
                <w:rFonts w:ascii="Arial" w:hAnsi="Arial" w:cs="Arial"/>
                <w:sz w:val="16"/>
                <w:szCs w:val="16"/>
              </w:rPr>
              <w:t>initiation of interrupted continuing treatment</w:t>
            </w:r>
            <w:r w:rsidRPr="006D52A9">
              <w:rPr>
                <w:rFonts w:ascii="Arial" w:hAnsi="Arial" w:cs="Arial"/>
                <w:sz w:val="16"/>
                <w:szCs w:val="16"/>
              </w:rPr>
              <w:br/>
              <w:t>The condition must be severe chronic immune (idiopathic) thrombocytopenic purpura (ITP); AND</w:t>
            </w:r>
            <w:r w:rsidRPr="006D52A9">
              <w:rPr>
                <w:rFonts w:ascii="Arial" w:hAnsi="Arial" w:cs="Arial"/>
                <w:sz w:val="16"/>
                <w:szCs w:val="16"/>
              </w:rPr>
              <w:br/>
              <w:t>Patient must have demonstrated a sustained platelet response to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Initial treatment restriction if the patient has not had a treatment break; OR</w:t>
            </w:r>
            <w:r w:rsidRPr="006D52A9">
              <w:rPr>
                <w:rFonts w:ascii="Arial" w:hAnsi="Arial" w:cs="Arial"/>
                <w:sz w:val="16"/>
                <w:szCs w:val="16"/>
              </w:rPr>
              <w:br/>
              <w:t>Patient must have demonstrated a sustained platelet response to the most recent PBS</w:t>
            </w:r>
            <w:r w:rsidR="0026100E">
              <w:rPr>
                <w:rFonts w:ascii="Arial" w:hAnsi="Arial" w:cs="Arial"/>
                <w:sz w:val="16"/>
                <w:szCs w:val="16"/>
              </w:rPr>
              <w:noBreakHyphen/>
            </w:r>
            <w:r w:rsidRPr="006D52A9">
              <w:rPr>
                <w:rFonts w:ascii="Arial" w:hAnsi="Arial" w:cs="Arial"/>
                <w:sz w:val="16"/>
                <w:szCs w:val="16"/>
              </w:rPr>
              <w:t>subsidised treatment with this drug for this condition prior to interrupted treatment; AND</w:t>
            </w:r>
            <w:r w:rsidRPr="006D52A9">
              <w:rPr>
                <w:rFonts w:ascii="Arial" w:hAnsi="Arial" w:cs="Arial"/>
                <w:sz w:val="16"/>
                <w:szCs w:val="16"/>
              </w:rPr>
              <w:br/>
              <w:t>Patient must not have previously received PBS</w:t>
            </w:r>
            <w:r w:rsidR="0026100E">
              <w:rPr>
                <w:rFonts w:ascii="Arial" w:hAnsi="Arial" w:cs="Arial"/>
                <w:sz w:val="16"/>
                <w:szCs w:val="16"/>
              </w:rPr>
              <w:noBreakHyphen/>
            </w:r>
            <w:r w:rsidRPr="006D52A9">
              <w:rPr>
                <w:rFonts w:ascii="Arial" w:hAnsi="Arial" w:cs="Arial"/>
                <w:sz w:val="16"/>
                <w:szCs w:val="16"/>
              </w:rPr>
              <w:t>subsidised continuing treatment with romiplostim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thrombopoietin receptor agonist (TRA) for this condition.</w:t>
            </w:r>
            <w:r w:rsidRPr="006D52A9">
              <w:rPr>
                <w:rFonts w:ascii="Arial" w:hAnsi="Arial" w:cs="Arial"/>
                <w:sz w:val="16"/>
                <w:szCs w:val="16"/>
              </w:rPr>
              <w:br/>
              <w:t>Patient must be aged 18 years or older.</w:t>
            </w:r>
            <w:r w:rsidRPr="006D52A9">
              <w:rPr>
                <w:rFonts w:ascii="Arial" w:hAnsi="Arial" w:cs="Arial"/>
                <w:sz w:val="16"/>
                <w:szCs w:val="16"/>
              </w:rPr>
              <w:br/>
              <w:t>For the purposes of this restriction, a sustained platelet response is defined as:</w:t>
            </w:r>
            <w:r w:rsidRPr="006D52A9">
              <w:rPr>
                <w:rFonts w:ascii="Arial" w:hAnsi="Arial" w:cs="Arial"/>
                <w:sz w:val="16"/>
                <w:szCs w:val="16"/>
              </w:rPr>
              <w:br/>
              <w:t>(a) use of rescue medication (corticosteroids or immunoglobulins) on no more than one occasion during the initial period of PBS</w:t>
            </w:r>
            <w:r w:rsidR="0026100E">
              <w:rPr>
                <w:rFonts w:ascii="Arial" w:hAnsi="Arial" w:cs="Arial"/>
                <w:sz w:val="16"/>
                <w:szCs w:val="16"/>
              </w:rPr>
              <w:noBreakHyphen/>
            </w:r>
            <w:r w:rsidRPr="006D52A9">
              <w:rPr>
                <w:rFonts w:ascii="Arial" w:hAnsi="Arial" w:cs="Arial"/>
                <w:sz w:val="16"/>
                <w:szCs w:val="16"/>
              </w:rPr>
              <w:t>subsidised treatment with this drug,</w:t>
            </w:r>
            <w:r w:rsidRPr="006D52A9">
              <w:rPr>
                <w:rFonts w:ascii="Arial" w:hAnsi="Arial" w:cs="Arial"/>
                <w:sz w:val="16"/>
                <w:szCs w:val="16"/>
              </w:rPr>
              <w:br/>
              <w:t>AND either of the following:</w:t>
            </w:r>
            <w:r w:rsidRPr="006D52A9">
              <w:rPr>
                <w:rFonts w:ascii="Arial" w:hAnsi="Arial" w:cs="Arial"/>
                <w:sz w:val="16"/>
                <w:szCs w:val="16"/>
              </w:rPr>
              <w:br/>
              <w:t>(b) a platelet count greater than or equal to 50,000 million per L on at least four (4) occasions, each at least one week apart;</w:t>
            </w:r>
            <w:r w:rsidRPr="006D52A9">
              <w:rPr>
                <w:rFonts w:ascii="Arial" w:hAnsi="Arial" w:cs="Arial"/>
                <w:sz w:val="16"/>
                <w:szCs w:val="16"/>
              </w:rPr>
              <w:br/>
              <w:t>OR</w:t>
            </w:r>
            <w:r w:rsidRPr="006D52A9">
              <w:rPr>
                <w:rFonts w:ascii="Arial" w:hAnsi="Arial" w:cs="Arial"/>
                <w:sz w:val="16"/>
                <w:szCs w:val="16"/>
              </w:rPr>
              <w:br/>
              <w:t>(c) a platelet count greater than 30,000 million per L and which is double the baseline (pre</w:t>
            </w:r>
            <w:r w:rsidR="0026100E">
              <w:rPr>
                <w:rFonts w:ascii="Arial" w:hAnsi="Arial" w:cs="Arial"/>
                <w:sz w:val="16"/>
                <w:szCs w:val="16"/>
              </w:rPr>
              <w:noBreakHyphen/>
            </w:r>
            <w:r w:rsidRPr="006D52A9">
              <w:rPr>
                <w:rFonts w:ascii="Arial" w:hAnsi="Arial" w:cs="Arial"/>
                <w:sz w:val="16"/>
                <w:szCs w:val="16"/>
              </w:rPr>
              <w:t>treatment) platelet count on at least four (4) occasions, each at least one week apart.</w:t>
            </w:r>
            <w:r w:rsidRPr="006D52A9">
              <w:rPr>
                <w:rFonts w:ascii="Arial" w:hAnsi="Arial" w:cs="Arial"/>
                <w:sz w:val="16"/>
                <w:szCs w:val="16"/>
              </w:rPr>
              <w:br/>
              <w:t>Applications for the First continuing PBS</w:t>
            </w:r>
            <w:r w:rsidR="0026100E">
              <w:rPr>
                <w:rFonts w:ascii="Arial" w:hAnsi="Arial" w:cs="Arial"/>
                <w:sz w:val="16"/>
                <w:szCs w:val="16"/>
              </w:rPr>
              <w:noBreakHyphen/>
            </w:r>
            <w:r w:rsidRPr="006D52A9">
              <w:rPr>
                <w:rFonts w:ascii="Arial" w:hAnsi="Arial" w:cs="Arial"/>
                <w:sz w:val="16"/>
                <w:szCs w:val="16"/>
              </w:rPr>
              <w:t>subsidised treatment or Re</w:t>
            </w:r>
            <w:r w:rsidR="0026100E">
              <w:rPr>
                <w:rFonts w:ascii="Arial" w:hAnsi="Arial" w:cs="Arial"/>
                <w:sz w:val="16"/>
                <w:szCs w:val="16"/>
              </w:rPr>
              <w:noBreakHyphen/>
            </w:r>
            <w:r w:rsidRPr="006D52A9">
              <w:rPr>
                <w:rFonts w:ascii="Arial" w:hAnsi="Arial" w:cs="Arial"/>
                <w:sz w:val="16"/>
                <w:szCs w:val="16"/>
              </w:rPr>
              <w:t>initiation of interrupted PBS</w:t>
            </w:r>
            <w:r w:rsidR="0026100E">
              <w:rPr>
                <w:rFonts w:ascii="Arial" w:hAnsi="Arial" w:cs="Arial"/>
                <w:sz w:val="16"/>
                <w:szCs w:val="16"/>
              </w:rPr>
              <w:noBreakHyphen/>
            </w:r>
            <w:r w:rsidRPr="006D52A9">
              <w:rPr>
                <w:rFonts w:ascii="Arial" w:hAnsi="Arial" w:cs="Arial"/>
                <w:sz w:val="16"/>
                <w:szCs w:val="16"/>
              </w:rPr>
              <w:t>subsidised continuing treatment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Idiopathic Thrombocytopenic Purpura Continuing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(3) the most recent platelet count.</w:t>
            </w:r>
            <w:r w:rsidRPr="006D52A9">
              <w:rPr>
                <w:rFonts w:ascii="Arial" w:hAnsi="Arial" w:cs="Arial"/>
                <w:sz w:val="16"/>
                <w:szCs w:val="16"/>
              </w:rPr>
              <w:br/>
              <w:t>The platelet count must be conducted no later than 4 weeks from the date of completion of the most recent PBS</w:t>
            </w:r>
            <w:r w:rsidR="0026100E">
              <w:rPr>
                <w:rFonts w:ascii="Arial" w:hAnsi="Arial" w:cs="Arial"/>
                <w:sz w:val="16"/>
                <w:szCs w:val="16"/>
              </w:rPr>
              <w:noBreakHyphen/>
            </w:r>
            <w:r w:rsidRPr="006D52A9">
              <w:rPr>
                <w:rFonts w:ascii="Arial" w:hAnsi="Arial" w:cs="Arial"/>
                <w:sz w:val="16"/>
                <w:szCs w:val="16"/>
              </w:rPr>
              <w:t>subsidised course of treatment with this drug.</w:t>
            </w:r>
            <w:r w:rsidRPr="006D52A9">
              <w:rPr>
                <w:rFonts w:ascii="Arial" w:hAnsi="Arial" w:cs="Arial"/>
                <w:sz w:val="16"/>
                <w:szCs w:val="16"/>
              </w:rPr>
              <w:br/>
            </w:r>
            <w:r w:rsidRPr="006D52A9">
              <w:rPr>
                <w:rFonts w:ascii="Arial" w:hAnsi="Arial" w:cs="Arial"/>
                <w:sz w:val="16"/>
                <w:szCs w:val="16"/>
              </w:rPr>
              <w:lastRenderedPageBreak/>
              <w:t>A maximum of 24 weeks of treatment with this drug will be authorised under this criterion.</w:t>
            </w:r>
          </w:p>
        </w:tc>
        <w:tc>
          <w:tcPr>
            <w:tcW w:w="929" w:type="pct"/>
            <w:shd w:val="clear" w:color="auto" w:fill="auto"/>
            <w:tcMar>
              <w:top w:w="28" w:type="dxa"/>
              <w:left w:w="28" w:type="dxa"/>
              <w:right w:w="57" w:type="dxa"/>
            </w:tcMar>
          </w:tcPr>
          <w:p w14:paraId="2E15B147" w14:textId="77777777" w:rsidR="008F47B8" w:rsidRPr="006D52A9" w:rsidDel="00A93A5F" w:rsidRDefault="008F47B8" w:rsidP="00FB6D2D">
            <w:pPr>
              <w:keepNext/>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E46204" w14:paraId="407A9870" w14:textId="77777777" w:rsidTr="00FB6D2D">
        <w:tblPrEx>
          <w:tblLook w:val="01E0" w:firstRow="1" w:lastRow="1" w:firstColumn="1" w:lastColumn="1" w:noHBand="0" w:noVBand="0"/>
        </w:tblPrEx>
        <w:tc>
          <w:tcPr>
            <w:tcW w:w="647" w:type="pct"/>
            <w:shd w:val="clear" w:color="auto" w:fill="auto"/>
            <w:tcMar>
              <w:top w:w="28" w:type="dxa"/>
              <w:left w:w="28" w:type="dxa"/>
            </w:tcMar>
          </w:tcPr>
          <w:p w14:paraId="2DA3608C" w14:textId="77777777" w:rsidR="008F47B8" w:rsidRPr="006D52A9" w:rsidDel="00E46204" w:rsidRDefault="008F47B8" w:rsidP="00FB6D2D">
            <w:pPr>
              <w:spacing w:line="240" w:lineRule="auto"/>
              <w:rPr>
                <w:rFonts w:ascii="Arial" w:hAnsi="Arial" w:cs="Arial"/>
                <w:sz w:val="16"/>
                <w:szCs w:val="16"/>
              </w:rPr>
            </w:pPr>
            <w:bookmarkStart w:id="110" w:name="CU_142330554"/>
            <w:bookmarkEnd w:id="110"/>
            <w:r w:rsidRPr="006D52A9">
              <w:rPr>
                <w:rFonts w:ascii="Arial" w:hAnsi="Arial" w:cs="Arial"/>
                <w:sz w:val="16"/>
                <w:szCs w:val="16"/>
              </w:rPr>
              <w:t>Emtricitabine with rilpivirine with tenofovir alafenamide</w:t>
            </w:r>
          </w:p>
        </w:tc>
        <w:tc>
          <w:tcPr>
            <w:tcW w:w="283" w:type="pct"/>
            <w:shd w:val="clear" w:color="auto" w:fill="auto"/>
            <w:tcMar>
              <w:top w:w="28" w:type="dxa"/>
              <w:left w:w="28" w:type="dxa"/>
            </w:tcMar>
          </w:tcPr>
          <w:p w14:paraId="6FBBA43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C4470</w:t>
            </w:r>
          </w:p>
        </w:tc>
        <w:tc>
          <w:tcPr>
            <w:tcW w:w="274" w:type="pct"/>
            <w:shd w:val="clear" w:color="auto" w:fill="auto"/>
            <w:tcMar>
              <w:top w:w="28" w:type="dxa"/>
              <w:left w:w="28" w:type="dxa"/>
            </w:tcMar>
          </w:tcPr>
          <w:p w14:paraId="0C97A528"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30A7949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p>
        </w:tc>
        <w:tc>
          <w:tcPr>
            <w:tcW w:w="929" w:type="pct"/>
            <w:shd w:val="clear" w:color="auto" w:fill="auto"/>
            <w:tcMar>
              <w:top w:w="28" w:type="dxa"/>
              <w:left w:w="28" w:type="dxa"/>
              <w:right w:w="57" w:type="dxa"/>
            </w:tcMar>
          </w:tcPr>
          <w:p w14:paraId="27FD6E3B"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4470</w:t>
            </w:r>
          </w:p>
        </w:tc>
      </w:tr>
      <w:tr w:rsidR="008F47B8" w:rsidRPr="006D52A9" w:rsidDel="00E46204" w14:paraId="1D079F80" w14:textId="77777777" w:rsidTr="00FB6D2D">
        <w:tblPrEx>
          <w:tblLook w:val="01E0" w:firstRow="1" w:lastRow="1" w:firstColumn="1" w:lastColumn="1" w:noHBand="0" w:noVBand="0"/>
        </w:tblPrEx>
        <w:tc>
          <w:tcPr>
            <w:tcW w:w="647" w:type="pct"/>
            <w:shd w:val="clear" w:color="auto" w:fill="auto"/>
            <w:tcMar>
              <w:top w:w="28" w:type="dxa"/>
              <w:left w:w="28" w:type="dxa"/>
            </w:tcMar>
          </w:tcPr>
          <w:p w14:paraId="3A36D3B5" w14:textId="77777777" w:rsidR="008F47B8" w:rsidRPr="006D52A9" w:rsidDel="00E46204"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6464AA7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C4522</w:t>
            </w:r>
          </w:p>
        </w:tc>
        <w:tc>
          <w:tcPr>
            <w:tcW w:w="274" w:type="pct"/>
            <w:shd w:val="clear" w:color="auto" w:fill="auto"/>
            <w:tcMar>
              <w:top w:w="28" w:type="dxa"/>
              <w:left w:w="28" w:type="dxa"/>
            </w:tcMar>
          </w:tcPr>
          <w:p w14:paraId="04ED27D3"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191D75C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r w:rsidRPr="006D52A9">
              <w:rPr>
                <w:rFonts w:ascii="Arial" w:hAnsi="Arial" w:cs="Arial"/>
                <w:sz w:val="16"/>
                <w:szCs w:val="16"/>
              </w:rPr>
              <w:br/>
              <w:t>Patient must be antiretroviral treatment naive.</w:t>
            </w:r>
          </w:p>
        </w:tc>
        <w:tc>
          <w:tcPr>
            <w:tcW w:w="929" w:type="pct"/>
            <w:shd w:val="clear" w:color="auto" w:fill="auto"/>
            <w:tcMar>
              <w:top w:w="28" w:type="dxa"/>
              <w:left w:w="28" w:type="dxa"/>
              <w:right w:w="57" w:type="dxa"/>
            </w:tcMar>
          </w:tcPr>
          <w:p w14:paraId="1A3C7956"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4522</w:t>
            </w:r>
          </w:p>
        </w:tc>
      </w:tr>
      <w:tr w:rsidR="008F47B8" w:rsidRPr="006D52A9" w:rsidDel="00E46204" w14:paraId="471635DD" w14:textId="77777777" w:rsidTr="00FB6D2D">
        <w:tblPrEx>
          <w:tblLook w:val="01E0" w:firstRow="1" w:lastRow="1" w:firstColumn="1" w:lastColumn="1" w:noHBand="0" w:noVBand="0"/>
        </w:tblPrEx>
        <w:tc>
          <w:tcPr>
            <w:tcW w:w="647" w:type="pct"/>
            <w:shd w:val="clear" w:color="auto" w:fill="auto"/>
            <w:tcMar>
              <w:top w:w="28" w:type="dxa"/>
              <w:left w:w="28" w:type="dxa"/>
            </w:tcMar>
          </w:tcPr>
          <w:p w14:paraId="487EC160" w14:textId="77777777" w:rsidR="008F47B8" w:rsidRPr="006D52A9" w:rsidDel="00E46204" w:rsidRDefault="008F47B8" w:rsidP="00FB6D2D">
            <w:pPr>
              <w:spacing w:line="240" w:lineRule="auto"/>
              <w:rPr>
                <w:rFonts w:ascii="Arial" w:hAnsi="Arial" w:cs="Arial"/>
                <w:sz w:val="16"/>
                <w:szCs w:val="16"/>
              </w:rPr>
            </w:pPr>
            <w:r w:rsidRPr="006D52A9">
              <w:rPr>
                <w:rFonts w:ascii="Arial" w:hAnsi="Arial" w:cs="Arial"/>
                <w:sz w:val="16"/>
                <w:szCs w:val="16"/>
              </w:rPr>
              <w:t>Emtricitabine with tenofovir alafenamide</w:t>
            </w:r>
          </w:p>
        </w:tc>
        <w:tc>
          <w:tcPr>
            <w:tcW w:w="283" w:type="pct"/>
            <w:shd w:val="clear" w:color="auto" w:fill="auto"/>
            <w:tcMar>
              <w:top w:w="28" w:type="dxa"/>
              <w:left w:w="28" w:type="dxa"/>
            </w:tcMar>
          </w:tcPr>
          <w:p w14:paraId="41CD4B7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shd w:val="clear" w:color="auto" w:fill="auto"/>
            <w:tcMar>
              <w:top w:w="28" w:type="dxa"/>
              <w:left w:w="28" w:type="dxa"/>
            </w:tcMar>
          </w:tcPr>
          <w:p w14:paraId="7BD56BB9"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4592815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20786DBA"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E46204" w14:paraId="0EA169A8" w14:textId="77777777" w:rsidTr="00FB6D2D">
        <w:tblPrEx>
          <w:tblLook w:val="01E0" w:firstRow="1" w:lastRow="1" w:firstColumn="1" w:lastColumn="1" w:noHBand="0" w:noVBand="0"/>
        </w:tblPrEx>
        <w:tc>
          <w:tcPr>
            <w:tcW w:w="647" w:type="pct"/>
            <w:shd w:val="clear" w:color="auto" w:fill="auto"/>
            <w:tcMar>
              <w:top w:w="28" w:type="dxa"/>
              <w:left w:w="28" w:type="dxa"/>
            </w:tcMar>
          </w:tcPr>
          <w:p w14:paraId="3A1D2917" w14:textId="77777777" w:rsidR="008F47B8" w:rsidRPr="006D52A9" w:rsidDel="00E46204"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0BBE2DF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shd w:val="clear" w:color="auto" w:fill="auto"/>
            <w:tcMar>
              <w:top w:w="28" w:type="dxa"/>
              <w:left w:w="28" w:type="dxa"/>
            </w:tcMar>
          </w:tcPr>
          <w:p w14:paraId="19F68266" w14:textId="77777777" w:rsidR="008F47B8" w:rsidRPr="006D52A9" w:rsidDel="00E46204"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20F54DD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r w:rsidRPr="006D52A9">
              <w:rPr>
                <w:rFonts w:ascii="Arial" w:hAnsi="Arial" w:cs="Arial"/>
                <w:sz w:val="16"/>
                <w:szCs w:val="16"/>
              </w:rPr>
              <w:br/>
              <w:t>Patient must be antiretroviral treatment naive; AND</w:t>
            </w:r>
            <w:r w:rsidRPr="006D52A9">
              <w:rPr>
                <w:rFonts w:ascii="Arial" w:hAnsi="Arial" w:cs="Arial"/>
                <w:sz w:val="16"/>
                <w:szCs w:val="16"/>
              </w:rPr>
              <w:br/>
              <w:t>The treatment must be in combination with other antiretroviral agents.</w:t>
            </w:r>
          </w:p>
        </w:tc>
        <w:tc>
          <w:tcPr>
            <w:tcW w:w="929" w:type="pct"/>
            <w:shd w:val="clear" w:color="auto" w:fill="auto"/>
            <w:tcMar>
              <w:top w:w="28" w:type="dxa"/>
              <w:left w:w="28" w:type="dxa"/>
              <w:right w:w="57" w:type="dxa"/>
            </w:tcMar>
          </w:tcPr>
          <w:p w14:paraId="7DB7C8DB"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F12A78" w14:paraId="1468068C" w14:textId="77777777" w:rsidTr="00FB6D2D">
        <w:tblPrEx>
          <w:tblLook w:val="01E0" w:firstRow="1" w:lastRow="1" w:firstColumn="1" w:lastColumn="1" w:noHBand="0" w:noVBand="0"/>
        </w:tblPrEx>
        <w:tc>
          <w:tcPr>
            <w:tcW w:w="647" w:type="pct"/>
            <w:tcMar>
              <w:top w:w="28" w:type="dxa"/>
              <w:left w:w="28" w:type="dxa"/>
            </w:tcMar>
          </w:tcPr>
          <w:p w14:paraId="615EFB51" w14:textId="77777777" w:rsidR="008F47B8" w:rsidRPr="006D52A9" w:rsidDel="00F12A78" w:rsidRDefault="008F47B8" w:rsidP="00FB6D2D">
            <w:pPr>
              <w:spacing w:line="240" w:lineRule="auto"/>
              <w:rPr>
                <w:rFonts w:ascii="Arial" w:hAnsi="Arial" w:cs="Arial"/>
                <w:sz w:val="16"/>
                <w:szCs w:val="16"/>
              </w:rPr>
            </w:pPr>
            <w:r w:rsidRPr="006D52A9">
              <w:rPr>
                <w:rFonts w:ascii="Arial" w:hAnsi="Arial" w:cs="Arial"/>
                <w:sz w:val="16"/>
                <w:szCs w:val="16"/>
              </w:rPr>
              <w:t>Enfuvirtide</w:t>
            </w:r>
          </w:p>
        </w:tc>
        <w:tc>
          <w:tcPr>
            <w:tcW w:w="283" w:type="pct"/>
            <w:tcMar>
              <w:top w:w="28" w:type="dxa"/>
              <w:left w:w="28" w:type="dxa"/>
            </w:tcMar>
          </w:tcPr>
          <w:p w14:paraId="13DC2F7D" w14:textId="77777777" w:rsidR="008F47B8" w:rsidRPr="006D52A9" w:rsidDel="00F12A78" w:rsidRDefault="008F47B8" w:rsidP="00FB6D2D">
            <w:pPr>
              <w:spacing w:line="240" w:lineRule="auto"/>
              <w:rPr>
                <w:rFonts w:ascii="Arial" w:hAnsi="Arial" w:cs="Arial"/>
                <w:sz w:val="16"/>
                <w:szCs w:val="16"/>
              </w:rPr>
            </w:pPr>
            <w:r w:rsidRPr="006D52A9">
              <w:rPr>
                <w:rFonts w:ascii="Arial" w:hAnsi="Arial" w:cs="Arial"/>
                <w:sz w:val="16"/>
                <w:szCs w:val="16"/>
              </w:rPr>
              <w:t>C5014</w:t>
            </w:r>
          </w:p>
        </w:tc>
        <w:tc>
          <w:tcPr>
            <w:tcW w:w="274" w:type="pct"/>
            <w:tcMar>
              <w:top w:w="28" w:type="dxa"/>
              <w:left w:w="28" w:type="dxa"/>
            </w:tcMar>
          </w:tcPr>
          <w:p w14:paraId="011698D1" w14:textId="77777777" w:rsidR="008F47B8" w:rsidRPr="006D52A9" w:rsidDel="00F12A78" w:rsidRDefault="008F47B8" w:rsidP="00FB6D2D">
            <w:pPr>
              <w:spacing w:line="240" w:lineRule="auto"/>
              <w:rPr>
                <w:rFonts w:ascii="Arial" w:hAnsi="Arial" w:cs="Arial"/>
                <w:sz w:val="16"/>
                <w:szCs w:val="16"/>
              </w:rPr>
            </w:pPr>
          </w:p>
        </w:tc>
        <w:tc>
          <w:tcPr>
            <w:tcW w:w="2867" w:type="pct"/>
            <w:tcMar>
              <w:top w:w="28" w:type="dxa"/>
              <w:left w:w="28" w:type="dxa"/>
            </w:tcMar>
          </w:tcPr>
          <w:p w14:paraId="5AF14B90" w14:textId="77777777" w:rsidR="008F47B8" w:rsidRPr="006D52A9" w:rsidDel="00F12A78"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The treatment must be in addition to optimised background therapy, AND</w:t>
            </w:r>
            <w:r w:rsidRPr="006D52A9">
              <w:rPr>
                <w:rFonts w:ascii="Arial" w:hAnsi="Arial" w:cs="Arial"/>
                <w:sz w:val="16"/>
                <w:szCs w:val="16"/>
              </w:rPr>
              <w:br/>
              <w:t>The treatment must be in combination with other antiretroviral agents, AND</w:t>
            </w:r>
            <w:r w:rsidRPr="006D52A9">
              <w:rPr>
                <w:rFonts w:ascii="Arial" w:hAnsi="Arial" w:cs="Arial"/>
                <w:sz w:val="16"/>
                <w:szCs w:val="16"/>
              </w:rPr>
              <w:br/>
              <w:t>Patient must be antiretroviral experienced, AND</w:t>
            </w:r>
            <w:r w:rsidRPr="006D52A9">
              <w:rPr>
                <w:rFonts w:ascii="Arial" w:hAnsi="Arial" w:cs="Arial"/>
                <w:sz w:val="16"/>
                <w:szCs w:val="16"/>
              </w:rPr>
              <w:br/>
              <w:t>Patient must have experienced virological failure or clinical failure or genotypic resistance after each of at least 3 different antiretroviral regimens that have included one drug from at least 3 different antiretroviral classes.</w:t>
            </w:r>
            <w:r w:rsidRPr="006D52A9">
              <w:rPr>
                <w:rFonts w:ascii="Arial" w:hAnsi="Arial" w:cs="Arial"/>
                <w:sz w:val="16"/>
                <w:szCs w:val="16"/>
              </w:rPr>
              <w:br/>
              <w:t>Virological failure is defined as a viral load greater than 400 copies per mL on two consecutive occasions, while clinical failure is linked to emerging signs and symptoms of progressing HIV infection or treatment</w:t>
            </w:r>
            <w:r w:rsidR="0026100E">
              <w:rPr>
                <w:rFonts w:ascii="Arial" w:hAnsi="Arial" w:cs="Arial"/>
                <w:sz w:val="16"/>
                <w:szCs w:val="16"/>
              </w:rPr>
              <w:noBreakHyphen/>
            </w:r>
            <w:r w:rsidRPr="006D52A9">
              <w:rPr>
                <w:rFonts w:ascii="Arial" w:hAnsi="Arial" w:cs="Arial"/>
                <w:sz w:val="16"/>
                <w:szCs w:val="16"/>
              </w:rPr>
              <w:t>limiting toxicity.</w:t>
            </w:r>
          </w:p>
        </w:tc>
        <w:tc>
          <w:tcPr>
            <w:tcW w:w="929" w:type="pct"/>
            <w:tcMar>
              <w:top w:w="28" w:type="dxa"/>
              <w:left w:w="28" w:type="dxa"/>
              <w:right w:w="57" w:type="dxa"/>
            </w:tcMar>
          </w:tcPr>
          <w:p w14:paraId="75ECB1A5" w14:textId="77777777" w:rsidR="008F47B8" w:rsidRPr="006D52A9" w:rsidDel="00F12A78"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5014</w:t>
            </w:r>
          </w:p>
        </w:tc>
      </w:tr>
      <w:tr w:rsidR="008F47B8" w:rsidRPr="006D52A9" w:rsidDel="00A024E9" w14:paraId="58616CAD" w14:textId="77777777" w:rsidTr="00FB6D2D">
        <w:trPr>
          <w:cantSplit/>
        </w:trPr>
        <w:tc>
          <w:tcPr>
            <w:tcW w:w="647" w:type="pct"/>
            <w:tcMar>
              <w:top w:w="28" w:type="dxa"/>
              <w:left w:w="28" w:type="dxa"/>
            </w:tcMar>
          </w:tcPr>
          <w:p w14:paraId="75CFE938" w14:textId="77777777" w:rsidR="008F47B8" w:rsidRPr="006D52A9" w:rsidDel="00A024E9" w:rsidRDefault="008F47B8" w:rsidP="00FB6D2D">
            <w:pPr>
              <w:spacing w:line="240" w:lineRule="auto"/>
              <w:rPr>
                <w:rFonts w:ascii="Arial" w:hAnsi="Arial" w:cs="Arial"/>
                <w:sz w:val="16"/>
                <w:szCs w:val="16"/>
              </w:rPr>
            </w:pPr>
            <w:bookmarkStart w:id="111" w:name="CU_146333006"/>
            <w:bookmarkStart w:id="112" w:name="CU_151336173"/>
            <w:bookmarkEnd w:id="111"/>
            <w:bookmarkEnd w:id="112"/>
            <w:r w:rsidRPr="006D52A9">
              <w:rPr>
                <w:rFonts w:ascii="Arial" w:hAnsi="Arial" w:cs="Arial"/>
                <w:sz w:val="16"/>
                <w:szCs w:val="16"/>
              </w:rPr>
              <w:t>Entecavir</w:t>
            </w:r>
          </w:p>
        </w:tc>
        <w:tc>
          <w:tcPr>
            <w:tcW w:w="283" w:type="pct"/>
            <w:tcMar>
              <w:top w:w="28" w:type="dxa"/>
              <w:left w:w="28" w:type="dxa"/>
            </w:tcMar>
          </w:tcPr>
          <w:p w14:paraId="44330AAC"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C4993</w:t>
            </w:r>
          </w:p>
        </w:tc>
        <w:tc>
          <w:tcPr>
            <w:tcW w:w="274" w:type="pct"/>
            <w:tcMar>
              <w:top w:w="28" w:type="dxa"/>
              <w:left w:w="28" w:type="dxa"/>
            </w:tcMar>
          </w:tcPr>
          <w:p w14:paraId="752D2FBD" w14:textId="77777777" w:rsidR="008F47B8" w:rsidRPr="006D52A9" w:rsidDel="00A024E9" w:rsidRDefault="008F47B8" w:rsidP="00FB6D2D">
            <w:pPr>
              <w:spacing w:line="240" w:lineRule="auto"/>
              <w:rPr>
                <w:rFonts w:ascii="Arial" w:hAnsi="Arial" w:cs="Arial"/>
                <w:sz w:val="16"/>
                <w:szCs w:val="16"/>
              </w:rPr>
            </w:pPr>
          </w:p>
        </w:tc>
        <w:tc>
          <w:tcPr>
            <w:tcW w:w="2867" w:type="pct"/>
            <w:tcMar>
              <w:top w:w="28" w:type="dxa"/>
              <w:left w:w="28" w:type="dxa"/>
            </w:tcMar>
          </w:tcPr>
          <w:p w14:paraId="618D5BE5"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not have cirrhosis, AND</w:t>
            </w:r>
            <w:r w:rsidRPr="006D52A9">
              <w:rPr>
                <w:rFonts w:ascii="Arial" w:hAnsi="Arial" w:cs="Arial"/>
                <w:sz w:val="16"/>
                <w:szCs w:val="16"/>
              </w:rPr>
              <w:br/>
              <w:t>Patient must have elevated HBV DNA levels greater than 20,000 IU/mL (100,000 copies/mL) if HBeAg positive, in conjunction with documented hepatitis B infection; OR</w:t>
            </w:r>
            <w:r w:rsidRPr="006D52A9">
              <w:rPr>
                <w:rFonts w:ascii="Arial" w:hAnsi="Arial" w:cs="Arial"/>
                <w:sz w:val="16"/>
                <w:szCs w:val="16"/>
              </w:rPr>
              <w:br/>
              <w:t>Patient must have elevated HBV DNA levels greater than 2,000 IU/mL (10,000 copies/mL) if HBeAg negative, in conjunction with documented hepatitis B infection, AND</w:t>
            </w:r>
            <w:r w:rsidRPr="006D52A9">
              <w:rPr>
                <w:rFonts w:ascii="Arial" w:hAnsi="Arial" w:cs="Arial"/>
                <w:sz w:val="16"/>
                <w:szCs w:val="16"/>
              </w:rPr>
              <w:br/>
              <w:t>Patient must have evidence of chronic liver injury determined by confirmed elevated serum ALT or liver biopsy.</w:t>
            </w:r>
          </w:p>
        </w:tc>
        <w:tc>
          <w:tcPr>
            <w:tcW w:w="929" w:type="pct"/>
            <w:tcMar>
              <w:top w:w="28" w:type="dxa"/>
              <w:left w:w="28" w:type="dxa"/>
              <w:right w:w="57" w:type="dxa"/>
            </w:tcMar>
          </w:tcPr>
          <w:p w14:paraId="070B5250" w14:textId="77777777" w:rsidR="008F47B8" w:rsidRPr="006D52A9" w:rsidDel="00A024E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4993</w:t>
            </w:r>
          </w:p>
        </w:tc>
      </w:tr>
      <w:tr w:rsidR="008F47B8" w:rsidRPr="006D52A9" w:rsidDel="00A024E9" w14:paraId="309B4326" w14:textId="77777777" w:rsidTr="00FB6D2D">
        <w:trPr>
          <w:cantSplit/>
        </w:trPr>
        <w:tc>
          <w:tcPr>
            <w:tcW w:w="647" w:type="pct"/>
            <w:tcMar>
              <w:top w:w="28" w:type="dxa"/>
              <w:left w:w="28" w:type="dxa"/>
            </w:tcMar>
          </w:tcPr>
          <w:p w14:paraId="2C9309BB" w14:textId="77777777" w:rsidR="008F47B8" w:rsidRPr="006D52A9" w:rsidDel="00A024E9" w:rsidRDefault="008F47B8" w:rsidP="00FB6D2D">
            <w:pPr>
              <w:spacing w:line="240" w:lineRule="auto"/>
              <w:rPr>
                <w:rFonts w:ascii="Arial" w:hAnsi="Arial" w:cs="Arial"/>
                <w:sz w:val="16"/>
                <w:szCs w:val="16"/>
              </w:rPr>
            </w:pPr>
          </w:p>
        </w:tc>
        <w:tc>
          <w:tcPr>
            <w:tcW w:w="283" w:type="pct"/>
            <w:tcMar>
              <w:top w:w="28" w:type="dxa"/>
              <w:left w:w="28" w:type="dxa"/>
            </w:tcMar>
          </w:tcPr>
          <w:p w14:paraId="1FE91F74"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C5036</w:t>
            </w:r>
          </w:p>
        </w:tc>
        <w:tc>
          <w:tcPr>
            <w:tcW w:w="274" w:type="pct"/>
            <w:tcMar>
              <w:top w:w="28" w:type="dxa"/>
              <w:left w:w="28" w:type="dxa"/>
            </w:tcMar>
          </w:tcPr>
          <w:p w14:paraId="4D687AC8" w14:textId="77777777" w:rsidR="008F47B8" w:rsidRPr="006D52A9" w:rsidDel="00A024E9" w:rsidRDefault="008F47B8" w:rsidP="00FB6D2D">
            <w:pPr>
              <w:spacing w:line="240" w:lineRule="auto"/>
              <w:rPr>
                <w:rFonts w:ascii="Arial" w:hAnsi="Arial" w:cs="Arial"/>
                <w:sz w:val="16"/>
                <w:szCs w:val="16"/>
              </w:rPr>
            </w:pPr>
          </w:p>
        </w:tc>
        <w:tc>
          <w:tcPr>
            <w:tcW w:w="2867" w:type="pct"/>
            <w:tcMar>
              <w:top w:w="28" w:type="dxa"/>
              <w:left w:w="28" w:type="dxa"/>
            </w:tcMar>
          </w:tcPr>
          <w:p w14:paraId="3C3B3C19"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have cirrhosis, AND</w:t>
            </w:r>
            <w:r w:rsidRPr="006D52A9">
              <w:rPr>
                <w:rFonts w:ascii="Arial" w:hAnsi="Arial" w:cs="Arial"/>
                <w:sz w:val="16"/>
                <w:szCs w:val="16"/>
              </w:rPr>
              <w:br/>
              <w:t>Patient must have detectable HBV DNA.</w:t>
            </w:r>
            <w:r w:rsidRPr="006D52A9">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29" w:type="pct"/>
            <w:tcMar>
              <w:top w:w="28" w:type="dxa"/>
              <w:left w:w="28" w:type="dxa"/>
              <w:right w:w="57" w:type="dxa"/>
            </w:tcMar>
          </w:tcPr>
          <w:p w14:paraId="477D6512" w14:textId="77777777" w:rsidR="008F47B8" w:rsidRPr="006D52A9" w:rsidDel="00A024E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5036</w:t>
            </w:r>
          </w:p>
        </w:tc>
      </w:tr>
      <w:tr w:rsidR="008F47B8" w:rsidRPr="006D52A9" w:rsidDel="00A024E9" w14:paraId="2FC40C81" w14:textId="77777777" w:rsidTr="00FB6D2D">
        <w:trPr>
          <w:cantSplit/>
        </w:trPr>
        <w:tc>
          <w:tcPr>
            <w:tcW w:w="647" w:type="pct"/>
            <w:tcMar>
              <w:top w:w="28" w:type="dxa"/>
              <w:left w:w="28" w:type="dxa"/>
            </w:tcMar>
          </w:tcPr>
          <w:p w14:paraId="4F6BD9F4" w14:textId="77777777" w:rsidR="008F47B8" w:rsidRPr="006D52A9" w:rsidDel="00A024E9" w:rsidRDefault="008F47B8" w:rsidP="00FB6D2D">
            <w:pPr>
              <w:spacing w:line="240" w:lineRule="auto"/>
              <w:rPr>
                <w:rFonts w:ascii="Arial" w:hAnsi="Arial" w:cs="Arial"/>
                <w:sz w:val="16"/>
                <w:szCs w:val="16"/>
              </w:rPr>
            </w:pPr>
          </w:p>
        </w:tc>
        <w:tc>
          <w:tcPr>
            <w:tcW w:w="283" w:type="pct"/>
            <w:tcMar>
              <w:top w:w="28" w:type="dxa"/>
              <w:left w:w="28" w:type="dxa"/>
            </w:tcMar>
          </w:tcPr>
          <w:p w14:paraId="7795349D"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C5037</w:t>
            </w:r>
          </w:p>
        </w:tc>
        <w:tc>
          <w:tcPr>
            <w:tcW w:w="274" w:type="pct"/>
            <w:tcMar>
              <w:top w:w="28" w:type="dxa"/>
              <w:left w:w="28" w:type="dxa"/>
            </w:tcMar>
          </w:tcPr>
          <w:p w14:paraId="3210561C" w14:textId="77777777" w:rsidR="008F47B8" w:rsidRPr="006D52A9" w:rsidDel="00A024E9" w:rsidRDefault="008F47B8" w:rsidP="00FB6D2D">
            <w:pPr>
              <w:spacing w:line="240" w:lineRule="auto"/>
              <w:rPr>
                <w:rFonts w:ascii="Arial" w:hAnsi="Arial" w:cs="Arial"/>
                <w:sz w:val="16"/>
                <w:szCs w:val="16"/>
              </w:rPr>
            </w:pPr>
          </w:p>
        </w:tc>
        <w:tc>
          <w:tcPr>
            <w:tcW w:w="2867" w:type="pct"/>
            <w:tcMar>
              <w:top w:w="28" w:type="dxa"/>
              <w:left w:w="28" w:type="dxa"/>
            </w:tcMar>
          </w:tcPr>
          <w:p w14:paraId="37C43961"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have cirrhosis, AND</w:t>
            </w:r>
            <w:r w:rsidRPr="006D52A9">
              <w:rPr>
                <w:rFonts w:ascii="Arial" w:hAnsi="Arial" w:cs="Arial"/>
                <w:sz w:val="16"/>
                <w:szCs w:val="16"/>
              </w:rPr>
              <w:br/>
              <w:t>Patient must have failed lamivudine, AND</w:t>
            </w:r>
            <w:r w:rsidRPr="006D52A9">
              <w:rPr>
                <w:rFonts w:ascii="Arial" w:hAnsi="Arial" w:cs="Arial"/>
                <w:sz w:val="16"/>
                <w:szCs w:val="16"/>
              </w:rPr>
              <w:br/>
              <w:t>Patient must have detectable HBV DNA.</w:t>
            </w:r>
            <w:r w:rsidRPr="006D52A9">
              <w:rPr>
                <w:rFonts w:ascii="Arial" w:hAnsi="Arial" w:cs="Arial"/>
                <w:sz w:val="16"/>
                <w:szCs w:val="16"/>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29" w:type="pct"/>
            <w:tcMar>
              <w:top w:w="28" w:type="dxa"/>
              <w:left w:w="28" w:type="dxa"/>
              <w:right w:w="57" w:type="dxa"/>
            </w:tcMar>
          </w:tcPr>
          <w:p w14:paraId="7DDA0378" w14:textId="77777777" w:rsidR="008F47B8" w:rsidRPr="006D52A9" w:rsidDel="00A024E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5037</w:t>
            </w:r>
          </w:p>
        </w:tc>
      </w:tr>
      <w:tr w:rsidR="008F47B8" w:rsidRPr="006D52A9" w:rsidDel="00A024E9" w14:paraId="4D183DFD" w14:textId="77777777" w:rsidTr="00FB6D2D">
        <w:tc>
          <w:tcPr>
            <w:tcW w:w="647" w:type="pct"/>
            <w:tcMar>
              <w:top w:w="28" w:type="dxa"/>
              <w:left w:w="28" w:type="dxa"/>
            </w:tcMar>
          </w:tcPr>
          <w:p w14:paraId="0F2078B9" w14:textId="77777777" w:rsidR="008F47B8" w:rsidRPr="006D52A9" w:rsidDel="00A024E9" w:rsidRDefault="008F47B8" w:rsidP="00FB6D2D">
            <w:pPr>
              <w:spacing w:line="240" w:lineRule="auto"/>
              <w:rPr>
                <w:rFonts w:ascii="Arial" w:hAnsi="Arial" w:cs="Arial"/>
                <w:sz w:val="16"/>
                <w:szCs w:val="16"/>
              </w:rPr>
            </w:pPr>
          </w:p>
        </w:tc>
        <w:tc>
          <w:tcPr>
            <w:tcW w:w="283" w:type="pct"/>
            <w:tcMar>
              <w:top w:w="28" w:type="dxa"/>
              <w:left w:w="28" w:type="dxa"/>
            </w:tcMar>
          </w:tcPr>
          <w:p w14:paraId="6BC40C19"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C5044</w:t>
            </w:r>
          </w:p>
        </w:tc>
        <w:tc>
          <w:tcPr>
            <w:tcW w:w="274" w:type="pct"/>
            <w:tcMar>
              <w:top w:w="28" w:type="dxa"/>
              <w:left w:w="28" w:type="dxa"/>
            </w:tcMar>
          </w:tcPr>
          <w:p w14:paraId="5B111271" w14:textId="77777777" w:rsidR="008F47B8" w:rsidRPr="006D52A9" w:rsidDel="00A024E9" w:rsidRDefault="008F47B8" w:rsidP="00FB6D2D">
            <w:pPr>
              <w:spacing w:line="240" w:lineRule="auto"/>
              <w:rPr>
                <w:rFonts w:ascii="Arial" w:hAnsi="Arial" w:cs="Arial"/>
                <w:sz w:val="16"/>
                <w:szCs w:val="16"/>
              </w:rPr>
            </w:pPr>
          </w:p>
        </w:tc>
        <w:tc>
          <w:tcPr>
            <w:tcW w:w="2867" w:type="pct"/>
            <w:tcMar>
              <w:top w:w="28" w:type="dxa"/>
              <w:left w:w="28" w:type="dxa"/>
            </w:tcMar>
          </w:tcPr>
          <w:p w14:paraId="38FD6087" w14:textId="77777777" w:rsidR="008F47B8" w:rsidRPr="006D52A9" w:rsidDel="00A024E9" w:rsidRDefault="008F47B8" w:rsidP="00FB6D2D">
            <w:pPr>
              <w:spacing w:line="240" w:lineRule="auto"/>
              <w:rPr>
                <w:rFonts w:ascii="Arial" w:hAnsi="Arial" w:cs="Arial"/>
                <w:sz w:val="16"/>
                <w:szCs w:val="16"/>
              </w:rPr>
            </w:pPr>
            <w:r w:rsidRPr="006D52A9">
              <w:rPr>
                <w:rFonts w:ascii="Arial" w:hAnsi="Arial" w:cs="Arial"/>
                <w:sz w:val="16"/>
                <w:szCs w:val="16"/>
              </w:rPr>
              <w:t>Chronic hepatitis B infection</w:t>
            </w:r>
            <w:r w:rsidRPr="006D52A9">
              <w:rPr>
                <w:rFonts w:ascii="Arial" w:hAnsi="Arial" w:cs="Arial"/>
                <w:sz w:val="16"/>
                <w:szCs w:val="16"/>
              </w:rPr>
              <w:br/>
              <w:t>Patient must not have cirrhosis, AND</w:t>
            </w:r>
            <w:r w:rsidRPr="006D52A9">
              <w:rPr>
                <w:rFonts w:ascii="Arial" w:hAnsi="Arial" w:cs="Arial"/>
                <w:sz w:val="16"/>
                <w:szCs w:val="16"/>
              </w:rPr>
              <w:br/>
              <w:t>Patient must have failed lamivudine, AND</w:t>
            </w:r>
            <w:r w:rsidRPr="006D52A9">
              <w:rPr>
                <w:rFonts w:ascii="Arial" w:hAnsi="Arial" w:cs="Arial"/>
                <w:sz w:val="16"/>
                <w:szCs w:val="16"/>
              </w:rPr>
              <w:br/>
              <w:t>Patient must have repeatedly elevated serum ALT levels while on concurrent antihepadnaviral therapy of greater than or equal to 6 months duration, in conjunction with documented chronic hepatitis B infection; OR</w:t>
            </w:r>
            <w:r w:rsidRPr="006D52A9">
              <w:rPr>
                <w:rFonts w:ascii="Arial" w:hAnsi="Arial" w:cs="Arial"/>
                <w:sz w:val="16"/>
                <w:szCs w:val="16"/>
              </w:rPr>
              <w:b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29" w:type="pct"/>
            <w:tcMar>
              <w:top w:w="28" w:type="dxa"/>
              <w:left w:w="28" w:type="dxa"/>
              <w:right w:w="57" w:type="dxa"/>
            </w:tcMar>
          </w:tcPr>
          <w:p w14:paraId="6B6CEEF6" w14:textId="77777777" w:rsidR="008F47B8" w:rsidRPr="006D52A9" w:rsidDel="00A024E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5044</w:t>
            </w:r>
          </w:p>
        </w:tc>
      </w:tr>
      <w:tr w:rsidR="008F47B8" w:rsidRPr="006D52A9" w:rsidDel="00E02E18" w14:paraId="794851D0" w14:textId="77777777" w:rsidTr="00FB6D2D">
        <w:trPr>
          <w:cantSplit/>
        </w:trPr>
        <w:tc>
          <w:tcPr>
            <w:tcW w:w="647" w:type="pct"/>
            <w:tcMar>
              <w:top w:w="28" w:type="dxa"/>
              <w:left w:w="28" w:type="dxa"/>
            </w:tcMar>
          </w:tcPr>
          <w:p w14:paraId="360EFF08"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Epoetin Alfa</w:t>
            </w:r>
          </w:p>
        </w:tc>
        <w:tc>
          <w:tcPr>
            <w:tcW w:w="283" w:type="pct"/>
            <w:tcMar>
              <w:top w:w="28" w:type="dxa"/>
              <w:left w:w="28" w:type="dxa"/>
            </w:tcMar>
          </w:tcPr>
          <w:p w14:paraId="785AB3DD"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C6294</w:t>
            </w:r>
          </w:p>
        </w:tc>
        <w:tc>
          <w:tcPr>
            <w:tcW w:w="274" w:type="pct"/>
            <w:tcMar>
              <w:top w:w="28" w:type="dxa"/>
              <w:left w:w="28" w:type="dxa"/>
            </w:tcMar>
          </w:tcPr>
          <w:p w14:paraId="4AB31CF2" w14:textId="77777777" w:rsidR="008F47B8" w:rsidRPr="006D52A9" w:rsidDel="00E02E18" w:rsidRDefault="008F47B8" w:rsidP="00FB6D2D">
            <w:pPr>
              <w:spacing w:line="240" w:lineRule="auto"/>
              <w:rPr>
                <w:rFonts w:ascii="Arial" w:hAnsi="Arial" w:cs="Arial"/>
                <w:sz w:val="16"/>
                <w:szCs w:val="16"/>
              </w:rPr>
            </w:pPr>
          </w:p>
        </w:tc>
        <w:tc>
          <w:tcPr>
            <w:tcW w:w="2867" w:type="pct"/>
            <w:tcMar>
              <w:top w:w="28" w:type="dxa"/>
              <w:left w:w="28" w:type="dxa"/>
            </w:tcMar>
          </w:tcPr>
          <w:p w14:paraId="546A4CE6"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Mar>
              <w:top w:w="28" w:type="dxa"/>
              <w:left w:w="28" w:type="dxa"/>
              <w:right w:w="57" w:type="dxa"/>
            </w:tcMar>
          </w:tcPr>
          <w:p w14:paraId="0D14FD5B" w14:textId="77777777" w:rsidR="008F47B8" w:rsidRPr="006D52A9" w:rsidDel="00E02E18"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6294</w:t>
            </w:r>
          </w:p>
        </w:tc>
      </w:tr>
      <w:tr w:rsidR="008F47B8" w:rsidRPr="006D52A9" w:rsidDel="00E02E18" w14:paraId="42B6610D" w14:textId="77777777" w:rsidTr="00FB6D2D">
        <w:trPr>
          <w:cantSplit/>
        </w:trPr>
        <w:tc>
          <w:tcPr>
            <w:tcW w:w="647" w:type="pct"/>
            <w:tcMar>
              <w:top w:w="28" w:type="dxa"/>
              <w:left w:w="28" w:type="dxa"/>
            </w:tcMar>
          </w:tcPr>
          <w:p w14:paraId="66779CE2" w14:textId="77777777" w:rsidR="008F47B8" w:rsidRPr="006D52A9" w:rsidDel="00E02E18" w:rsidRDefault="008F47B8" w:rsidP="00FB6D2D">
            <w:pPr>
              <w:spacing w:line="240" w:lineRule="auto"/>
              <w:rPr>
                <w:rFonts w:ascii="Arial" w:hAnsi="Arial" w:cs="Arial"/>
                <w:sz w:val="16"/>
                <w:szCs w:val="16"/>
              </w:rPr>
            </w:pPr>
          </w:p>
        </w:tc>
        <w:tc>
          <w:tcPr>
            <w:tcW w:w="283" w:type="pct"/>
            <w:tcMar>
              <w:top w:w="28" w:type="dxa"/>
              <w:left w:w="28" w:type="dxa"/>
            </w:tcMar>
          </w:tcPr>
          <w:p w14:paraId="15CA81E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C9688</w:t>
            </w:r>
          </w:p>
        </w:tc>
        <w:tc>
          <w:tcPr>
            <w:tcW w:w="274" w:type="pct"/>
            <w:tcMar>
              <w:top w:w="28" w:type="dxa"/>
              <w:left w:w="28" w:type="dxa"/>
            </w:tcMar>
          </w:tcPr>
          <w:p w14:paraId="14E6B27F" w14:textId="77777777" w:rsidR="008F47B8" w:rsidRPr="006D52A9" w:rsidDel="00E02E18" w:rsidRDefault="008F47B8" w:rsidP="00FB6D2D">
            <w:pPr>
              <w:spacing w:line="240" w:lineRule="auto"/>
              <w:rPr>
                <w:rFonts w:ascii="Arial" w:hAnsi="Arial" w:cs="Arial"/>
                <w:sz w:val="16"/>
                <w:szCs w:val="16"/>
              </w:rPr>
            </w:pPr>
          </w:p>
        </w:tc>
        <w:tc>
          <w:tcPr>
            <w:tcW w:w="2867" w:type="pct"/>
            <w:tcMar>
              <w:top w:w="28" w:type="dxa"/>
              <w:left w:w="28" w:type="dxa"/>
            </w:tcMar>
          </w:tcPr>
          <w:p w14:paraId="715A665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Mar>
              <w:top w:w="28" w:type="dxa"/>
              <w:left w:w="28" w:type="dxa"/>
              <w:right w:w="57" w:type="dxa"/>
            </w:tcMar>
          </w:tcPr>
          <w:p w14:paraId="3415C86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9688</w:t>
            </w:r>
          </w:p>
        </w:tc>
      </w:tr>
      <w:tr w:rsidR="008F47B8" w:rsidRPr="006D52A9" w:rsidDel="00FE20B2" w14:paraId="47D9FE03" w14:textId="77777777" w:rsidTr="00FB6D2D">
        <w:tc>
          <w:tcPr>
            <w:tcW w:w="647" w:type="pct"/>
            <w:tcMar>
              <w:top w:w="28" w:type="dxa"/>
              <w:left w:w="28" w:type="dxa"/>
            </w:tcMar>
          </w:tcPr>
          <w:p w14:paraId="69B601B1" w14:textId="77777777" w:rsidR="008F47B8" w:rsidRPr="006D52A9" w:rsidDel="00FE20B2" w:rsidRDefault="008F47B8" w:rsidP="00FB6D2D">
            <w:pPr>
              <w:spacing w:line="240" w:lineRule="auto"/>
              <w:rPr>
                <w:rFonts w:ascii="Arial" w:hAnsi="Arial" w:cs="Arial"/>
                <w:sz w:val="16"/>
                <w:szCs w:val="16"/>
              </w:rPr>
            </w:pPr>
            <w:r w:rsidRPr="006D52A9">
              <w:rPr>
                <w:rFonts w:ascii="Arial" w:hAnsi="Arial" w:cs="Arial"/>
                <w:sz w:val="16"/>
                <w:szCs w:val="16"/>
              </w:rPr>
              <w:t>Epoetin Beta</w:t>
            </w:r>
          </w:p>
        </w:tc>
        <w:tc>
          <w:tcPr>
            <w:tcW w:w="283" w:type="pct"/>
            <w:tcMar>
              <w:top w:w="28" w:type="dxa"/>
              <w:left w:w="28" w:type="dxa"/>
            </w:tcMar>
          </w:tcPr>
          <w:p w14:paraId="066BD891" w14:textId="77777777" w:rsidR="008F47B8" w:rsidRPr="006D52A9" w:rsidDel="00FE20B2" w:rsidRDefault="008F47B8" w:rsidP="00FB6D2D">
            <w:pPr>
              <w:spacing w:line="240" w:lineRule="auto"/>
              <w:rPr>
                <w:rFonts w:ascii="Arial" w:hAnsi="Arial" w:cs="Arial"/>
                <w:sz w:val="16"/>
                <w:szCs w:val="16"/>
              </w:rPr>
            </w:pPr>
            <w:r w:rsidRPr="006D52A9">
              <w:rPr>
                <w:rFonts w:ascii="Arial" w:hAnsi="Arial" w:cs="Arial"/>
                <w:sz w:val="16"/>
                <w:szCs w:val="16"/>
              </w:rPr>
              <w:t>C6294</w:t>
            </w:r>
          </w:p>
        </w:tc>
        <w:tc>
          <w:tcPr>
            <w:tcW w:w="274" w:type="pct"/>
            <w:tcMar>
              <w:top w:w="28" w:type="dxa"/>
              <w:left w:w="28" w:type="dxa"/>
            </w:tcMar>
          </w:tcPr>
          <w:p w14:paraId="725FF06A" w14:textId="77777777" w:rsidR="008F47B8" w:rsidRPr="006D52A9" w:rsidDel="00FE20B2" w:rsidRDefault="008F47B8" w:rsidP="00FB6D2D">
            <w:pPr>
              <w:spacing w:line="240" w:lineRule="auto"/>
              <w:rPr>
                <w:rFonts w:ascii="Arial" w:hAnsi="Arial" w:cs="Arial"/>
                <w:sz w:val="16"/>
                <w:szCs w:val="16"/>
              </w:rPr>
            </w:pPr>
          </w:p>
        </w:tc>
        <w:tc>
          <w:tcPr>
            <w:tcW w:w="2867" w:type="pct"/>
            <w:tcMar>
              <w:top w:w="28" w:type="dxa"/>
              <w:left w:w="28" w:type="dxa"/>
            </w:tcMar>
          </w:tcPr>
          <w:p w14:paraId="6597061F" w14:textId="77777777" w:rsidR="008F47B8" w:rsidRPr="006D52A9" w:rsidDel="00FE20B2"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Mar>
              <w:top w:w="28" w:type="dxa"/>
              <w:left w:w="28" w:type="dxa"/>
              <w:right w:w="57" w:type="dxa"/>
            </w:tcMar>
          </w:tcPr>
          <w:p w14:paraId="6DD2B797" w14:textId="77777777" w:rsidR="008F47B8" w:rsidRPr="006D52A9" w:rsidDel="00FE20B2"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6294</w:t>
            </w:r>
          </w:p>
        </w:tc>
      </w:tr>
      <w:tr w:rsidR="008F47B8" w:rsidRPr="006D52A9" w:rsidDel="00FE20B2" w14:paraId="34027D96" w14:textId="77777777" w:rsidTr="00FB6D2D">
        <w:tc>
          <w:tcPr>
            <w:tcW w:w="647" w:type="pct"/>
            <w:tcMar>
              <w:top w:w="28" w:type="dxa"/>
              <w:left w:w="28" w:type="dxa"/>
            </w:tcMar>
          </w:tcPr>
          <w:p w14:paraId="10F29122" w14:textId="77777777" w:rsidR="008F47B8" w:rsidRPr="006D52A9" w:rsidDel="00FE20B2" w:rsidRDefault="008F47B8" w:rsidP="00FB6D2D">
            <w:pPr>
              <w:spacing w:line="240" w:lineRule="auto"/>
              <w:rPr>
                <w:rFonts w:ascii="Arial" w:hAnsi="Arial" w:cs="Arial"/>
                <w:sz w:val="16"/>
                <w:szCs w:val="16"/>
              </w:rPr>
            </w:pPr>
          </w:p>
        </w:tc>
        <w:tc>
          <w:tcPr>
            <w:tcW w:w="283" w:type="pct"/>
            <w:tcMar>
              <w:top w:w="28" w:type="dxa"/>
              <w:left w:w="28" w:type="dxa"/>
            </w:tcMar>
          </w:tcPr>
          <w:p w14:paraId="44B6893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C9688</w:t>
            </w:r>
          </w:p>
        </w:tc>
        <w:tc>
          <w:tcPr>
            <w:tcW w:w="274" w:type="pct"/>
            <w:tcMar>
              <w:top w:w="28" w:type="dxa"/>
              <w:left w:w="28" w:type="dxa"/>
            </w:tcMar>
          </w:tcPr>
          <w:p w14:paraId="29BBB25E" w14:textId="77777777" w:rsidR="008F47B8" w:rsidRPr="006D52A9" w:rsidDel="00FE20B2" w:rsidRDefault="008F47B8" w:rsidP="00FB6D2D">
            <w:pPr>
              <w:spacing w:line="240" w:lineRule="auto"/>
              <w:rPr>
                <w:rFonts w:ascii="Arial" w:hAnsi="Arial" w:cs="Arial"/>
                <w:sz w:val="16"/>
                <w:szCs w:val="16"/>
              </w:rPr>
            </w:pPr>
          </w:p>
        </w:tc>
        <w:tc>
          <w:tcPr>
            <w:tcW w:w="2867" w:type="pct"/>
            <w:tcMar>
              <w:top w:w="28" w:type="dxa"/>
              <w:left w:w="28" w:type="dxa"/>
            </w:tcMar>
          </w:tcPr>
          <w:p w14:paraId="20B6856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Mar>
              <w:top w:w="28" w:type="dxa"/>
              <w:left w:w="28" w:type="dxa"/>
              <w:right w:w="57" w:type="dxa"/>
            </w:tcMar>
          </w:tcPr>
          <w:p w14:paraId="1527D42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9688</w:t>
            </w:r>
          </w:p>
        </w:tc>
      </w:tr>
      <w:tr w:rsidR="008F47B8" w:rsidRPr="006D52A9" w:rsidDel="00FE20B2" w14:paraId="7B93F1D1" w14:textId="77777777" w:rsidTr="00FB6D2D">
        <w:trPr>
          <w:cantSplit/>
        </w:trPr>
        <w:tc>
          <w:tcPr>
            <w:tcW w:w="647" w:type="pct"/>
            <w:tcBorders>
              <w:bottom w:val="single" w:sz="4" w:space="0" w:color="auto"/>
            </w:tcBorders>
            <w:shd w:val="clear" w:color="auto" w:fill="auto"/>
            <w:tcMar>
              <w:top w:w="28" w:type="dxa"/>
              <w:left w:w="28" w:type="dxa"/>
            </w:tcMar>
          </w:tcPr>
          <w:p w14:paraId="5E98BDC7" w14:textId="77777777" w:rsidR="008F47B8" w:rsidRPr="006D52A9" w:rsidDel="00FE20B2" w:rsidRDefault="008F47B8" w:rsidP="00FB6D2D">
            <w:pPr>
              <w:spacing w:line="240" w:lineRule="auto"/>
              <w:rPr>
                <w:rFonts w:ascii="Arial" w:hAnsi="Arial" w:cs="Arial"/>
                <w:sz w:val="16"/>
                <w:szCs w:val="16"/>
              </w:rPr>
            </w:pPr>
            <w:bookmarkStart w:id="113" w:name="CU_158339036"/>
            <w:bookmarkEnd w:id="113"/>
            <w:r w:rsidRPr="006D52A9">
              <w:rPr>
                <w:rFonts w:ascii="Arial" w:hAnsi="Arial" w:cs="Arial"/>
                <w:sz w:val="16"/>
                <w:szCs w:val="16"/>
              </w:rPr>
              <w:lastRenderedPageBreak/>
              <w:t>Epoetin lambda</w:t>
            </w:r>
          </w:p>
        </w:tc>
        <w:tc>
          <w:tcPr>
            <w:tcW w:w="283" w:type="pct"/>
            <w:tcBorders>
              <w:bottom w:val="single" w:sz="4" w:space="0" w:color="auto"/>
            </w:tcBorders>
            <w:shd w:val="clear" w:color="auto" w:fill="auto"/>
            <w:tcMar>
              <w:top w:w="28" w:type="dxa"/>
              <w:left w:w="28" w:type="dxa"/>
            </w:tcMar>
          </w:tcPr>
          <w:p w14:paraId="24B576C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C6294</w:t>
            </w:r>
          </w:p>
        </w:tc>
        <w:tc>
          <w:tcPr>
            <w:tcW w:w="274" w:type="pct"/>
            <w:tcBorders>
              <w:bottom w:val="single" w:sz="4" w:space="0" w:color="auto"/>
            </w:tcBorders>
            <w:shd w:val="clear" w:color="auto" w:fill="auto"/>
            <w:tcMar>
              <w:top w:w="28" w:type="dxa"/>
              <w:left w:w="28" w:type="dxa"/>
            </w:tcMar>
          </w:tcPr>
          <w:p w14:paraId="609A70F4"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FEC377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p>
          <w:p w14:paraId="4419204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require transfusion; AND</w:t>
            </w:r>
          </w:p>
          <w:p w14:paraId="12F93A2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a haemoglobin level of less than 100 g per L; AND</w:t>
            </w:r>
          </w:p>
          <w:p w14:paraId="7E38167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Patient must have intrinsic renal disease, as assessed by a nephrologist.</w:t>
            </w:r>
          </w:p>
        </w:tc>
        <w:tc>
          <w:tcPr>
            <w:tcW w:w="929" w:type="pct"/>
            <w:tcBorders>
              <w:bottom w:val="single" w:sz="4" w:space="0" w:color="auto"/>
            </w:tcBorders>
            <w:shd w:val="clear" w:color="auto" w:fill="auto"/>
            <w:tcMar>
              <w:top w:w="28" w:type="dxa"/>
              <w:left w:w="28" w:type="dxa"/>
              <w:right w:w="57" w:type="dxa"/>
            </w:tcMar>
          </w:tcPr>
          <w:p w14:paraId="48C2FDE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6294</w:t>
            </w:r>
          </w:p>
        </w:tc>
      </w:tr>
      <w:tr w:rsidR="008F47B8" w:rsidRPr="006D52A9" w:rsidDel="00FE20B2" w14:paraId="361A453D" w14:textId="77777777" w:rsidTr="00FB6D2D">
        <w:trPr>
          <w:cantSplit/>
        </w:trPr>
        <w:tc>
          <w:tcPr>
            <w:tcW w:w="647" w:type="pct"/>
            <w:tcBorders>
              <w:bottom w:val="single" w:sz="4" w:space="0" w:color="auto"/>
            </w:tcBorders>
            <w:shd w:val="clear" w:color="auto" w:fill="auto"/>
            <w:tcMar>
              <w:top w:w="28" w:type="dxa"/>
              <w:left w:w="28" w:type="dxa"/>
            </w:tcMar>
          </w:tcPr>
          <w:p w14:paraId="75B0C9C5" w14:textId="77777777" w:rsidR="008F47B8" w:rsidRPr="006D52A9" w:rsidDel="00FE20B2"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A398BA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C9688</w:t>
            </w:r>
          </w:p>
        </w:tc>
        <w:tc>
          <w:tcPr>
            <w:tcW w:w="274" w:type="pct"/>
            <w:tcBorders>
              <w:bottom w:val="single" w:sz="4" w:space="0" w:color="auto"/>
            </w:tcBorders>
            <w:shd w:val="clear" w:color="auto" w:fill="auto"/>
            <w:tcMar>
              <w:top w:w="28" w:type="dxa"/>
              <w:left w:w="28" w:type="dxa"/>
            </w:tcMar>
          </w:tcPr>
          <w:p w14:paraId="2CAFF7C3"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5C0C91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Anaemia associated with intrinsic renal disease</w:t>
            </w:r>
            <w:r w:rsidRPr="006D52A9">
              <w:rPr>
                <w:rFonts w:ascii="Arial" w:hAnsi="Arial" w:cs="Arial"/>
                <w:sz w:val="16"/>
                <w:szCs w:val="16"/>
              </w:rPr>
              <w:br/>
              <w:t>Patient must require transfusion; AND</w:t>
            </w:r>
            <w:r w:rsidRPr="006D52A9">
              <w:rPr>
                <w:rFonts w:ascii="Arial" w:hAnsi="Arial" w:cs="Arial"/>
                <w:sz w:val="16"/>
                <w:szCs w:val="16"/>
              </w:rPr>
              <w:br/>
              <w:t>Patient must have a haemoglobin level of less than 100 g per L; AND</w:t>
            </w:r>
            <w:r w:rsidRPr="006D52A9">
              <w:rPr>
                <w:rFonts w:ascii="Arial" w:hAnsi="Arial" w:cs="Arial"/>
                <w:sz w:val="16"/>
                <w:szCs w:val="16"/>
              </w:rPr>
              <w:br/>
              <w:t>Patient must have intrinsic renal disease, as assessed by a nephrologist.</w:t>
            </w:r>
          </w:p>
        </w:tc>
        <w:tc>
          <w:tcPr>
            <w:tcW w:w="929" w:type="pct"/>
            <w:tcBorders>
              <w:bottom w:val="single" w:sz="4" w:space="0" w:color="auto"/>
            </w:tcBorders>
            <w:shd w:val="clear" w:color="auto" w:fill="auto"/>
            <w:tcMar>
              <w:top w:w="28" w:type="dxa"/>
              <w:left w:w="28" w:type="dxa"/>
              <w:right w:w="57" w:type="dxa"/>
            </w:tcMar>
          </w:tcPr>
          <w:p w14:paraId="7FF005C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9688</w:t>
            </w:r>
          </w:p>
        </w:tc>
      </w:tr>
      <w:tr w:rsidR="008F47B8" w:rsidRPr="006D52A9" w:rsidDel="00FE20B2" w14:paraId="32AD3040" w14:textId="77777777" w:rsidTr="00FB6D2D">
        <w:trPr>
          <w:cantSplit/>
        </w:trPr>
        <w:tc>
          <w:tcPr>
            <w:tcW w:w="647" w:type="pct"/>
            <w:tcBorders>
              <w:bottom w:val="single" w:sz="4" w:space="0" w:color="auto"/>
            </w:tcBorders>
            <w:shd w:val="clear" w:color="auto" w:fill="auto"/>
            <w:tcMar>
              <w:top w:w="28" w:type="dxa"/>
              <w:left w:w="28" w:type="dxa"/>
            </w:tcMar>
          </w:tcPr>
          <w:p w14:paraId="28DEF394" w14:textId="77777777" w:rsidR="008F47B8" w:rsidRPr="006D52A9" w:rsidDel="00FE20B2" w:rsidRDefault="008F47B8" w:rsidP="00FB6D2D">
            <w:pPr>
              <w:spacing w:line="240" w:lineRule="auto"/>
              <w:rPr>
                <w:rFonts w:ascii="Arial" w:hAnsi="Arial" w:cs="Arial"/>
                <w:sz w:val="16"/>
                <w:szCs w:val="16"/>
              </w:rPr>
            </w:pPr>
            <w:r w:rsidRPr="006D52A9">
              <w:rPr>
                <w:rFonts w:ascii="Arial" w:hAnsi="Arial" w:cs="Arial"/>
                <w:bCs/>
                <w:sz w:val="16"/>
                <w:lang w:eastAsia="en-AU"/>
              </w:rPr>
              <w:t>Epoprostenol</w:t>
            </w:r>
          </w:p>
        </w:tc>
        <w:tc>
          <w:tcPr>
            <w:tcW w:w="283" w:type="pct"/>
            <w:tcBorders>
              <w:bottom w:val="single" w:sz="4" w:space="0" w:color="auto"/>
            </w:tcBorders>
            <w:shd w:val="clear" w:color="auto" w:fill="auto"/>
            <w:tcMar>
              <w:top w:w="28" w:type="dxa"/>
              <w:left w:w="28" w:type="dxa"/>
            </w:tcMar>
          </w:tcPr>
          <w:p w14:paraId="0C33340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C10241</w:t>
            </w:r>
          </w:p>
        </w:tc>
        <w:tc>
          <w:tcPr>
            <w:tcW w:w="274" w:type="pct"/>
            <w:tcBorders>
              <w:bottom w:val="single" w:sz="4" w:space="0" w:color="auto"/>
            </w:tcBorders>
            <w:shd w:val="clear" w:color="auto" w:fill="auto"/>
            <w:tcMar>
              <w:top w:w="28" w:type="dxa"/>
              <w:left w:w="28" w:type="dxa"/>
            </w:tcMar>
          </w:tcPr>
          <w:p w14:paraId="235EEFE5"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C25DC6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(change)</w:t>
            </w:r>
            <w:r w:rsidRPr="006D52A9">
              <w:rPr>
                <w:rFonts w:ascii="Arial" w:hAnsi="Arial" w:cs="Arial"/>
                <w:sz w:val="16"/>
                <w:szCs w:val="16"/>
              </w:rPr>
              <w:br/>
              <w:t>Patient must have documented WHO Functional Class III PAH or WHO Functional Class IV PAH; AND</w:t>
            </w:r>
            <w:r w:rsidRPr="006D52A9">
              <w:rPr>
                <w:rFonts w:ascii="Arial" w:hAnsi="Arial" w:cs="Arial"/>
                <w:sz w:val="16"/>
                <w:szCs w:val="16"/>
              </w:rPr>
              <w:br/>
              <w:t>Patient must have had their most recent course of PBS</w:t>
            </w:r>
            <w:r w:rsidR="0026100E">
              <w:rPr>
                <w:rFonts w:ascii="Arial" w:hAnsi="Arial" w:cs="Arial"/>
                <w:sz w:val="16"/>
                <w:szCs w:val="16"/>
              </w:rPr>
              <w:noBreakHyphen/>
            </w:r>
            <w:r w:rsidRPr="006D52A9">
              <w:rPr>
                <w:rFonts w:ascii="Arial" w:hAnsi="Arial" w:cs="Arial"/>
                <w:sz w:val="16"/>
                <w:szCs w:val="16"/>
              </w:rPr>
              <w:t>subsidised treatment for this condition with a PAH agent other than this agent;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hAnsi="Arial" w:cs="Arial"/>
                <w:sz w:val="16"/>
                <w:szCs w:val="16"/>
              </w:rPr>
              <w:noBreakHyphen/>
            </w:r>
            <w:r w:rsidRPr="006D52A9">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hAnsi="Arial" w:cs="Arial"/>
                <w:sz w:val="16"/>
                <w:szCs w:val="16"/>
              </w:rPr>
              <w:br/>
              <w:t>Applications to swap between the 8 PAH agents must be made under the relevant initial treatment (monotherapy) restriction.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384A4A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Compliance with Authority Required procedures</w:t>
            </w:r>
          </w:p>
        </w:tc>
      </w:tr>
      <w:tr w:rsidR="008F47B8" w:rsidRPr="006D52A9" w:rsidDel="00FE20B2" w14:paraId="2E1F3C3B" w14:textId="77777777" w:rsidTr="00FB6D2D">
        <w:tc>
          <w:tcPr>
            <w:tcW w:w="647" w:type="pct"/>
            <w:tcBorders>
              <w:bottom w:val="single" w:sz="4" w:space="0" w:color="auto"/>
            </w:tcBorders>
            <w:shd w:val="clear" w:color="auto" w:fill="auto"/>
            <w:tcMar>
              <w:top w:w="28" w:type="dxa"/>
              <w:left w:w="28" w:type="dxa"/>
            </w:tcMar>
          </w:tcPr>
          <w:p w14:paraId="3920C6B7"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9742E8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C11322</w:t>
            </w:r>
          </w:p>
        </w:tc>
        <w:tc>
          <w:tcPr>
            <w:tcW w:w="274" w:type="pct"/>
            <w:tcBorders>
              <w:bottom w:val="single" w:sz="4" w:space="0" w:color="auto"/>
            </w:tcBorders>
            <w:shd w:val="clear" w:color="auto" w:fill="auto"/>
            <w:tcMar>
              <w:top w:w="28" w:type="dxa"/>
              <w:left w:w="28" w:type="dxa"/>
            </w:tcMar>
          </w:tcPr>
          <w:p w14:paraId="392AA96B"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4B251A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(starting dual therapy in an untreated patient for the first time)</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documented PAH of WHO Functional Class IV severity at the time dual therapy is initiated;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 xml:space="preserve">5 inhibitor is one of: (a) sildenafil, (b) tadalafil; a </w:t>
            </w:r>
            <w:r w:rsidRPr="006D52A9">
              <w:rPr>
                <w:rFonts w:ascii="Arial" w:hAnsi="Arial" w:cs="Arial"/>
                <w:sz w:val="16"/>
                <w:szCs w:val="16"/>
              </w:rPr>
              <w:lastRenderedPageBreak/>
              <w:t>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37F4319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FE20B2" w14:paraId="1F34D100" w14:textId="77777777" w:rsidTr="00FB6D2D">
        <w:tc>
          <w:tcPr>
            <w:tcW w:w="647" w:type="pct"/>
            <w:tcBorders>
              <w:bottom w:val="single" w:sz="4" w:space="0" w:color="auto"/>
            </w:tcBorders>
            <w:shd w:val="clear" w:color="auto" w:fill="auto"/>
            <w:tcMar>
              <w:top w:w="28" w:type="dxa"/>
              <w:left w:w="28" w:type="dxa"/>
            </w:tcMar>
          </w:tcPr>
          <w:p w14:paraId="7F567D1F"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40AF85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C11323</w:t>
            </w:r>
          </w:p>
        </w:tc>
        <w:tc>
          <w:tcPr>
            <w:tcW w:w="274" w:type="pct"/>
            <w:tcBorders>
              <w:bottom w:val="single" w:sz="4" w:space="0" w:color="auto"/>
            </w:tcBorders>
            <w:shd w:val="clear" w:color="auto" w:fill="auto"/>
            <w:tcMar>
              <w:top w:w="28" w:type="dxa"/>
              <w:left w:w="28" w:type="dxa"/>
            </w:tcMar>
          </w:tcPr>
          <w:p w14:paraId="23E6C30E"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6D5BD8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'Grandfathered' patient (dual therapy) </w:t>
            </w:r>
            <w:r w:rsidR="0026100E">
              <w:rPr>
                <w:rFonts w:ascii="Arial" w:hAnsi="Arial" w:cs="Arial"/>
                <w:sz w:val="16"/>
                <w:szCs w:val="16"/>
              </w:rPr>
              <w:noBreakHyphen/>
            </w:r>
            <w:r w:rsidRPr="006D52A9">
              <w:rPr>
                <w:rFonts w:ascii="Arial" w:hAnsi="Arial" w:cs="Arial"/>
                <w:sz w:val="16"/>
                <w:szCs w:val="16"/>
              </w:rPr>
              <w:t xml:space="preserve"> transitioning from non</w:t>
            </w:r>
            <w:r w:rsidR="0026100E">
              <w:rPr>
                <w:rFonts w:ascii="Arial" w:hAnsi="Arial" w:cs="Arial"/>
                <w:sz w:val="16"/>
                <w:szCs w:val="16"/>
              </w:rPr>
              <w:noBreakHyphen/>
            </w:r>
            <w:r w:rsidRPr="006D52A9">
              <w:rPr>
                <w:rFonts w:ascii="Arial" w:hAnsi="Arial" w:cs="Arial"/>
                <w:sz w:val="16"/>
                <w:szCs w:val="16"/>
              </w:rPr>
              <w:t>PBS subsidised to PBS</w:t>
            </w:r>
            <w:r w:rsidR="0026100E">
              <w:rPr>
                <w:rFonts w:ascii="Arial" w:hAnsi="Arial" w:cs="Arial"/>
                <w:sz w:val="16"/>
                <w:szCs w:val="16"/>
              </w:rPr>
              <w:noBreakHyphen/>
            </w:r>
            <w:r w:rsidRPr="006D52A9">
              <w:rPr>
                <w:rFonts w:ascii="Arial" w:hAnsi="Arial" w:cs="Arial"/>
                <w:sz w:val="16"/>
                <w:szCs w:val="16"/>
              </w:rPr>
              <w:t>subsidised dual therapy where each PAH agent has been non</w:t>
            </w:r>
            <w:r w:rsidR="0026100E">
              <w:rPr>
                <w:rFonts w:ascii="Arial" w:hAnsi="Arial" w:cs="Arial"/>
                <w:sz w:val="16"/>
                <w:szCs w:val="16"/>
              </w:rPr>
              <w:noBreakHyphen/>
            </w:r>
            <w:r w:rsidRPr="006D52A9">
              <w:rPr>
                <w:rFonts w:ascii="Arial" w:hAnsi="Arial" w:cs="Arial"/>
                <w:sz w:val="16"/>
                <w:szCs w:val="16"/>
              </w:rPr>
              <w:t>PBS subsidised</w:t>
            </w:r>
            <w:r w:rsidRPr="006D52A9">
              <w:rPr>
                <w:rFonts w:ascii="Arial" w:hAnsi="Arial" w:cs="Arial"/>
                <w:sz w:val="16"/>
                <w:szCs w:val="16"/>
              </w:rPr>
              <w:br/>
              <w:t>Patient must have been receiving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with PAH agents consisting of a phosphodiesterase</w:t>
            </w:r>
            <w:r w:rsidR="0026100E">
              <w:rPr>
                <w:rFonts w:ascii="Arial" w:hAnsi="Arial" w:cs="Arial"/>
                <w:sz w:val="16"/>
                <w:szCs w:val="16"/>
              </w:rPr>
              <w:noBreakHyphen/>
            </w:r>
            <w:r w:rsidRPr="006D52A9">
              <w:rPr>
                <w:rFonts w:ascii="Arial" w:hAnsi="Arial" w:cs="Arial"/>
                <w:sz w:val="16"/>
                <w:szCs w:val="16"/>
              </w:rPr>
              <w:t>5 inhibitor combined with a prostanoid, where each agent was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 xml:space="preserve">subsidised, prior to </w:t>
            </w:r>
            <w:r w:rsidR="003E082A" w:rsidRPr="006D52A9">
              <w:rPr>
                <w:rFonts w:ascii="Arial" w:hAnsi="Arial" w:cs="Arial"/>
                <w:sz w:val="16"/>
                <w:szCs w:val="16"/>
              </w:rPr>
              <w:t>1 March</w:t>
            </w:r>
            <w:r w:rsidRPr="006D52A9">
              <w:rPr>
                <w:rFonts w:ascii="Arial" w:hAnsi="Arial" w:cs="Arial"/>
                <w:sz w:val="16"/>
                <w:szCs w:val="16"/>
              </w:rPr>
              <w:t xml:space="preserve"> 2021; AND</w:t>
            </w:r>
            <w:r w:rsidRPr="006D52A9">
              <w:rPr>
                <w:rFonts w:ascii="Arial" w:hAnsi="Arial" w:cs="Arial"/>
                <w:sz w:val="16"/>
                <w:szCs w:val="16"/>
              </w:rPr>
              <w:br/>
            </w:r>
            <w:r w:rsidRPr="006D52A9">
              <w:rPr>
                <w:rFonts w:ascii="Arial" w:hAnsi="Arial" w:cs="Arial"/>
                <w:sz w:val="16"/>
                <w:szCs w:val="16"/>
              </w:rPr>
              <w:lastRenderedPageBreak/>
              <w:t>The condition must be PAH that was of WHO Functional Class III severity at the time dual therapy was initiated; OR</w:t>
            </w:r>
            <w:r w:rsidRPr="006D52A9">
              <w:rPr>
                <w:rFonts w:ascii="Arial" w:hAnsi="Arial" w:cs="Arial"/>
                <w:sz w:val="16"/>
                <w:szCs w:val="16"/>
              </w:rPr>
              <w:br/>
              <w:t>The condition must be PAH that was of WHO Functional Class IV severity at the time dual therapy was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was initiated for WHO Functional Class III/IV PAH: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OR</w:t>
            </w:r>
            <w:r w:rsidRPr="006D52A9">
              <w:rPr>
                <w:rFonts w:ascii="Arial" w:hAnsi="Arial" w:cs="Arial"/>
                <w:sz w:val="16"/>
                <w:szCs w:val="16"/>
              </w:rPr>
              <w:br/>
              <w:t>The treatment must have been initiated as part of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for an untreated patient with WHO Functional Class IV PAH;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lodged either electronically or via mail/postal service and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Pulmonary Arterial Hypertension Initial Grandfather dual therapy authority application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was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r>
            <w:r w:rsidRPr="006D52A9">
              <w:rPr>
                <w:rFonts w:ascii="Arial" w:hAnsi="Arial" w:cs="Arial"/>
                <w:sz w:val="16"/>
                <w:szCs w:val="16"/>
              </w:rPr>
              <w:lastRenderedPageBreak/>
              <w:t>(2) ECHO composite assessment only.</w:t>
            </w:r>
            <w:r w:rsidRPr="006D52A9">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A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 for dual therapy for this condition.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30D6101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FE20B2" w14:paraId="2F639DD6" w14:textId="77777777" w:rsidTr="00FB6D2D">
        <w:tc>
          <w:tcPr>
            <w:tcW w:w="647" w:type="pct"/>
            <w:tcBorders>
              <w:bottom w:val="single" w:sz="4" w:space="0" w:color="auto"/>
            </w:tcBorders>
            <w:shd w:val="clear" w:color="auto" w:fill="auto"/>
            <w:tcMar>
              <w:top w:w="28" w:type="dxa"/>
              <w:left w:w="28" w:type="dxa"/>
            </w:tcMar>
          </w:tcPr>
          <w:p w14:paraId="4842A3C6"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F91B44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C11325</w:t>
            </w:r>
          </w:p>
        </w:tc>
        <w:tc>
          <w:tcPr>
            <w:tcW w:w="274" w:type="pct"/>
            <w:tcBorders>
              <w:bottom w:val="single" w:sz="4" w:space="0" w:color="auto"/>
            </w:tcBorders>
            <w:shd w:val="clear" w:color="auto" w:fill="auto"/>
            <w:tcMar>
              <w:top w:w="28" w:type="dxa"/>
              <w:left w:w="28" w:type="dxa"/>
            </w:tcMar>
          </w:tcPr>
          <w:p w14:paraId="53BED1DA"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A8576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Initial 3 (dual therapy </w:t>
            </w:r>
            <w:r w:rsidR="0026100E">
              <w:rPr>
                <w:rFonts w:ascii="Arial" w:hAnsi="Arial" w:cs="Arial"/>
                <w:sz w:val="16"/>
                <w:szCs w:val="16"/>
              </w:rPr>
              <w:noBreakHyphen/>
            </w:r>
            <w:r w:rsidRPr="006D52A9">
              <w:rPr>
                <w:rFonts w:ascii="Arial" w:hAnsi="Arial" w:cs="Arial"/>
                <w:sz w:val="16"/>
                <w:szCs w:val="16"/>
              </w:rPr>
              <w:t xml:space="preserve"> change)</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5 inhibitor is one of: (a) sildenafil, (b) tadalafil; a 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4D2F6C8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FE20B2" w14:paraId="5FE66CF1" w14:textId="77777777" w:rsidTr="00FB6D2D">
        <w:tc>
          <w:tcPr>
            <w:tcW w:w="647" w:type="pct"/>
            <w:tcBorders>
              <w:bottom w:val="single" w:sz="4" w:space="0" w:color="auto"/>
            </w:tcBorders>
            <w:shd w:val="clear" w:color="auto" w:fill="auto"/>
            <w:tcMar>
              <w:top w:w="28" w:type="dxa"/>
              <w:left w:w="28" w:type="dxa"/>
            </w:tcMar>
          </w:tcPr>
          <w:p w14:paraId="1BAADAF5"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49EB60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C11329</w:t>
            </w:r>
          </w:p>
        </w:tc>
        <w:tc>
          <w:tcPr>
            <w:tcW w:w="274" w:type="pct"/>
            <w:tcBorders>
              <w:bottom w:val="single" w:sz="4" w:space="0" w:color="auto"/>
            </w:tcBorders>
            <w:shd w:val="clear" w:color="auto" w:fill="auto"/>
            <w:tcMar>
              <w:top w:w="28" w:type="dxa"/>
              <w:left w:w="28" w:type="dxa"/>
            </w:tcMar>
          </w:tcPr>
          <w:p w14:paraId="57BA2041"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A74452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(new patients)</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WHO Functional Class IV PAH;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r>
            <w:r w:rsidRPr="006D52A9">
              <w:rPr>
                <w:rFonts w:ascii="Arial" w:hAnsi="Arial" w:cs="Arial"/>
                <w:sz w:val="16"/>
                <w:szCs w:val="16"/>
              </w:rPr>
              <w:lastRenderedPageBreak/>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798E372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FE20B2" w14:paraId="5DA7C961" w14:textId="77777777" w:rsidTr="00FB6D2D">
        <w:trPr>
          <w:cantSplit/>
        </w:trPr>
        <w:tc>
          <w:tcPr>
            <w:tcW w:w="647" w:type="pct"/>
            <w:tcBorders>
              <w:bottom w:val="single" w:sz="4" w:space="0" w:color="auto"/>
            </w:tcBorders>
            <w:shd w:val="clear" w:color="auto" w:fill="auto"/>
            <w:tcMar>
              <w:top w:w="28" w:type="dxa"/>
              <w:left w:w="28" w:type="dxa"/>
            </w:tcMar>
          </w:tcPr>
          <w:p w14:paraId="25EE45F9"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0FF34E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C11330</w:t>
            </w:r>
          </w:p>
        </w:tc>
        <w:tc>
          <w:tcPr>
            <w:tcW w:w="274" w:type="pct"/>
            <w:tcBorders>
              <w:bottom w:val="single" w:sz="4" w:space="0" w:color="auto"/>
            </w:tcBorders>
            <w:shd w:val="clear" w:color="auto" w:fill="auto"/>
            <w:tcMar>
              <w:top w:w="28" w:type="dxa"/>
              <w:left w:w="28" w:type="dxa"/>
            </w:tcMar>
          </w:tcPr>
          <w:p w14:paraId="199E4F47"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9540ED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w:t>
            </w:r>
            <w:r w:rsidRPr="006D52A9">
              <w:rPr>
                <w:rFonts w:ascii="Arial" w:hAnsi="Arial" w:cs="Arial"/>
                <w:sz w:val="16"/>
                <w:szCs w:val="16"/>
              </w:rPr>
              <w:br/>
              <w:t>Patient must have received their most recent course of PBS</w:t>
            </w:r>
            <w:r w:rsidR="0026100E">
              <w:rPr>
                <w:rFonts w:ascii="Arial" w:hAnsi="Arial" w:cs="Arial"/>
                <w:sz w:val="16"/>
                <w:szCs w:val="16"/>
              </w:rPr>
              <w:noBreakHyphen/>
            </w:r>
            <w:r w:rsidRPr="006D52A9">
              <w:rPr>
                <w:rFonts w:ascii="Arial" w:hAnsi="Arial" w:cs="Arial"/>
                <w:sz w:val="16"/>
                <w:szCs w:val="16"/>
              </w:rPr>
              <w:t>subsidised treatment with this PAH agent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58CA22D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FE20B2" w14:paraId="4FAF337C" w14:textId="77777777" w:rsidTr="00FB6D2D">
        <w:trPr>
          <w:cantSplit/>
        </w:trPr>
        <w:tc>
          <w:tcPr>
            <w:tcW w:w="647" w:type="pct"/>
            <w:tcBorders>
              <w:bottom w:val="single" w:sz="4" w:space="0" w:color="auto"/>
            </w:tcBorders>
            <w:shd w:val="clear" w:color="auto" w:fill="auto"/>
            <w:tcMar>
              <w:top w:w="28" w:type="dxa"/>
              <w:left w:w="28" w:type="dxa"/>
            </w:tcMar>
          </w:tcPr>
          <w:p w14:paraId="08E57352"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585C58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C11345</w:t>
            </w:r>
          </w:p>
        </w:tc>
        <w:tc>
          <w:tcPr>
            <w:tcW w:w="274" w:type="pct"/>
            <w:tcBorders>
              <w:bottom w:val="single" w:sz="4" w:space="0" w:color="auto"/>
            </w:tcBorders>
            <w:shd w:val="clear" w:color="auto" w:fill="auto"/>
            <w:tcMar>
              <w:top w:w="28" w:type="dxa"/>
              <w:left w:w="28" w:type="dxa"/>
            </w:tcMar>
          </w:tcPr>
          <w:p w14:paraId="57F8142D"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32AE26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 (dual therapy)</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hAnsi="Arial" w:cs="Arial"/>
                <w:sz w:val="16"/>
                <w:szCs w:val="16"/>
              </w:rPr>
              <w:noBreakHyphen/>
            </w:r>
            <w:r w:rsidRPr="006D52A9">
              <w:rPr>
                <w:rFonts w:ascii="Arial" w:hAnsi="Arial" w:cs="Arial"/>
                <w:sz w:val="16"/>
                <w:szCs w:val="16"/>
              </w:rPr>
              <w:t>subsidised supply;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5 inhibitor is one of: (a) sildenafil, (b) tadalafil; a 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7F3C845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FE20B2" w14:paraId="38963FD5" w14:textId="77777777" w:rsidTr="00FB6D2D">
        <w:trPr>
          <w:cantSplit/>
        </w:trPr>
        <w:tc>
          <w:tcPr>
            <w:tcW w:w="647" w:type="pct"/>
            <w:tcBorders>
              <w:bottom w:val="single" w:sz="4" w:space="0" w:color="auto"/>
            </w:tcBorders>
            <w:shd w:val="clear" w:color="auto" w:fill="auto"/>
            <w:tcMar>
              <w:top w:w="28" w:type="dxa"/>
              <w:left w:w="28" w:type="dxa"/>
            </w:tcMar>
          </w:tcPr>
          <w:p w14:paraId="0F57095F"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90F358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C11356</w:t>
            </w:r>
          </w:p>
        </w:tc>
        <w:tc>
          <w:tcPr>
            <w:tcW w:w="274" w:type="pct"/>
            <w:tcBorders>
              <w:bottom w:val="single" w:sz="4" w:space="0" w:color="auto"/>
            </w:tcBorders>
            <w:shd w:val="clear" w:color="auto" w:fill="auto"/>
            <w:tcMar>
              <w:top w:w="28" w:type="dxa"/>
              <w:left w:w="28" w:type="dxa"/>
            </w:tcMar>
          </w:tcPr>
          <w:p w14:paraId="7784BEAC" w14:textId="77777777" w:rsidR="008F47B8" w:rsidRPr="006D52A9" w:rsidDel="00FE20B2"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A93D5C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(starting dual therapy in a treated patient for the first time)</w:t>
            </w:r>
            <w:r w:rsidRPr="006D52A9">
              <w:rPr>
                <w:rFonts w:ascii="Arial" w:hAnsi="Arial" w:cs="Arial"/>
                <w:sz w:val="16"/>
                <w:szCs w:val="16"/>
              </w:rPr>
              <w:br/>
              <w:t>The condition must be PAH of WHO Functional Class III severity at the time dual therapy is initiated; OR</w:t>
            </w:r>
            <w:r w:rsidRPr="006D52A9">
              <w:rPr>
                <w:rFonts w:ascii="Arial" w:hAnsi="Arial" w:cs="Arial"/>
                <w:sz w:val="16"/>
                <w:szCs w:val="16"/>
              </w:rPr>
              <w:br/>
              <w:t>The condition must be PAH of WHO Functional Class IV severity at the time dual therapy is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547C1DF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6512068A" w14:textId="77777777" w:rsidTr="00FB6D2D">
        <w:tblPrEx>
          <w:tblLook w:val="01E0" w:firstRow="1" w:lastRow="1" w:firstColumn="1" w:lastColumn="1" w:noHBand="0" w:noVBand="0"/>
        </w:tblPrEx>
        <w:tc>
          <w:tcPr>
            <w:tcW w:w="647" w:type="pct"/>
            <w:tcMar>
              <w:top w:w="28" w:type="dxa"/>
              <w:left w:w="28" w:type="dxa"/>
            </w:tcMar>
          </w:tcPr>
          <w:p w14:paraId="771BA392" w14:textId="77777777" w:rsidR="008F47B8" w:rsidRPr="006D52A9" w:rsidRDefault="008F47B8" w:rsidP="00FB6D2D">
            <w:pPr>
              <w:spacing w:line="240" w:lineRule="auto"/>
              <w:rPr>
                <w:rFonts w:ascii="Arial" w:hAnsi="Arial" w:cs="Arial"/>
                <w:sz w:val="16"/>
                <w:szCs w:val="16"/>
              </w:rPr>
            </w:pPr>
            <w:bookmarkStart w:id="114" w:name="CU_159339412"/>
            <w:bookmarkStart w:id="115" w:name="CU_160340554"/>
            <w:bookmarkStart w:id="116" w:name="CU_161345631"/>
            <w:bookmarkStart w:id="117" w:name="CU_162349769"/>
            <w:bookmarkStart w:id="118" w:name="CU_163354136"/>
            <w:bookmarkStart w:id="119" w:name="CU_164354781"/>
            <w:bookmarkStart w:id="120" w:name="CU_165359261"/>
            <w:bookmarkStart w:id="121" w:name="CU_166362719"/>
            <w:bookmarkEnd w:id="114"/>
            <w:bookmarkEnd w:id="115"/>
            <w:bookmarkEnd w:id="116"/>
            <w:bookmarkEnd w:id="117"/>
            <w:bookmarkEnd w:id="118"/>
            <w:bookmarkEnd w:id="119"/>
            <w:bookmarkEnd w:id="120"/>
            <w:bookmarkEnd w:id="121"/>
            <w:r w:rsidRPr="006D52A9">
              <w:rPr>
                <w:rFonts w:ascii="Arial" w:hAnsi="Arial" w:cs="Arial"/>
                <w:sz w:val="16"/>
                <w:szCs w:val="16"/>
              </w:rPr>
              <w:t>Etanercept</w:t>
            </w:r>
          </w:p>
        </w:tc>
        <w:tc>
          <w:tcPr>
            <w:tcW w:w="283" w:type="pct"/>
            <w:tcMar>
              <w:top w:w="28" w:type="dxa"/>
              <w:left w:w="28" w:type="dxa"/>
            </w:tcMar>
          </w:tcPr>
          <w:p w14:paraId="7A5F060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C9384</w:t>
            </w:r>
          </w:p>
        </w:tc>
        <w:tc>
          <w:tcPr>
            <w:tcW w:w="274" w:type="pct"/>
            <w:tcMar>
              <w:top w:w="28" w:type="dxa"/>
              <w:left w:w="28" w:type="dxa"/>
            </w:tcMar>
          </w:tcPr>
          <w:p w14:paraId="2A7753A0"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3ECFD83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 xml:space="preserve">Continuing treatment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Patient must be undergoing treatment under the supervision of a paediatric rheumatology treatment centre.</w:t>
            </w:r>
            <w:r w:rsidRPr="006D52A9">
              <w:rPr>
                <w:rFonts w:ascii="Arial" w:hAnsi="Arial" w:cs="Arial"/>
                <w:sz w:val="16"/>
                <w:szCs w:val="16"/>
              </w:rPr>
              <w:br/>
              <w:t>Patient must have received insufficient therapy with this drug for this condition under the continuing treatment restriction to complete 24 weeks treatment; AND</w:t>
            </w:r>
            <w:r w:rsidRPr="006D52A9">
              <w:rPr>
                <w:rFonts w:ascii="Arial" w:hAnsi="Arial" w:cs="Arial"/>
                <w:sz w:val="16"/>
                <w:szCs w:val="16"/>
              </w:rPr>
              <w:br/>
              <w:t>The treatment must provide no more than the balance of up to 24 weeks treatment available under the above restriction.</w:t>
            </w:r>
          </w:p>
        </w:tc>
        <w:tc>
          <w:tcPr>
            <w:tcW w:w="929" w:type="pct"/>
            <w:tcMar>
              <w:top w:w="28" w:type="dxa"/>
              <w:left w:w="28" w:type="dxa"/>
              <w:right w:w="57" w:type="dxa"/>
            </w:tcMar>
          </w:tcPr>
          <w:p w14:paraId="46A5E36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Compliance with Authority Required procedures</w:t>
            </w:r>
          </w:p>
        </w:tc>
      </w:tr>
      <w:tr w:rsidR="008F47B8" w:rsidRPr="006D52A9" w14:paraId="6E62CFD9" w14:textId="77777777" w:rsidTr="00FB6D2D">
        <w:tblPrEx>
          <w:tblLook w:val="01E0" w:firstRow="1" w:lastRow="1" w:firstColumn="1" w:lastColumn="1" w:noHBand="0" w:noVBand="0"/>
        </w:tblPrEx>
        <w:tc>
          <w:tcPr>
            <w:tcW w:w="647" w:type="pct"/>
            <w:tcMar>
              <w:top w:w="28" w:type="dxa"/>
              <w:left w:w="28" w:type="dxa"/>
            </w:tcMar>
          </w:tcPr>
          <w:p w14:paraId="7F91BC56"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14F3382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t>C9417</w:t>
            </w:r>
          </w:p>
        </w:tc>
        <w:tc>
          <w:tcPr>
            <w:tcW w:w="274" w:type="pct"/>
            <w:tcMar>
              <w:top w:w="28" w:type="dxa"/>
              <w:left w:w="28" w:type="dxa"/>
            </w:tcMar>
          </w:tcPr>
          <w:p w14:paraId="51BD6B29"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6AC4D29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1 (new patient) or Initial 2 (change or recommencement of treatment after a break in biological medicine of less than 12 months) or Initial 3 (recommencement of treatment after a </w:t>
            </w:r>
            <w:r w:rsidRPr="006D52A9">
              <w:rPr>
                <w:rFonts w:ascii="Arial" w:hAnsi="Arial" w:cs="Arial"/>
                <w:sz w:val="16"/>
                <w:szCs w:val="16"/>
              </w:rPr>
              <w:lastRenderedPageBreak/>
              <w:t xml:space="preserve">break in biological medicine of more than 12 months)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paediatric rheumatologist; OR</w:t>
            </w:r>
            <w:r w:rsidRPr="006D52A9">
              <w:rPr>
                <w:rFonts w:ascii="Arial" w:hAnsi="Arial" w:cs="Arial"/>
                <w:sz w:val="16"/>
                <w:szCs w:val="16"/>
              </w:rPr>
              <w:br/>
              <w:t>Patient must be undergoing treatment under the supervision of a paediatric rheumatology treatment centre.</w:t>
            </w:r>
            <w:r w:rsidRPr="006D52A9">
              <w:rPr>
                <w:rFonts w:ascii="Arial" w:hAnsi="Arial" w:cs="Arial"/>
                <w:sz w:val="16"/>
                <w:szCs w:val="16"/>
              </w:rPr>
              <w:br/>
              <w:t>Patient must have received insufficient therapy with this drug for this condition under the Initial 1 (new patient) restriction to complete 16 weeks treatment; OR</w:t>
            </w:r>
            <w:r w:rsidRPr="006D52A9">
              <w:rPr>
                <w:rFonts w:ascii="Arial" w:hAnsi="Arial" w:cs="Arial"/>
                <w:sz w:val="16"/>
                <w:szCs w:val="16"/>
              </w:rPr>
              <w:br/>
              <w:t>Patient must have received insufficient therapy with this drug for this condition under the Initial 2 (change or recommencement of treatment after a break in biological medicine of less than 12 months) restriction to complete 16 weeks treatment; OR</w:t>
            </w:r>
            <w:r w:rsidRPr="006D52A9">
              <w:rPr>
                <w:rFonts w:ascii="Arial" w:hAnsi="Arial" w:cs="Arial"/>
                <w:sz w:val="16"/>
                <w:szCs w:val="16"/>
              </w:rPr>
              <w:br/>
              <w:t>Patient must have received insufficient therapy with this drug for this condition under the Initial 3 (recommencement of treatment after a break in biological medicine of more than 12 months) restriction to complete 16 weeks treatment; AND</w:t>
            </w:r>
            <w:r w:rsidRPr="006D52A9">
              <w:rPr>
                <w:rFonts w:ascii="Arial" w:hAnsi="Arial" w:cs="Arial"/>
                <w:sz w:val="16"/>
                <w:szCs w:val="16"/>
              </w:rPr>
              <w:br/>
              <w:t>The treatment must provide no more than the balance of up to 16 weeks treatment available under the above restrictions.</w:t>
            </w:r>
          </w:p>
        </w:tc>
        <w:tc>
          <w:tcPr>
            <w:tcW w:w="929" w:type="pct"/>
            <w:tcMar>
              <w:top w:w="28" w:type="dxa"/>
              <w:left w:w="28" w:type="dxa"/>
              <w:right w:w="57" w:type="dxa"/>
            </w:tcMar>
          </w:tcPr>
          <w:p w14:paraId="1BCEFA3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lang w:eastAsia="en-AU"/>
              </w:rPr>
              <w:lastRenderedPageBreak/>
              <w:t>Compliance with Authority Required procedures</w:t>
            </w:r>
          </w:p>
        </w:tc>
      </w:tr>
      <w:tr w:rsidR="008F47B8" w:rsidRPr="006D52A9" w14:paraId="564FD7F0" w14:textId="77777777" w:rsidTr="00FB6D2D">
        <w:tblPrEx>
          <w:tblLook w:val="01E0" w:firstRow="1" w:lastRow="1" w:firstColumn="1" w:lastColumn="1" w:noHBand="0" w:noVBand="0"/>
        </w:tblPrEx>
        <w:tc>
          <w:tcPr>
            <w:tcW w:w="647" w:type="pct"/>
            <w:tcMar>
              <w:top w:w="28" w:type="dxa"/>
              <w:left w:w="28" w:type="dxa"/>
            </w:tcMar>
          </w:tcPr>
          <w:p w14:paraId="5FCCA1EE"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486D0918"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lang w:eastAsia="en-AU"/>
              </w:rPr>
              <w:t>C10548</w:t>
            </w:r>
          </w:p>
        </w:tc>
        <w:tc>
          <w:tcPr>
            <w:tcW w:w="274" w:type="pct"/>
            <w:tcMar>
              <w:top w:w="28" w:type="dxa"/>
              <w:left w:w="28" w:type="dxa"/>
            </w:tcMar>
          </w:tcPr>
          <w:p w14:paraId="1A02AB32"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736E6FF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1 (new patient)</w:t>
            </w:r>
            <w:r w:rsidRPr="006D52A9">
              <w:rPr>
                <w:rFonts w:ascii="Arial" w:hAnsi="Arial" w:cs="Arial"/>
                <w:sz w:val="16"/>
                <w:szCs w:val="16"/>
              </w:rPr>
              <w:br/>
              <w:t>Must be treated by a paediatric rheumatologist; OR</w:t>
            </w:r>
            <w:r w:rsidRPr="006D52A9">
              <w:rPr>
                <w:rFonts w:ascii="Arial" w:hAnsi="Arial" w:cs="Arial"/>
                <w:sz w:val="16"/>
                <w:szCs w:val="16"/>
              </w:rPr>
              <w:br/>
              <w:t>Patient must be undergoing treatment under the supervision of a paediatric rheumatology treatment centre.</w:t>
            </w:r>
            <w:r w:rsidRPr="006D52A9">
              <w:rPr>
                <w:rFonts w:ascii="Arial" w:hAnsi="Arial" w:cs="Arial"/>
                <w:sz w:val="16"/>
                <w:szCs w:val="16"/>
              </w:rPr>
              <w:br/>
              <w:t>Patient must not have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demonstrated severe intolerance of, or toxicity due to, methotrexate; OR</w:t>
            </w:r>
            <w:r w:rsidRPr="006D52A9">
              <w:rPr>
                <w:rFonts w:ascii="Arial" w:hAnsi="Arial" w:cs="Arial"/>
                <w:sz w:val="16"/>
                <w:szCs w:val="16"/>
              </w:rPr>
              <w:br/>
              <w:t>Patient must have demonstrated failure to achieve an adequate response to 1 or more of the following treatment regimens: (i) oral or parenteral methotrexate at a dose of at least 20 mg per square metre weekly, alone or in combination with oral or intra</w:t>
            </w:r>
            <w:r w:rsidR="0026100E">
              <w:rPr>
                <w:rFonts w:ascii="Arial" w:hAnsi="Arial" w:cs="Arial"/>
                <w:sz w:val="16"/>
                <w:szCs w:val="16"/>
              </w:rPr>
              <w:noBreakHyphen/>
            </w:r>
            <w:r w:rsidRPr="006D52A9">
              <w:rPr>
                <w:rFonts w:ascii="Arial" w:hAnsi="Arial" w:cs="Arial"/>
                <w:sz w:val="16"/>
                <w:szCs w:val="16"/>
              </w:rPr>
              <w:t>articular corticosteroids, for a minimum of 3 months; or (ii) oral methotrexate at a dose of at least 10 mg per square metre weekly together with at least 1 other disease modifying anti</w:t>
            </w:r>
            <w:r w:rsidR="0026100E">
              <w:rPr>
                <w:rFonts w:ascii="Arial" w:hAnsi="Arial" w:cs="Arial"/>
                <w:sz w:val="16"/>
                <w:szCs w:val="16"/>
              </w:rPr>
              <w:noBreakHyphen/>
            </w:r>
            <w:r w:rsidRPr="006D52A9">
              <w:rPr>
                <w:rFonts w:ascii="Arial" w:hAnsi="Arial" w:cs="Arial"/>
                <w:sz w:val="16"/>
                <w:szCs w:val="16"/>
              </w:rPr>
              <w:t>rheumatic drug (DMARD), alone or in combination with corticosteroids, for a minimum of 3 months; AND</w:t>
            </w:r>
            <w:r w:rsidRPr="006D52A9">
              <w:rPr>
                <w:rFonts w:ascii="Arial" w:hAnsi="Arial" w:cs="Arial"/>
                <w:sz w:val="16"/>
                <w:szCs w:val="16"/>
              </w:rPr>
              <w:br/>
              <w:t>Patient must not receive more than 16 weeks of treatment under this restriction.</w:t>
            </w:r>
            <w:r w:rsidRPr="006D52A9">
              <w:rPr>
                <w:rFonts w:ascii="Arial" w:hAnsi="Arial" w:cs="Arial"/>
                <w:sz w:val="16"/>
                <w:szCs w:val="16"/>
              </w:rPr>
              <w:br/>
              <w:t>Patient must be under 18 years of age.</w:t>
            </w:r>
            <w:r w:rsidRPr="006D52A9">
              <w:rPr>
                <w:rFonts w:ascii="Arial" w:hAnsi="Arial" w:cs="Arial"/>
                <w:sz w:val="16"/>
                <w:szCs w:val="16"/>
              </w:rPr>
              <w:br/>
              <w:t>Severe intolerance to methotrexate is defined as intractable nausea and vomiting and general malaise unresponsive to manoeuvres, including reducing or omitting concomitant non</w:t>
            </w:r>
            <w:r w:rsidR="0026100E">
              <w:rPr>
                <w:rFonts w:ascii="Arial" w:hAnsi="Arial" w:cs="Arial"/>
                <w:sz w:val="16"/>
                <w:szCs w:val="16"/>
              </w:rPr>
              <w:noBreakHyphen/>
            </w:r>
            <w:r w:rsidRPr="006D52A9">
              <w:rPr>
                <w:rFonts w:ascii="Arial" w:hAnsi="Arial" w:cs="Arial"/>
                <w:sz w:val="16"/>
                <w:szCs w:val="16"/>
              </w:rPr>
              <w:t>steroidal anti</w:t>
            </w:r>
            <w:r w:rsidR="0026100E">
              <w:rPr>
                <w:rFonts w:ascii="Arial" w:hAnsi="Arial" w:cs="Arial"/>
                <w:sz w:val="16"/>
                <w:szCs w:val="16"/>
              </w:rPr>
              <w:noBreakHyphen/>
            </w:r>
            <w:r w:rsidRPr="006D52A9">
              <w:rPr>
                <w:rFonts w:ascii="Arial" w:hAnsi="Arial" w:cs="Arial"/>
                <w:sz w:val="16"/>
                <w:szCs w:val="16"/>
              </w:rPr>
              <w:t>inflammatory drugs (NSAIDs) on the day of methotrexate administration, use of folic acid supplementation, or administering the dose of methotrexate in 2 divided doses over 24 hours.</w:t>
            </w:r>
            <w:r w:rsidRPr="006D52A9">
              <w:rPr>
                <w:rFonts w:ascii="Arial" w:hAnsi="Arial" w:cs="Arial"/>
                <w:sz w:val="16"/>
                <w:szCs w:val="16"/>
              </w:rPr>
              <w:br/>
              <w:t>Toxicity due to methotrexate is defined as evidence of hepatotoxicity with repeated elevations of transaminases, bone marrow suppression temporally related to methotrexate use, pneumonitis, or serious sepsis.</w:t>
            </w:r>
            <w:r w:rsidRPr="006D52A9">
              <w:rPr>
                <w:rFonts w:ascii="Arial" w:hAnsi="Arial" w:cs="Arial"/>
                <w:sz w:val="16"/>
                <w:szCs w:val="16"/>
              </w:rPr>
              <w:br/>
              <w:t>If treatment with methotrexate alone or in combination with another DMARD is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details must be provided at the time of application.</w:t>
            </w:r>
            <w:r w:rsidRPr="006D52A9">
              <w:rPr>
                <w:rFonts w:ascii="Arial" w:hAnsi="Arial" w:cs="Arial"/>
                <w:sz w:val="16"/>
                <w:szCs w:val="16"/>
              </w:rPr>
              <w:br/>
              <w:t xml:space="preserve">If intolerance to treatment develops during the relevant period of use, which is of a severity </w:t>
            </w:r>
            <w:r w:rsidRPr="006D52A9">
              <w:rPr>
                <w:rFonts w:ascii="Arial" w:hAnsi="Arial" w:cs="Arial"/>
                <w:sz w:val="16"/>
                <w:szCs w:val="16"/>
              </w:rPr>
              <w:lastRenderedPageBreak/>
              <w:t>necessitating permanent treatment withdrawal, details of this toxicity must be provided at the time of application.</w:t>
            </w:r>
            <w:r w:rsidRPr="006D52A9">
              <w:rPr>
                <w:rFonts w:ascii="Arial" w:hAnsi="Arial" w:cs="Arial"/>
                <w:sz w:val="16"/>
                <w:szCs w:val="16"/>
              </w:rPr>
              <w:br/>
              <w:t>The following criteria indicate failure to achieve an adequate response and must be demonstrated in all patients at the time of the initial application:</w:t>
            </w:r>
            <w:r w:rsidRPr="006D52A9">
              <w:rPr>
                <w:rFonts w:ascii="Arial" w:hAnsi="Arial" w:cs="Arial"/>
                <w:sz w:val="16"/>
                <w:szCs w:val="16"/>
              </w:rPr>
              <w:br/>
              <w:t>(a) an active joint count of at least 20 active (swollen and tender) joints; OR</w:t>
            </w:r>
            <w:r w:rsidRPr="006D52A9">
              <w:rPr>
                <w:rFonts w:ascii="Arial" w:hAnsi="Arial" w:cs="Arial"/>
                <w:sz w:val="16"/>
                <w:szCs w:val="16"/>
              </w:rPr>
              <w:br/>
              <w:t>(b) at least 4 active joints from the following list:</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The joint count assessment must be performed preferably whilst still on DMARD treatment, but no longer than 4 weeks following cessation of the most recent prior treatment.</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completed authority prescription form(s); and</w:t>
            </w:r>
            <w:r w:rsidRPr="006D52A9">
              <w:rPr>
                <w:rFonts w:ascii="Arial" w:hAnsi="Arial" w:cs="Arial"/>
                <w:sz w:val="16"/>
                <w:szCs w:val="16"/>
              </w:rPr>
              <w:br/>
              <w:t xml:space="preserve">(2) a completed Juvenile Idiopathic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D52A9">
              <w:rPr>
                <w:rFonts w:ascii="Arial" w:hAnsi="Arial" w:cs="Arial"/>
                <w:sz w:val="16"/>
                <w:szCs w:val="16"/>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6EC9FF3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0F8F55F8" w14:textId="77777777" w:rsidTr="00FB6D2D">
        <w:tblPrEx>
          <w:tblLook w:val="01E0" w:firstRow="1" w:lastRow="1" w:firstColumn="1" w:lastColumn="1" w:noHBand="0" w:noVBand="0"/>
        </w:tblPrEx>
        <w:tc>
          <w:tcPr>
            <w:tcW w:w="647" w:type="pct"/>
            <w:tcMar>
              <w:top w:w="28" w:type="dxa"/>
              <w:left w:w="28" w:type="dxa"/>
            </w:tcMar>
          </w:tcPr>
          <w:p w14:paraId="501BE3A2"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58F8A8B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C10578</w:t>
            </w:r>
          </w:p>
        </w:tc>
        <w:tc>
          <w:tcPr>
            <w:tcW w:w="274" w:type="pct"/>
            <w:tcMar>
              <w:top w:w="28" w:type="dxa"/>
              <w:left w:w="28" w:type="dxa"/>
            </w:tcMar>
          </w:tcPr>
          <w:p w14:paraId="566CB59D"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2380390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2 (change or recommencement of treatment after a break in biological medicine of less than 12 months)</w:t>
            </w:r>
            <w:r w:rsidRPr="006D52A9">
              <w:rPr>
                <w:rFonts w:ascii="Arial" w:hAnsi="Arial" w:cs="Arial"/>
                <w:sz w:val="16"/>
                <w:szCs w:val="16"/>
              </w:rPr>
              <w:br/>
              <w:t>Must be treated by a paediatric rheumatologist; OR</w:t>
            </w:r>
            <w:r w:rsidRPr="006D52A9">
              <w:rPr>
                <w:rFonts w:ascii="Arial" w:hAnsi="Arial" w:cs="Arial"/>
                <w:sz w:val="16"/>
                <w:szCs w:val="16"/>
              </w:rPr>
              <w:br/>
              <w:t>Patient must be undergoing treatment under the supervision of a paediatric rheumatology treatment centre.</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in this treatment cycle; AND</w:t>
            </w:r>
            <w:r w:rsidRPr="006D52A9">
              <w:rPr>
                <w:rFonts w:ascii="Arial" w:hAnsi="Arial" w:cs="Arial"/>
                <w:sz w:val="16"/>
                <w:szCs w:val="16"/>
              </w:rPr>
              <w:br/>
              <w:t>Patient must not have already failed, or ceased to respond to, PBS</w:t>
            </w:r>
            <w:r w:rsidR="0026100E">
              <w:rPr>
                <w:rFonts w:ascii="Arial" w:hAnsi="Arial" w:cs="Arial"/>
                <w:sz w:val="16"/>
                <w:szCs w:val="16"/>
              </w:rPr>
              <w:noBreakHyphen/>
            </w:r>
            <w:r w:rsidRPr="006D52A9">
              <w:rPr>
                <w:rFonts w:ascii="Arial" w:hAnsi="Arial" w:cs="Arial"/>
                <w:sz w:val="16"/>
                <w:szCs w:val="16"/>
              </w:rPr>
              <w:t>subsidised treatment with this drug for this condition during the current treatment cycle; AND</w:t>
            </w:r>
            <w:r w:rsidRPr="006D52A9">
              <w:rPr>
                <w:rFonts w:ascii="Arial" w:hAnsi="Arial" w:cs="Arial"/>
                <w:sz w:val="16"/>
                <w:szCs w:val="16"/>
              </w:rPr>
              <w:br/>
              <w:t>Patient must not receive more than 16 weeks of treatment under this restriction.</w:t>
            </w:r>
            <w:r w:rsidRPr="006D52A9">
              <w:rPr>
                <w:rFonts w:ascii="Arial" w:hAnsi="Arial" w:cs="Arial"/>
                <w:sz w:val="16"/>
                <w:szCs w:val="16"/>
              </w:rPr>
              <w:br/>
              <w:t>An adequate response to treatment is defined as:</w:t>
            </w:r>
            <w:r w:rsidRPr="006D52A9">
              <w:rPr>
                <w:rFonts w:ascii="Arial" w:hAnsi="Arial" w:cs="Arial"/>
                <w:sz w:val="16"/>
                <w:szCs w:val="16"/>
              </w:rPr>
              <w:br/>
              <w:t xml:space="preserve">(a) a reduction in the total active (swollen and tender) joint count by at least 50% from baseline, where </w:t>
            </w:r>
            <w:r w:rsidRPr="006D52A9">
              <w:rPr>
                <w:rFonts w:ascii="Arial" w:hAnsi="Arial" w:cs="Arial"/>
                <w:sz w:val="16"/>
                <w:szCs w:val="16"/>
              </w:rPr>
              <w:lastRenderedPageBreak/>
              <w:t>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completed authority prescription form(s); and</w:t>
            </w:r>
            <w:r w:rsidRPr="006D52A9">
              <w:rPr>
                <w:rFonts w:ascii="Arial" w:hAnsi="Arial" w:cs="Arial"/>
                <w:sz w:val="16"/>
                <w:szCs w:val="16"/>
              </w:rPr>
              <w:br/>
              <w:t xml:space="preserve">(2) a completed Juvenile Idiopathic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who fails to demonstrate a response to treatment with this drug under this restriction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in this treatment cycle. A patient may re</w:t>
            </w:r>
            <w:r w:rsidR="0026100E">
              <w:rPr>
                <w:rFonts w:ascii="Arial" w:hAnsi="Arial" w:cs="Arial"/>
                <w:sz w:val="16"/>
                <w:szCs w:val="16"/>
              </w:rPr>
              <w:noBreakHyphen/>
            </w:r>
            <w:r w:rsidRPr="006D52A9">
              <w:rPr>
                <w:rFonts w:ascii="Arial" w:hAnsi="Arial" w:cs="Arial"/>
                <w:sz w:val="16"/>
                <w:szCs w:val="16"/>
              </w:rPr>
              <w:t>trial this drug after a minimum of 12 months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r w:rsidRPr="006D52A9">
              <w:rPr>
                <w:rFonts w:ascii="Arial" w:hAnsi="Arial" w:cs="Arial"/>
                <w:sz w:val="16"/>
                <w:szCs w:val="16"/>
              </w:rPr>
              <w:br/>
              <w:t>If a patient fails to respond to PBS</w:t>
            </w:r>
            <w:r w:rsidR="0026100E">
              <w:rPr>
                <w:rFonts w:ascii="Arial" w:hAnsi="Arial" w:cs="Arial"/>
                <w:sz w:val="16"/>
                <w:szCs w:val="16"/>
              </w:rPr>
              <w:noBreakHyphen/>
            </w:r>
            <w:r w:rsidRPr="006D52A9">
              <w:rPr>
                <w:rFonts w:ascii="Arial" w:hAnsi="Arial" w:cs="Arial"/>
                <w:sz w:val="16"/>
                <w:szCs w:val="16"/>
              </w:rPr>
              <w:t>subsidised biological medicine treatment 3 times (once with each agent) they will not be eligible to receive further PBS</w:t>
            </w:r>
            <w:r w:rsidR="0026100E">
              <w:rPr>
                <w:rFonts w:ascii="Arial" w:hAnsi="Arial" w:cs="Arial"/>
                <w:sz w:val="16"/>
                <w:szCs w:val="16"/>
              </w:rPr>
              <w:noBreakHyphen/>
            </w:r>
            <w:r w:rsidRPr="006D52A9">
              <w:rPr>
                <w:rFonts w:ascii="Arial" w:hAnsi="Arial" w:cs="Arial"/>
                <w:sz w:val="16"/>
                <w:szCs w:val="16"/>
              </w:rPr>
              <w:t>subsidised biological medicine therapy in this treatment cycle.</w:t>
            </w:r>
          </w:p>
        </w:tc>
        <w:tc>
          <w:tcPr>
            <w:tcW w:w="929" w:type="pct"/>
            <w:tcMar>
              <w:top w:w="28" w:type="dxa"/>
              <w:left w:w="28" w:type="dxa"/>
              <w:right w:w="57" w:type="dxa"/>
            </w:tcMar>
          </w:tcPr>
          <w:p w14:paraId="0918981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2D3671D4" w14:textId="77777777" w:rsidTr="00FB6D2D">
        <w:tblPrEx>
          <w:tblLook w:val="01E0" w:firstRow="1" w:lastRow="1" w:firstColumn="1" w:lastColumn="1" w:noHBand="0" w:noVBand="0"/>
        </w:tblPrEx>
        <w:tc>
          <w:tcPr>
            <w:tcW w:w="647" w:type="pct"/>
            <w:tcMar>
              <w:top w:w="28" w:type="dxa"/>
              <w:left w:w="28" w:type="dxa"/>
            </w:tcMar>
          </w:tcPr>
          <w:p w14:paraId="08E1B3A2"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55B50B9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C10579</w:t>
            </w:r>
          </w:p>
        </w:tc>
        <w:tc>
          <w:tcPr>
            <w:tcW w:w="274" w:type="pct"/>
            <w:tcMar>
              <w:top w:w="28" w:type="dxa"/>
              <w:left w:w="28" w:type="dxa"/>
            </w:tcMar>
          </w:tcPr>
          <w:p w14:paraId="1D8A9379"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684846D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Continuing treatment</w:t>
            </w:r>
            <w:r w:rsidRPr="006D52A9">
              <w:rPr>
                <w:rFonts w:ascii="Arial" w:hAnsi="Arial" w:cs="Arial"/>
                <w:sz w:val="16"/>
                <w:szCs w:val="16"/>
              </w:rPr>
              <w:br/>
              <w:t>Must be treated by a rheumatologist; OR</w:t>
            </w:r>
            <w:r w:rsidRPr="006D52A9">
              <w:rPr>
                <w:rFonts w:ascii="Arial" w:hAnsi="Arial" w:cs="Arial"/>
                <w:sz w:val="16"/>
                <w:szCs w:val="16"/>
              </w:rPr>
              <w:br/>
              <w:t xml:space="preserve">Patient must be undergoing treatment under the supervision of a paediatric rheumatology treatment </w:t>
            </w:r>
            <w:r w:rsidRPr="006D52A9">
              <w:rPr>
                <w:rFonts w:ascii="Arial" w:hAnsi="Arial" w:cs="Arial"/>
                <w:sz w:val="16"/>
                <w:szCs w:val="16"/>
              </w:rPr>
              <w:lastRenderedPageBreak/>
              <w:t>centre.</w:t>
            </w:r>
            <w:r w:rsidRPr="006D52A9">
              <w:rPr>
                <w:rFonts w:ascii="Arial" w:hAnsi="Arial" w:cs="Arial"/>
                <w:sz w:val="16"/>
                <w:szCs w:val="16"/>
              </w:rPr>
              <w:br/>
              <w:t>Patient must have received this drug as their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for this condition;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Patient must not receive more than 24 weeks of treatment per continuing treatment course authorised under this restriction.</w:t>
            </w:r>
            <w:r w:rsidRPr="006D52A9">
              <w:rPr>
                <w:rFonts w:ascii="Arial" w:hAnsi="Arial" w:cs="Arial"/>
                <w:sz w:val="16"/>
                <w:szCs w:val="16"/>
              </w:rPr>
              <w:br/>
              <w:t>An adequate response to treatment is defined as:</w:t>
            </w:r>
            <w:r w:rsidRPr="006D52A9">
              <w:rPr>
                <w:rFonts w:ascii="Arial" w:hAnsi="Arial" w:cs="Arial"/>
                <w:sz w:val="16"/>
                <w:szCs w:val="16"/>
              </w:rPr>
              <w:br/>
              <w:t>(a) a reduction in the total active (swollen and tender) joint count by at least 50% from baseline, where 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Determination of whether a response has been demonstrated to initial and subsequent courses of treatment will be based on the baseline measurement of joint count submitted with the initial treatment application.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completed authority prescription form(s); and</w:t>
            </w:r>
            <w:r w:rsidRPr="006D52A9">
              <w:rPr>
                <w:rFonts w:ascii="Arial" w:hAnsi="Arial" w:cs="Arial"/>
                <w:sz w:val="16"/>
                <w:szCs w:val="16"/>
              </w:rPr>
              <w:br/>
              <w:t xml:space="preserve">(2) a completed Juvenile Idiopathic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At the time of authority application, medical practitioners must request the appropriate number of injections to provide sufficient for four weeks of treatment. Up to a maximum of 5 repeats will be authorised.</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12 months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r w:rsidRPr="006D52A9">
              <w:rPr>
                <w:rFonts w:ascii="Arial" w:hAnsi="Arial" w:cs="Arial"/>
                <w:sz w:val="16"/>
                <w:szCs w:val="16"/>
              </w:rPr>
              <w:br/>
              <w:t>If a patient fails to respond to PBS</w:t>
            </w:r>
            <w:r w:rsidR="0026100E">
              <w:rPr>
                <w:rFonts w:ascii="Arial" w:hAnsi="Arial" w:cs="Arial"/>
                <w:sz w:val="16"/>
                <w:szCs w:val="16"/>
              </w:rPr>
              <w:noBreakHyphen/>
            </w:r>
            <w:r w:rsidRPr="006D52A9">
              <w:rPr>
                <w:rFonts w:ascii="Arial" w:hAnsi="Arial" w:cs="Arial"/>
                <w:sz w:val="16"/>
                <w:szCs w:val="16"/>
              </w:rPr>
              <w:t>subsidised biological medicine treatment 3 times (once with each agent) they will not be eligible to receive further PBS</w:t>
            </w:r>
            <w:r w:rsidR="0026100E">
              <w:rPr>
                <w:rFonts w:ascii="Arial" w:hAnsi="Arial" w:cs="Arial"/>
                <w:sz w:val="16"/>
                <w:szCs w:val="16"/>
              </w:rPr>
              <w:noBreakHyphen/>
            </w:r>
            <w:r w:rsidRPr="006D52A9">
              <w:rPr>
                <w:rFonts w:ascii="Arial" w:hAnsi="Arial" w:cs="Arial"/>
                <w:sz w:val="16"/>
                <w:szCs w:val="16"/>
              </w:rPr>
              <w:t>subsidised biological medicine therapy in this treatment cycle.</w:t>
            </w:r>
          </w:p>
        </w:tc>
        <w:tc>
          <w:tcPr>
            <w:tcW w:w="929" w:type="pct"/>
            <w:tcMar>
              <w:top w:w="28" w:type="dxa"/>
              <w:left w:w="28" w:type="dxa"/>
              <w:right w:w="57" w:type="dxa"/>
            </w:tcMar>
          </w:tcPr>
          <w:p w14:paraId="37D2CE0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247E3422" w14:textId="77777777" w:rsidTr="00FB6D2D">
        <w:tblPrEx>
          <w:tblLook w:val="01E0" w:firstRow="1" w:lastRow="1" w:firstColumn="1" w:lastColumn="1" w:noHBand="0" w:noVBand="0"/>
        </w:tblPrEx>
        <w:tc>
          <w:tcPr>
            <w:tcW w:w="647" w:type="pct"/>
            <w:tcMar>
              <w:top w:w="28" w:type="dxa"/>
              <w:left w:w="28" w:type="dxa"/>
            </w:tcMar>
          </w:tcPr>
          <w:p w14:paraId="1CB9ADF5"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1A533E9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C10599</w:t>
            </w:r>
          </w:p>
        </w:tc>
        <w:tc>
          <w:tcPr>
            <w:tcW w:w="274" w:type="pct"/>
            <w:tcMar>
              <w:top w:w="28" w:type="dxa"/>
              <w:left w:w="28" w:type="dxa"/>
            </w:tcMar>
          </w:tcPr>
          <w:p w14:paraId="0695BFC4"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39EA748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active juvenile idiopathic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(recommencement of treatment after a break in biological medicine of more than 12 months)</w:t>
            </w:r>
            <w:r w:rsidRPr="006D52A9">
              <w:rPr>
                <w:rFonts w:ascii="Arial" w:hAnsi="Arial" w:cs="Arial"/>
                <w:sz w:val="16"/>
                <w:szCs w:val="16"/>
              </w:rPr>
              <w:br/>
              <w:t>Must be treated by a paediatric rheumatologist; OR</w:t>
            </w:r>
            <w:r w:rsidRPr="006D52A9">
              <w:rPr>
                <w:rFonts w:ascii="Arial" w:hAnsi="Arial" w:cs="Arial"/>
                <w:sz w:val="16"/>
                <w:szCs w:val="16"/>
              </w:rPr>
              <w:br/>
              <w:t>Patient must be undergoing treatment under the supervision of a paediatric rheumatology treatment centre.</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had a break in treatment of 12 months or more from the most recently approved 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t>The condition must have either (a) a total active joint count of at least 20 active (swollen and tender) joints; or (b) at least 4 active major joints; AND</w:t>
            </w:r>
            <w:r w:rsidRPr="006D52A9">
              <w:rPr>
                <w:rFonts w:ascii="Arial" w:hAnsi="Arial" w:cs="Arial"/>
                <w:sz w:val="16"/>
                <w:szCs w:val="16"/>
              </w:rPr>
              <w:br/>
              <w:t>Patient must not receive more than 16 weeks of treatment under this restriction.</w:t>
            </w:r>
            <w:r w:rsidRPr="006D52A9">
              <w:rPr>
                <w:rFonts w:ascii="Arial" w:hAnsi="Arial" w:cs="Arial"/>
                <w:sz w:val="16"/>
                <w:szCs w:val="16"/>
              </w:rPr>
              <w:br/>
              <w:t>Active joints are defined as:</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All measures of joint count must be no more than 4 weeks old at the time of this application.</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D52A9">
              <w:rPr>
                <w:rFonts w:ascii="Arial" w:hAnsi="Arial" w:cs="Arial"/>
                <w:sz w:val="16"/>
                <w:szCs w:val="16"/>
              </w:rPr>
              <w:br/>
              <w:t>At the time of authority application, medical practitioners must request the appropriate number of injections to provide sufficient for four weeks of treatment. 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completed authority prescription form(s); and</w:t>
            </w:r>
            <w:r w:rsidRPr="006D52A9">
              <w:rPr>
                <w:rFonts w:ascii="Arial" w:hAnsi="Arial" w:cs="Arial"/>
                <w:sz w:val="16"/>
                <w:szCs w:val="16"/>
              </w:rPr>
              <w:br/>
              <w:t xml:space="preserve">(2) a completed Juvenile Idiopathic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this condition who wishes to recommence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D52A9">
              <w:rPr>
                <w:rFonts w:ascii="Arial" w:hAnsi="Arial" w:cs="Arial"/>
                <w:sz w:val="16"/>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 xml:space="preserve">Where the response assessment is not submitted within this timeframe, the patient will be deemed to </w:t>
            </w:r>
            <w:r w:rsidRPr="006D52A9">
              <w:rPr>
                <w:rFonts w:ascii="Arial" w:hAnsi="Arial" w:cs="Arial"/>
                <w:sz w:val="16"/>
                <w:szCs w:val="16"/>
              </w:rPr>
              <w:lastRenderedPageBreak/>
              <w:t>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728647D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14:paraId="4CA2A5C6" w14:textId="77777777" w:rsidTr="00FB6D2D">
        <w:tblPrEx>
          <w:tblLook w:val="01E0" w:firstRow="1" w:lastRow="1" w:firstColumn="1" w:lastColumn="1" w:noHBand="0" w:noVBand="0"/>
        </w:tblPrEx>
        <w:trPr>
          <w:cantSplit/>
        </w:trPr>
        <w:tc>
          <w:tcPr>
            <w:tcW w:w="647" w:type="pct"/>
            <w:tcBorders>
              <w:bottom w:val="single" w:sz="4" w:space="0" w:color="auto"/>
            </w:tcBorders>
            <w:tcMar>
              <w:top w:w="28" w:type="dxa"/>
              <w:left w:w="28" w:type="dxa"/>
            </w:tcMar>
          </w:tcPr>
          <w:p w14:paraId="18A2C51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Etravirine</w:t>
            </w:r>
          </w:p>
        </w:tc>
        <w:tc>
          <w:tcPr>
            <w:tcW w:w="283" w:type="pct"/>
            <w:tcBorders>
              <w:bottom w:val="single" w:sz="4" w:space="0" w:color="auto"/>
            </w:tcBorders>
            <w:tcMar>
              <w:top w:w="28" w:type="dxa"/>
              <w:left w:w="28" w:type="dxa"/>
            </w:tcMar>
          </w:tcPr>
          <w:p w14:paraId="377084F6"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C5014</w:t>
            </w:r>
          </w:p>
        </w:tc>
        <w:tc>
          <w:tcPr>
            <w:tcW w:w="274" w:type="pct"/>
            <w:tcBorders>
              <w:bottom w:val="single" w:sz="4" w:space="0" w:color="auto"/>
            </w:tcBorders>
            <w:tcMar>
              <w:top w:w="28" w:type="dxa"/>
              <w:left w:w="28" w:type="dxa"/>
            </w:tcMar>
          </w:tcPr>
          <w:p w14:paraId="72A99746"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6F1D4453"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 xml:space="preserve">HIV infection </w:t>
            </w:r>
            <w:r w:rsidRPr="006D52A9">
              <w:rPr>
                <w:rFonts w:ascii="Arial" w:hAnsi="Arial" w:cs="Arial"/>
                <w:sz w:val="16"/>
                <w:szCs w:val="16"/>
              </w:rPr>
              <w:br/>
              <w:t>The treatment must be in addition to optimised background therapy, AND</w:t>
            </w:r>
            <w:r w:rsidRPr="006D52A9">
              <w:rPr>
                <w:rFonts w:ascii="Arial" w:hAnsi="Arial" w:cs="Arial"/>
                <w:sz w:val="16"/>
                <w:szCs w:val="16"/>
              </w:rPr>
              <w:br/>
              <w:t>The treatment must be in combination with other antiretroviral agents, AND</w:t>
            </w:r>
            <w:r w:rsidRPr="006D52A9">
              <w:rPr>
                <w:rFonts w:ascii="Arial" w:hAnsi="Arial" w:cs="Arial"/>
                <w:sz w:val="16"/>
                <w:szCs w:val="16"/>
              </w:rPr>
              <w:br/>
              <w:t>Patient must be antiretroviral experienced, AND</w:t>
            </w:r>
            <w:r w:rsidRPr="006D52A9">
              <w:rPr>
                <w:rFonts w:ascii="Arial" w:hAnsi="Arial" w:cs="Arial"/>
                <w:sz w:val="16"/>
                <w:szCs w:val="16"/>
              </w:rPr>
              <w:br/>
              <w:t>Patient must have experienced virological failure or clinical failure or genotypic resistance after each of at least 3 different antiretroviral regimens that have included one drug from at least 3 different antiretroviral classes.</w:t>
            </w:r>
            <w:r w:rsidRPr="006D52A9">
              <w:rPr>
                <w:rFonts w:ascii="Arial" w:hAnsi="Arial" w:cs="Arial"/>
                <w:sz w:val="16"/>
                <w:szCs w:val="16"/>
              </w:rPr>
              <w:br/>
              <w:t>Virological failure is defined as a viral load greater than 400 copies per mL on two consecutive occasions, while clinical failure is linked to emerging signs and symptoms of progressing HIV infection or treatment</w:t>
            </w:r>
            <w:r w:rsidR="0026100E">
              <w:rPr>
                <w:rFonts w:ascii="Arial" w:hAnsi="Arial" w:cs="Arial"/>
                <w:sz w:val="16"/>
                <w:szCs w:val="16"/>
              </w:rPr>
              <w:noBreakHyphen/>
            </w:r>
            <w:r w:rsidRPr="006D52A9">
              <w:rPr>
                <w:rFonts w:ascii="Arial" w:hAnsi="Arial" w:cs="Arial"/>
                <w:sz w:val="16"/>
                <w:szCs w:val="16"/>
              </w:rPr>
              <w:t>limiting toxicity.</w:t>
            </w:r>
          </w:p>
        </w:tc>
        <w:tc>
          <w:tcPr>
            <w:tcW w:w="929" w:type="pct"/>
            <w:tcBorders>
              <w:bottom w:val="single" w:sz="4" w:space="0" w:color="auto"/>
            </w:tcBorders>
            <w:tcMar>
              <w:top w:w="28" w:type="dxa"/>
              <w:left w:w="28" w:type="dxa"/>
              <w:right w:w="57" w:type="dxa"/>
            </w:tcMar>
          </w:tcPr>
          <w:p w14:paraId="50D31392"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5014</w:t>
            </w:r>
          </w:p>
        </w:tc>
      </w:tr>
      <w:tr w:rsidR="008F47B8" w:rsidRPr="006D52A9" w:rsidDel="000B62DD" w14:paraId="3157AF40" w14:textId="77777777" w:rsidTr="00FB6D2D">
        <w:tc>
          <w:tcPr>
            <w:tcW w:w="647" w:type="pct"/>
            <w:tcMar>
              <w:top w:w="28" w:type="dxa"/>
              <w:left w:w="28" w:type="dxa"/>
            </w:tcMar>
          </w:tcPr>
          <w:p w14:paraId="16BE7FB0" w14:textId="77777777" w:rsidR="008F47B8" w:rsidRPr="006D52A9" w:rsidDel="000B62DD" w:rsidRDefault="008F47B8" w:rsidP="00FB6D2D">
            <w:pPr>
              <w:spacing w:line="240" w:lineRule="auto"/>
              <w:rPr>
                <w:rFonts w:ascii="Arial" w:hAnsi="Arial" w:cs="Arial"/>
                <w:sz w:val="16"/>
                <w:szCs w:val="16"/>
              </w:rPr>
            </w:pPr>
            <w:bookmarkStart w:id="122" w:name="CU_170368457"/>
            <w:bookmarkEnd w:id="122"/>
            <w:r w:rsidRPr="006D52A9">
              <w:rPr>
                <w:rFonts w:ascii="Arial" w:hAnsi="Arial" w:cs="Arial"/>
                <w:sz w:val="16"/>
                <w:szCs w:val="16"/>
              </w:rPr>
              <w:t>Everolimus</w:t>
            </w:r>
          </w:p>
        </w:tc>
        <w:tc>
          <w:tcPr>
            <w:tcW w:w="283" w:type="pct"/>
            <w:tcMar>
              <w:top w:w="28" w:type="dxa"/>
              <w:left w:w="28" w:type="dxa"/>
            </w:tcMar>
          </w:tcPr>
          <w:p w14:paraId="253545DA" w14:textId="77777777" w:rsidR="008F47B8" w:rsidRPr="006D52A9" w:rsidDel="000B62DD" w:rsidRDefault="008F47B8" w:rsidP="00FB6D2D">
            <w:pPr>
              <w:spacing w:line="240" w:lineRule="auto"/>
              <w:rPr>
                <w:rFonts w:ascii="Arial" w:hAnsi="Arial" w:cs="Arial"/>
                <w:sz w:val="16"/>
                <w:szCs w:val="16"/>
              </w:rPr>
            </w:pPr>
            <w:r w:rsidRPr="006D52A9">
              <w:rPr>
                <w:rFonts w:ascii="Arial" w:hAnsi="Arial" w:cs="Arial"/>
                <w:sz w:val="16"/>
                <w:szCs w:val="16"/>
              </w:rPr>
              <w:t>C5554</w:t>
            </w:r>
          </w:p>
        </w:tc>
        <w:tc>
          <w:tcPr>
            <w:tcW w:w="274" w:type="pct"/>
            <w:tcMar>
              <w:top w:w="28" w:type="dxa"/>
              <w:left w:w="28" w:type="dxa"/>
            </w:tcMar>
          </w:tcPr>
          <w:p w14:paraId="07C5778B" w14:textId="77777777" w:rsidR="008F47B8" w:rsidRPr="006D52A9" w:rsidDel="000B62DD" w:rsidRDefault="008F47B8" w:rsidP="00FB6D2D">
            <w:pPr>
              <w:spacing w:line="240" w:lineRule="auto"/>
              <w:rPr>
                <w:rFonts w:ascii="Arial" w:hAnsi="Arial" w:cs="Arial"/>
                <w:sz w:val="16"/>
                <w:szCs w:val="16"/>
              </w:rPr>
            </w:pPr>
          </w:p>
        </w:tc>
        <w:tc>
          <w:tcPr>
            <w:tcW w:w="2867" w:type="pct"/>
            <w:tcMar>
              <w:top w:w="28" w:type="dxa"/>
              <w:left w:w="28" w:type="dxa"/>
            </w:tcMar>
          </w:tcPr>
          <w:p w14:paraId="3D87BD94" w14:textId="77777777" w:rsidR="008F47B8" w:rsidRPr="006D52A9" w:rsidDel="000B62DD" w:rsidRDefault="008F47B8" w:rsidP="00FB6D2D">
            <w:pPr>
              <w:spacing w:line="240" w:lineRule="auto"/>
              <w:rPr>
                <w:rFonts w:ascii="Arial" w:hAnsi="Arial" w:cs="Arial"/>
                <w:sz w:val="16"/>
                <w:szCs w:val="16"/>
              </w:rPr>
            </w:pPr>
            <w:r w:rsidRPr="006D52A9">
              <w:rPr>
                <w:rFonts w:ascii="Arial" w:hAnsi="Arial" w:cs="Arial"/>
                <w:sz w:val="16"/>
                <w:szCs w:val="16"/>
              </w:rPr>
              <w:t>Management of cardiac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cardiac allograft rejection,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1B80A571" w14:textId="77777777" w:rsidR="008F47B8" w:rsidRPr="006D52A9" w:rsidDel="000B62D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5554</w:t>
            </w:r>
          </w:p>
        </w:tc>
      </w:tr>
      <w:tr w:rsidR="008F47B8" w:rsidRPr="006D52A9" w:rsidDel="006B1D16" w14:paraId="425ED994" w14:textId="77777777" w:rsidTr="00FB6D2D">
        <w:trPr>
          <w:cantSplit/>
        </w:trPr>
        <w:tc>
          <w:tcPr>
            <w:tcW w:w="647" w:type="pct"/>
            <w:tcMar>
              <w:top w:w="28" w:type="dxa"/>
              <w:left w:w="28" w:type="dxa"/>
            </w:tcMar>
          </w:tcPr>
          <w:p w14:paraId="0BEB03DE"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5200186A" w14:textId="77777777" w:rsidR="008F47B8" w:rsidRPr="006D52A9" w:rsidDel="006B1D16" w:rsidRDefault="008F47B8" w:rsidP="00FB6D2D">
            <w:pPr>
              <w:spacing w:line="240" w:lineRule="auto"/>
              <w:rPr>
                <w:rFonts w:ascii="Arial" w:hAnsi="Arial" w:cs="Arial"/>
                <w:sz w:val="16"/>
                <w:szCs w:val="16"/>
              </w:rPr>
            </w:pPr>
            <w:r w:rsidRPr="006D52A9">
              <w:rPr>
                <w:rFonts w:ascii="Arial" w:hAnsi="Arial" w:cs="Arial"/>
                <w:sz w:val="16"/>
                <w:szCs w:val="16"/>
              </w:rPr>
              <w:t>C5795</w:t>
            </w:r>
          </w:p>
        </w:tc>
        <w:tc>
          <w:tcPr>
            <w:tcW w:w="274" w:type="pct"/>
            <w:tcMar>
              <w:top w:w="28" w:type="dxa"/>
              <w:left w:w="28" w:type="dxa"/>
            </w:tcMar>
          </w:tcPr>
          <w:p w14:paraId="68B58042"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16065772" w14:textId="77777777" w:rsidR="008F47B8" w:rsidRPr="006D52A9" w:rsidDel="006B1D16" w:rsidRDefault="008F47B8" w:rsidP="00FB6D2D">
            <w:pPr>
              <w:spacing w:line="240" w:lineRule="auto"/>
              <w:rPr>
                <w:rFonts w:ascii="Arial" w:hAnsi="Arial" w:cs="Arial"/>
                <w:sz w:val="16"/>
                <w:szCs w:val="16"/>
              </w:rPr>
            </w:pPr>
            <w:r w:rsidRPr="006D52A9">
              <w:rPr>
                <w:rFonts w:ascii="Arial" w:hAnsi="Arial" w:cs="Arial"/>
                <w:sz w:val="16"/>
                <w:szCs w:val="16"/>
              </w:rPr>
              <w:t>Management of renal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renal allograft rejection,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0C55605F" w14:textId="77777777" w:rsidR="008F47B8" w:rsidRPr="006D52A9" w:rsidDel="006B1D16"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5795</w:t>
            </w:r>
          </w:p>
        </w:tc>
      </w:tr>
      <w:tr w:rsidR="008F47B8" w:rsidRPr="006D52A9" w:rsidDel="006B1D16" w14:paraId="64E3FBDF" w14:textId="77777777" w:rsidTr="00FB6D2D">
        <w:trPr>
          <w:cantSplit/>
        </w:trPr>
        <w:tc>
          <w:tcPr>
            <w:tcW w:w="647" w:type="pct"/>
            <w:tcMar>
              <w:top w:w="28" w:type="dxa"/>
              <w:left w:w="28" w:type="dxa"/>
            </w:tcMar>
          </w:tcPr>
          <w:p w14:paraId="4BCDDE07"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33CB958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C9691</w:t>
            </w:r>
          </w:p>
        </w:tc>
        <w:tc>
          <w:tcPr>
            <w:tcW w:w="274" w:type="pct"/>
            <w:tcMar>
              <w:top w:w="28" w:type="dxa"/>
              <w:left w:w="28" w:type="dxa"/>
            </w:tcMar>
          </w:tcPr>
          <w:p w14:paraId="24340D7F"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7BF6967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Management of renal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renal allograft rejection;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3DF7C24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9691</w:t>
            </w:r>
          </w:p>
        </w:tc>
      </w:tr>
      <w:tr w:rsidR="008F47B8" w:rsidRPr="006D52A9" w:rsidDel="006B1D16" w14:paraId="5E32D017" w14:textId="77777777" w:rsidTr="00FB6D2D">
        <w:trPr>
          <w:cantSplit/>
        </w:trPr>
        <w:tc>
          <w:tcPr>
            <w:tcW w:w="647" w:type="pct"/>
            <w:tcMar>
              <w:top w:w="28" w:type="dxa"/>
              <w:left w:w="28" w:type="dxa"/>
            </w:tcMar>
          </w:tcPr>
          <w:p w14:paraId="19428610"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281DC47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C9693</w:t>
            </w:r>
          </w:p>
        </w:tc>
        <w:tc>
          <w:tcPr>
            <w:tcW w:w="274" w:type="pct"/>
            <w:tcMar>
              <w:top w:w="28" w:type="dxa"/>
              <w:left w:w="28" w:type="dxa"/>
            </w:tcMar>
          </w:tcPr>
          <w:p w14:paraId="1905F879"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1519F02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Management of cardiac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cardiac allograft rejection; AND</w:t>
            </w:r>
            <w:r w:rsidRPr="006D52A9">
              <w:rPr>
                <w:rFonts w:ascii="Arial" w:hAnsi="Arial" w:cs="Arial"/>
                <w:sz w:val="16"/>
                <w:szCs w:val="16"/>
              </w:rPr>
              <w:br/>
              <w:t>The treatment must be under the supervision and direction of a transplant unit.</w:t>
            </w:r>
          </w:p>
        </w:tc>
        <w:tc>
          <w:tcPr>
            <w:tcW w:w="929" w:type="pct"/>
            <w:tcMar>
              <w:top w:w="28" w:type="dxa"/>
              <w:left w:w="28" w:type="dxa"/>
              <w:right w:w="57" w:type="dxa"/>
            </w:tcMar>
          </w:tcPr>
          <w:p w14:paraId="1F1E085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9693</w:t>
            </w:r>
          </w:p>
        </w:tc>
      </w:tr>
      <w:tr w:rsidR="008F47B8" w:rsidRPr="006D52A9" w:rsidDel="006B1D16" w14:paraId="7D560FF4" w14:textId="77777777" w:rsidTr="00FB6D2D">
        <w:trPr>
          <w:cantSplit/>
        </w:trPr>
        <w:tc>
          <w:tcPr>
            <w:tcW w:w="647" w:type="pct"/>
            <w:tcMar>
              <w:top w:w="28" w:type="dxa"/>
              <w:left w:w="28" w:type="dxa"/>
            </w:tcMar>
          </w:tcPr>
          <w:p w14:paraId="5E65DE11" w14:textId="77777777" w:rsidR="008F47B8" w:rsidRPr="006D52A9" w:rsidDel="006B1D16" w:rsidRDefault="008F47B8" w:rsidP="00FB6D2D">
            <w:pPr>
              <w:spacing w:line="240" w:lineRule="auto"/>
              <w:rPr>
                <w:rFonts w:ascii="Arial" w:hAnsi="Arial" w:cs="Arial"/>
                <w:sz w:val="16"/>
                <w:szCs w:val="16"/>
              </w:rPr>
            </w:pPr>
            <w:r w:rsidRPr="006D52A9">
              <w:rPr>
                <w:rFonts w:ascii="Arial" w:hAnsi="Arial" w:cs="Arial"/>
                <w:sz w:val="16"/>
                <w:szCs w:val="16"/>
              </w:rPr>
              <w:t>Filgrastim</w:t>
            </w:r>
          </w:p>
        </w:tc>
        <w:tc>
          <w:tcPr>
            <w:tcW w:w="283" w:type="pct"/>
            <w:tcMar>
              <w:top w:w="28" w:type="dxa"/>
              <w:left w:w="28" w:type="dxa"/>
            </w:tcMar>
          </w:tcPr>
          <w:p w14:paraId="0505189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C6621</w:t>
            </w:r>
          </w:p>
        </w:tc>
        <w:tc>
          <w:tcPr>
            <w:tcW w:w="274" w:type="pct"/>
            <w:tcMar>
              <w:top w:w="28" w:type="dxa"/>
              <w:left w:w="28" w:type="dxa"/>
            </w:tcMar>
          </w:tcPr>
          <w:p w14:paraId="2F8DB166"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69DB6DA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neutropenia</w:t>
            </w:r>
            <w:r w:rsidRPr="006D52A9">
              <w:rPr>
                <w:rFonts w:ascii="Arial" w:hAnsi="Arial" w:cs="Arial"/>
                <w:sz w:val="16"/>
                <w:szCs w:val="16"/>
              </w:rPr>
              <w:br/>
              <w:t>Patient must have an absolute neutrophil count of less than 1,000 million cells per litre measured on 3 occasions, with readings at least 2 weeks apart; OR</w:t>
            </w:r>
            <w:r w:rsidRPr="006D52A9">
              <w:rPr>
                <w:rFonts w:ascii="Arial" w:hAnsi="Arial" w:cs="Arial"/>
                <w:sz w:val="16"/>
                <w:szCs w:val="16"/>
              </w:rPr>
              <w:br/>
              <w:t>Patient must have neutrophil dysfunction; AND</w:t>
            </w:r>
            <w:r w:rsidRPr="006D52A9">
              <w:rPr>
                <w:rFonts w:ascii="Arial" w:hAnsi="Arial" w:cs="Arial"/>
                <w:sz w:val="16"/>
                <w:szCs w:val="16"/>
              </w:rPr>
              <w:br/>
              <w:t>Patient must have experienced a life</w:t>
            </w:r>
            <w:r w:rsidR="0026100E">
              <w:rPr>
                <w:rFonts w:ascii="Arial" w:hAnsi="Arial" w:cs="Arial"/>
                <w:sz w:val="16"/>
                <w:szCs w:val="16"/>
              </w:rPr>
              <w:noBreakHyphen/>
            </w:r>
            <w:r w:rsidRPr="006D52A9">
              <w:rPr>
                <w:rFonts w:ascii="Arial" w:hAnsi="Arial" w:cs="Arial"/>
                <w:sz w:val="16"/>
                <w:szCs w:val="16"/>
              </w:rPr>
              <w:t>threatening infectious episode requiring hospitalisation and treatment with intravenous antibiotics in the previous 12 months; OR</w:t>
            </w:r>
            <w:r w:rsidRPr="006D52A9">
              <w:rPr>
                <w:rFonts w:ascii="Arial" w:hAnsi="Arial" w:cs="Arial"/>
                <w:sz w:val="16"/>
                <w:szCs w:val="16"/>
              </w:rPr>
              <w:br/>
              <w:t>Patient must have had at least 3 recurrent clinically significant infections in the previous 12 months.</w:t>
            </w:r>
          </w:p>
        </w:tc>
        <w:tc>
          <w:tcPr>
            <w:tcW w:w="929" w:type="pct"/>
            <w:tcMar>
              <w:top w:w="28" w:type="dxa"/>
              <w:left w:w="28" w:type="dxa"/>
              <w:right w:w="57" w:type="dxa"/>
            </w:tcMar>
          </w:tcPr>
          <w:p w14:paraId="220A39B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6621</w:t>
            </w:r>
          </w:p>
        </w:tc>
      </w:tr>
      <w:tr w:rsidR="008F47B8" w:rsidRPr="006D52A9" w:rsidDel="006B1D16" w14:paraId="57FDF007" w14:textId="77777777" w:rsidTr="00FB6D2D">
        <w:trPr>
          <w:cantSplit/>
        </w:trPr>
        <w:tc>
          <w:tcPr>
            <w:tcW w:w="647" w:type="pct"/>
            <w:tcMar>
              <w:top w:w="28" w:type="dxa"/>
              <w:left w:w="28" w:type="dxa"/>
            </w:tcMar>
          </w:tcPr>
          <w:p w14:paraId="69AEECFD"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76C68EB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C6640</w:t>
            </w:r>
          </w:p>
        </w:tc>
        <w:tc>
          <w:tcPr>
            <w:tcW w:w="274" w:type="pct"/>
            <w:tcMar>
              <w:top w:w="28" w:type="dxa"/>
              <w:left w:w="28" w:type="dxa"/>
            </w:tcMar>
          </w:tcPr>
          <w:p w14:paraId="3A5EA08F"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5B4254E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cyclical neutropenia</w:t>
            </w:r>
            <w:r w:rsidRPr="006D52A9">
              <w:rPr>
                <w:rFonts w:ascii="Arial" w:hAnsi="Arial" w:cs="Arial"/>
                <w:sz w:val="16"/>
                <w:szCs w:val="16"/>
              </w:rPr>
              <w:br/>
              <w:t>Patient must have an absolute neutrophil count of less than 500 million cells per litre lasting for 3 days per cycle, measured over 3 separate cycles; AND</w:t>
            </w:r>
            <w:r w:rsidRPr="006D52A9">
              <w:rPr>
                <w:rFonts w:ascii="Arial" w:hAnsi="Arial" w:cs="Arial"/>
                <w:sz w:val="16"/>
                <w:szCs w:val="16"/>
              </w:rPr>
              <w:br/>
              <w:t>Patient must have experienced a life</w:t>
            </w:r>
            <w:r w:rsidR="0026100E">
              <w:rPr>
                <w:rFonts w:ascii="Arial" w:hAnsi="Arial" w:cs="Arial"/>
                <w:sz w:val="16"/>
                <w:szCs w:val="16"/>
              </w:rPr>
              <w:noBreakHyphen/>
            </w:r>
            <w:r w:rsidRPr="006D52A9">
              <w:rPr>
                <w:rFonts w:ascii="Arial" w:hAnsi="Arial" w:cs="Arial"/>
                <w:sz w:val="16"/>
                <w:szCs w:val="16"/>
              </w:rPr>
              <w:t>threatening infectious episode requiring hospitalisation and treatment with intravenous antibiotics; OR</w:t>
            </w:r>
            <w:r w:rsidRPr="006D52A9">
              <w:rPr>
                <w:rFonts w:ascii="Arial" w:hAnsi="Arial" w:cs="Arial"/>
                <w:sz w:val="16"/>
                <w:szCs w:val="16"/>
              </w:rPr>
              <w:br/>
              <w:t>Patient must have had at least 3 recurrent clinically significant infections in the previous 12 months.</w:t>
            </w:r>
          </w:p>
        </w:tc>
        <w:tc>
          <w:tcPr>
            <w:tcW w:w="929" w:type="pct"/>
            <w:tcMar>
              <w:top w:w="28" w:type="dxa"/>
              <w:left w:w="28" w:type="dxa"/>
              <w:right w:w="57" w:type="dxa"/>
            </w:tcMar>
          </w:tcPr>
          <w:p w14:paraId="1AC022A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6640</w:t>
            </w:r>
          </w:p>
        </w:tc>
      </w:tr>
      <w:tr w:rsidR="008F47B8" w:rsidRPr="006D52A9" w:rsidDel="006B1D16" w14:paraId="6A284569" w14:textId="77777777" w:rsidTr="00FB6D2D">
        <w:trPr>
          <w:cantSplit/>
        </w:trPr>
        <w:tc>
          <w:tcPr>
            <w:tcW w:w="647" w:type="pct"/>
            <w:tcMar>
              <w:top w:w="28" w:type="dxa"/>
              <w:left w:w="28" w:type="dxa"/>
            </w:tcMar>
          </w:tcPr>
          <w:p w14:paraId="43EE1F73"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21394FA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C6653</w:t>
            </w:r>
          </w:p>
        </w:tc>
        <w:tc>
          <w:tcPr>
            <w:tcW w:w="274" w:type="pct"/>
            <w:tcMar>
              <w:top w:w="28" w:type="dxa"/>
              <w:left w:w="28" w:type="dxa"/>
            </w:tcMar>
          </w:tcPr>
          <w:p w14:paraId="2EB08697"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4528240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Mobilisation of peripheral blood progenitor cells</w:t>
            </w:r>
            <w:r w:rsidRPr="006D52A9">
              <w:rPr>
                <w:rFonts w:ascii="Arial" w:hAnsi="Arial" w:cs="Arial"/>
                <w:sz w:val="16"/>
                <w:szCs w:val="16"/>
              </w:rPr>
              <w:br/>
              <w:t>The treatment must be to facilitate harvest of peripheral blood progenitor cells for autologous transplantation into a patient with a non</w:t>
            </w:r>
            <w:r w:rsidR="0026100E">
              <w:rPr>
                <w:rFonts w:ascii="Arial" w:hAnsi="Arial" w:cs="Arial"/>
                <w:sz w:val="16"/>
                <w:szCs w:val="16"/>
              </w:rPr>
              <w:noBreakHyphen/>
            </w:r>
            <w:r w:rsidRPr="006D52A9">
              <w:rPr>
                <w:rFonts w:ascii="Arial" w:hAnsi="Arial" w:cs="Arial"/>
                <w:sz w:val="16"/>
                <w:szCs w:val="16"/>
              </w:rPr>
              <w:t>myeloid malignancy who has had myeloablative or myelosuppressive therapy.</w:t>
            </w:r>
          </w:p>
        </w:tc>
        <w:tc>
          <w:tcPr>
            <w:tcW w:w="929" w:type="pct"/>
            <w:tcMar>
              <w:top w:w="28" w:type="dxa"/>
              <w:left w:w="28" w:type="dxa"/>
              <w:right w:w="57" w:type="dxa"/>
            </w:tcMar>
          </w:tcPr>
          <w:p w14:paraId="2FFBCE5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6653</w:t>
            </w:r>
          </w:p>
        </w:tc>
      </w:tr>
      <w:tr w:rsidR="008F47B8" w:rsidRPr="006D52A9" w:rsidDel="006B1D16" w14:paraId="1C04E4E8" w14:textId="77777777" w:rsidTr="00FB6D2D">
        <w:trPr>
          <w:cantSplit/>
        </w:trPr>
        <w:tc>
          <w:tcPr>
            <w:tcW w:w="647" w:type="pct"/>
            <w:tcMar>
              <w:top w:w="28" w:type="dxa"/>
              <w:left w:w="28" w:type="dxa"/>
            </w:tcMar>
          </w:tcPr>
          <w:p w14:paraId="25FBAA82"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42C8FD2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C6654</w:t>
            </w:r>
          </w:p>
        </w:tc>
        <w:tc>
          <w:tcPr>
            <w:tcW w:w="274" w:type="pct"/>
            <w:tcMar>
              <w:top w:w="28" w:type="dxa"/>
              <w:left w:w="28" w:type="dxa"/>
            </w:tcMar>
          </w:tcPr>
          <w:p w14:paraId="33A42598"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3B43180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Mobilisation of peripheral blood progenitor cells</w:t>
            </w:r>
            <w:r w:rsidRPr="006D52A9">
              <w:rPr>
                <w:rFonts w:ascii="Arial" w:hAnsi="Arial" w:cs="Arial"/>
                <w:sz w:val="16"/>
                <w:szCs w:val="16"/>
              </w:rPr>
              <w:br/>
              <w:t>The treatment must be in a normal volunteer for use in allogeneic transplantation.</w:t>
            </w:r>
          </w:p>
        </w:tc>
        <w:tc>
          <w:tcPr>
            <w:tcW w:w="929" w:type="pct"/>
            <w:tcMar>
              <w:top w:w="28" w:type="dxa"/>
              <w:left w:w="28" w:type="dxa"/>
              <w:right w:w="57" w:type="dxa"/>
            </w:tcMar>
          </w:tcPr>
          <w:p w14:paraId="17FE90C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6654</w:t>
            </w:r>
          </w:p>
        </w:tc>
      </w:tr>
      <w:tr w:rsidR="008F47B8" w:rsidRPr="006D52A9" w:rsidDel="006B1D16" w14:paraId="3E25941E" w14:textId="77777777" w:rsidTr="00FB6D2D">
        <w:trPr>
          <w:cantSplit/>
        </w:trPr>
        <w:tc>
          <w:tcPr>
            <w:tcW w:w="647" w:type="pct"/>
            <w:tcMar>
              <w:top w:w="28" w:type="dxa"/>
              <w:left w:w="28" w:type="dxa"/>
            </w:tcMar>
          </w:tcPr>
          <w:p w14:paraId="02CE5E1E"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41FD637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C6655</w:t>
            </w:r>
          </w:p>
        </w:tc>
        <w:tc>
          <w:tcPr>
            <w:tcW w:w="274" w:type="pct"/>
            <w:tcMar>
              <w:top w:w="28" w:type="dxa"/>
              <w:left w:w="28" w:type="dxa"/>
            </w:tcMar>
          </w:tcPr>
          <w:p w14:paraId="30DD9969"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40531F1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Assisting autologous peripheral blood progenitor cell transplantation</w:t>
            </w:r>
            <w:r w:rsidRPr="006D52A9">
              <w:rPr>
                <w:rFonts w:ascii="Arial" w:hAnsi="Arial" w:cs="Arial"/>
                <w:sz w:val="16"/>
                <w:szCs w:val="16"/>
              </w:rPr>
              <w:br/>
              <w:t>The treatment must be following marrow</w:t>
            </w:r>
            <w:r w:rsidR="0026100E">
              <w:rPr>
                <w:rFonts w:ascii="Arial" w:hAnsi="Arial" w:cs="Arial"/>
                <w:sz w:val="16"/>
                <w:szCs w:val="16"/>
              </w:rPr>
              <w:noBreakHyphen/>
            </w:r>
            <w:r w:rsidRPr="006D52A9">
              <w:rPr>
                <w:rFonts w:ascii="Arial" w:hAnsi="Arial" w:cs="Arial"/>
                <w:sz w:val="16"/>
                <w:szCs w:val="16"/>
              </w:rPr>
              <w:t>ablative chemotherapy for non</w:t>
            </w:r>
            <w:r w:rsidR="0026100E">
              <w:rPr>
                <w:rFonts w:ascii="Arial" w:hAnsi="Arial" w:cs="Arial"/>
                <w:sz w:val="16"/>
                <w:szCs w:val="16"/>
              </w:rPr>
              <w:noBreakHyphen/>
            </w:r>
            <w:r w:rsidRPr="006D52A9">
              <w:rPr>
                <w:rFonts w:ascii="Arial" w:hAnsi="Arial" w:cs="Arial"/>
                <w:sz w:val="16"/>
                <w:szCs w:val="16"/>
              </w:rPr>
              <w:t>myeloid malignancy prior to the transplantation.</w:t>
            </w:r>
          </w:p>
        </w:tc>
        <w:tc>
          <w:tcPr>
            <w:tcW w:w="929" w:type="pct"/>
            <w:tcMar>
              <w:top w:w="28" w:type="dxa"/>
              <w:left w:w="28" w:type="dxa"/>
              <w:right w:w="57" w:type="dxa"/>
            </w:tcMar>
          </w:tcPr>
          <w:p w14:paraId="4FDBCBC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6655</w:t>
            </w:r>
          </w:p>
        </w:tc>
      </w:tr>
      <w:tr w:rsidR="008F47B8" w:rsidRPr="006D52A9" w:rsidDel="006B1D16" w14:paraId="50CD1CF2" w14:textId="77777777" w:rsidTr="00FB6D2D">
        <w:trPr>
          <w:cantSplit/>
        </w:trPr>
        <w:tc>
          <w:tcPr>
            <w:tcW w:w="647" w:type="pct"/>
            <w:tcMar>
              <w:top w:w="28" w:type="dxa"/>
              <w:left w:w="28" w:type="dxa"/>
            </w:tcMar>
          </w:tcPr>
          <w:p w14:paraId="42B02248"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7A2006C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C6679</w:t>
            </w:r>
          </w:p>
        </w:tc>
        <w:tc>
          <w:tcPr>
            <w:tcW w:w="274" w:type="pct"/>
            <w:tcMar>
              <w:top w:w="28" w:type="dxa"/>
              <w:left w:w="28" w:type="dxa"/>
            </w:tcMar>
          </w:tcPr>
          <w:p w14:paraId="39B0422E"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39E7A25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Assisting bone marrow transplantation</w:t>
            </w:r>
            <w:r w:rsidRPr="006D52A9">
              <w:rPr>
                <w:rFonts w:ascii="Arial" w:hAnsi="Arial" w:cs="Arial"/>
                <w:sz w:val="16"/>
                <w:szCs w:val="16"/>
              </w:rPr>
              <w:br/>
              <w:t>Patient must be receiving marrow</w:t>
            </w:r>
            <w:r w:rsidR="0026100E">
              <w:rPr>
                <w:rFonts w:ascii="Arial" w:hAnsi="Arial" w:cs="Arial"/>
                <w:sz w:val="16"/>
                <w:szCs w:val="16"/>
              </w:rPr>
              <w:noBreakHyphen/>
            </w:r>
            <w:r w:rsidRPr="006D52A9">
              <w:rPr>
                <w:rFonts w:ascii="Arial" w:hAnsi="Arial" w:cs="Arial"/>
                <w:sz w:val="16"/>
                <w:szCs w:val="16"/>
              </w:rPr>
              <w:t>ablative chemotherapy prior to the transplantation.</w:t>
            </w:r>
          </w:p>
        </w:tc>
        <w:tc>
          <w:tcPr>
            <w:tcW w:w="929" w:type="pct"/>
            <w:tcMar>
              <w:top w:w="28" w:type="dxa"/>
              <w:left w:w="28" w:type="dxa"/>
              <w:right w:w="57" w:type="dxa"/>
            </w:tcMar>
          </w:tcPr>
          <w:p w14:paraId="064CF12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6679</w:t>
            </w:r>
          </w:p>
        </w:tc>
      </w:tr>
      <w:tr w:rsidR="008F47B8" w:rsidRPr="006D52A9" w:rsidDel="006B1D16" w14:paraId="6D1818F1" w14:textId="77777777" w:rsidTr="00FB6D2D">
        <w:trPr>
          <w:cantSplit/>
        </w:trPr>
        <w:tc>
          <w:tcPr>
            <w:tcW w:w="647" w:type="pct"/>
            <w:tcMar>
              <w:top w:w="28" w:type="dxa"/>
              <w:left w:w="28" w:type="dxa"/>
            </w:tcMar>
          </w:tcPr>
          <w:p w14:paraId="67DC4255"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07E9AF9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C6680</w:t>
            </w:r>
          </w:p>
        </w:tc>
        <w:tc>
          <w:tcPr>
            <w:tcW w:w="274" w:type="pct"/>
            <w:tcMar>
              <w:top w:w="28" w:type="dxa"/>
              <w:left w:w="28" w:type="dxa"/>
            </w:tcMar>
          </w:tcPr>
          <w:p w14:paraId="2B01FF3C"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06A9704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congenital neutropenia</w:t>
            </w:r>
            <w:r w:rsidRPr="006D52A9">
              <w:rPr>
                <w:rFonts w:ascii="Arial" w:hAnsi="Arial" w:cs="Arial"/>
                <w:sz w:val="16"/>
                <w:szCs w:val="16"/>
              </w:rPr>
              <w:br/>
              <w:t>Patient must have an absolute neutrophil count of less than 100 million cells per litre measured on 3 occasions, with readings at least 2 weeks apart; AND</w:t>
            </w:r>
            <w:r w:rsidRPr="006D52A9">
              <w:rPr>
                <w:rFonts w:ascii="Arial" w:hAnsi="Arial" w:cs="Arial"/>
                <w:sz w:val="16"/>
                <w:szCs w:val="16"/>
              </w:rPr>
              <w:br/>
              <w:t>Patient must have had a bone marrow examination that has shown evidence of maturational arrest of the neutrophil lineage.</w:t>
            </w:r>
          </w:p>
        </w:tc>
        <w:tc>
          <w:tcPr>
            <w:tcW w:w="929" w:type="pct"/>
            <w:tcMar>
              <w:top w:w="28" w:type="dxa"/>
              <w:left w:w="28" w:type="dxa"/>
              <w:right w:w="57" w:type="dxa"/>
            </w:tcMar>
          </w:tcPr>
          <w:p w14:paraId="2D45E2B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6680</w:t>
            </w:r>
          </w:p>
        </w:tc>
      </w:tr>
      <w:tr w:rsidR="008F47B8" w:rsidRPr="006D52A9" w:rsidDel="006B1D16" w14:paraId="68F33B92" w14:textId="77777777" w:rsidTr="00FB6D2D">
        <w:trPr>
          <w:cantSplit/>
        </w:trPr>
        <w:tc>
          <w:tcPr>
            <w:tcW w:w="647" w:type="pct"/>
            <w:tcMar>
              <w:top w:w="28" w:type="dxa"/>
              <w:left w:w="28" w:type="dxa"/>
            </w:tcMar>
          </w:tcPr>
          <w:p w14:paraId="5081BCCD"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1C34EA0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C7822</w:t>
            </w:r>
          </w:p>
        </w:tc>
        <w:tc>
          <w:tcPr>
            <w:tcW w:w="274" w:type="pct"/>
            <w:tcMar>
              <w:top w:w="28" w:type="dxa"/>
              <w:left w:w="28" w:type="dxa"/>
            </w:tcMar>
          </w:tcPr>
          <w:p w14:paraId="3501E08F"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2410B0A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rFonts w:ascii="Arial" w:hAnsi="Arial" w:cs="Arial"/>
                <w:sz w:val="16"/>
                <w:szCs w:val="16"/>
              </w:rPr>
              <w:br/>
              <w:t>Patient must be receiving chemotherapy with the intention of achieving a cure or a substantial remission; AND</w:t>
            </w:r>
            <w:r w:rsidRPr="006D52A9">
              <w:rPr>
                <w:rFonts w:ascii="Arial" w:hAnsi="Arial" w:cs="Arial"/>
                <w:sz w:val="16"/>
                <w:szCs w:val="16"/>
              </w:rPr>
              <w:br/>
              <w:t>Patient must be at greater than 20% risk of developing febrile neutropenia; OR</w:t>
            </w:r>
            <w:r w:rsidRPr="006D52A9">
              <w:rPr>
                <w:rFonts w:ascii="Arial" w:hAnsi="Arial" w:cs="Arial"/>
                <w:sz w:val="16"/>
                <w:szCs w:val="16"/>
              </w:rPr>
              <w:br/>
              <w:t>Patient must be at substantial risk (greater than 20%) of prolonged severe neutropenia for more than or equal to seven days.</w:t>
            </w:r>
          </w:p>
        </w:tc>
        <w:tc>
          <w:tcPr>
            <w:tcW w:w="929" w:type="pct"/>
            <w:tcMar>
              <w:top w:w="28" w:type="dxa"/>
              <w:left w:w="28" w:type="dxa"/>
              <w:right w:w="57" w:type="dxa"/>
            </w:tcMar>
          </w:tcPr>
          <w:p w14:paraId="2F54F2C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7822</w:t>
            </w:r>
          </w:p>
        </w:tc>
      </w:tr>
      <w:tr w:rsidR="008F47B8" w:rsidRPr="006D52A9" w:rsidDel="006B1D16" w14:paraId="3022A69C" w14:textId="77777777" w:rsidTr="00FB6D2D">
        <w:trPr>
          <w:cantSplit/>
        </w:trPr>
        <w:tc>
          <w:tcPr>
            <w:tcW w:w="647" w:type="pct"/>
            <w:tcMar>
              <w:top w:w="28" w:type="dxa"/>
              <w:left w:w="28" w:type="dxa"/>
            </w:tcMar>
          </w:tcPr>
          <w:p w14:paraId="56414A79"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21D2D62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C7843</w:t>
            </w:r>
          </w:p>
        </w:tc>
        <w:tc>
          <w:tcPr>
            <w:tcW w:w="274" w:type="pct"/>
            <w:tcMar>
              <w:top w:w="28" w:type="dxa"/>
              <w:left w:w="28" w:type="dxa"/>
            </w:tcMar>
          </w:tcPr>
          <w:p w14:paraId="306E79F9"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194A1D3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rFonts w:ascii="Arial" w:hAnsi="Arial" w:cs="Arial"/>
                <w:sz w:val="16"/>
                <w:szCs w:val="16"/>
              </w:rPr>
              <w:br/>
              <w:t>Patient must be receiving chemotherapy with the intention of achieving a cure or a substantial remission; AND</w:t>
            </w:r>
            <w:r w:rsidRPr="006D52A9">
              <w:rPr>
                <w:rFonts w:ascii="Arial" w:hAnsi="Arial" w:cs="Arial"/>
                <w:sz w:val="16"/>
                <w:szCs w:val="16"/>
              </w:rPr>
              <w:br/>
              <w:t>Patient must have had a prior episode of febrile neutropenia; OR</w:t>
            </w:r>
            <w:r w:rsidRPr="006D52A9">
              <w:rPr>
                <w:rFonts w:ascii="Arial" w:hAnsi="Arial" w:cs="Arial"/>
                <w:sz w:val="16"/>
                <w:szCs w:val="16"/>
              </w:rPr>
              <w:br/>
              <w:t>Patient must have had a prior episode of prolonged severe neutropenia for more than or equal to seven days.</w:t>
            </w:r>
          </w:p>
        </w:tc>
        <w:tc>
          <w:tcPr>
            <w:tcW w:w="929" w:type="pct"/>
            <w:tcMar>
              <w:top w:w="28" w:type="dxa"/>
              <w:left w:w="28" w:type="dxa"/>
              <w:right w:w="57" w:type="dxa"/>
            </w:tcMar>
          </w:tcPr>
          <w:p w14:paraId="4B4EFB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7843</w:t>
            </w:r>
          </w:p>
        </w:tc>
      </w:tr>
      <w:tr w:rsidR="008F47B8" w:rsidRPr="006D52A9" w:rsidDel="006B1D16" w14:paraId="4B5370E2" w14:textId="77777777" w:rsidTr="00FB6D2D">
        <w:trPr>
          <w:cantSplit/>
        </w:trPr>
        <w:tc>
          <w:tcPr>
            <w:tcW w:w="647" w:type="pct"/>
            <w:tcMar>
              <w:top w:w="28" w:type="dxa"/>
              <w:left w:w="28" w:type="dxa"/>
            </w:tcMar>
          </w:tcPr>
          <w:p w14:paraId="3C5E7268"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0E57E16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C8667</w:t>
            </w:r>
          </w:p>
        </w:tc>
        <w:tc>
          <w:tcPr>
            <w:tcW w:w="274" w:type="pct"/>
            <w:tcMar>
              <w:top w:w="28" w:type="dxa"/>
              <w:left w:w="28" w:type="dxa"/>
            </w:tcMar>
          </w:tcPr>
          <w:p w14:paraId="5C6F6CFB"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39B4D25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rFonts w:ascii="Arial" w:hAnsi="Arial" w:cs="Arial"/>
                <w:sz w:val="16"/>
                <w:szCs w:val="16"/>
              </w:rPr>
              <w:br/>
              <w:t>Patient must be receiving chemotherapy with the intention of achieving a cure or a substantial remission; AND</w:t>
            </w:r>
            <w:r w:rsidRPr="006D52A9">
              <w:rPr>
                <w:rFonts w:ascii="Arial" w:hAnsi="Arial" w:cs="Arial"/>
                <w:sz w:val="16"/>
                <w:szCs w:val="16"/>
              </w:rPr>
              <w:br/>
              <w:t>Patient must have had a prior episode of febrile neutropenia; OR</w:t>
            </w:r>
            <w:r w:rsidRPr="006D52A9">
              <w:rPr>
                <w:rFonts w:ascii="Arial" w:hAnsi="Arial" w:cs="Arial"/>
                <w:sz w:val="16"/>
                <w:szCs w:val="16"/>
              </w:rPr>
              <w:br/>
              <w:t>Patient must have had a prior episode of prolonged severe neutropenia for more than or equal to seven days.</w:t>
            </w:r>
          </w:p>
        </w:tc>
        <w:tc>
          <w:tcPr>
            <w:tcW w:w="929" w:type="pct"/>
            <w:tcMar>
              <w:top w:w="28" w:type="dxa"/>
              <w:left w:w="28" w:type="dxa"/>
              <w:right w:w="57" w:type="dxa"/>
            </w:tcMar>
          </w:tcPr>
          <w:p w14:paraId="68F648C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8667</w:t>
            </w:r>
          </w:p>
        </w:tc>
      </w:tr>
      <w:tr w:rsidR="008F47B8" w:rsidRPr="006D52A9" w:rsidDel="006B1D16" w14:paraId="6E81A2B0" w14:textId="77777777" w:rsidTr="00FB6D2D">
        <w:trPr>
          <w:cantSplit/>
        </w:trPr>
        <w:tc>
          <w:tcPr>
            <w:tcW w:w="647" w:type="pct"/>
            <w:tcMar>
              <w:top w:w="28" w:type="dxa"/>
              <w:left w:w="28" w:type="dxa"/>
            </w:tcMar>
          </w:tcPr>
          <w:p w14:paraId="5B1E5F79"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374188D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C8668</w:t>
            </w:r>
          </w:p>
        </w:tc>
        <w:tc>
          <w:tcPr>
            <w:tcW w:w="274" w:type="pct"/>
            <w:tcMar>
              <w:top w:w="28" w:type="dxa"/>
              <w:left w:w="28" w:type="dxa"/>
            </w:tcMar>
          </w:tcPr>
          <w:p w14:paraId="682B5873"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61ED246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Mobilisation of peripheral blood progenitor cells</w:t>
            </w:r>
            <w:r w:rsidRPr="006D52A9">
              <w:rPr>
                <w:rFonts w:ascii="Arial" w:hAnsi="Arial" w:cs="Arial"/>
                <w:sz w:val="16"/>
                <w:szCs w:val="16"/>
              </w:rPr>
              <w:br/>
              <w:t>The treatment must be in a normal volunteer for use in allogeneic transplantation.</w:t>
            </w:r>
          </w:p>
        </w:tc>
        <w:tc>
          <w:tcPr>
            <w:tcW w:w="929" w:type="pct"/>
            <w:tcMar>
              <w:top w:w="28" w:type="dxa"/>
              <w:left w:w="28" w:type="dxa"/>
              <w:right w:w="57" w:type="dxa"/>
            </w:tcMar>
          </w:tcPr>
          <w:p w14:paraId="619A10C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8668</w:t>
            </w:r>
          </w:p>
        </w:tc>
      </w:tr>
      <w:tr w:rsidR="008F47B8" w:rsidRPr="006D52A9" w:rsidDel="006B1D16" w14:paraId="572E9759" w14:textId="77777777" w:rsidTr="00FB6D2D">
        <w:trPr>
          <w:cantSplit/>
        </w:trPr>
        <w:tc>
          <w:tcPr>
            <w:tcW w:w="647" w:type="pct"/>
            <w:tcMar>
              <w:top w:w="28" w:type="dxa"/>
              <w:left w:w="28" w:type="dxa"/>
            </w:tcMar>
          </w:tcPr>
          <w:p w14:paraId="7E4B2D53"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2516BED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C8669</w:t>
            </w:r>
          </w:p>
        </w:tc>
        <w:tc>
          <w:tcPr>
            <w:tcW w:w="274" w:type="pct"/>
            <w:tcMar>
              <w:top w:w="28" w:type="dxa"/>
              <w:left w:w="28" w:type="dxa"/>
            </w:tcMar>
          </w:tcPr>
          <w:p w14:paraId="74A50BE8"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7AC6CB7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congenital neutropenia</w:t>
            </w:r>
            <w:r w:rsidRPr="006D52A9">
              <w:rPr>
                <w:rFonts w:ascii="Arial" w:hAnsi="Arial" w:cs="Arial"/>
                <w:sz w:val="16"/>
                <w:szCs w:val="16"/>
              </w:rPr>
              <w:br/>
              <w:t>Patient must have an absolute neutrophil count of less than 100 million cells per litre measured on 3 occasions, with readings at least 2 weeks apart; AND</w:t>
            </w:r>
            <w:r w:rsidRPr="006D52A9">
              <w:rPr>
                <w:rFonts w:ascii="Arial" w:hAnsi="Arial" w:cs="Arial"/>
                <w:sz w:val="16"/>
                <w:szCs w:val="16"/>
              </w:rPr>
              <w:br/>
              <w:t>Patient must have had a bone marrow examination that has shown evidence of maturational arrest of the neutrophil lineage.</w:t>
            </w:r>
          </w:p>
        </w:tc>
        <w:tc>
          <w:tcPr>
            <w:tcW w:w="929" w:type="pct"/>
            <w:tcMar>
              <w:top w:w="28" w:type="dxa"/>
              <w:left w:w="28" w:type="dxa"/>
              <w:right w:w="57" w:type="dxa"/>
            </w:tcMar>
          </w:tcPr>
          <w:p w14:paraId="3779D00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8669</w:t>
            </w:r>
          </w:p>
        </w:tc>
      </w:tr>
      <w:tr w:rsidR="008F47B8" w:rsidRPr="006D52A9" w:rsidDel="006B1D16" w14:paraId="14207BC8" w14:textId="77777777" w:rsidTr="00FB6D2D">
        <w:trPr>
          <w:cantSplit/>
        </w:trPr>
        <w:tc>
          <w:tcPr>
            <w:tcW w:w="647" w:type="pct"/>
            <w:tcMar>
              <w:top w:w="28" w:type="dxa"/>
              <w:left w:w="28" w:type="dxa"/>
            </w:tcMar>
          </w:tcPr>
          <w:p w14:paraId="3171265F"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5CD9D9B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C8670</w:t>
            </w:r>
          </w:p>
        </w:tc>
        <w:tc>
          <w:tcPr>
            <w:tcW w:w="274" w:type="pct"/>
            <w:tcMar>
              <w:top w:w="28" w:type="dxa"/>
              <w:left w:w="28" w:type="dxa"/>
            </w:tcMar>
          </w:tcPr>
          <w:p w14:paraId="2C81F4BC"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10968D1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Severe chronic neutropenia</w:t>
            </w:r>
            <w:r w:rsidRPr="006D52A9">
              <w:rPr>
                <w:rFonts w:ascii="Arial" w:hAnsi="Arial" w:cs="Arial"/>
                <w:sz w:val="16"/>
                <w:szCs w:val="16"/>
              </w:rPr>
              <w:br/>
              <w:t>Patient must have an absolute neutrophil count of less than 1,000 million cells per litre measured on 3 occasions, with readings at least 2 weeks apart; OR</w:t>
            </w:r>
            <w:r w:rsidRPr="006D52A9">
              <w:rPr>
                <w:rFonts w:ascii="Arial" w:hAnsi="Arial" w:cs="Arial"/>
                <w:sz w:val="16"/>
                <w:szCs w:val="16"/>
              </w:rPr>
              <w:br/>
              <w:t>Patient must have neutrophil dysfunction; AND</w:t>
            </w:r>
            <w:r w:rsidRPr="006D52A9">
              <w:rPr>
                <w:rFonts w:ascii="Arial" w:hAnsi="Arial" w:cs="Arial"/>
                <w:sz w:val="16"/>
                <w:szCs w:val="16"/>
              </w:rPr>
              <w:br/>
              <w:t>Patient must have experienced a life</w:t>
            </w:r>
            <w:r w:rsidR="0026100E">
              <w:rPr>
                <w:rFonts w:ascii="Arial" w:hAnsi="Arial" w:cs="Arial"/>
                <w:sz w:val="16"/>
                <w:szCs w:val="16"/>
              </w:rPr>
              <w:noBreakHyphen/>
            </w:r>
            <w:r w:rsidRPr="006D52A9">
              <w:rPr>
                <w:rFonts w:ascii="Arial" w:hAnsi="Arial" w:cs="Arial"/>
                <w:sz w:val="16"/>
                <w:szCs w:val="16"/>
              </w:rPr>
              <w:t>threatening infectious episode requiring hospitalisation and treatment with intravenous antibiotics in the previous 12 months; OR</w:t>
            </w:r>
            <w:r w:rsidRPr="006D52A9">
              <w:rPr>
                <w:rFonts w:ascii="Arial" w:hAnsi="Arial" w:cs="Arial"/>
                <w:sz w:val="16"/>
                <w:szCs w:val="16"/>
              </w:rPr>
              <w:br/>
              <w:t>Patient must have had at least 3 recurrent clinically significant infections in the previous 12 months.</w:t>
            </w:r>
          </w:p>
        </w:tc>
        <w:tc>
          <w:tcPr>
            <w:tcW w:w="929" w:type="pct"/>
            <w:tcMar>
              <w:top w:w="28" w:type="dxa"/>
              <w:left w:w="28" w:type="dxa"/>
              <w:right w:w="57" w:type="dxa"/>
            </w:tcMar>
          </w:tcPr>
          <w:p w14:paraId="7AAE849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8670</w:t>
            </w:r>
          </w:p>
        </w:tc>
      </w:tr>
      <w:tr w:rsidR="008F47B8" w:rsidRPr="006D52A9" w:rsidDel="006B1D16" w14:paraId="3B1E45DC" w14:textId="77777777" w:rsidTr="00FB6D2D">
        <w:trPr>
          <w:cantSplit/>
        </w:trPr>
        <w:tc>
          <w:tcPr>
            <w:tcW w:w="647" w:type="pct"/>
            <w:tcMar>
              <w:top w:w="28" w:type="dxa"/>
              <w:left w:w="28" w:type="dxa"/>
            </w:tcMar>
          </w:tcPr>
          <w:p w14:paraId="3D3957B0"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5BE5BEF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C8671</w:t>
            </w:r>
          </w:p>
        </w:tc>
        <w:tc>
          <w:tcPr>
            <w:tcW w:w="274" w:type="pct"/>
            <w:tcMar>
              <w:top w:w="28" w:type="dxa"/>
              <w:left w:w="28" w:type="dxa"/>
            </w:tcMar>
          </w:tcPr>
          <w:p w14:paraId="17DC2D9A"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74CE29E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Assisting bone marrow transplantation</w:t>
            </w:r>
            <w:r w:rsidRPr="006D52A9">
              <w:rPr>
                <w:rFonts w:ascii="Arial" w:hAnsi="Arial" w:cs="Arial"/>
                <w:sz w:val="16"/>
                <w:szCs w:val="16"/>
              </w:rPr>
              <w:br/>
              <w:t>Patient must be receiving marrow</w:t>
            </w:r>
            <w:r w:rsidR="0026100E">
              <w:rPr>
                <w:rFonts w:ascii="Arial" w:hAnsi="Arial" w:cs="Arial"/>
                <w:sz w:val="16"/>
                <w:szCs w:val="16"/>
              </w:rPr>
              <w:noBreakHyphen/>
            </w:r>
            <w:r w:rsidRPr="006D52A9">
              <w:rPr>
                <w:rFonts w:ascii="Arial" w:hAnsi="Arial" w:cs="Arial"/>
                <w:sz w:val="16"/>
                <w:szCs w:val="16"/>
              </w:rPr>
              <w:t>ablative chemotherapy prior to the transplantation.</w:t>
            </w:r>
          </w:p>
        </w:tc>
        <w:tc>
          <w:tcPr>
            <w:tcW w:w="929" w:type="pct"/>
            <w:tcMar>
              <w:top w:w="28" w:type="dxa"/>
              <w:left w:w="28" w:type="dxa"/>
              <w:right w:w="57" w:type="dxa"/>
            </w:tcMar>
          </w:tcPr>
          <w:p w14:paraId="242BB07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8671</w:t>
            </w:r>
          </w:p>
        </w:tc>
      </w:tr>
      <w:tr w:rsidR="008F47B8" w:rsidRPr="006D52A9" w:rsidDel="006B1D16" w14:paraId="39BF08D3" w14:textId="77777777" w:rsidTr="00FB6D2D">
        <w:trPr>
          <w:cantSplit/>
        </w:trPr>
        <w:tc>
          <w:tcPr>
            <w:tcW w:w="647" w:type="pct"/>
            <w:tcMar>
              <w:top w:w="28" w:type="dxa"/>
              <w:left w:w="28" w:type="dxa"/>
            </w:tcMar>
          </w:tcPr>
          <w:p w14:paraId="136AE756"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07397CA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C8672</w:t>
            </w:r>
          </w:p>
        </w:tc>
        <w:tc>
          <w:tcPr>
            <w:tcW w:w="274" w:type="pct"/>
            <w:tcMar>
              <w:top w:w="28" w:type="dxa"/>
              <w:left w:w="28" w:type="dxa"/>
            </w:tcMar>
          </w:tcPr>
          <w:p w14:paraId="436ECA4F"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0C541DC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Mobilisation of peripheral blood progenitor cells</w:t>
            </w:r>
            <w:r w:rsidRPr="006D52A9">
              <w:rPr>
                <w:rFonts w:ascii="Arial" w:hAnsi="Arial" w:cs="Arial"/>
                <w:sz w:val="16"/>
                <w:szCs w:val="16"/>
              </w:rPr>
              <w:br/>
              <w:t>The treatment must be to facilitate harvest of peripheral blood progenitor cells for autologous transplantation into a patient with a non</w:t>
            </w:r>
            <w:r w:rsidR="0026100E">
              <w:rPr>
                <w:rFonts w:ascii="Arial" w:hAnsi="Arial" w:cs="Arial"/>
                <w:sz w:val="16"/>
                <w:szCs w:val="16"/>
              </w:rPr>
              <w:noBreakHyphen/>
            </w:r>
            <w:r w:rsidRPr="006D52A9">
              <w:rPr>
                <w:rFonts w:ascii="Arial" w:hAnsi="Arial" w:cs="Arial"/>
                <w:sz w:val="16"/>
                <w:szCs w:val="16"/>
              </w:rPr>
              <w:t>myeloid malignancy who has had myeloablative or myelosuppressive therapy.</w:t>
            </w:r>
          </w:p>
        </w:tc>
        <w:tc>
          <w:tcPr>
            <w:tcW w:w="929" w:type="pct"/>
            <w:tcMar>
              <w:top w:w="28" w:type="dxa"/>
              <w:left w:w="28" w:type="dxa"/>
              <w:right w:w="57" w:type="dxa"/>
            </w:tcMar>
          </w:tcPr>
          <w:p w14:paraId="1207366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8672</w:t>
            </w:r>
          </w:p>
        </w:tc>
      </w:tr>
      <w:tr w:rsidR="008F47B8" w:rsidRPr="006D52A9" w:rsidDel="006B1D16" w14:paraId="7E8A3CFA" w14:textId="77777777" w:rsidTr="00FB6D2D">
        <w:trPr>
          <w:cantSplit/>
        </w:trPr>
        <w:tc>
          <w:tcPr>
            <w:tcW w:w="647" w:type="pct"/>
            <w:tcMar>
              <w:top w:w="28" w:type="dxa"/>
              <w:left w:w="28" w:type="dxa"/>
            </w:tcMar>
          </w:tcPr>
          <w:p w14:paraId="70C266B5"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6CEB28B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C8673</w:t>
            </w:r>
          </w:p>
        </w:tc>
        <w:tc>
          <w:tcPr>
            <w:tcW w:w="274" w:type="pct"/>
            <w:tcMar>
              <w:top w:w="28" w:type="dxa"/>
              <w:left w:w="28" w:type="dxa"/>
            </w:tcMar>
          </w:tcPr>
          <w:p w14:paraId="1485AACE"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66F66ED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cyclical neutropenia</w:t>
            </w:r>
            <w:r w:rsidRPr="006D52A9">
              <w:rPr>
                <w:rFonts w:ascii="Arial" w:hAnsi="Arial" w:cs="Arial"/>
                <w:sz w:val="16"/>
                <w:szCs w:val="16"/>
              </w:rPr>
              <w:br/>
              <w:t>Patient must have an absolute neutrophil count of less than 500 million cells per litre lasting for 3 days per cycle, measured over 3 separate cycles; AND</w:t>
            </w:r>
            <w:r w:rsidRPr="006D52A9">
              <w:rPr>
                <w:rFonts w:ascii="Arial" w:hAnsi="Arial" w:cs="Arial"/>
                <w:sz w:val="16"/>
                <w:szCs w:val="16"/>
              </w:rPr>
              <w:br/>
              <w:t>Patient must have experienced a life</w:t>
            </w:r>
            <w:r w:rsidR="0026100E">
              <w:rPr>
                <w:rFonts w:ascii="Arial" w:hAnsi="Arial" w:cs="Arial"/>
                <w:sz w:val="16"/>
                <w:szCs w:val="16"/>
              </w:rPr>
              <w:noBreakHyphen/>
            </w:r>
            <w:r w:rsidRPr="006D52A9">
              <w:rPr>
                <w:rFonts w:ascii="Arial" w:hAnsi="Arial" w:cs="Arial"/>
                <w:sz w:val="16"/>
                <w:szCs w:val="16"/>
              </w:rPr>
              <w:t>threatening infectious episode requiring hospitalisation and treatment with intravenous antibiotics; OR</w:t>
            </w:r>
            <w:r w:rsidRPr="006D52A9">
              <w:rPr>
                <w:rFonts w:ascii="Arial" w:hAnsi="Arial" w:cs="Arial"/>
                <w:sz w:val="16"/>
                <w:szCs w:val="16"/>
              </w:rPr>
              <w:br/>
              <w:t>Patient must have had at least 3 recurrent clinically significant infections in the previous 12 months.</w:t>
            </w:r>
          </w:p>
        </w:tc>
        <w:tc>
          <w:tcPr>
            <w:tcW w:w="929" w:type="pct"/>
            <w:tcMar>
              <w:top w:w="28" w:type="dxa"/>
              <w:left w:w="28" w:type="dxa"/>
              <w:right w:w="57" w:type="dxa"/>
            </w:tcMar>
          </w:tcPr>
          <w:p w14:paraId="1706E4F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8673</w:t>
            </w:r>
          </w:p>
        </w:tc>
      </w:tr>
      <w:tr w:rsidR="008F47B8" w:rsidRPr="006D52A9" w:rsidDel="006B1D16" w14:paraId="43A0BDE8" w14:textId="77777777" w:rsidTr="00FB6D2D">
        <w:trPr>
          <w:cantSplit/>
        </w:trPr>
        <w:tc>
          <w:tcPr>
            <w:tcW w:w="647" w:type="pct"/>
            <w:tcMar>
              <w:top w:w="28" w:type="dxa"/>
              <w:left w:w="28" w:type="dxa"/>
            </w:tcMar>
          </w:tcPr>
          <w:p w14:paraId="185248F2"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27C524C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C8674</w:t>
            </w:r>
          </w:p>
        </w:tc>
        <w:tc>
          <w:tcPr>
            <w:tcW w:w="274" w:type="pct"/>
            <w:tcMar>
              <w:top w:w="28" w:type="dxa"/>
              <w:left w:w="28" w:type="dxa"/>
            </w:tcMar>
          </w:tcPr>
          <w:p w14:paraId="512107B0"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7B30CE8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rFonts w:ascii="Arial" w:hAnsi="Arial" w:cs="Arial"/>
                <w:sz w:val="16"/>
                <w:szCs w:val="16"/>
              </w:rPr>
              <w:br/>
              <w:t>Patient must be receiving chemotherapy with the intention of achieving a cure or a substantial remission; AND</w:t>
            </w:r>
            <w:r w:rsidRPr="006D52A9">
              <w:rPr>
                <w:rFonts w:ascii="Arial" w:hAnsi="Arial" w:cs="Arial"/>
                <w:sz w:val="16"/>
                <w:szCs w:val="16"/>
              </w:rPr>
              <w:br/>
              <w:t>Patient must be at greater than 20% risk of developing febrile neutropenia; OR</w:t>
            </w:r>
            <w:r w:rsidRPr="006D52A9">
              <w:rPr>
                <w:rFonts w:ascii="Arial" w:hAnsi="Arial" w:cs="Arial"/>
                <w:sz w:val="16"/>
                <w:szCs w:val="16"/>
              </w:rPr>
              <w:br/>
              <w:t>Patient must be at substantial risk (greater than 20%) of prolonged severe neutropenia for more than or equal to seven days.</w:t>
            </w:r>
          </w:p>
        </w:tc>
        <w:tc>
          <w:tcPr>
            <w:tcW w:w="929" w:type="pct"/>
            <w:tcMar>
              <w:top w:w="28" w:type="dxa"/>
              <w:left w:w="28" w:type="dxa"/>
              <w:right w:w="57" w:type="dxa"/>
            </w:tcMar>
          </w:tcPr>
          <w:p w14:paraId="1A6F872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8674</w:t>
            </w:r>
          </w:p>
        </w:tc>
      </w:tr>
      <w:tr w:rsidR="008F47B8" w:rsidRPr="006D52A9" w:rsidDel="006B1D16" w14:paraId="6F1A1F4B" w14:textId="77777777" w:rsidTr="00FB6D2D">
        <w:trPr>
          <w:cantSplit/>
        </w:trPr>
        <w:tc>
          <w:tcPr>
            <w:tcW w:w="647" w:type="pct"/>
            <w:tcMar>
              <w:top w:w="28" w:type="dxa"/>
              <w:left w:w="28" w:type="dxa"/>
            </w:tcMar>
          </w:tcPr>
          <w:p w14:paraId="08A245DA" w14:textId="77777777" w:rsidR="008F47B8" w:rsidRPr="006D52A9" w:rsidDel="006B1D16" w:rsidRDefault="008F47B8" w:rsidP="00FB6D2D">
            <w:pPr>
              <w:spacing w:line="240" w:lineRule="auto"/>
              <w:rPr>
                <w:rFonts w:ascii="Arial" w:hAnsi="Arial" w:cs="Arial"/>
                <w:sz w:val="16"/>
                <w:szCs w:val="16"/>
              </w:rPr>
            </w:pPr>
          </w:p>
        </w:tc>
        <w:tc>
          <w:tcPr>
            <w:tcW w:w="283" w:type="pct"/>
            <w:tcMar>
              <w:top w:w="28" w:type="dxa"/>
              <w:left w:w="28" w:type="dxa"/>
            </w:tcMar>
          </w:tcPr>
          <w:p w14:paraId="545E642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C8696</w:t>
            </w:r>
          </w:p>
        </w:tc>
        <w:tc>
          <w:tcPr>
            <w:tcW w:w="274" w:type="pct"/>
            <w:tcMar>
              <w:top w:w="28" w:type="dxa"/>
              <w:left w:w="28" w:type="dxa"/>
            </w:tcMar>
          </w:tcPr>
          <w:p w14:paraId="44343F13" w14:textId="77777777" w:rsidR="008F47B8" w:rsidRPr="006D52A9" w:rsidDel="006B1D16" w:rsidRDefault="008F47B8" w:rsidP="00FB6D2D">
            <w:pPr>
              <w:spacing w:line="240" w:lineRule="auto"/>
              <w:rPr>
                <w:rFonts w:ascii="Arial" w:hAnsi="Arial" w:cs="Arial"/>
                <w:sz w:val="16"/>
                <w:szCs w:val="16"/>
              </w:rPr>
            </w:pPr>
          </w:p>
        </w:tc>
        <w:tc>
          <w:tcPr>
            <w:tcW w:w="2867" w:type="pct"/>
            <w:tcMar>
              <w:top w:w="28" w:type="dxa"/>
              <w:left w:w="28" w:type="dxa"/>
            </w:tcMar>
          </w:tcPr>
          <w:p w14:paraId="236483C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Assisting autologous peripheral blood progenitor cell transplantation</w:t>
            </w:r>
            <w:r w:rsidRPr="006D52A9">
              <w:rPr>
                <w:rFonts w:ascii="Arial" w:hAnsi="Arial" w:cs="Arial"/>
                <w:sz w:val="16"/>
                <w:szCs w:val="16"/>
              </w:rPr>
              <w:br/>
              <w:t>The treatment must be following marrow</w:t>
            </w:r>
            <w:r w:rsidR="0026100E">
              <w:rPr>
                <w:rFonts w:ascii="Arial" w:hAnsi="Arial" w:cs="Arial"/>
                <w:sz w:val="16"/>
                <w:szCs w:val="16"/>
              </w:rPr>
              <w:noBreakHyphen/>
            </w:r>
            <w:r w:rsidRPr="006D52A9">
              <w:rPr>
                <w:rFonts w:ascii="Arial" w:hAnsi="Arial" w:cs="Arial"/>
                <w:sz w:val="16"/>
                <w:szCs w:val="16"/>
              </w:rPr>
              <w:t>ablative chemotherapy for non</w:t>
            </w:r>
            <w:r w:rsidR="0026100E">
              <w:rPr>
                <w:rFonts w:ascii="Arial" w:hAnsi="Arial" w:cs="Arial"/>
                <w:sz w:val="16"/>
                <w:szCs w:val="16"/>
              </w:rPr>
              <w:noBreakHyphen/>
            </w:r>
            <w:r w:rsidRPr="006D52A9">
              <w:rPr>
                <w:rFonts w:ascii="Arial" w:hAnsi="Arial" w:cs="Arial"/>
                <w:sz w:val="16"/>
                <w:szCs w:val="16"/>
              </w:rPr>
              <w:t>myeloid malignancy prior to the transplantation.</w:t>
            </w:r>
          </w:p>
        </w:tc>
        <w:tc>
          <w:tcPr>
            <w:tcW w:w="929" w:type="pct"/>
            <w:tcMar>
              <w:top w:w="28" w:type="dxa"/>
              <w:left w:w="28" w:type="dxa"/>
              <w:right w:w="57" w:type="dxa"/>
            </w:tcMar>
          </w:tcPr>
          <w:p w14:paraId="621F8AB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8696</w:t>
            </w:r>
          </w:p>
        </w:tc>
      </w:tr>
      <w:tr w:rsidR="008F47B8" w:rsidRPr="006D52A9" w:rsidDel="0015124D" w14:paraId="1CBE905A" w14:textId="77777777" w:rsidTr="00FB6D2D">
        <w:tblPrEx>
          <w:tblLook w:val="01E0" w:firstRow="1" w:lastRow="1" w:firstColumn="1" w:lastColumn="1" w:noHBand="0" w:noVBand="0"/>
        </w:tblPrEx>
        <w:tc>
          <w:tcPr>
            <w:tcW w:w="647" w:type="pct"/>
            <w:tcMar>
              <w:top w:w="28" w:type="dxa"/>
              <w:left w:w="28" w:type="dxa"/>
            </w:tcMar>
          </w:tcPr>
          <w:p w14:paraId="582F67A5" w14:textId="77777777" w:rsidR="008F47B8" w:rsidRPr="006D52A9" w:rsidDel="0015124D" w:rsidRDefault="008F47B8" w:rsidP="00FB6D2D">
            <w:pPr>
              <w:spacing w:line="240" w:lineRule="auto"/>
              <w:rPr>
                <w:rFonts w:ascii="Arial" w:hAnsi="Arial" w:cs="Arial"/>
                <w:sz w:val="16"/>
                <w:szCs w:val="16"/>
              </w:rPr>
            </w:pPr>
            <w:bookmarkStart w:id="123" w:name="CU_178371207"/>
            <w:bookmarkStart w:id="124" w:name="CU_185374818"/>
            <w:bookmarkStart w:id="125" w:name="CU_193377275"/>
            <w:bookmarkStart w:id="126" w:name="CU_200380240"/>
            <w:bookmarkStart w:id="127" w:name="CU_206383840"/>
            <w:bookmarkStart w:id="128" w:name="CU_213386914"/>
            <w:bookmarkStart w:id="129" w:name="CU_219389013"/>
            <w:bookmarkEnd w:id="123"/>
            <w:bookmarkEnd w:id="124"/>
            <w:bookmarkEnd w:id="125"/>
            <w:bookmarkEnd w:id="126"/>
            <w:bookmarkEnd w:id="127"/>
            <w:bookmarkEnd w:id="128"/>
            <w:bookmarkEnd w:id="129"/>
            <w:r w:rsidRPr="006D52A9">
              <w:rPr>
                <w:rFonts w:ascii="Arial" w:hAnsi="Arial" w:cs="Arial"/>
                <w:sz w:val="16"/>
                <w:szCs w:val="16"/>
              </w:rPr>
              <w:t>Fosamprenavir</w:t>
            </w:r>
          </w:p>
        </w:tc>
        <w:tc>
          <w:tcPr>
            <w:tcW w:w="283" w:type="pct"/>
            <w:tcMar>
              <w:top w:w="28" w:type="dxa"/>
              <w:left w:w="28" w:type="dxa"/>
            </w:tcMar>
          </w:tcPr>
          <w:p w14:paraId="2DA81842"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tcMar>
              <w:top w:w="28" w:type="dxa"/>
              <w:left w:w="28" w:type="dxa"/>
            </w:tcMar>
          </w:tcPr>
          <w:p w14:paraId="24B7645C" w14:textId="77777777" w:rsidR="008F47B8" w:rsidRPr="006D52A9" w:rsidDel="0015124D"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2A91E2BB" w14:textId="77777777" w:rsidR="008F47B8" w:rsidRPr="006D52A9" w:rsidRDefault="008F47B8" w:rsidP="00FB6D2D">
            <w:pPr>
              <w:pStyle w:val="mps3-data"/>
              <w:spacing w:before="0"/>
              <w:rPr>
                <w:szCs w:val="16"/>
              </w:rPr>
            </w:pPr>
            <w:r w:rsidRPr="006D52A9">
              <w:rPr>
                <w:szCs w:val="16"/>
              </w:rPr>
              <w:t>HIV infection</w:t>
            </w:r>
            <w:r w:rsidRPr="006D52A9">
              <w:rPr>
                <w:szCs w:val="16"/>
              </w:rPr>
              <w:br/>
              <w:t>Continuing</w:t>
            </w:r>
          </w:p>
          <w:p w14:paraId="39B3FA73"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tcMar>
              <w:top w:w="28" w:type="dxa"/>
              <w:left w:w="28" w:type="dxa"/>
              <w:right w:w="57" w:type="dxa"/>
            </w:tcMar>
          </w:tcPr>
          <w:p w14:paraId="489BD170"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15124D" w14:paraId="20090AA3" w14:textId="77777777" w:rsidTr="00FB6D2D">
        <w:tblPrEx>
          <w:tblLook w:val="01E0" w:firstRow="1" w:lastRow="1" w:firstColumn="1" w:lastColumn="1" w:noHBand="0" w:noVBand="0"/>
        </w:tblPrEx>
        <w:tc>
          <w:tcPr>
            <w:tcW w:w="647" w:type="pct"/>
            <w:tcMar>
              <w:top w:w="28" w:type="dxa"/>
              <w:left w:w="28" w:type="dxa"/>
            </w:tcMar>
          </w:tcPr>
          <w:p w14:paraId="55B49E4B" w14:textId="77777777" w:rsidR="008F47B8" w:rsidRPr="006D52A9" w:rsidDel="0015124D" w:rsidRDefault="008F47B8" w:rsidP="00FB6D2D">
            <w:pPr>
              <w:spacing w:line="240" w:lineRule="auto"/>
              <w:rPr>
                <w:rFonts w:ascii="Arial" w:hAnsi="Arial" w:cs="Arial"/>
                <w:sz w:val="16"/>
                <w:szCs w:val="16"/>
              </w:rPr>
            </w:pPr>
          </w:p>
        </w:tc>
        <w:tc>
          <w:tcPr>
            <w:tcW w:w="283" w:type="pct"/>
            <w:tcMar>
              <w:top w:w="28" w:type="dxa"/>
              <w:left w:w="28" w:type="dxa"/>
            </w:tcMar>
          </w:tcPr>
          <w:p w14:paraId="0D2975AC"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tcMar>
              <w:top w:w="28" w:type="dxa"/>
              <w:left w:w="28" w:type="dxa"/>
            </w:tcMar>
          </w:tcPr>
          <w:p w14:paraId="0A93F379" w14:textId="77777777" w:rsidR="008F47B8" w:rsidRPr="006D52A9" w:rsidDel="0015124D" w:rsidRDefault="008F47B8" w:rsidP="00FB6D2D">
            <w:pPr>
              <w:spacing w:line="240" w:lineRule="auto"/>
              <w:rPr>
                <w:rFonts w:ascii="Arial" w:hAnsi="Arial" w:cs="Arial"/>
                <w:sz w:val="16"/>
                <w:szCs w:val="16"/>
              </w:rPr>
            </w:pPr>
          </w:p>
        </w:tc>
        <w:tc>
          <w:tcPr>
            <w:tcW w:w="2867" w:type="pct"/>
            <w:tcMar>
              <w:top w:w="28" w:type="dxa"/>
              <w:left w:w="28" w:type="dxa"/>
              <w:right w:w="57" w:type="dxa"/>
            </w:tcMar>
          </w:tcPr>
          <w:p w14:paraId="68F00DF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5C54D8F4"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tcMar>
              <w:top w:w="28" w:type="dxa"/>
              <w:left w:w="28" w:type="dxa"/>
              <w:right w:w="57" w:type="dxa"/>
            </w:tcMar>
          </w:tcPr>
          <w:p w14:paraId="3E13FE21" w14:textId="77777777" w:rsidR="008F47B8" w:rsidRPr="006D52A9" w:rsidDel="0015124D"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024299" w14:paraId="3690D711" w14:textId="77777777" w:rsidTr="00FB6D2D">
        <w:tc>
          <w:tcPr>
            <w:tcW w:w="647" w:type="pct"/>
            <w:tcMar>
              <w:top w:w="28" w:type="dxa"/>
              <w:left w:w="28" w:type="dxa"/>
            </w:tcMar>
          </w:tcPr>
          <w:p w14:paraId="15E9D01B" w14:textId="77777777" w:rsidR="008F47B8" w:rsidRPr="006D52A9" w:rsidDel="00024299" w:rsidRDefault="008F47B8" w:rsidP="00FB6D2D">
            <w:pPr>
              <w:spacing w:line="240" w:lineRule="auto"/>
              <w:rPr>
                <w:rFonts w:ascii="Arial" w:hAnsi="Arial" w:cs="Arial"/>
                <w:sz w:val="16"/>
                <w:szCs w:val="16"/>
              </w:rPr>
            </w:pPr>
            <w:bookmarkStart w:id="130" w:name="CU_226391096"/>
            <w:bookmarkEnd w:id="130"/>
            <w:r w:rsidRPr="006D52A9">
              <w:rPr>
                <w:rFonts w:ascii="Arial" w:hAnsi="Arial" w:cs="Arial"/>
                <w:sz w:val="16"/>
                <w:szCs w:val="16"/>
              </w:rPr>
              <w:t>Ganciclovir</w:t>
            </w:r>
          </w:p>
        </w:tc>
        <w:tc>
          <w:tcPr>
            <w:tcW w:w="283" w:type="pct"/>
            <w:tcMar>
              <w:top w:w="28" w:type="dxa"/>
              <w:left w:w="28" w:type="dxa"/>
            </w:tcMar>
          </w:tcPr>
          <w:p w14:paraId="45E15AD3"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C4972</w:t>
            </w:r>
          </w:p>
        </w:tc>
        <w:tc>
          <w:tcPr>
            <w:tcW w:w="274" w:type="pct"/>
            <w:tcMar>
              <w:top w:w="28" w:type="dxa"/>
              <w:left w:w="28" w:type="dxa"/>
            </w:tcMar>
          </w:tcPr>
          <w:p w14:paraId="71662146" w14:textId="77777777" w:rsidR="008F47B8" w:rsidRPr="006D52A9" w:rsidDel="00024299" w:rsidRDefault="008F47B8" w:rsidP="00FB6D2D">
            <w:pPr>
              <w:spacing w:line="240" w:lineRule="auto"/>
              <w:rPr>
                <w:rFonts w:ascii="Arial" w:hAnsi="Arial" w:cs="Arial"/>
                <w:sz w:val="16"/>
                <w:szCs w:val="16"/>
              </w:rPr>
            </w:pPr>
          </w:p>
        </w:tc>
        <w:tc>
          <w:tcPr>
            <w:tcW w:w="2867" w:type="pct"/>
            <w:tcMar>
              <w:top w:w="28" w:type="dxa"/>
              <w:left w:w="28" w:type="dxa"/>
            </w:tcMar>
          </w:tcPr>
          <w:p w14:paraId="76176559"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Cytomegalovirus disease</w:t>
            </w:r>
            <w:r w:rsidRPr="006D52A9">
              <w:rPr>
                <w:rFonts w:ascii="Arial" w:hAnsi="Arial" w:cs="Arial"/>
                <w:sz w:val="16"/>
                <w:szCs w:val="16"/>
              </w:rPr>
              <w:br/>
              <w:t>Prophylaxis</w:t>
            </w:r>
            <w:r w:rsidRPr="006D52A9">
              <w:rPr>
                <w:rFonts w:ascii="Arial" w:hAnsi="Arial" w:cs="Arial"/>
                <w:sz w:val="16"/>
                <w:szCs w:val="16"/>
              </w:rPr>
              <w:br/>
              <w:t>Patient must be a bone marrow transplant recipient at risk of cytomegalovirus disease.</w:t>
            </w:r>
          </w:p>
        </w:tc>
        <w:tc>
          <w:tcPr>
            <w:tcW w:w="929" w:type="pct"/>
            <w:tcMar>
              <w:top w:w="28" w:type="dxa"/>
              <w:left w:w="28" w:type="dxa"/>
              <w:right w:w="57" w:type="dxa"/>
            </w:tcMar>
            <w:vAlign w:val="center"/>
          </w:tcPr>
          <w:p w14:paraId="7A980F53"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4972</w:t>
            </w:r>
          </w:p>
        </w:tc>
      </w:tr>
      <w:tr w:rsidR="008F47B8" w:rsidRPr="006D52A9" w:rsidDel="00024299" w14:paraId="50ADF61D" w14:textId="77777777" w:rsidTr="00FB6D2D">
        <w:tc>
          <w:tcPr>
            <w:tcW w:w="647" w:type="pct"/>
            <w:tcMar>
              <w:top w:w="28" w:type="dxa"/>
              <w:left w:w="28" w:type="dxa"/>
            </w:tcMar>
          </w:tcPr>
          <w:p w14:paraId="6D978103" w14:textId="77777777" w:rsidR="008F47B8" w:rsidRPr="006D52A9" w:rsidDel="00024299" w:rsidRDefault="008F47B8" w:rsidP="00FB6D2D">
            <w:pPr>
              <w:spacing w:line="240" w:lineRule="auto"/>
              <w:rPr>
                <w:rFonts w:ascii="Arial" w:hAnsi="Arial" w:cs="Arial"/>
                <w:sz w:val="16"/>
                <w:szCs w:val="16"/>
              </w:rPr>
            </w:pPr>
          </w:p>
        </w:tc>
        <w:tc>
          <w:tcPr>
            <w:tcW w:w="283" w:type="pct"/>
            <w:tcMar>
              <w:top w:w="28" w:type="dxa"/>
              <w:left w:w="28" w:type="dxa"/>
            </w:tcMar>
          </w:tcPr>
          <w:p w14:paraId="683D481F"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C4999</w:t>
            </w:r>
          </w:p>
        </w:tc>
        <w:tc>
          <w:tcPr>
            <w:tcW w:w="274" w:type="pct"/>
            <w:tcMar>
              <w:top w:w="28" w:type="dxa"/>
              <w:left w:w="28" w:type="dxa"/>
            </w:tcMar>
          </w:tcPr>
          <w:p w14:paraId="1204CD2B" w14:textId="77777777" w:rsidR="008F47B8" w:rsidRPr="006D52A9" w:rsidDel="00024299" w:rsidRDefault="008F47B8" w:rsidP="00FB6D2D">
            <w:pPr>
              <w:spacing w:line="240" w:lineRule="auto"/>
              <w:rPr>
                <w:rFonts w:ascii="Arial" w:hAnsi="Arial" w:cs="Arial"/>
                <w:sz w:val="16"/>
                <w:szCs w:val="16"/>
              </w:rPr>
            </w:pPr>
          </w:p>
        </w:tc>
        <w:tc>
          <w:tcPr>
            <w:tcW w:w="2867" w:type="pct"/>
            <w:tcMar>
              <w:top w:w="28" w:type="dxa"/>
              <w:left w:w="28" w:type="dxa"/>
            </w:tcMar>
            <w:vAlign w:val="center"/>
          </w:tcPr>
          <w:p w14:paraId="5D3FA06B"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Cytomegalovirus disease</w:t>
            </w:r>
            <w:r w:rsidRPr="006D52A9">
              <w:rPr>
                <w:rFonts w:ascii="Arial" w:hAnsi="Arial" w:cs="Arial"/>
                <w:sz w:val="16"/>
                <w:szCs w:val="16"/>
              </w:rPr>
              <w:br/>
              <w:t>Prophylaxis</w:t>
            </w:r>
            <w:r w:rsidRPr="006D52A9">
              <w:rPr>
                <w:rFonts w:ascii="Arial" w:hAnsi="Arial" w:cs="Arial"/>
                <w:sz w:val="16"/>
                <w:szCs w:val="16"/>
              </w:rPr>
              <w:br/>
              <w:t>Patient must be a solid organ transplant recipient at risk of cytomegalovirus disease.</w:t>
            </w:r>
          </w:p>
        </w:tc>
        <w:tc>
          <w:tcPr>
            <w:tcW w:w="929" w:type="pct"/>
            <w:tcMar>
              <w:top w:w="28" w:type="dxa"/>
              <w:left w:w="28" w:type="dxa"/>
              <w:right w:w="57" w:type="dxa"/>
            </w:tcMar>
            <w:vAlign w:val="center"/>
          </w:tcPr>
          <w:p w14:paraId="6CFA12BE"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4999</w:t>
            </w:r>
          </w:p>
        </w:tc>
      </w:tr>
      <w:tr w:rsidR="008F47B8" w:rsidRPr="006D52A9" w:rsidDel="00024299" w14:paraId="31631DF5" w14:textId="77777777" w:rsidTr="00FB6D2D">
        <w:tc>
          <w:tcPr>
            <w:tcW w:w="647" w:type="pct"/>
            <w:tcMar>
              <w:top w:w="28" w:type="dxa"/>
              <w:left w:w="28" w:type="dxa"/>
            </w:tcMar>
          </w:tcPr>
          <w:p w14:paraId="3CC79060" w14:textId="77777777" w:rsidR="008F47B8" w:rsidRPr="006D52A9" w:rsidDel="00024299" w:rsidRDefault="008F47B8" w:rsidP="00FB6D2D">
            <w:pPr>
              <w:spacing w:line="240" w:lineRule="auto"/>
              <w:rPr>
                <w:rFonts w:ascii="Arial" w:hAnsi="Arial" w:cs="Arial"/>
                <w:sz w:val="16"/>
                <w:szCs w:val="16"/>
              </w:rPr>
            </w:pPr>
          </w:p>
        </w:tc>
        <w:tc>
          <w:tcPr>
            <w:tcW w:w="283" w:type="pct"/>
            <w:tcMar>
              <w:top w:w="28" w:type="dxa"/>
              <w:left w:w="28" w:type="dxa"/>
            </w:tcMar>
          </w:tcPr>
          <w:p w14:paraId="4EFA848C"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C5000</w:t>
            </w:r>
          </w:p>
        </w:tc>
        <w:tc>
          <w:tcPr>
            <w:tcW w:w="274" w:type="pct"/>
            <w:tcMar>
              <w:top w:w="28" w:type="dxa"/>
              <w:left w:w="28" w:type="dxa"/>
            </w:tcMar>
          </w:tcPr>
          <w:p w14:paraId="7BBBC83F" w14:textId="77777777" w:rsidR="008F47B8" w:rsidRPr="006D52A9" w:rsidDel="00024299" w:rsidRDefault="008F47B8" w:rsidP="00FB6D2D">
            <w:pPr>
              <w:spacing w:line="240" w:lineRule="auto"/>
              <w:rPr>
                <w:rFonts w:ascii="Arial" w:hAnsi="Arial" w:cs="Arial"/>
                <w:sz w:val="16"/>
                <w:szCs w:val="16"/>
              </w:rPr>
            </w:pPr>
          </w:p>
        </w:tc>
        <w:tc>
          <w:tcPr>
            <w:tcW w:w="2867" w:type="pct"/>
            <w:tcMar>
              <w:top w:w="28" w:type="dxa"/>
              <w:left w:w="28" w:type="dxa"/>
            </w:tcMar>
          </w:tcPr>
          <w:p w14:paraId="6DFE0D79"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Cytomegalovirus retinitis</w:t>
            </w:r>
            <w:r w:rsidRPr="006D52A9">
              <w:rPr>
                <w:rFonts w:ascii="Arial" w:hAnsi="Arial" w:cs="Arial"/>
                <w:sz w:val="16"/>
                <w:szCs w:val="16"/>
              </w:rPr>
              <w:br/>
              <w:t>Patient must be severely immunocompromised, including due to HIV infection.</w:t>
            </w:r>
          </w:p>
        </w:tc>
        <w:tc>
          <w:tcPr>
            <w:tcW w:w="929" w:type="pct"/>
            <w:tcMar>
              <w:top w:w="28" w:type="dxa"/>
              <w:left w:w="28" w:type="dxa"/>
              <w:right w:w="57" w:type="dxa"/>
            </w:tcMar>
          </w:tcPr>
          <w:p w14:paraId="4657CD13"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5000</w:t>
            </w:r>
          </w:p>
        </w:tc>
      </w:tr>
      <w:tr w:rsidR="008F47B8" w:rsidRPr="006D52A9" w:rsidDel="00AF5F81" w14:paraId="3CD89161" w14:textId="77777777" w:rsidTr="00FB6D2D">
        <w:tc>
          <w:tcPr>
            <w:tcW w:w="647" w:type="pct"/>
            <w:tcMar>
              <w:top w:w="28" w:type="dxa"/>
              <w:left w:w="28" w:type="dxa"/>
            </w:tcMar>
          </w:tcPr>
          <w:p w14:paraId="4281017E" w14:textId="77777777" w:rsidR="008F47B8" w:rsidRPr="006D52A9" w:rsidDel="00AF5F81" w:rsidRDefault="008F47B8" w:rsidP="00FB6D2D">
            <w:pPr>
              <w:spacing w:line="240" w:lineRule="auto"/>
              <w:rPr>
                <w:rFonts w:ascii="Arial" w:hAnsi="Arial" w:cs="Arial"/>
                <w:sz w:val="16"/>
                <w:szCs w:val="16"/>
              </w:rPr>
            </w:pPr>
          </w:p>
        </w:tc>
        <w:tc>
          <w:tcPr>
            <w:tcW w:w="283" w:type="pct"/>
            <w:tcMar>
              <w:top w:w="28" w:type="dxa"/>
              <w:left w:w="28" w:type="dxa"/>
            </w:tcMar>
          </w:tcPr>
          <w:p w14:paraId="6A230F2B"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C9404</w:t>
            </w:r>
          </w:p>
        </w:tc>
        <w:tc>
          <w:tcPr>
            <w:tcW w:w="274" w:type="pct"/>
            <w:tcMar>
              <w:top w:w="28" w:type="dxa"/>
              <w:left w:w="28" w:type="dxa"/>
            </w:tcMar>
          </w:tcPr>
          <w:p w14:paraId="5E09E100" w14:textId="77777777" w:rsidR="008F47B8" w:rsidRPr="006D52A9" w:rsidDel="00AF5F81" w:rsidRDefault="008F47B8" w:rsidP="00FB6D2D">
            <w:pPr>
              <w:spacing w:line="240" w:lineRule="auto"/>
              <w:rPr>
                <w:rFonts w:ascii="Arial" w:hAnsi="Arial" w:cs="Arial"/>
                <w:sz w:val="16"/>
                <w:szCs w:val="16"/>
              </w:rPr>
            </w:pPr>
          </w:p>
        </w:tc>
        <w:tc>
          <w:tcPr>
            <w:tcW w:w="2867" w:type="pct"/>
            <w:tcMar>
              <w:top w:w="28" w:type="dxa"/>
              <w:left w:w="28" w:type="dxa"/>
            </w:tcMar>
          </w:tcPr>
          <w:p w14:paraId="3C09AAEC"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Cytomegalovirus disease</w:t>
            </w:r>
            <w:r w:rsidRPr="006D52A9">
              <w:rPr>
                <w:rFonts w:ascii="Arial" w:hAnsi="Arial" w:cs="Arial"/>
                <w:sz w:val="16"/>
                <w:szCs w:val="16"/>
              </w:rPr>
              <w:br/>
              <w:t>Prophylaxis</w:t>
            </w:r>
            <w:r w:rsidRPr="006D52A9">
              <w:rPr>
                <w:rFonts w:ascii="Arial" w:hAnsi="Arial" w:cs="Arial"/>
                <w:sz w:val="16"/>
                <w:szCs w:val="16"/>
              </w:rPr>
              <w:br/>
              <w:t>Patient must be a bone marrow transplant recipient at risk of cytomegalovirus disease.</w:t>
            </w:r>
          </w:p>
        </w:tc>
        <w:tc>
          <w:tcPr>
            <w:tcW w:w="929" w:type="pct"/>
            <w:tcMar>
              <w:top w:w="28" w:type="dxa"/>
              <w:left w:w="28" w:type="dxa"/>
              <w:right w:w="57" w:type="dxa"/>
            </w:tcMar>
          </w:tcPr>
          <w:p w14:paraId="59EEE51E"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9404</w:t>
            </w:r>
          </w:p>
        </w:tc>
      </w:tr>
      <w:tr w:rsidR="008F47B8" w:rsidRPr="006D52A9" w:rsidDel="00AF5F81" w14:paraId="42579B75" w14:textId="77777777" w:rsidTr="00FB6D2D">
        <w:tc>
          <w:tcPr>
            <w:tcW w:w="647" w:type="pct"/>
            <w:tcMar>
              <w:top w:w="28" w:type="dxa"/>
              <w:left w:w="28" w:type="dxa"/>
            </w:tcMar>
          </w:tcPr>
          <w:p w14:paraId="5B4E1C24" w14:textId="77777777" w:rsidR="008F47B8" w:rsidRPr="006D52A9" w:rsidDel="00AF5F81" w:rsidRDefault="008F47B8" w:rsidP="00FB6D2D">
            <w:pPr>
              <w:spacing w:line="240" w:lineRule="auto"/>
              <w:rPr>
                <w:rFonts w:ascii="Arial" w:hAnsi="Arial" w:cs="Arial"/>
                <w:sz w:val="16"/>
                <w:szCs w:val="16"/>
              </w:rPr>
            </w:pPr>
          </w:p>
        </w:tc>
        <w:tc>
          <w:tcPr>
            <w:tcW w:w="283" w:type="pct"/>
            <w:tcMar>
              <w:top w:w="28" w:type="dxa"/>
              <w:left w:w="28" w:type="dxa"/>
            </w:tcMar>
          </w:tcPr>
          <w:p w14:paraId="5E9A6C1D"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C9526</w:t>
            </w:r>
          </w:p>
        </w:tc>
        <w:tc>
          <w:tcPr>
            <w:tcW w:w="274" w:type="pct"/>
            <w:tcMar>
              <w:top w:w="28" w:type="dxa"/>
              <w:left w:w="28" w:type="dxa"/>
            </w:tcMar>
          </w:tcPr>
          <w:p w14:paraId="653288F9" w14:textId="77777777" w:rsidR="008F47B8" w:rsidRPr="006D52A9" w:rsidDel="00AF5F81" w:rsidRDefault="008F47B8" w:rsidP="00FB6D2D">
            <w:pPr>
              <w:spacing w:line="240" w:lineRule="auto"/>
              <w:rPr>
                <w:rFonts w:ascii="Arial" w:hAnsi="Arial" w:cs="Arial"/>
                <w:sz w:val="16"/>
                <w:szCs w:val="16"/>
              </w:rPr>
            </w:pPr>
          </w:p>
        </w:tc>
        <w:tc>
          <w:tcPr>
            <w:tcW w:w="2867" w:type="pct"/>
            <w:tcMar>
              <w:top w:w="28" w:type="dxa"/>
              <w:left w:w="28" w:type="dxa"/>
            </w:tcMar>
          </w:tcPr>
          <w:p w14:paraId="5EBD9CA2"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Cytomegalovirus disease</w:t>
            </w:r>
            <w:r w:rsidRPr="006D52A9">
              <w:rPr>
                <w:rFonts w:ascii="Arial" w:hAnsi="Arial" w:cs="Arial"/>
                <w:sz w:val="16"/>
                <w:szCs w:val="16"/>
              </w:rPr>
              <w:br/>
              <w:t>Prophylaxis</w:t>
            </w:r>
            <w:r w:rsidRPr="006D52A9">
              <w:rPr>
                <w:rFonts w:ascii="Arial" w:hAnsi="Arial" w:cs="Arial"/>
                <w:sz w:val="16"/>
                <w:szCs w:val="16"/>
              </w:rPr>
              <w:br/>
              <w:t>Patient must be a solid organ transplant recipient at risk of cytomegalovirus disease.</w:t>
            </w:r>
          </w:p>
        </w:tc>
        <w:tc>
          <w:tcPr>
            <w:tcW w:w="929" w:type="pct"/>
            <w:tcMar>
              <w:top w:w="28" w:type="dxa"/>
              <w:left w:w="28" w:type="dxa"/>
              <w:right w:w="57" w:type="dxa"/>
            </w:tcMar>
          </w:tcPr>
          <w:p w14:paraId="2B2EED70" w14:textId="77777777" w:rsidR="008F47B8" w:rsidRPr="006D52A9" w:rsidDel="00AF5F81"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9526</w:t>
            </w:r>
          </w:p>
        </w:tc>
      </w:tr>
      <w:tr w:rsidR="008F47B8" w:rsidRPr="006D52A9" w:rsidDel="00024299" w14:paraId="424C1D64" w14:textId="77777777" w:rsidTr="00FB6D2D">
        <w:tc>
          <w:tcPr>
            <w:tcW w:w="647" w:type="pct"/>
            <w:tcMar>
              <w:top w:w="28" w:type="dxa"/>
              <w:left w:w="28" w:type="dxa"/>
            </w:tcMar>
          </w:tcPr>
          <w:p w14:paraId="35F3B311"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lastRenderedPageBreak/>
              <w:t>Glecaprevir with pibrentasvir</w:t>
            </w:r>
          </w:p>
        </w:tc>
        <w:tc>
          <w:tcPr>
            <w:tcW w:w="283" w:type="pct"/>
            <w:tcMar>
              <w:top w:w="28" w:type="dxa"/>
              <w:left w:w="28" w:type="dxa"/>
            </w:tcMar>
          </w:tcPr>
          <w:p w14:paraId="61296BA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C7593</w:t>
            </w:r>
          </w:p>
        </w:tc>
        <w:tc>
          <w:tcPr>
            <w:tcW w:w="274" w:type="pct"/>
            <w:tcMar>
              <w:top w:w="28" w:type="dxa"/>
              <w:left w:w="28" w:type="dxa"/>
            </w:tcMar>
          </w:tcPr>
          <w:p w14:paraId="0D144675"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P7593</w:t>
            </w:r>
          </w:p>
        </w:tc>
        <w:tc>
          <w:tcPr>
            <w:tcW w:w="2867" w:type="pct"/>
            <w:tcMar>
              <w:top w:w="28" w:type="dxa"/>
              <w:left w:w="28" w:type="dxa"/>
            </w:tcMar>
          </w:tcPr>
          <w:p w14:paraId="5DDFA6FB"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Chronic hepatitis C infection</w:t>
            </w:r>
          </w:p>
          <w:p w14:paraId="6815D907" w14:textId="77777777" w:rsidR="008F47B8" w:rsidRPr="006D52A9" w:rsidRDefault="008F47B8" w:rsidP="00FB6D2D">
            <w:pPr>
              <w:spacing w:line="240" w:lineRule="auto"/>
              <w:rPr>
                <w:rFonts w:ascii="Arial" w:hAnsi="Arial" w:cs="Arial"/>
                <w:sz w:val="16"/>
                <w:szCs w:val="16"/>
              </w:rPr>
            </w:pPr>
            <w:r w:rsidRPr="006D52A9">
              <w:rPr>
                <w:rFonts w:ascii="Arial" w:eastAsia="Times New Roman" w:hAnsi="Arial" w:cs="Arial"/>
                <w:sz w:val="16"/>
                <w:szCs w:val="16"/>
              </w:rPr>
              <w:t>Patient must meet the criteria set out in the General Statement for Drugs for the Treatment of Hepatitis C; AND</w:t>
            </w:r>
            <w:r w:rsidRPr="006D52A9">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Times New Roman" w:hAnsi="Arial" w:cs="Arial"/>
                <w:sz w:val="16"/>
                <w:szCs w:val="16"/>
              </w:rPr>
              <w:br/>
              <w:t>The treatment must be limited to a maximum duration of 8 weeks.</w:t>
            </w:r>
          </w:p>
        </w:tc>
        <w:tc>
          <w:tcPr>
            <w:tcW w:w="929" w:type="pct"/>
            <w:tcMar>
              <w:top w:w="28" w:type="dxa"/>
              <w:left w:w="28" w:type="dxa"/>
              <w:right w:w="57" w:type="dxa"/>
            </w:tcMar>
          </w:tcPr>
          <w:p w14:paraId="2933C65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024299" w14:paraId="76495A7A" w14:textId="77777777" w:rsidTr="00FB6D2D">
        <w:tc>
          <w:tcPr>
            <w:tcW w:w="647" w:type="pct"/>
            <w:tcMar>
              <w:top w:w="28" w:type="dxa"/>
              <w:left w:w="28" w:type="dxa"/>
            </w:tcMar>
          </w:tcPr>
          <w:p w14:paraId="7D106ADA" w14:textId="77777777" w:rsidR="008F47B8" w:rsidRPr="006D52A9" w:rsidDel="00024299" w:rsidRDefault="008F47B8" w:rsidP="00FB6D2D">
            <w:pPr>
              <w:spacing w:line="240" w:lineRule="auto"/>
              <w:rPr>
                <w:rFonts w:ascii="Arial" w:hAnsi="Arial" w:cs="Arial"/>
                <w:sz w:val="16"/>
                <w:szCs w:val="16"/>
              </w:rPr>
            </w:pPr>
          </w:p>
        </w:tc>
        <w:tc>
          <w:tcPr>
            <w:tcW w:w="283" w:type="pct"/>
            <w:tcMar>
              <w:top w:w="28" w:type="dxa"/>
              <w:left w:w="28" w:type="dxa"/>
            </w:tcMar>
          </w:tcPr>
          <w:p w14:paraId="79E0321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C7615</w:t>
            </w:r>
          </w:p>
        </w:tc>
        <w:tc>
          <w:tcPr>
            <w:tcW w:w="274" w:type="pct"/>
            <w:tcMar>
              <w:top w:w="28" w:type="dxa"/>
              <w:left w:w="28" w:type="dxa"/>
            </w:tcMar>
          </w:tcPr>
          <w:p w14:paraId="28EF8BBB"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P7615</w:t>
            </w:r>
          </w:p>
        </w:tc>
        <w:tc>
          <w:tcPr>
            <w:tcW w:w="2867" w:type="pct"/>
            <w:tcMar>
              <w:top w:w="28" w:type="dxa"/>
              <w:left w:w="28" w:type="dxa"/>
            </w:tcMar>
          </w:tcPr>
          <w:p w14:paraId="08D04EE4"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Chronic hepatitis C infection</w:t>
            </w:r>
          </w:p>
          <w:p w14:paraId="3A6F3F05" w14:textId="77777777" w:rsidR="008F47B8" w:rsidRPr="006D52A9" w:rsidRDefault="008F47B8" w:rsidP="00FB6D2D">
            <w:pPr>
              <w:spacing w:line="240" w:lineRule="auto"/>
              <w:rPr>
                <w:rFonts w:ascii="Arial" w:hAnsi="Arial" w:cs="Arial"/>
                <w:sz w:val="16"/>
                <w:szCs w:val="16"/>
              </w:rPr>
            </w:pPr>
            <w:r w:rsidRPr="006D52A9">
              <w:rPr>
                <w:rFonts w:ascii="Arial" w:eastAsia="Times New Roman" w:hAnsi="Arial" w:cs="Arial"/>
                <w:sz w:val="16"/>
                <w:szCs w:val="16"/>
              </w:rPr>
              <w:t>Patient must meet the criteria set out in the General Statement for Drugs for the Treatment of Hepatitis C; AND</w:t>
            </w:r>
            <w:r w:rsidRPr="006D52A9">
              <w:rPr>
                <w:rFonts w:ascii="Arial" w:eastAsia="Times New Roman"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Times New Roman" w:hAnsi="Arial" w:cs="Arial"/>
                <w:sz w:val="16"/>
                <w:szCs w:val="16"/>
              </w:rPr>
              <w:br/>
              <w:t>The treatment must be limited to a maximum duration of 12 weeks.</w:t>
            </w:r>
          </w:p>
        </w:tc>
        <w:tc>
          <w:tcPr>
            <w:tcW w:w="929" w:type="pct"/>
            <w:tcMar>
              <w:top w:w="28" w:type="dxa"/>
              <w:left w:w="28" w:type="dxa"/>
              <w:right w:w="57" w:type="dxa"/>
            </w:tcMar>
          </w:tcPr>
          <w:p w14:paraId="58D1738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024299" w14:paraId="4911BDE2" w14:textId="77777777" w:rsidTr="00FB6D2D">
        <w:tc>
          <w:tcPr>
            <w:tcW w:w="647" w:type="pct"/>
            <w:tcMar>
              <w:top w:w="28" w:type="dxa"/>
              <w:left w:w="28" w:type="dxa"/>
            </w:tcMar>
          </w:tcPr>
          <w:p w14:paraId="7720FE1E" w14:textId="77777777" w:rsidR="008F47B8" w:rsidRPr="006D52A9" w:rsidDel="00024299" w:rsidRDefault="008F47B8" w:rsidP="00FB6D2D">
            <w:pPr>
              <w:spacing w:line="240" w:lineRule="auto"/>
              <w:rPr>
                <w:rFonts w:ascii="Arial" w:hAnsi="Arial" w:cs="Arial"/>
                <w:sz w:val="16"/>
                <w:szCs w:val="16"/>
              </w:rPr>
            </w:pPr>
          </w:p>
        </w:tc>
        <w:tc>
          <w:tcPr>
            <w:tcW w:w="283" w:type="pct"/>
            <w:tcMar>
              <w:top w:w="28" w:type="dxa"/>
              <w:left w:w="28" w:type="dxa"/>
            </w:tcMar>
          </w:tcPr>
          <w:p w14:paraId="47C1B23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C10268</w:t>
            </w:r>
          </w:p>
        </w:tc>
        <w:tc>
          <w:tcPr>
            <w:tcW w:w="274" w:type="pct"/>
            <w:tcMar>
              <w:top w:w="28" w:type="dxa"/>
              <w:left w:w="28" w:type="dxa"/>
            </w:tcMar>
          </w:tcPr>
          <w:p w14:paraId="6CDEE8C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P10268</w:t>
            </w:r>
          </w:p>
        </w:tc>
        <w:tc>
          <w:tcPr>
            <w:tcW w:w="2867" w:type="pct"/>
            <w:tcMar>
              <w:top w:w="28" w:type="dxa"/>
              <w:left w:w="28" w:type="dxa"/>
            </w:tcMar>
          </w:tcPr>
          <w:p w14:paraId="3E9523B6"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hAnsi="Arial" w:cs="Arial"/>
                <w:sz w:val="16"/>
                <w:szCs w:val="16"/>
              </w:rPr>
              <w:t>Chronic hepatitis C infection</w:t>
            </w:r>
            <w:r w:rsidRPr="006D52A9">
              <w:rPr>
                <w:rFonts w:ascii="Arial" w:hAnsi="Arial" w:cs="Arial"/>
                <w:sz w:val="16"/>
                <w:szCs w:val="16"/>
              </w:rPr>
              <w:br/>
              <w:t>Patient must meet the criteria set out in the General Statement for Drugs for the Treatment of Hepatitis C; AND</w:t>
            </w:r>
            <w:r w:rsidRPr="006D52A9">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hAnsi="Arial" w:cs="Arial"/>
                <w:sz w:val="16"/>
                <w:szCs w:val="16"/>
              </w:rPr>
              <w:br/>
              <w:t>The treatment must be limited to a maximum duration of 16 weeks.</w:t>
            </w:r>
            <w:r w:rsidRPr="006D52A9">
              <w:rPr>
                <w:rFonts w:ascii="Arial" w:hAnsi="Arial" w:cs="Arial"/>
                <w:sz w:val="16"/>
                <w:szCs w:val="16"/>
              </w:rPr>
              <w:br/>
              <w:t>The application must include details of the prior treatment regimen containing an NS5A inhibitor.</w:t>
            </w:r>
          </w:p>
        </w:tc>
        <w:tc>
          <w:tcPr>
            <w:tcW w:w="929" w:type="pct"/>
            <w:tcMar>
              <w:top w:w="28" w:type="dxa"/>
              <w:left w:w="28" w:type="dxa"/>
              <w:right w:w="57" w:type="dxa"/>
            </w:tcMar>
          </w:tcPr>
          <w:p w14:paraId="7A87DC0C" w14:textId="77777777" w:rsidR="008F47B8" w:rsidRPr="006D52A9" w:rsidRDefault="008F47B8" w:rsidP="00FB6D2D">
            <w:pPr>
              <w:spacing w:line="240" w:lineRule="auto"/>
              <w:rPr>
                <w:rFonts w:ascii="Arial" w:hAnsi="Arial" w:cs="Arial"/>
                <w:sz w:val="16"/>
                <w:szCs w:val="16"/>
              </w:rPr>
            </w:pPr>
            <w:r w:rsidRPr="006D52A9">
              <w:rPr>
                <w:rFonts w:ascii="Arial" w:eastAsia="Arial" w:hAnsi="Arial" w:cs="Arial"/>
                <w:sz w:val="16"/>
                <w:szCs w:val="16"/>
                <w:lang w:eastAsia="zh-CN"/>
              </w:rPr>
              <w:t>Compliance with Authority Required procedures</w:t>
            </w:r>
          </w:p>
        </w:tc>
      </w:tr>
      <w:tr w:rsidR="008F47B8" w:rsidRPr="006D52A9" w:rsidDel="00024299" w14:paraId="6E3A7456" w14:textId="77777777" w:rsidTr="00FB6D2D">
        <w:tc>
          <w:tcPr>
            <w:tcW w:w="647" w:type="pct"/>
            <w:tcMar>
              <w:top w:w="28" w:type="dxa"/>
              <w:left w:w="28" w:type="dxa"/>
            </w:tcMar>
          </w:tcPr>
          <w:p w14:paraId="48AE54F4"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Grazoprevir with elbasvir</w:t>
            </w:r>
          </w:p>
        </w:tc>
        <w:tc>
          <w:tcPr>
            <w:tcW w:w="283" w:type="pct"/>
            <w:tcMar>
              <w:top w:w="28" w:type="dxa"/>
              <w:left w:w="28" w:type="dxa"/>
            </w:tcMar>
          </w:tcPr>
          <w:p w14:paraId="62FDE3E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C5969</w:t>
            </w:r>
          </w:p>
        </w:tc>
        <w:tc>
          <w:tcPr>
            <w:tcW w:w="274" w:type="pct"/>
            <w:tcMar>
              <w:top w:w="28" w:type="dxa"/>
              <w:left w:w="28" w:type="dxa"/>
            </w:tcMar>
          </w:tcPr>
          <w:p w14:paraId="411D6897"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P5969</w:t>
            </w:r>
          </w:p>
        </w:tc>
        <w:tc>
          <w:tcPr>
            <w:tcW w:w="2867" w:type="pct"/>
            <w:tcMar>
              <w:top w:w="28" w:type="dxa"/>
              <w:left w:w="28" w:type="dxa"/>
            </w:tcMar>
          </w:tcPr>
          <w:p w14:paraId="204247D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hepatitis C infection</w:t>
            </w:r>
          </w:p>
          <w:p w14:paraId="29CBCF6A" w14:textId="77777777" w:rsidR="008F47B8" w:rsidRPr="006D52A9" w:rsidRDefault="008F47B8" w:rsidP="00FB6D2D">
            <w:pPr>
              <w:pStyle w:val="mps3-data"/>
              <w:rPr>
                <w:b/>
                <w:szCs w:val="16"/>
              </w:rPr>
            </w:pPr>
            <w:r w:rsidRPr="006D52A9">
              <w:rPr>
                <w:szCs w:val="16"/>
              </w:rPr>
              <w:t>Patient must meet the criteria set out in the General Statement for Drugs for the Treatment of Hepatitis C; AND</w:t>
            </w:r>
          </w:p>
          <w:p w14:paraId="0AE0DF17" w14:textId="77777777" w:rsidR="008F47B8" w:rsidRPr="006D52A9" w:rsidRDefault="008F47B8" w:rsidP="00FB6D2D">
            <w:pPr>
              <w:pStyle w:val="mps3-data"/>
              <w:rPr>
                <w:b/>
                <w:szCs w:val="16"/>
              </w:rPr>
            </w:pPr>
            <w:r w:rsidRPr="006D52A9">
              <w:rPr>
                <w:szCs w:val="16"/>
              </w:rPr>
              <w:t>Patient must be taking this drug as part of a regimen set out in the matrix in the General Statement for Drugs for the Treatment of Hepatitis C, based on the hepatitis C virus genotype, patient treatment history and cirrhotic status; AND</w:t>
            </w:r>
          </w:p>
          <w:p w14:paraId="6FDB371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limited to a maximum duration of 12 weeks.</w:t>
            </w:r>
          </w:p>
        </w:tc>
        <w:tc>
          <w:tcPr>
            <w:tcW w:w="929" w:type="pct"/>
            <w:tcMar>
              <w:top w:w="28" w:type="dxa"/>
              <w:left w:w="28" w:type="dxa"/>
              <w:right w:w="57" w:type="dxa"/>
            </w:tcMar>
          </w:tcPr>
          <w:p w14:paraId="47DC6C7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024299" w14:paraId="06EE44A3" w14:textId="77777777" w:rsidTr="00FB6D2D">
        <w:tc>
          <w:tcPr>
            <w:tcW w:w="647" w:type="pct"/>
            <w:tcMar>
              <w:top w:w="28" w:type="dxa"/>
              <w:left w:w="28" w:type="dxa"/>
            </w:tcMar>
          </w:tcPr>
          <w:p w14:paraId="538DF649" w14:textId="77777777" w:rsidR="008F47B8" w:rsidRPr="006D52A9" w:rsidDel="00024299" w:rsidRDefault="008F47B8" w:rsidP="00FB6D2D">
            <w:pPr>
              <w:spacing w:line="240" w:lineRule="auto"/>
              <w:rPr>
                <w:rFonts w:ascii="Arial" w:hAnsi="Arial" w:cs="Arial"/>
                <w:sz w:val="16"/>
                <w:szCs w:val="16"/>
              </w:rPr>
            </w:pPr>
          </w:p>
        </w:tc>
        <w:tc>
          <w:tcPr>
            <w:tcW w:w="283" w:type="pct"/>
            <w:tcMar>
              <w:top w:w="28" w:type="dxa"/>
              <w:left w:w="28" w:type="dxa"/>
            </w:tcMar>
          </w:tcPr>
          <w:p w14:paraId="082E2FD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C6625</w:t>
            </w:r>
          </w:p>
        </w:tc>
        <w:tc>
          <w:tcPr>
            <w:tcW w:w="274" w:type="pct"/>
            <w:tcMar>
              <w:top w:w="28" w:type="dxa"/>
              <w:left w:w="28" w:type="dxa"/>
            </w:tcMar>
          </w:tcPr>
          <w:p w14:paraId="6EEE9629" w14:textId="77777777" w:rsidR="008F47B8" w:rsidRPr="006D52A9" w:rsidDel="00024299" w:rsidRDefault="008F47B8" w:rsidP="00FB6D2D">
            <w:pPr>
              <w:spacing w:line="240" w:lineRule="auto"/>
              <w:rPr>
                <w:rFonts w:ascii="Arial" w:hAnsi="Arial" w:cs="Arial"/>
                <w:sz w:val="16"/>
                <w:szCs w:val="16"/>
              </w:rPr>
            </w:pPr>
            <w:r w:rsidRPr="006D52A9">
              <w:rPr>
                <w:rFonts w:ascii="Arial" w:hAnsi="Arial" w:cs="Arial"/>
                <w:sz w:val="16"/>
                <w:szCs w:val="16"/>
              </w:rPr>
              <w:t>P6625</w:t>
            </w:r>
          </w:p>
        </w:tc>
        <w:tc>
          <w:tcPr>
            <w:tcW w:w="2867" w:type="pct"/>
            <w:tcMar>
              <w:top w:w="28" w:type="dxa"/>
              <w:left w:w="28" w:type="dxa"/>
            </w:tcMar>
          </w:tcPr>
          <w:p w14:paraId="5203862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hepatitis C infection</w:t>
            </w:r>
          </w:p>
          <w:p w14:paraId="6C3F39BF" w14:textId="77777777" w:rsidR="008F47B8" w:rsidRPr="006D52A9" w:rsidRDefault="008F47B8" w:rsidP="00FB6D2D">
            <w:pPr>
              <w:pStyle w:val="mps3-data"/>
              <w:rPr>
                <w:szCs w:val="16"/>
              </w:rPr>
            </w:pPr>
            <w:r w:rsidRPr="006D52A9">
              <w:rPr>
                <w:szCs w:val="16"/>
              </w:rPr>
              <w:t>Patient must meet the criteria set out in the General Statement for Drugs for the Treatment of Hepatitis C; AND</w:t>
            </w:r>
          </w:p>
          <w:p w14:paraId="50974694" w14:textId="77777777" w:rsidR="008F47B8" w:rsidRPr="006D52A9" w:rsidRDefault="008F47B8" w:rsidP="00FB6D2D">
            <w:pPr>
              <w:pStyle w:val="mps3-data"/>
              <w:rPr>
                <w:szCs w:val="16"/>
              </w:rPr>
            </w:pPr>
            <w:r w:rsidRPr="006D52A9">
              <w:rPr>
                <w:szCs w:val="16"/>
              </w:rPr>
              <w:t>Patient must be taking this drug as part of a regimen set out in the matrix in the General Statement for Drugs for the Treatment of Hepatitis C, based on the hepatitis C virus genotype, patient treatment history and cirrhotic status; AND</w:t>
            </w:r>
          </w:p>
          <w:p w14:paraId="567B6EB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The treatment must be limited to a maximum duration of 16 weeks.</w:t>
            </w:r>
          </w:p>
        </w:tc>
        <w:tc>
          <w:tcPr>
            <w:tcW w:w="929" w:type="pct"/>
            <w:tcMar>
              <w:top w:w="28" w:type="dxa"/>
              <w:left w:w="28" w:type="dxa"/>
              <w:right w:w="57" w:type="dxa"/>
            </w:tcMar>
          </w:tcPr>
          <w:p w14:paraId="585318E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14:paraId="66B73DB5" w14:textId="77777777" w:rsidTr="00FB6D2D">
        <w:trPr>
          <w:cantSplit/>
        </w:trPr>
        <w:tc>
          <w:tcPr>
            <w:tcW w:w="647" w:type="pct"/>
            <w:tcBorders>
              <w:bottom w:val="single" w:sz="4" w:space="0" w:color="auto"/>
            </w:tcBorders>
            <w:shd w:val="clear" w:color="auto" w:fill="auto"/>
            <w:tcMar>
              <w:top w:w="28" w:type="dxa"/>
              <w:left w:w="28" w:type="dxa"/>
            </w:tcMar>
          </w:tcPr>
          <w:p w14:paraId="7DCBCCF8" w14:textId="77777777" w:rsidR="008F47B8" w:rsidRPr="006D52A9" w:rsidRDefault="008F47B8" w:rsidP="00FB6D2D">
            <w:pPr>
              <w:spacing w:line="240" w:lineRule="auto"/>
              <w:rPr>
                <w:rFonts w:ascii="Arial" w:hAnsi="Arial" w:cs="Arial"/>
                <w:sz w:val="16"/>
                <w:szCs w:val="16"/>
              </w:rPr>
            </w:pPr>
            <w:bookmarkStart w:id="131" w:name="CU_233392834"/>
            <w:bookmarkEnd w:id="131"/>
            <w:r w:rsidRPr="006D52A9">
              <w:rPr>
                <w:rFonts w:ascii="Arial" w:hAnsi="Arial" w:cs="Arial"/>
                <w:sz w:val="16"/>
                <w:szCs w:val="16"/>
              </w:rPr>
              <w:lastRenderedPageBreak/>
              <w:t>Ibandronic acid</w:t>
            </w:r>
          </w:p>
        </w:tc>
        <w:tc>
          <w:tcPr>
            <w:tcW w:w="283" w:type="pct"/>
            <w:tcBorders>
              <w:bottom w:val="single" w:sz="4" w:space="0" w:color="auto"/>
            </w:tcBorders>
            <w:shd w:val="clear" w:color="auto" w:fill="auto"/>
            <w:tcMar>
              <w:top w:w="28" w:type="dxa"/>
              <w:left w:w="28" w:type="dxa"/>
            </w:tcMar>
          </w:tcPr>
          <w:p w14:paraId="0E83494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C5291</w:t>
            </w:r>
          </w:p>
        </w:tc>
        <w:tc>
          <w:tcPr>
            <w:tcW w:w="274" w:type="pct"/>
            <w:tcBorders>
              <w:bottom w:val="single" w:sz="4" w:space="0" w:color="auto"/>
            </w:tcBorders>
            <w:shd w:val="clear" w:color="auto" w:fill="auto"/>
            <w:tcMar>
              <w:top w:w="28" w:type="dxa"/>
              <w:left w:w="28" w:type="dxa"/>
            </w:tcMar>
          </w:tcPr>
          <w:p w14:paraId="5D9F9E2E"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F84460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Bone metastases</w:t>
            </w:r>
            <w:r w:rsidRPr="006D52A9">
              <w:rPr>
                <w:rFonts w:ascii="Arial" w:hAnsi="Arial" w:cs="Arial"/>
                <w:sz w:val="16"/>
                <w:szCs w:val="16"/>
              </w:rPr>
              <w:br/>
              <w:t>The condition must be due to breast cancer.</w:t>
            </w:r>
          </w:p>
        </w:tc>
        <w:tc>
          <w:tcPr>
            <w:tcW w:w="929" w:type="pct"/>
            <w:tcBorders>
              <w:bottom w:val="single" w:sz="4" w:space="0" w:color="auto"/>
            </w:tcBorders>
            <w:shd w:val="clear" w:color="auto" w:fill="auto"/>
            <w:tcMar>
              <w:top w:w="28" w:type="dxa"/>
              <w:left w:w="28" w:type="dxa"/>
              <w:right w:w="57" w:type="dxa"/>
            </w:tcMar>
          </w:tcPr>
          <w:p w14:paraId="207FED1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5291</w:t>
            </w:r>
          </w:p>
        </w:tc>
      </w:tr>
      <w:tr w:rsidR="008F47B8" w:rsidRPr="006D52A9" w14:paraId="4136F8BB" w14:textId="77777777" w:rsidTr="00FB6D2D">
        <w:trPr>
          <w:cantSplit/>
        </w:trPr>
        <w:tc>
          <w:tcPr>
            <w:tcW w:w="647" w:type="pct"/>
            <w:tcBorders>
              <w:bottom w:val="single" w:sz="4" w:space="0" w:color="auto"/>
            </w:tcBorders>
            <w:shd w:val="clear" w:color="auto" w:fill="auto"/>
            <w:tcMar>
              <w:top w:w="28" w:type="dxa"/>
              <w:left w:w="28" w:type="dxa"/>
            </w:tcMar>
          </w:tcPr>
          <w:p w14:paraId="1EC724FE" w14:textId="77777777" w:rsidR="008F47B8" w:rsidRPr="006D52A9"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8E2EEC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C9333</w:t>
            </w:r>
          </w:p>
        </w:tc>
        <w:tc>
          <w:tcPr>
            <w:tcW w:w="274" w:type="pct"/>
            <w:tcBorders>
              <w:bottom w:val="single" w:sz="4" w:space="0" w:color="auto"/>
            </w:tcBorders>
            <w:shd w:val="clear" w:color="auto" w:fill="auto"/>
            <w:tcMar>
              <w:top w:w="28" w:type="dxa"/>
              <w:left w:w="28" w:type="dxa"/>
            </w:tcMar>
          </w:tcPr>
          <w:p w14:paraId="14EE2AB9"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FE9AF1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Bone metastases</w:t>
            </w:r>
            <w:r w:rsidRPr="006D52A9">
              <w:rPr>
                <w:szCs w:val="16"/>
              </w:rPr>
              <w:br/>
            </w:r>
            <w:r w:rsidRPr="006D52A9">
              <w:rPr>
                <w:rFonts w:ascii="Arial" w:hAnsi="Arial" w:cs="Arial"/>
                <w:sz w:val="16"/>
                <w:szCs w:val="16"/>
              </w:rPr>
              <w:t>The condition must be due to breast cancer.</w:t>
            </w:r>
          </w:p>
        </w:tc>
        <w:tc>
          <w:tcPr>
            <w:tcW w:w="929" w:type="pct"/>
            <w:tcBorders>
              <w:bottom w:val="single" w:sz="4" w:space="0" w:color="auto"/>
            </w:tcBorders>
            <w:shd w:val="clear" w:color="auto" w:fill="auto"/>
            <w:tcMar>
              <w:top w:w="28" w:type="dxa"/>
              <w:left w:w="28" w:type="dxa"/>
              <w:right w:w="57" w:type="dxa"/>
            </w:tcMar>
          </w:tcPr>
          <w:p w14:paraId="12EDA09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9333</w:t>
            </w:r>
          </w:p>
        </w:tc>
      </w:tr>
      <w:tr w:rsidR="008F47B8" w:rsidRPr="006D52A9" w14:paraId="010CC57A" w14:textId="77777777" w:rsidTr="00FB6D2D">
        <w:tc>
          <w:tcPr>
            <w:tcW w:w="647" w:type="pct"/>
            <w:tcBorders>
              <w:bottom w:val="single" w:sz="4" w:space="0" w:color="auto"/>
            </w:tcBorders>
            <w:shd w:val="clear" w:color="auto" w:fill="auto"/>
            <w:tcMar>
              <w:top w:w="28" w:type="dxa"/>
              <w:left w:w="28" w:type="dxa"/>
            </w:tcMar>
          </w:tcPr>
          <w:p w14:paraId="74F0EE07"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Iloprost</w:t>
            </w:r>
          </w:p>
        </w:tc>
        <w:tc>
          <w:tcPr>
            <w:tcW w:w="283" w:type="pct"/>
            <w:tcBorders>
              <w:bottom w:val="single" w:sz="4" w:space="0" w:color="auto"/>
            </w:tcBorders>
            <w:shd w:val="clear" w:color="auto" w:fill="auto"/>
            <w:tcMar>
              <w:top w:w="28" w:type="dxa"/>
              <w:left w:w="28" w:type="dxa"/>
            </w:tcMar>
          </w:tcPr>
          <w:p w14:paraId="59E8896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C10229</w:t>
            </w:r>
          </w:p>
        </w:tc>
        <w:tc>
          <w:tcPr>
            <w:tcW w:w="274" w:type="pct"/>
            <w:tcBorders>
              <w:bottom w:val="single" w:sz="4" w:space="0" w:color="auto"/>
            </w:tcBorders>
            <w:shd w:val="clear" w:color="auto" w:fill="auto"/>
            <w:tcMar>
              <w:top w:w="28" w:type="dxa"/>
              <w:left w:w="28" w:type="dxa"/>
            </w:tcMar>
          </w:tcPr>
          <w:p w14:paraId="48EC7F8C"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3E6081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(change)</w:t>
            </w:r>
            <w:r w:rsidRPr="006D52A9">
              <w:rPr>
                <w:rFonts w:ascii="Arial" w:hAnsi="Arial" w:cs="Arial"/>
                <w:sz w:val="16"/>
                <w:szCs w:val="16"/>
              </w:rPr>
              <w:br/>
              <w:t>Patient must have documented WHO Functional Class III PAH or WHO Functional Class IV PAH; AND</w:t>
            </w:r>
            <w:r w:rsidRPr="006D52A9">
              <w:rPr>
                <w:rFonts w:ascii="Arial" w:hAnsi="Arial" w:cs="Arial"/>
                <w:sz w:val="16"/>
                <w:szCs w:val="16"/>
              </w:rPr>
              <w:br/>
              <w:t>Patient must have had their most recent course of PBS</w:t>
            </w:r>
            <w:r w:rsidR="0026100E">
              <w:rPr>
                <w:rFonts w:ascii="Arial" w:hAnsi="Arial" w:cs="Arial"/>
                <w:sz w:val="16"/>
                <w:szCs w:val="16"/>
              </w:rPr>
              <w:noBreakHyphen/>
            </w:r>
            <w:r w:rsidRPr="006D52A9">
              <w:rPr>
                <w:rFonts w:ascii="Arial" w:hAnsi="Arial" w:cs="Arial"/>
                <w:sz w:val="16"/>
                <w:szCs w:val="16"/>
              </w:rPr>
              <w:t>subsidised treatment for this condition with a PAH agent other than this agent;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hAnsi="Arial" w:cs="Arial"/>
                <w:sz w:val="16"/>
                <w:szCs w:val="16"/>
              </w:rPr>
              <w:noBreakHyphen/>
            </w:r>
            <w:r w:rsidRPr="006D52A9">
              <w:rPr>
                <w:rFonts w:ascii="Arial"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hAnsi="Arial" w:cs="Arial"/>
                <w:sz w:val="16"/>
                <w:szCs w:val="16"/>
              </w:rPr>
              <w:br/>
              <w:t>Applications to swap between the 8 PAH agents must be made under the relevant initial treatment (monotherapy) restriction.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1AD1E36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7561E4" w14:paraId="34FA18BF" w14:textId="77777777" w:rsidTr="00FB6D2D">
        <w:tc>
          <w:tcPr>
            <w:tcW w:w="647" w:type="pct"/>
            <w:tcBorders>
              <w:bottom w:val="single" w:sz="4" w:space="0" w:color="auto"/>
            </w:tcBorders>
            <w:shd w:val="clear" w:color="auto" w:fill="auto"/>
            <w:tcMar>
              <w:top w:w="28" w:type="dxa"/>
              <w:left w:w="28" w:type="dxa"/>
            </w:tcMar>
          </w:tcPr>
          <w:p w14:paraId="62008680"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934CAA5"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C11322</w:t>
            </w:r>
          </w:p>
        </w:tc>
        <w:tc>
          <w:tcPr>
            <w:tcW w:w="274" w:type="pct"/>
            <w:tcBorders>
              <w:bottom w:val="single" w:sz="4" w:space="0" w:color="auto"/>
            </w:tcBorders>
            <w:shd w:val="clear" w:color="auto" w:fill="auto"/>
            <w:tcMar>
              <w:top w:w="28" w:type="dxa"/>
              <w:left w:w="28" w:type="dxa"/>
            </w:tcMar>
          </w:tcPr>
          <w:p w14:paraId="094F01B3"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700D6C4"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(starting dual therapy in an untreated patient for the first time)</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documented PAH of WHO Functional Class IV severity at the time dual therapy is initiated;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 xml:space="preserve">5 inhibitor is one of: (a) sildenafil, (b) tadalafil; a </w:t>
            </w:r>
            <w:r w:rsidRPr="006D52A9">
              <w:rPr>
                <w:rFonts w:ascii="Arial" w:hAnsi="Arial" w:cs="Arial"/>
                <w:sz w:val="16"/>
                <w:szCs w:val="16"/>
              </w:rPr>
              <w:lastRenderedPageBreak/>
              <w:t>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363BF385"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561E4" w14:paraId="52036720" w14:textId="77777777" w:rsidTr="00FB6D2D">
        <w:tc>
          <w:tcPr>
            <w:tcW w:w="647" w:type="pct"/>
            <w:tcBorders>
              <w:bottom w:val="single" w:sz="4" w:space="0" w:color="auto"/>
            </w:tcBorders>
            <w:shd w:val="clear" w:color="auto" w:fill="auto"/>
            <w:tcMar>
              <w:top w:w="28" w:type="dxa"/>
              <w:left w:w="28" w:type="dxa"/>
            </w:tcMar>
          </w:tcPr>
          <w:p w14:paraId="799432A5"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567ED49"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C11323</w:t>
            </w:r>
          </w:p>
        </w:tc>
        <w:tc>
          <w:tcPr>
            <w:tcW w:w="274" w:type="pct"/>
            <w:tcBorders>
              <w:bottom w:val="single" w:sz="4" w:space="0" w:color="auto"/>
            </w:tcBorders>
            <w:shd w:val="clear" w:color="auto" w:fill="auto"/>
            <w:tcMar>
              <w:top w:w="28" w:type="dxa"/>
              <w:left w:w="28" w:type="dxa"/>
            </w:tcMar>
          </w:tcPr>
          <w:p w14:paraId="3F06E169"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6025576"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'Grandfathered' patient (dual therapy) </w:t>
            </w:r>
            <w:r w:rsidR="0026100E">
              <w:rPr>
                <w:rFonts w:ascii="Arial" w:hAnsi="Arial" w:cs="Arial"/>
                <w:sz w:val="16"/>
                <w:szCs w:val="16"/>
              </w:rPr>
              <w:noBreakHyphen/>
            </w:r>
            <w:r w:rsidRPr="006D52A9">
              <w:rPr>
                <w:rFonts w:ascii="Arial" w:hAnsi="Arial" w:cs="Arial"/>
                <w:sz w:val="16"/>
                <w:szCs w:val="16"/>
              </w:rPr>
              <w:t xml:space="preserve"> transitioning from non</w:t>
            </w:r>
            <w:r w:rsidR="0026100E">
              <w:rPr>
                <w:rFonts w:ascii="Arial" w:hAnsi="Arial" w:cs="Arial"/>
                <w:sz w:val="16"/>
                <w:szCs w:val="16"/>
              </w:rPr>
              <w:noBreakHyphen/>
            </w:r>
            <w:r w:rsidRPr="006D52A9">
              <w:rPr>
                <w:rFonts w:ascii="Arial" w:hAnsi="Arial" w:cs="Arial"/>
                <w:sz w:val="16"/>
                <w:szCs w:val="16"/>
              </w:rPr>
              <w:t>PBS subsidised to PBS</w:t>
            </w:r>
            <w:r w:rsidR="0026100E">
              <w:rPr>
                <w:rFonts w:ascii="Arial" w:hAnsi="Arial" w:cs="Arial"/>
                <w:sz w:val="16"/>
                <w:szCs w:val="16"/>
              </w:rPr>
              <w:noBreakHyphen/>
            </w:r>
            <w:r w:rsidRPr="006D52A9">
              <w:rPr>
                <w:rFonts w:ascii="Arial" w:hAnsi="Arial" w:cs="Arial"/>
                <w:sz w:val="16"/>
                <w:szCs w:val="16"/>
              </w:rPr>
              <w:t>subsidised dual therapy where each PAH agent has been non</w:t>
            </w:r>
            <w:r w:rsidR="0026100E">
              <w:rPr>
                <w:rFonts w:ascii="Arial" w:hAnsi="Arial" w:cs="Arial"/>
                <w:sz w:val="16"/>
                <w:szCs w:val="16"/>
              </w:rPr>
              <w:noBreakHyphen/>
            </w:r>
            <w:r w:rsidRPr="006D52A9">
              <w:rPr>
                <w:rFonts w:ascii="Arial" w:hAnsi="Arial" w:cs="Arial"/>
                <w:sz w:val="16"/>
                <w:szCs w:val="16"/>
              </w:rPr>
              <w:t>PBS subsidised</w:t>
            </w:r>
            <w:r w:rsidRPr="006D52A9">
              <w:rPr>
                <w:rFonts w:ascii="Arial" w:hAnsi="Arial" w:cs="Arial"/>
                <w:sz w:val="16"/>
                <w:szCs w:val="16"/>
              </w:rPr>
              <w:br/>
              <w:t>Patient must have been receiving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with PAH agents consisting of a phosphodiesterase</w:t>
            </w:r>
            <w:r w:rsidR="0026100E">
              <w:rPr>
                <w:rFonts w:ascii="Arial" w:hAnsi="Arial" w:cs="Arial"/>
                <w:sz w:val="16"/>
                <w:szCs w:val="16"/>
              </w:rPr>
              <w:noBreakHyphen/>
            </w:r>
            <w:r w:rsidRPr="006D52A9">
              <w:rPr>
                <w:rFonts w:ascii="Arial" w:hAnsi="Arial" w:cs="Arial"/>
                <w:sz w:val="16"/>
                <w:szCs w:val="16"/>
              </w:rPr>
              <w:t>5 inhibitor combined with a prostanoid, where each agent was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 xml:space="preserve">subsidised, prior to </w:t>
            </w:r>
            <w:r w:rsidR="003E082A" w:rsidRPr="006D52A9">
              <w:rPr>
                <w:rFonts w:ascii="Arial" w:hAnsi="Arial" w:cs="Arial"/>
                <w:sz w:val="16"/>
                <w:szCs w:val="16"/>
              </w:rPr>
              <w:t>1 March</w:t>
            </w:r>
            <w:r w:rsidRPr="006D52A9">
              <w:rPr>
                <w:rFonts w:ascii="Arial" w:hAnsi="Arial" w:cs="Arial"/>
                <w:sz w:val="16"/>
                <w:szCs w:val="16"/>
              </w:rPr>
              <w:t xml:space="preserve"> 2021; AND</w:t>
            </w:r>
            <w:r w:rsidRPr="006D52A9">
              <w:rPr>
                <w:rFonts w:ascii="Arial" w:hAnsi="Arial" w:cs="Arial"/>
                <w:sz w:val="16"/>
                <w:szCs w:val="16"/>
              </w:rPr>
              <w:br/>
            </w:r>
            <w:r w:rsidRPr="006D52A9">
              <w:rPr>
                <w:rFonts w:ascii="Arial" w:hAnsi="Arial" w:cs="Arial"/>
                <w:sz w:val="16"/>
                <w:szCs w:val="16"/>
              </w:rPr>
              <w:lastRenderedPageBreak/>
              <w:t>The condition must be PAH that was of WHO Functional Class III severity at the time dual therapy was initiated; OR</w:t>
            </w:r>
            <w:r w:rsidRPr="006D52A9">
              <w:rPr>
                <w:rFonts w:ascii="Arial" w:hAnsi="Arial" w:cs="Arial"/>
                <w:sz w:val="16"/>
                <w:szCs w:val="16"/>
              </w:rPr>
              <w:br/>
              <w:t>The condition must be PAH that was of WHO Functional Class IV severity at the time dual therapy was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was initiated for WHO Functional Class III/IV PAH: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OR</w:t>
            </w:r>
            <w:r w:rsidRPr="006D52A9">
              <w:rPr>
                <w:rFonts w:ascii="Arial" w:hAnsi="Arial" w:cs="Arial"/>
                <w:sz w:val="16"/>
                <w:szCs w:val="16"/>
              </w:rPr>
              <w:br/>
              <w:t>The treatment must have been initiated as part of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dual therapy for an untreated patient with WHO Functional Class IV PAH;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lodged either electronically or via mail/postal service and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Pulmonary Arterial Hypertension Initial Grandfather dual therapy authority application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was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r>
            <w:r w:rsidRPr="006D52A9">
              <w:rPr>
                <w:rFonts w:ascii="Arial" w:hAnsi="Arial" w:cs="Arial"/>
                <w:sz w:val="16"/>
                <w:szCs w:val="16"/>
              </w:rPr>
              <w:lastRenderedPageBreak/>
              <w:t>(2) ECHO composite assessment only.</w:t>
            </w:r>
            <w:r w:rsidRPr="006D52A9">
              <w:rPr>
                <w:rFonts w:ascii="Arial" w:hAnsi="Arial" w:cs="Arial"/>
                <w:sz w:val="16"/>
                <w:szCs w:val="16"/>
              </w:rPr>
              <w:br/>
              <w:t>Where fewer than 3 tests were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could 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A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 for dual therapy for this condition.</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2953AF4"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561E4" w14:paraId="2D1B3450" w14:textId="77777777" w:rsidTr="00FB6D2D">
        <w:tc>
          <w:tcPr>
            <w:tcW w:w="647" w:type="pct"/>
            <w:tcBorders>
              <w:bottom w:val="single" w:sz="4" w:space="0" w:color="auto"/>
            </w:tcBorders>
            <w:shd w:val="clear" w:color="auto" w:fill="auto"/>
            <w:tcMar>
              <w:top w:w="28" w:type="dxa"/>
              <w:left w:w="28" w:type="dxa"/>
            </w:tcMar>
          </w:tcPr>
          <w:p w14:paraId="67981136"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FD9359C"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C11325</w:t>
            </w:r>
          </w:p>
        </w:tc>
        <w:tc>
          <w:tcPr>
            <w:tcW w:w="274" w:type="pct"/>
            <w:tcBorders>
              <w:bottom w:val="single" w:sz="4" w:space="0" w:color="auto"/>
            </w:tcBorders>
            <w:shd w:val="clear" w:color="auto" w:fill="auto"/>
            <w:tcMar>
              <w:top w:w="28" w:type="dxa"/>
              <w:left w:w="28" w:type="dxa"/>
            </w:tcMar>
          </w:tcPr>
          <w:p w14:paraId="5AEA7836"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012A7F3"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Initial 3 (dual therapy </w:t>
            </w:r>
            <w:r w:rsidR="0026100E">
              <w:rPr>
                <w:rFonts w:ascii="Arial" w:hAnsi="Arial" w:cs="Arial"/>
                <w:sz w:val="16"/>
                <w:szCs w:val="16"/>
              </w:rPr>
              <w:noBreakHyphen/>
            </w:r>
            <w:r w:rsidRPr="006D52A9">
              <w:rPr>
                <w:rFonts w:ascii="Arial" w:hAnsi="Arial" w:cs="Arial"/>
                <w:sz w:val="16"/>
                <w:szCs w:val="16"/>
              </w:rPr>
              <w:t xml:space="preserve"> change)</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5 inhibitor is one of: (a) sildenafil, (b) tadalafil; a 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16C20A8B"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7561E4" w14:paraId="15B0BA88" w14:textId="77777777" w:rsidTr="00FB6D2D">
        <w:tc>
          <w:tcPr>
            <w:tcW w:w="647" w:type="pct"/>
            <w:tcBorders>
              <w:bottom w:val="single" w:sz="4" w:space="0" w:color="auto"/>
            </w:tcBorders>
            <w:shd w:val="clear" w:color="auto" w:fill="auto"/>
            <w:tcMar>
              <w:top w:w="28" w:type="dxa"/>
              <w:left w:w="28" w:type="dxa"/>
            </w:tcMar>
          </w:tcPr>
          <w:p w14:paraId="07B2B549"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DE16B49"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C11343</w:t>
            </w:r>
          </w:p>
        </w:tc>
        <w:tc>
          <w:tcPr>
            <w:tcW w:w="274" w:type="pct"/>
            <w:tcBorders>
              <w:bottom w:val="single" w:sz="4" w:space="0" w:color="auto"/>
            </w:tcBorders>
            <w:shd w:val="clear" w:color="auto" w:fill="auto"/>
            <w:tcMar>
              <w:top w:w="28" w:type="dxa"/>
              <w:left w:w="28" w:type="dxa"/>
            </w:tcMar>
          </w:tcPr>
          <w:p w14:paraId="7BDDD171"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07B8DB0F"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1 (new patients)</w:t>
            </w:r>
            <w:r w:rsidRPr="006D52A9">
              <w:rPr>
                <w:rFonts w:ascii="Arial" w:hAnsi="Arial" w:cs="Arial"/>
                <w:sz w:val="16"/>
                <w:szCs w:val="16"/>
              </w:rPr>
              <w:br/>
              <w:t>Patient must not have received prior PBS</w:t>
            </w:r>
            <w:r w:rsidR="0026100E">
              <w:rPr>
                <w:rFonts w:ascii="Arial" w:hAnsi="Arial" w:cs="Arial"/>
                <w:sz w:val="16"/>
                <w:szCs w:val="16"/>
              </w:rPr>
              <w:noBreakHyphen/>
            </w:r>
            <w:r w:rsidRPr="006D52A9">
              <w:rPr>
                <w:rFonts w:ascii="Arial" w:hAnsi="Arial" w:cs="Arial"/>
                <w:sz w:val="16"/>
                <w:szCs w:val="16"/>
              </w:rPr>
              <w:t>subsidised treatment with a pulmonary arterial hypertension (PAH) agent; AND</w:t>
            </w:r>
            <w:r w:rsidRPr="006D52A9">
              <w:rPr>
                <w:rFonts w:ascii="Arial" w:hAnsi="Arial" w:cs="Arial"/>
                <w:sz w:val="16"/>
                <w:szCs w:val="16"/>
              </w:rPr>
              <w:br/>
              <w:t>Patient must have WHO Functional Class III drug and toxins induced PAH, or WHO Functional Class IV PAH;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r>
            <w:r w:rsidRPr="006D52A9">
              <w:rPr>
                <w:rFonts w:ascii="Arial" w:hAnsi="Arial" w:cs="Arial"/>
                <w:sz w:val="16"/>
                <w:szCs w:val="16"/>
              </w:rPr>
              <w:lastRenderedPageBreak/>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Applications for authorisation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Pulmonary Arterial Hypertension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results from the three tests below, where available:</w:t>
            </w:r>
            <w:r w:rsidRPr="006D52A9">
              <w:rPr>
                <w:rFonts w:ascii="Arial" w:hAnsi="Arial" w:cs="Arial"/>
                <w:sz w:val="16"/>
                <w:szCs w:val="16"/>
              </w:rPr>
              <w:br/>
              <w:t>(i) RHC composite assessment; and</w:t>
            </w:r>
            <w:r w:rsidRPr="006D52A9">
              <w:rPr>
                <w:rFonts w:ascii="Arial" w:hAnsi="Arial" w:cs="Arial"/>
                <w:sz w:val="16"/>
                <w:szCs w:val="16"/>
              </w:rPr>
              <w:br/>
              <w:t>(ii) ECHO composite assessment; and</w:t>
            </w:r>
            <w:r w:rsidRPr="006D52A9">
              <w:rPr>
                <w:rFonts w:ascii="Arial" w:hAnsi="Arial" w:cs="Arial"/>
                <w:sz w:val="16"/>
                <w:szCs w:val="16"/>
              </w:rPr>
              <w:br/>
              <w:t>(iii) 6 Minute Walk Test (6MWT).</w:t>
            </w:r>
            <w:r w:rsidRPr="006D52A9">
              <w:rPr>
                <w:rFonts w:ascii="Arial"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(1) RHC plus ECHO composite assessments;</w:t>
            </w:r>
            <w:r w:rsidRPr="006D52A9">
              <w:rPr>
                <w:rFonts w:ascii="Arial" w:hAnsi="Arial" w:cs="Arial"/>
                <w:sz w:val="16"/>
                <w:szCs w:val="16"/>
              </w:rPr>
              <w:br/>
              <w:t>(2) RHC composite assessment plus 6MWT;</w:t>
            </w:r>
            <w:r w:rsidRPr="006D52A9">
              <w:rPr>
                <w:rFonts w:ascii="Arial" w:hAnsi="Arial" w:cs="Arial"/>
                <w:sz w:val="16"/>
                <w:szCs w:val="16"/>
              </w:rPr>
              <w:br/>
              <w:t>(3) RHC composite assessment only.</w:t>
            </w:r>
            <w:r w:rsidRPr="006D52A9">
              <w:rPr>
                <w:rFonts w:ascii="Arial"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hAnsi="Arial" w:cs="Arial"/>
                <w:sz w:val="16"/>
                <w:szCs w:val="16"/>
              </w:rPr>
              <w:br/>
              <w:t>(1) ECHO composite assessment plus 6MWT;</w:t>
            </w:r>
            <w:r w:rsidRPr="006D52A9">
              <w:rPr>
                <w:rFonts w:ascii="Arial" w:hAnsi="Arial" w:cs="Arial"/>
                <w:sz w:val="16"/>
                <w:szCs w:val="16"/>
              </w:rPr>
              <w:br/>
              <w:t>(2) ECHO composite assessment only.</w:t>
            </w:r>
            <w:r w:rsidRPr="006D52A9">
              <w:rPr>
                <w:rFonts w:ascii="Arial"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hAnsi="Arial" w:cs="Arial"/>
                <w:sz w:val="16"/>
                <w:szCs w:val="16"/>
              </w:rPr>
              <w:br/>
              <w:t>The test results provided must not be more than 2 months old at the time of application.</w:t>
            </w:r>
            <w:r w:rsidRPr="006D52A9">
              <w:rPr>
                <w:rFonts w:ascii="Arial" w:hAnsi="Arial" w:cs="Arial"/>
                <w:sz w:val="16"/>
                <w:szCs w:val="16"/>
              </w:rPr>
              <w:br/>
              <w:t>The maximum quantity authorised will be limited to provide sufficient supply for 1 month of treatment, based on the dosage recommendations in the Therapeutic Goods Administration (TGA) 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59B87D6E"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7561E4" w14:paraId="7A043146" w14:textId="77777777" w:rsidTr="00FB6D2D">
        <w:tc>
          <w:tcPr>
            <w:tcW w:w="647" w:type="pct"/>
            <w:tcBorders>
              <w:bottom w:val="single" w:sz="4" w:space="0" w:color="auto"/>
            </w:tcBorders>
            <w:shd w:val="clear" w:color="auto" w:fill="auto"/>
            <w:tcMar>
              <w:top w:w="28" w:type="dxa"/>
              <w:left w:w="28" w:type="dxa"/>
            </w:tcMar>
          </w:tcPr>
          <w:p w14:paraId="37F0B784"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28BD2111"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C11345</w:t>
            </w:r>
          </w:p>
        </w:tc>
        <w:tc>
          <w:tcPr>
            <w:tcW w:w="274" w:type="pct"/>
            <w:tcBorders>
              <w:bottom w:val="single" w:sz="4" w:space="0" w:color="auto"/>
            </w:tcBorders>
            <w:shd w:val="clear" w:color="auto" w:fill="auto"/>
            <w:tcMar>
              <w:top w:w="28" w:type="dxa"/>
              <w:left w:w="28" w:type="dxa"/>
            </w:tcMar>
          </w:tcPr>
          <w:p w14:paraId="7AAA420B"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0B49B07"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 (dual therapy)</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hAnsi="Arial" w:cs="Arial"/>
                <w:sz w:val="16"/>
                <w:szCs w:val="16"/>
              </w:rPr>
              <w:noBreakHyphen/>
            </w:r>
            <w:r w:rsidRPr="006D52A9">
              <w:rPr>
                <w:rFonts w:ascii="Arial" w:hAnsi="Arial" w:cs="Arial"/>
                <w:sz w:val="16"/>
                <w:szCs w:val="16"/>
              </w:rPr>
              <w:t>subsidised supply;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r>
            <w:r w:rsidRPr="006D52A9">
              <w:rPr>
                <w:rFonts w:ascii="Arial" w:hAnsi="Arial" w:cs="Arial"/>
                <w:sz w:val="16"/>
                <w:szCs w:val="16"/>
              </w:rPr>
              <w:lastRenderedPageBreak/>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 phosphodiesterase</w:t>
            </w:r>
            <w:r w:rsidR="0026100E">
              <w:rPr>
                <w:rFonts w:ascii="Arial" w:hAnsi="Arial" w:cs="Arial"/>
                <w:sz w:val="16"/>
                <w:szCs w:val="16"/>
              </w:rPr>
              <w:noBreakHyphen/>
            </w:r>
            <w:r w:rsidRPr="006D52A9">
              <w:rPr>
                <w:rFonts w:ascii="Arial" w:hAnsi="Arial" w:cs="Arial"/>
                <w:sz w:val="16"/>
                <w:szCs w:val="16"/>
              </w:rPr>
              <w:t>5 inhibitor is one of: (a) sildenafil, (b) tadalafil; a prostanoid is one of: (c) epoprostenol, (d)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5BAC3F45"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7561E4" w14:paraId="22F56530" w14:textId="77777777" w:rsidTr="00FB6D2D">
        <w:tc>
          <w:tcPr>
            <w:tcW w:w="647" w:type="pct"/>
            <w:tcBorders>
              <w:bottom w:val="single" w:sz="4" w:space="0" w:color="auto"/>
            </w:tcBorders>
            <w:shd w:val="clear" w:color="auto" w:fill="auto"/>
            <w:tcMar>
              <w:top w:w="28" w:type="dxa"/>
              <w:left w:w="28" w:type="dxa"/>
            </w:tcMar>
          </w:tcPr>
          <w:p w14:paraId="0DE34A43"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3A49B51"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C11356</w:t>
            </w:r>
          </w:p>
        </w:tc>
        <w:tc>
          <w:tcPr>
            <w:tcW w:w="274" w:type="pct"/>
            <w:tcBorders>
              <w:bottom w:val="single" w:sz="4" w:space="0" w:color="auto"/>
            </w:tcBorders>
            <w:shd w:val="clear" w:color="auto" w:fill="auto"/>
            <w:tcMar>
              <w:top w:w="28" w:type="dxa"/>
              <w:left w:w="28" w:type="dxa"/>
            </w:tcMar>
          </w:tcPr>
          <w:p w14:paraId="3CE76E5C"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5818389"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2 (starting dual therapy in a treated patient for the first time)</w:t>
            </w:r>
            <w:r w:rsidRPr="006D52A9">
              <w:rPr>
                <w:rFonts w:ascii="Arial" w:hAnsi="Arial" w:cs="Arial"/>
                <w:sz w:val="16"/>
                <w:szCs w:val="16"/>
              </w:rPr>
              <w:br/>
              <w:t>The condition must be PAH of WHO Functional Class III severity at the time dual therapy is initiated; OR</w:t>
            </w:r>
            <w:r w:rsidRPr="006D52A9">
              <w:rPr>
                <w:rFonts w:ascii="Arial" w:hAnsi="Arial" w:cs="Arial"/>
                <w:sz w:val="16"/>
                <w:szCs w:val="16"/>
              </w:rPr>
              <w:br/>
              <w:t>The condition must be PAH of WHO Functional Class IV severity at the time dual therapy is initiated; AND</w:t>
            </w:r>
            <w:r w:rsidRPr="006D52A9">
              <w:rPr>
                <w:rFonts w:ascii="Arial" w:hAnsi="Arial" w:cs="Arial"/>
                <w:sz w:val="16"/>
                <w:szCs w:val="16"/>
              </w:rPr>
              <w:br/>
              <w:t>Patient must have failed to achieve/maintain WHO Functional Class II status with at least one of the following PBS</w:t>
            </w:r>
            <w:r w:rsidR="0026100E">
              <w:rPr>
                <w:rFonts w:ascii="Arial" w:hAnsi="Arial" w:cs="Arial"/>
                <w:sz w:val="16"/>
                <w:szCs w:val="16"/>
              </w:rPr>
              <w:noBreakHyphen/>
            </w:r>
            <w:r w:rsidRPr="006D52A9">
              <w:rPr>
                <w:rFonts w:ascii="Arial" w:hAnsi="Arial" w:cs="Arial"/>
                <w:sz w:val="16"/>
                <w:szCs w:val="16"/>
              </w:rPr>
              <w:t>subsidised therapies: (i) endothelin receptor antagonist monotherapy, (ii) phosphodiesterase</w:t>
            </w:r>
            <w:r w:rsidR="0026100E">
              <w:rPr>
                <w:rFonts w:ascii="Arial" w:hAnsi="Arial" w:cs="Arial"/>
                <w:sz w:val="16"/>
                <w:szCs w:val="16"/>
              </w:rPr>
              <w:noBreakHyphen/>
            </w:r>
            <w:r w:rsidRPr="006D52A9">
              <w:rPr>
                <w:rFonts w:ascii="Arial" w:hAnsi="Arial" w:cs="Arial"/>
                <w:sz w:val="16"/>
                <w:szCs w:val="16"/>
              </w:rPr>
              <w:t>5 inhibitor monotherapy, (iii) prostanoid monotherapy; AND</w:t>
            </w:r>
            <w:r w:rsidRPr="006D52A9">
              <w:rPr>
                <w:rFonts w:ascii="Arial" w:hAnsi="Arial" w:cs="Arial"/>
                <w:sz w:val="16"/>
                <w:szCs w:val="16"/>
              </w:rPr>
              <w:br/>
              <w:t>The treatment must form part of dual combination therapy consisting of: (i) one prostanoid, (ii) one phosphodiesterase</w:t>
            </w:r>
            <w:r w:rsidR="0026100E">
              <w:rPr>
                <w:rFonts w:ascii="Arial" w:hAnsi="Arial" w:cs="Arial"/>
                <w:sz w:val="16"/>
                <w:szCs w:val="16"/>
              </w:rPr>
              <w:noBreakHyphen/>
            </w:r>
            <w:r w:rsidRPr="006D52A9">
              <w:rPr>
                <w:rFonts w:ascii="Arial" w:hAnsi="Arial" w:cs="Arial"/>
                <w:sz w:val="16"/>
                <w:szCs w:val="16"/>
              </w:rPr>
              <w:t>5 inhibitor.</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 a prostanoid is one of: (f) epoprostenol, (g) iloprost.</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hAnsi="Arial" w:cs="Arial"/>
                <w:sz w:val="16"/>
                <w:szCs w:val="16"/>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49FD685"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7561E4" w14:paraId="19EB5E31" w14:textId="77777777" w:rsidTr="00FB6D2D">
        <w:tc>
          <w:tcPr>
            <w:tcW w:w="647" w:type="pct"/>
            <w:tcBorders>
              <w:bottom w:val="single" w:sz="4" w:space="0" w:color="auto"/>
            </w:tcBorders>
            <w:shd w:val="clear" w:color="auto" w:fill="auto"/>
            <w:tcMar>
              <w:top w:w="28" w:type="dxa"/>
              <w:left w:w="28" w:type="dxa"/>
            </w:tcMar>
          </w:tcPr>
          <w:p w14:paraId="3B37B71B" w14:textId="77777777" w:rsidR="008F47B8" w:rsidRPr="006D52A9" w:rsidDel="007561E4" w:rsidRDefault="008F47B8" w:rsidP="00FB6D2D">
            <w:pPr>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3786A63"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C11365</w:t>
            </w:r>
          </w:p>
        </w:tc>
        <w:tc>
          <w:tcPr>
            <w:tcW w:w="274" w:type="pct"/>
            <w:tcBorders>
              <w:bottom w:val="single" w:sz="4" w:space="0" w:color="auto"/>
            </w:tcBorders>
            <w:shd w:val="clear" w:color="auto" w:fill="auto"/>
            <w:tcMar>
              <w:top w:w="28" w:type="dxa"/>
              <w:left w:w="28" w:type="dxa"/>
            </w:tcMar>
          </w:tcPr>
          <w:p w14:paraId="1D96412B" w14:textId="77777777" w:rsidR="008F47B8" w:rsidRPr="006D52A9" w:rsidDel="007561E4"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84EC2FF"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w:t>
            </w:r>
            <w:r w:rsidRPr="006D52A9">
              <w:rPr>
                <w:rFonts w:ascii="Arial" w:hAnsi="Arial" w:cs="Arial"/>
                <w:sz w:val="16"/>
                <w:szCs w:val="16"/>
              </w:rPr>
              <w:br/>
              <w:t>Patient must have received their most recent course of PBS</w:t>
            </w:r>
            <w:r w:rsidR="0026100E">
              <w:rPr>
                <w:rFonts w:ascii="Arial" w:hAnsi="Arial" w:cs="Arial"/>
                <w:sz w:val="16"/>
                <w:szCs w:val="16"/>
              </w:rPr>
              <w:noBreakHyphen/>
            </w:r>
            <w:r w:rsidRPr="006D52A9">
              <w:rPr>
                <w:rFonts w:ascii="Arial" w:hAnsi="Arial" w:cs="Arial"/>
                <w:sz w:val="16"/>
                <w:szCs w:val="16"/>
              </w:rPr>
              <w:t xml:space="preserve">subsidised treatment with this PAH agent </w:t>
            </w:r>
            <w:r w:rsidRPr="006D52A9">
              <w:rPr>
                <w:rFonts w:ascii="Arial" w:hAnsi="Arial" w:cs="Arial"/>
                <w:sz w:val="16"/>
                <w:szCs w:val="16"/>
              </w:rPr>
              <w:lastRenderedPageBreak/>
              <w:t>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PAH agent for this condition.</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The term 'PAH agents' refers to bosentan monohydrate, iloprost trometamol, epoprostenol sodium, sildenafil citrate, ambrisentan, tadalafil, macitentan, and riociguat.</w:t>
            </w:r>
            <w:r w:rsidRPr="006D52A9">
              <w:rPr>
                <w:rFonts w:ascii="Arial" w:hAnsi="Arial" w:cs="Arial"/>
                <w:sz w:val="16"/>
                <w:szCs w:val="16"/>
              </w:rPr>
              <w:br/>
              <w:t>PAH agents are not PBS</w:t>
            </w:r>
            <w:r w:rsidR="0026100E">
              <w:rPr>
                <w:rFonts w:ascii="Arial" w:hAnsi="Arial" w:cs="Arial"/>
                <w:sz w:val="16"/>
                <w:szCs w:val="16"/>
              </w:rPr>
              <w:noBreakHyphen/>
            </w:r>
            <w:r w:rsidRPr="006D52A9">
              <w:rPr>
                <w:rFonts w:ascii="Arial"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The maximum quantity authorised will be limited to provide sufficient supply for 1 month of treatment,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709B8933" w14:textId="77777777" w:rsidR="008F47B8" w:rsidRPr="006D52A9" w:rsidDel="007561E4"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14:paraId="29C9F6A1" w14:textId="77777777" w:rsidTr="00FB6D2D">
        <w:tc>
          <w:tcPr>
            <w:tcW w:w="647" w:type="pct"/>
            <w:tcBorders>
              <w:bottom w:val="single" w:sz="4" w:space="0" w:color="auto"/>
            </w:tcBorders>
            <w:shd w:val="clear" w:color="auto" w:fill="auto"/>
            <w:tcMar>
              <w:top w:w="28" w:type="dxa"/>
              <w:left w:w="28" w:type="dxa"/>
            </w:tcMar>
          </w:tcPr>
          <w:p w14:paraId="75895098" w14:textId="77777777" w:rsidR="008F47B8" w:rsidRPr="006D52A9" w:rsidRDefault="008F47B8" w:rsidP="00FB6D2D">
            <w:pPr>
              <w:spacing w:line="240" w:lineRule="auto"/>
              <w:rPr>
                <w:rFonts w:ascii="Arial" w:hAnsi="Arial" w:cs="Arial"/>
                <w:sz w:val="16"/>
                <w:szCs w:val="16"/>
              </w:rPr>
            </w:pPr>
            <w:bookmarkStart w:id="132" w:name="CU_240414482"/>
            <w:bookmarkStart w:id="133" w:name="CU_242415121"/>
            <w:bookmarkStart w:id="134" w:name="CU_243415454"/>
            <w:bookmarkStart w:id="135" w:name="CU_244420048"/>
            <w:bookmarkStart w:id="136" w:name="CU_246431254"/>
            <w:bookmarkStart w:id="137" w:name="CU_247434319"/>
            <w:bookmarkStart w:id="138" w:name="CU_248438750"/>
            <w:bookmarkStart w:id="139" w:name="CU_249441341"/>
            <w:bookmarkStart w:id="140" w:name="CU_250446197"/>
            <w:bookmarkStart w:id="141" w:name="CU_253456017"/>
            <w:bookmarkStart w:id="142" w:name="CU_254459330"/>
            <w:bookmarkStart w:id="143" w:name="CU_255461978"/>
            <w:bookmarkStart w:id="144" w:name="CU_271514967"/>
            <w:bookmarkStart w:id="145" w:name="CU_2725181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D52A9">
              <w:rPr>
                <w:rFonts w:ascii="Arial" w:hAnsi="Arial" w:cs="Arial"/>
                <w:sz w:val="16"/>
                <w:szCs w:val="16"/>
              </w:rPr>
              <w:t>Infliximab</w:t>
            </w:r>
          </w:p>
        </w:tc>
        <w:tc>
          <w:tcPr>
            <w:tcW w:w="283" w:type="pct"/>
            <w:tcBorders>
              <w:bottom w:val="single" w:sz="4" w:space="0" w:color="auto"/>
            </w:tcBorders>
            <w:shd w:val="clear" w:color="auto" w:fill="auto"/>
            <w:tcMar>
              <w:top w:w="28" w:type="dxa"/>
              <w:left w:w="28" w:type="dxa"/>
            </w:tcMar>
          </w:tcPr>
          <w:p w14:paraId="2FE5CC6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C4524</w:t>
            </w:r>
          </w:p>
        </w:tc>
        <w:tc>
          <w:tcPr>
            <w:tcW w:w="274" w:type="pct"/>
            <w:tcBorders>
              <w:bottom w:val="single" w:sz="4" w:space="0" w:color="auto"/>
            </w:tcBorders>
            <w:shd w:val="clear" w:color="auto" w:fill="auto"/>
            <w:tcMar>
              <w:top w:w="28" w:type="dxa"/>
              <w:left w:w="28" w:type="dxa"/>
            </w:tcMar>
          </w:tcPr>
          <w:p w14:paraId="1DDF8EEB" w14:textId="77777777" w:rsidR="008F47B8" w:rsidRPr="006D52A9" w:rsidRDefault="008F47B8" w:rsidP="00FB6D2D">
            <w:pPr>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47A9EB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Acute severe ulcerative colitis</w:t>
            </w:r>
            <w:r w:rsidRPr="006D52A9">
              <w:rPr>
                <w:szCs w:val="16"/>
              </w:rPr>
              <w:br/>
            </w:r>
            <w:r w:rsidRPr="006D52A9">
              <w:rPr>
                <w:rFonts w:ascii="Arial" w:hAnsi="Arial" w:cs="Arial"/>
                <w:sz w:val="16"/>
                <w:szCs w:val="16"/>
              </w:rPr>
              <w:t>Must be treated by a gastroenterologist; OR</w:t>
            </w:r>
            <w:r w:rsidRPr="006D52A9">
              <w:rPr>
                <w:szCs w:val="16"/>
              </w:rPr>
              <w:br/>
            </w:r>
            <w:r w:rsidRPr="006D52A9">
              <w:rPr>
                <w:rFonts w:ascii="Arial" w:hAnsi="Arial" w:cs="Arial"/>
                <w:sz w:val="16"/>
                <w:szCs w:val="16"/>
              </w:rPr>
              <w:t>Must be treated by a consultant physician [internal medicine specialising in gastroenterology, or general medicine specialising in gastroenterology].</w:t>
            </w:r>
            <w:r w:rsidRPr="006D52A9">
              <w:rPr>
                <w:szCs w:val="16"/>
              </w:rPr>
              <w:br/>
            </w:r>
            <w:r w:rsidRPr="006D52A9">
              <w:rPr>
                <w:rFonts w:ascii="Arial" w:hAnsi="Arial" w:cs="Arial"/>
                <w:sz w:val="16"/>
                <w:szCs w:val="16"/>
              </w:rPr>
              <w:t>Patient must have received an infusion of infliximab for the treatment of this condition as a hospital inpatient no more than two weeks prior to the date of the authority application; AND</w:t>
            </w:r>
            <w:r w:rsidRPr="006D52A9">
              <w:rPr>
                <w:szCs w:val="16"/>
              </w:rPr>
              <w:br/>
            </w:r>
            <w:r w:rsidRPr="006D52A9">
              <w:rPr>
                <w:rFonts w:ascii="Arial" w:hAnsi="Arial" w:cs="Arial"/>
                <w:sz w:val="16"/>
                <w:szCs w:val="16"/>
              </w:rP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6D52A9">
              <w:rPr>
                <w:szCs w:val="16"/>
              </w:rPr>
              <w:br/>
            </w:r>
            <w:r w:rsidRPr="006D52A9">
              <w:rPr>
                <w:rFonts w:ascii="Arial" w:hAnsi="Arial" w:cs="Arial"/>
                <w:sz w:val="16"/>
                <w:szCs w:val="16"/>
              </w:rP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6D52A9">
              <w:rPr>
                <w:szCs w:val="16"/>
              </w:rPr>
              <w:br/>
            </w:r>
            <w:r w:rsidRPr="006D52A9">
              <w:rPr>
                <w:rFonts w:ascii="Arial" w:hAnsi="Arial" w:cs="Arial"/>
                <w:sz w:val="16"/>
                <w:szCs w:val="16"/>
              </w:rPr>
              <w:t>Patient must have failed to achieve an adequate response to at least 72 hours treatment with intravenous corticosteroids prior to initiation of infliximab treatment in hospital.</w:t>
            </w:r>
            <w:r w:rsidRPr="006D52A9">
              <w:rPr>
                <w:szCs w:val="16"/>
              </w:rPr>
              <w:br/>
            </w:r>
            <w:r w:rsidRPr="006D52A9">
              <w:rPr>
                <w:rFonts w:ascii="Arial" w:hAnsi="Arial" w:cs="Arial"/>
                <w:sz w:val="16"/>
                <w:szCs w:val="16"/>
              </w:rPr>
              <w:t>Patient must be 6 years of age or older.</w:t>
            </w:r>
            <w:r w:rsidRPr="006D52A9">
              <w:rPr>
                <w:szCs w:val="16"/>
              </w:rPr>
              <w:br/>
            </w:r>
            <w:r w:rsidRPr="006D52A9">
              <w:rPr>
                <w:rFonts w:ascii="Arial" w:hAnsi="Arial" w:cs="Arial"/>
                <w:sz w:val="16"/>
                <w:szCs w:val="16"/>
              </w:rPr>
              <w:t>For adults aged 18 years or older, failure to achieve an adequate response to intravenous corticosteroid treatment is defined by the Oxford criteria where:</w:t>
            </w:r>
            <w:r w:rsidRPr="006D52A9">
              <w:rPr>
                <w:szCs w:val="16"/>
              </w:rPr>
              <w:br/>
            </w:r>
            <w:r w:rsidRPr="006D52A9">
              <w:rPr>
                <w:rFonts w:ascii="Arial" w:hAnsi="Arial" w:cs="Arial"/>
                <w:sz w:val="16"/>
                <w:szCs w:val="16"/>
              </w:rPr>
              <w:t>(i) If assessed on day 3, patients pass 8 or more stools per day or 3 or more stools per day with a C</w:t>
            </w:r>
            <w:r w:rsidR="0026100E">
              <w:rPr>
                <w:rFonts w:ascii="Arial" w:hAnsi="Arial" w:cs="Arial"/>
                <w:sz w:val="16"/>
                <w:szCs w:val="16"/>
              </w:rPr>
              <w:noBreakHyphen/>
            </w:r>
            <w:r w:rsidRPr="006D52A9">
              <w:rPr>
                <w:rFonts w:ascii="Arial" w:hAnsi="Arial" w:cs="Arial"/>
                <w:sz w:val="16"/>
                <w:szCs w:val="16"/>
              </w:rPr>
              <w:t>reactive protein (CRP) greater than 45 mg/L</w:t>
            </w:r>
            <w:r w:rsidRPr="006D52A9">
              <w:rPr>
                <w:szCs w:val="16"/>
              </w:rPr>
              <w:br/>
            </w:r>
            <w:r w:rsidRPr="006D52A9">
              <w:rPr>
                <w:rFonts w:ascii="Arial" w:hAnsi="Arial" w:cs="Arial"/>
                <w:sz w:val="16"/>
                <w:szCs w:val="16"/>
              </w:rPr>
              <w:t>(ii) If assessed on day 7, patients pass 3 or more stools per day with visible blood.</w:t>
            </w:r>
            <w:r w:rsidRPr="006D52A9">
              <w:rPr>
                <w:szCs w:val="16"/>
              </w:rPr>
              <w:br/>
            </w:r>
            <w:r w:rsidRPr="006D52A9">
              <w:rPr>
                <w:rFonts w:ascii="Arial" w:hAnsi="Arial" w:cs="Arial"/>
                <w:sz w:val="16"/>
                <w:szCs w:val="16"/>
              </w:rPr>
              <w:t>For children aged 6 to 17 years, failure to achieve an adequate response to intravenous corticosteroids means a PUCAI score greater than 45 at 72 hours.</w:t>
            </w:r>
            <w:r w:rsidRPr="006D52A9">
              <w:rPr>
                <w:szCs w:val="16"/>
              </w:rPr>
              <w:br/>
            </w:r>
            <w:r w:rsidRPr="006D52A9">
              <w:rPr>
                <w:rFonts w:ascii="Arial" w:hAnsi="Arial" w:cs="Arial"/>
                <w:sz w:val="16"/>
                <w:szCs w:val="16"/>
              </w:rPr>
              <w:t>At the time of authority application, prescribers should request the appropriate number of vials, based on the weight of the patient, to provide sufficient for a single infusion at a dose of 5 mg per kg.</w:t>
            </w:r>
            <w:r w:rsidRPr="006D52A9">
              <w:rPr>
                <w:szCs w:val="16"/>
              </w:rPr>
              <w:br/>
            </w:r>
            <w:r w:rsidRPr="006D52A9">
              <w:rPr>
                <w:rFonts w:ascii="Arial" w:hAnsi="Arial" w:cs="Arial"/>
                <w:sz w:val="16"/>
                <w:szCs w:val="16"/>
              </w:rP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r w:rsidRPr="006D52A9">
              <w:rPr>
                <w:szCs w:val="16"/>
              </w:rPr>
              <w:br/>
            </w:r>
            <w:r w:rsidRPr="006D52A9">
              <w:rPr>
                <w:rFonts w:ascii="Arial" w:hAnsi="Arial" w:cs="Arial"/>
                <w:sz w:val="16"/>
                <w:szCs w:val="16"/>
              </w:rPr>
              <w:t xml:space="preserve">Evidence that the patient meets the PBS restriction criteria must be recorded in the patient’s medical </w:t>
            </w:r>
            <w:r w:rsidRPr="006D52A9">
              <w:rPr>
                <w:rFonts w:ascii="Arial" w:hAnsi="Arial" w:cs="Arial"/>
                <w:sz w:val="16"/>
                <w:szCs w:val="16"/>
              </w:rPr>
              <w:lastRenderedPageBreak/>
              <w:t>records.</w:t>
            </w:r>
          </w:p>
        </w:tc>
        <w:tc>
          <w:tcPr>
            <w:tcW w:w="929" w:type="pct"/>
            <w:tcBorders>
              <w:bottom w:val="single" w:sz="4" w:space="0" w:color="auto"/>
            </w:tcBorders>
            <w:shd w:val="clear" w:color="auto" w:fill="auto"/>
            <w:tcMar>
              <w:top w:w="28" w:type="dxa"/>
              <w:left w:w="28" w:type="dxa"/>
              <w:right w:w="57" w:type="dxa"/>
            </w:tcMar>
          </w:tcPr>
          <w:p w14:paraId="0F28C2E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4524</w:t>
            </w:r>
          </w:p>
        </w:tc>
      </w:tr>
      <w:tr w:rsidR="008F47B8" w:rsidRPr="006D52A9" w:rsidDel="0038228E" w14:paraId="4256422F" w14:textId="77777777" w:rsidTr="00FB6D2D">
        <w:tc>
          <w:tcPr>
            <w:tcW w:w="647" w:type="pct"/>
            <w:tcMar>
              <w:top w:w="28" w:type="dxa"/>
              <w:left w:w="28" w:type="dxa"/>
            </w:tcMar>
          </w:tcPr>
          <w:p w14:paraId="440748BE" w14:textId="77777777" w:rsidR="008F47B8" w:rsidRPr="006D52A9" w:rsidRDefault="008F47B8" w:rsidP="00FB6D2D">
            <w:pPr>
              <w:spacing w:line="200" w:lineRule="atLeast"/>
              <w:rPr>
                <w:rFonts w:ascii="Arial" w:eastAsia="SimSun" w:hAnsi="Arial" w:cs="Arial"/>
                <w:sz w:val="16"/>
                <w:szCs w:val="16"/>
                <w:lang w:eastAsia="zh-CN"/>
              </w:rPr>
            </w:pPr>
            <w:bookmarkStart w:id="146" w:name="CU_273520816"/>
            <w:bookmarkStart w:id="147" w:name="CU_274523482"/>
            <w:bookmarkStart w:id="148" w:name="CU_275526211"/>
            <w:bookmarkStart w:id="149" w:name="CU_277531800"/>
            <w:bookmarkStart w:id="150" w:name="CU_278532492"/>
            <w:bookmarkStart w:id="151" w:name="CU_280538892"/>
            <w:bookmarkStart w:id="152" w:name="CU_281539974"/>
            <w:bookmarkStart w:id="153" w:name="CU_283548563"/>
            <w:bookmarkStart w:id="154" w:name="CU_285554312"/>
            <w:bookmarkStart w:id="155" w:name="CU_286554938"/>
            <w:bookmarkStart w:id="156" w:name="CU_292566018"/>
            <w:bookmarkEnd w:id="146"/>
            <w:bookmarkEnd w:id="147"/>
            <w:bookmarkEnd w:id="148"/>
            <w:bookmarkEnd w:id="149"/>
            <w:bookmarkEnd w:id="150"/>
            <w:bookmarkEnd w:id="151"/>
            <w:bookmarkEnd w:id="152"/>
            <w:bookmarkEnd w:id="153"/>
            <w:bookmarkEnd w:id="154"/>
            <w:bookmarkEnd w:id="155"/>
            <w:bookmarkEnd w:id="156"/>
          </w:p>
        </w:tc>
        <w:tc>
          <w:tcPr>
            <w:tcW w:w="283" w:type="pct"/>
            <w:tcMar>
              <w:top w:w="28" w:type="dxa"/>
              <w:left w:w="28" w:type="dxa"/>
            </w:tcMar>
          </w:tcPr>
          <w:p w14:paraId="667E7B16" w14:textId="77777777" w:rsidR="008F47B8" w:rsidRPr="006D52A9" w:rsidRDefault="008F47B8" w:rsidP="00FB6D2D">
            <w:pPr>
              <w:spacing w:line="200" w:lineRule="atLeast"/>
              <w:rPr>
                <w:rFonts w:ascii="Arial" w:hAnsi="Arial" w:cs="Arial"/>
                <w:sz w:val="16"/>
                <w:szCs w:val="16"/>
              </w:rPr>
            </w:pPr>
            <w:r w:rsidRPr="006D52A9">
              <w:rPr>
                <w:rFonts w:ascii="Arial" w:hAnsi="Arial" w:cs="Arial"/>
                <w:sz w:val="16"/>
                <w:szCs w:val="16"/>
              </w:rPr>
              <w:t>C7777</w:t>
            </w:r>
          </w:p>
        </w:tc>
        <w:tc>
          <w:tcPr>
            <w:tcW w:w="274" w:type="pct"/>
            <w:tcMar>
              <w:top w:w="28" w:type="dxa"/>
              <w:left w:w="28" w:type="dxa"/>
            </w:tcMar>
          </w:tcPr>
          <w:p w14:paraId="1D44E192" w14:textId="77777777" w:rsidR="008F47B8" w:rsidRPr="006D52A9" w:rsidDel="00E03489" w:rsidRDefault="008F47B8" w:rsidP="00FB6D2D">
            <w:pPr>
              <w:spacing w:line="200" w:lineRule="atLeast"/>
              <w:rPr>
                <w:rFonts w:ascii="Arial" w:eastAsia="SimSun" w:hAnsi="Arial" w:cs="Arial"/>
                <w:sz w:val="16"/>
                <w:szCs w:val="16"/>
                <w:lang w:eastAsia="zh-CN"/>
              </w:rPr>
            </w:pPr>
          </w:p>
        </w:tc>
        <w:tc>
          <w:tcPr>
            <w:tcW w:w="2867" w:type="pct"/>
            <w:tcMar>
              <w:top w:w="28" w:type="dxa"/>
              <w:left w:w="28" w:type="dxa"/>
            </w:tcMar>
          </w:tcPr>
          <w:p w14:paraId="768E6B10"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Complex refractory Fistulising Crohn disease</w:t>
            </w:r>
          </w:p>
          <w:p w14:paraId="50AE3A86"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Balance of supply</w:t>
            </w:r>
          </w:p>
          <w:p w14:paraId="47080E4E" w14:textId="77777777" w:rsidR="008F47B8" w:rsidRPr="006D52A9" w:rsidRDefault="008F47B8" w:rsidP="00FB6D2D">
            <w:pPr>
              <w:pStyle w:val="mps3-data"/>
              <w:spacing w:before="0"/>
              <w:rPr>
                <w:szCs w:val="16"/>
              </w:rPr>
            </w:pPr>
            <w:r w:rsidRPr="006D52A9">
              <w:rPr>
                <w:rFonts w:eastAsia="Times New Roman"/>
                <w:szCs w:val="16"/>
                <w:lang w:eastAsia="en-US"/>
              </w:rPr>
              <w:t>Must be treated by a gastroenterologist (code 87); OR</w:t>
            </w:r>
            <w:r w:rsidRPr="006D52A9">
              <w:rPr>
                <w:rFonts w:eastAsia="Times New Roman"/>
                <w:szCs w:val="16"/>
                <w:lang w:eastAsia="en-US"/>
              </w:rPr>
              <w:br/>
              <w:t>Must be treated by a consultant physician [internal medicine specialising in gastroenterology (code 81)]; OR</w:t>
            </w:r>
            <w:r w:rsidRPr="006D52A9">
              <w:rPr>
                <w:rFonts w:eastAsia="Times New Roman"/>
                <w:szCs w:val="16"/>
                <w:lang w:eastAsia="en-US"/>
              </w:rPr>
              <w:br/>
              <w:t>Must be treated by a consultant physician [general medicine specialising in gastroenterology (code 82)].</w:t>
            </w:r>
            <w:r w:rsidRPr="006D52A9">
              <w:rPr>
                <w:rFonts w:eastAsia="Times New Roman"/>
                <w:szCs w:val="16"/>
                <w:lang w:eastAsia="en-US"/>
              </w:rPr>
              <w:br/>
              <w:t xml:space="preserve">Patient must have received insufficient therapy with this drug for this condition under the Initial treatment (new patient or Recommencement of treatment after more than 5 years break in therapy </w:t>
            </w:r>
            <w:r w:rsidR="0026100E">
              <w:rPr>
                <w:rFonts w:eastAsia="Times New Roman"/>
                <w:szCs w:val="16"/>
                <w:lang w:eastAsia="en-US"/>
              </w:rPr>
              <w:noBreakHyphen/>
            </w:r>
            <w:r w:rsidRPr="006D52A9">
              <w:rPr>
                <w:rFonts w:eastAsia="Times New Roman"/>
                <w:szCs w:val="16"/>
                <w:lang w:eastAsia="en-US"/>
              </w:rPr>
              <w:t xml:space="preserve"> Initial 1) restriction to complete the 3 doses (the initial infusion regimen at 0, 2 and 6 weeks); OR</w:t>
            </w:r>
            <w:r w:rsidRPr="006D52A9">
              <w:rPr>
                <w:rFonts w:eastAsia="Times New Roman"/>
                <w:szCs w:val="16"/>
                <w:lang w:eastAsia="en-US"/>
              </w:rPr>
              <w:br/>
              <w:t>Patient must have received insufficient therapy with this drug for this condition under the Change or Re</w:t>
            </w:r>
            <w:r w:rsidR="0026100E">
              <w:rPr>
                <w:rFonts w:eastAsia="Times New Roman"/>
                <w:szCs w:val="16"/>
                <w:lang w:eastAsia="en-US"/>
              </w:rPr>
              <w:noBreakHyphen/>
            </w:r>
            <w:r w:rsidRPr="006D52A9">
              <w:rPr>
                <w:rFonts w:eastAsia="Times New Roman"/>
                <w:szCs w:val="16"/>
                <w:lang w:eastAsia="en-US"/>
              </w:rPr>
              <w:t>commencement of treatment after a break in therapy of less than 5 years (Initial 2) restriction to complete the 3 doses (the initial infusion regimen at 0, 2 and 6 weeks); OR</w:t>
            </w:r>
            <w:r w:rsidRPr="006D52A9">
              <w:rPr>
                <w:rFonts w:eastAsia="Times New Roman"/>
                <w:szCs w:val="16"/>
                <w:lang w:eastAsia="en-US"/>
              </w:rPr>
              <w:br/>
              <w:t>Patient must have received insufficient therapy with this drug for this condition under the first continuing treatment or subsequent continuing treatment restrictions to complete 24 weeks of treatment; AND</w:t>
            </w:r>
            <w:r w:rsidRPr="006D52A9">
              <w:rPr>
                <w:rFonts w:eastAsia="Times New Roman"/>
                <w:szCs w:val="16"/>
                <w:lang w:eastAsia="en-US"/>
              </w:rPr>
              <w:br/>
              <w:t>The treatment must provide no more than the balance of up to 3 doses (Initial 1 or Initial 2 treatment) or 2 repeats (first Continuing or Subsequent Continuing treatment).</w:t>
            </w:r>
          </w:p>
        </w:tc>
        <w:tc>
          <w:tcPr>
            <w:tcW w:w="929" w:type="pct"/>
            <w:tcMar>
              <w:top w:w="28" w:type="dxa"/>
              <w:left w:w="28" w:type="dxa"/>
              <w:right w:w="57" w:type="dxa"/>
            </w:tcMar>
          </w:tcPr>
          <w:p w14:paraId="1B19A832"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38228E" w14:paraId="64F6774D" w14:textId="77777777" w:rsidTr="00FB6D2D">
        <w:tc>
          <w:tcPr>
            <w:tcW w:w="647" w:type="pct"/>
            <w:tcMar>
              <w:top w:w="28" w:type="dxa"/>
              <w:left w:w="28" w:type="dxa"/>
            </w:tcMar>
          </w:tcPr>
          <w:p w14:paraId="0235CB83" w14:textId="77777777" w:rsidR="008F47B8" w:rsidRPr="006D52A9" w:rsidRDefault="008F47B8" w:rsidP="00FB6D2D">
            <w:pPr>
              <w:spacing w:line="200" w:lineRule="atLeast"/>
              <w:rPr>
                <w:rFonts w:ascii="Arial" w:eastAsia="SimSun" w:hAnsi="Arial" w:cs="Arial"/>
                <w:sz w:val="16"/>
                <w:szCs w:val="16"/>
                <w:lang w:eastAsia="zh-CN"/>
              </w:rPr>
            </w:pPr>
          </w:p>
        </w:tc>
        <w:tc>
          <w:tcPr>
            <w:tcW w:w="283" w:type="pct"/>
            <w:tcMar>
              <w:top w:w="28" w:type="dxa"/>
              <w:left w:w="28" w:type="dxa"/>
            </w:tcMar>
          </w:tcPr>
          <w:p w14:paraId="64CD0A2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C8296</w:t>
            </w:r>
          </w:p>
        </w:tc>
        <w:tc>
          <w:tcPr>
            <w:tcW w:w="274" w:type="pct"/>
            <w:tcMar>
              <w:top w:w="28" w:type="dxa"/>
              <w:left w:w="28" w:type="dxa"/>
            </w:tcMar>
          </w:tcPr>
          <w:p w14:paraId="290C32EC" w14:textId="77777777" w:rsidR="008F47B8" w:rsidRPr="006D52A9" w:rsidDel="00E03489" w:rsidRDefault="008F47B8" w:rsidP="00FB6D2D">
            <w:pPr>
              <w:spacing w:line="200" w:lineRule="atLeast"/>
              <w:rPr>
                <w:rFonts w:ascii="Arial" w:eastAsia="SimSun" w:hAnsi="Arial" w:cs="Arial"/>
                <w:sz w:val="16"/>
                <w:szCs w:val="16"/>
                <w:lang w:eastAsia="zh-CN"/>
              </w:rPr>
            </w:pPr>
          </w:p>
        </w:tc>
        <w:tc>
          <w:tcPr>
            <w:tcW w:w="2867" w:type="pct"/>
            <w:tcMar>
              <w:top w:w="28" w:type="dxa"/>
              <w:left w:w="28" w:type="dxa"/>
            </w:tcMar>
          </w:tcPr>
          <w:p w14:paraId="540A58A8"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 xml:space="preserve">Continuing treatment, Whole body or Continuing treatment, Face, hand, foot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Patient must have received insufficient therapy with this drug under the first continuing treatment, Whole body restriction to complete 24 weeks treatment; OR</w:t>
            </w:r>
            <w:r w:rsidRPr="006D52A9">
              <w:rPr>
                <w:rFonts w:ascii="Arial" w:hAnsi="Arial" w:cs="Arial"/>
                <w:sz w:val="16"/>
                <w:szCs w:val="16"/>
              </w:rPr>
              <w:br/>
              <w:t>Patient must have received insufficient therapy with this drug under the first continuing treatment, Face, hand, foot restriction to complete 24 weeks treatment; OR</w:t>
            </w:r>
            <w:r w:rsidRPr="006D52A9">
              <w:rPr>
                <w:rFonts w:ascii="Arial" w:hAnsi="Arial" w:cs="Arial"/>
                <w:sz w:val="16"/>
                <w:szCs w:val="16"/>
              </w:rPr>
              <w:br/>
              <w:t>Patient must have received insufficient therapy with this drug under the subsequent continuing treatment Authority Required (in writing), Whole body restriction to complete 24 weeks treatment; OR</w:t>
            </w:r>
            <w:r w:rsidRPr="006D52A9">
              <w:rPr>
                <w:rFonts w:ascii="Arial" w:hAnsi="Arial" w:cs="Arial"/>
                <w:sz w:val="16"/>
                <w:szCs w:val="16"/>
              </w:rPr>
              <w:br/>
              <w:t>Patient must have received insufficient therapy with this drug under the subsequent continuing treatment Authority Required (in writing), Face, hand, foot restriction to complete 24 weeks treatment; AND</w:t>
            </w:r>
            <w:r w:rsidRPr="006D52A9">
              <w:rPr>
                <w:rFonts w:ascii="Arial" w:hAnsi="Arial" w:cs="Arial"/>
                <w:sz w:val="16"/>
                <w:szCs w:val="16"/>
              </w:rPr>
              <w:br/>
              <w:t>The treatment must provide no more than the balance of up to 24 weeks treatment available under the above restrictions; AND</w:t>
            </w:r>
            <w:r w:rsidRPr="006D52A9">
              <w:rPr>
                <w:rFonts w:ascii="Arial" w:hAnsi="Arial" w:cs="Arial"/>
                <w:sz w:val="16"/>
                <w:szCs w:val="16"/>
              </w:rPr>
              <w:br/>
              <w:t>The treatment must be as systemic monotherapy (other than methotrexate).</w:t>
            </w:r>
            <w:r w:rsidRPr="006D52A9">
              <w:rPr>
                <w:rFonts w:ascii="Arial" w:hAnsi="Arial" w:cs="Arial"/>
                <w:sz w:val="16"/>
                <w:szCs w:val="16"/>
              </w:rPr>
              <w:br/>
              <w:t>Must be treated by a dermatologist.</w:t>
            </w:r>
          </w:p>
        </w:tc>
        <w:tc>
          <w:tcPr>
            <w:tcW w:w="929" w:type="pct"/>
            <w:tcMar>
              <w:top w:w="28" w:type="dxa"/>
              <w:left w:w="28" w:type="dxa"/>
              <w:right w:w="57" w:type="dxa"/>
            </w:tcMar>
          </w:tcPr>
          <w:p w14:paraId="2BF80577"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AF5F81" w14:paraId="70D25801" w14:textId="77777777" w:rsidTr="00FB6D2D">
        <w:tc>
          <w:tcPr>
            <w:tcW w:w="647" w:type="pct"/>
            <w:tcMar>
              <w:top w:w="28" w:type="dxa"/>
              <w:left w:w="28" w:type="dxa"/>
            </w:tcMar>
          </w:tcPr>
          <w:p w14:paraId="5E4BB357" w14:textId="77777777" w:rsidR="008F47B8" w:rsidRPr="006D52A9" w:rsidDel="00AF5F81" w:rsidRDefault="008F47B8" w:rsidP="00FB6D2D">
            <w:pPr>
              <w:spacing w:after="60" w:line="240" w:lineRule="auto"/>
              <w:rPr>
                <w:rFonts w:ascii="Arial" w:hAnsi="Arial" w:cs="Arial"/>
                <w:sz w:val="16"/>
                <w:szCs w:val="16"/>
              </w:rPr>
            </w:pPr>
          </w:p>
        </w:tc>
        <w:tc>
          <w:tcPr>
            <w:tcW w:w="283" w:type="pct"/>
            <w:tcMar>
              <w:top w:w="28" w:type="dxa"/>
              <w:left w:w="28" w:type="dxa"/>
            </w:tcMar>
          </w:tcPr>
          <w:p w14:paraId="192BFFCD"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C8644</w:t>
            </w:r>
          </w:p>
        </w:tc>
        <w:tc>
          <w:tcPr>
            <w:tcW w:w="274" w:type="pct"/>
            <w:tcMar>
              <w:top w:w="28" w:type="dxa"/>
              <w:left w:w="28" w:type="dxa"/>
            </w:tcMar>
          </w:tcPr>
          <w:p w14:paraId="4801243A" w14:textId="77777777" w:rsidR="008F47B8" w:rsidRPr="006D52A9" w:rsidDel="00AF5F81" w:rsidRDefault="008F47B8" w:rsidP="00FB6D2D">
            <w:pPr>
              <w:spacing w:after="60" w:line="240" w:lineRule="auto"/>
              <w:rPr>
                <w:rFonts w:ascii="Arial" w:hAnsi="Arial" w:cs="Arial"/>
                <w:sz w:val="16"/>
                <w:szCs w:val="16"/>
              </w:rPr>
            </w:pPr>
          </w:p>
        </w:tc>
        <w:tc>
          <w:tcPr>
            <w:tcW w:w="2867" w:type="pct"/>
            <w:tcMar>
              <w:top w:w="28" w:type="dxa"/>
              <w:left w:w="28" w:type="dxa"/>
            </w:tcMar>
          </w:tcPr>
          <w:p w14:paraId="6ED7AD38"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Subsequent continuing treatment</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 xml:space="preserve">Patient must not receive more than 24 weeks of treatment per subsequent continuing treatment course </w:t>
            </w:r>
            <w:r w:rsidRPr="006D52A9">
              <w:rPr>
                <w:rFonts w:ascii="Arial" w:hAnsi="Arial" w:cs="Arial"/>
                <w:sz w:val="16"/>
                <w:szCs w:val="16"/>
              </w:rPr>
              <w:lastRenderedPageBreak/>
              <w:t>authorised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An adequate response to treatment is defined as:</w:t>
            </w:r>
            <w:r w:rsidRPr="006D52A9">
              <w:rPr>
                <w:rFonts w:ascii="Arial" w:hAnsi="Arial" w:cs="Arial"/>
                <w:sz w:val="16"/>
                <w:szCs w:val="16"/>
              </w:rPr>
              <w:br/>
              <w:t>an ESR no greater than 25 mm per hour or a CRP level no greater than 15 mg per L or either marker reduced by at least 20% from baseline;</w:t>
            </w:r>
            <w:r w:rsidRPr="006D52A9">
              <w:rPr>
                <w:rFonts w:ascii="Arial" w:hAnsi="Arial" w:cs="Arial"/>
                <w:sz w:val="16"/>
                <w:szCs w:val="16"/>
              </w:rPr>
              <w:br/>
              <w:t>AND either of the following:</w:t>
            </w:r>
            <w:r w:rsidRPr="006D52A9">
              <w:rPr>
                <w:rFonts w:ascii="Arial" w:hAnsi="Arial" w:cs="Arial"/>
                <w:sz w:val="16"/>
                <w:szCs w:val="16"/>
              </w:rPr>
              <w:br/>
              <w:t>(a) a reduction in the total active (swollen and tender) joint count by at least 50% from baseline, where 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D52A9">
              <w:rPr>
                <w:rFonts w:ascii="Arial" w:hAnsi="Arial" w:cs="Arial"/>
                <w:sz w:val="16"/>
                <w:szCs w:val="16"/>
              </w:rPr>
              <w:br/>
              <w:t>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form(s); and</w:t>
            </w:r>
            <w:r w:rsidRPr="006D52A9">
              <w:rPr>
                <w:rFonts w:ascii="Arial" w:hAnsi="Arial" w:cs="Arial"/>
                <w:sz w:val="16"/>
                <w:szCs w:val="16"/>
              </w:rPr>
              <w:br/>
              <w:t xml:space="preserve">(2) a completed Rheumatoid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ascii="Arial" w:hAnsi="Arial" w:cs="Arial"/>
                <w:sz w:val="16"/>
                <w:szCs w:val="16"/>
              </w:rPr>
              <w:br/>
              <w:t>If a patient has either failed or ceased to respond to a PBS</w:t>
            </w:r>
            <w:r w:rsidR="0026100E">
              <w:rPr>
                <w:rFonts w:ascii="Arial" w:hAnsi="Arial" w:cs="Arial"/>
                <w:sz w:val="16"/>
                <w:szCs w:val="16"/>
              </w:rPr>
              <w:noBreakHyphen/>
            </w:r>
            <w:r w:rsidRPr="006D52A9">
              <w:rPr>
                <w:rFonts w:ascii="Arial" w:hAnsi="Arial" w:cs="Arial"/>
                <w:sz w:val="16"/>
                <w:szCs w:val="16"/>
              </w:rPr>
              <w:t>subsidised biological medicine for this condition 5 times,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p>
        </w:tc>
        <w:tc>
          <w:tcPr>
            <w:tcW w:w="929" w:type="pct"/>
            <w:tcMar>
              <w:top w:w="28" w:type="dxa"/>
              <w:left w:w="28" w:type="dxa"/>
              <w:right w:w="57" w:type="dxa"/>
            </w:tcMar>
          </w:tcPr>
          <w:p w14:paraId="631D299D" w14:textId="77777777" w:rsidR="008F47B8" w:rsidRPr="006D52A9" w:rsidDel="00AF5F81"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AF5F81" w14:paraId="301F8080" w14:textId="77777777" w:rsidTr="00FB6D2D">
        <w:tc>
          <w:tcPr>
            <w:tcW w:w="647" w:type="pct"/>
            <w:tcMar>
              <w:top w:w="28" w:type="dxa"/>
              <w:left w:w="28" w:type="dxa"/>
            </w:tcMar>
          </w:tcPr>
          <w:p w14:paraId="508714C0" w14:textId="77777777" w:rsidR="008F47B8" w:rsidRPr="006D52A9" w:rsidDel="00AF5F81" w:rsidRDefault="008F47B8" w:rsidP="00FB6D2D">
            <w:pPr>
              <w:spacing w:after="60" w:line="240" w:lineRule="auto"/>
              <w:rPr>
                <w:rFonts w:ascii="Arial" w:hAnsi="Arial" w:cs="Arial"/>
                <w:sz w:val="16"/>
                <w:szCs w:val="16"/>
              </w:rPr>
            </w:pPr>
          </w:p>
        </w:tc>
        <w:tc>
          <w:tcPr>
            <w:tcW w:w="283" w:type="pct"/>
            <w:tcMar>
              <w:top w:w="28" w:type="dxa"/>
              <w:left w:w="28" w:type="dxa"/>
            </w:tcMar>
          </w:tcPr>
          <w:p w14:paraId="6933E34A"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C8645</w:t>
            </w:r>
          </w:p>
        </w:tc>
        <w:tc>
          <w:tcPr>
            <w:tcW w:w="274" w:type="pct"/>
            <w:tcMar>
              <w:top w:w="28" w:type="dxa"/>
              <w:left w:w="28" w:type="dxa"/>
            </w:tcMar>
          </w:tcPr>
          <w:p w14:paraId="06A36A0C" w14:textId="77777777" w:rsidR="008F47B8" w:rsidRPr="006D52A9" w:rsidDel="00AF5F81" w:rsidRDefault="008F47B8" w:rsidP="00FB6D2D">
            <w:pPr>
              <w:spacing w:after="60" w:line="240" w:lineRule="auto"/>
              <w:rPr>
                <w:rFonts w:ascii="Arial" w:hAnsi="Arial" w:cs="Arial"/>
                <w:sz w:val="16"/>
                <w:szCs w:val="16"/>
              </w:rPr>
            </w:pPr>
          </w:p>
        </w:tc>
        <w:tc>
          <w:tcPr>
            <w:tcW w:w="2867" w:type="pct"/>
            <w:tcMar>
              <w:top w:w="28" w:type="dxa"/>
              <w:left w:w="28" w:type="dxa"/>
            </w:tcMar>
          </w:tcPr>
          <w:p w14:paraId="462811DF"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more than 24 months)</w:t>
            </w:r>
            <w:r w:rsidRPr="006D52A9">
              <w:rPr>
                <w:rFonts w:ascii="Arial" w:hAnsi="Arial" w:cs="Arial"/>
                <w:sz w:val="16"/>
                <w:szCs w:val="16"/>
              </w:rPr>
              <w:br/>
            </w:r>
            <w:r w:rsidRPr="006D52A9">
              <w:rPr>
                <w:rFonts w:ascii="Arial" w:hAnsi="Arial" w:cs="Arial"/>
                <w:sz w:val="16"/>
                <w:szCs w:val="16"/>
              </w:rPr>
              <w:lastRenderedPageBreak/>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a break in treatment of 24 months or more from the most recent 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t>Patient must not have failed to respond to previous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already failed , or ceased to respond to, PBS</w:t>
            </w:r>
            <w:r w:rsidR="0026100E">
              <w:rPr>
                <w:rFonts w:ascii="Arial" w:hAnsi="Arial" w:cs="Arial"/>
                <w:sz w:val="16"/>
                <w:szCs w:val="16"/>
              </w:rPr>
              <w:noBreakHyphen/>
            </w:r>
            <w:r w:rsidRPr="006D52A9">
              <w:rPr>
                <w:rFonts w:ascii="Arial" w:hAnsi="Arial" w:cs="Arial"/>
                <w:sz w:val="16"/>
                <w:szCs w:val="16"/>
              </w:rPr>
              <w:t>subsidised biological medicine treatment for this condition 5 times; AND</w:t>
            </w:r>
            <w:r w:rsidRPr="006D52A9">
              <w:rPr>
                <w:rFonts w:ascii="Arial" w:hAnsi="Arial" w:cs="Arial"/>
                <w:sz w:val="16"/>
                <w:szCs w:val="16"/>
              </w:rPr>
              <w:br/>
              <w:t>The condition must have an elevated erythrocyte sedimentation rate (ESR) greater than 25 mm per hour; OR</w:t>
            </w:r>
            <w:r w:rsidRPr="006D52A9">
              <w:rPr>
                <w:rFonts w:ascii="Arial" w:hAnsi="Arial" w:cs="Arial"/>
                <w:sz w:val="16"/>
                <w:szCs w:val="16"/>
              </w:rPr>
              <w:br/>
              <w:t>The condition must have a C</w:t>
            </w:r>
            <w:r w:rsidR="0026100E">
              <w:rPr>
                <w:rFonts w:ascii="Arial" w:hAnsi="Arial" w:cs="Arial"/>
                <w:sz w:val="16"/>
                <w:szCs w:val="16"/>
              </w:rPr>
              <w:noBreakHyphen/>
            </w:r>
            <w:r w:rsidRPr="006D52A9">
              <w:rPr>
                <w:rFonts w:ascii="Arial" w:hAnsi="Arial" w:cs="Arial"/>
                <w:sz w:val="16"/>
                <w:szCs w:val="16"/>
              </w:rPr>
              <w:t>reactive protein (CRP) level greater than 15 mg per L; AND</w:t>
            </w:r>
            <w:r w:rsidRPr="006D52A9">
              <w:rPr>
                <w:rFonts w:ascii="Arial" w:hAnsi="Arial" w:cs="Arial"/>
                <w:sz w:val="16"/>
                <w:szCs w:val="16"/>
              </w:rPr>
              <w:br/>
              <w:t>The condition must have either (a) a total active joint count of at least 20 active (swollen and tender) joints; or (b) at least 4 active major joints; AND</w:t>
            </w:r>
            <w:r w:rsidRPr="006D52A9">
              <w:rPr>
                <w:rFonts w:ascii="Arial" w:hAnsi="Arial" w:cs="Arial"/>
                <w:sz w:val="16"/>
                <w:szCs w:val="16"/>
              </w:rPr>
              <w:br/>
              <w:t>Patient must not receive more than 22 weeks of treatment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All measures of joint count and ESR and/or CRP must be no more than one month old at the time of initial application.</w:t>
            </w:r>
            <w:r w:rsidRPr="006D52A9">
              <w:rPr>
                <w:rFonts w:ascii="Arial" w:hAnsi="Arial" w:cs="Arial"/>
                <w:sz w:val="16"/>
                <w:szCs w:val="16"/>
              </w:rPr>
              <w:br/>
              <w:t>If the above requirement to demonstrate an elevated ESR or CRP cannot be met, the application must state the reasons why this criterion cannot be satisfied.</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D52A9">
              <w:rPr>
                <w:rFonts w:ascii="Arial" w:hAnsi="Arial" w:cs="Arial"/>
                <w:sz w:val="16"/>
                <w:szCs w:val="16"/>
              </w:rPr>
              <w:br/>
              <w:t>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form(s); and</w:t>
            </w:r>
            <w:r w:rsidRPr="006D52A9">
              <w:rPr>
                <w:rFonts w:ascii="Arial" w:hAnsi="Arial" w:cs="Arial"/>
                <w:sz w:val="16"/>
                <w:szCs w:val="16"/>
              </w:rPr>
              <w:br/>
              <w:t xml:space="preserve">(2) a completed Rheumatoid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rPr>
              <w:br/>
              <w:t xml:space="preserve">To demonstrate a response to treatment the application must be accompanied with the assessment of response from the most recent course of biological medicine therapy following a minimum of 12 weeks </w:t>
            </w:r>
            <w:r w:rsidRPr="006D52A9">
              <w:rPr>
                <w:rFonts w:ascii="Arial" w:hAnsi="Arial" w:cs="Arial"/>
                <w:sz w:val="16"/>
                <w:szCs w:val="16"/>
              </w:rPr>
              <w:lastRenderedPageBreak/>
              <w:t>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p>
        </w:tc>
        <w:tc>
          <w:tcPr>
            <w:tcW w:w="929" w:type="pct"/>
            <w:tcMar>
              <w:top w:w="28" w:type="dxa"/>
              <w:left w:w="28" w:type="dxa"/>
              <w:right w:w="57" w:type="dxa"/>
            </w:tcMar>
          </w:tcPr>
          <w:p w14:paraId="0A4264BE" w14:textId="77777777" w:rsidR="008F47B8" w:rsidRPr="006D52A9" w:rsidDel="00AF5F81"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39CE94BF" w14:textId="77777777" w:rsidTr="00FB6D2D">
        <w:tc>
          <w:tcPr>
            <w:tcW w:w="647" w:type="pct"/>
            <w:tcMar>
              <w:top w:w="28" w:type="dxa"/>
              <w:left w:w="28" w:type="dxa"/>
            </w:tcMar>
          </w:tcPr>
          <w:p w14:paraId="4391802C"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3FEEF160"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C8646</w:t>
            </w:r>
          </w:p>
        </w:tc>
        <w:tc>
          <w:tcPr>
            <w:tcW w:w="274" w:type="pct"/>
            <w:tcMar>
              <w:top w:w="28" w:type="dxa"/>
              <w:left w:w="28" w:type="dxa"/>
            </w:tcMar>
          </w:tcPr>
          <w:p w14:paraId="4CAEBE1A"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6BFB732"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Initial 1 (new patient) or Initial 2 (change or recommencement of treatment after a break in biological medicine of less than 24 months) or Initial 3 (recommencement of treatment after a break in biological medicine of more than 24 months)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insufficient therapy with this drug for this condition under the Initial 1 (new patient) restriction to complete 22 weeks treatment; OR</w:t>
            </w:r>
            <w:r w:rsidRPr="006D52A9">
              <w:rPr>
                <w:rFonts w:ascii="Arial" w:hAnsi="Arial" w:cs="Arial"/>
                <w:sz w:val="16"/>
                <w:szCs w:val="16"/>
              </w:rPr>
              <w:br/>
              <w:t>Patient must have received insufficient therapy with this drug for this condition under the Initial 2 (change or recommencement of treatment after a break in biological medicine of less than 24 months) restriction to complete 22 weeks treatment; OR</w:t>
            </w:r>
            <w:r w:rsidRPr="006D52A9">
              <w:rPr>
                <w:rFonts w:ascii="Arial" w:hAnsi="Arial" w:cs="Arial"/>
                <w:sz w:val="16"/>
                <w:szCs w:val="16"/>
              </w:rPr>
              <w:br/>
              <w:t>Patient must have received insufficient therapy with this drug for this condition under the Initial 3 (recommencement of treatment after a break in biological medicine of more than 24 months) to complete 22 weeks treatment; AND</w:t>
            </w:r>
            <w:r w:rsidRPr="006D52A9">
              <w:rPr>
                <w:rFonts w:ascii="Arial" w:hAnsi="Arial" w:cs="Arial"/>
                <w:sz w:val="16"/>
                <w:szCs w:val="16"/>
              </w:rPr>
              <w:br/>
              <w:t>The treatment must provide no more than the balance of up to 22 weeks treatment available under the above restrictions.</w:t>
            </w:r>
            <w:r w:rsidRPr="006D52A9">
              <w:rPr>
                <w:rFonts w:ascii="Arial" w:hAnsi="Arial" w:cs="Arial"/>
                <w:sz w:val="16"/>
                <w:szCs w:val="16"/>
              </w:rPr>
              <w:br/>
              <w:t>Patient must be aged 18 years or older.</w:t>
            </w:r>
          </w:p>
        </w:tc>
        <w:tc>
          <w:tcPr>
            <w:tcW w:w="929" w:type="pct"/>
            <w:tcMar>
              <w:top w:w="28" w:type="dxa"/>
              <w:left w:w="28" w:type="dxa"/>
              <w:right w:w="57" w:type="dxa"/>
            </w:tcMar>
          </w:tcPr>
          <w:p w14:paraId="63E3EB81"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AF5F81" w14:paraId="40D08120" w14:textId="77777777" w:rsidTr="00FB6D2D">
        <w:tc>
          <w:tcPr>
            <w:tcW w:w="647" w:type="pct"/>
            <w:tcMar>
              <w:top w:w="28" w:type="dxa"/>
              <w:left w:w="28" w:type="dxa"/>
            </w:tcMar>
          </w:tcPr>
          <w:p w14:paraId="452D37E8" w14:textId="77777777" w:rsidR="008F47B8" w:rsidRPr="006D52A9" w:rsidDel="00AF5F81" w:rsidRDefault="008F47B8" w:rsidP="00FB6D2D">
            <w:pPr>
              <w:spacing w:after="60" w:line="240" w:lineRule="auto"/>
              <w:rPr>
                <w:rFonts w:ascii="Arial" w:hAnsi="Arial" w:cs="Arial"/>
                <w:sz w:val="16"/>
                <w:szCs w:val="16"/>
              </w:rPr>
            </w:pPr>
          </w:p>
        </w:tc>
        <w:tc>
          <w:tcPr>
            <w:tcW w:w="283" w:type="pct"/>
            <w:tcMar>
              <w:top w:w="28" w:type="dxa"/>
              <w:left w:w="28" w:type="dxa"/>
            </w:tcMar>
          </w:tcPr>
          <w:p w14:paraId="72C694EC"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C8715</w:t>
            </w:r>
          </w:p>
        </w:tc>
        <w:tc>
          <w:tcPr>
            <w:tcW w:w="274" w:type="pct"/>
            <w:tcMar>
              <w:top w:w="28" w:type="dxa"/>
              <w:left w:w="28" w:type="dxa"/>
            </w:tcMar>
          </w:tcPr>
          <w:p w14:paraId="474C132D" w14:textId="77777777" w:rsidR="008F47B8" w:rsidRPr="006D52A9" w:rsidDel="00AF5F81" w:rsidRDefault="008F47B8" w:rsidP="00FB6D2D">
            <w:pPr>
              <w:spacing w:after="60" w:line="240" w:lineRule="auto"/>
              <w:rPr>
                <w:rFonts w:ascii="Arial" w:hAnsi="Arial" w:cs="Arial"/>
                <w:sz w:val="16"/>
                <w:szCs w:val="16"/>
              </w:rPr>
            </w:pPr>
          </w:p>
        </w:tc>
        <w:tc>
          <w:tcPr>
            <w:tcW w:w="2867" w:type="pct"/>
            <w:tcMar>
              <w:top w:w="28" w:type="dxa"/>
              <w:left w:w="28" w:type="dxa"/>
            </w:tcMar>
          </w:tcPr>
          <w:p w14:paraId="4C887F7C" w14:textId="77777777" w:rsidR="008F47B8" w:rsidRPr="006D52A9" w:rsidDel="00AF5F81"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Initial 1 (new patient)</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not have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failed, in the 24 months immediately prior to the date of the application, to achieve an adequate response to a trial of at least 6 months of intensive treatment with disease modifying anti</w:t>
            </w:r>
            <w:r w:rsidR="0026100E">
              <w:rPr>
                <w:rFonts w:ascii="Arial" w:hAnsi="Arial" w:cs="Arial"/>
                <w:sz w:val="16"/>
                <w:szCs w:val="16"/>
              </w:rPr>
              <w:noBreakHyphen/>
            </w:r>
            <w:r w:rsidRPr="006D52A9">
              <w:rPr>
                <w:rFonts w:ascii="Arial" w:hAnsi="Arial" w:cs="Arial"/>
                <w:sz w:val="16"/>
                <w:szCs w:val="16"/>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D52A9">
              <w:rPr>
                <w:rFonts w:ascii="Arial" w:hAnsi="Arial" w:cs="Arial"/>
                <w:sz w:val="16"/>
                <w:szCs w:val="16"/>
              </w:rPr>
              <w:br/>
              <w:t xml:space="preserve">Patient must have failed, in the 24 months immediately prior to the date of the application, to achieve an adequate response to a trial of at least 6 months of intensive treatment with DMARDs which, if </w:t>
            </w:r>
            <w:r w:rsidRPr="006D52A9">
              <w:rPr>
                <w:rFonts w:ascii="Arial" w:hAnsi="Arial" w:cs="Arial"/>
                <w:sz w:val="16"/>
                <w:szCs w:val="16"/>
              </w:rPr>
              <w:lastRenderedPageBreak/>
              <w:t>methotrexate is contraindicated according to the Therapeutic Goods Administration (TGA)</w:t>
            </w:r>
            <w:r w:rsidR="0026100E">
              <w:rPr>
                <w:rFonts w:ascii="Arial" w:hAnsi="Arial" w:cs="Arial"/>
                <w:sz w:val="16"/>
                <w:szCs w:val="16"/>
              </w:rPr>
              <w:noBreakHyphen/>
            </w:r>
            <w:r w:rsidRPr="006D52A9">
              <w:rPr>
                <w:rFonts w:ascii="Arial" w:hAnsi="Arial" w:cs="Arial"/>
                <w:sz w:val="16"/>
                <w:szCs w:val="16"/>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6D52A9">
              <w:rPr>
                <w:rFonts w:ascii="Arial" w:hAnsi="Arial" w:cs="Arial"/>
                <w:sz w:val="16"/>
                <w:szCs w:val="16"/>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6D52A9">
              <w:rPr>
                <w:rFonts w:ascii="Arial" w:hAnsi="Arial" w:cs="Arial"/>
                <w:sz w:val="16"/>
                <w:szCs w:val="16"/>
              </w:rPr>
              <w:br/>
              <w:t>Patient must not receive more than 22 weeks of treatment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If methotrexate is contraindicated according to the TGA</w:t>
            </w:r>
            <w:r w:rsidR="0026100E">
              <w:rPr>
                <w:rFonts w:ascii="Arial" w:hAnsi="Arial" w:cs="Arial"/>
                <w:sz w:val="16"/>
                <w:szCs w:val="16"/>
              </w:rPr>
              <w:noBreakHyphen/>
            </w:r>
            <w:r w:rsidRPr="006D52A9">
              <w:rPr>
                <w:rFonts w:ascii="Arial" w:hAnsi="Arial" w:cs="Arial"/>
                <w:sz w:val="16"/>
                <w:szCs w:val="16"/>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6D52A9">
              <w:rPr>
                <w:rFonts w:ascii="Arial" w:hAnsi="Arial" w:cs="Arial"/>
                <w:sz w:val="16"/>
                <w:szCs w:val="16"/>
              </w:rPr>
              <w:br/>
              <w:t>The application must include details of the DMARDs trialled, their doses and duration of treatment, and all relevant contraindications and/or intolerances including severity.</w:t>
            </w:r>
            <w:r w:rsidRPr="006D52A9">
              <w:rPr>
                <w:rFonts w:ascii="Arial" w:hAnsi="Arial" w:cs="Arial"/>
                <w:sz w:val="16"/>
                <w:szCs w:val="16"/>
              </w:rPr>
              <w:br/>
              <w:t>The requirement to trial at least 2 DMARDs for periods of at least 3 months each can be met using single agents sequentially or by using one or more combinations of DMARDs.</w:t>
            </w:r>
            <w:r w:rsidRPr="006D52A9">
              <w:rPr>
                <w:rFonts w:ascii="Arial" w:hAnsi="Arial" w:cs="Arial"/>
                <w:sz w:val="16"/>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D52A9">
              <w:rPr>
                <w:rFonts w:ascii="Arial" w:hAnsi="Arial" w:cs="Arial"/>
                <w:sz w:val="16"/>
                <w:szCs w:val="16"/>
              </w:rPr>
              <w:br/>
              <w:t>The following criteria indicate failure to achieve an adequate response and must be demonstrated in all patients at the time of the initial application:</w:t>
            </w:r>
            <w:r w:rsidRPr="006D52A9">
              <w:rPr>
                <w:rFonts w:ascii="Arial" w:hAnsi="Arial" w:cs="Arial"/>
                <w:sz w:val="16"/>
                <w:szCs w:val="16"/>
              </w:rPr>
              <w:br/>
              <w:t>an elevated erythrocyte sedimentation rate (ESR) greater than 25 mm per hour or a C</w:t>
            </w:r>
            <w:r w:rsidR="0026100E">
              <w:rPr>
                <w:rFonts w:ascii="Arial" w:hAnsi="Arial" w:cs="Arial"/>
                <w:sz w:val="16"/>
                <w:szCs w:val="16"/>
              </w:rPr>
              <w:noBreakHyphen/>
            </w:r>
            <w:r w:rsidRPr="006D52A9">
              <w:rPr>
                <w:rFonts w:ascii="Arial" w:hAnsi="Arial" w:cs="Arial"/>
                <w:sz w:val="16"/>
                <w:szCs w:val="16"/>
              </w:rPr>
              <w:t>reactive protein (CRP) level greater than 15 mg per L; AND either</w:t>
            </w:r>
            <w:r w:rsidRPr="006D52A9">
              <w:rPr>
                <w:rFonts w:ascii="Arial" w:hAnsi="Arial" w:cs="Arial"/>
                <w:sz w:val="16"/>
                <w:szCs w:val="16"/>
              </w:rPr>
              <w:br/>
              <w:t>(a) a total active joint count of at least 20 active (swollen and tender) joints; or</w:t>
            </w:r>
            <w:r w:rsidRPr="006D52A9">
              <w:rPr>
                <w:rFonts w:ascii="Arial" w:hAnsi="Arial" w:cs="Arial"/>
                <w:sz w:val="16"/>
                <w:szCs w:val="16"/>
              </w:rPr>
              <w:br/>
              <w:t>(b) at least 4 active joints from the following list of major joints:</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The joint count and ESR and/or CRP must be determined at the completion of the 6 month intensive DMARD trial, but prior to ceasing DMARD therapy. All measures must be no more than one month old at the time of initial application.</w:t>
            </w:r>
            <w:r w:rsidRPr="006D52A9">
              <w:rPr>
                <w:rFonts w:ascii="Arial" w:hAnsi="Arial" w:cs="Arial"/>
                <w:sz w:val="16"/>
                <w:szCs w:val="16"/>
              </w:rPr>
              <w:br/>
              <w:t xml:space="preserve">If the above requirement to demonstrate an elevated ESR or CRP cannot be met, the application must </w:t>
            </w:r>
            <w:r w:rsidRPr="006D52A9">
              <w:rPr>
                <w:rFonts w:ascii="Arial" w:hAnsi="Arial" w:cs="Arial"/>
                <w:sz w:val="16"/>
                <w:szCs w:val="16"/>
              </w:rPr>
              <w:lastRenderedPageBreak/>
              <w:t>state the reasons why this criterion cannot be satisfied.</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D52A9">
              <w:rPr>
                <w:rFonts w:ascii="Arial" w:hAnsi="Arial" w:cs="Arial"/>
                <w:sz w:val="16"/>
                <w:szCs w:val="16"/>
              </w:rPr>
              <w:br/>
              <w:t>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form(s); and</w:t>
            </w:r>
            <w:r w:rsidRPr="006D52A9">
              <w:rPr>
                <w:rFonts w:ascii="Arial" w:hAnsi="Arial" w:cs="Arial"/>
                <w:sz w:val="16"/>
                <w:szCs w:val="16"/>
              </w:rPr>
              <w:br/>
              <w:t xml:space="preserve">(2) a completed Rheumatoid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p>
        </w:tc>
        <w:tc>
          <w:tcPr>
            <w:tcW w:w="929" w:type="pct"/>
            <w:tcMar>
              <w:top w:w="28" w:type="dxa"/>
              <w:left w:w="28" w:type="dxa"/>
              <w:right w:w="57" w:type="dxa"/>
            </w:tcMar>
          </w:tcPr>
          <w:p w14:paraId="2B8FA598" w14:textId="77777777" w:rsidR="008F47B8" w:rsidRPr="006D52A9" w:rsidDel="00AF5F81"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2456D8CE" w14:textId="77777777" w:rsidTr="00FB6D2D">
        <w:tc>
          <w:tcPr>
            <w:tcW w:w="647" w:type="pct"/>
            <w:tcMar>
              <w:top w:w="28" w:type="dxa"/>
              <w:left w:w="28" w:type="dxa"/>
            </w:tcMar>
          </w:tcPr>
          <w:p w14:paraId="19F6785A"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1F73D25D"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C8743</w:t>
            </w:r>
          </w:p>
        </w:tc>
        <w:tc>
          <w:tcPr>
            <w:tcW w:w="274" w:type="pct"/>
            <w:tcMar>
              <w:top w:w="28" w:type="dxa"/>
              <w:left w:w="28" w:type="dxa"/>
            </w:tcMar>
          </w:tcPr>
          <w:p w14:paraId="395A0012"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CC1748D"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2 (change or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less than 24 months)</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not have failed to respond to previous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already failed , or ceased to respond to, PBS</w:t>
            </w:r>
            <w:r w:rsidR="0026100E">
              <w:rPr>
                <w:rFonts w:ascii="Arial" w:hAnsi="Arial" w:cs="Arial"/>
                <w:sz w:val="16"/>
                <w:szCs w:val="16"/>
              </w:rPr>
              <w:noBreakHyphen/>
            </w:r>
            <w:r w:rsidRPr="006D52A9">
              <w:rPr>
                <w:rFonts w:ascii="Arial" w:hAnsi="Arial" w:cs="Arial"/>
                <w:sz w:val="16"/>
                <w:szCs w:val="16"/>
              </w:rPr>
              <w:t>subsidised biological medicine treatment for this condition 5 times; AND</w:t>
            </w:r>
            <w:r w:rsidRPr="006D52A9">
              <w:rPr>
                <w:rFonts w:ascii="Arial" w:hAnsi="Arial" w:cs="Arial"/>
                <w:sz w:val="16"/>
                <w:szCs w:val="16"/>
              </w:rPr>
              <w:br/>
              <w:t>Patient must not receive more than 22 weeks of treatment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An adequate response to treatment is defined as:</w:t>
            </w:r>
            <w:r w:rsidRPr="006D52A9">
              <w:rPr>
                <w:rFonts w:ascii="Arial" w:hAnsi="Arial" w:cs="Arial"/>
                <w:sz w:val="16"/>
                <w:szCs w:val="16"/>
              </w:rPr>
              <w:br/>
            </w:r>
            <w:r w:rsidRPr="006D52A9">
              <w:rPr>
                <w:rFonts w:ascii="Arial" w:hAnsi="Arial" w:cs="Arial"/>
                <w:sz w:val="16"/>
                <w:szCs w:val="16"/>
              </w:rPr>
              <w:lastRenderedPageBreak/>
              <w:t>an ESR no greater than 25 mm per hour or a CRP level no greater than 15 mg per L or either marker reduced by at least 20% from baseline;</w:t>
            </w:r>
            <w:r w:rsidRPr="006D52A9">
              <w:rPr>
                <w:rFonts w:ascii="Arial" w:hAnsi="Arial" w:cs="Arial"/>
                <w:sz w:val="16"/>
                <w:szCs w:val="16"/>
              </w:rPr>
              <w:br/>
              <w:t>AND either of the following:</w:t>
            </w:r>
            <w:r w:rsidRPr="006D52A9">
              <w:rPr>
                <w:rFonts w:ascii="Arial" w:hAnsi="Arial" w:cs="Arial"/>
                <w:sz w:val="16"/>
                <w:szCs w:val="16"/>
              </w:rPr>
              <w:br/>
              <w:t>(a) a reduction in the total active (swollen and tender) joint count by at least 50% from baseline, where 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treatment with this drug and who wishes to re</w:t>
            </w:r>
            <w:r w:rsidR="0026100E">
              <w:rPr>
                <w:rFonts w:ascii="Arial" w:hAnsi="Arial" w:cs="Arial"/>
                <w:sz w:val="16"/>
                <w:szCs w:val="16"/>
              </w:rPr>
              <w:noBreakHyphen/>
            </w:r>
            <w:r w:rsidRPr="006D52A9">
              <w:rPr>
                <w:rFonts w:ascii="Arial" w:hAnsi="Arial" w:cs="Arial"/>
                <w:sz w:val="16"/>
                <w:szCs w:val="16"/>
              </w:rPr>
              <w:t>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treatment with this drug,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D52A9">
              <w:rPr>
                <w:rFonts w:ascii="Arial" w:hAnsi="Arial" w:cs="Arial"/>
                <w:sz w:val="16"/>
                <w:szCs w:val="16"/>
              </w:rPr>
              <w:br/>
              <w:t>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form(s); and</w:t>
            </w:r>
            <w:r w:rsidRPr="006D52A9">
              <w:rPr>
                <w:rFonts w:ascii="Arial" w:hAnsi="Arial" w:cs="Arial"/>
                <w:sz w:val="16"/>
                <w:szCs w:val="16"/>
              </w:rPr>
              <w:br/>
              <w:t xml:space="preserve">(2) a completed Rheumatoid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A patient who has demonstrated a response to a course of rituximab must have a PBS</w:t>
            </w:r>
            <w:r w:rsidR="0026100E">
              <w:rPr>
                <w:rFonts w:ascii="Arial" w:hAnsi="Arial" w:cs="Arial"/>
                <w:sz w:val="16"/>
                <w:szCs w:val="16"/>
              </w:rPr>
              <w:noBreakHyphen/>
            </w:r>
            <w:r w:rsidRPr="006D52A9">
              <w:rPr>
                <w:rFonts w:ascii="Arial" w:hAnsi="Arial" w:cs="Arial"/>
                <w:sz w:val="16"/>
                <w:szCs w:val="16"/>
              </w:rPr>
              <w:t>subsidised biological therapy treatment</w:t>
            </w:r>
            <w:r w:rsidR="0026100E">
              <w:rPr>
                <w:rFonts w:ascii="Arial" w:hAnsi="Arial" w:cs="Arial"/>
                <w:sz w:val="16"/>
                <w:szCs w:val="16"/>
              </w:rPr>
              <w:noBreakHyphen/>
            </w:r>
            <w:r w:rsidRPr="006D52A9">
              <w:rPr>
                <w:rFonts w:ascii="Arial" w:hAnsi="Arial" w:cs="Arial"/>
                <w:sz w:val="16"/>
                <w:szCs w:val="16"/>
              </w:rPr>
              <w:t>free period of at least 22 weeks, immediately following the second infusion, before swapping to an alternate biological medicine.</w:t>
            </w:r>
          </w:p>
        </w:tc>
        <w:tc>
          <w:tcPr>
            <w:tcW w:w="929" w:type="pct"/>
            <w:tcMar>
              <w:top w:w="28" w:type="dxa"/>
              <w:left w:w="28" w:type="dxa"/>
              <w:right w:w="57" w:type="dxa"/>
            </w:tcMar>
          </w:tcPr>
          <w:p w14:paraId="34A12009"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4B8971B8" w14:textId="77777777" w:rsidTr="00FB6D2D">
        <w:tc>
          <w:tcPr>
            <w:tcW w:w="647" w:type="pct"/>
            <w:tcMar>
              <w:top w:w="28" w:type="dxa"/>
              <w:left w:w="28" w:type="dxa"/>
            </w:tcMar>
          </w:tcPr>
          <w:p w14:paraId="32C82104"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42A7698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C8744</w:t>
            </w:r>
          </w:p>
        </w:tc>
        <w:tc>
          <w:tcPr>
            <w:tcW w:w="274" w:type="pct"/>
            <w:tcMar>
              <w:top w:w="28" w:type="dxa"/>
              <w:left w:w="28" w:type="dxa"/>
            </w:tcMar>
          </w:tcPr>
          <w:p w14:paraId="2B890A8F"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366DC9A"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First continuing treatment</w:t>
            </w:r>
            <w:r w:rsidRPr="006D52A9">
              <w:rPr>
                <w:rFonts w:ascii="Arial" w:hAnsi="Arial" w:cs="Arial"/>
                <w:sz w:val="16"/>
                <w:szCs w:val="16"/>
              </w:rPr>
              <w:br/>
              <w:t>Must be treated by a rheumatologist; OR</w:t>
            </w:r>
            <w:r w:rsidRPr="006D52A9">
              <w:rPr>
                <w:rFonts w:ascii="Arial" w:hAnsi="Arial" w:cs="Arial"/>
                <w:sz w:val="16"/>
                <w:szCs w:val="16"/>
              </w:rPr>
              <w:br/>
            </w:r>
            <w:r w:rsidRPr="006D52A9">
              <w:rPr>
                <w:rFonts w:ascii="Arial" w:hAnsi="Arial" w:cs="Arial"/>
                <w:sz w:val="16"/>
                <w:szCs w:val="16"/>
              </w:rPr>
              <w:lastRenderedPageBreak/>
              <w:t>Must be treated by a clinical immunologist with expertise in the management of rheumatoid arthritis.</w:t>
            </w:r>
            <w:r w:rsidRPr="006D52A9">
              <w:rPr>
                <w:rFonts w:ascii="Arial" w:hAnsi="Arial" w:cs="Arial"/>
                <w:sz w:val="16"/>
                <w:szCs w:val="16"/>
              </w:rPr>
              <w:br/>
              <w:t>Patient must have received this drug as their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for this condition;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Patient must not receive more than 24 weeks of treatment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An adequate response to treatment is defined as:</w:t>
            </w:r>
            <w:r w:rsidRPr="006D52A9">
              <w:rPr>
                <w:rFonts w:ascii="Arial" w:hAnsi="Arial" w:cs="Arial"/>
                <w:sz w:val="16"/>
                <w:szCs w:val="16"/>
              </w:rPr>
              <w:br/>
              <w:t>an ESR no greater than 25 mm per hour or a CRP level no greater than 15 mg per L or either marker reduced by at least 20% from baseline;</w:t>
            </w:r>
            <w:r w:rsidRPr="006D52A9">
              <w:rPr>
                <w:rFonts w:ascii="Arial" w:hAnsi="Arial" w:cs="Arial"/>
                <w:sz w:val="16"/>
                <w:szCs w:val="16"/>
              </w:rPr>
              <w:br/>
              <w:t>AND either of the following:</w:t>
            </w:r>
            <w:r w:rsidRPr="006D52A9">
              <w:rPr>
                <w:rFonts w:ascii="Arial" w:hAnsi="Arial" w:cs="Arial"/>
                <w:sz w:val="16"/>
                <w:szCs w:val="16"/>
              </w:rPr>
              <w:br/>
              <w:t>(a) a reduction in the total active (swollen and tender) joint count by at least 50% from baseline, where 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rPr>
              <w:br/>
              <w:t>At the time of the authority application, medical practitioners should request the appropriate quantity of vials to provide sufficient drug, based on the weight of the patient, for a single infusion at a dose of 3 mg per kg.</w:t>
            </w:r>
            <w:r w:rsidRPr="006D52A9">
              <w:rPr>
                <w:rFonts w:ascii="Arial" w:hAnsi="Arial" w:cs="Arial"/>
                <w:sz w:val="16"/>
                <w:szCs w:val="16"/>
              </w:rPr>
              <w:br/>
              <w:t>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form(s); and</w:t>
            </w:r>
            <w:r w:rsidRPr="006D52A9">
              <w:rPr>
                <w:rFonts w:ascii="Arial" w:hAnsi="Arial" w:cs="Arial"/>
                <w:sz w:val="16"/>
                <w:szCs w:val="16"/>
              </w:rPr>
              <w:br/>
              <w:t xml:space="preserve">(2) a completed Rheumatoid Arthritis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ascii="Arial" w:hAnsi="Arial" w:cs="Arial"/>
                <w:sz w:val="16"/>
                <w:szCs w:val="16"/>
              </w:rPr>
              <w:br/>
              <w:t>If a patient has either failed or ceased to respond to a PBS</w:t>
            </w:r>
            <w:r w:rsidR="0026100E">
              <w:rPr>
                <w:rFonts w:ascii="Arial" w:hAnsi="Arial" w:cs="Arial"/>
                <w:sz w:val="16"/>
                <w:szCs w:val="16"/>
              </w:rPr>
              <w:noBreakHyphen/>
            </w:r>
            <w:r w:rsidRPr="006D52A9">
              <w:rPr>
                <w:rFonts w:ascii="Arial" w:hAnsi="Arial" w:cs="Arial"/>
                <w:sz w:val="16"/>
                <w:szCs w:val="16"/>
              </w:rPr>
              <w:t>subsidised biological medicine for this condition 5 times,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w:t>
            </w:r>
            <w:r w:rsidRPr="006D52A9">
              <w:rPr>
                <w:rFonts w:ascii="Arial" w:hAnsi="Arial" w:cs="Arial"/>
                <w:sz w:val="16"/>
                <w:szCs w:val="16"/>
              </w:rPr>
              <w:br/>
              <w:t xml:space="preserve">If a patient fails to demonstrate a response to treatment with this drug under this restriction they will not </w:t>
            </w:r>
            <w:r w:rsidRPr="006D52A9">
              <w:rPr>
                <w:rFonts w:ascii="Arial" w:hAnsi="Arial" w:cs="Arial"/>
                <w:sz w:val="16"/>
                <w:szCs w:val="16"/>
              </w:rPr>
              <w:lastRenderedPageBreak/>
              <w:t>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p>
        </w:tc>
        <w:tc>
          <w:tcPr>
            <w:tcW w:w="929" w:type="pct"/>
            <w:tcMar>
              <w:top w:w="28" w:type="dxa"/>
              <w:left w:w="28" w:type="dxa"/>
              <w:right w:w="57" w:type="dxa"/>
            </w:tcMar>
          </w:tcPr>
          <w:p w14:paraId="5C29D2D1"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27AE9040" w14:textId="77777777" w:rsidTr="00FB6D2D">
        <w:tc>
          <w:tcPr>
            <w:tcW w:w="647" w:type="pct"/>
            <w:tcMar>
              <w:top w:w="28" w:type="dxa"/>
              <w:left w:w="28" w:type="dxa"/>
            </w:tcMar>
          </w:tcPr>
          <w:p w14:paraId="72DC78DB"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0F1561A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C8745</w:t>
            </w:r>
          </w:p>
        </w:tc>
        <w:tc>
          <w:tcPr>
            <w:tcW w:w="274" w:type="pct"/>
            <w:tcMar>
              <w:top w:w="28" w:type="dxa"/>
              <w:left w:w="28" w:type="dxa"/>
            </w:tcMar>
          </w:tcPr>
          <w:p w14:paraId="4250BD8E"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2E84C1A9"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Continuing Treatment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insufficient therapy with this drug for this condition under the first continuing treatment restriction to complete 24 weeks treatment; OR</w:t>
            </w:r>
            <w:r w:rsidRPr="006D52A9">
              <w:rPr>
                <w:rFonts w:ascii="Arial" w:hAnsi="Arial" w:cs="Arial"/>
                <w:sz w:val="16"/>
                <w:szCs w:val="16"/>
              </w:rPr>
              <w:br/>
              <w:t>Patient must have received insufficient therapy with this drug for this condition under the subsequent continuing Authority Required (in writing) treatment restriction to complete 24 weeks treatment; AND</w:t>
            </w:r>
            <w:r w:rsidRPr="006D52A9">
              <w:rPr>
                <w:rFonts w:ascii="Arial" w:hAnsi="Arial" w:cs="Arial"/>
                <w:sz w:val="16"/>
                <w:szCs w:val="16"/>
              </w:rPr>
              <w:br/>
              <w:t>The treatment must provide no more than the balance of up to 24 weeks treatment available under the above restrictions.</w:t>
            </w:r>
            <w:r w:rsidRPr="006D52A9">
              <w:rPr>
                <w:rFonts w:ascii="Arial" w:hAnsi="Arial" w:cs="Arial"/>
                <w:sz w:val="16"/>
                <w:szCs w:val="16"/>
              </w:rPr>
              <w:br/>
              <w:t>Patient must be aged 18 years or older.</w:t>
            </w:r>
          </w:p>
        </w:tc>
        <w:tc>
          <w:tcPr>
            <w:tcW w:w="929" w:type="pct"/>
            <w:tcMar>
              <w:top w:w="28" w:type="dxa"/>
              <w:left w:w="28" w:type="dxa"/>
              <w:right w:w="57" w:type="dxa"/>
            </w:tcMar>
          </w:tcPr>
          <w:p w14:paraId="36063867"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38228E" w14:paraId="3162A509" w14:textId="77777777" w:rsidTr="00FB6D2D">
        <w:tc>
          <w:tcPr>
            <w:tcW w:w="647" w:type="pct"/>
            <w:tcMar>
              <w:top w:w="28" w:type="dxa"/>
              <w:left w:w="28" w:type="dxa"/>
            </w:tcMar>
          </w:tcPr>
          <w:p w14:paraId="6EE0B001"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3CCCFE84"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C8755</w:t>
            </w:r>
          </w:p>
        </w:tc>
        <w:tc>
          <w:tcPr>
            <w:tcW w:w="274" w:type="pct"/>
            <w:tcMar>
              <w:top w:w="28" w:type="dxa"/>
              <w:left w:w="28" w:type="dxa"/>
            </w:tcMar>
          </w:tcPr>
          <w:p w14:paraId="1F4CD403"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16E4A8F"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Subsequent continuing treatment</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not receive more than 24 weeks of treatment per subsequent continuing treatment course authorised under this restriction; AND</w:t>
            </w:r>
            <w:r w:rsidRPr="006D52A9">
              <w:rPr>
                <w:rFonts w:ascii="Arial" w:hAnsi="Arial" w:cs="Arial"/>
                <w:sz w:val="16"/>
                <w:szCs w:val="16"/>
              </w:rPr>
              <w:br/>
              <w:t>The treatment must be given concomitantly with methotrexate at a dose of at least 7.5 mg weekly.</w:t>
            </w:r>
            <w:r w:rsidRPr="006D52A9">
              <w:rPr>
                <w:rFonts w:ascii="Arial" w:hAnsi="Arial" w:cs="Arial"/>
                <w:sz w:val="16"/>
                <w:szCs w:val="16"/>
              </w:rPr>
              <w:br/>
              <w:t>Patient must be aged 18 years or older.</w:t>
            </w:r>
            <w:r w:rsidRPr="006D52A9">
              <w:rPr>
                <w:rFonts w:ascii="Arial" w:hAnsi="Arial" w:cs="Arial"/>
                <w:sz w:val="16"/>
                <w:szCs w:val="16"/>
              </w:rPr>
              <w:br/>
              <w:t>An adequate response to treatment is defined as:</w:t>
            </w:r>
            <w:r w:rsidRPr="006D52A9">
              <w:rPr>
                <w:rFonts w:ascii="Arial" w:hAnsi="Arial" w:cs="Arial"/>
                <w:sz w:val="16"/>
                <w:szCs w:val="16"/>
              </w:rPr>
              <w:br/>
              <w:t>an ESR no greater than 25 mm per hour or a CRP level no greater than 15 mg per L or either marker reduced by at least 20% from baseline;</w:t>
            </w:r>
            <w:r w:rsidRPr="006D52A9">
              <w:rPr>
                <w:rFonts w:ascii="Arial" w:hAnsi="Arial" w:cs="Arial"/>
                <w:sz w:val="16"/>
                <w:szCs w:val="16"/>
              </w:rPr>
              <w:br/>
              <w:t>AND either of the following:</w:t>
            </w:r>
            <w:r w:rsidRPr="006D52A9">
              <w:rPr>
                <w:rFonts w:ascii="Arial" w:hAnsi="Arial" w:cs="Arial"/>
                <w:sz w:val="16"/>
                <w:szCs w:val="16"/>
              </w:rPr>
              <w:br/>
              <w:t>(a) a reduction in the total active (swollen and tender) joint count by at least 50% from baseline, where baseline is at least 20 active joints; or</w:t>
            </w:r>
            <w:r w:rsidRPr="006D52A9">
              <w:rPr>
                <w:rFonts w:ascii="Arial" w:hAnsi="Arial" w:cs="Arial"/>
                <w:sz w:val="16"/>
                <w:szCs w:val="16"/>
              </w:rPr>
              <w:br/>
              <w:t>(b) a reduction in the number of the following active joints, from at least 4, by at least 50%:</w:t>
            </w:r>
            <w:r w:rsidRPr="006D52A9">
              <w:rPr>
                <w:rFonts w:ascii="Arial" w:hAnsi="Arial" w:cs="Arial"/>
                <w:sz w:val="16"/>
                <w:szCs w:val="16"/>
              </w:rPr>
              <w:br/>
              <w:t>(i) elbow, wrist, knee and/or ankle (assessed as swollen and tender); and/or</w:t>
            </w:r>
            <w:r w:rsidRPr="006D52A9">
              <w:rPr>
                <w:rFonts w:ascii="Arial" w:hAnsi="Arial" w:cs="Arial"/>
                <w:sz w:val="16"/>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hAnsi="Arial" w:cs="Arial"/>
                <w:sz w:val="16"/>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hAnsi="Arial" w:cs="Arial"/>
                <w:sz w:val="16"/>
                <w:szCs w:val="16"/>
              </w:rPr>
              <w:br/>
              <w:t xml:space="preserve">The measurement of response to the prior course of therapy must be documented in the patient’s </w:t>
            </w:r>
            <w:r w:rsidRPr="006D52A9">
              <w:rPr>
                <w:rFonts w:ascii="Arial" w:hAnsi="Arial" w:cs="Arial"/>
                <w:sz w:val="16"/>
                <w:szCs w:val="16"/>
              </w:rPr>
              <w:lastRenderedPageBreak/>
              <w:t>medical notes.</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If a patient has either failed or ceased to respond to a PBS</w:t>
            </w:r>
            <w:r w:rsidR="0026100E">
              <w:rPr>
                <w:rFonts w:ascii="Arial" w:hAnsi="Arial" w:cs="Arial"/>
                <w:sz w:val="16"/>
                <w:szCs w:val="16"/>
              </w:rPr>
              <w:noBreakHyphen/>
            </w:r>
            <w:r w:rsidRPr="006D52A9">
              <w:rPr>
                <w:rFonts w:ascii="Arial" w:hAnsi="Arial" w:cs="Arial"/>
                <w:sz w:val="16"/>
                <w:szCs w:val="16"/>
              </w:rPr>
              <w:t>subsidised biological medicine for this condition 5 times,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w:t>
            </w:r>
          </w:p>
        </w:tc>
        <w:tc>
          <w:tcPr>
            <w:tcW w:w="929" w:type="pct"/>
            <w:tcMar>
              <w:top w:w="28" w:type="dxa"/>
              <w:left w:w="28" w:type="dxa"/>
              <w:right w:w="57" w:type="dxa"/>
            </w:tcMar>
          </w:tcPr>
          <w:p w14:paraId="5F2F3720"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8755</w:t>
            </w:r>
          </w:p>
        </w:tc>
      </w:tr>
      <w:tr w:rsidR="008F47B8" w:rsidRPr="006D52A9" w:rsidDel="0038228E" w14:paraId="269A2D4A" w14:textId="77777777" w:rsidTr="00FB6D2D">
        <w:tc>
          <w:tcPr>
            <w:tcW w:w="647" w:type="pct"/>
            <w:tcMar>
              <w:top w:w="28" w:type="dxa"/>
              <w:left w:w="28" w:type="dxa"/>
            </w:tcMar>
          </w:tcPr>
          <w:p w14:paraId="30621F04"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3F4CA0A3"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C8800</w:t>
            </w:r>
          </w:p>
        </w:tc>
        <w:tc>
          <w:tcPr>
            <w:tcW w:w="274" w:type="pct"/>
            <w:tcMar>
              <w:top w:w="28" w:type="dxa"/>
              <w:left w:w="28" w:type="dxa"/>
            </w:tcMar>
          </w:tcPr>
          <w:p w14:paraId="79BB724A"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271C825C"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Whole body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more than 5 years)</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a break in treatment of 5 years or more from the most recently approved 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t>The condition must have a current Psoriasis Area and Severity Index (PASI) score of greater than 15;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22 weeks of treatment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current Psoriasis Area and Severity Index (PASI) calculation sheets including the dates of assessment of the patient’s condition.</w:t>
            </w:r>
            <w:r w:rsidRPr="006D52A9">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 Demonstration of response should be provided within this timeframe.</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r>
            <w:r w:rsidRPr="006D52A9">
              <w:rPr>
                <w:rFonts w:ascii="Arial" w:hAnsi="Arial" w:cs="Arial"/>
                <w:sz w:val="16"/>
                <w:szCs w:val="16"/>
              </w:rPr>
              <w:lastRenderedPageBreak/>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p>
        </w:tc>
        <w:tc>
          <w:tcPr>
            <w:tcW w:w="929" w:type="pct"/>
            <w:tcMar>
              <w:top w:w="28" w:type="dxa"/>
              <w:left w:w="28" w:type="dxa"/>
              <w:right w:w="57" w:type="dxa"/>
            </w:tcMar>
          </w:tcPr>
          <w:p w14:paraId="0BC1D878"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3CB3C5E6" w14:textId="77777777" w:rsidTr="00FB6D2D">
        <w:tc>
          <w:tcPr>
            <w:tcW w:w="647" w:type="pct"/>
            <w:tcMar>
              <w:top w:w="28" w:type="dxa"/>
              <w:left w:w="28" w:type="dxa"/>
            </w:tcMar>
          </w:tcPr>
          <w:p w14:paraId="03C8447B"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34F7D8EF"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C8844</w:t>
            </w:r>
          </w:p>
        </w:tc>
        <w:tc>
          <w:tcPr>
            <w:tcW w:w="274" w:type="pct"/>
            <w:tcMar>
              <w:top w:w="28" w:type="dxa"/>
              <w:left w:w="28" w:type="dxa"/>
            </w:tcMar>
          </w:tcPr>
          <w:p w14:paraId="234A0FC9"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B4C4604"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Subsequent continuing treatment, Whole body</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per subsequent continuing treatment course authorised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w:t>
            </w:r>
            <w:r w:rsidRPr="006D52A9">
              <w:rPr>
                <w:rFonts w:ascii="Arial" w:hAnsi="Arial" w:cs="Arial"/>
                <w:sz w:val="16"/>
                <w:szCs w:val="16"/>
              </w:rPr>
              <w:br/>
              <w:t>A Psoriasis Area and Severity Index (PASI) score which is reduced by 75% or more, or is sustained at this level, when compared with the baseline value for this treatment cycle.</w:t>
            </w:r>
            <w:r w:rsidRPr="006D52A9">
              <w:rPr>
                <w:rFonts w:ascii="Arial" w:hAnsi="Arial" w:cs="Arial"/>
                <w:sz w:val="16"/>
                <w:szCs w:val="16"/>
              </w:rPr>
              <w:br/>
              <w:t>The measurement of response to the prior course of therapy must be documented in the patient’s medical notes.</w:t>
            </w:r>
            <w:r w:rsidRPr="006D52A9">
              <w:rPr>
                <w:rFonts w:ascii="Arial" w:hAnsi="Arial" w:cs="Arial"/>
                <w:sz w:val="16"/>
                <w:szCs w:val="16"/>
              </w:rPr>
              <w:br/>
              <w:t>Determination of response must be based on the PASI assessment of response to the most recent course of treatment with this drug.</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682709E7"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8844</w:t>
            </w:r>
          </w:p>
        </w:tc>
      </w:tr>
      <w:tr w:rsidR="008F47B8" w:rsidRPr="006D52A9" w:rsidDel="0038228E" w14:paraId="736BAA08" w14:textId="77777777" w:rsidTr="00FB6D2D">
        <w:tc>
          <w:tcPr>
            <w:tcW w:w="647" w:type="pct"/>
            <w:tcMar>
              <w:top w:w="28" w:type="dxa"/>
              <w:left w:w="28" w:type="dxa"/>
            </w:tcMar>
          </w:tcPr>
          <w:p w14:paraId="57BBE05F"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5D9B71DB"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C8881</w:t>
            </w:r>
          </w:p>
        </w:tc>
        <w:tc>
          <w:tcPr>
            <w:tcW w:w="274" w:type="pct"/>
            <w:tcMar>
              <w:top w:w="28" w:type="dxa"/>
              <w:left w:w="28" w:type="dxa"/>
            </w:tcMar>
          </w:tcPr>
          <w:p w14:paraId="2F6BB421"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51EA1A19"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Subsequent continuing treatment, Face, hand, foot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per subsequent continuing treatment course authorised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 the plaque or plaques assessed prior to biological treatment showing:</w:t>
            </w:r>
            <w:r w:rsidRPr="006D52A9">
              <w:rPr>
                <w:rFonts w:ascii="Arial" w:hAnsi="Arial" w:cs="Arial"/>
                <w:sz w:val="16"/>
                <w:szCs w:val="16"/>
              </w:rPr>
              <w:br/>
              <w:t xml:space="preserve">(i) a reduction in the Psoriasis Area and Severity Index (PASI) symptom subscores for all 3 of erythema, thickness and scaling, to slight or better, or sustained at this level, as compared to the baseline values; </w:t>
            </w:r>
            <w:r w:rsidRPr="006D52A9">
              <w:rPr>
                <w:rFonts w:ascii="Arial" w:hAnsi="Arial" w:cs="Arial"/>
                <w:sz w:val="16"/>
                <w:szCs w:val="16"/>
              </w:rPr>
              <w:lastRenderedPageBreak/>
              <w:t>or</w:t>
            </w:r>
            <w:r w:rsidRPr="006D52A9">
              <w:rPr>
                <w:rFonts w:ascii="Arial" w:hAnsi="Arial" w:cs="Arial"/>
                <w:sz w:val="16"/>
                <w:szCs w:val="16"/>
              </w:rPr>
              <w:br/>
              <w:t>(ii) a reduction by 75% or more in the skin area affected, or sustained at this level, as compared to the baseline value for this treatment cycle.</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patient’s condition.</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Approval will be based on the PASI assessment of response to the most recent course of treatment with this drug.</w:t>
            </w:r>
            <w:r w:rsidRPr="006D52A9">
              <w:rPr>
                <w:rFonts w:ascii="Arial" w:hAnsi="Arial" w:cs="Arial"/>
                <w:sz w:val="16"/>
                <w:szCs w:val="16"/>
              </w:rPr>
              <w:br/>
              <w:t>The PASI assessment for continuing treatment must be performed on the same affected area as assessed at baseline.</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1CF80F32"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27F3F568" w14:textId="77777777" w:rsidTr="00FB6D2D">
        <w:tc>
          <w:tcPr>
            <w:tcW w:w="647" w:type="pct"/>
            <w:tcMar>
              <w:top w:w="28" w:type="dxa"/>
              <w:left w:w="28" w:type="dxa"/>
            </w:tcMar>
          </w:tcPr>
          <w:p w14:paraId="0466EFF1"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7C0FADEA"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C8883</w:t>
            </w:r>
          </w:p>
        </w:tc>
        <w:tc>
          <w:tcPr>
            <w:tcW w:w="274" w:type="pct"/>
            <w:tcMar>
              <w:top w:w="28" w:type="dxa"/>
              <w:left w:w="28" w:type="dxa"/>
            </w:tcMar>
          </w:tcPr>
          <w:p w14:paraId="008FE126"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2ABD1B17"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First continuing treatment, Face, hand, foot</w:t>
            </w:r>
            <w:r w:rsidRPr="006D52A9">
              <w:rPr>
                <w:rFonts w:ascii="Arial" w:hAnsi="Arial" w:cs="Arial"/>
                <w:sz w:val="16"/>
                <w:szCs w:val="16"/>
              </w:rPr>
              <w:br/>
              <w:t>Patient must have received this drug as their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for this condition;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 the plaque or plaques assessed prior to biological treatment showing:</w:t>
            </w:r>
            <w:r w:rsidRPr="006D52A9">
              <w:rPr>
                <w:rFonts w:ascii="Arial" w:hAnsi="Arial" w:cs="Arial"/>
                <w:sz w:val="16"/>
                <w:szCs w:val="16"/>
              </w:rPr>
              <w:br/>
              <w:t xml:space="preserve">(i) a reduction in the Psoriasis Area and Severity Index (PASI) symptom subscores for all 3 of erythema, </w:t>
            </w:r>
            <w:r w:rsidRPr="006D52A9">
              <w:rPr>
                <w:rFonts w:ascii="Arial" w:hAnsi="Arial" w:cs="Arial"/>
                <w:sz w:val="16"/>
                <w:szCs w:val="16"/>
              </w:rPr>
              <w:lastRenderedPageBreak/>
              <w:t>thickness and scaling, to slight or better, or sustained at this level, as compared to the baseline values; or</w:t>
            </w:r>
            <w:r w:rsidRPr="006D52A9">
              <w:rPr>
                <w:rFonts w:ascii="Arial" w:hAnsi="Arial" w:cs="Arial"/>
                <w:sz w:val="16"/>
                <w:szCs w:val="16"/>
              </w:rPr>
              <w:br/>
              <w:t>(ii) a reduction by 75% or more in the skin area affected, or sustained at this level, as compared to the baseline value for this treatment cycle.</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Psoriasis Area and Severity Index (PASI) calculation sheet and face, hand, foot area diagrams including the date of the assessment of the patient’s condition.</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Approval will be based on the PASI assessment of response to the most recent course of treatment with this drug.</w:t>
            </w:r>
            <w:r w:rsidRPr="006D52A9">
              <w:rPr>
                <w:rFonts w:ascii="Arial" w:hAnsi="Arial" w:cs="Arial"/>
                <w:sz w:val="16"/>
                <w:szCs w:val="16"/>
              </w:rPr>
              <w:br/>
              <w:t>The PASI assessment for first continuing or subsequent continuing treatment must be performed on the same affected area assessed at baseline.</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33C5023F"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4F42FA93" w14:textId="77777777" w:rsidTr="00FB6D2D">
        <w:tc>
          <w:tcPr>
            <w:tcW w:w="647" w:type="pct"/>
            <w:tcMar>
              <w:top w:w="28" w:type="dxa"/>
              <w:left w:w="28" w:type="dxa"/>
            </w:tcMar>
          </w:tcPr>
          <w:p w14:paraId="551A4FB0"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6D6FFE45"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C8886</w:t>
            </w:r>
          </w:p>
        </w:tc>
        <w:tc>
          <w:tcPr>
            <w:tcW w:w="274" w:type="pct"/>
            <w:tcMar>
              <w:top w:w="28" w:type="dxa"/>
              <w:left w:w="28" w:type="dxa"/>
            </w:tcMar>
          </w:tcPr>
          <w:p w14:paraId="7C7A91CD"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053865AE"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Initial 1, Whole body or Face, hand, foot (new patient) or Initial 2, Whole body or Face, hand, foot (change or recommencement of treatment after a break in biological medicine of less than 5 years) or Initial 3, Whole body or Face, hand, foot (re</w:t>
            </w:r>
            <w:r w:rsidR="0026100E">
              <w:rPr>
                <w:rFonts w:ascii="Arial" w:hAnsi="Arial" w:cs="Arial"/>
                <w:sz w:val="16"/>
                <w:szCs w:val="16"/>
              </w:rPr>
              <w:noBreakHyphen/>
            </w:r>
            <w:r w:rsidRPr="006D52A9">
              <w:rPr>
                <w:rFonts w:ascii="Arial" w:hAnsi="Arial" w:cs="Arial"/>
                <w:sz w:val="16"/>
                <w:szCs w:val="16"/>
              </w:rPr>
              <w:t xml:space="preserve">commencement of treatment after a break in biological medicine of more than 5 years)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Patient must have received insufficient therapy with this drug for this condition under the Initial 1, Whole body (new patient) restriction to complete 22 weeks treatment; OR</w:t>
            </w:r>
            <w:r w:rsidRPr="006D52A9">
              <w:rPr>
                <w:rFonts w:ascii="Arial" w:hAnsi="Arial" w:cs="Arial"/>
                <w:sz w:val="16"/>
                <w:szCs w:val="16"/>
              </w:rPr>
              <w:br/>
              <w:t>Patient must have received insufficient therapy with this drug for this condition under the Initial 2, Whole body (change or recommencement of treatment after a break in biological medicine of less than 5 years ) restriction to complete 22 weeks treatment; OR</w:t>
            </w:r>
            <w:r w:rsidRPr="006D52A9">
              <w:rPr>
                <w:rFonts w:ascii="Arial" w:hAnsi="Arial" w:cs="Arial"/>
                <w:sz w:val="16"/>
                <w:szCs w:val="16"/>
              </w:rPr>
              <w:br/>
              <w:t xml:space="preserve">Patient must have received insufficient therapy with this drug for this condition under the Initial 3, Whole </w:t>
            </w:r>
            <w:r w:rsidRPr="006D52A9">
              <w:rPr>
                <w:rFonts w:ascii="Arial" w:hAnsi="Arial" w:cs="Arial"/>
                <w:sz w:val="16"/>
                <w:szCs w:val="16"/>
              </w:rPr>
              <w:lastRenderedPageBreak/>
              <w:t>body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more than 5 years) restriction to complete 22 weeks treatment; OR</w:t>
            </w:r>
            <w:r w:rsidRPr="006D52A9">
              <w:rPr>
                <w:rFonts w:ascii="Arial" w:hAnsi="Arial" w:cs="Arial"/>
                <w:sz w:val="16"/>
                <w:szCs w:val="16"/>
              </w:rPr>
              <w:br/>
              <w:t>Patient must have received insufficient therapy with this drug for this condition under the Initial 1, Face, hand, foot (new patient) restriction to complete 22 weeks treatment; OR</w:t>
            </w:r>
            <w:r w:rsidRPr="006D52A9">
              <w:rPr>
                <w:rFonts w:ascii="Arial" w:hAnsi="Arial" w:cs="Arial"/>
                <w:sz w:val="16"/>
                <w:szCs w:val="16"/>
              </w:rPr>
              <w:br/>
              <w:t>Patient must have received insufficient therapy with this drug for this condition under the Initial 2, Face, hand, foot (change or recommencement of treatment after a break in biological medicine of less than 5 years) restriction to complete 22 weeks treatment; OR</w:t>
            </w:r>
            <w:r w:rsidRPr="006D52A9">
              <w:rPr>
                <w:rFonts w:ascii="Arial" w:hAnsi="Arial" w:cs="Arial"/>
                <w:sz w:val="16"/>
                <w:szCs w:val="16"/>
              </w:rPr>
              <w:br/>
              <w:t>Patient must have received insufficient therapy with this drug for this condition under the Initial 3, Face, hand, foot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more than 5 years) restriction to complete 22 weeks treatment;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The treatment must provide no more than the balance of up to 22 weeks treatment available under the above restrictions.</w:t>
            </w:r>
            <w:r w:rsidRPr="006D52A9">
              <w:rPr>
                <w:rFonts w:ascii="Arial" w:hAnsi="Arial" w:cs="Arial"/>
                <w:sz w:val="16"/>
                <w:szCs w:val="16"/>
              </w:rPr>
              <w:br/>
              <w:t>Must be treated by a dermatologist.</w:t>
            </w:r>
          </w:p>
        </w:tc>
        <w:tc>
          <w:tcPr>
            <w:tcW w:w="929" w:type="pct"/>
            <w:tcMar>
              <w:top w:w="28" w:type="dxa"/>
              <w:left w:w="28" w:type="dxa"/>
              <w:right w:w="57" w:type="dxa"/>
            </w:tcMar>
          </w:tcPr>
          <w:p w14:paraId="5FA16F98"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38228E" w14:paraId="63815B39" w14:textId="77777777" w:rsidTr="00FB6D2D">
        <w:tc>
          <w:tcPr>
            <w:tcW w:w="647" w:type="pct"/>
            <w:tcMar>
              <w:top w:w="28" w:type="dxa"/>
              <w:left w:w="28" w:type="dxa"/>
            </w:tcMar>
          </w:tcPr>
          <w:p w14:paraId="5793C9DE"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5BB43C23"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C8940</w:t>
            </w:r>
          </w:p>
        </w:tc>
        <w:tc>
          <w:tcPr>
            <w:tcW w:w="274" w:type="pct"/>
            <w:tcMar>
              <w:top w:w="28" w:type="dxa"/>
              <w:left w:w="28" w:type="dxa"/>
            </w:tcMar>
          </w:tcPr>
          <w:p w14:paraId="2C73F989"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7838C90B"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Subsequent continuing treatment, Face, hand, foot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per subsequent continuing treatment course authorised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 the plaque or plaques assessed prior to biological treatment showing:</w:t>
            </w:r>
            <w:r w:rsidRPr="006D52A9">
              <w:rPr>
                <w:rFonts w:ascii="Arial" w:hAnsi="Arial" w:cs="Arial"/>
                <w:sz w:val="16"/>
                <w:szCs w:val="16"/>
              </w:rPr>
              <w:br/>
              <w:t>(i) a reduction in the Psoriasis Area and Severity Index (PASI) symptom subscores for all 3 of erythema, thickness and scaling, to slight or better, or sustained at this level, as compared to the baseline values; or</w:t>
            </w:r>
            <w:r w:rsidRPr="006D52A9">
              <w:rPr>
                <w:rFonts w:ascii="Arial" w:hAnsi="Arial" w:cs="Arial"/>
                <w:sz w:val="16"/>
                <w:szCs w:val="16"/>
              </w:rPr>
              <w:br/>
              <w:t>(ii) a reduction by 75% or more in the skin area affected, or sustained at this level, as compared to the baseline value for this treatment cycle.</w:t>
            </w:r>
            <w:r w:rsidRPr="006D52A9">
              <w:rPr>
                <w:rFonts w:ascii="Arial" w:hAnsi="Arial" w:cs="Arial"/>
                <w:sz w:val="16"/>
                <w:szCs w:val="16"/>
              </w:rPr>
              <w:br/>
              <w:t>The measurement of response to the prior course of therapy must be documented in the patient’s medical notes.</w:t>
            </w:r>
            <w:r w:rsidRPr="006D52A9">
              <w:rPr>
                <w:rFonts w:ascii="Arial" w:hAnsi="Arial" w:cs="Arial"/>
                <w:sz w:val="16"/>
                <w:szCs w:val="16"/>
              </w:rPr>
              <w:br/>
              <w:t>Determination of response must be based on the PASI assessment of response to the most recent course of treatment with this drug.</w:t>
            </w:r>
            <w:r w:rsidRPr="006D52A9">
              <w:rPr>
                <w:rFonts w:ascii="Arial" w:hAnsi="Arial" w:cs="Arial"/>
                <w:sz w:val="16"/>
                <w:szCs w:val="16"/>
              </w:rPr>
              <w:br/>
              <w:t>The PASI assessment for continuing treatment must be performed on the same affected area as assessed at baseline.</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 xml:space="preserve">trial this drug after a minimum of 5 years have elapsed between the date the last </w:t>
            </w:r>
            <w:r w:rsidRPr="006D52A9">
              <w:rPr>
                <w:rFonts w:ascii="Arial" w:hAnsi="Arial" w:cs="Arial"/>
                <w:sz w:val="16"/>
                <w:szCs w:val="16"/>
              </w:rPr>
              <w:lastRenderedPageBreak/>
              <w:t>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3585A7C1"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8940</w:t>
            </w:r>
          </w:p>
        </w:tc>
      </w:tr>
      <w:tr w:rsidR="008F47B8" w:rsidRPr="006D52A9" w:rsidDel="0038228E" w14:paraId="43CBF37C" w14:textId="77777777" w:rsidTr="00FB6D2D">
        <w:tc>
          <w:tcPr>
            <w:tcW w:w="647" w:type="pct"/>
            <w:tcMar>
              <w:top w:w="28" w:type="dxa"/>
              <w:left w:w="28" w:type="dxa"/>
            </w:tcMar>
          </w:tcPr>
          <w:p w14:paraId="749577D0"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25226C29"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C8941</w:t>
            </w:r>
          </w:p>
        </w:tc>
        <w:tc>
          <w:tcPr>
            <w:tcW w:w="274" w:type="pct"/>
            <w:tcMar>
              <w:top w:w="28" w:type="dxa"/>
              <w:left w:w="28" w:type="dxa"/>
            </w:tcMar>
          </w:tcPr>
          <w:p w14:paraId="349C35A4"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7C298C3"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Subsequent continuing treatment, Whole body</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under the First continuing treatment restriction;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per subsequent continuing treatment course authorised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w:t>
            </w:r>
            <w:r w:rsidRPr="006D52A9">
              <w:rPr>
                <w:rFonts w:ascii="Arial" w:hAnsi="Arial" w:cs="Arial"/>
                <w:sz w:val="16"/>
                <w:szCs w:val="16"/>
              </w:rPr>
              <w:br/>
              <w:t>A Psoriasis Area and Severity Index (PASI) score which is reduced by 75% or more, or is sustained at this level, when compared with the baseline value for this treatment cycle.</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Psoriasis Area and Severity Index (PASI) calculation sheet including the date of the assessment of the patient’s condition.</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Approval will be based on the PASI assessment of response to the most recent course of treatment with this drug.</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F6B55EB"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t>Compliance with Written Authority Required procedures</w:t>
            </w:r>
          </w:p>
        </w:tc>
      </w:tr>
      <w:tr w:rsidR="008F47B8" w:rsidRPr="006D52A9" w:rsidDel="0038228E" w14:paraId="48694E94" w14:textId="77777777" w:rsidTr="00FB6D2D">
        <w:tc>
          <w:tcPr>
            <w:tcW w:w="647" w:type="pct"/>
            <w:tcMar>
              <w:top w:w="28" w:type="dxa"/>
              <w:left w:w="28" w:type="dxa"/>
            </w:tcMar>
          </w:tcPr>
          <w:p w14:paraId="0248B118"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39BE9F6A"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C8962</w:t>
            </w:r>
          </w:p>
        </w:tc>
        <w:tc>
          <w:tcPr>
            <w:tcW w:w="274" w:type="pct"/>
            <w:tcMar>
              <w:top w:w="28" w:type="dxa"/>
              <w:left w:w="28" w:type="dxa"/>
            </w:tcMar>
          </w:tcPr>
          <w:p w14:paraId="60F67A1A"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AB72B0F"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r>
            <w:r w:rsidRPr="006D52A9">
              <w:rPr>
                <w:rFonts w:ascii="Arial" w:hAnsi="Arial" w:cs="Arial"/>
                <w:sz w:val="16"/>
                <w:szCs w:val="16"/>
              </w:rPr>
              <w:lastRenderedPageBreak/>
              <w:t>First continuing treatment, Whole body</w:t>
            </w:r>
            <w:r w:rsidRPr="006D52A9">
              <w:rPr>
                <w:rFonts w:ascii="Arial" w:hAnsi="Arial" w:cs="Arial"/>
                <w:sz w:val="16"/>
                <w:szCs w:val="16"/>
              </w:rPr>
              <w:br/>
              <w:t>Patient must have received this drug as their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for this condition; AND</w:t>
            </w:r>
            <w:r w:rsidRPr="006D52A9">
              <w:rPr>
                <w:rFonts w:ascii="Arial" w:hAnsi="Arial" w:cs="Arial"/>
                <w:sz w:val="16"/>
                <w:szCs w:val="16"/>
              </w:rPr>
              <w:br/>
              <w:t>Patient must have demonstrated an adequate response to treatment with this drug;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24 weeks of treatment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An adequate response to treatment is defined as:</w:t>
            </w:r>
            <w:r w:rsidRPr="006D52A9">
              <w:rPr>
                <w:rFonts w:ascii="Arial" w:hAnsi="Arial" w:cs="Arial"/>
                <w:sz w:val="16"/>
                <w:szCs w:val="16"/>
              </w:rPr>
              <w:br/>
              <w:t>A Psoriasis Area and Severity Index (PASI) score which is reduced by 75% or more, or is sustained at this level, when compared with the baseline value for this treatment cycle.</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Psoriasis Area and Severity Index (PASI) calculation sheet including the date of the assessment of the patient’s condition.</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Approval will be based on the PASI assessment of response to the most recent course of treatment with this drug.</w:t>
            </w:r>
            <w:r w:rsidRPr="006D52A9">
              <w:rPr>
                <w:rFonts w:ascii="Arial" w:hAnsi="Arial" w:cs="Arial"/>
                <w:sz w:val="16"/>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0FFBC2B5"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 xml:space="preserve">Compliance with Written </w:t>
            </w:r>
            <w:r w:rsidRPr="006D52A9">
              <w:rPr>
                <w:rFonts w:ascii="Arial" w:hAnsi="Arial" w:cs="Arial"/>
                <w:sz w:val="16"/>
                <w:szCs w:val="16"/>
              </w:rPr>
              <w:lastRenderedPageBreak/>
              <w:t>Authority Required procedures</w:t>
            </w:r>
          </w:p>
        </w:tc>
      </w:tr>
      <w:tr w:rsidR="008F47B8" w:rsidRPr="006D52A9" w:rsidDel="0038228E" w14:paraId="7484D991" w14:textId="77777777" w:rsidTr="00FB6D2D">
        <w:tc>
          <w:tcPr>
            <w:tcW w:w="647" w:type="pct"/>
            <w:tcMar>
              <w:top w:w="28" w:type="dxa"/>
              <w:left w:w="28" w:type="dxa"/>
            </w:tcMar>
          </w:tcPr>
          <w:p w14:paraId="0AF85FC8"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757F313A"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C8983</w:t>
            </w:r>
          </w:p>
        </w:tc>
        <w:tc>
          <w:tcPr>
            <w:tcW w:w="274" w:type="pct"/>
            <w:tcMar>
              <w:top w:w="28" w:type="dxa"/>
              <w:left w:w="28" w:type="dxa"/>
            </w:tcMar>
          </w:tcPr>
          <w:p w14:paraId="2B907967"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608E3DA8"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Severe chronic plaque psoriasis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Face, hand, foot (re</w:t>
            </w:r>
            <w:r w:rsidR="0026100E">
              <w:rPr>
                <w:rFonts w:ascii="Arial" w:hAnsi="Arial" w:cs="Arial"/>
                <w:sz w:val="16"/>
                <w:szCs w:val="16"/>
              </w:rPr>
              <w:noBreakHyphen/>
            </w:r>
            <w:r w:rsidRPr="006D52A9">
              <w:rPr>
                <w:rFonts w:ascii="Arial" w:hAnsi="Arial" w:cs="Arial"/>
                <w:sz w:val="16"/>
                <w:szCs w:val="16"/>
              </w:rPr>
              <w:t>commencement of treatment after a break in biological medicine of more than 5 years)</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 xml:space="preserve">Patient must have a break in treatment of 5 years or more from the most recently approved </w:t>
            </w:r>
            <w:r w:rsidRPr="006D52A9">
              <w:rPr>
                <w:rFonts w:ascii="Arial" w:hAnsi="Arial" w:cs="Arial"/>
                <w:sz w:val="16"/>
                <w:szCs w:val="16"/>
              </w:rPr>
              <w:lastRenderedPageBreak/>
              <w:t>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6D52A9">
              <w:rPr>
                <w:rFonts w:ascii="Arial" w:hAnsi="Arial" w:cs="Arial"/>
                <w:sz w:val="16"/>
                <w:szCs w:val="16"/>
              </w:rPr>
              <w:br/>
              <w:t>The treatment must be as systemic monotherapy (other than methotrexate); AND</w:t>
            </w:r>
            <w:r w:rsidRPr="006D52A9">
              <w:rPr>
                <w:rFonts w:ascii="Arial" w:hAnsi="Arial" w:cs="Arial"/>
                <w:sz w:val="16"/>
                <w:szCs w:val="16"/>
              </w:rPr>
              <w:br/>
              <w:t>Patient must not receive more than 22 weeks of treatment under this restriction.</w:t>
            </w:r>
            <w:r w:rsidRPr="006D52A9">
              <w:rPr>
                <w:rFonts w:ascii="Arial" w:hAnsi="Arial" w:cs="Arial"/>
                <w:sz w:val="16"/>
                <w:szCs w:val="16"/>
              </w:rPr>
              <w:br/>
              <w:t>Patient must be aged 18 years or older.</w:t>
            </w:r>
            <w:r w:rsidRPr="006D52A9">
              <w:rPr>
                <w:rFonts w:ascii="Arial" w:hAnsi="Arial" w:cs="Arial"/>
                <w:sz w:val="16"/>
                <w:szCs w:val="16"/>
              </w:rPr>
              <w:br/>
              <w:t>Must be treated by a dermatologist.</w:t>
            </w:r>
            <w:r w:rsidRPr="006D52A9">
              <w:rPr>
                <w:rFonts w:ascii="Arial" w:hAnsi="Arial" w:cs="Arial"/>
                <w:sz w:val="16"/>
                <w:szCs w:val="16"/>
              </w:rPr>
              <w:br/>
              <w:t>The most recent PASI assessment must be no more than 1 month old at the time of application.</w:t>
            </w:r>
            <w:r w:rsidRPr="006D52A9">
              <w:rPr>
                <w:rFonts w:ascii="Arial" w:hAnsi="Arial" w:cs="Arial"/>
                <w:sz w:val="16"/>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form(s); and</w:t>
            </w:r>
            <w:r w:rsidRPr="006D52A9">
              <w:rPr>
                <w:rFonts w:ascii="Arial" w:hAnsi="Arial" w:cs="Arial"/>
                <w:sz w:val="16"/>
                <w:szCs w:val="16"/>
              </w:rPr>
              <w:br/>
              <w:t xml:space="preserve">(b) a completed Severe Chronic Plaque Psoriasis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completed current Psoriasis Area and Severity Index (PASI) calculation sheets and face, hand, foot area diagrams including the dates of assessment of the patient’s condition.</w:t>
            </w:r>
            <w:r w:rsidRPr="006D52A9">
              <w:rPr>
                <w:rFonts w:ascii="Arial" w:hAnsi="Arial" w:cs="Arial"/>
                <w:sz w:val="16"/>
                <w:szCs w:val="16"/>
              </w:rPr>
              <w:br/>
              <w:t>It is recommended that an assessment of a patient’s response is conducted following a minimum of 12 weeks of therapy and no later than 4 weeks from the completion of the most recent course of treatment.</w:t>
            </w:r>
            <w:r w:rsidRPr="006D52A9">
              <w:rPr>
                <w:rFonts w:ascii="Arial" w:hAnsi="Arial" w:cs="Arial"/>
                <w:sz w:val="16"/>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 with this drug for this condition. Demonstration of response should be provided within this timeframe.</w:t>
            </w:r>
            <w:r w:rsidRPr="006D52A9">
              <w:rPr>
                <w:rFonts w:ascii="Arial" w:hAnsi="Arial" w:cs="Arial"/>
                <w:sz w:val="16"/>
                <w:szCs w:val="16"/>
              </w:rPr>
              <w:br/>
              <w:t>The PASI assessment for first continuing or subsequent continuing treatment must be performed on the same affected area as assessed at baseline.</w:t>
            </w:r>
            <w:r w:rsidRPr="006D52A9">
              <w:rPr>
                <w:rFonts w:ascii="Arial" w:hAnsi="Arial" w:cs="Arial"/>
                <w:sz w:val="16"/>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hAnsi="Arial" w:cs="Arial"/>
                <w:sz w:val="16"/>
                <w:szCs w:val="16"/>
              </w:rPr>
              <w:br/>
              <w:t>If a patient fails to demonstrate a response to treatment with this drug under this restriction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this treatment cycle.</w:t>
            </w:r>
          </w:p>
        </w:tc>
        <w:tc>
          <w:tcPr>
            <w:tcW w:w="929" w:type="pct"/>
            <w:tcMar>
              <w:top w:w="28" w:type="dxa"/>
              <w:left w:w="28" w:type="dxa"/>
              <w:right w:w="57" w:type="dxa"/>
            </w:tcMar>
          </w:tcPr>
          <w:p w14:paraId="4BE03CAF"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0C126D8E" w14:textId="77777777" w:rsidTr="00FB6D2D">
        <w:tc>
          <w:tcPr>
            <w:tcW w:w="647" w:type="pct"/>
            <w:tcMar>
              <w:top w:w="28" w:type="dxa"/>
              <w:left w:w="28" w:type="dxa"/>
            </w:tcMar>
          </w:tcPr>
          <w:p w14:paraId="279B8145"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13BAF5A2"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C9065</w:t>
            </w:r>
          </w:p>
        </w:tc>
        <w:tc>
          <w:tcPr>
            <w:tcW w:w="274" w:type="pct"/>
            <w:tcMar>
              <w:top w:w="28" w:type="dxa"/>
              <w:left w:w="28" w:type="dxa"/>
            </w:tcMar>
          </w:tcPr>
          <w:p w14:paraId="066DF8DC"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3F0BB75"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treatment with this drug for this condition under </w:t>
            </w:r>
            <w:r w:rsidRPr="006D52A9">
              <w:rPr>
                <w:rFonts w:ascii="Arial" w:eastAsia="SimSun" w:hAnsi="Arial" w:cs="Arial"/>
                <w:sz w:val="16"/>
                <w:szCs w:val="16"/>
                <w:lang w:eastAsia="zh-CN"/>
              </w:rPr>
              <w:lastRenderedPageBreak/>
              <w:t>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erythrocyte sedimentation rate (ESR)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either marker reduced by at least 20% from baseline; and</w:t>
            </w:r>
            <w:r w:rsidRPr="006D52A9">
              <w:rPr>
                <w:rFonts w:ascii="Arial" w:eastAsia="SimSun" w:hAnsi="Arial" w:cs="Arial"/>
                <w:sz w:val="16"/>
                <w:szCs w:val="16"/>
                <w:lang w:eastAsia="zh-CN"/>
              </w:rPr>
              <w:br/>
              <w:t>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major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6D52A9">
              <w:rPr>
                <w:rFonts w:ascii="Arial" w:eastAsia="SimSun" w:hAnsi="Arial" w:cs="Arial"/>
                <w:sz w:val="16"/>
                <w:szCs w:val="16"/>
                <w:lang w:eastAsia="zh-CN"/>
              </w:rPr>
              <w:br/>
              <w:t>Up to a maximum of 2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form(s); and</w:t>
            </w:r>
            <w:r w:rsidRPr="006D52A9">
              <w:rPr>
                <w:rFonts w:ascii="Arial" w:eastAsia="SimSun" w:hAnsi="Arial" w:cs="Arial"/>
                <w:sz w:val="16"/>
                <w:szCs w:val="16"/>
                <w:lang w:eastAsia="zh-CN"/>
              </w:rPr>
              <w:br/>
              <w:t xml:space="preserve">(2) a completed Severe Psoriatic Arthritis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was approved under the first continuing treatment restriction,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05543F70" w14:textId="77777777" w:rsidR="008F47B8" w:rsidRPr="006D52A9" w:rsidRDefault="008F47B8" w:rsidP="00FB6D2D">
            <w:pPr>
              <w:keepNext/>
              <w:spacing w:after="60"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38228E" w14:paraId="7F529100" w14:textId="77777777" w:rsidTr="00FB6D2D">
        <w:tc>
          <w:tcPr>
            <w:tcW w:w="647" w:type="pct"/>
            <w:tcMar>
              <w:top w:w="28" w:type="dxa"/>
              <w:left w:w="28" w:type="dxa"/>
            </w:tcMar>
          </w:tcPr>
          <w:p w14:paraId="3A01871A"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67A8B1DB"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C9067</w:t>
            </w:r>
          </w:p>
        </w:tc>
        <w:tc>
          <w:tcPr>
            <w:tcW w:w="274" w:type="pct"/>
            <w:tcMar>
              <w:top w:w="28" w:type="dxa"/>
              <w:left w:w="28" w:type="dxa"/>
            </w:tcMar>
          </w:tcPr>
          <w:p w14:paraId="4DBC0E5A"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27F6CD6"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First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erythrocyte sedimentation rate (ESR)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either marker reduced by at least 20% from baseline; and</w:t>
            </w:r>
            <w:r w:rsidRPr="006D52A9">
              <w:rPr>
                <w:rFonts w:ascii="Arial" w:eastAsia="SimSun" w:hAnsi="Arial" w:cs="Arial"/>
                <w:sz w:val="16"/>
                <w:szCs w:val="16"/>
                <w:lang w:eastAsia="zh-CN"/>
              </w:rPr>
              <w:br/>
              <w:t>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major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6D52A9">
              <w:rPr>
                <w:rFonts w:ascii="Arial" w:eastAsia="SimSun" w:hAnsi="Arial" w:cs="Arial"/>
                <w:sz w:val="16"/>
                <w:szCs w:val="16"/>
                <w:lang w:eastAsia="zh-CN"/>
              </w:rPr>
              <w:br/>
              <w:t>Up to a maximum of 2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form(s); and</w:t>
            </w:r>
            <w:r w:rsidRPr="006D52A9">
              <w:rPr>
                <w:rFonts w:ascii="Arial" w:eastAsia="SimSun" w:hAnsi="Arial" w:cs="Arial"/>
                <w:sz w:val="16"/>
                <w:szCs w:val="16"/>
                <w:lang w:eastAsia="zh-CN"/>
              </w:rPr>
              <w:br/>
              <w:t xml:space="preserve">(2) a completed Severe Psoriatic Arthritis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D7F14ED"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38228E" w14:paraId="5463098E" w14:textId="77777777" w:rsidTr="00FB6D2D">
        <w:tc>
          <w:tcPr>
            <w:tcW w:w="647" w:type="pct"/>
            <w:tcMar>
              <w:top w:w="28" w:type="dxa"/>
              <w:left w:w="28" w:type="dxa"/>
            </w:tcMar>
          </w:tcPr>
          <w:p w14:paraId="1D91A317"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772A6705"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C9068</w:t>
            </w:r>
          </w:p>
        </w:tc>
        <w:tc>
          <w:tcPr>
            <w:tcW w:w="274" w:type="pct"/>
            <w:tcMar>
              <w:top w:w="28" w:type="dxa"/>
              <w:left w:w="28" w:type="dxa"/>
            </w:tcMar>
          </w:tcPr>
          <w:p w14:paraId="30BF1777"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2DF3F265"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 xml:space="preserve">Continuing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received insufficient therapy with this drug for this condition under the first continuing treatment restriction to complete 24 weeks treatment; OR</w:t>
            </w:r>
            <w:r w:rsidRPr="006D52A9">
              <w:rPr>
                <w:rFonts w:ascii="Arial" w:eastAsia="SimSun" w:hAnsi="Arial" w:cs="Arial"/>
                <w:sz w:val="16"/>
                <w:szCs w:val="16"/>
                <w:lang w:eastAsia="zh-CN"/>
              </w:rPr>
              <w:br/>
              <w:t>Patient must have received insufficient therapy with this drug for this condition under the subsequent continuing Authority Required (in writing) treatment restriction to complete 24 weeks treatment; AND</w:t>
            </w:r>
            <w:r w:rsidRPr="006D52A9">
              <w:rPr>
                <w:rFonts w:ascii="Arial" w:eastAsia="SimSun" w:hAnsi="Arial" w:cs="Arial"/>
                <w:sz w:val="16"/>
                <w:szCs w:val="16"/>
                <w:lang w:eastAsia="zh-CN"/>
              </w:rPr>
              <w:br/>
              <w:t>The treatment must provide no more than the balance of up to 24 weeks treatment available under the above restrictions.</w:t>
            </w:r>
          </w:p>
        </w:tc>
        <w:tc>
          <w:tcPr>
            <w:tcW w:w="929" w:type="pct"/>
            <w:tcMar>
              <w:top w:w="28" w:type="dxa"/>
              <w:left w:w="28" w:type="dxa"/>
              <w:right w:w="57" w:type="dxa"/>
            </w:tcMar>
          </w:tcPr>
          <w:p w14:paraId="02A6CF15"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t>Compliance with Authority Required procedures</w:t>
            </w:r>
          </w:p>
        </w:tc>
      </w:tr>
      <w:tr w:rsidR="008F47B8" w:rsidRPr="006D52A9" w:rsidDel="0038228E" w14:paraId="52158851" w14:textId="77777777" w:rsidTr="00FB6D2D">
        <w:tc>
          <w:tcPr>
            <w:tcW w:w="647" w:type="pct"/>
            <w:tcMar>
              <w:top w:w="28" w:type="dxa"/>
              <w:left w:w="28" w:type="dxa"/>
            </w:tcMar>
          </w:tcPr>
          <w:p w14:paraId="76727DE0"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215403CC"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C9110</w:t>
            </w:r>
          </w:p>
        </w:tc>
        <w:tc>
          <w:tcPr>
            <w:tcW w:w="274" w:type="pct"/>
            <w:tcMar>
              <w:top w:w="28" w:type="dxa"/>
              <w:left w:w="28" w:type="dxa"/>
            </w:tcMar>
          </w:tcPr>
          <w:p w14:paraId="2F2261AE"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550A2F5E"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failed to achieve an adequate response to methotrexate at a dose of at least 20 mg weekly for a minimum period of 3 months; AND</w:t>
            </w:r>
            <w:r w:rsidRPr="006D52A9">
              <w:rPr>
                <w:rFonts w:ascii="Arial" w:eastAsia="SimSun" w:hAnsi="Arial" w:cs="Arial"/>
                <w:sz w:val="16"/>
                <w:szCs w:val="16"/>
                <w:lang w:eastAsia="zh-CN"/>
              </w:rPr>
              <w:br/>
              <w:t>Patient must have failed to achieve an adequate response to sulfasalazine at a dose of at least 2 g per day for a minimum period of 3 months; OR</w:t>
            </w:r>
            <w:r w:rsidRPr="006D52A9">
              <w:rPr>
                <w:rFonts w:ascii="Arial" w:eastAsia="SimSun" w:hAnsi="Arial" w:cs="Arial"/>
                <w:sz w:val="16"/>
                <w:szCs w:val="16"/>
                <w:lang w:eastAsia="zh-CN"/>
              </w:rPr>
              <w:br/>
              <w:t>Patient must have failed to achieve an adequate response to leflunomide at a dose of up to 20 mg daily for a minimum period of 3 months;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Where treatment with methotrexate, sulfasalazine or leflunomide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details must be provided at the time of application.</w:t>
            </w:r>
            <w:r w:rsidRPr="006D52A9">
              <w:rPr>
                <w:rFonts w:ascii="Arial" w:eastAsia="SimSun" w:hAnsi="Arial" w:cs="Arial"/>
                <w:sz w:val="16"/>
                <w:szCs w:val="16"/>
                <w:lang w:eastAsia="zh-CN"/>
              </w:rPr>
              <w:b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r w:rsidRPr="006D52A9">
              <w:rPr>
                <w:rFonts w:ascii="Arial" w:eastAsia="SimSun" w:hAnsi="Arial" w:cs="Arial"/>
                <w:sz w:val="16"/>
                <w:szCs w:val="16"/>
                <w:lang w:eastAsia="zh-CN"/>
              </w:rPr>
              <w:br/>
              <w:t>The following initiation criteria indicate failure to achieve an adequate response and must be demonstrated in all patients at the time of the initial application:</w:t>
            </w:r>
            <w:r w:rsidRPr="006D52A9">
              <w:rPr>
                <w:rFonts w:ascii="Arial" w:eastAsia="SimSun" w:hAnsi="Arial" w:cs="Arial"/>
                <w:sz w:val="16"/>
                <w:szCs w:val="16"/>
                <w:lang w:eastAsia="zh-CN"/>
              </w:rPr>
              <w:br/>
              <w:t>an elevated erythrocyte sedimentation rate (ESR)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15 mg per L; and</w:t>
            </w:r>
            <w:r w:rsidRPr="006D52A9">
              <w:rPr>
                <w:rFonts w:ascii="Arial" w:eastAsia="SimSun" w:hAnsi="Arial" w:cs="Arial"/>
                <w:sz w:val="16"/>
                <w:szCs w:val="16"/>
                <w:lang w:eastAsia="zh-CN"/>
              </w:rPr>
              <w:br/>
              <w:t>either</w:t>
            </w:r>
            <w:r w:rsidRPr="006D52A9">
              <w:rPr>
                <w:rFonts w:ascii="Arial" w:eastAsia="SimSun" w:hAnsi="Arial" w:cs="Arial"/>
                <w:sz w:val="16"/>
                <w:szCs w:val="16"/>
                <w:lang w:eastAsia="zh-CN"/>
              </w:rPr>
              <w:br/>
              <w:t>(a) an active joint count of at least 20 active (swollen and tender) joints; or</w:t>
            </w:r>
            <w:r w:rsidRPr="006D52A9">
              <w:rPr>
                <w:rFonts w:ascii="Arial" w:eastAsia="SimSun" w:hAnsi="Arial" w:cs="Arial"/>
                <w:sz w:val="16"/>
                <w:szCs w:val="16"/>
                <w:lang w:eastAsia="zh-CN"/>
              </w:rPr>
              <w:br/>
              <w:t>(b) at least 4 active joints from the following list of major joints:</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If the above requirement to demonstrate an elevated ESR or CRP cannot be met, the application must state the reasons why this criterion cannot be satisfied.</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form(s); and</w:t>
            </w:r>
            <w:r w:rsidRPr="006D52A9">
              <w:rPr>
                <w:rFonts w:ascii="Arial" w:eastAsia="SimSun" w:hAnsi="Arial" w:cs="Arial"/>
                <w:sz w:val="16"/>
                <w:szCs w:val="16"/>
                <w:lang w:eastAsia="zh-CN"/>
              </w:rPr>
              <w:br/>
              <w:t xml:space="preserve">(2) a completed Severe Psoriatic Arthritis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02C81D37"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38228E" w14:paraId="63153087" w14:textId="77777777" w:rsidTr="00FB6D2D">
        <w:tc>
          <w:tcPr>
            <w:tcW w:w="647" w:type="pct"/>
            <w:tcMar>
              <w:top w:w="28" w:type="dxa"/>
              <w:left w:w="28" w:type="dxa"/>
            </w:tcMar>
          </w:tcPr>
          <w:p w14:paraId="1F1B7441"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7B47B082"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C9111</w:t>
            </w:r>
          </w:p>
        </w:tc>
        <w:tc>
          <w:tcPr>
            <w:tcW w:w="274" w:type="pct"/>
            <w:tcMar>
              <w:top w:w="28" w:type="dxa"/>
              <w:left w:w="28" w:type="dxa"/>
            </w:tcMar>
          </w:tcPr>
          <w:p w14:paraId="084B75B3"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51EEFAEA"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 xml:space="preserve">Initial 1 (new patient) or Initial 2 (change or recommencement of treatment after a break in biological medicine of less than 5 years) or Initial 3 (recommencement of treatment after a break in biological medicine of more than 5 years)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received insufficient therapy with this drug for this condition under the Initial 1 (new patient)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22 weeks treatment; AND</w:t>
            </w:r>
            <w:r w:rsidRPr="006D52A9">
              <w:rPr>
                <w:rFonts w:ascii="Arial" w:eastAsia="SimSun" w:hAnsi="Arial" w:cs="Arial"/>
                <w:sz w:val="16"/>
                <w:szCs w:val="16"/>
                <w:lang w:eastAsia="zh-CN"/>
              </w:rPr>
              <w:br/>
              <w:t>The treatment must provide no more than the balance of up to 22 weeks treatment available under the above restrictions.</w:t>
            </w:r>
          </w:p>
        </w:tc>
        <w:tc>
          <w:tcPr>
            <w:tcW w:w="929" w:type="pct"/>
            <w:tcMar>
              <w:top w:w="28" w:type="dxa"/>
              <w:left w:w="28" w:type="dxa"/>
              <w:right w:w="57" w:type="dxa"/>
            </w:tcMar>
          </w:tcPr>
          <w:p w14:paraId="581CC743"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t>Compliance with Authority Required procedures</w:t>
            </w:r>
          </w:p>
        </w:tc>
      </w:tr>
      <w:tr w:rsidR="008F47B8" w:rsidRPr="006D52A9" w:rsidDel="0038228E" w14:paraId="61958684" w14:textId="77777777" w:rsidTr="00FB6D2D">
        <w:tc>
          <w:tcPr>
            <w:tcW w:w="647" w:type="pct"/>
            <w:tcMar>
              <w:top w:w="28" w:type="dxa"/>
              <w:left w:w="28" w:type="dxa"/>
            </w:tcMar>
          </w:tcPr>
          <w:p w14:paraId="3EF3870E"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1F910006"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C9169</w:t>
            </w:r>
          </w:p>
        </w:tc>
        <w:tc>
          <w:tcPr>
            <w:tcW w:w="274" w:type="pct"/>
            <w:tcMar>
              <w:top w:w="28" w:type="dxa"/>
              <w:left w:w="28" w:type="dxa"/>
            </w:tcMar>
          </w:tcPr>
          <w:p w14:paraId="18BABB27"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EAA79E5"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(recommencement of treatment after a break in biological medicine of more than 5 years)</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The condition must have an elevated erythrocyte sedimentation rate (ESR) greater than 25 mm per hour; OR</w:t>
            </w:r>
            <w:r w:rsidRPr="006D52A9">
              <w:rPr>
                <w:rFonts w:ascii="Arial" w:eastAsia="SimSun" w:hAnsi="Arial" w:cs="Arial"/>
                <w:sz w:val="16"/>
                <w:szCs w:val="16"/>
                <w:lang w:eastAsia="zh-CN"/>
              </w:rPr>
              <w:br/>
              <w:t>The condition must have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15 mg per L; AND</w:t>
            </w:r>
            <w:r w:rsidRPr="006D52A9">
              <w:rPr>
                <w:rFonts w:ascii="Arial" w:eastAsia="SimSun" w:hAnsi="Arial" w:cs="Arial"/>
                <w:sz w:val="16"/>
                <w:szCs w:val="16"/>
                <w:lang w:eastAsia="zh-CN"/>
              </w:rPr>
              <w:br/>
              <w:t>The condition must have either (a) a total active joint count of at least 20 active (swollen and tender) joints; or (b) at least 4 active major joints;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All measures of joint count and ESR and/or CRP must be no more than one month old at the time of initial application.</w:t>
            </w:r>
            <w:r w:rsidRPr="006D52A9">
              <w:rPr>
                <w:rFonts w:ascii="Arial" w:eastAsia="SimSun" w:hAnsi="Arial" w:cs="Arial"/>
                <w:sz w:val="16"/>
                <w:szCs w:val="16"/>
                <w:lang w:eastAsia="zh-CN"/>
              </w:rPr>
              <w:br/>
              <w:t>If the above requirement to demonstrate an elevated ESR or CRP cannot be met, the application must state the reasons why this criterion cannot be satisfied.</w:t>
            </w:r>
            <w:r w:rsidRPr="006D52A9">
              <w:rPr>
                <w:rFonts w:ascii="Arial" w:eastAsia="SimSun" w:hAnsi="Arial" w:cs="Arial"/>
                <w:sz w:val="16"/>
                <w:szCs w:val="16"/>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form(s); and</w:t>
            </w:r>
            <w:r w:rsidRPr="006D52A9">
              <w:rPr>
                <w:rFonts w:ascii="Arial" w:eastAsia="SimSun" w:hAnsi="Arial" w:cs="Arial"/>
                <w:sz w:val="16"/>
                <w:szCs w:val="16"/>
                <w:lang w:eastAsia="zh-CN"/>
              </w:rPr>
              <w:br/>
              <w:t xml:space="preserve">(2) a completed Severe Psoriatic Arthritis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 xml:space="preserve">An application for the continuing treatment must be accompanied with the assessment of response </w:t>
            </w:r>
            <w:r w:rsidRPr="006D52A9">
              <w:rPr>
                <w:rFonts w:ascii="Arial" w:eastAsia="SimSun" w:hAnsi="Arial" w:cs="Arial"/>
                <w:sz w:val="16"/>
                <w:szCs w:val="16"/>
                <w:lang w:eastAsia="zh-CN"/>
              </w:rPr>
              <w:lastRenderedPageBreak/>
              <w:t>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7D131EE7"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38228E" w14:paraId="31DF6720" w14:textId="77777777" w:rsidTr="00FB6D2D">
        <w:tc>
          <w:tcPr>
            <w:tcW w:w="647" w:type="pct"/>
            <w:tcMar>
              <w:top w:w="28" w:type="dxa"/>
              <w:left w:w="28" w:type="dxa"/>
            </w:tcMar>
          </w:tcPr>
          <w:p w14:paraId="405666DF" w14:textId="77777777" w:rsidR="008F47B8" w:rsidRPr="006D52A9" w:rsidRDefault="008F47B8" w:rsidP="00FB6D2D">
            <w:pPr>
              <w:spacing w:after="60" w:line="240" w:lineRule="auto"/>
              <w:rPr>
                <w:rFonts w:ascii="Arial" w:hAnsi="Arial" w:cs="Arial"/>
                <w:sz w:val="16"/>
                <w:szCs w:val="16"/>
              </w:rPr>
            </w:pPr>
          </w:p>
        </w:tc>
        <w:tc>
          <w:tcPr>
            <w:tcW w:w="283" w:type="pct"/>
            <w:tcMar>
              <w:top w:w="28" w:type="dxa"/>
              <w:left w:w="28" w:type="dxa"/>
            </w:tcMar>
          </w:tcPr>
          <w:p w14:paraId="4DB54896"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C9188</w:t>
            </w:r>
          </w:p>
        </w:tc>
        <w:tc>
          <w:tcPr>
            <w:tcW w:w="274" w:type="pct"/>
            <w:tcMar>
              <w:top w:w="28" w:type="dxa"/>
              <w:left w:w="28" w:type="dxa"/>
            </w:tcMar>
          </w:tcPr>
          <w:p w14:paraId="3EAE7896" w14:textId="77777777" w:rsidR="008F47B8" w:rsidRPr="006D52A9" w:rsidDel="00E03489" w:rsidRDefault="008F47B8" w:rsidP="00FB6D2D">
            <w:pPr>
              <w:spacing w:after="60" w:line="240" w:lineRule="auto"/>
              <w:rPr>
                <w:rFonts w:ascii="Arial" w:hAnsi="Arial" w:cs="Arial"/>
                <w:sz w:val="16"/>
                <w:szCs w:val="16"/>
              </w:rPr>
            </w:pPr>
          </w:p>
        </w:tc>
        <w:tc>
          <w:tcPr>
            <w:tcW w:w="2867" w:type="pct"/>
            <w:tcMar>
              <w:top w:w="28" w:type="dxa"/>
              <w:left w:w="28" w:type="dxa"/>
            </w:tcMar>
          </w:tcPr>
          <w:p w14:paraId="4654E104" w14:textId="77777777" w:rsidR="008F47B8" w:rsidRPr="006D52A9" w:rsidRDefault="008F47B8" w:rsidP="00FB6D2D">
            <w:pPr>
              <w:spacing w:after="60" w:line="240" w:lineRule="auto"/>
              <w:rPr>
                <w:rFonts w:ascii="Arial" w:hAnsi="Arial" w:cs="Arial"/>
                <w:sz w:val="16"/>
                <w:szCs w:val="16"/>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erythrocyte sedimentation rate (ESR)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either marker reduced by at least 20% from baseline; and</w:t>
            </w:r>
            <w:r w:rsidRPr="006D52A9">
              <w:rPr>
                <w:rFonts w:ascii="Arial" w:eastAsia="SimSun" w:hAnsi="Arial" w:cs="Arial"/>
                <w:sz w:val="16"/>
                <w:szCs w:val="16"/>
                <w:lang w:eastAsia="zh-CN"/>
              </w:rPr>
              <w:br/>
              <w:t>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major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D52A9">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patient’s medical records.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41493E14" w14:textId="77777777" w:rsidR="008F47B8" w:rsidRPr="006D52A9" w:rsidRDefault="008F47B8" w:rsidP="00FB6D2D">
            <w:pPr>
              <w:keepNext/>
              <w:spacing w:after="60" w:line="240" w:lineRule="auto"/>
              <w:rPr>
                <w:rFonts w:ascii="Arial" w:hAnsi="Arial" w:cs="Arial"/>
                <w:sz w:val="16"/>
                <w:szCs w:val="16"/>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9188</w:t>
            </w:r>
          </w:p>
        </w:tc>
      </w:tr>
      <w:tr w:rsidR="008F47B8" w:rsidRPr="006D52A9" w:rsidDel="0052299A" w14:paraId="54E2FC73" w14:textId="77777777" w:rsidTr="00FB6D2D">
        <w:tc>
          <w:tcPr>
            <w:tcW w:w="647" w:type="pct"/>
            <w:tcMar>
              <w:top w:w="28" w:type="dxa"/>
              <w:left w:w="28" w:type="dxa"/>
            </w:tcMar>
          </w:tcPr>
          <w:p w14:paraId="6283F2A4"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7B006A5F" w14:textId="77777777" w:rsidR="008F47B8" w:rsidRPr="006D52A9" w:rsidDel="0052299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C9191</w:t>
            </w:r>
          </w:p>
        </w:tc>
        <w:tc>
          <w:tcPr>
            <w:tcW w:w="274" w:type="pct"/>
            <w:tcMar>
              <w:top w:w="28" w:type="dxa"/>
              <w:left w:w="28" w:type="dxa"/>
            </w:tcMar>
          </w:tcPr>
          <w:p w14:paraId="59FDB4D2"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750ED54C" w14:textId="77777777" w:rsidR="008F47B8" w:rsidRPr="006D52A9" w:rsidDel="0052299A"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or recommencement of treatment after a break in biological medicine of less than 5 years)</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3 biological medicines for this condition within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erythrocyte sedimentation rate (ESR)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either marker reduced by at least 20% from baseline; and</w:t>
            </w:r>
            <w:r w:rsidRPr="006D52A9">
              <w:rPr>
                <w:rFonts w:ascii="Arial" w:eastAsia="SimSun" w:hAnsi="Arial" w:cs="Arial"/>
                <w:sz w:val="16"/>
                <w:szCs w:val="16"/>
                <w:lang w:eastAsia="zh-CN"/>
              </w:rPr>
              <w:br/>
              <w:t>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major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form(s); and</w:t>
            </w:r>
            <w:r w:rsidRPr="006D52A9">
              <w:rPr>
                <w:rFonts w:ascii="Arial" w:eastAsia="SimSun" w:hAnsi="Arial" w:cs="Arial"/>
                <w:sz w:val="16"/>
                <w:szCs w:val="16"/>
                <w:lang w:eastAsia="zh-CN"/>
              </w:rPr>
              <w:br/>
              <w:t xml:space="preserve">(2) a completed Severe Psoriatic Arthritis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 xml:space="preserve">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w:t>
            </w:r>
            <w:r w:rsidRPr="006D52A9">
              <w:rPr>
                <w:rFonts w:ascii="Arial" w:eastAsia="SimSun" w:hAnsi="Arial" w:cs="Arial"/>
                <w:sz w:val="16"/>
                <w:szCs w:val="16"/>
                <w:lang w:eastAsia="zh-CN"/>
              </w:rPr>
              <w:lastRenderedPageBreak/>
              <w:t>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5519ABDC" w14:textId="77777777" w:rsidR="008F47B8" w:rsidRPr="006D52A9" w:rsidDel="0052299A"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538F1362" w14:textId="77777777" w:rsidTr="00FB6D2D">
        <w:tc>
          <w:tcPr>
            <w:tcW w:w="647" w:type="pct"/>
            <w:tcMar>
              <w:top w:w="28" w:type="dxa"/>
              <w:left w:w="28" w:type="dxa"/>
            </w:tcMar>
          </w:tcPr>
          <w:p w14:paraId="22FBA657"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2B2913E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C9400</w:t>
            </w:r>
          </w:p>
        </w:tc>
        <w:tc>
          <w:tcPr>
            <w:tcW w:w="274" w:type="pct"/>
            <w:tcMar>
              <w:top w:w="28" w:type="dxa"/>
              <w:left w:w="28" w:type="dxa"/>
            </w:tcMar>
          </w:tcPr>
          <w:p w14:paraId="61EE270A"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085C9077"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or recommencement of treatment after a break in biological medicine of less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Patient must not receive more than 18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Ankylosing Spondylitis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An adequate response is defined as an improvement from baseline of at least 2 of the BASDAI and 1 of the following:</w:t>
            </w:r>
            <w:r w:rsidRPr="006D52A9">
              <w:rPr>
                <w:rFonts w:ascii="Arial" w:eastAsia="SimSun" w:hAnsi="Arial" w:cs="Arial"/>
                <w:sz w:val="16"/>
                <w:szCs w:val="16"/>
                <w:lang w:eastAsia="zh-CN"/>
              </w:rPr>
              <w:br/>
              <w:t>(a) an ESR measurement no greater than 25 mm per hour;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(b) a CRP measurement no greater than 10 mg per L; or</w:t>
            </w:r>
            <w:r w:rsidRPr="006D52A9">
              <w:rPr>
                <w:rFonts w:ascii="Arial" w:eastAsia="SimSun" w:hAnsi="Arial" w:cs="Arial"/>
                <w:sz w:val="16"/>
                <w:szCs w:val="16"/>
                <w:lang w:eastAsia="zh-CN"/>
              </w:rPr>
              <w:br/>
              <w:t>(c) an ESR or CRP measurement reduced by at least 20% from baseline.</w:t>
            </w:r>
            <w:r w:rsidRPr="006D52A9">
              <w:rPr>
                <w:rFonts w:ascii="Arial" w:eastAsia="SimSun" w:hAnsi="Arial" w:cs="Arial"/>
                <w:sz w:val="16"/>
                <w:szCs w:val="16"/>
                <w:lang w:eastAsia="zh-CN"/>
              </w:rPr>
              <w:br/>
              <w:t>Where only 1 acute phase reactant measurement is supplied in the first application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that same marker must be measured and supplied in all subsequent continuing treatment applications.</w:t>
            </w:r>
            <w:r w:rsidRPr="006D52A9">
              <w:rPr>
                <w:rFonts w:ascii="Arial" w:eastAsia="SimSun" w:hAnsi="Arial" w:cs="Arial"/>
                <w:sz w:val="16"/>
                <w:szCs w:val="16"/>
                <w:lang w:eastAsia="zh-CN"/>
              </w:rPr>
              <w:br/>
              <w:t>All measurements provided must be no more than 1 month old at the time of application.</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621ED2EF"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BAD9FF6" w14:textId="77777777" w:rsidTr="00FB6D2D">
        <w:tc>
          <w:tcPr>
            <w:tcW w:w="647" w:type="pct"/>
            <w:tcMar>
              <w:top w:w="28" w:type="dxa"/>
              <w:left w:w="28" w:type="dxa"/>
            </w:tcMar>
          </w:tcPr>
          <w:p w14:paraId="32E77A68"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754FBF8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C9401</w:t>
            </w:r>
          </w:p>
        </w:tc>
        <w:tc>
          <w:tcPr>
            <w:tcW w:w="274" w:type="pct"/>
            <w:tcMar>
              <w:top w:w="28" w:type="dxa"/>
              <w:left w:w="28" w:type="dxa"/>
            </w:tcMar>
          </w:tcPr>
          <w:p w14:paraId="0F73460F"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545360ED"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(recommencement of treatment after a break in biological medicine of more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The condition must be radiographically (plain 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ray) confirmed Grade II bilateral sacroiliitis or Grade III unilateral sacroiliitis; AND</w:t>
            </w:r>
            <w:r w:rsidRPr="006D52A9">
              <w:rPr>
                <w:rFonts w:ascii="Arial" w:eastAsia="SimSun" w:hAnsi="Arial" w:cs="Arial"/>
                <w:sz w:val="16"/>
                <w:szCs w:val="16"/>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6D52A9">
              <w:rPr>
                <w:rFonts w:ascii="Arial" w:eastAsia="SimSun" w:hAnsi="Arial" w:cs="Arial"/>
                <w:sz w:val="16"/>
                <w:szCs w:val="16"/>
                <w:lang w:eastAsia="zh-CN"/>
              </w:rPr>
              <w:br/>
              <w:t>Patient must have a Bath Ankylosing Spondylitis Disease Activity Index (BASDAI) of at least 4 on a 0</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10 scale that is no more than 4 weeks old at the time of application; AND</w:t>
            </w:r>
            <w:r w:rsidRPr="006D52A9">
              <w:rPr>
                <w:rFonts w:ascii="Arial" w:eastAsia="SimSun" w:hAnsi="Arial" w:cs="Arial"/>
                <w:sz w:val="16"/>
                <w:szCs w:val="16"/>
                <w:lang w:eastAsia="zh-CN"/>
              </w:rPr>
              <w:br/>
              <w:t>Patient must have an elevated erythrocyte sedimentation rate (ESR) greater than 25 mm per hour that is no more than 4 weeks old at the time of application; OR</w:t>
            </w:r>
            <w:r w:rsidRPr="006D52A9">
              <w:rPr>
                <w:rFonts w:ascii="Arial" w:eastAsia="SimSun" w:hAnsi="Arial" w:cs="Arial"/>
                <w:sz w:val="16"/>
                <w:szCs w:val="16"/>
                <w:lang w:eastAsia="zh-CN"/>
              </w:rPr>
              <w:br/>
              <w:t>Patient must have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10 mg per L that is no more than 4 weeks old at the time of application; OR</w:t>
            </w:r>
            <w:r w:rsidRPr="006D52A9">
              <w:rPr>
                <w:rFonts w:ascii="Arial" w:eastAsia="SimSun" w:hAnsi="Arial" w:cs="Arial"/>
                <w:sz w:val="16"/>
                <w:szCs w:val="16"/>
                <w:lang w:eastAsia="zh-CN"/>
              </w:rPr>
              <w:br/>
              <w:t>Patient must have a clinical reason as to why demonstration of an elevated ESR or CRP cannot be met and the application must state the reason; AND</w:t>
            </w:r>
            <w:r w:rsidRPr="006D52A9">
              <w:rPr>
                <w:rFonts w:ascii="Arial" w:eastAsia="SimSun" w:hAnsi="Arial" w:cs="Arial"/>
                <w:sz w:val="16"/>
                <w:szCs w:val="16"/>
                <w:lang w:eastAsia="zh-CN"/>
              </w:rPr>
              <w:br/>
              <w:t>Patient must not receive more than 18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Ankylosing Spondylitis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w:t>
            </w:r>
            <w:r w:rsidRPr="006D52A9">
              <w:rPr>
                <w:rFonts w:ascii="Arial" w:eastAsia="SimSun" w:hAnsi="Arial" w:cs="Arial"/>
                <w:sz w:val="16"/>
                <w:szCs w:val="16"/>
                <w:lang w:eastAsia="zh-CN"/>
              </w:rPr>
              <w:lastRenderedPageBreak/>
              <w:t>includes the following:</w:t>
            </w:r>
            <w:r w:rsidRPr="006D52A9">
              <w:rPr>
                <w:rFonts w:ascii="Arial" w:eastAsia="SimSun" w:hAnsi="Arial" w:cs="Arial"/>
                <w:sz w:val="16"/>
                <w:szCs w:val="16"/>
                <w:lang w:eastAsia="zh-CN"/>
              </w:rPr>
              <w:br/>
              <w:t>(i) a copy of the radiological report confirming Grade II bilateral sacroiliitis or Grade III unilateral sacroiliitis; and</w:t>
            </w:r>
            <w:r w:rsidRPr="006D52A9">
              <w:rPr>
                <w:rFonts w:ascii="Arial" w:eastAsia="SimSun" w:hAnsi="Arial" w:cs="Arial"/>
                <w:sz w:val="16"/>
                <w:szCs w:val="16"/>
                <w:lang w:eastAsia="zh-CN"/>
              </w:rPr>
              <w:br/>
              <w:t>(ii) a completed BASDAI Assessment Form.</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1DBA35C6"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5A7B17A" w14:textId="77777777" w:rsidTr="00FB6D2D">
        <w:tc>
          <w:tcPr>
            <w:tcW w:w="647" w:type="pct"/>
            <w:tcMar>
              <w:top w:w="28" w:type="dxa"/>
              <w:left w:w="28" w:type="dxa"/>
            </w:tcMar>
          </w:tcPr>
          <w:p w14:paraId="1EDE483B"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5085CB2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C9402</w:t>
            </w:r>
          </w:p>
        </w:tc>
        <w:tc>
          <w:tcPr>
            <w:tcW w:w="274" w:type="pct"/>
            <w:tcMar>
              <w:top w:w="28" w:type="dxa"/>
              <w:left w:w="28" w:type="dxa"/>
            </w:tcMar>
          </w:tcPr>
          <w:p w14:paraId="37D0BC6A"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5DD90F63"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First continuing treatment</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Ankylosing Spondylitis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An adequate response is defined as an improvement from baseline of at least 2 of the BASDAI and 1 of the following:</w:t>
            </w:r>
            <w:r w:rsidRPr="006D52A9">
              <w:rPr>
                <w:rFonts w:ascii="Arial" w:eastAsia="SimSun" w:hAnsi="Arial" w:cs="Arial"/>
                <w:sz w:val="16"/>
                <w:szCs w:val="16"/>
                <w:lang w:eastAsia="zh-CN"/>
              </w:rPr>
              <w:br/>
              <w:t>(a) an ESR measurement no greater than 25 mm per hour; or</w:t>
            </w:r>
            <w:r w:rsidRPr="006D52A9">
              <w:rPr>
                <w:rFonts w:ascii="Arial" w:eastAsia="SimSun" w:hAnsi="Arial" w:cs="Arial"/>
                <w:sz w:val="16"/>
                <w:szCs w:val="16"/>
                <w:lang w:eastAsia="zh-CN"/>
              </w:rPr>
              <w:br/>
              <w:t>(b) a CRP measurement no greater than 10 mg per L; or</w:t>
            </w:r>
            <w:r w:rsidRPr="006D52A9">
              <w:rPr>
                <w:rFonts w:ascii="Arial" w:eastAsia="SimSun" w:hAnsi="Arial" w:cs="Arial"/>
                <w:sz w:val="16"/>
                <w:szCs w:val="16"/>
                <w:lang w:eastAsia="zh-CN"/>
              </w:rPr>
              <w:br/>
              <w:t>(c) an ESR or CRP measurement reduced by at least 20% from baseline.</w:t>
            </w:r>
            <w:r w:rsidRPr="006D52A9">
              <w:rPr>
                <w:rFonts w:ascii="Arial" w:eastAsia="SimSun" w:hAnsi="Arial" w:cs="Arial"/>
                <w:sz w:val="16"/>
                <w:szCs w:val="16"/>
                <w:lang w:eastAsia="zh-CN"/>
              </w:rPr>
              <w:br/>
              <w:t>Where only 1 acute phase reactant measurement is supplied in the first application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that same marker must be measured and supplied in all subsequent continuing treatment applications.</w:t>
            </w:r>
            <w:r w:rsidRPr="006D52A9">
              <w:rPr>
                <w:rFonts w:ascii="Arial" w:eastAsia="SimSun" w:hAnsi="Arial" w:cs="Arial"/>
                <w:sz w:val="16"/>
                <w:szCs w:val="16"/>
                <w:lang w:eastAsia="zh-CN"/>
              </w:rPr>
              <w:br/>
              <w:t>All measurements provided must be no more than 1 month old at the time of application.</w:t>
            </w:r>
            <w:r w:rsidRPr="006D52A9">
              <w:rPr>
                <w:rFonts w:ascii="Arial" w:eastAsia="SimSun" w:hAnsi="Arial" w:cs="Arial"/>
                <w:sz w:val="16"/>
                <w:szCs w:val="16"/>
                <w:lang w:eastAsia="zh-CN"/>
              </w:rPr>
              <w:br/>
              <w:t xml:space="preserve">At the time of the authority application, medical practitioners should request the appropriate quantity of </w:t>
            </w:r>
            <w:r w:rsidRPr="006D52A9">
              <w:rPr>
                <w:rFonts w:ascii="Arial" w:eastAsia="SimSun" w:hAnsi="Arial" w:cs="Arial"/>
                <w:sz w:val="16"/>
                <w:szCs w:val="16"/>
                <w:lang w:eastAsia="zh-CN"/>
              </w:rPr>
              <w:lastRenderedPageBreak/>
              <w:t>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6B3043D8"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1A060B5" w14:textId="77777777" w:rsidTr="00FB6D2D">
        <w:tc>
          <w:tcPr>
            <w:tcW w:w="647" w:type="pct"/>
            <w:tcMar>
              <w:top w:w="28" w:type="dxa"/>
              <w:left w:w="28" w:type="dxa"/>
            </w:tcMar>
          </w:tcPr>
          <w:p w14:paraId="7D506078"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0F91E2E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C9472</w:t>
            </w:r>
          </w:p>
        </w:tc>
        <w:tc>
          <w:tcPr>
            <w:tcW w:w="274" w:type="pct"/>
            <w:tcMar>
              <w:top w:w="28" w:type="dxa"/>
              <w:left w:w="28" w:type="dxa"/>
            </w:tcMar>
          </w:tcPr>
          <w:p w14:paraId="6ABB06A5"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23FAC767"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psoriatic arthritis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psoriatic arthritis.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erythrocyte sedimentation rate (ESR)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either marker reduced by at least 20% from baseline; and</w:t>
            </w:r>
            <w:r w:rsidRPr="006D52A9">
              <w:rPr>
                <w:rFonts w:ascii="Arial" w:eastAsia="SimSun" w:hAnsi="Arial" w:cs="Arial"/>
                <w:sz w:val="16"/>
                <w:szCs w:val="16"/>
                <w:lang w:eastAsia="zh-CN"/>
              </w:rPr>
              <w:br/>
              <w:t>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major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The same indices of disease severity used to establish baseline at the commencement of treatment with each initial treatment application must be used to determine response for all subsequent continuing treatments.</w:t>
            </w:r>
            <w:r w:rsidRPr="006D52A9">
              <w:rPr>
                <w:rFonts w:ascii="Arial" w:eastAsia="SimSun" w:hAnsi="Arial" w:cs="Arial"/>
                <w:sz w:val="16"/>
                <w:szCs w:val="16"/>
                <w:lang w:eastAsia="zh-CN"/>
              </w:rPr>
              <w:br/>
              <w:t>The measurement of response to the prior course of therapy must have been conducted following a minimum of 12 weeks of therapy with this drug and must be documented in the patient’s medical records.</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66C07DA0"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9472</w:t>
            </w:r>
          </w:p>
        </w:tc>
      </w:tr>
      <w:tr w:rsidR="008F47B8" w:rsidRPr="006D52A9" w:rsidDel="0052299A" w14:paraId="57CFD0BC" w14:textId="77777777" w:rsidTr="00FB6D2D">
        <w:tc>
          <w:tcPr>
            <w:tcW w:w="647" w:type="pct"/>
            <w:tcMar>
              <w:top w:w="28" w:type="dxa"/>
              <w:left w:w="28" w:type="dxa"/>
            </w:tcMar>
          </w:tcPr>
          <w:p w14:paraId="00AAC3B8"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322313A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C9481</w:t>
            </w:r>
          </w:p>
        </w:tc>
        <w:tc>
          <w:tcPr>
            <w:tcW w:w="274" w:type="pct"/>
            <w:tcMar>
              <w:top w:w="28" w:type="dxa"/>
              <w:left w:w="28" w:type="dxa"/>
            </w:tcMar>
          </w:tcPr>
          <w:p w14:paraId="06B5E0A6"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0A77E583"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is defined as an improvement from baseline of at least 2 of the BASDAI and 1 of the following:</w:t>
            </w:r>
            <w:r w:rsidRPr="006D52A9">
              <w:rPr>
                <w:rFonts w:ascii="Arial" w:eastAsia="SimSun" w:hAnsi="Arial" w:cs="Arial"/>
                <w:sz w:val="16"/>
                <w:szCs w:val="16"/>
                <w:lang w:eastAsia="zh-CN"/>
              </w:rPr>
              <w:br/>
              <w:t>(a) an ESR measurement no greater than 25 mm per hour; or</w:t>
            </w:r>
            <w:r w:rsidRPr="006D52A9">
              <w:rPr>
                <w:rFonts w:ascii="Arial" w:eastAsia="SimSun" w:hAnsi="Arial" w:cs="Arial"/>
                <w:sz w:val="16"/>
                <w:szCs w:val="16"/>
                <w:lang w:eastAsia="zh-CN"/>
              </w:rPr>
              <w:br/>
              <w:t>(b) a CRP measurement no greater than 10 mg per L; or</w:t>
            </w:r>
            <w:r w:rsidRPr="006D52A9">
              <w:rPr>
                <w:rFonts w:ascii="Arial" w:eastAsia="SimSun" w:hAnsi="Arial" w:cs="Arial"/>
                <w:sz w:val="16"/>
                <w:szCs w:val="16"/>
                <w:lang w:eastAsia="zh-CN"/>
              </w:rPr>
              <w:br/>
              <w:t>(c) an ESR or CRP measurement reduced by at least 20% from baseline.</w:t>
            </w:r>
            <w:r w:rsidRPr="006D52A9">
              <w:rPr>
                <w:rFonts w:ascii="Arial" w:eastAsia="SimSun" w:hAnsi="Arial" w:cs="Arial"/>
                <w:sz w:val="16"/>
                <w:szCs w:val="16"/>
                <w:lang w:eastAsia="zh-CN"/>
              </w:rPr>
              <w:br/>
              <w:t>Where only 1 acute phase reactant measurement is supplied in the first application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that same marker must be used to determine response for all subsequent continuing treatments.</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34AC79F7"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9481</w:t>
            </w:r>
          </w:p>
        </w:tc>
      </w:tr>
      <w:tr w:rsidR="008F47B8" w:rsidRPr="006D52A9" w:rsidDel="0052299A" w14:paraId="0D42690A" w14:textId="77777777" w:rsidTr="00FB6D2D">
        <w:tc>
          <w:tcPr>
            <w:tcW w:w="647" w:type="pct"/>
            <w:tcMar>
              <w:top w:w="28" w:type="dxa"/>
              <w:left w:w="28" w:type="dxa"/>
            </w:tcMar>
          </w:tcPr>
          <w:p w14:paraId="5A878FE1"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1DA7892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C9487</w:t>
            </w:r>
          </w:p>
        </w:tc>
        <w:tc>
          <w:tcPr>
            <w:tcW w:w="274" w:type="pct"/>
            <w:tcMar>
              <w:top w:w="28" w:type="dxa"/>
              <w:left w:w="28" w:type="dxa"/>
            </w:tcMar>
          </w:tcPr>
          <w:p w14:paraId="3F454B8D"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60702468"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 xml:space="preserve">Continuing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Patient must have received insufficient therapy with this drug for this condition under the first continuing treatment restriction to complete 24 weeks treatment; OR</w:t>
            </w:r>
            <w:r w:rsidRPr="006D52A9">
              <w:rPr>
                <w:rFonts w:ascii="Arial" w:eastAsia="SimSun" w:hAnsi="Arial" w:cs="Arial"/>
                <w:sz w:val="16"/>
                <w:szCs w:val="16"/>
                <w:lang w:eastAsia="zh-CN"/>
              </w:rPr>
              <w:br/>
              <w:t>Patient must have received insufficient therapy with this drug for this condition under the subsequent continuing Authority Required (in writing) treatment restriction to complete 24 weeks treatment; AND</w:t>
            </w:r>
            <w:r w:rsidRPr="006D52A9">
              <w:rPr>
                <w:rFonts w:ascii="Arial" w:eastAsia="SimSun" w:hAnsi="Arial" w:cs="Arial"/>
                <w:sz w:val="16"/>
                <w:szCs w:val="16"/>
                <w:lang w:eastAsia="zh-CN"/>
              </w:rPr>
              <w:br/>
              <w:t>The treatment must provide no more than the balance of up to 24 weeks treatment available under the above restrictions.</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clinical immunologist with expertise in the management of ankylosing spondylitis.</w:t>
            </w:r>
          </w:p>
        </w:tc>
        <w:tc>
          <w:tcPr>
            <w:tcW w:w="929" w:type="pct"/>
            <w:tcMar>
              <w:top w:w="28" w:type="dxa"/>
              <w:left w:w="28" w:type="dxa"/>
              <w:right w:w="57" w:type="dxa"/>
            </w:tcMar>
          </w:tcPr>
          <w:p w14:paraId="49318EDC"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644D5CEA" w14:textId="77777777" w:rsidTr="00FB6D2D">
        <w:tc>
          <w:tcPr>
            <w:tcW w:w="647" w:type="pct"/>
            <w:tcMar>
              <w:top w:w="28" w:type="dxa"/>
              <w:left w:w="28" w:type="dxa"/>
            </w:tcMar>
          </w:tcPr>
          <w:p w14:paraId="47C45350"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51BD041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C9558</w:t>
            </w:r>
          </w:p>
        </w:tc>
        <w:tc>
          <w:tcPr>
            <w:tcW w:w="274" w:type="pct"/>
            <w:tcMar>
              <w:top w:w="28" w:type="dxa"/>
              <w:left w:w="28" w:type="dxa"/>
            </w:tcMar>
          </w:tcPr>
          <w:p w14:paraId="5B53EDDB"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3DD8C72C"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w:t>
            </w:r>
            <w:r w:rsidRPr="006D52A9">
              <w:rPr>
                <w:rFonts w:ascii="Arial" w:eastAsia="SimSun" w:hAnsi="Arial" w:cs="Arial"/>
                <w:sz w:val="16"/>
                <w:szCs w:val="16"/>
                <w:lang w:eastAsia="zh-CN"/>
              </w:rPr>
              <w:br/>
              <w:t>The condition must be radiographically (plain 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ray) confirmed Grade II bilateral sacroiliitis or Grade III unilateral sacroiliitis;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6D52A9">
              <w:rPr>
                <w:rFonts w:ascii="Arial" w:eastAsia="SimSun" w:hAnsi="Arial" w:cs="Arial"/>
                <w:sz w:val="16"/>
                <w:szCs w:val="16"/>
                <w:lang w:eastAsia="zh-CN"/>
              </w:rPr>
              <w:br/>
              <w:t>Patient must have failed to achieve an adequate response following treatment with at least 2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steroidal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inflammatory drugs (NSAIDs), whilst completing an appropriate exercise program, for a total period of 3 months; AND</w:t>
            </w:r>
            <w:r w:rsidRPr="006D52A9">
              <w:rPr>
                <w:rFonts w:ascii="Arial" w:eastAsia="SimSun" w:hAnsi="Arial" w:cs="Arial"/>
                <w:sz w:val="16"/>
                <w:szCs w:val="16"/>
                <w:lang w:eastAsia="zh-CN"/>
              </w:rPr>
              <w:br/>
              <w:t>Patient must not receive more than 18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The application must include details of the NSAIDs trialled, their doses and duration of treatment.</w:t>
            </w:r>
            <w:r w:rsidRPr="006D52A9">
              <w:rPr>
                <w:rFonts w:ascii="Arial" w:eastAsia="SimSun" w:hAnsi="Arial" w:cs="Arial"/>
                <w:sz w:val="16"/>
                <w:szCs w:val="16"/>
                <w:lang w:eastAsia="zh-CN"/>
              </w:rPr>
              <w:br/>
              <w:t>If the NSAID dose is less than the maximum recommended dose in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the application must include the reason a higher dose cannot be used.</w:t>
            </w:r>
            <w:r w:rsidRPr="006D52A9">
              <w:rPr>
                <w:rFonts w:ascii="Arial" w:eastAsia="SimSun" w:hAnsi="Arial" w:cs="Arial"/>
                <w:sz w:val="16"/>
                <w:szCs w:val="16"/>
                <w:lang w:eastAsia="zh-CN"/>
              </w:rPr>
              <w:br/>
              <w:t>If treatment with NSAIDs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the application must provide details of the contraindication.</w:t>
            </w:r>
            <w:r w:rsidRPr="006D52A9">
              <w:rPr>
                <w:rFonts w:ascii="Arial" w:eastAsia="SimSun" w:hAnsi="Arial" w:cs="Arial"/>
                <w:sz w:val="16"/>
                <w:szCs w:val="16"/>
                <w:lang w:eastAsia="zh-CN"/>
              </w:rPr>
              <w:br/>
              <w:t>If intolerance to NSAID treatment develops during the relevant period of use which is of a severity to necessitate permanent treatment withdrawal, the application must provide details of the nature and severity of this intolerance.</w:t>
            </w:r>
            <w:r w:rsidRPr="006D52A9">
              <w:rPr>
                <w:rFonts w:ascii="Arial" w:eastAsia="SimSun" w:hAnsi="Arial" w:cs="Arial"/>
                <w:sz w:val="16"/>
                <w:szCs w:val="16"/>
                <w:lang w:eastAsia="zh-CN"/>
              </w:rPr>
              <w:br/>
              <w:t>The following criteria indicate failure to achieve an adequate response and must be demonstrated at the time of the initial application:</w:t>
            </w:r>
            <w:r w:rsidRPr="006D52A9">
              <w:rPr>
                <w:rFonts w:ascii="Arial" w:eastAsia="SimSun" w:hAnsi="Arial" w:cs="Arial"/>
                <w:sz w:val="16"/>
                <w:szCs w:val="16"/>
                <w:lang w:eastAsia="zh-CN"/>
              </w:rPr>
              <w:br/>
              <w:t>(a) a Bath Ankylosing Spondylitis Disease Activity Index (BASDAI) of at least 4 on a 0</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10 scale; AND</w:t>
            </w:r>
            <w:r w:rsidRPr="006D52A9">
              <w:rPr>
                <w:rFonts w:ascii="Arial" w:eastAsia="SimSun" w:hAnsi="Arial" w:cs="Arial"/>
                <w:sz w:val="16"/>
                <w:szCs w:val="16"/>
                <w:lang w:eastAsia="zh-CN"/>
              </w:rPr>
              <w:br/>
              <w:t>(b) an elevated erythrocyte sedimentation rate (ESR)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10 mg per L.</w:t>
            </w:r>
            <w:r w:rsidRPr="006D52A9">
              <w:rPr>
                <w:rFonts w:ascii="Arial" w:eastAsia="SimSun" w:hAnsi="Arial" w:cs="Arial"/>
                <w:sz w:val="16"/>
                <w:szCs w:val="16"/>
                <w:lang w:eastAsia="zh-CN"/>
              </w:rPr>
              <w:br/>
              <w:t>The BASDAI must be determined at the completion of the 3 month NSAID and exercise trial, but prior to ceasing NSAID treatment. The BASDAI must be no more than 1 month old at the time of initial application.</w:t>
            </w:r>
            <w:r w:rsidRPr="006D52A9">
              <w:rPr>
                <w:rFonts w:ascii="Arial" w:eastAsia="SimSun" w:hAnsi="Arial" w:cs="Arial"/>
                <w:sz w:val="16"/>
                <w:szCs w:val="16"/>
                <w:lang w:eastAsia="zh-CN"/>
              </w:rPr>
              <w:b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Ankylosing Spondylitis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w:t>
            </w:r>
            <w:r w:rsidRPr="006D52A9">
              <w:rPr>
                <w:rFonts w:ascii="Arial" w:eastAsia="SimSun" w:hAnsi="Arial" w:cs="Arial"/>
                <w:sz w:val="16"/>
                <w:szCs w:val="16"/>
                <w:lang w:eastAsia="zh-CN"/>
              </w:rPr>
              <w:lastRenderedPageBreak/>
              <w:t>includes the following:</w:t>
            </w:r>
            <w:r w:rsidRPr="006D52A9">
              <w:rPr>
                <w:rFonts w:ascii="Arial" w:eastAsia="SimSun" w:hAnsi="Arial" w:cs="Arial"/>
                <w:sz w:val="16"/>
                <w:szCs w:val="16"/>
                <w:lang w:eastAsia="zh-CN"/>
              </w:rPr>
              <w:br/>
              <w:t>(i) a copy of the radiological report confirming Grade II bilateral sacroiliitis or Grade III unilateral sacroiliitis; and</w:t>
            </w:r>
            <w:r w:rsidRPr="006D52A9">
              <w:rPr>
                <w:rFonts w:ascii="Arial" w:eastAsia="SimSun" w:hAnsi="Arial" w:cs="Arial"/>
                <w:sz w:val="16"/>
                <w:szCs w:val="16"/>
                <w:lang w:eastAsia="zh-CN"/>
              </w:rPr>
              <w:br/>
              <w:t>(ii) a completed BASDAI Assessment Form; and</w:t>
            </w:r>
            <w:r w:rsidRPr="006D52A9">
              <w:rPr>
                <w:rFonts w:ascii="Arial" w:eastAsia="SimSun" w:hAnsi="Arial" w:cs="Arial"/>
                <w:sz w:val="16"/>
                <w:szCs w:val="16"/>
                <w:lang w:eastAsia="zh-CN"/>
              </w:rPr>
              <w:br/>
              <w:t>(iii) a completed Exercise Program Self Certification Form included in the supporting information form.</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405DA9F1"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5FF78F2A" w14:textId="77777777" w:rsidTr="00FB6D2D">
        <w:tc>
          <w:tcPr>
            <w:tcW w:w="647" w:type="pct"/>
            <w:tcMar>
              <w:top w:w="28" w:type="dxa"/>
              <w:left w:w="28" w:type="dxa"/>
            </w:tcMar>
          </w:tcPr>
          <w:p w14:paraId="06F25919"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1A50D0A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C9559</w:t>
            </w:r>
          </w:p>
        </w:tc>
        <w:tc>
          <w:tcPr>
            <w:tcW w:w="274" w:type="pct"/>
            <w:tcMar>
              <w:top w:w="28" w:type="dxa"/>
              <w:left w:w="28" w:type="dxa"/>
            </w:tcMar>
          </w:tcPr>
          <w:p w14:paraId="29605AF9"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708EDBEB"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 Initial 2 (change or recommencement of treatment after a break in biological medicine of less than 5 years) or Initial 3 (recommencement of treatment after a break in biological medicine of more than 5 years)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Patient must have received insufficient therapy with this drug under the Initial 1 (new patient) restriction to complete 18 weeks treatment; OR</w:t>
            </w:r>
            <w:r w:rsidRPr="006D52A9">
              <w:rPr>
                <w:rFonts w:ascii="Arial" w:eastAsia="SimSun" w:hAnsi="Arial" w:cs="Arial"/>
                <w:sz w:val="16"/>
                <w:szCs w:val="16"/>
                <w:lang w:eastAsia="zh-CN"/>
              </w:rPr>
              <w:br/>
              <w:t>Patient must have received insufficient therapy with this drug under the Initial 2 (change or recommencement of treatment after a break in biological medicine of less than 5 years) restriction to complete 18 weeks treatment; OR</w:t>
            </w:r>
            <w:r w:rsidRPr="006D52A9">
              <w:rPr>
                <w:rFonts w:ascii="Arial" w:eastAsia="SimSun" w:hAnsi="Arial" w:cs="Arial"/>
                <w:sz w:val="16"/>
                <w:szCs w:val="16"/>
                <w:lang w:eastAsia="zh-CN"/>
              </w:rPr>
              <w:br/>
              <w:t>Patient must have received insufficient therapy with this drug under the Initial 3 (recommencement of treatment after a break in biological medicine of more than 5 years) restriction to complete 18 weeks treatment; AND</w:t>
            </w:r>
            <w:r w:rsidRPr="006D52A9">
              <w:rPr>
                <w:rFonts w:ascii="Arial" w:eastAsia="SimSun" w:hAnsi="Arial" w:cs="Arial"/>
                <w:sz w:val="16"/>
                <w:szCs w:val="16"/>
                <w:lang w:eastAsia="zh-CN"/>
              </w:rPr>
              <w:br/>
              <w:t>The treatment must provide no more than the balance of up to 18 weeks treatment available under the above restrictions.</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p>
        </w:tc>
        <w:tc>
          <w:tcPr>
            <w:tcW w:w="929" w:type="pct"/>
            <w:tcMar>
              <w:top w:w="28" w:type="dxa"/>
              <w:left w:w="28" w:type="dxa"/>
              <w:right w:w="57" w:type="dxa"/>
            </w:tcMar>
          </w:tcPr>
          <w:p w14:paraId="3397C1EE"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52299A" w14:paraId="0D73B364" w14:textId="77777777" w:rsidTr="00FB6D2D">
        <w:tc>
          <w:tcPr>
            <w:tcW w:w="647" w:type="pct"/>
            <w:tcMar>
              <w:top w:w="28" w:type="dxa"/>
              <w:left w:w="28" w:type="dxa"/>
            </w:tcMar>
          </w:tcPr>
          <w:p w14:paraId="373C37F1"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1C3AF1C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C9584</w:t>
            </w:r>
          </w:p>
        </w:tc>
        <w:tc>
          <w:tcPr>
            <w:tcW w:w="274" w:type="pct"/>
            <w:tcMar>
              <w:top w:w="28" w:type="dxa"/>
              <w:left w:w="28" w:type="dxa"/>
            </w:tcMar>
          </w:tcPr>
          <w:p w14:paraId="1C5AB909"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5F796243"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Subsequent continuing treatment, Face, hand, foot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demonstrated an adequate response to treatment with this drug;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An adequate response to treatment is defined as the plaque or plaques assessed prior to biological treatment showing:</w:t>
            </w:r>
            <w:r w:rsidRPr="006D52A9">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6D52A9">
              <w:rPr>
                <w:rFonts w:ascii="Arial" w:eastAsia="SimSun" w:hAnsi="Arial" w:cs="Arial"/>
                <w:sz w:val="16"/>
                <w:szCs w:val="16"/>
                <w:lang w:eastAsia="zh-CN"/>
              </w:rPr>
              <w:br/>
              <w:t>(ii) a reduction by 75% or more in the skin area affected, or sustained at this level, as compared to the baseline value for this treatment cycle.</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Determination of response must be based on the PASI assessment of response to the most recent course of treatment with this drug.</w:t>
            </w:r>
            <w:r w:rsidRPr="006D52A9">
              <w:rPr>
                <w:rFonts w:ascii="Arial" w:eastAsia="SimSun" w:hAnsi="Arial" w:cs="Arial"/>
                <w:sz w:val="16"/>
                <w:szCs w:val="16"/>
                <w:lang w:eastAsia="zh-CN"/>
              </w:rPr>
              <w:br/>
              <w:t>The PASI assessment for continuing treatment must be performed on the same affected area as assessed at baseline.</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4EBB95EE"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9584</w:t>
            </w:r>
          </w:p>
        </w:tc>
      </w:tr>
      <w:tr w:rsidR="008F47B8" w:rsidRPr="006D52A9" w:rsidDel="0052299A" w14:paraId="12AAD9CE" w14:textId="77777777" w:rsidTr="00FB6D2D">
        <w:tc>
          <w:tcPr>
            <w:tcW w:w="647" w:type="pct"/>
            <w:tcMar>
              <w:top w:w="28" w:type="dxa"/>
              <w:left w:w="28" w:type="dxa"/>
            </w:tcMar>
          </w:tcPr>
          <w:p w14:paraId="2AB5B455"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17D3F2C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C9587</w:t>
            </w:r>
          </w:p>
        </w:tc>
        <w:tc>
          <w:tcPr>
            <w:tcW w:w="274" w:type="pct"/>
            <w:tcMar>
              <w:top w:w="28" w:type="dxa"/>
              <w:left w:w="28" w:type="dxa"/>
            </w:tcMar>
          </w:tcPr>
          <w:p w14:paraId="3915843A"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097E66F0"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Ankylosing Spondylitis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An adequate response is defined as an improvement from baseline of at least 2 of the BASDAI and 1 of the following:</w:t>
            </w:r>
            <w:r w:rsidRPr="006D52A9">
              <w:rPr>
                <w:rFonts w:ascii="Arial" w:eastAsia="SimSun" w:hAnsi="Arial" w:cs="Arial"/>
                <w:sz w:val="16"/>
                <w:szCs w:val="16"/>
                <w:lang w:eastAsia="zh-CN"/>
              </w:rPr>
              <w:br/>
              <w:t>(a) an ESR measurement no greater than 25 mm per hour; or</w:t>
            </w:r>
            <w:r w:rsidRPr="006D52A9">
              <w:rPr>
                <w:rFonts w:ascii="Arial" w:eastAsia="SimSun" w:hAnsi="Arial" w:cs="Arial"/>
                <w:sz w:val="16"/>
                <w:szCs w:val="16"/>
                <w:lang w:eastAsia="zh-CN"/>
              </w:rPr>
              <w:br/>
              <w:t>(b) a CRP measurement no greater than 10 mg per L;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(c) an ESR or CRP measurement reduced by at least 20% from baseline.</w:t>
            </w:r>
            <w:r w:rsidRPr="006D52A9">
              <w:rPr>
                <w:rFonts w:ascii="Arial" w:eastAsia="SimSun" w:hAnsi="Arial" w:cs="Arial"/>
                <w:sz w:val="16"/>
                <w:szCs w:val="16"/>
                <w:lang w:eastAsia="zh-CN"/>
              </w:rPr>
              <w:br/>
              <w:t>Where only 1 acute phase reactant measurement is supplied in the first application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that same marker must be measured and supplied in all subsequent continuing treatment applications.</w:t>
            </w:r>
            <w:r w:rsidRPr="006D52A9">
              <w:rPr>
                <w:rFonts w:ascii="Arial" w:eastAsia="SimSun" w:hAnsi="Arial" w:cs="Arial"/>
                <w:sz w:val="16"/>
                <w:szCs w:val="16"/>
                <w:lang w:eastAsia="zh-CN"/>
              </w:rPr>
              <w:br/>
              <w:t>All measurements provided must be no more than 1 month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w:t>
            </w:r>
            <w:r w:rsidRPr="006D52A9">
              <w:rPr>
                <w:rFonts w:ascii="Arial" w:eastAsia="SimSun" w:hAnsi="Arial" w:cs="Arial"/>
                <w:sz w:val="16"/>
                <w:szCs w:val="16"/>
                <w:lang w:eastAsia="zh-CN"/>
              </w:rPr>
              <w:br/>
              <w:t>Up to a maximum of 3 repeats will be authorised.</w:t>
            </w:r>
            <w:r w:rsidRPr="006D52A9">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513FABB3"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391CD87" w14:textId="77777777" w:rsidTr="00FB6D2D">
        <w:tc>
          <w:tcPr>
            <w:tcW w:w="647" w:type="pct"/>
            <w:tcMar>
              <w:top w:w="28" w:type="dxa"/>
              <w:left w:w="28" w:type="dxa"/>
            </w:tcMar>
          </w:tcPr>
          <w:p w14:paraId="3F727D44"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263C73D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C9602</w:t>
            </w:r>
          </w:p>
        </w:tc>
        <w:tc>
          <w:tcPr>
            <w:tcW w:w="274" w:type="pct"/>
            <w:tcMar>
              <w:top w:w="28" w:type="dxa"/>
              <w:left w:w="28" w:type="dxa"/>
            </w:tcMar>
          </w:tcPr>
          <w:p w14:paraId="7834ECA6"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21678B93"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Subsequent continuing treatment, Whole body</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Determination of response must be based on the PASI assessment of response to the most recent course of treatment with this drug.</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1C625634"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9602</w:t>
            </w:r>
          </w:p>
        </w:tc>
      </w:tr>
      <w:tr w:rsidR="008F47B8" w:rsidRPr="006D52A9" w:rsidDel="0052299A" w14:paraId="4C80B0CC" w14:textId="77777777" w:rsidTr="00FB6D2D">
        <w:tc>
          <w:tcPr>
            <w:tcW w:w="647" w:type="pct"/>
            <w:tcMar>
              <w:top w:w="28" w:type="dxa"/>
              <w:left w:w="28" w:type="dxa"/>
            </w:tcMar>
          </w:tcPr>
          <w:p w14:paraId="0B867635"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407191A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C9621</w:t>
            </w:r>
          </w:p>
        </w:tc>
        <w:tc>
          <w:tcPr>
            <w:tcW w:w="274" w:type="pct"/>
            <w:tcMar>
              <w:top w:w="28" w:type="dxa"/>
              <w:left w:w="28" w:type="dxa"/>
            </w:tcMar>
          </w:tcPr>
          <w:p w14:paraId="5FED17DE"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25B990F1"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Ankylosing spondylitis</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ankylosing spondylitis.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is defined as an improvement from baseline of at least 2 of the BASDAI and 1 of the following:</w:t>
            </w:r>
            <w:r w:rsidRPr="006D52A9">
              <w:rPr>
                <w:rFonts w:ascii="Arial" w:eastAsia="SimSun" w:hAnsi="Arial" w:cs="Arial"/>
                <w:sz w:val="16"/>
                <w:szCs w:val="16"/>
                <w:lang w:eastAsia="zh-CN"/>
              </w:rPr>
              <w:br/>
              <w:t>(a) an ESR measurement no greater than 25 mm per hour; or</w:t>
            </w:r>
            <w:r w:rsidRPr="006D52A9">
              <w:rPr>
                <w:rFonts w:ascii="Arial" w:eastAsia="SimSun" w:hAnsi="Arial" w:cs="Arial"/>
                <w:sz w:val="16"/>
                <w:szCs w:val="16"/>
                <w:lang w:eastAsia="zh-CN"/>
              </w:rPr>
              <w:br/>
              <w:t>(b) a CRP measurement no greater than 10 mg per L; or</w:t>
            </w:r>
            <w:r w:rsidRPr="006D52A9">
              <w:rPr>
                <w:rFonts w:ascii="Arial" w:eastAsia="SimSun" w:hAnsi="Arial" w:cs="Arial"/>
                <w:sz w:val="16"/>
                <w:szCs w:val="16"/>
                <w:lang w:eastAsia="zh-CN"/>
              </w:rPr>
              <w:br/>
              <w:t>(c) an ESR or CRP measurement reduced by at least 20% from baseline.</w:t>
            </w:r>
            <w:r w:rsidRPr="006D52A9">
              <w:rPr>
                <w:rFonts w:ascii="Arial" w:eastAsia="SimSun" w:hAnsi="Arial" w:cs="Arial"/>
                <w:sz w:val="16"/>
                <w:szCs w:val="16"/>
                <w:lang w:eastAsia="zh-CN"/>
              </w:rPr>
              <w:br/>
              <w:t>Where only 1 acute phase reactant measurement is supplied in the first application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that same marker must be used to determine response for all subsequent continuing treatments.</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5AFA399A"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w:t>
            </w:r>
            <w:r w:rsidRPr="006D52A9">
              <w:rPr>
                <w:rFonts w:ascii="Arial" w:eastAsia="SimSun" w:hAnsi="Arial" w:cs="Arial"/>
                <w:sz w:val="16"/>
                <w:szCs w:val="16"/>
                <w:lang w:eastAsia="zh-CN"/>
              </w:rPr>
              <w:lastRenderedPageBreak/>
              <w:t xml:space="preserve">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9621</w:t>
            </w:r>
          </w:p>
        </w:tc>
      </w:tr>
      <w:tr w:rsidR="008F47B8" w:rsidRPr="006D52A9" w:rsidDel="0052299A" w14:paraId="354AE2DC" w14:textId="77777777" w:rsidTr="00FB6D2D">
        <w:tc>
          <w:tcPr>
            <w:tcW w:w="647" w:type="pct"/>
            <w:tcMar>
              <w:top w:w="28" w:type="dxa"/>
              <w:left w:w="28" w:type="dxa"/>
            </w:tcMar>
          </w:tcPr>
          <w:p w14:paraId="000B5283" w14:textId="77777777" w:rsidR="008F47B8" w:rsidRPr="006D52A9" w:rsidDel="0052299A" w:rsidRDefault="008F47B8" w:rsidP="00FB6D2D">
            <w:pPr>
              <w:spacing w:after="60" w:line="240" w:lineRule="auto"/>
              <w:rPr>
                <w:rFonts w:ascii="Arial" w:hAnsi="Arial" w:cs="Arial"/>
                <w:sz w:val="16"/>
                <w:szCs w:val="16"/>
              </w:rPr>
            </w:pPr>
          </w:p>
        </w:tc>
        <w:tc>
          <w:tcPr>
            <w:tcW w:w="283" w:type="pct"/>
            <w:tcMar>
              <w:top w:w="28" w:type="dxa"/>
              <w:left w:w="28" w:type="dxa"/>
            </w:tcMar>
          </w:tcPr>
          <w:p w14:paraId="4D691B3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C9632</w:t>
            </w:r>
          </w:p>
        </w:tc>
        <w:tc>
          <w:tcPr>
            <w:tcW w:w="274" w:type="pct"/>
            <w:tcMar>
              <w:top w:w="28" w:type="dxa"/>
              <w:left w:w="28" w:type="dxa"/>
            </w:tcMar>
          </w:tcPr>
          <w:p w14:paraId="54470772" w14:textId="77777777" w:rsidR="008F47B8" w:rsidRPr="006D52A9" w:rsidDel="0052299A" w:rsidRDefault="008F47B8" w:rsidP="00FB6D2D">
            <w:pPr>
              <w:spacing w:after="60" w:line="240" w:lineRule="auto"/>
              <w:rPr>
                <w:rFonts w:ascii="Arial" w:hAnsi="Arial" w:cs="Arial"/>
                <w:sz w:val="16"/>
                <w:szCs w:val="16"/>
              </w:rPr>
            </w:pPr>
          </w:p>
        </w:tc>
        <w:tc>
          <w:tcPr>
            <w:tcW w:w="2867" w:type="pct"/>
            <w:tcMar>
              <w:top w:w="28" w:type="dxa"/>
              <w:left w:w="28" w:type="dxa"/>
            </w:tcMar>
          </w:tcPr>
          <w:p w14:paraId="43F5736F" w14:textId="77777777" w:rsidR="008F47B8" w:rsidRPr="006D52A9" w:rsidRDefault="008F47B8" w:rsidP="00FB6D2D">
            <w:pPr>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t>Acute severe ulcerative colitis</w:t>
            </w:r>
            <w:r w:rsidRPr="006D52A9">
              <w:rPr>
                <w:rFonts w:ascii="Arial" w:eastAsia="SimSun" w:hAnsi="Arial" w:cs="Arial"/>
                <w:sz w:val="16"/>
                <w:szCs w:val="16"/>
                <w:lang w:eastAsia="zh-CN"/>
              </w:rPr>
              <w:br/>
              <w:t>Must be treated by a gastroenterologist; OR</w:t>
            </w:r>
            <w:r w:rsidRPr="006D52A9">
              <w:rPr>
                <w:rFonts w:ascii="Arial" w:eastAsia="SimSun" w:hAnsi="Arial" w:cs="Arial"/>
                <w:sz w:val="16"/>
                <w:szCs w:val="16"/>
                <w:lang w:eastAsia="zh-CN"/>
              </w:rPr>
              <w:br/>
              <w:t>Must be treated by a consultant physician [internal medicine specialising in gastroenterology, or general medicine specialising in gastroenterology].</w:t>
            </w:r>
            <w:r w:rsidRPr="006D52A9">
              <w:rPr>
                <w:rFonts w:ascii="Arial" w:eastAsia="SimSun" w:hAnsi="Arial" w:cs="Arial"/>
                <w:sz w:val="16"/>
                <w:szCs w:val="16"/>
                <w:lang w:eastAsia="zh-CN"/>
              </w:rPr>
              <w:br/>
              <w:t>Patient must have received an infusion of infliximab for the treatment of this condition as a hospital inpatient no more than two weeks prior to the date of the authority application; AND</w:t>
            </w:r>
            <w:r w:rsidRPr="006D52A9">
              <w:rPr>
                <w:rFonts w:ascii="Arial" w:eastAsia="SimSun" w:hAnsi="Arial" w:cs="Arial"/>
                <w:sz w:val="16"/>
                <w:szCs w:val="16"/>
                <w:lang w:eastAsia="zh-CN"/>
              </w:rPr>
              <w:br/>
              <w:t>Patient must be an adult aged 18 years or older, and prior to initiation of infliximab treatment in hospital must have been experiencing six or more bloody stools per day, plus at least one of the following: (i) Temperature greater than 37.8 degrees Celsius; (ii) Pulse rate greater than 90 beats per minute; (iii) Haemoglobin less than 105 g/L; (iv) Erythrocyte sedimentation rate greater than 30 mm/h; OR</w:t>
            </w:r>
            <w:r w:rsidRPr="006D52A9">
              <w:rPr>
                <w:rFonts w:ascii="Arial" w:eastAsia="SimSun" w:hAnsi="Arial" w:cs="Arial"/>
                <w:sz w:val="16"/>
                <w:szCs w:val="16"/>
                <w:lang w:eastAsia="zh-CN"/>
              </w:rPr>
              <w:br/>
              <w:t>Patient must be a child aged 6 to 17 years inclusive, and prior to initiation of infliximab treatment in hospital must have had a Paediatric Ulcerative Colitis Activity Index (PUCAI) greater than or equal to 65, with the diagnosis confirmed by a gastroenterologist, or a consultant physician as specified below; AND</w:t>
            </w:r>
            <w:r w:rsidRPr="006D52A9">
              <w:rPr>
                <w:rFonts w:ascii="Arial" w:eastAsia="SimSun" w:hAnsi="Arial" w:cs="Arial"/>
                <w:sz w:val="16"/>
                <w:szCs w:val="16"/>
                <w:lang w:eastAsia="zh-CN"/>
              </w:rPr>
              <w:br/>
              <w:t>Patient must have failed to achieve an adequate response to at least 72 hours treatment with intravenous corticosteroids prior to initiation of infliximab treatment in hospital.</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 xml:space="preserve">For adults aged 18 years or older, failure to achieve an adequate response to intravenous corticosteroid </w:t>
            </w:r>
            <w:r w:rsidRPr="006D52A9">
              <w:rPr>
                <w:rFonts w:ascii="Arial" w:eastAsia="SimSun" w:hAnsi="Arial" w:cs="Arial"/>
                <w:sz w:val="16"/>
                <w:szCs w:val="16"/>
                <w:lang w:eastAsia="zh-CN"/>
              </w:rPr>
              <w:lastRenderedPageBreak/>
              <w:t>treatment is defined by the Oxford criteria where:</w:t>
            </w:r>
            <w:r w:rsidRPr="006D52A9">
              <w:rPr>
                <w:rFonts w:ascii="Arial" w:eastAsia="SimSun" w:hAnsi="Arial" w:cs="Arial"/>
                <w:sz w:val="16"/>
                <w:szCs w:val="16"/>
                <w:lang w:eastAsia="zh-CN"/>
              </w:rPr>
              <w:br/>
              <w:t>(i) If assessed on day 3, patients pass 8 or more stools per day or 3 or more stools per day with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greater than 45 mg/L</w:t>
            </w:r>
            <w:r w:rsidRPr="006D52A9">
              <w:rPr>
                <w:rFonts w:ascii="Arial" w:eastAsia="SimSun" w:hAnsi="Arial" w:cs="Arial"/>
                <w:sz w:val="16"/>
                <w:szCs w:val="16"/>
                <w:lang w:eastAsia="zh-CN"/>
              </w:rPr>
              <w:br/>
              <w:t>(ii) If assessed on day 7, patients pass 3 or more stools per day with visible blood.</w:t>
            </w:r>
            <w:r w:rsidRPr="006D52A9">
              <w:rPr>
                <w:rFonts w:ascii="Arial" w:eastAsia="SimSun" w:hAnsi="Arial" w:cs="Arial"/>
                <w:sz w:val="16"/>
                <w:szCs w:val="16"/>
                <w:lang w:eastAsia="zh-CN"/>
              </w:rPr>
              <w:br/>
              <w:t>For children aged 6 to 17 years, failure to achieve an adequate response to intravenous corticosteroids means a PUCAI score greater than 45 at 72 hours.</w:t>
            </w:r>
            <w:r w:rsidRPr="006D52A9">
              <w:rPr>
                <w:rFonts w:ascii="Arial" w:eastAsia="SimSun" w:hAnsi="Arial" w:cs="Arial"/>
                <w:sz w:val="16"/>
                <w:szCs w:val="16"/>
                <w:lang w:eastAsia="zh-CN"/>
              </w:rPr>
              <w:br/>
              <w:t>At the time of authority application, prescribers should request the appropriate number of vials, based on the weight of the patient, to provide sufficient for a single infusion at a dose of 5 mg per kg.</w:t>
            </w:r>
            <w:r w:rsidRPr="006D52A9">
              <w:rPr>
                <w:rFonts w:ascii="Arial" w:eastAsia="SimSun" w:hAnsi="Arial" w:cs="Arial"/>
                <w:sz w:val="16"/>
                <w:szCs w:val="16"/>
                <w:lang w:eastAsia="zh-CN"/>
              </w:rPr>
              <w:br/>
              <w:t>Before administering infliximab to a child aged 6 to 17 years, the treating clinician must have consulted with a paediatric gastroenterologist or with an institution experienced in performance of paediatric colectomy. The name of the specialist or institution must be included in the patient’s medical records.</w:t>
            </w:r>
            <w:r w:rsidRPr="006D52A9">
              <w:rPr>
                <w:rFonts w:ascii="Arial" w:eastAsia="SimSun" w:hAnsi="Arial" w:cs="Arial"/>
                <w:sz w:val="16"/>
                <w:szCs w:val="16"/>
                <w:lang w:eastAsia="zh-CN"/>
              </w:rPr>
              <w:br/>
              <w:t>Evidence that the patient meets the PBS restriction criteria must be recorded in the patient’s medical records.</w:t>
            </w:r>
          </w:p>
        </w:tc>
        <w:tc>
          <w:tcPr>
            <w:tcW w:w="929" w:type="pct"/>
            <w:tcMar>
              <w:top w:w="28" w:type="dxa"/>
              <w:left w:w="28" w:type="dxa"/>
              <w:right w:w="57" w:type="dxa"/>
            </w:tcMar>
          </w:tcPr>
          <w:p w14:paraId="3A5A4D0E" w14:textId="77777777" w:rsidR="008F47B8" w:rsidRPr="006D52A9" w:rsidRDefault="008F47B8" w:rsidP="00FB6D2D">
            <w:pPr>
              <w:keepNext/>
              <w:spacing w:after="60"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9632</w:t>
            </w:r>
          </w:p>
        </w:tc>
      </w:tr>
      <w:tr w:rsidR="008F47B8" w:rsidRPr="006D52A9" w:rsidDel="0052299A" w14:paraId="0126CFB4" w14:textId="77777777" w:rsidTr="00FB6D2D">
        <w:tc>
          <w:tcPr>
            <w:tcW w:w="647" w:type="pct"/>
            <w:tcMar>
              <w:top w:w="28" w:type="dxa"/>
              <w:left w:w="28" w:type="dxa"/>
            </w:tcMar>
          </w:tcPr>
          <w:p w14:paraId="14EDE46C"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560B6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C9668</w:t>
            </w:r>
          </w:p>
        </w:tc>
        <w:tc>
          <w:tcPr>
            <w:tcW w:w="274" w:type="pct"/>
            <w:tcMar>
              <w:top w:w="28" w:type="dxa"/>
              <w:left w:w="28" w:type="dxa"/>
            </w:tcMar>
          </w:tcPr>
          <w:p w14:paraId="6A3A16B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1857A8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a reduction in PCDAI Score by at least 15 points from baseline value; AND</w:t>
            </w:r>
            <w:r w:rsidRPr="006D52A9">
              <w:rPr>
                <w:rFonts w:ascii="Arial" w:eastAsia="SimSun" w:hAnsi="Arial" w:cs="Arial"/>
                <w:sz w:val="16"/>
                <w:szCs w:val="16"/>
                <w:lang w:eastAsia="zh-CN"/>
              </w:rPr>
              <w:br/>
              <w:t>Patient must have a total PCDAI score of 30 points or less;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The PCDAI assessment must be no more than 1 month old at the time of prescribing.</w:t>
            </w:r>
            <w:r w:rsidRPr="006D52A9">
              <w:rPr>
                <w:rFonts w:ascii="Arial" w:eastAsia="SimSun" w:hAnsi="Arial" w:cs="Arial"/>
                <w:sz w:val="16"/>
                <w:szCs w:val="16"/>
                <w:lang w:eastAsia="zh-CN"/>
              </w:rPr>
              <w:br/>
              <w:t>The PCDAI score must be documented in the patient’s medical notes as the measurement of response to the prior course of therapy.</w:t>
            </w:r>
            <w:r w:rsidRPr="006D52A9">
              <w:rPr>
                <w:rFonts w:ascii="Arial" w:eastAsia="SimSun" w:hAnsi="Arial" w:cs="Arial"/>
                <w:sz w:val="16"/>
                <w:szCs w:val="16"/>
                <w:lang w:eastAsia="zh-CN"/>
              </w:rPr>
              <w:br/>
              <w:t>Patients are only eligible to receive subsequent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929" w:type="pct"/>
            <w:tcMar>
              <w:top w:w="28" w:type="dxa"/>
              <w:left w:w="28" w:type="dxa"/>
              <w:right w:w="57" w:type="dxa"/>
            </w:tcMar>
          </w:tcPr>
          <w:p w14:paraId="08BACBB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9668</w:t>
            </w:r>
          </w:p>
        </w:tc>
      </w:tr>
      <w:tr w:rsidR="008F47B8" w:rsidRPr="006D52A9" w:rsidDel="0052299A" w14:paraId="5B017D77" w14:textId="77777777" w:rsidTr="00FB6D2D">
        <w:tc>
          <w:tcPr>
            <w:tcW w:w="647" w:type="pct"/>
            <w:tcMar>
              <w:top w:w="28" w:type="dxa"/>
              <w:left w:w="28" w:type="dxa"/>
            </w:tcMar>
          </w:tcPr>
          <w:p w14:paraId="48FAEF2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DB57EF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C9669</w:t>
            </w:r>
          </w:p>
        </w:tc>
        <w:tc>
          <w:tcPr>
            <w:tcW w:w="274" w:type="pct"/>
            <w:tcMar>
              <w:top w:w="28" w:type="dxa"/>
              <w:left w:w="28" w:type="dxa"/>
            </w:tcMar>
          </w:tcPr>
          <w:p w14:paraId="16D3A55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07AC08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Balance of supply for paediatric patient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first continuing treatment or subsequent continuing treatment restrictions to complete 24 weeks of treatment; AND</w:t>
            </w:r>
            <w:r w:rsidRPr="006D52A9">
              <w:rPr>
                <w:rFonts w:ascii="Arial" w:eastAsia="SimSun" w:hAnsi="Arial" w:cs="Arial"/>
                <w:sz w:val="16"/>
                <w:szCs w:val="16"/>
                <w:lang w:eastAsia="zh-CN"/>
              </w:rPr>
              <w:br/>
              <w:t>The treatment must provide no more than the balance of up to 14 weeks therapy available under Initial 1, 2 or 3 treatment; OR</w:t>
            </w:r>
            <w:r w:rsidRPr="006D52A9">
              <w:rPr>
                <w:rFonts w:ascii="Arial" w:eastAsia="SimSun" w:hAnsi="Arial" w:cs="Arial"/>
                <w:sz w:val="16"/>
                <w:szCs w:val="16"/>
                <w:lang w:eastAsia="zh-CN"/>
              </w:rPr>
              <w:br/>
              <w:t>The treatment must provide no more than the balance of up to 24 weeks therapy available under Continuing treatment.</w:t>
            </w:r>
          </w:p>
        </w:tc>
        <w:tc>
          <w:tcPr>
            <w:tcW w:w="929" w:type="pct"/>
            <w:tcMar>
              <w:top w:w="28" w:type="dxa"/>
              <w:left w:w="28" w:type="dxa"/>
              <w:right w:w="57" w:type="dxa"/>
            </w:tcMar>
          </w:tcPr>
          <w:p w14:paraId="10384D7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07A5C9E7" w14:textId="77777777" w:rsidTr="00FB6D2D">
        <w:tc>
          <w:tcPr>
            <w:tcW w:w="647" w:type="pct"/>
            <w:tcMar>
              <w:top w:w="28" w:type="dxa"/>
              <w:left w:w="28" w:type="dxa"/>
            </w:tcMar>
          </w:tcPr>
          <w:p w14:paraId="63371BE4"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435D59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C9675</w:t>
            </w:r>
          </w:p>
        </w:tc>
        <w:tc>
          <w:tcPr>
            <w:tcW w:w="274" w:type="pct"/>
            <w:tcMar>
              <w:top w:w="28" w:type="dxa"/>
              <w:left w:w="28" w:type="dxa"/>
            </w:tcMar>
          </w:tcPr>
          <w:p w14:paraId="3050D56F"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818BE4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or recommencement of treatment after a break in biological medicine of less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OR</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(adalimumab or infliximab) for this condition in this treatment cycle if aged 6 to 17 years;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OR</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more than once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Ulcerative Colitis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patient’s condition if relevant;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(ii) the details of prior biological medicine treatment including the details of date and duration of treatment.</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w:t>
            </w:r>
            <w:r w:rsidRPr="006D52A9">
              <w:rPr>
                <w:rFonts w:ascii="Arial" w:eastAsia="SimSun" w:hAnsi="Arial" w:cs="Arial"/>
                <w:sz w:val="16"/>
                <w:szCs w:val="16"/>
                <w:lang w:eastAsia="zh-CN"/>
              </w:rPr>
              <w:br/>
              <w:t>Up to a maximum of 2 repeats will be authorised.</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who fails to demonstrate a response to treatment with this drug under this restriction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this treatment cycle. 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If patients aged 6 to 17 years fail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3 times (twice with one agent)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in this treatment cycle.</w:t>
            </w:r>
          </w:p>
        </w:tc>
        <w:tc>
          <w:tcPr>
            <w:tcW w:w="929" w:type="pct"/>
            <w:tcMar>
              <w:top w:w="28" w:type="dxa"/>
              <w:left w:w="28" w:type="dxa"/>
              <w:right w:w="57" w:type="dxa"/>
            </w:tcMar>
          </w:tcPr>
          <w:p w14:paraId="58491B3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67ADC755" w14:textId="77777777" w:rsidTr="00FB6D2D">
        <w:tc>
          <w:tcPr>
            <w:tcW w:w="647" w:type="pct"/>
            <w:tcMar>
              <w:top w:w="28" w:type="dxa"/>
              <w:left w:w="28" w:type="dxa"/>
            </w:tcMar>
          </w:tcPr>
          <w:p w14:paraId="7E3F49E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D0227F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C9676</w:t>
            </w:r>
          </w:p>
        </w:tc>
        <w:tc>
          <w:tcPr>
            <w:tcW w:w="274" w:type="pct"/>
            <w:tcMar>
              <w:top w:w="28" w:type="dxa"/>
              <w:left w:w="28" w:type="dxa"/>
            </w:tcMar>
          </w:tcPr>
          <w:p w14:paraId="36C3DF82"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362619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First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biological medicine </w:t>
            </w:r>
            <w:r w:rsidRPr="006D52A9">
              <w:rPr>
                <w:rFonts w:ascii="Arial" w:eastAsia="SimSun" w:hAnsi="Arial" w:cs="Arial"/>
                <w:sz w:val="16"/>
                <w:szCs w:val="16"/>
                <w:lang w:eastAsia="zh-CN"/>
              </w:rPr>
              <w:lastRenderedPageBreak/>
              <w:t>treatment for this condition; AND</w:t>
            </w:r>
            <w:r w:rsidRPr="006D52A9">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6D52A9">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Crohn Disease Activity Index (CDAI) Score calculation sheet including the date of the assessment of the patient’s condition, if relevant; or</w:t>
            </w:r>
            <w:r w:rsidRPr="006D52A9">
              <w:rPr>
                <w:rFonts w:ascii="Arial" w:eastAsia="SimSun" w:hAnsi="Arial" w:cs="Arial"/>
                <w:sz w:val="16"/>
                <w:szCs w:val="16"/>
                <w:lang w:eastAsia="zh-CN"/>
              </w:rPr>
              <w:br/>
              <w:t>(ii) the reports and dates of the pathology test or diagnostic imaging test(s) used to assess response to therapy for patients with short gut syndrome, extensive small intestine disease or an ostomy, if relevant; and</w:t>
            </w:r>
            <w:r w:rsidRPr="006D52A9">
              <w:rPr>
                <w:rFonts w:ascii="Arial" w:eastAsia="SimSun" w:hAnsi="Arial" w:cs="Arial"/>
                <w:sz w:val="16"/>
                <w:szCs w:val="16"/>
                <w:lang w:eastAsia="zh-CN"/>
              </w:rPr>
              <w:br/>
              <w:t>(iii) the date of clinical assessment.</w:t>
            </w:r>
            <w:r w:rsidRPr="006D52A9">
              <w:rPr>
                <w:rFonts w:ascii="Arial" w:eastAsia="SimSun" w:hAnsi="Arial" w:cs="Arial"/>
                <w:sz w:val="16"/>
                <w:szCs w:val="16"/>
                <w:lang w:eastAsia="zh-CN"/>
              </w:rPr>
              <w:br/>
              <w:t>All assessments, pathology tests, and diagnostic imaging studies must be made within 1 month of the date of application.</w:t>
            </w:r>
            <w:r w:rsidRPr="006D52A9">
              <w:rPr>
                <w:rFonts w:ascii="Arial" w:eastAsia="SimSun" w:hAnsi="Arial" w:cs="Arial"/>
                <w:sz w:val="16"/>
                <w:szCs w:val="16"/>
                <w:lang w:eastAsia="zh-CN"/>
              </w:rPr>
              <w:br/>
              <w:t>The application for first continuing treatment with this drug must include an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D52A9">
              <w:rPr>
                <w:rFonts w:ascii="Arial" w:eastAsia="SimSun" w:hAnsi="Arial" w:cs="Arial"/>
                <w:sz w:val="16"/>
                <w:szCs w:val="16"/>
                <w:lang w:eastAsia="zh-CN"/>
              </w:rPr>
              <w:br/>
              <w:t>Where a response assessment is not undertaken and submitted within these timeframes,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eastAsia="SimSun" w:hAnsi="Arial" w:cs="Arial"/>
                <w:sz w:val="16"/>
                <w:szCs w:val="16"/>
                <w:lang w:eastAsia="zh-CN"/>
              </w:rPr>
              <w:br/>
              <w:t xml:space="preserve">If fewer than 2 repeats are requested at the time of the application, authority approvals for sufficient </w:t>
            </w:r>
            <w:r w:rsidRPr="006D52A9">
              <w:rPr>
                <w:rFonts w:ascii="Arial" w:eastAsia="SimSun" w:hAnsi="Arial" w:cs="Arial"/>
                <w:sz w:val="16"/>
                <w:szCs w:val="16"/>
                <w:lang w:eastAsia="zh-CN"/>
              </w:rPr>
              <w:lastRenderedPageBreak/>
              <w:t>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29" w:type="pct"/>
            <w:tcMar>
              <w:top w:w="28" w:type="dxa"/>
              <w:left w:w="28" w:type="dxa"/>
              <w:right w:w="57" w:type="dxa"/>
            </w:tcMar>
          </w:tcPr>
          <w:p w14:paraId="4046656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4A77E955" w14:textId="77777777" w:rsidTr="00FB6D2D">
        <w:tc>
          <w:tcPr>
            <w:tcW w:w="647" w:type="pct"/>
            <w:tcMar>
              <w:top w:w="28" w:type="dxa"/>
              <w:left w:w="28" w:type="dxa"/>
            </w:tcMar>
          </w:tcPr>
          <w:p w14:paraId="10C505B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177E37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C9677</w:t>
            </w:r>
          </w:p>
        </w:tc>
        <w:tc>
          <w:tcPr>
            <w:tcW w:w="274" w:type="pct"/>
            <w:tcMar>
              <w:top w:w="28" w:type="dxa"/>
              <w:left w:w="28" w:type="dxa"/>
            </w:tcMar>
          </w:tcPr>
          <w:p w14:paraId="1F5D29D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41BC59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demonstrated an adequate response to treatment with this drug.</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An adequate response is defined as:</w:t>
            </w:r>
            <w:r w:rsidRPr="006D52A9">
              <w:rPr>
                <w:rFonts w:ascii="Arial" w:eastAsia="SimSun" w:hAnsi="Arial" w:cs="Arial"/>
                <w:sz w:val="16"/>
                <w:szCs w:val="16"/>
                <w:lang w:eastAsia="zh-CN"/>
              </w:rPr>
              <w:br/>
              <w:t>(a) a decrease from baseline in the number of open draining fistulae of greater than or equal to 50%; and/or</w:t>
            </w:r>
            <w:r w:rsidRPr="006D52A9">
              <w:rPr>
                <w:rFonts w:ascii="Arial" w:eastAsia="SimSun" w:hAnsi="Arial" w:cs="Arial"/>
                <w:sz w:val="16"/>
                <w:szCs w:val="16"/>
                <w:lang w:eastAsia="zh-CN"/>
              </w:rPr>
              <w:br/>
              <w:t>(b) a marked reduction in drainage of all fistula(e) from baseline, together with less pain and induration as reported by the patient.</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Fistulising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a completed Fistula Assessment form including the date of the assessment of the patient’s condition.</w:t>
            </w:r>
            <w:r w:rsidRPr="006D52A9">
              <w:rPr>
                <w:rFonts w:ascii="Arial" w:eastAsia="SimSun" w:hAnsi="Arial" w:cs="Arial"/>
                <w:sz w:val="16"/>
                <w:szCs w:val="16"/>
                <w:lang w:eastAsia="zh-CN"/>
              </w:rPr>
              <w:br/>
              <w:t>The most recent fistula assessment must be no more than 1 month old at the time of application.</w:t>
            </w:r>
            <w:r w:rsidRPr="006D52A9">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D52A9">
              <w:rPr>
                <w:rFonts w:ascii="Arial" w:eastAsia="SimSun" w:hAnsi="Arial" w:cs="Arial"/>
                <w:sz w:val="16"/>
                <w:szCs w:val="16"/>
                <w:lang w:eastAsia="zh-CN"/>
              </w:rPr>
              <w:br/>
              <w:t>Patients are eligible to receive continuing treatment with this drug in courses of up to 24 weeks providing they continue to sustain the response.</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p>
        </w:tc>
        <w:tc>
          <w:tcPr>
            <w:tcW w:w="929" w:type="pct"/>
            <w:tcMar>
              <w:top w:w="28" w:type="dxa"/>
              <w:left w:w="28" w:type="dxa"/>
              <w:right w:w="57" w:type="dxa"/>
            </w:tcMar>
          </w:tcPr>
          <w:p w14:paraId="48784EE8"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Written Authority Required procedures</w:t>
            </w:r>
          </w:p>
        </w:tc>
      </w:tr>
      <w:tr w:rsidR="008F47B8" w:rsidRPr="006D52A9" w:rsidDel="0052299A" w14:paraId="379E494F" w14:textId="77777777" w:rsidTr="00FB6D2D">
        <w:tc>
          <w:tcPr>
            <w:tcW w:w="647" w:type="pct"/>
            <w:tcMar>
              <w:top w:w="28" w:type="dxa"/>
              <w:left w:w="28" w:type="dxa"/>
            </w:tcMar>
          </w:tcPr>
          <w:p w14:paraId="753F2D8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3C38BF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C9719</w:t>
            </w:r>
          </w:p>
        </w:tc>
        <w:tc>
          <w:tcPr>
            <w:tcW w:w="274" w:type="pct"/>
            <w:tcMar>
              <w:top w:w="28" w:type="dxa"/>
              <w:left w:w="28" w:type="dxa"/>
            </w:tcMar>
          </w:tcPr>
          <w:p w14:paraId="4FDD1B1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064CFB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a reduction in PCDAI Score by at least 15 points from baseline value; AND</w:t>
            </w:r>
            <w:r w:rsidRPr="006D52A9">
              <w:rPr>
                <w:rFonts w:ascii="Arial" w:eastAsia="SimSun" w:hAnsi="Arial" w:cs="Arial"/>
                <w:sz w:val="16"/>
                <w:szCs w:val="16"/>
                <w:lang w:eastAsia="zh-CN"/>
              </w:rPr>
              <w:br/>
              <w:t>Patient must have a total PCDAI score of 30 points or less;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patient’s condition.</w:t>
            </w:r>
            <w:r w:rsidRPr="006D52A9">
              <w:rPr>
                <w:rFonts w:ascii="Arial" w:eastAsia="SimSun" w:hAnsi="Arial" w:cs="Arial"/>
                <w:sz w:val="16"/>
                <w:szCs w:val="16"/>
                <w:lang w:eastAsia="zh-CN"/>
              </w:rPr>
              <w:br/>
              <w:t>The PCDAI assessment must be no more than 1 month old at the time of application.</w:t>
            </w:r>
            <w:r w:rsidRPr="006D52A9">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6D52A9">
              <w:rPr>
                <w:rFonts w:ascii="Arial" w:eastAsia="SimSun" w:hAnsi="Arial" w:cs="Arial"/>
                <w:sz w:val="16"/>
                <w:szCs w:val="16"/>
                <w:lang w:eastAsia="zh-CN"/>
              </w:rPr>
              <w:br/>
              <w:t>Patients are only eligible to receive subsequent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courses of up to 24 weeks at a dose of 5 mg per kg per dose providing they continue to sustain the response.</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29" w:type="pct"/>
            <w:tcMar>
              <w:top w:w="28" w:type="dxa"/>
              <w:left w:w="28" w:type="dxa"/>
              <w:right w:w="57" w:type="dxa"/>
            </w:tcMar>
          </w:tcPr>
          <w:p w14:paraId="6682811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149DE09D" w14:textId="77777777" w:rsidTr="00FB6D2D">
        <w:tc>
          <w:tcPr>
            <w:tcW w:w="647" w:type="pct"/>
            <w:tcMar>
              <w:top w:w="28" w:type="dxa"/>
              <w:left w:w="28" w:type="dxa"/>
            </w:tcMar>
          </w:tcPr>
          <w:p w14:paraId="4E6F3743"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BA7DDD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C9721</w:t>
            </w:r>
          </w:p>
        </w:tc>
        <w:tc>
          <w:tcPr>
            <w:tcW w:w="274" w:type="pct"/>
            <w:tcMar>
              <w:top w:w="28" w:type="dxa"/>
              <w:left w:w="28" w:type="dxa"/>
            </w:tcMar>
          </w:tcPr>
          <w:p w14:paraId="11F5FBB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4C64BF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First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AND</w:t>
            </w:r>
            <w:r w:rsidRPr="006D52A9">
              <w:rPr>
                <w:rFonts w:ascii="Arial" w:eastAsia="SimSun" w:hAnsi="Arial" w:cs="Arial"/>
                <w:sz w:val="16"/>
                <w:szCs w:val="16"/>
                <w:lang w:eastAsia="zh-CN"/>
              </w:rPr>
              <w:br/>
              <w:t>Patient must have a reduction in PCDAI Score by at least 15 points from baseline value;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a total PCDAI score of 30 points or less;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completed Paediatric Crohn Disease Activity Index (PCDAI) calculation sheet along with the date of the assessment of the patient’s condition.</w:t>
            </w:r>
            <w:r w:rsidRPr="006D52A9">
              <w:rPr>
                <w:rFonts w:ascii="Arial" w:eastAsia="SimSun" w:hAnsi="Arial" w:cs="Arial"/>
                <w:sz w:val="16"/>
                <w:szCs w:val="16"/>
                <w:lang w:eastAsia="zh-CN"/>
              </w:rPr>
              <w:br/>
              <w:t>The PCDAI assessment must be no more than 1 month old at the time of application.</w:t>
            </w:r>
            <w:r w:rsidRPr="006D52A9">
              <w:rPr>
                <w:rFonts w:ascii="Arial" w:eastAsia="SimSun" w:hAnsi="Arial" w:cs="Arial"/>
                <w:sz w:val="16"/>
                <w:szCs w:val="16"/>
                <w:lang w:eastAsia="zh-CN"/>
              </w:rPr>
              <w:br/>
              <w:t>The application for first continuing treatment with this drug must include a PCDAI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29" w:type="pct"/>
            <w:tcMar>
              <w:top w:w="28" w:type="dxa"/>
              <w:left w:w="28" w:type="dxa"/>
              <w:right w:w="57" w:type="dxa"/>
            </w:tcMar>
          </w:tcPr>
          <w:p w14:paraId="665CE3D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10A3C98" w14:textId="77777777" w:rsidTr="00FB6D2D">
        <w:tc>
          <w:tcPr>
            <w:tcW w:w="647" w:type="pct"/>
            <w:tcMar>
              <w:top w:w="28" w:type="dxa"/>
              <w:left w:w="28" w:type="dxa"/>
            </w:tcMar>
          </w:tcPr>
          <w:p w14:paraId="07BEA64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7FDB0F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C9731</w:t>
            </w:r>
          </w:p>
        </w:tc>
        <w:tc>
          <w:tcPr>
            <w:tcW w:w="274" w:type="pct"/>
            <w:tcMar>
              <w:top w:w="28" w:type="dxa"/>
              <w:left w:w="28" w:type="dxa"/>
            </w:tcMar>
          </w:tcPr>
          <w:p w14:paraId="1A7A859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962C7F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6D52A9">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w:t>
            </w:r>
            <w:r w:rsidRPr="006D52A9">
              <w:rPr>
                <w:rFonts w:ascii="Arial" w:eastAsia="SimSun" w:hAnsi="Arial" w:cs="Arial"/>
                <w:sz w:val="16"/>
                <w:szCs w:val="16"/>
                <w:lang w:eastAsia="zh-CN"/>
              </w:rPr>
              <w:lastRenderedPageBreak/>
              <w:t>parenteral nutrition (TPN), if affected by short gut syndrome, extensive small intestine or is an ostomy patient;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0D9F3D9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9731</w:t>
            </w:r>
          </w:p>
        </w:tc>
      </w:tr>
      <w:tr w:rsidR="008F47B8" w:rsidRPr="006D52A9" w:rsidDel="0052299A" w14:paraId="721B204C" w14:textId="77777777" w:rsidTr="00FB6D2D">
        <w:tc>
          <w:tcPr>
            <w:tcW w:w="647" w:type="pct"/>
            <w:tcMar>
              <w:top w:w="28" w:type="dxa"/>
              <w:left w:w="28" w:type="dxa"/>
            </w:tcMar>
          </w:tcPr>
          <w:p w14:paraId="70C3674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35E541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C9732</w:t>
            </w:r>
          </w:p>
        </w:tc>
        <w:tc>
          <w:tcPr>
            <w:tcW w:w="274" w:type="pct"/>
            <w:tcMar>
              <w:top w:w="28" w:type="dxa"/>
              <w:left w:w="28" w:type="dxa"/>
            </w:tcMar>
          </w:tcPr>
          <w:p w14:paraId="24CC6726"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09DD52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agent treatment for this condition in this treatment cycle; AND</w:t>
            </w:r>
            <w:r w:rsidRPr="006D52A9">
              <w:rPr>
                <w:rFonts w:ascii="Arial" w:eastAsia="SimSun" w:hAnsi="Arial" w:cs="Arial"/>
                <w:sz w:val="16"/>
                <w:szCs w:val="16"/>
                <w:lang w:eastAsia="zh-CN"/>
              </w:rPr>
              <w:br/>
              <w:t>Patient must have demonstrated an adequate response to treatment with this drug.</w:t>
            </w:r>
            <w:r w:rsidRPr="006D52A9">
              <w:rPr>
                <w:rFonts w:ascii="Arial" w:eastAsia="SimSun" w:hAnsi="Arial" w:cs="Arial"/>
                <w:sz w:val="16"/>
                <w:szCs w:val="16"/>
                <w:lang w:eastAsia="zh-CN"/>
              </w:rPr>
              <w:br/>
              <w:t>An adequate response is defined as:</w:t>
            </w:r>
            <w:r w:rsidRPr="006D52A9">
              <w:rPr>
                <w:rFonts w:ascii="Arial" w:eastAsia="SimSun" w:hAnsi="Arial" w:cs="Arial"/>
                <w:sz w:val="16"/>
                <w:szCs w:val="16"/>
                <w:lang w:eastAsia="zh-CN"/>
              </w:rPr>
              <w:br/>
              <w:t>(a) a decrease from baseline in the number of open draining fistulae of greater than or equal to 50%; and/or</w:t>
            </w:r>
            <w:r w:rsidRPr="006D52A9">
              <w:rPr>
                <w:rFonts w:ascii="Arial" w:eastAsia="SimSun" w:hAnsi="Arial" w:cs="Arial"/>
                <w:sz w:val="16"/>
                <w:szCs w:val="16"/>
                <w:lang w:eastAsia="zh-CN"/>
              </w:rPr>
              <w:br/>
              <w:t>(b) a marked reduction in drainage of all fistula(e) from baseline, together with less pain and induration as reported by the patient.</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929" w:type="pct"/>
            <w:tcMar>
              <w:top w:w="28" w:type="dxa"/>
              <w:left w:w="28" w:type="dxa"/>
              <w:right w:w="57" w:type="dxa"/>
            </w:tcMar>
          </w:tcPr>
          <w:p w14:paraId="5207036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9732</w:t>
            </w:r>
          </w:p>
        </w:tc>
      </w:tr>
      <w:tr w:rsidR="008F47B8" w:rsidRPr="006D52A9" w:rsidDel="0052299A" w14:paraId="2046B1F0" w14:textId="77777777" w:rsidTr="00FB6D2D">
        <w:tc>
          <w:tcPr>
            <w:tcW w:w="647" w:type="pct"/>
            <w:tcMar>
              <w:top w:w="28" w:type="dxa"/>
              <w:left w:w="28" w:type="dxa"/>
            </w:tcMar>
          </w:tcPr>
          <w:p w14:paraId="15B2EA3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BCF008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C9733</w:t>
            </w:r>
          </w:p>
        </w:tc>
        <w:tc>
          <w:tcPr>
            <w:tcW w:w="274" w:type="pct"/>
            <w:tcMar>
              <w:top w:w="28" w:type="dxa"/>
              <w:left w:w="28" w:type="dxa"/>
            </w:tcMar>
          </w:tcPr>
          <w:p w14:paraId="1F548474"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86A133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an adequate response to this drug defined as a reduction in Crohn Disease Activity Index (CDAI) Score to a level no greater than 150 if assessed by CDAI or if affected by extensive small intestine disease; OR</w:t>
            </w:r>
            <w:r w:rsidRPr="006D52A9">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686FB384"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9733</w:t>
            </w:r>
          </w:p>
        </w:tc>
      </w:tr>
      <w:tr w:rsidR="008F47B8" w:rsidRPr="006D52A9" w:rsidDel="0052299A" w14:paraId="593906EA" w14:textId="77777777" w:rsidTr="00FB6D2D">
        <w:tc>
          <w:tcPr>
            <w:tcW w:w="647" w:type="pct"/>
            <w:tcMar>
              <w:top w:w="28" w:type="dxa"/>
              <w:left w:w="28" w:type="dxa"/>
            </w:tcMar>
          </w:tcPr>
          <w:p w14:paraId="5324F5A4"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BF069E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C9751</w:t>
            </w:r>
          </w:p>
        </w:tc>
        <w:tc>
          <w:tcPr>
            <w:tcW w:w="274" w:type="pct"/>
            <w:tcMar>
              <w:top w:w="28" w:type="dxa"/>
              <w:left w:w="28" w:type="dxa"/>
            </w:tcMar>
          </w:tcPr>
          <w:p w14:paraId="611C584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7746C7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or recommencement of treatment after a break in biological medicine of less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more than once in the current treatment cycle; AND</w:t>
            </w:r>
            <w:r w:rsidRPr="006D52A9">
              <w:rPr>
                <w:rFonts w:ascii="Arial" w:eastAsia="SimSun" w:hAnsi="Arial" w:cs="Arial"/>
                <w:sz w:val="16"/>
                <w:szCs w:val="16"/>
                <w:lang w:eastAsia="zh-CN"/>
              </w:rPr>
              <w:br/>
              <w:t>The treatment must not exceed a total of 3 doses to be administered at weeks 0, 2 and 6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Supporting Information Form </w:t>
            </w:r>
            <w:r w:rsidRPr="006D52A9">
              <w:rPr>
                <w:rFonts w:ascii="Arial" w:eastAsia="SimSun" w:hAnsi="Arial" w:cs="Arial"/>
                <w:sz w:val="16"/>
                <w:szCs w:val="16"/>
                <w:lang w:eastAsia="zh-CN"/>
              </w:rPr>
              <w:lastRenderedPageBreak/>
              <w:t>which includes the following:</w:t>
            </w:r>
            <w:r w:rsidRPr="006D52A9">
              <w:rPr>
                <w:rFonts w:ascii="Arial" w:eastAsia="SimSun" w:hAnsi="Arial" w:cs="Arial"/>
                <w:sz w:val="16"/>
                <w:szCs w:val="16"/>
                <w:lang w:eastAsia="zh-CN"/>
              </w:rPr>
              <w:br/>
              <w:t>(i) the completed current Paediatric Crohn Disease Activity Index (PCDAI) Score calculation sheet; and</w:t>
            </w:r>
            <w:r w:rsidRPr="006D52A9">
              <w:rPr>
                <w:rFonts w:ascii="Arial" w:eastAsia="SimSun" w:hAnsi="Arial" w:cs="Arial"/>
                <w:sz w:val="16"/>
                <w:szCs w:val="16"/>
                <w:lang w:eastAsia="zh-CN"/>
              </w:rPr>
              <w:br/>
              <w:t>(ii) details of prior biological medicine treatment including details of date and duration of treatment.</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6D52A9">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A PCDAI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29" w:type="pct"/>
            <w:tcMar>
              <w:top w:w="28" w:type="dxa"/>
              <w:left w:w="28" w:type="dxa"/>
              <w:right w:w="57" w:type="dxa"/>
            </w:tcMar>
          </w:tcPr>
          <w:p w14:paraId="68712F8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1ADB998F" w14:textId="77777777" w:rsidTr="00FB6D2D">
        <w:tc>
          <w:tcPr>
            <w:tcW w:w="647" w:type="pct"/>
            <w:tcMar>
              <w:top w:w="28" w:type="dxa"/>
              <w:left w:w="28" w:type="dxa"/>
            </w:tcMar>
          </w:tcPr>
          <w:p w14:paraId="7BCB13AC"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8BEB76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C9752</w:t>
            </w:r>
          </w:p>
        </w:tc>
        <w:tc>
          <w:tcPr>
            <w:tcW w:w="274" w:type="pct"/>
            <w:tcMar>
              <w:top w:w="28" w:type="dxa"/>
              <w:left w:w="28" w:type="dxa"/>
            </w:tcMar>
          </w:tcPr>
          <w:p w14:paraId="078FB9E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FDA81B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 xml:space="preserve">Patient must have confirmed diagnosis of Crohn disease, defined by standard clinical, endoscopic </w:t>
            </w:r>
            <w:r w:rsidRPr="006D52A9">
              <w:rPr>
                <w:rFonts w:ascii="Arial" w:eastAsia="SimSun" w:hAnsi="Arial" w:cs="Arial"/>
                <w:sz w:val="16"/>
                <w:szCs w:val="16"/>
                <w:lang w:eastAsia="zh-CN"/>
              </w:rPr>
              <w:lastRenderedPageBreak/>
              <w:t>and/or imaging features including histological evidence; AND</w:t>
            </w:r>
            <w:r w:rsidRPr="006D52A9">
              <w:rPr>
                <w:rFonts w:ascii="Arial" w:eastAsia="SimSun" w:hAnsi="Arial" w:cs="Arial"/>
                <w:sz w:val="16"/>
                <w:szCs w:val="16"/>
                <w:lang w:eastAsia="zh-CN"/>
              </w:rPr>
              <w:br/>
              <w:t>Patient must have failed to achieve an adequate response to 2 of the following 3 conventional prior therapies including: (i) a tapered course of steroids, starting at a dose of at least 1 mg per kg or 40 mg (whichever is the lesser) prednisolone (or equivalent), over a 6 week period; (ii) an 8 week course of enteral nutrition; or (iii) immunosuppressive therapy including azathioprine at a dose of at least 2 mg per kg daily for 3 or more months, or, 6</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mercaptopurine at a dose of at least 1 mg per kg daily for 3 or more months, or, methotrexate at a dose of at least 10 mg per square metre weekly for 3 or more months; OR</w:t>
            </w:r>
            <w:r w:rsidRPr="006D52A9">
              <w:rPr>
                <w:rFonts w:ascii="Arial" w:eastAsia="SimSun" w:hAnsi="Arial" w:cs="Arial"/>
                <w:sz w:val="16"/>
                <w:szCs w:val="16"/>
                <w:lang w:eastAsia="zh-CN"/>
              </w:rPr>
              <w:br/>
              <w:t>Patient must have a documented intolerance of a severity necessitating permanent treatment withdrawal or a contra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indication to each of prednisolone (or equivalent), azathioprine, 6</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mercaptopurine and methotrexate; AND</w:t>
            </w:r>
            <w:r w:rsidRPr="006D52A9">
              <w:rPr>
                <w:rFonts w:ascii="Arial" w:eastAsia="SimSun" w:hAnsi="Arial" w:cs="Arial"/>
                <w:sz w:val="16"/>
                <w:szCs w:val="16"/>
                <w:lang w:eastAsia="zh-CN"/>
              </w:rPr>
              <w:br/>
              <w:t>Patient must have a Paediatric Crohn Disease Activity Index (PCDAI) Score greater than or equal to 30 preferably whilst still on treatment; AND</w:t>
            </w:r>
            <w:r w:rsidRPr="006D52A9">
              <w:rPr>
                <w:rFonts w:ascii="Arial" w:eastAsia="SimSun" w:hAnsi="Arial" w:cs="Arial"/>
                <w:sz w:val="16"/>
                <w:szCs w:val="16"/>
                <w:lang w:eastAsia="zh-CN"/>
              </w:rPr>
              <w:br/>
              <w:t>The treatment must not exceed a total of 3 doses to be administered at weeks 0, 2 and 6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Supporting Information Form which includes the following:</w:t>
            </w:r>
            <w:r w:rsidRPr="006D52A9">
              <w:rPr>
                <w:rFonts w:ascii="Arial" w:eastAsia="SimSun" w:hAnsi="Arial" w:cs="Arial"/>
                <w:sz w:val="16"/>
                <w:szCs w:val="16"/>
                <w:lang w:eastAsia="zh-CN"/>
              </w:rPr>
              <w:br/>
              <w:t>(i) the completed current Paediatric Crohn Disease Activity Index (PCDAI) calculation sheet including the date of assessment of the patient’s condition which must be no more than one month old at the time of application; and</w:t>
            </w:r>
            <w:r w:rsidRPr="006D52A9">
              <w:rPr>
                <w:rFonts w:ascii="Arial" w:eastAsia="SimSun" w:hAnsi="Arial" w:cs="Arial"/>
                <w:sz w:val="16"/>
                <w:szCs w:val="16"/>
                <w:lang w:eastAsia="zh-CN"/>
              </w:rPr>
              <w:br/>
              <w:t>(ii) details of previous systemic drug therapy [dosage, date of commencement and duration of therapy] or dates of enteral nutrition.</w:t>
            </w:r>
            <w:r w:rsidRPr="006D52A9">
              <w:rPr>
                <w:rFonts w:ascii="Arial" w:eastAsia="SimSun" w:hAnsi="Arial" w:cs="Arial"/>
                <w:sz w:val="16"/>
                <w:szCs w:val="16"/>
                <w:lang w:eastAsia="zh-CN"/>
              </w:rPr>
              <w:br/>
              <w:t>The PCDAI score should preferably be obtained whilst on conventional treatment but must be obtained within one month of the last conventional treatment dose.</w:t>
            </w:r>
            <w:r w:rsidRPr="006D52A9">
              <w:rPr>
                <w:rFonts w:ascii="Arial" w:eastAsia="SimSun" w:hAnsi="Arial" w:cs="Arial"/>
                <w:sz w:val="16"/>
                <w:szCs w:val="16"/>
                <w:lang w:eastAsia="zh-CN"/>
              </w:rPr>
              <w:br/>
              <w:t>If treatment with any of the specified prior conventional drugs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please provide details at the time of application.</w:t>
            </w:r>
            <w:r w:rsidRPr="006D52A9">
              <w:rPr>
                <w:rFonts w:ascii="Arial" w:eastAsia="SimSun" w:hAnsi="Arial" w:cs="Arial"/>
                <w:sz w:val="16"/>
                <w:szCs w:val="16"/>
                <w:lang w:eastAsia="zh-CN"/>
              </w:rPr>
              <w:br/>
              <w:t>If intolerance to treatment develops during the relevant period of use, which is of a severity necessitating permanent treatment withdrawal, details of this toxicity must be provided at the time of application.</w:t>
            </w:r>
            <w:r w:rsidRPr="006D52A9">
              <w:rPr>
                <w:rFonts w:ascii="Arial" w:eastAsia="SimSun" w:hAnsi="Arial" w:cs="Arial"/>
                <w:sz w:val="16"/>
                <w:szCs w:val="16"/>
                <w:lang w:eastAsia="zh-CN"/>
              </w:rPr>
              <w:br/>
              <w:t>Details of the accepted toxicities including severity can be found on the Department of Human Services website.</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A PCDAI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29" w:type="pct"/>
            <w:tcMar>
              <w:top w:w="28" w:type="dxa"/>
              <w:left w:w="28" w:type="dxa"/>
              <w:right w:w="57" w:type="dxa"/>
            </w:tcMar>
          </w:tcPr>
          <w:p w14:paraId="6CAF444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58ABD84" w14:textId="77777777" w:rsidTr="00FB6D2D">
        <w:tc>
          <w:tcPr>
            <w:tcW w:w="647" w:type="pct"/>
            <w:tcMar>
              <w:top w:w="28" w:type="dxa"/>
              <w:left w:w="28" w:type="dxa"/>
            </w:tcMar>
          </w:tcPr>
          <w:p w14:paraId="759ED24C"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8F6952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C9754</w:t>
            </w:r>
          </w:p>
        </w:tc>
        <w:tc>
          <w:tcPr>
            <w:tcW w:w="274" w:type="pct"/>
            <w:tcMar>
              <w:top w:w="28" w:type="dxa"/>
              <w:left w:w="28" w:type="dxa"/>
            </w:tcMar>
          </w:tcPr>
          <w:p w14:paraId="56C520E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38D3EE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Balance of supply</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continuing treatment restriction to complete 24 weeks of treatment; AND</w:t>
            </w:r>
            <w:r w:rsidRPr="006D52A9">
              <w:rPr>
                <w:rFonts w:ascii="Arial" w:eastAsia="SimSun" w:hAnsi="Arial" w:cs="Arial"/>
                <w:sz w:val="16"/>
                <w:szCs w:val="16"/>
                <w:lang w:eastAsia="zh-CN"/>
              </w:rPr>
              <w:br/>
              <w:t>The treatment must provide no more than the balance of up to 3 doses therapy available under Initial 1, 2 or 3 treatment; OR</w:t>
            </w:r>
            <w:r w:rsidRPr="006D52A9">
              <w:rPr>
                <w:rFonts w:ascii="Arial" w:eastAsia="SimSun" w:hAnsi="Arial" w:cs="Arial"/>
                <w:sz w:val="16"/>
                <w:szCs w:val="16"/>
                <w:lang w:eastAsia="zh-CN"/>
              </w:rPr>
              <w:br/>
              <w:t>The treatment must provide no more than the balance of up to 24 weeks therapy available under Continuing treatment.</w:t>
            </w:r>
          </w:p>
        </w:tc>
        <w:tc>
          <w:tcPr>
            <w:tcW w:w="929" w:type="pct"/>
            <w:tcMar>
              <w:top w:w="28" w:type="dxa"/>
              <w:left w:w="28" w:type="dxa"/>
              <w:right w:w="57" w:type="dxa"/>
            </w:tcMar>
          </w:tcPr>
          <w:p w14:paraId="3CB2E1B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52299A" w14:paraId="5B073B27" w14:textId="77777777" w:rsidTr="00FB6D2D">
        <w:tc>
          <w:tcPr>
            <w:tcW w:w="647" w:type="pct"/>
            <w:tcMar>
              <w:top w:w="28" w:type="dxa"/>
              <w:left w:w="28" w:type="dxa"/>
            </w:tcMar>
          </w:tcPr>
          <w:p w14:paraId="2695511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954948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C9756</w:t>
            </w:r>
          </w:p>
        </w:tc>
        <w:tc>
          <w:tcPr>
            <w:tcW w:w="274" w:type="pct"/>
            <w:tcMar>
              <w:top w:w="28" w:type="dxa"/>
              <w:left w:w="28" w:type="dxa"/>
            </w:tcMar>
          </w:tcPr>
          <w:p w14:paraId="4CD3E413"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7E19A9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or recommencement of treatment after a break in biological medicine of less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 xml:space="preserve">The treatment must not exceed a total of 3 doses to be administered at weeks 0, 2 and 6 under this </w:t>
            </w:r>
            <w:r w:rsidRPr="006D52A9">
              <w:rPr>
                <w:rFonts w:ascii="Arial" w:eastAsia="SimSun" w:hAnsi="Arial" w:cs="Arial"/>
                <w:sz w:val="16"/>
                <w:szCs w:val="16"/>
                <w:lang w:eastAsia="zh-CN"/>
              </w:rPr>
              <w:lastRenderedPageBreak/>
              <w:t>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Crohn Disease Activity Index (CDAI) Score calculation sheet including the date of assessment of the patient’s condition if relevant; or</w:t>
            </w:r>
            <w:r w:rsidRPr="006D52A9">
              <w:rPr>
                <w:rFonts w:ascii="Arial" w:eastAsia="SimSun" w:hAnsi="Arial" w:cs="Arial"/>
                <w:sz w:val="16"/>
                <w:szCs w:val="16"/>
                <w:lang w:eastAsia="zh-CN"/>
              </w:rPr>
              <w:br/>
              <w:t>(ii) the reports and dates of the pathology or diagnostic imaging test(s) used to assess response to therapy for patients with short gut syndrome, extensive small intestine disease or an ostomy, if relevant; and</w:t>
            </w:r>
            <w:r w:rsidRPr="006D52A9">
              <w:rPr>
                <w:rFonts w:ascii="Arial" w:eastAsia="SimSun" w:hAnsi="Arial" w:cs="Arial"/>
                <w:sz w:val="16"/>
                <w:szCs w:val="16"/>
                <w:lang w:eastAsia="zh-CN"/>
              </w:rPr>
              <w:br/>
              <w:t>(iii) the date of clinical assessment; and</w:t>
            </w:r>
            <w:r w:rsidRPr="006D52A9">
              <w:rPr>
                <w:rFonts w:ascii="Arial" w:eastAsia="SimSun" w:hAnsi="Arial" w:cs="Arial"/>
                <w:sz w:val="16"/>
                <w:szCs w:val="16"/>
                <w:lang w:eastAsia="zh-CN"/>
              </w:rPr>
              <w:br/>
              <w:t>(iv) the details of prior biological medicine treatment including the details of date and duration of treatment.</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or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to the Department of Human Services no later than 4 weeks from the date that course was ceased.</w:t>
            </w:r>
            <w:r w:rsidRPr="006D52A9">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4F4B66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29DD72A6" w14:textId="77777777" w:rsidTr="00FB6D2D">
        <w:tc>
          <w:tcPr>
            <w:tcW w:w="647" w:type="pct"/>
            <w:tcMar>
              <w:top w:w="28" w:type="dxa"/>
              <w:left w:w="28" w:type="dxa"/>
            </w:tcMar>
          </w:tcPr>
          <w:p w14:paraId="3F7532EA"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E2F1C7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C9759</w:t>
            </w:r>
          </w:p>
        </w:tc>
        <w:tc>
          <w:tcPr>
            <w:tcW w:w="274" w:type="pct"/>
            <w:tcMar>
              <w:top w:w="28" w:type="dxa"/>
              <w:left w:w="28" w:type="dxa"/>
            </w:tcMar>
          </w:tcPr>
          <w:p w14:paraId="4064CD5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625511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an adequate response to this drug defined as a reduction in Crohn Disease Activity Index (CDAI) Score to a level no greater than 150 if assessed by CDAI or if affected by extensive small intestine disease; OR</w:t>
            </w:r>
            <w:r w:rsidRPr="006D52A9">
              <w:rPr>
                <w:rFonts w:ascii="Arial" w:eastAsia="SimSun" w:hAnsi="Arial" w:cs="Arial"/>
                <w:sz w:val="16"/>
                <w:szCs w:val="16"/>
                <w:lang w:eastAsia="zh-CN"/>
              </w:rPr>
              <w:br/>
              <w:t>Patient must have an adequate response to this drug defined as (a) an improvement of intestinal inflammation as demonstrated by: (i) blood: normalisation of the platelet count, or an erythrocyte sedimentation rate (ESR) level no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Crohn Disease Activity Index (CDAI) Score; or</w:t>
            </w:r>
            <w:r w:rsidRPr="006D52A9">
              <w:rPr>
                <w:rFonts w:ascii="Arial" w:eastAsia="SimSun" w:hAnsi="Arial" w:cs="Arial"/>
                <w:sz w:val="16"/>
                <w:szCs w:val="16"/>
                <w:lang w:eastAsia="zh-CN"/>
              </w:rPr>
              <w:br/>
              <w:t>(ii) the reports and dates of the pathology test or diagnostic imaging test(s) used to assess response to therapy for patients with short gut syndrome, extensive small intestine disease or an ostomy, if relevant; and</w:t>
            </w:r>
            <w:r w:rsidRPr="006D52A9">
              <w:rPr>
                <w:rFonts w:ascii="Arial" w:eastAsia="SimSun" w:hAnsi="Arial" w:cs="Arial"/>
                <w:sz w:val="16"/>
                <w:szCs w:val="16"/>
                <w:lang w:eastAsia="zh-CN"/>
              </w:rPr>
              <w:br/>
              <w:t>(iii) the date of the most recent clinical assessment.</w:t>
            </w:r>
            <w:r w:rsidRPr="006D52A9">
              <w:rPr>
                <w:rFonts w:ascii="Arial" w:eastAsia="SimSun" w:hAnsi="Arial" w:cs="Arial"/>
                <w:sz w:val="16"/>
                <w:szCs w:val="16"/>
                <w:lang w:eastAsia="zh-CN"/>
              </w:rPr>
              <w:br/>
              <w:t>All assessments, pathology tests, and diagnostic imaging studies must be made within 1 month of the date of application.</w:t>
            </w:r>
            <w:r w:rsidRPr="006D52A9">
              <w:rPr>
                <w:rFonts w:ascii="Arial" w:eastAsia="SimSun" w:hAnsi="Arial" w:cs="Arial"/>
                <w:sz w:val="16"/>
                <w:szCs w:val="16"/>
                <w:lang w:eastAsia="zh-CN"/>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Patients are eligible to receive continuing treatment with this drug in courses of up to 24 weeks providing they continue to sustain the response.</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29" w:type="pct"/>
            <w:tcMar>
              <w:top w:w="28" w:type="dxa"/>
              <w:left w:w="28" w:type="dxa"/>
              <w:right w:w="57" w:type="dxa"/>
            </w:tcMar>
          </w:tcPr>
          <w:p w14:paraId="10A5208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7333C9C6" w14:textId="77777777" w:rsidTr="00FB6D2D">
        <w:tc>
          <w:tcPr>
            <w:tcW w:w="647" w:type="pct"/>
            <w:tcMar>
              <w:top w:w="28" w:type="dxa"/>
              <w:left w:w="28" w:type="dxa"/>
            </w:tcMar>
          </w:tcPr>
          <w:p w14:paraId="2F84061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6EAC4F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C9775</w:t>
            </w:r>
          </w:p>
        </w:tc>
        <w:tc>
          <w:tcPr>
            <w:tcW w:w="274" w:type="pct"/>
            <w:tcMar>
              <w:top w:w="28" w:type="dxa"/>
              <w:left w:w="28" w:type="dxa"/>
            </w:tcMar>
          </w:tcPr>
          <w:p w14:paraId="279360C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BF4370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have a reduction in PCDAI Score by at least 15 points from baseline value; AND</w:t>
            </w:r>
            <w:r w:rsidRPr="006D52A9">
              <w:rPr>
                <w:rFonts w:ascii="Arial" w:eastAsia="SimSun" w:hAnsi="Arial" w:cs="Arial"/>
                <w:sz w:val="16"/>
                <w:szCs w:val="16"/>
                <w:lang w:eastAsia="zh-CN"/>
              </w:rPr>
              <w:br/>
              <w:t>Patient must have a total PCDAI score of 30 points or less;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The PCDAI assessment must be no more than 1 month old at the time of prescribing.</w:t>
            </w:r>
            <w:r w:rsidRPr="006D52A9">
              <w:rPr>
                <w:rFonts w:ascii="Arial" w:eastAsia="SimSun" w:hAnsi="Arial" w:cs="Arial"/>
                <w:sz w:val="16"/>
                <w:szCs w:val="16"/>
                <w:lang w:eastAsia="zh-CN"/>
              </w:rPr>
              <w:br/>
              <w:t>The PCDAI score must be documented in the patient’s medical notes as the measurement of response to the prior course of therapy.</w:t>
            </w:r>
            <w:r w:rsidRPr="006D52A9">
              <w:rPr>
                <w:rFonts w:ascii="Arial" w:eastAsia="SimSun" w:hAnsi="Arial" w:cs="Arial"/>
                <w:sz w:val="16"/>
                <w:szCs w:val="16"/>
                <w:lang w:eastAsia="zh-CN"/>
              </w:rPr>
              <w:br/>
              <w:t>Patients are only eligible to receive subsequent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courses of up to 24 weeks at a dose of 5 mg per kg per dose providing they continue to sustain the response.</w:t>
            </w:r>
          </w:p>
        </w:tc>
        <w:tc>
          <w:tcPr>
            <w:tcW w:w="929" w:type="pct"/>
            <w:tcMar>
              <w:top w:w="28" w:type="dxa"/>
              <w:left w:w="28" w:type="dxa"/>
              <w:right w:w="57" w:type="dxa"/>
            </w:tcMar>
          </w:tcPr>
          <w:p w14:paraId="42EF58F0"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9775</w:t>
            </w:r>
          </w:p>
        </w:tc>
      </w:tr>
      <w:tr w:rsidR="008F47B8" w:rsidRPr="006D52A9" w:rsidDel="0052299A" w14:paraId="2F36AF42" w14:textId="77777777" w:rsidTr="00FB6D2D">
        <w:tc>
          <w:tcPr>
            <w:tcW w:w="647" w:type="pct"/>
            <w:tcMar>
              <w:top w:w="28" w:type="dxa"/>
              <w:left w:w="28" w:type="dxa"/>
            </w:tcMar>
          </w:tcPr>
          <w:p w14:paraId="24D0A1EC"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2E0B14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C9776</w:t>
            </w:r>
          </w:p>
        </w:tc>
        <w:tc>
          <w:tcPr>
            <w:tcW w:w="274" w:type="pct"/>
            <w:tcMar>
              <w:top w:w="28" w:type="dxa"/>
              <w:left w:w="28" w:type="dxa"/>
            </w:tcMar>
          </w:tcPr>
          <w:p w14:paraId="30FDC2C4"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225A84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 xml:space="preserve">Must be treated by a consultant physician [internal medicine specialising in gastroenterology (code 81)]; </w:t>
            </w:r>
            <w:r w:rsidRPr="006D52A9">
              <w:rPr>
                <w:rFonts w:ascii="Arial" w:eastAsia="SimSun" w:hAnsi="Arial" w:cs="Arial"/>
                <w:sz w:val="16"/>
                <w:szCs w:val="16"/>
                <w:lang w:eastAsia="zh-CN"/>
              </w:rPr>
              <w:lastRenderedPageBreak/>
              <w:t>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failed to achieve an adequate response to a 5</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aminosalicylate oral preparation in a standard dose for induction of remission for 3 or more consecutive months or have intolerance necessitating permanent treatment withdrawal; AND</w:t>
            </w:r>
            <w:r w:rsidRPr="006D52A9">
              <w:rPr>
                <w:rFonts w:ascii="Arial" w:eastAsia="SimSun" w:hAnsi="Arial" w:cs="Arial"/>
                <w:sz w:val="16"/>
                <w:szCs w:val="16"/>
                <w:lang w:eastAsia="zh-CN"/>
              </w:rPr>
              <w:br/>
              <w:t>Patient must have failed to achieve an adequate response to azathioprine at a dose of at least 2 mg per kg daily for 3 or more consecutive months or have intolerance necessitating permanent treatment withdrawal; OR</w:t>
            </w:r>
            <w:r w:rsidRPr="006D52A9">
              <w:rPr>
                <w:rFonts w:ascii="Arial" w:eastAsia="SimSun" w:hAnsi="Arial" w:cs="Arial"/>
                <w:sz w:val="16"/>
                <w:szCs w:val="16"/>
                <w:lang w:eastAsia="zh-CN"/>
              </w:rPr>
              <w:br/>
              <w:t>Patient must have failed to achieve an adequate response to 6</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mercaptopurine at a dose of at least 1 mg per kg daily for 3 or more consecutive months or have intolerance necessitating permanent treatment withdrawal; OR</w:t>
            </w:r>
            <w:r w:rsidRPr="006D52A9">
              <w:rPr>
                <w:rFonts w:ascii="Arial" w:eastAsia="SimSun" w:hAnsi="Arial" w:cs="Arial"/>
                <w:sz w:val="16"/>
                <w:szCs w:val="16"/>
                <w:lang w:eastAsia="zh-CN"/>
              </w:rPr>
              <w:br/>
              <w:t>Patient must have failed to achieve an adequate response to a tapered course of oral steroids, starting at a dose of at least 40 mg (for a child, 1 to 2 mg/kg up to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6D52A9">
              <w:rPr>
                <w:rFonts w:ascii="Arial" w:eastAsia="SimSun" w:hAnsi="Arial" w:cs="Arial"/>
                <w:sz w:val="16"/>
                <w:szCs w:val="16"/>
                <w:lang w:eastAsia="zh-CN"/>
              </w:rPr>
              <w:br/>
              <w:t>Patient must have a Mayo clinic score greater than or equal to 6 if an adult patient; OR</w:t>
            </w:r>
            <w:r w:rsidRPr="006D52A9">
              <w:rPr>
                <w:rFonts w:ascii="Arial" w:eastAsia="SimSun" w:hAnsi="Arial" w:cs="Arial"/>
                <w:sz w:val="16"/>
                <w:szCs w:val="16"/>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6D52A9">
              <w:rPr>
                <w:rFonts w:ascii="Arial" w:eastAsia="SimSun" w:hAnsi="Arial" w:cs="Arial"/>
                <w:sz w:val="16"/>
                <w:szCs w:val="16"/>
                <w:lang w:eastAsia="zh-CN"/>
              </w:rPr>
              <w:br/>
              <w:t>Patient must have a Paediatric Ulcerative Colitis Activity Index (PUCAI) Score greater than or equal to 30 if aged 6 to 17 years; OR</w:t>
            </w:r>
            <w:r w:rsidRPr="006D52A9">
              <w:rPr>
                <w:rFonts w:ascii="Arial" w:eastAsia="SimSun" w:hAnsi="Arial" w:cs="Arial"/>
                <w:sz w:val="16"/>
                <w:szCs w:val="16"/>
                <w:lang w:eastAsia="zh-CN"/>
              </w:rPr>
              <w:b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Ulcerative Colitis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patient’s condition; and</w:t>
            </w:r>
            <w:r w:rsidRPr="006D52A9">
              <w:rPr>
                <w:rFonts w:ascii="Arial" w:eastAsia="SimSun" w:hAnsi="Arial" w:cs="Arial"/>
                <w:sz w:val="16"/>
                <w:szCs w:val="16"/>
                <w:lang w:eastAsia="zh-CN"/>
              </w:rPr>
              <w:br/>
              <w:t>(ii) details of prior systemic drug therapy [dosage, date of commencement and duration of therapy].</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or to be administered at 8</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weekly intervals for patients who have received prior treatment for an acute severe episode, will be authorised.</w:t>
            </w:r>
            <w:r w:rsidRPr="006D52A9">
              <w:rPr>
                <w:rFonts w:ascii="Arial" w:eastAsia="SimSun" w:hAnsi="Arial" w:cs="Arial"/>
                <w:sz w:val="16"/>
                <w:szCs w:val="16"/>
                <w:lang w:eastAsia="zh-CN"/>
              </w:rPr>
              <w:br/>
              <w:t xml:space="preserve">All tests and assessments should be performed preferably whilst still on treatment, but no longer than 4 </w:t>
            </w:r>
            <w:r w:rsidRPr="006D52A9">
              <w:rPr>
                <w:rFonts w:ascii="Arial" w:eastAsia="SimSun" w:hAnsi="Arial" w:cs="Arial"/>
                <w:sz w:val="16"/>
                <w:szCs w:val="16"/>
                <w:lang w:eastAsia="zh-CN"/>
              </w:rPr>
              <w:lastRenderedPageBreak/>
              <w:t>weeks following cessation of the most recent prior conventional treatment.</w:t>
            </w:r>
            <w:r w:rsidRPr="006D52A9">
              <w:rPr>
                <w:rFonts w:ascii="Arial" w:eastAsia="SimSun" w:hAnsi="Arial" w:cs="Arial"/>
                <w:sz w:val="16"/>
                <w:szCs w:val="16"/>
                <w:lang w:eastAsia="zh-CN"/>
              </w:rPr>
              <w:br/>
              <w:t>The most recent Mayo clinic, partial Mayo clinic or Paediatric Ulcerative Colitis Activity Index (PUCAI) score must be no more than 4 weeks old at the time of application.</w:t>
            </w:r>
            <w:r w:rsidRPr="006D52A9">
              <w:rPr>
                <w:rFonts w:ascii="Arial" w:eastAsia="SimSun" w:hAnsi="Arial" w:cs="Arial"/>
                <w:sz w:val="16"/>
                <w:szCs w:val="16"/>
                <w:lang w:eastAsia="zh-CN"/>
              </w:rPr>
              <w:b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r w:rsidRPr="006D52A9">
              <w:rPr>
                <w:rFonts w:ascii="Arial" w:eastAsia="SimSun" w:hAnsi="Arial" w:cs="Arial"/>
                <w:sz w:val="16"/>
                <w:szCs w:val="16"/>
                <w:lang w:eastAsia="zh-CN"/>
              </w:rPr>
              <w:br/>
              <w:t>A partial Mayo clinic or Paediatric Ulcerative Colitis Activity Index (PUCAI) assessment of the patient’s response to this initial course of treatment must be made following a minimum of 12 weeks of treatment for adalimumab and up to 12 weeks after the first dose (6 weeks following the third dose) for golimumab, infliximab and vedolizumab so that there is adequate time for a response to be demonstrated.</w:t>
            </w:r>
            <w:r w:rsidRPr="006D52A9">
              <w:rPr>
                <w:rFonts w:ascii="Arial" w:eastAsia="SimSun" w:hAnsi="Arial" w:cs="Arial"/>
                <w:sz w:val="16"/>
                <w:szCs w:val="16"/>
                <w:lang w:eastAsia="zh-CN"/>
              </w:rPr>
              <w:br/>
              <w:t>If treatment with any of the above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mentioned drugs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details must be provided at the time of application.</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Details of the accepted toxicities including severity can be found on the Department of Human Services website.</w:t>
            </w:r>
          </w:p>
        </w:tc>
        <w:tc>
          <w:tcPr>
            <w:tcW w:w="929" w:type="pct"/>
            <w:tcMar>
              <w:top w:w="28" w:type="dxa"/>
              <w:left w:w="28" w:type="dxa"/>
              <w:right w:w="57" w:type="dxa"/>
            </w:tcMar>
          </w:tcPr>
          <w:p w14:paraId="49B4914A"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6636375" w14:textId="77777777" w:rsidTr="00FB6D2D">
        <w:tc>
          <w:tcPr>
            <w:tcW w:w="647" w:type="pct"/>
            <w:tcMar>
              <w:top w:w="28" w:type="dxa"/>
              <w:left w:w="28" w:type="dxa"/>
            </w:tcMar>
          </w:tcPr>
          <w:p w14:paraId="5FEE359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08BC28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C9778</w:t>
            </w:r>
          </w:p>
        </w:tc>
        <w:tc>
          <w:tcPr>
            <w:tcW w:w="274" w:type="pct"/>
            <w:tcMar>
              <w:top w:w="28" w:type="dxa"/>
              <w:left w:w="28" w:type="dxa"/>
            </w:tcMar>
          </w:tcPr>
          <w:p w14:paraId="1CB327AA"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0055E1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Patient must have confirmed severe Crohn disease, defined by standard clinical, endoscopic and/or imaging features, including histological evidence, with the diagnosis confirmed by a gastroenterologist or a consultant physician; AND</w:t>
            </w:r>
            <w:r w:rsidRPr="006D52A9">
              <w:rPr>
                <w:rFonts w:ascii="Arial" w:eastAsia="SimSun" w:hAnsi="Arial" w:cs="Arial"/>
                <w:sz w:val="16"/>
                <w:szCs w:val="16"/>
                <w:lang w:eastAsia="zh-CN"/>
              </w:rPr>
              <w:br/>
              <w:t>Patient must have failed to achieve an adequate response to prior systemic therapy with a tapered course of steroids, starting at a dose of at least 40 mg prednisolone (or equivalent), over a 6 week period; AND</w:t>
            </w:r>
            <w:r w:rsidRPr="006D52A9">
              <w:rPr>
                <w:rFonts w:ascii="Arial" w:eastAsia="SimSun" w:hAnsi="Arial" w:cs="Arial"/>
                <w:sz w:val="16"/>
                <w:szCs w:val="16"/>
                <w:lang w:eastAsia="zh-CN"/>
              </w:rPr>
              <w:br/>
              <w:t>The treatment must not exceed a total of 3 doses to be administered at weeks 0, 2 and 6 under this restriction; AND</w:t>
            </w:r>
            <w:r w:rsidRPr="006D52A9">
              <w:rPr>
                <w:rFonts w:ascii="Arial" w:eastAsia="SimSun" w:hAnsi="Arial" w:cs="Arial"/>
                <w:sz w:val="16"/>
                <w:szCs w:val="16"/>
                <w:lang w:eastAsia="zh-CN"/>
              </w:rPr>
              <w:br/>
              <w:t xml:space="preserve">Patient must have failed to achieve adequate response to prior systemic immunosuppressive therapy </w:t>
            </w:r>
            <w:r w:rsidRPr="006D52A9">
              <w:rPr>
                <w:rFonts w:ascii="Arial" w:eastAsia="SimSun" w:hAnsi="Arial" w:cs="Arial"/>
                <w:sz w:val="16"/>
                <w:szCs w:val="16"/>
                <w:lang w:eastAsia="zh-CN"/>
              </w:rPr>
              <w:lastRenderedPageBreak/>
              <w:t>with azathioprine at a dose of at least 2 mg per kg daily for 3 or more consecutive months; OR</w:t>
            </w:r>
            <w:r w:rsidRPr="006D52A9">
              <w:rPr>
                <w:rFonts w:ascii="Arial" w:eastAsia="SimSun" w:hAnsi="Arial" w:cs="Arial"/>
                <w:sz w:val="16"/>
                <w:szCs w:val="16"/>
                <w:lang w:eastAsia="zh-CN"/>
              </w:rPr>
              <w:br/>
              <w:t>Patient must have failed to achieve adequate response to prior systemic immunosuppressive therapy with 6</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mercaptopurine at a dose of at least 1 mg per kg daily for 3 or more consecutive months; OR</w:t>
            </w:r>
            <w:r w:rsidRPr="006D52A9">
              <w:rPr>
                <w:rFonts w:ascii="Arial" w:eastAsia="SimSun" w:hAnsi="Arial" w:cs="Arial"/>
                <w:sz w:val="16"/>
                <w:szCs w:val="16"/>
                <w:lang w:eastAsia="zh-CN"/>
              </w:rPr>
              <w:br/>
              <w:t>Patient must have failed to achieve adequate response to prior systemic immunosuppressive therapy with methotrexate at a dose of at least 15 mg weekly for 3 or more consecutive months; AND</w:t>
            </w:r>
            <w:r w:rsidRPr="006D52A9">
              <w:rPr>
                <w:rFonts w:ascii="Arial" w:eastAsia="SimSun" w:hAnsi="Arial" w:cs="Arial"/>
                <w:sz w:val="16"/>
                <w:szCs w:val="16"/>
                <w:lang w:eastAsia="zh-CN"/>
              </w:rPr>
              <w:br/>
              <w:t>Patient must have a Crohn Disease Activity Index (CDAI) Score greater than or equal to 300 as evidence of failure to achieve an adequate response to prior systemic therapy; OR</w:t>
            </w:r>
            <w:r w:rsidRPr="006D52A9">
              <w:rPr>
                <w:rFonts w:ascii="Arial" w:eastAsia="SimSun" w:hAnsi="Arial" w:cs="Arial"/>
                <w:sz w:val="16"/>
                <w:szCs w:val="16"/>
                <w:lang w:eastAsia="zh-CN"/>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D52A9">
              <w:rPr>
                <w:rFonts w:ascii="Arial" w:eastAsia="SimSun" w:hAnsi="Arial" w:cs="Arial"/>
                <w:sz w:val="16"/>
                <w:szCs w:val="16"/>
                <w:lang w:eastAsia="zh-CN"/>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Crohn Disease Activity Index (CDAI) calculation sheet including the date of assessment of the patient’s condition if relevant; and</w:t>
            </w:r>
            <w:r w:rsidRPr="006D52A9">
              <w:rPr>
                <w:rFonts w:ascii="Arial" w:eastAsia="SimSun" w:hAnsi="Arial" w:cs="Arial"/>
                <w:sz w:val="16"/>
                <w:szCs w:val="16"/>
                <w:lang w:eastAsia="zh-CN"/>
              </w:rPr>
              <w:br/>
              <w:t>(ii) details of prior systemic drug therapy [dosage, date of commencement and duration of therapy]; and</w:t>
            </w:r>
            <w:r w:rsidRPr="006D52A9">
              <w:rPr>
                <w:rFonts w:ascii="Arial" w:eastAsia="SimSun" w:hAnsi="Arial" w:cs="Arial"/>
                <w:sz w:val="16"/>
                <w:szCs w:val="16"/>
                <w:lang w:eastAsia="zh-CN"/>
              </w:rPr>
              <w:br/>
              <w:t>(iii) the reports and dates of the pathology or diagnostic imaging test(s) nominated as the response criterion, if relevant; and</w:t>
            </w:r>
            <w:r w:rsidRPr="006D52A9">
              <w:rPr>
                <w:rFonts w:ascii="Arial" w:eastAsia="SimSun" w:hAnsi="Arial" w:cs="Arial"/>
                <w:sz w:val="16"/>
                <w:szCs w:val="16"/>
                <w:lang w:eastAsia="zh-CN"/>
              </w:rPr>
              <w:br/>
              <w:t>(iv) the date of the most recent clinical assessment.</w:t>
            </w:r>
            <w:r w:rsidRPr="006D52A9">
              <w:rPr>
                <w:rFonts w:ascii="Arial" w:eastAsia="SimSun" w:hAnsi="Arial" w:cs="Arial"/>
                <w:sz w:val="16"/>
                <w:szCs w:val="16"/>
                <w:lang w:eastAsia="zh-CN"/>
              </w:rPr>
              <w:br/>
              <w:t>Evidence of failure to achieve an adequate response to prior therapy must include at least one of the following:</w:t>
            </w:r>
            <w:r w:rsidRPr="006D52A9">
              <w:rPr>
                <w:rFonts w:ascii="Arial" w:eastAsia="SimSun" w:hAnsi="Arial" w:cs="Arial"/>
                <w:sz w:val="16"/>
                <w:szCs w:val="16"/>
                <w:lang w:eastAsia="zh-CN"/>
              </w:rPr>
              <w:br/>
              <w:t>(a) patient must have evidence of intestinal inflammation;</w:t>
            </w:r>
            <w:r w:rsidRPr="006D52A9">
              <w:rPr>
                <w:rFonts w:ascii="Arial" w:eastAsia="SimSun" w:hAnsi="Arial" w:cs="Arial"/>
                <w:sz w:val="16"/>
                <w:szCs w:val="16"/>
                <w:lang w:eastAsia="zh-CN"/>
              </w:rPr>
              <w:br/>
              <w:t>(b) patient must be assessed clinically as being in a high faecal output state;</w:t>
            </w:r>
            <w:r w:rsidRPr="006D52A9">
              <w:rPr>
                <w:rFonts w:ascii="Arial" w:eastAsia="SimSun" w:hAnsi="Arial" w:cs="Arial"/>
                <w:sz w:val="16"/>
                <w:szCs w:val="16"/>
                <w:lang w:eastAsia="zh-CN"/>
              </w:rPr>
              <w:br/>
              <w:t>(c) patient must be assessed clinically as requiring surgery or total parenteral nutrition (TPN) as the next therapeutic option, in the absence of this drug, if affected by short gut syndrome, extensive small intestine disease or is an ostomy patient.</w:t>
            </w:r>
            <w:r w:rsidRPr="006D52A9">
              <w:rPr>
                <w:rFonts w:ascii="Arial" w:eastAsia="SimSun" w:hAnsi="Arial" w:cs="Arial"/>
                <w:sz w:val="16"/>
                <w:szCs w:val="16"/>
                <w:lang w:eastAsia="zh-CN"/>
              </w:rPr>
              <w:br/>
              <w:t>Evidence of intestinal inflammation includes:</w:t>
            </w:r>
            <w:r w:rsidRPr="006D52A9">
              <w:rPr>
                <w:rFonts w:ascii="Arial" w:eastAsia="SimSun" w:hAnsi="Arial" w:cs="Arial"/>
                <w:sz w:val="16"/>
                <w:szCs w:val="16"/>
                <w:lang w:eastAsia="zh-CN"/>
              </w:rPr>
              <w:br/>
              <w:t>(i) blood: higher than normal platelet count, or, an elevated erythrocyte sedimentation rate (ESR)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15 mg per L; or</w:t>
            </w:r>
            <w:r w:rsidRPr="006D52A9">
              <w:rPr>
                <w:rFonts w:ascii="Arial" w:eastAsia="SimSun" w:hAnsi="Arial" w:cs="Arial"/>
                <w:sz w:val="16"/>
                <w:szCs w:val="16"/>
                <w:lang w:eastAsia="zh-CN"/>
              </w:rPr>
              <w:br/>
              <w:t>(ii) faeces: higher than normal lactoferrin or calprotectin level; or</w:t>
            </w:r>
            <w:r w:rsidRPr="006D52A9">
              <w:rPr>
                <w:rFonts w:ascii="Arial" w:eastAsia="SimSun" w:hAnsi="Arial" w:cs="Arial"/>
                <w:sz w:val="16"/>
                <w:szCs w:val="16"/>
                <w:lang w:eastAsia="zh-CN"/>
              </w:rPr>
              <w:br/>
              <w:t>(iii) diagnostic imaging: demonstration of increased uptake of intravenous contrast with thickening of the bowel wall or mesenteric lymphadenopathy or fat streaking in the mesentery.</w:t>
            </w:r>
            <w:r w:rsidRPr="006D52A9">
              <w:rPr>
                <w:rFonts w:ascii="Arial" w:eastAsia="SimSun" w:hAnsi="Arial" w:cs="Arial"/>
                <w:sz w:val="16"/>
                <w:szCs w:val="16"/>
                <w:lang w:eastAsia="zh-CN"/>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D52A9">
              <w:rPr>
                <w:rFonts w:ascii="Arial" w:eastAsia="SimSun" w:hAnsi="Arial" w:cs="Arial"/>
                <w:sz w:val="16"/>
                <w:szCs w:val="16"/>
                <w:lang w:eastAsia="zh-CN"/>
              </w:rPr>
              <w:br/>
              <w:t>If treatment with any of the specified prior conventional drugs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please provide details at the time of application.</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If intolerance to treatment develops during the relevant period of use, which is of a severity necessitating permanent treatment withdrawal, details of this toxicity must be provided at the time of application.</w:t>
            </w:r>
            <w:r w:rsidRPr="006D52A9">
              <w:rPr>
                <w:rFonts w:ascii="Arial" w:eastAsia="SimSun" w:hAnsi="Arial" w:cs="Arial"/>
                <w:sz w:val="16"/>
                <w:szCs w:val="16"/>
                <w:lang w:eastAsia="zh-CN"/>
              </w:rPr>
              <w:br/>
              <w:t>Details of the accepted toxicities including severity can be found on the Department of Human Services website.</w:t>
            </w:r>
            <w:r w:rsidRPr="006D52A9">
              <w:rPr>
                <w:rFonts w:ascii="Arial" w:eastAsia="SimSun" w:hAnsi="Arial" w:cs="Arial"/>
                <w:sz w:val="16"/>
                <w:szCs w:val="16"/>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p>
        </w:tc>
        <w:tc>
          <w:tcPr>
            <w:tcW w:w="929" w:type="pct"/>
            <w:tcMar>
              <w:top w:w="28" w:type="dxa"/>
              <w:left w:w="28" w:type="dxa"/>
              <w:right w:w="57" w:type="dxa"/>
            </w:tcMar>
          </w:tcPr>
          <w:p w14:paraId="08F6FD63"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7103E663" w14:textId="77777777" w:rsidTr="00FB6D2D">
        <w:tc>
          <w:tcPr>
            <w:tcW w:w="647" w:type="pct"/>
            <w:tcMar>
              <w:top w:w="28" w:type="dxa"/>
              <w:left w:w="28" w:type="dxa"/>
            </w:tcMar>
          </w:tcPr>
          <w:p w14:paraId="2DEB449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5B31A7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C9779</w:t>
            </w:r>
          </w:p>
        </w:tc>
        <w:tc>
          <w:tcPr>
            <w:tcW w:w="274" w:type="pct"/>
            <w:tcMar>
              <w:top w:w="28" w:type="dxa"/>
              <w:left w:w="28" w:type="dxa"/>
            </w:tcMar>
          </w:tcPr>
          <w:p w14:paraId="330B174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B87F22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Balance of supply</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insufficient therapy with this drug for this condition under the Initial 1 (new patient)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D52A9">
              <w:rPr>
                <w:rFonts w:ascii="Arial" w:eastAsia="SimSun" w:hAnsi="Arial" w:cs="Arial"/>
                <w:sz w:val="16"/>
                <w:szCs w:val="16"/>
                <w:lang w:eastAsia="zh-CN"/>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D52A9">
              <w:rPr>
                <w:rFonts w:ascii="Arial" w:eastAsia="SimSun" w:hAnsi="Arial" w:cs="Arial"/>
                <w:sz w:val="16"/>
                <w:szCs w:val="16"/>
                <w:lang w:eastAsia="zh-CN"/>
              </w:rPr>
              <w:br/>
              <w:t xml:space="preserve">Patient must have received insufficient therapy with this drug for this condition under the continuing </w:t>
            </w:r>
            <w:r w:rsidRPr="006D52A9">
              <w:rPr>
                <w:rFonts w:ascii="Arial" w:eastAsia="SimSun" w:hAnsi="Arial" w:cs="Arial"/>
                <w:sz w:val="16"/>
                <w:szCs w:val="16"/>
                <w:lang w:eastAsia="zh-CN"/>
              </w:rPr>
              <w:lastRenderedPageBreak/>
              <w:t>treatment restriction to complete 24 weeks of treatment; AND</w:t>
            </w:r>
            <w:r w:rsidRPr="006D52A9">
              <w:rPr>
                <w:rFonts w:ascii="Arial" w:eastAsia="SimSun" w:hAnsi="Arial" w:cs="Arial"/>
                <w:sz w:val="16"/>
                <w:szCs w:val="16"/>
                <w:lang w:eastAsia="zh-CN"/>
              </w:rPr>
              <w:br/>
              <w:t>The treatment must provide no more than the balance of up to 14 weeks therapy available under Initial 1, 2 or 3 treatment; OR</w:t>
            </w:r>
            <w:r w:rsidRPr="006D52A9">
              <w:rPr>
                <w:rFonts w:ascii="Arial" w:eastAsia="SimSun" w:hAnsi="Arial" w:cs="Arial"/>
                <w:sz w:val="16"/>
                <w:szCs w:val="16"/>
                <w:lang w:eastAsia="zh-CN"/>
              </w:rPr>
              <w:br/>
              <w:t>The treatment must provide no more than the balance of up to 24 weeks therapy available under Continuing treatment.</w:t>
            </w:r>
          </w:p>
        </w:tc>
        <w:tc>
          <w:tcPr>
            <w:tcW w:w="929" w:type="pct"/>
            <w:tcMar>
              <w:top w:w="28" w:type="dxa"/>
              <w:left w:w="28" w:type="dxa"/>
              <w:right w:w="57" w:type="dxa"/>
            </w:tcMar>
          </w:tcPr>
          <w:p w14:paraId="39619E5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17FC8830" w14:textId="77777777" w:rsidTr="00FB6D2D">
        <w:tc>
          <w:tcPr>
            <w:tcW w:w="647" w:type="pct"/>
            <w:tcMar>
              <w:top w:w="28" w:type="dxa"/>
              <w:left w:w="28" w:type="dxa"/>
            </w:tcMar>
          </w:tcPr>
          <w:p w14:paraId="3DAA570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ADA8DE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C9781</w:t>
            </w:r>
          </w:p>
        </w:tc>
        <w:tc>
          <w:tcPr>
            <w:tcW w:w="274" w:type="pct"/>
            <w:tcMar>
              <w:top w:w="28" w:type="dxa"/>
              <w:left w:w="28" w:type="dxa"/>
            </w:tcMar>
          </w:tcPr>
          <w:p w14:paraId="3D838EC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B08F4F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(recommencement of treatment after a break in biological medicine of more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Patient must have confirmed severe Crohn disease, defined by standard clinical, endoscopic and/or imaging features, including histological evidence, with the diagnosis confirmed by a gastroenterologist or a consultant physician; AND</w:t>
            </w:r>
            <w:r w:rsidRPr="006D52A9">
              <w:rPr>
                <w:rFonts w:ascii="Arial" w:eastAsia="SimSun" w:hAnsi="Arial" w:cs="Arial"/>
                <w:sz w:val="16"/>
                <w:szCs w:val="16"/>
                <w:lang w:eastAsia="zh-CN"/>
              </w:rPr>
              <w:br/>
              <w:t>Patient must have a Crohn Disease Activity Index (CDAI) Score of greater than or equal to 300 that is no more than 4 weeks old at the time of application; OR</w:t>
            </w:r>
            <w:r w:rsidRPr="006D52A9">
              <w:rPr>
                <w:rFonts w:ascii="Arial" w:eastAsia="SimSun" w:hAnsi="Arial" w:cs="Arial"/>
                <w:sz w:val="16"/>
                <w:szCs w:val="16"/>
                <w:lang w:eastAsia="zh-CN"/>
              </w:rPr>
              <w:br/>
              <w:t>Patient must have a documented history of intestinal inflammation and have diagnostic imaging or surgical evidence of short gut syndrome if affected by the syndrome or has an ileostomy or colostomy; OR</w:t>
            </w:r>
            <w:r w:rsidRPr="006D52A9">
              <w:rPr>
                <w:rFonts w:ascii="Arial" w:eastAsia="SimSun" w:hAnsi="Arial" w:cs="Arial"/>
                <w:sz w:val="16"/>
                <w:szCs w:val="16"/>
                <w:lang w:eastAsia="zh-CN"/>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D52A9">
              <w:rPr>
                <w:rFonts w:ascii="Arial" w:eastAsia="SimSun" w:hAnsi="Arial" w:cs="Arial"/>
                <w:sz w:val="16"/>
                <w:szCs w:val="16"/>
                <w:lang w:eastAsia="zh-CN"/>
              </w:rPr>
              <w:br/>
              <w:t>Patient must have evidence of intestinal inflammation; OR</w:t>
            </w:r>
            <w:r w:rsidRPr="006D52A9">
              <w:rPr>
                <w:rFonts w:ascii="Arial" w:eastAsia="SimSun" w:hAnsi="Arial" w:cs="Arial"/>
                <w:sz w:val="16"/>
                <w:szCs w:val="16"/>
                <w:lang w:eastAsia="zh-CN"/>
              </w:rPr>
              <w:br/>
              <w:t>Patient must be assessed clinically as being in a high faecal output state; OR</w:t>
            </w:r>
            <w:r w:rsidRPr="006D52A9">
              <w:rPr>
                <w:rFonts w:ascii="Arial" w:eastAsia="SimSun" w:hAnsi="Arial" w:cs="Arial"/>
                <w:sz w:val="16"/>
                <w:szCs w:val="16"/>
                <w:lang w:eastAsia="zh-CN"/>
              </w:rPr>
              <w:br/>
              <w:t>Patient must be assessed clinically as requiring surgery or total parenteral nutrition (TPN) as the next therapeutic option, in the absence of this drug, if affected by short gut syndrome, extensive small intestine disease or is an ostomy patient; AND</w:t>
            </w:r>
            <w:r w:rsidRPr="006D52A9">
              <w:rPr>
                <w:rFonts w:ascii="Arial" w:eastAsia="SimSun" w:hAnsi="Arial" w:cs="Arial"/>
                <w:sz w:val="16"/>
                <w:szCs w:val="16"/>
                <w:lang w:eastAsia="zh-CN"/>
              </w:rPr>
              <w:br/>
              <w:t>The treatment must not exceed a total of 3 doses to be administered at weeks 0, 2 and 6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 xml:space="preserve">(i) the completed current Crohn Disease Activity Index (CDAI) calculation sheet including the date of </w:t>
            </w:r>
            <w:r w:rsidRPr="006D52A9">
              <w:rPr>
                <w:rFonts w:ascii="Arial" w:eastAsia="SimSun" w:hAnsi="Arial" w:cs="Arial"/>
                <w:sz w:val="16"/>
                <w:szCs w:val="16"/>
                <w:lang w:eastAsia="zh-CN"/>
              </w:rPr>
              <w:lastRenderedPageBreak/>
              <w:t>assessment of the patient’s condition if relevant; and</w:t>
            </w:r>
            <w:r w:rsidRPr="006D52A9">
              <w:rPr>
                <w:rFonts w:ascii="Arial" w:eastAsia="SimSun" w:hAnsi="Arial" w:cs="Arial"/>
                <w:sz w:val="16"/>
                <w:szCs w:val="16"/>
                <w:lang w:eastAsia="zh-CN"/>
              </w:rPr>
              <w:br/>
              <w:t>(ii) the reports and dates of the pathology or diagnostic imaging test(s) nominated as the response criterion, if relevant; and</w:t>
            </w:r>
            <w:r w:rsidRPr="006D52A9">
              <w:rPr>
                <w:rFonts w:ascii="Arial" w:eastAsia="SimSun" w:hAnsi="Arial" w:cs="Arial"/>
                <w:sz w:val="16"/>
                <w:szCs w:val="16"/>
                <w:lang w:eastAsia="zh-CN"/>
              </w:rPr>
              <w:br/>
              <w:t>(iii) the date of the most recent clinical assessment.</w:t>
            </w:r>
            <w:r w:rsidRPr="006D52A9">
              <w:rPr>
                <w:rFonts w:ascii="Arial" w:eastAsia="SimSun" w:hAnsi="Arial" w:cs="Arial"/>
                <w:sz w:val="16"/>
                <w:szCs w:val="16"/>
                <w:lang w:eastAsia="zh-CN"/>
              </w:rPr>
              <w:br/>
              <w:t>Evidence of intestinal inflammation includes:</w:t>
            </w:r>
            <w:r w:rsidRPr="006D52A9">
              <w:rPr>
                <w:rFonts w:ascii="Arial" w:eastAsia="SimSun" w:hAnsi="Arial" w:cs="Arial"/>
                <w:sz w:val="16"/>
                <w:szCs w:val="16"/>
                <w:lang w:eastAsia="zh-CN"/>
              </w:rPr>
              <w:br/>
              <w:t>(i) blood: higher than normal platelet count, or, an elevated erythrocyte sedimentation rate (ESR) greater than 25 mm per hour, or, a C</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reactive protein (CRP) level greater than 15 mg per L; or</w:t>
            </w:r>
            <w:r w:rsidRPr="006D52A9">
              <w:rPr>
                <w:rFonts w:ascii="Arial" w:eastAsia="SimSun" w:hAnsi="Arial" w:cs="Arial"/>
                <w:sz w:val="16"/>
                <w:szCs w:val="16"/>
                <w:lang w:eastAsia="zh-CN"/>
              </w:rPr>
              <w:br/>
              <w:t>(ii) faeces: higher than normal lactoferrin or calprotectin level; or</w:t>
            </w:r>
            <w:r w:rsidRPr="006D52A9">
              <w:rPr>
                <w:rFonts w:ascii="Arial" w:eastAsia="SimSun" w:hAnsi="Arial" w:cs="Arial"/>
                <w:sz w:val="16"/>
                <w:szCs w:val="16"/>
                <w:lang w:eastAsia="zh-CN"/>
              </w:rPr>
              <w:br/>
              <w:t>(iii) diagnostic imaging: demonstration of increased uptake of intravenous contrast with thickening of the bowel wall or mesenteric lymphadenopathy or fat streaking in the mesentery.</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w:t>
            </w:r>
            <w:r w:rsidRPr="006D52A9">
              <w:rPr>
                <w:rFonts w:ascii="Arial" w:eastAsia="SimSun" w:hAnsi="Arial" w:cs="Arial"/>
                <w:sz w:val="16"/>
                <w:szCs w:val="16"/>
                <w:lang w:eastAsia="zh-CN"/>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1AA293B"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4B77832" w14:textId="77777777" w:rsidTr="00FB6D2D">
        <w:tc>
          <w:tcPr>
            <w:tcW w:w="647" w:type="pct"/>
            <w:tcMar>
              <w:top w:w="28" w:type="dxa"/>
              <w:left w:w="28" w:type="dxa"/>
            </w:tcMar>
          </w:tcPr>
          <w:p w14:paraId="4E01656A"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69C746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C9783</w:t>
            </w:r>
          </w:p>
        </w:tc>
        <w:tc>
          <w:tcPr>
            <w:tcW w:w="274" w:type="pct"/>
            <w:tcMar>
              <w:top w:w="28" w:type="dxa"/>
              <w:left w:w="28" w:type="dxa"/>
            </w:tcMar>
          </w:tcPr>
          <w:p w14:paraId="5B29F4D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3A2FE7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First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demonstrated an adequate response to treatment with this drug.</w:t>
            </w:r>
            <w:r w:rsidRPr="006D52A9">
              <w:rPr>
                <w:rFonts w:ascii="Arial" w:eastAsia="SimSun" w:hAnsi="Arial" w:cs="Arial"/>
                <w:sz w:val="16"/>
                <w:szCs w:val="16"/>
                <w:lang w:eastAsia="zh-CN"/>
              </w:rPr>
              <w:br/>
              <w:t>An adequate response is defined as:</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(a) a decrease from baseline in the number of open draining fistulae of greater than or equal to 50%; and/or</w:t>
            </w:r>
            <w:r w:rsidRPr="006D52A9">
              <w:rPr>
                <w:rFonts w:ascii="Arial" w:eastAsia="SimSun" w:hAnsi="Arial" w:cs="Arial"/>
                <w:sz w:val="16"/>
                <w:szCs w:val="16"/>
                <w:lang w:eastAsia="zh-CN"/>
              </w:rPr>
              <w:br/>
              <w:t>(b) a marked reduction in drainage of all fistula(e) from baseline, together with less pain and induration as reported by the patient.</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Fistulising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a completed Fistula Assessment form including the date of the assessment of the patient’s condition.</w:t>
            </w:r>
            <w:r w:rsidRPr="006D52A9">
              <w:rPr>
                <w:rFonts w:ascii="Arial" w:eastAsia="SimSun" w:hAnsi="Arial" w:cs="Arial"/>
                <w:sz w:val="16"/>
                <w:szCs w:val="16"/>
                <w:lang w:eastAsia="zh-CN"/>
              </w:rPr>
              <w:br/>
              <w:t>The most recent fistula assessment must be no more than 1 month old at the time of application.</w:t>
            </w:r>
            <w:r w:rsidRPr="006D52A9">
              <w:rPr>
                <w:rFonts w:ascii="Arial" w:eastAsia="SimSun" w:hAnsi="Arial" w:cs="Arial"/>
                <w:sz w:val="16"/>
                <w:szCs w:val="16"/>
                <w:lang w:eastAsia="zh-CN"/>
              </w:rPr>
              <w:br/>
              <w:t>The application for first continuing treatment with this drug must include an assessment of the patient’s response to the initial course of treatment. The assessment must be made up to 12 weeks after the first dose so that there is adequate time for a response to be demonstrated. This assessment must be submitted no later than 4 weeks from the cessation of that treatment course.</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 maximum of 24 weeks of treatment with this drug will be authorised under this restriction.</w:t>
            </w:r>
            <w:r w:rsidRPr="006D52A9">
              <w:rPr>
                <w:rFonts w:ascii="Arial" w:eastAsia="SimSun" w:hAnsi="Arial" w:cs="Arial"/>
                <w:sz w:val="16"/>
                <w:szCs w:val="16"/>
                <w:lang w:eastAsia="zh-CN"/>
              </w:rPr>
              <w:br/>
              <w:t>At the time of the authority application, medical practitioners should request the appropriate number of vials, based on the weight of the patient, to provide for infusions at a dose of 5 mg per kg eight weekly.</w:t>
            </w:r>
            <w:r w:rsidRPr="006D52A9">
              <w:rPr>
                <w:rFonts w:ascii="Arial" w:eastAsia="SimSun" w:hAnsi="Arial" w:cs="Arial"/>
                <w:sz w:val="16"/>
                <w:szCs w:val="16"/>
                <w:lang w:eastAsia="zh-CN"/>
              </w:rPr>
              <w:br/>
              <w:t>Up to a maximum of 2 repeats will be authorised.</w:t>
            </w:r>
          </w:p>
        </w:tc>
        <w:tc>
          <w:tcPr>
            <w:tcW w:w="929" w:type="pct"/>
            <w:tcMar>
              <w:top w:w="28" w:type="dxa"/>
              <w:left w:w="28" w:type="dxa"/>
              <w:right w:w="57" w:type="dxa"/>
            </w:tcMar>
          </w:tcPr>
          <w:p w14:paraId="4F09596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18C01E82" w14:textId="77777777" w:rsidTr="00FB6D2D">
        <w:tc>
          <w:tcPr>
            <w:tcW w:w="647" w:type="pct"/>
            <w:tcMar>
              <w:top w:w="28" w:type="dxa"/>
              <w:left w:w="28" w:type="dxa"/>
            </w:tcMar>
          </w:tcPr>
          <w:p w14:paraId="7D8ADD58"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35A683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C9785</w:t>
            </w:r>
          </w:p>
        </w:tc>
        <w:tc>
          <w:tcPr>
            <w:tcW w:w="274" w:type="pct"/>
            <w:tcMar>
              <w:top w:w="28" w:type="dxa"/>
              <w:left w:w="28" w:type="dxa"/>
            </w:tcMar>
          </w:tcPr>
          <w:p w14:paraId="4E5DBBF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D00910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6D52A9">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 xml:space="preserve">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w:t>
            </w:r>
            <w:r w:rsidRPr="006D52A9">
              <w:rPr>
                <w:rFonts w:ascii="Arial" w:eastAsia="SimSun" w:hAnsi="Arial" w:cs="Arial"/>
                <w:sz w:val="16"/>
                <w:szCs w:val="16"/>
                <w:lang w:eastAsia="zh-CN"/>
              </w:rPr>
              <w:lastRenderedPageBreak/>
              <w:t>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w:t>
            </w:r>
            <w:r w:rsidRPr="006D52A9">
              <w:rPr>
                <w:rFonts w:ascii="Arial" w:eastAsia="SimSun" w:hAnsi="Arial" w:cs="Arial"/>
                <w:sz w:val="16"/>
                <w:szCs w:val="16"/>
                <w:lang w:eastAsia="zh-CN"/>
              </w:rPr>
              <w:br/>
              <w:t>Patients are only eligible to receive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courses of up to 24 weeks at a dose of 5 mg per kg per dose providing they continue to sustain the response.</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If patients aged 6 to 17 years fail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3 times (twice with one agent)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in this treatment cycle.</w:t>
            </w:r>
          </w:p>
        </w:tc>
        <w:tc>
          <w:tcPr>
            <w:tcW w:w="929" w:type="pct"/>
            <w:tcMar>
              <w:top w:w="28" w:type="dxa"/>
              <w:left w:w="28" w:type="dxa"/>
              <w:right w:w="57" w:type="dxa"/>
            </w:tcMar>
          </w:tcPr>
          <w:p w14:paraId="19C79587"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9785</w:t>
            </w:r>
          </w:p>
        </w:tc>
      </w:tr>
      <w:tr w:rsidR="008F47B8" w:rsidRPr="006D52A9" w:rsidDel="0052299A" w14:paraId="57829B12" w14:textId="77777777" w:rsidTr="00FB6D2D">
        <w:tc>
          <w:tcPr>
            <w:tcW w:w="647" w:type="pct"/>
            <w:tcMar>
              <w:top w:w="28" w:type="dxa"/>
              <w:left w:w="28" w:type="dxa"/>
            </w:tcMar>
          </w:tcPr>
          <w:p w14:paraId="1D5F192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453A76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C9787</w:t>
            </w:r>
          </w:p>
        </w:tc>
        <w:tc>
          <w:tcPr>
            <w:tcW w:w="274" w:type="pct"/>
            <w:tcMar>
              <w:top w:w="28" w:type="dxa"/>
              <w:left w:w="28" w:type="dxa"/>
            </w:tcMar>
          </w:tcPr>
          <w:p w14:paraId="784B19BF"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427BF1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this drug as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agent treatment for this condition in this treatment cycle; AND</w:t>
            </w:r>
            <w:r w:rsidRPr="006D52A9">
              <w:rPr>
                <w:rFonts w:ascii="Arial" w:eastAsia="SimSun" w:hAnsi="Arial" w:cs="Arial"/>
                <w:sz w:val="16"/>
                <w:szCs w:val="16"/>
                <w:lang w:eastAsia="zh-CN"/>
              </w:rPr>
              <w:br/>
              <w:t>Patient must have demonstrated an adequate response to treatment with this drug.</w:t>
            </w:r>
            <w:r w:rsidRPr="006D52A9">
              <w:rPr>
                <w:rFonts w:ascii="Arial" w:eastAsia="SimSun" w:hAnsi="Arial" w:cs="Arial"/>
                <w:sz w:val="16"/>
                <w:szCs w:val="16"/>
                <w:lang w:eastAsia="zh-CN"/>
              </w:rPr>
              <w:br/>
              <w:t>An adequate response is defined as:</w:t>
            </w:r>
            <w:r w:rsidRPr="006D52A9">
              <w:rPr>
                <w:rFonts w:ascii="Arial" w:eastAsia="SimSun" w:hAnsi="Arial" w:cs="Arial"/>
                <w:sz w:val="16"/>
                <w:szCs w:val="16"/>
                <w:lang w:eastAsia="zh-CN"/>
              </w:rPr>
              <w:br/>
              <w:t>(a) a decrease from baseline in the number of open draining fistulae of greater than or equal to 50%; and/or</w:t>
            </w:r>
            <w:r w:rsidRPr="006D52A9">
              <w:rPr>
                <w:rFonts w:ascii="Arial" w:eastAsia="SimSun" w:hAnsi="Arial" w:cs="Arial"/>
                <w:sz w:val="16"/>
                <w:szCs w:val="16"/>
                <w:lang w:eastAsia="zh-CN"/>
              </w:rPr>
              <w:br/>
              <w:t>(b) a marked reduction in drainage of all fistula(e) from baseline, together with less pain and induration as reported by the patient.</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Patients are eligible to receive subsequent continuing treatment with this drug in courses of up to 24 weeks at a dose of 5 mg per kg per dose providing they continue to sustain the response.</w:t>
            </w:r>
          </w:p>
        </w:tc>
        <w:tc>
          <w:tcPr>
            <w:tcW w:w="929" w:type="pct"/>
            <w:tcMar>
              <w:top w:w="28" w:type="dxa"/>
              <w:left w:w="28" w:type="dxa"/>
              <w:right w:w="57" w:type="dxa"/>
            </w:tcMar>
          </w:tcPr>
          <w:p w14:paraId="33DA447F"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9787</w:t>
            </w:r>
          </w:p>
        </w:tc>
      </w:tr>
      <w:tr w:rsidR="008F47B8" w:rsidRPr="006D52A9" w:rsidDel="0052299A" w14:paraId="25D3D82A" w14:textId="77777777" w:rsidTr="00FB6D2D">
        <w:tc>
          <w:tcPr>
            <w:tcW w:w="647" w:type="pct"/>
            <w:tcMar>
              <w:top w:w="28" w:type="dxa"/>
              <w:left w:w="28" w:type="dxa"/>
            </w:tcMar>
          </w:tcPr>
          <w:p w14:paraId="4883E0B3"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65000B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C9788</w:t>
            </w:r>
          </w:p>
        </w:tc>
        <w:tc>
          <w:tcPr>
            <w:tcW w:w="274" w:type="pct"/>
            <w:tcMar>
              <w:top w:w="28" w:type="dxa"/>
              <w:left w:w="28" w:type="dxa"/>
            </w:tcMar>
          </w:tcPr>
          <w:p w14:paraId="4638C74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B418AE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6D52A9">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w:t>
            </w:r>
            <w:r w:rsidRPr="006D52A9">
              <w:rPr>
                <w:rFonts w:ascii="Arial" w:eastAsia="SimSun" w:hAnsi="Arial" w:cs="Arial"/>
                <w:sz w:val="16"/>
                <w:szCs w:val="16"/>
                <w:lang w:eastAsia="zh-CN"/>
              </w:rPr>
              <w:br/>
              <w:t>Patients are only eligible to receive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in courses of up to 24 weeks at a dose of 5 mg per kg per dose providing they continue to sustain the response.</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eight weekly. Up to a maximum of 2 repeats will be authorised.</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If patients aged 6 to 17 years fail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3 times (twice with one agent)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in this treatment cycle.</w:t>
            </w:r>
          </w:p>
        </w:tc>
        <w:tc>
          <w:tcPr>
            <w:tcW w:w="929" w:type="pct"/>
            <w:tcMar>
              <w:top w:w="28" w:type="dxa"/>
              <w:left w:w="28" w:type="dxa"/>
              <w:right w:w="57" w:type="dxa"/>
            </w:tcMar>
          </w:tcPr>
          <w:p w14:paraId="6C7A2B1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3F6CFB8B" w14:textId="77777777" w:rsidTr="00FB6D2D">
        <w:tc>
          <w:tcPr>
            <w:tcW w:w="647" w:type="pct"/>
            <w:tcMar>
              <w:top w:w="28" w:type="dxa"/>
              <w:left w:w="28" w:type="dxa"/>
            </w:tcMar>
          </w:tcPr>
          <w:p w14:paraId="4B188FC2"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84FF0C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C9799</w:t>
            </w:r>
          </w:p>
        </w:tc>
        <w:tc>
          <w:tcPr>
            <w:tcW w:w="274" w:type="pct"/>
            <w:tcMar>
              <w:top w:w="28" w:type="dxa"/>
              <w:left w:w="28" w:type="dxa"/>
            </w:tcMar>
          </w:tcPr>
          <w:p w14:paraId="7DD4B9F6"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4EF10F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Crohn disease</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(recommencement of treatment after a break in biological medicine of more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specialist paediatric gastroenterologist.</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Patient must have confirmed diagnosis of Crohn disease, defined by standard clinical, endoscopic and/or imaging features including histological evidence; AND</w:t>
            </w:r>
            <w:r w:rsidRPr="006D52A9">
              <w:rPr>
                <w:rFonts w:ascii="Arial" w:eastAsia="SimSun" w:hAnsi="Arial" w:cs="Arial"/>
                <w:sz w:val="16"/>
                <w:szCs w:val="16"/>
                <w:lang w:eastAsia="zh-CN"/>
              </w:rPr>
              <w:br/>
              <w:t>Patient must have a Paediatric Crohn Disease Activity Index (PCDAI) Score greater than or equal to 30; AND</w:t>
            </w:r>
            <w:r w:rsidRPr="006D52A9">
              <w:rPr>
                <w:rFonts w:ascii="Arial" w:eastAsia="SimSun" w:hAnsi="Arial" w:cs="Arial"/>
                <w:sz w:val="16"/>
                <w:szCs w:val="16"/>
                <w:lang w:eastAsia="zh-CN"/>
              </w:rPr>
              <w:br/>
              <w:t>The treatment must not exceed a total of 3 doses to be administered at weeks 0, 2 and 6 under this restriction.</w:t>
            </w:r>
            <w:r w:rsidRPr="006D52A9">
              <w:rPr>
                <w:rFonts w:ascii="Arial" w:eastAsia="SimSun" w:hAnsi="Arial" w:cs="Arial"/>
                <w:sz w:val="16"/>
                <w:szCs w:val="16"/>
                <w:lang w:eastAsia="zh-CN"/>
              </w:rPr>
              <w:br/>
              <w:t>Patient must be aged 6 to 17 years inclusive.</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Paediatric Crohn Disease Activity Index (PCDAI) calculation sheet including the date of assessment of the patient’s condition which must be no more than one month old at the time of application.</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eastAsia="SimSun" w:hAnsi="Arial" w:cs="Arial"/>
                <w:sz w:val="16"/>
                <w:szCs w:val="16"/>
                <w:lang w:eastAsia="zh-CN"/>
              </w:rPr>
              <w:br/>
              <w:t>A PCDAI assessment of the patient’s response to this initial course of treatment must be made up to 12 weeks after the first dose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29" w:type="pct"/>
            <w:tcMar>
              <w:top w:w="28" w:type="dxa"/>
              <w:left w:w="28" w:type="dxa"/>
              <w:right w:w="57" w:type="dxa"/>
            </w:tcMar>
          </w:tcPr>
          <w:p w14:paraId="426BDF94"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47998C3A" w14:textId="77777777" w:rsidTr="00FB6D2D">
        <w:tc>
          <w:tcPr>
            <w:tcW w:w="647" w:type="pct"/>
            <w:tcMar>
              <w:top w:w="28" w:type="dxa"/>
              <w:left w:w="28" w:type="dxa"/>
            </w:tcMar>
          </w:tcPr>
          <w:p w14:paraId="52FAE7F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EA22B8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C9800</w:t>
            </w:r>
          </w:p>
        </w:tc>
        <w:tc>
          <w:tcPr>
            <w:tcW w:w="274" w:type="pct"/>
            <w:tcMar>
              <w:top w:w="28" w:type="dxa"/>
              <w:left w:w="28" w:type="dxa"/>
            </w:tcMar>
          </w:tcPr>
          <w:p w14:paraId="2E6D8FDF"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C353B2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(recommencement of treatment after a break in biological medicine of more than 5 years)</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had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Patient must have a Mayo clinic score greater than or equal to 6 if an adult patient; OR</w:t>
            </w:r>
            <w:r w:rsidRPr="006D52A9">
              <w:rPr>
                <w:rFonts w:ascii="Arial" w:eastAsia="SimSun" w:hAnsi="Arial" w:cs="Arial"/>
                <w:sz w:val="16"/>
                <w:szCs w:val="16"/>
                <w:lang w:eastAsia="zh-CN"/>
              </w:rPr>
              <w:br/>
              <w:t>Patient must have a partial Mayo clinic score greater than or equal to 6, provided the rectal bleeding and stool frequency subscores are both greater than or equal to 2 (endoscopy subscore is not required for a partial Mayo clinic score); OR</w:t>
            </w:r>
            <w:r w:rsidRPr="006D52A9">
              <w:rPr>
                <w:rFonts w:ascii="Arial" w:eastAsia="SimSun" w:hAnsi="Arial" w:cs="Arial"/>
                <w:sz w:val="16"/>
                <w:szCs w:val="16"/>
                <w:lang w:eastAsia="zh-CN"/>
              </w:rPr>
              <w:br/>
              <w:t>Patient must have a Paediatric Ulcerative Colitis Activity Index (PUCAI) Score greater than or equal to 30 if aged 6 to 17 years; OR</w:t>
            </w:r>
            <w:r w:rsidRPr="006D52A9">
              <w:rPr>
                <w:rFonts w:ascii="Arial" w:eastAsia="SimSun" w:hAnsi="Arial" w:cs="Arial"/>
                <w:sz w:val="16"/>
                <w:szCs w:val="16"/>
                <w:lang w:eastAsia="zh-CN"/>
              </w:rPr>
              <w:br/>
              <w:t>Patient must have previously received induction therapy with this drug for an acute severe episode of ulcerative colitis in the last 4 months and demonstrated an adequate response to induction therapy by achieving and maintaining a partial Mayo clinic score less than or equal to 2, with no subscore greater than 1, or a PUCAI score less than 10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Application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Ulcerative Colitis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Mayo clinic or partial Mayo clinic or Paediatric Ulcerative Colitis Activity Index (PUCAI) calculation sheet including the date of assessment of the patient’s condition; and</w:t>
            </w:r>
            <w:r w:rsidRPr="006D52A9">
              <w:rPr>
                <w:rFonts w:ascii="Arial" w:eastAsia="SimSun" w:hAnsi="Arial" w:cs="Arial"/>
                <w:sz w:val="16"/>
                <w:szCs w:val="16"/>
                <w:lang w:eastAsia="zh-CN"/>
              </w:rPr>
              <w:br/>
              <w:t>(ii) the details of prior biological medicine treatment including the details of date and duration of treatment.</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or to be administered at 8</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weekly intervals for patients who have received prior treatment for an acute severe episode, will be authorised.</w:t>
            </w:r>
            <w:r w:rsidRPr="006D52A9">
              <w:rPr>
                <w:rFonts w:ascii="Arial" w:eastAsia="SimSun" w:hAnsi="Arial" w:cs="Arial"/>
                <w:sz w:val="16"/>
                <w:szCs w:val="16"/>
                <w:lang w:eastAsia="zh-CN"/>
              </w:rPr>
              <w:br/>
              <w:t>All tests and assessments should be performed preferably whilst still on treatment, but no longer than 4 weeks following cessation of the most recent prior conventional treatment.</w:t>
            </w:r>
            <w:r w:rsidRPr="006D52A9">
              <w:rPr>
                <w:rFonts w:ascii="Arial" w:eastAsia="SimSun" w:hAnsi="Arial" w:cs="Arial"/>
                <w:sz w:val="16"/>
                <w:szCs w:val="16"/>
                <w:lang w:eastAsia="zh-CN"/>
              </w:rPr>
              <w:br/>
              <w:t>The most recent Mayo clinic, partial Mayo clinic or Paediatric Ulcerative Colitis Activity Index (PUCAI) score must be no more than 4 weeks old at the time of application.</w:t>
            </w:r>
            <w:r w:rsidRPr="006D52A9">
              <w:rPr>
                <w:rFonts w:ascii="Arial" w:eastAsia="SimSun" w:hAnsi="Arial" w:cs="Arial"/>
                <w:sz w:val="16"/>
                <w:szCs w:val="16"/>
                <w:lang w:eastAsia="zh-CN"/>
              </w:rPr>
              <w:br/>
              <w:t>Where treatment for an acute severe episode has occurred, an adequate response to induction therapy needs to be demonstrated by achieving and maintaining a partial Mayo clinic score less than or equal to 2, with no subscore greater than 1, or a Paediatric Ulcerative Colitis Activity Index (PUCAI) score less than 10 (if aged 6 to 17 years), within the first 12 weeks of receiving this drug for acute severe ulcerative colitis.</w:t>
            </w:r>
            <w:r w:rsidRPr="006D52A9">
              <w:rPr>
                <w:rFonts w:ascii="Arial" w:eastAsia="SimSun" w:hAnsi="Arial" w:cs="Arial"/>
                <w:sz w:val="16"/>
                <w:szCs w:val="16"/>
                <w:lang w:eastAsia="zh-CN"/>
              </w:rPr>
              <w:br/>
              <w:t xml:space="preserve">A partial Mayo clinic or Paediatric Ulcerative Colitis Activity Index (PUCAI) assessment of the patient’s response to this initial course of treatment must be made following a minimum of 12 weeks of treatment </w:t>
            </w:r>
            <w:r w:rsidRPr="006D52A9">
              <w:rPr>
                <w:rFonts w:ascii="Arial" w:eastAsia="SimSun" w:hAnsi="Arial" w:cs="Arial"/>
                <w:sz w:val="16"/>
                <w:szCs w:val="16"/>
                <w:lang w:eastAsia="zh-CN"/>
              </w:rPr>
              <w:lastRenderedPageBreak/>
              <w:t>for adalimumab and up to 12 weeks after the first dose (6 weeks following the third dose) for golimumab, infliximab and vedolizumab so that there is adequate time for a response to be demonstrated.</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recommence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eastAsia="SimSun" w:hAnsi="Arial" w:cs="Arial"/>
                <w:sz w:val="16"/>
                <w:szCs w:val="16"/>
                <w:lang w:eastAsia="zh-CN"/>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Where the response assessment is not submitted within this timeframe,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Serious adverse reaction of a severity resulting in the necessity for permanent withdrawal of treatment is not considered as a treatment failure.</w:t>
            </w:r>
            <w:r w:rsidRPr="006D52A9">
              <w:rPr>
                <w:rFonts w:ascii="Arial" w:eastAsia="SimSun" w:hAnsi="Arial" w:cs="Arial"/>
                <w:sz w:val="16"/>
                <w:szCs w:val="16"/>
                <w:lang w:eastAsia="zh-CN"/>
              </w:rPr>
              <w:br/>
              <w:t>Details of the accepted toxicities including severity can be found on the Department of Human Services website.</w:t>
            </w:r>
          </w:p>
        </w:tc>
        <w:tc>
          <w:tcPr>
            <w:tcW w:w="929" w:type="pct"/>
            <w:tcMar>
              <w:top w:w="28" w:type="dxa"/>
              <w:left w:w="28" w:type="dxa"/>
              <w:right w:w="57" w:type="dxa"/>
            </w:tcMar>
          </w:tcPr>
          <w:p w14:paraId="612AF22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3673381" w14:textId="77777777" w:rsidTr="00FB6D2D">
        <w:tc>
          <w:tcPr>
            <w:tcW w:w="647" w:type="pct"/>
            <w:tcMar>
              <w:top w:w="28" w:type="dxa"/>
              <w:left w:w="28" w:type="dxa"/>
            </w:tcMar>
          </w:tcPr>
          <w:p w14:paraId="68A56BC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D24A1E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C9803</w:t>
            </w:r>
          </w:p>
        </w:tc>
        <w:tc>
          <w:tcPr>
            <w:tcW w:w="274" w:type="pct"/>
            <w:tcMar>
              <w:top w:w="28" w:type="dxa"/>
              <w:left w:w="28" w:type="dxa"/>
            </w:tcMar>
          </w:tcPr>
          <w:p w14:paraId="716441B5"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E39A35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Change or Recommencement of treatment after a break in therapy of less than 5 years (Initial 2)</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failed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with this drug for this condition more than once in the current treatment cycle.</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Fistulising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a completed current Fistula Assessment Form including the date of assessment of the patient’s condition; and</w:t>
            </w:r>
            <w:r w:rsidRPr="006D52A9">
              <w:rPr>
                <w:rFonts w:ascii="Arial" w:eastAsia="SimSun" w:hAnsi="Arial" w:cs="Arial"/>
                <w:sz w:val="16"/>
                <w:szCs w:val="16"/>
                <w:lang w:eastAsia="zh-CN"/>
              </w:rPr>
              <w:br/>
              <w:t>(ii) details of prior biological medicine treatment including details of date and duration of treatment.</w:t>
            </w:r>
            <w:r w:rsidRPr="006D52A9">
              <w:rPr>
                <w:rFonts w:ascii="Arial" w:eastAsia="SimSun" w:hAnsi="Arial" w:cs="Arial"/>
                <w:sz w:val="16"/>
                <w:szCs w:val="16"/>
                <w:lang w:eastAsia="zh-CN"/>
              </w:rPr>
              <w:br/>
              <w:t>The most recent fistula assessment must be no more than 1 month old at the time of application.</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biological medicine treatment was approved under an initial treatment restriction, the patient must have been assessed for response to that course following a </w:t>
            </w:r>
            <w:r w:rsidRPr="006D52A9">
              <w:rPr>
                <w:rFonts w:ascii="Arial" w:eastAsia="SimSun" w:hAnsi="Arial" w:cs="Arial"/>
                <w:sz w:val="16"/>
                <w:szCs w:val="16"/>
                <w:lang w:eastAsia="zh-CN"/>
              </w:rPr>
              <w:lastRenderedPageBreak/>
              <w:t>minimum of 12 weeks therapy for adalimumab and up to 12 weeks after the first dose (6 weeks following the third dose) for infliximab and this assessment must be submitted to the Department of Human Services no later than 4 weeks from the date that course was ceased.</w:t>
            </w:r>
            <w:r w:rsidRPr="006D52A9">
              <w:rPr>
                <w:rFonts w:ascii="Arial" w:eastAsia="SimSun" w:hAnsi="Arial" w:cs="Arial"/>
                <w:sz w:val="16"/>
                <w:szCs w:val="16"/>
                <w:lang w:eastAsia="zh-CN"/>
              </w:rPr>
              <w:br/>
              <w:t>To demonstrate a response to treatment the application must be accompanied by the results of the most recent course of biological medicine therapy within the timeframes specified in the relevant restriction.</w:t>
            </w:r>
            <w:r w:rsidRPr="006D52A9">
              <w:rPr>
                <w:rFonts w:ascii="Arial" w:eastAsia="SimSun" w:hAnsi="Arial" w:cs="Arial"/>
                <w:sz w:val="16"/>
                <w:szCs w:val="16"/>
                <w:lang w:eastAsia="zh-CN"/>
              </w:rPr>
              <w:br/>
              <w:t>If the response assessment to the previous course of biological medicine treatment is not submitted as detailed above, the patient will be deemed to have failed therapy with that particular course of biological medicine.</w:t>
            </w:r>
            <w:r w:rsidRPr="006D52A9">
              <w:rPr>
                <w:rFonts w:ascii="Arial" w:eastAsia="SimSun" w:hAnsi="Arial" w:cs="Arial"/>
                <w:sz w:val="16"/>
                <w:szCs w:val="16"/>
                <w:lang w:eastAsia="zh-CN"/>
              </w:rPr>
              <w:br/>
              <w:t>A maximum quantity and number of repeats to provide for an initial course of this drug consisting of 3 doses at 5 mg per kg body weight per dose to be administered at weeks 0, 2 and 6, will be authorised.</w:t>
            </w:r>
            <w:r w:rsidRPr="006D52A9">
              <w:rPr>
                <w:rFonts w:ascii="Arial" w:eastAsia="SimSun" w:hAnsi="Arial" w:cs="Arial"/>
                <w:sz w:val="16"/>
                <w:szCs w:val="16"/>
                <w:lang w:eastAsia="zh-CN"/>
              </w:rPr>
              <w:br/>
              <w:t>An assessment of the patient’s response to this initial course of treatment must be made up to 12 weeks after the first dose (up to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29" w:type="pct"/>
            <w:tcMar>
              <w:top w:w="28" w:type="dxa"/>
              <w:left w:w="28" w:type="dxa"/>
              <w:right w:w="57" w:type="dxa"/>
            </w:tcMar>
          </w:tcPr>
          <w:p w14:paraId="743BC0FA"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52EB0C09" w14:textId="77777777" w:rsidTr="00FB6D2D">
        <w:tc>
          <w:tcPr>
            <w:tcW w:w="647" w:type="pct"/>
            <w:tcMar>
              <w:top w:w="28" w:type="dxa"/>
              <w:left w:w="28" w:type="dxa"/>
            </w:tcMar>
          </w:tcPr>
          <w:p w14:paraId="192F98EF"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20ABDB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C9806</w:t>
            </w:r>
          </w:p>
        </w:tc>
        <w:tc>
          <w:tcPr>
            <w:tcW w:w="274" w:type="pct"/>
            <w:tcMar>
              <w:top w:w="28" w:type="dxa"/>
              <w:left w:w="28" w:type="dxa"/>
            </w:tcMar>
          </w:tcPr>
          <w:p w14:paraId="011D453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AF41A4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Moderate to severe ulcerative colitis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 OR</w:t>
            </w:r>
            <w:r w:rsidRPr="006D52A9">
              <w:rPr>
                <w:rFonts w:ascii="Arial" w:eastAsia="SimSun" w:hAnsi="Arial" w:cs="Arial"/>
                <w:sz w:val="16"/>
                <w:szCs w:val="16"/>
                <w:lang w:eastAsia="zh-CN"/>
              </w:rPr>
              <w:br/>
              <w:t>Must be treated by a paediatrician; OR</w:t>
            </w:r>
            <w:r w:rsidRPr="006D52A9">
              <w:rPr>
                <w:rFonts w:ascii="Arial" w:eastAsia="SimSun" w:hAnsi="Arial" w:cs="Arial"/>
                <w:sz w:val="16"/>
                <w:szCs w:val="16"/>
                <w:lang w:eastAsia="zh-CN"/>
              </w:rPr>
              <w:br/>
              <w:t>Must be treated by a specialist paediatric gastroenterologist.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demonstrated or sustained an adequate response to treatment by having a partial Mayo clinic score less than or equal to 2, with no subscore greater than 1 while receiving treatment with this drug; OR</w:t>
            </w:r>
            <w:r w:rsidRPr="006D52A9">
              <w:rPr>
                <w:rFonts w:ascii="Arial" w:eastAsia="SimSun" w:hAnsi="Arial" w:cs="Arial"/>
                <w:sz w:val="16"/>
                <w:szCs w:val="16"/>
                <w:lang w:eastAsia="zh-CN"/>
              </w:rPr>
              <w:br/>
              <w:t>Patient must have demonstrated or sustained an adequate response to treatment by having a Paediatric Ulcerative Colitis Activity Index (PUCAI) score of less than 10 while receiving treatment with this drug, if aged 6 to 17 years.</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Patients who have failed to maintain a partial Mayo clinic score of less than or equal to 2, with no subscore greater than 1, or, patients who have failed to maintain a Paediatric Ulcerative Colitis Activity Index (PUCAI) score of less than 10 (if aged 6 to 17 years) with continuing treatment with this drug,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w:t>
            </w:r>
            <w:r w:rsidRPr="006D52A9">
              <w:rPr>
                <w:rFonts w:ascii="Arial" w:eastAsia="SimSun" w:hAnsi="Arial" w:cs="Arial"/>
                <w:sz w:val="16"/>
                <w:szCs w:val="16"/>
                <w:lang w:eastAsia="zh-CN"/>
              </w:rPr>
              <w:br/>
              <w:t>Patients are only eligible to receive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treatment with this drug in courses of up </w:t>
            </w:r>
            <w:r w:rsidRPr="006D52A9">
              <w:rPr>
                <w:rFonts w:ascii="Arial" w:eastAsia="SimSun" w:hAnsi="Arial" w:cs="Arial"/>
                <w:sz w:val="16"/>
                <w:szCs w:val="16"/>
                <w:lang w:eastAsia="zh-CN"/>
              </w:rPr>
              <w:lastRenderedPageBreak/>
              <w:t>to 24 weeks at a dose of 5 mg per kg per dose providing they continue to sustain the response.</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r w:rsidRPr="006D52A9">
              <w:rPr>
                <w:rFonts w:ascii="Arial" w:eastAsia="SimSun" w:hAnsi="Arial" w:cs="Arial"/>
                <w:sz w:val="16"/>
                <w:szCs w:val="16"/>
                <w:lang w:eastAsia="zh-CN"/>
              </w:rPr>
              <w:br/>
              <w:t>If patients aged 6 to 17 years fail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3 times (twice with one agent)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in this treatment cycle.</w:t>
            </w:r>
          </w:p>
        </w:tc>
        <w:tc>
          <w:tcPr>
            <w:tcW w:w="929" w:type="pct"/>
            <w:tcMar>
              <w:top w:w="28" w:type="dxa"/>
              <w:left w:w="28" w:type="dxa"/>
              <w:right w:w="57" w:type="dxa"/>
            </w:tcMar>
          </w:tcPr>
          <w:p w14:paraId="61A004F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9806</w:t>
            </w:r>
          </w:p>
        </w:tc>
      </w:tr>
      <w:tr w:rsidR="008F47B8" w:rsidRPr="006D52A9" w:rsidDel="0052299A" w14:paraId="04B8F00B" w14:textId="77777777" w:rsidTr="00FB6D2D">
        <w:tc>
          <w:tcPr>
            <w:tcW w:w="647" w:type="pct"/>
            <w:tcMar>
              <w:top w:w="28" w:type="dxa"/>
              <w:left w:w="28" w:type="dxa"/>
            </w:tcMar>
          </w:tcPr>
          <w:p w14:paraId="1E3997BA"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27E87F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C9877</w:t>
            </w:r>
          </w:p>
        </w:tc>
        <w:tc>
          <w:tcPr>
            <w:tcW w:w="274" w:type="pct"/>
            <w:tcMar>
              <w:top w:w="28" w:type="dxa"/>
              <w:left w:w="28" w:type="dxa"/>
            </w:tcMar>
          </w:tcPr>
          <w:p w14:paraId="6B332748"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476EE7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Face, hand, foot (change or recommencement of treatment after a break in biological medicine of less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3 biological medicines for this condition within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An adequate response to treatment is defined as the plaque or plaques assessed prior to biological treatment showing:</w:t>
            </w:r>
            <w:r w:rsidRPr="006D52A9">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6D52A9">
              <w:rPr>
                <w:rFonts w:ascii="Arial" w:eastAsia="SimSun" w:hAnsi="Arial" w:cs="Arial"/>
                <w:sz w:val="16"/>
                <w:szCs w:val="16"/>
                <w:lang w:eastAsia="zh-CN"/>
              </w:rPr>
              <w:br/>
              <w:t>(ii) a reduction by 75% or more in the skin area affected, or sustained at this level, as compared to the baseline value for this treatment cycle.</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and who wishes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6D52A9">
              <w:rPr>
                <w:rFonts w:ascii="Arial" w:eastAsia="SimSun" w:hAnsi="Arial" w:cs="Arial"/>
                <w:sz w:val="16"/>
                <w:szCs w:val="16"/>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treatment with this drug for </w:t>
            </w:r>
            <w:r w:rsidRPr="006D52A9">
              <w:rPr>
                <w:rFonts w:ascii="Arial" w:eastAsia="SimSun" w:hAnsi="Arial" w:cs="Arial"/>
                <w:sz w:val="16"/>
                <w:szCs w:val="16"/>
                <w:lang w:eastAsia="zh-CN"/>
              </w:rPr>
              <w:lastRenderedPageBreak/>
              <w:t>this condition. Demonstration of response should be provided within this timeframe.</w:t>
            </w:r>
            <w:r w:rsidRPr="006D52A9">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Psoriasis Area and Severity Index (PASI) calculation sheets and face, hand, foot area diagrams including the dates of assessment of the patient’s condition; and</w:t>
            </w:r>
            <w:r w:rsidRPr="006D52A9">
              <w:rPr>
                <w:rFonts w:ascii="Arial" w:eastAsia="SimSun" w:hAnsi="Arial" w:cs="Arial"/>
                <w:sz w:val="16"/>
                <w:szCs w:val="16"/>
                <w:lang w:eastAsia="zh-CN"/>
              </w:rPr>
              <w:br/>
              <w:t>(ii) details of prior biological treatment, including dosage, date and duration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01A72812"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898B98E" w14:textId="77777777" w:rsidTr="00FB6D2D">
        <w:tc>
          <w:tcPr>
            <w:tcW w:w="647" w:type="pct"/>
            <w:tcMar>
              <w:top w:w="28" w:type="dxa"/>
              <w:left w:w="28" w:type="dxa"/>
            </w:tcMar>
          </w:tcPr>
          <w:p w14:paraId="45DD7DA2"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D29988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C9900</w:t>
            </w:r>
          </w:p>
        </w:tc>
        <w:tc>
          <w:tcPr>
            <w:tcW w:w="274" w:type="pct"/>
            <w:tcMar>
              <w:top w:w="28" w:type="dxa"/>
              <w:left w:w="28" w:type="dxa"/>
            </w:tcMar>
          </w:tcPr>
          <w:p w14:paraId="1FCE8556"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0DDF07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Complex refractory Fistulising Crohn disease</w:t>
            </w:r>
            <w:r w:rsidRPr="006D52A9">
              <w:rPr>
                <w:rFonts w:ascii="Arial" w:eastAsia="SimSun" w:hAnsi="Arial" w:cs="Arial"/>
                <w:sz w:val="16"/>
                <w:szCs w:val="16"/>
                <w:lang w:eastAsia="zh-CN"/>
              </w:rPr>
              <w:br/>
              <w:t xml:space="preserve">Initial treatment (new patient or Recommencement of treatment after more than 5 years break in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w:t>
            </w:r>
            <w:r w:rsidRPr="006D52A9">
              <w:rPr>
                <w:rFonts w:ascii="Arial" w:eastAsia="SimSun" w:hAnsi="Arial" w:cs="Arial"/>
                <w:sz w:val="16"/>
                <w:szCs w:val="16"/>
                <w:lang w:eastAsia="zh-CN"/>
              </w:rPr>
              <w:br/>
              <w:t>Must be treated by a gastroenterologist (code 87); OR</w:t>
            </w:r>
            <w:r w:rsidRPr="006D52A9">
              <w:rPr>
                <w:rFonts w:ascii="Arial" w:eastAsia="SimSun" w:hAnsi="Arial" w:cs="Arial"/>
                <w:sz w:val="16"/>
                <w:szCs w:val="16"/>
                <w:lang w:eastAsia="zh-CN"/>
              </w:rPr>
              <w:br/>
              <w:t>Must be treated by a consultant physician [internal medicine specialising in gastroenterology (code 81)]; OR</w:t>
            </w:r>
            <w:r w:rsidRPr="006D52A9">
              <w:rPr>
                <w:rFonts w:ascii="Arial" w:eastAsia="SimSun" w:hAnsi="Arial" w:cs="Arial"/>
                <w:sz w:val="16"/>
                <w:szCs w:val="16"/>
                <w:lang w:eastAsia="zh-CN"/>
              </w:rPr>
              <w:br/>
              <w:t>Must be treated by a consultant physician [general medicine specialising in gastroenterology (code 82)].</w:t>
            </w:r>
            <w:r w:rsidRPr="006D52A9">
              <w:rPr>
                <w:rFonts w:ascii="Arial" w:eastAsia="SimSun" w:hAnsi="Arial" w:cs="Arial"/>
                <w:sz w:val="16"/>
                <w:szCs w:val="16"/>
                <w:lang w:eastAsia="zh-CN"/>
              </w:rPr>
              <w:br/>
              <w:t>Patient must have confirmed Crohn disease, defined by standard clinical, endoscopic and/or imaging features, including histological evidence, with the diagnosis confirmed by a gastroenterologist or a consultant physician; AND</w:t>
            </w:r>
            <w:r w:rsidRPr="006D52A9">
              <w:rPr>
                <w:rFonts w:ascii="Arial" w:eastAsia="SimSun" w:hAnsi="Arial" w:cs="Arial"/>
                <w:sz w:val="16"/>
                <w:szCs w:val="16"/>
                <w:lang w:eastAsia="zh-CN"/>
              </w:rPr>
              <w:br/>
              <w:t>Patient must have an externally draining enterocutaneous or rectovaginal fistula.</w:t>
            </w:r>
            <w:r w:rsidRPr="006D52A9">
              <w:rPr>
                <w:rFonts w:ascii="Arial" w:eastAsia="SimSun" w:hAnsi="Arial" w:cs="Arial"/>
                <w:sz w:val="16"/>
                <w:szCs w:val="16"/>
                <w:lang w:eastAsia="zh-CN"/>
              </w:rPr>
              <w:br/>
              <w:t>Applications for authorisation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Fistulising Crohn Disease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a completed current Fistula Assessment Form including the date of assessment of the patient’s condition.</w:t>
            </w:r>
            <w:r w:rsidRPr="006D52A9">
              <w:rPr>
                <w:rFonts w:ascii="Arial" w:eastAsia="SimSun" w:hAnsi="Arial" w:cs="Arial"/>
                <w:sz w:val="16"/>
                <w:szCs w:val="16"/>
                <w:lang w:eastAsia="zh-CN"/>
              </w:rPr>
              <w:br/>
              <w:t>The most recent fistula assessment must be no more than 1 month old at the time of application.</w:t>
            </w:r>
            <w:r w:rsidRPr="006D52A9">
              <w:rPr>
                <w:rFonts w:ascii="Arial" w:eastAsia="SimSun" w:hAnsi="Arial" w:cs="Arial"/>
                <w:sz w:val="16"/>
                <w:szCs w:val="16"/>
                <w:lang w:eastAsia="zh-CN"/>
              </w:rPr>
              <w:br/>
              <w:t xml:space="preserve">A maximum quantity and number of repeats to provide for an initial course of this drug consisting of 3 </w:t>
            </w:r>
            <w:r w:rsidRPr="006D52A9">
              <w:rPr>
                <w:rFonts w:ascii="Arial" w:eastAsia="SimSun" w:hAnsi="Arial" w:cs="Arial"/>
                <w:sz w:val="16"/>
                <w:szCs w:val="16"/>
                <w:lang w:eastAsia="zh-CN"/>
              </w:rPr>
              <w:lastRenderedPageBreak/>
              <w:t>doses at 5 mg per kg body weight per dose to be administered at weeks 0, 2 and 6, will be authorised.</w:t>
            </w:r>
            <w:r w:rsidRPr="006D52A9">
              <w:rPr>
                <w:rFonts w:ascii="Arial" w:eastAsia="SimSun" w:hAnsi="Arial" w:cs="Arial"/>
                <w:sz w:val="16"/>
                <w:szCs w:val="16"/>
                <w:lang w:eastAsia="zh-CN"/>
              </w:rPr>
              <w:br/>
              <w:t>An assessment of the patient’s response to this initial course of treatment must be made up to 12 weeks after the first dose (up to 6 weeks following the third dose) so that there is adequate time for a response to be demonstrated.</w:t>
            </w:r>
            <w:r w:rsidRPr="006D52A9">
              <w:rPr>
                <w:rFonts w:ascii="Arial" w:eastAsia="SimSun" w:hAnsi="Arial" w:cs="Arial"/>
                <w:sz w:val="16"/>
                <w:szCs w:val="16"/>
                <w:lang w:eastAsia="zh-CN"/>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eastAsia="SimSun" w:hAnsi="Arial" w:cs="Arial"/>
                <w:sz w:val="16"/>
                <w:szCs w:val="16"/>
                <w:lang w:eastAsia="zh-CN"/>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p>
        </w:tc>
        <w:tc>
          <w:tcPr>
            <w:tcW w:w="929" w:type="pct"/>
            <w:tcMar>
              <w:top w:w="28" w:type="dxa"/>
              <w:left w:w="28" w:type="dxa"/>
              <w:right w:w="57" w:type="dxa"/>
            </w:tcMar>
          </w:tcPr>
          <w:p w14:paraId="6D5FA062"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F564B4E" w14:textId="77777777" w:rsidTr="00FB6D2D">
        <w:tc>
          <w:tcPr>
            <w:tcW w:w="647" w:type="pct"/>
            <w:tcMar>
              <w:top w:w="28" w:type="dxa"/>
              <w:left w:w="28" w:type="dxa"/>
            </w:tcMar>
          </w:tcPr>
          <w:p w14:paraId="66132A1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841B1D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C9975</w:t>
            </w:r>
          </w:p>
        </w:tc>
        <w:tc>
          <w:tcPr>
            <w:tcW w:w="274" w:type="pct"/>
            <w:tcMar>
              <w:top w:w="28" w:type="dxa"/>
              <w:left w:w="28" w:type="dxa"/>
            </w:tcMar>
          </w:tcPr>
          <w:p w14:paraId="5B50022F"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7709BB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active rheumatoid arthritis</w:t>
            </w:r>
            <w:r w:rsidRPr="006D52A9">
              <w:rPr>
                <w:rFonts w:ascii="Arial" w:eastAsia="SimSun" w:hAnsi="Arial" w:cs="Arial"/>
                <w:sz w:val="16"/>
                <w:szCs w:val="16"/>
                <w:lang w:eastAsia="zh-CN"/>
              </w:rPr>
              <w:br/>
              <w:t>Subsequent continuing treatment</w:t>
            </w:r>
            <w:r w:rsidRPr="006D52A9">
              <w:rPr>
                <w:rFonts w:ascii="Arial" w:eastAsia="SimSun" w:hAnsi="Arial" w:cs="Arial"/>
                <w:sz w:val="16"/>
                <w:szCs w:val="16"/>
                <w:lang w:eastAsia="zh-CN"/>
              </w:rPr>
              <w:br/>
              <w:t>Must be treated by a rheumatologist; OR</w:t>
            </w:r>
            <w:r w:rsidRPr="006D52A9">
              <w:rPr>
                <w:rFonts w:ascii="Arial" w:eastAsia="SimSun" w:hAnsi="Arial" w:cs="Arial"/>
                <w:sz w:val="16"/>
                <w:szCs w:val="16"/>
                <w:lang w:eastAsia="zh-CN"/>
              </w:rPr>
              <w:br/>
              <w:t>Must be treated by a clinical immunologist with expertise in the management of rheumatoid arthritis.</w:t>
            </w:r>
            <w:r w:rsidRPr="006D52A9">
              <w:rPr>
                <w:rFonts w:ascii="Arial" w:eastAsia="SimSun" w:hAnsi="Arial" w:cs="Arial"/>
                <w:sz w:val="16"/>
                <w:szCs w:val="16"/>
                <w:lang w:eastAsia="zh-CN"/>
              </w:rPr>
              <w:br/>
              <w:t>Patient must have demonstrated an adequate response to treatment with this drug; AND</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under the First continuing treatment restriction; AND</w:t>
            </w:r>
            <w:r w:rsidRPr="006D52A9">
              <w:rPr>
                <w:rFonts w:ascii="Arial" w:eastAsia="SimSun" w:hAnsi="Arial" w:cs="Arial"/>
                <w:sz w:val="16"/>
                <w:szCs w:val="16"/>
                <w:lang w:eastAsia="zh-CN"/>
              </w:rPr>
              <w:br/>
              <w:t>Patient must not receive more than 24 weeks of treatment per subsequent continuing treatment course authorised under this restriction; AND</w:t>
            </w:r>
            <w:r w:rsidRPr="006D52A9">
              <w:rPr>
                <w:rFonts w:ascii="Arial" w:eastAsia="SimSun" w:hAnsi="Arial" w:cs="Arial"/>
                <w:sz w:val="16"/>
                <w:szCs w:val="16"/>
                <w:lang w:eastAsia="zh-CN"/>
              </w:rPr>
              <w:br/>
              <w:t>The treatment must be given concomitantly with methotrexate at a dose of at least 7.5 mg weekly.</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an ESR no greater than 25 mm per hour or a CRP level no greater than 15 mg per L or either marker reduced by at least 20% from baseline;</w:t>
            </w:r>
            <w:r w:rsidRPr="006D52A9">
              <w:rPr>
                <w:rFonts w:ascii="Arial" w:eastAsia="SimSun" w:hAnsi="Arial" w:cs="Arial"/>
                <w:sz w:val="16"/>
                <w:szCs w:val="16"/>
                <w:lang w:eastAsia="zh-CN"/>
              </w:rPr>
              <w:br/>
              <w:t>AND either of the following:</w:t>
            </w:r>
            <w:r w:rsidRPr="006D52A9">
              <w:rPr>
                <w:rFonts w:ascii="Arial" w:eastAsia="SimSun" w:hAnsi="Arial" w:cs="Arial"/>
                <w:sz w:val="16"/>
                <w:szCs w:val="16"/>
                <w:lang w:eastAsia="zh-CN"/>
              </w:rPr>
              <w:br/>
              <w:t>(a) a reduction in the total active (swollen and tender) joint count by at least 50% from baseline, where baseline is at least 20 active joints; or</w:t>
            </w:r>
            <w:r w:rsidRPr="006D52A9">
              <w:rPr>
                <w:rFonts w:ascii="Arial" w:eastAsia="SimSun" w:hAnsi="Arial" w:cs="Arial"/>
                <w:sz w:val="16"/>
                <w:szCs w:val="16"/>
                <w:lang w:eastAsia="zh-CN"/>
              </w:rPr>
              <w:br/>
              <w:t>(b) a reduction in the number of the following active joints, from at least 4, by at least 50%:</w:t>
            </w:r>
            <w:r w:rsidRPr="006D52A9">
              <w:rPr>
                <w:rFonts w:ascii="Arial" w:eastAsia="SimSun" w:hAnsi="Arial" w:cs="Arial"/>
                <w:sz w:val="16"/>
                <w:szCs w:val="16"/>
                <w:lang w:eastAsia="zh-CN"/>
              </w:rPr>
              <w:br/>
              <w:t>(i) elbow, wrist, knee and/or ankle (assessed as swollen and tender); and/or</w:t>
            </w:r>
            <w:r w:rsidRPr="006D52A9">
              <w:rPr>
                <w:rFonts w:ascii="Arial" w:eastAsia="SimSun" w:hAnsi="Arial" w:cs="Arial"/>
                <w:sz w:val="16"/>
                <w:szCs w:val="16"/>
                <w:lang w:eastAsia="zh-CN"/>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ascii="Arial" w:eastAsia="SimSun" w:hAnsi="Arial" w:cs="Arial"/>
                <w:sz w:val="16"/>
                <w:szCs w:val="16"/>
                <w:lang w:eastAsia="zh-CN"/>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ascii="Arial" w:eastAsia="SimSun" w:hAnsi="Arial" w:cs="Arial"/>
                <w:sz w:val="16"/>
                <w:szCs w:val="16"/>
                <w:lang w:eastAsia="zh-CN"/>
              </w:rPr>
              <w:br/>
              <w:t>The measurement of response to the prior course of therapy must be documented in the patient’s medical notes.</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If a patient has either failed or ceased to respond to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5 times,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w:t>
            </w:r>
          </w:p>
        </w:tc>
        <w:tc>
          <w:tcPr>
            <w:tcW w:w="929" w:type="pct"/>
            <w:tcMar>
              <w:top w:w="28" w:type="dxa"/>
              <w:left w:w="28" w:type="dxa"/>
              <w:right w:w="57" w:type="dxa"/>
            </w:tcMar>
          </w:tcPr>
          <w:p w14:paraId="2611AE3E"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9975</w:t>
            </w:r>
          </w:p>
        </w:tc>
      </w:tr>
      <w:tr w:rsidR="008F47B8" w:rsidRPr="006D52A9" w:rsidDel="0052299A" w14:paraId="3FB38C48" w14:textId="77777777" w:rsidTr="00FB6D2D">
        <w:tc>
          <w:tcPr>
            <w:tcW w:w="647" w:type="pct"/>
            <w:tcMar>
              <w:top w:w="28" w:type="dxa"/>
              <w:left w:w="28" w:type="dxa"/>
            </w:tcMar>
          </w:tcPr>
          <w:p w14:paraId="7C93AD73"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87204D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C9994</w:t>
            </w:r>
          </w:p>
        </w:tc>
        <w:tc>
          <w:tcPr>
            <w:tcW w:w="274" w:type="pct"/>
            <w:tcMar>
              <w:top w:w="28" w:type="dxa"/>
              <w:left w:w="28" w:type="dxa"/>
            </w:tcMar>
          </w:tcPr>
          <w:p w14:paraId="5931AEA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206667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Whole body (change or recommencement of treatment after a break in biological medicine of less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3 biological medicines for this condition within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An adequate response to treatment is defined as:</w:t>
            </w:r>
            <w:r w:rsidRPr="006D52A9">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and who wishes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within the timeframes specified below.</w:t>
            </w:r>
            <w:r w:rsidRPr="006D52A9">
              <w:rPr>
                <w:rFonts w:ascii="Arial" w:eastAsia="SimSun" w:hAnsi="Arial" w:cs="Arial"/>
                <w:sz w:val="16"/>
                <w:szCs w:val="16"/>
                <w:lang w:eastAsia="zh-CN"/>
              </w:rPr>
              <w:br/>
              <w:t>Where the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6D52A9">
              <w:rPr>
                <w:rFonts w:ascii="Arial" w:eastAsia="SimSun" w:hAnsi="Arial" w:cs="Arial"/>
                <w:sz w:val="16"/>
                <w:szCs w:val="16"/>
                <w:lang w:eastAsia="zh-CN"/>
              </w:rPr>
              <w:b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Demonstration of response should be provided within this timeframe.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w:t>
            </w:r>
            <w:r w:rsidRPr="006D52A9">
              <w:rPr>
                <w:rFonts w:ascii="Arial" w:eastAsia="SimSun" w:hAnsi="Arial" w:cs="Arial"/>
                <w:sz w:val="16"/>
                <w:szCs w:val="16"/>
                <w:lang w:eastAsia="zh-CN"/>
              </w:rPr>
              <w:lastRenderedPageBreak/>
              <w:t>Form which includes the following:</w:t>
            </w:r>
            <w:r w:rsidRPr="006D52A9">
              <w:rPr>
                <w:rFonts w:ascii="Arial" w:eastAsia="SimSun" w:hAnsi="Arial" w:cs="Arial"/>
                <w:sz w:val="16"/>
                <w:szCs w:val="16"/>
                <w:lang w:eastAsia="zh-CN"/>
              </w:rPr>
              <w:br/>
              <w:t>(i) the completed current Psoriasis Area and Severity Index (PASI) calculation sheets including the dates of assessment of the patient’s condition; and</w:t>
            </w:r>
            <w:r w:rsidRPr="006D52A9">
              <w:rPr>
                <w:rFonts w:ascii="Arial" w:eastAsia="SimSun" w:hAnsi="Arial" w:cs="Arial"/>
                <w:sz w:val="16"/>
                <w:szCs w:val="16"/>
                <w:lang w:eastAsia="zh-CN"/>
              </w:rPr>
              <w:br/>
              <w:t>(ii) details of prior biological treatment, including dosage, date and duration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A9560E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4186D05B" w14:textId="77777777" w:rsidTr="00FB6D2D">
        <w:tc>
          <w:tcPr>
            <w:tcW w:w="647" w:type="pct"/>
            <w:tcMar>
              <w:top w:w="28" w:type="dxa"/>
              <w:left w:w="28" w:type="dxa"/>
            </w:tcMar>
          </w:tcPr>
          <w:p w14:paraId="6619847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BFCA38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C11094</w:t>
            </w:r>
          </w:p>
        </w:tc>
        <w:tc>
          <w:tcPr>
            <w:tcW w:w="274" w:type="pct"/>
            <w:tcMar>
              <w:top w:w="28" w:type="dxa"/>
              <w:left w:w="28" w:type="dxa"/>
            </w:tcMar>
          </w:tcPr>
          <w:p w14:paraId="261B2088"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9BBBFD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Face, hand, foot (new patient)</w:t>
            </w:r>
            <w:r w:rsidRPr="006D52A9">
              <w:rPr>
                <w:rFonts w:ascii="Arial" w:eastAsia="SimSun" w:hAnsi="Arial" w:cs="Arial"/>
                <w:sz w:val="16"/>
                <w:szCs w:val="16"/>
                <w:lang w:eastAsia="zh-CN"/>
              </w:rPr>
              <w:br/>
              <w:t>Patient must have severe chronic plaque psoriasis of the face, or palm of a hand or sole of a foot where the plaque or plaques have been present for at least 6 months from the time of initial diagnosis;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Where treatment with methotrexate, ciclosporin, apremilast or acitretin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or where phototherapy is contraindicated, details must be provided at the time of application.</w:t>
            </w:r>
            <w:r w:rsidRPr="006D52A9">
              <w:rPr>
                <w:rFonts w:ascii="Arial" w:eastAsia="SimSun" w:hAnsi="Arial" w:cs="Arial"/>
                <w:sz w:val="16"/>
                <w:szCs w:val="16"/>
                <w:lang w:eastAsia="zh-CN"/>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6D52A9">
              <w:rPr>
                <w:rFonts w:ascii="Arial" w:eastAsia="SimSun" w:hAnsi="Arial" w:cs="Arial"/>
                <w:sz w:val="16"/>
                <w:szCs w:val="16"/>
                <w:lang w:eastAsia="zh-CN"/>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6D52A9">
              <w:rPr>
                <w:rFonts w:ascii="Arial" w:eastAsia="SimSun" w:hAnsi="Arial" w:cs="Arial"/>
                <w:sz w:val="16"/>
                <w:szCs w:val="16"/>
                <w:lang w:eastAsia="zh-CN"/>
              </w:rPr>
              <w:br/>
              <w:t>The following criterion indicates failure to achieve an adequate response to prior treatment and must be demonstrated in the patient at the time of the application:</w:t>
            </w:r>
            <w:r w:rsidRPr="006D52A9">
              <w:rPr>
                <w:rFonts w:ascii="Arial" w:eastAsia="SimSun" w:hAnsi="Arial" w:cs="Arial"/>
                <w:sz w:val="16"/>
                <w:szCs w:val="16"/>
                <w:lang w:eastAsia="zh-CN"/>
              </w:rPr>
              <w:br/>
              <w:t>(a) Chronic plaque psoriasis classified as severe due to a plaque or plaques on the face, palm of a hand or sole of a foot where:</w:t>
            </w:r>
            <w:r w:rsidRPr="006D52A9">
              <w:rPr>
                <w:rFonts w:ascii="Arial" w:eastAsia="SimSun" w:hAnsi="Arial" w:cs="Arial"/>
                <w:sz w:val="16"/>
                <w:szCs w:val="16"/>
                <w:lang w:eastAsia="zh-CN"/>
              </w:rPr>
              <w:br/>
              <w:t xml:space="preserve">(i) at least 2 of the 3 Psoriasis Area and Severity Index (PASI) symptom subscores for erythema, thickness and scaling are rated as severe or very severe, as assessed, preferably whilst still on </w:t>
            </w:r>
            <w:r w:rsidRPr="006D52A9">
              <w:rPr>
                <w:rFonts w:ascii="Arial" w:eastAsia="SimSun" w:hAnsi="Arial" w:cs="Arial"/>
                <w:sz w:val="16"/>
                <w:szCs w:val="16"/>
                <w:lang w:eastAsia="zh-CN"/>
              </w:rPr>
              <w:lastRenderedPageBreak/>
              <w:t>treatment, but no longer than 4 weeks following cessation of the most recent prior treatment; or</w:t>
            </w:r>
            <w:r w:rsidRPr="006D52A9">
              <w:rPr>
                <w:rFonts w:ascii="Arial" w:eastAsia="SimSun" w:hAnsi="Arial" w:cs="Arial"/>
                <w:sz w:val="16"/>
                <w:szCs w:val="16"/>
                <w:lang w:eastAsia="zh-CN"/>
              </w:rPr>
              <w:br/>
              <w:t>(ii) the skin area affected is 30% or more of the face, palm of a hand or sole of a foot, as assessed, preferably whilst still on treatment, but no longer than 4 weeks following cessation of the most recent prior treatment;</w:t>
            </w:r>
            <w:r w:rsidRPr="006D52A9">
              <w:rPr>
                <w:rFonts w:ascii="Arial" w:eastAsia="SimSun" w:hAnsi="Arial" w:cs="Arial"/>
                <w:sz w:val="16"/>
                <w:szCs w:val="16"/>
                <w:lang w:eastAsia="zh-CN"/>
              </w:rPr>
              <w:br/>
              <w:t>(b) A PASI assessment must be completed for each prior treatment course, preferably whilst still on treatment, but no longer than 4 weeks following cessation of each course of treatment.</w:t>
            </w:r>
            <w:r w:rsidRPr="006D52A9">
              <w:rPr>
                <w:rFonts w:ascii="Arial" w:eastAsia="SimSun" w:hAnsi="Arial" w:cs="Arial"/>
                <w:sz w:val="16"/>
                <w:szCs w:val="16"/>
                <w:lang w:eastAsia="zh-CN"/>
              </w:rPr>
              <w:br/>
              <w:t>(c) The most recent PASI assessment must be no more than 4 weeks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and previous Psoriasis Area and Severity Index (PASI) calculation sheets and face, hand, foot area diagrams including the dates of assessment of the patient's condition; and</w:t>
            </w:r>
            <w:r w:rsidRPr="006D52A9">
              <w:rPr>
                <w:rFonts w:ascii="Arial" w:eastAsia="SimSun" w:hAnsi="Arial" w:cs="Arial"/>
                <w:sz w:val="16"/>
                <w:szCs w:val="16"/>
                <w:lang w:eastAsia="zh-CN"/>
              </w:rPr>
              <w:br/>
              <w:t>(ii) details of previous phototherapy and systemic drug therapy [dosage (where applicable), date of commencement and duration of therapy].</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32BAC0E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068F953F" w14:textId="77777777" w:rsidTr="00FB6D2D">
        <w:tc>
          <w:tcPr>
            <w:tcW w:w="647" w:type="pct"/>
            <w:tcMar>
              <w:top w:w="28" w:type="dxa"/>
              <w:left w:w="28" w:type="dxa"/>
            </w:tcMar>
          </w:tcPr>
          <w:p w14:paraId="6BF4119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D54BD1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C11095</w:t>
            </w:r>
          </w:p>
        </w:tc>
        <w:tc>
          <w:tcPr>
            <w:tcW w:w="274" w:type="pct"/>
            <w:tcMar>
              <w:top w:w="28" w:type="dxa"/>
              <w:left w:w="28" w:type="dxa"/>
            </w:tcMar>
          </w:tcPr>
          <w:p w14:paraId="06E68AA6"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561C8B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Face, hand, foot (change or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less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3 biological medicines for this condition within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An adequate response to treatment is defined as the plaque or plaques assessed prior to biological treatment showing:</w:t>
            </w:r>
            <w:r w:rsidRPr="006D52A9">
              <w:rPr>
                <w:rFonts w:ascii="Arial" w:eastAsia="SimSun" w:hAnsi="Arial" w:cs="Arial"/>
                <w:sz w:val="16"/>
                <w:szCs w:val="16"/>
                <w:lang w:eastAsia="zh-CN"/>
              </w:rPr>
              <w:br/>
              <w:t>(i) a reduction in the Psoriasis Area and Severity Index (PASI) symptom subscores for all 3 of erythema, thickness and scaling, to slight or better, or sustained at this level, as compared to the baseline values; or</w:t>
            </w:r>
            <w:r w:rsidRPr="006D52A9">
              <w:rPr>
                <w:rFonts w:ascii="Arial" w:eastAsia="SimSun" w:hAnsi="Arial" w:cs="Arial"/>
                <w:sz w:val="16"/>
                <w:szCs w:val="16"/>
                <w:lang w:eastAsia="zh-CN"/>
              </w:rPr>
              <w:br/>
              <w:t>(ii) a reduction by 75% or more in the skin area affected, or sustained at this level, as compared to the baseline value for this treatment cycle.</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and who wishes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within the timeframes specified below.</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Psoriasis Area and Severity Index (PASI) calculation sheets and face, hand, foot area diagrams including the dates of assessment of the patient's condition; and</w:t>
            </w:r>
            <w:r w:rsidRPr="006D52A9">
              <w:rPr>
                <w:rFonts w:ascii="Arial" w:eastAsia="SimSun" w:hAnsi="Arial" w:cs="Arial"/>
                <w:sz w:val="16"/>
                <w:szCs w:val="16"/>
                <w:lang w:eastAsia="zh-CN"/>
              </w:rPr>
              <w:br/>
              <w:t>(ii) details of prior biological treatment, including dosage, date and duration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235ECA9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1035F20F" w14:textId="77777777" w:rsidTr="00FB6D2D">
        <w:tc>
          <w:tcPr>
            <w:tcW w:w="647" w:type="pct"/>
            <w:tcMar>
              <w:top w:w="28" w:type="dxa"/>
              <w:left w:w="28" w:type="dxa"/>
            </w:tcMar>
          </w:tcPr>
          <w:p w14:paraId="4D5D4BC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F32075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C11111</w:t>
            </w:r>
          </w:p>
        </w:tc>
        <w:tc>
          <w:tcPr>
            <w:tcW w:w="274" w:type="pct"/>
            <w:tcMar>
              <w:top w:w="28" w:type="dxa"/>
              <w:left w:w="28" w:type="dxa"/>
            </w:tcMar>
          </w:tcPr>
          <w:p w14:paraId="0D503E7E"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A7A2FD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Whole body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commencement of treatment after a break in biological </w:t>
            </w:r>
            <w:r w:rsidRPr="006D52A9">
              <w:rPr>
                <w:rFonts w:ascii="Arial" w:eastAsia="SimSun" w:hAnsi="Arial" w:cs="Arial"/>
                <w:sz w:val="16"/>
                <w:szCs w:val="16"/>
                <w:lang w:eastAsia="zh-CN"/>
              </w:rPr>
              <w:lastRenderedPageBreak/>
              <w:t>medicine of more than 5 years)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The condition must have a current Psoriasis Area and Severity Index (PASI) score of greater than 15;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The most recent PASI assessment must be no more than 4 weeks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completed current Psoriasis Area and Severity Index (PASI) calculation sheets including the dates of assessment of the patient's condition.</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1C8AB45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28F40B5A" w14:textId="77777777" w:rsidTr="00FB6D2D">
        <w:tc>
          <w:tcPr>
            <w:tcW w:w="647" w:type="pct"/>
            <w:tcMar>
              <w:top w:w="28" w:type="dxa"/>
              <w:left w:w="28" w:type="dxa"/>
            </w:tcMar>
          </w:tcPr>
          <w:p w14:paraId="0093EB9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5C2A86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C11112</w:t>
            </w:r>
          </w:p>
        </w:tc>
        <w:tc>
          <w:tcPr>
            <w:tcW w:w="274" w:type="pct"/>
            <w:tcMar>
              <w:top w:w="28" w:type="dxa"/>
              <w:left w:w="28" w:type="dxa"/>
            </w:tcMar>
          </w:tcPr>
          <w:p w14:paraId="57C40E87"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76E277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Face, hand, foot (new patient)</w:t>
            </w:r>
            <w:r w:rsidRPr="006D52A9">
              <w:rPr>
                <w:rFonts w:ascii="Arial" w:eastAsia="SimSun" w:hAnsi="Arial" w:cs="Arial"/>
                <w:sz w:val="16"/>
                <w:szCs w:val="16"/>
                <w:lang w:eastAsia="zh-CN"/>
              </w:rPr>
              <w:br/>
              <w:t>Patient must have severe chronic plaque psoriasis of the face, or palm of a hand or sole of a foot where the plaque or plaques have been present for at least 6 months from the time of initial diagnosis;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 xml:space="preserve">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w:t>
            </w:r>
            <w:r w:rsidRPr="006D52A9">
              <w:rPr>
                <w:rFonts w:ascii="Arial" w:eastAsia="SimSun" w:hAnsi="Arial" w:cs="Arial"/>
                <w:sz w:val="16"/>
                <w:szCs w:val="16"/>
                <w:lang w:eastAsia="zh-CN"/>
              </w:rPr>
              <w:lastRenderedPageBreak/>
              <w:t>(iv) acitretin at a dose of at least 0.4 mg per kg per day for at least 6 weeks; (v) apremilast at a dose of 30 mg twice a day for at least 6 weeks;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Where treatment with methotrexate, ciclosporin, apremilast or acitretin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or where phototherapy is contraindicated, details must be provided at the time of application.</w:t>
            </w:r>
            <w:r w:rsidRPr="006D52A9">
              <w:rPr>
                <w:rFonts w:ascii="Arial" w:eastAsia="SimSun" w:hAnsi="Arial" w:cs="Arial"/>
                <w:sz w:val="16"/>
                <w:szCs w:val="16"/>
                <w:lang w:eastAsia="zh-CN"/>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6D52A9">
              <w:rPr>
                <w:rFonts w:ascii="Arial" w:eastAsia="SimSun" w:hAnsi="Arial" w:cs="Arial"/>
                <w:sz w:val="16"/>
                <w:szCs w:val="16"/>
                <w:lang w:eastAsia="zh-CN"/>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6D52A9">
              <w:rPr>
                <w:rFonts w:ascii="Arial" w:eastAsia="SimSun" w:hAnsi="Arial" w:cs="Arial"/>
                <w:sz w:val="16"/>
                <w:szCs w:val="16"/>
                <w:lang w:eastAsia="zh-CN"/>
              </w:rPr>
              <w:br/>
              <w:t>The following criterion indicates failure to achieve an adequate response to prior treatment and must be demonstrated in the patient at the time of the application:</w:t>
            </w:r>
            <w:r w:rsidRPr="006D52A9">
              <w:rPr>
                <w:rFonts w:ascii="Arial" w:eastAsia="SimSun" w:hAnsi="Arial" w:cs="Arial"/>
                <w:sz w:val="16"/>
                <w:szCs w:val="16"/>
                <w:lang w:eastAsia="zh-CN"/>
              </w:rPr>
              <w:br/>
              <w:t>(a) Chronic plaque psoriasis classified as severe due to a plaque or plaques on the face, palm of a hand or sole of a foot where:</w:t>
            </w:r>
            <w:r w:rsidRPr="006D52A9">
              <w:rPr>
                <w:rFonts w:ascii="Arial" w:eastAsia="SimSun" w:hAnsi="Arial" w:cs="Arial"/>
                <w:sz w:val="16"/>
                <w:szCs w:val="16"/>
                <w:lang w:eastAsia="zh-CN"/>
              </w:rPr>
              <w:b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r w:rsidRPr="006D52A9">
              <w:rPr>
                <w:rFonts w:ascii="Arial" w:eastAsia="SimSun" w:hAnsi="Arial" w:cs="Arial"/>
                <w:sz w:val="16"/>
                <w:szCs w:val="16"/>
                <w:lang w:eastAsia="zh-CN"/>
              </w:rPr>
              <w:br/>
              <w:t>(ii) the skin area affected is 30% or more of the face, palm of a hand or sole of a foot, as assessed, preferably whilst still on treatment, but no longer than 1 month following cessation of the most recent prior treatment;</w:t>
            </w:r>
            <w:r w:rsidRPr="006D52A9">
              <w:rPr>
                <w:rFonts w:ascii="Arial" w:eastAsia="SimSun" w:hAnsi="Arial" w:cs="Arial"/>
                <w:sz w:val="16"/>
                <w:szCs w:val="16"/>
                <w:lang w:eastAsia="zh-CN"/>
              </w:rPr>
              <w:br/>
              <w:t>(b) A PASI assessment must be completed for each prior treatment course, preferably whilst still on treatment, but no longer than 1 month following cessation of each course of treatment.</w:t>
            </w:r>
            <w:r w:rsidRPr="006D52A9">
              <w:rPr>
                <w:rFonts w:ascii="Arial" w:eastAsia="SimSun" w:hAnsi="Arial" w:cs="Arial"/>
                <w:sz w:val="16"/>
                <w:szCs w:val="16"/>
                <w:lang w:eastAsia="zh-CN"/>
              </w:rPr>
              <w:br/>
              <w:t>(c) The most recent PASI assessment must be no more than 1 month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and previous Psoriasis Area and Severity Index (PASI) calculation sheets and face, hand, foot area diagrams including the dates of assessment of the patient's condition; and</w:t>
            </w:r>
            <w:r w:rsidRPr="006D52A9">
              <w:rPr>
                <w:rFonts w:ascii="Arial" w:eastAsia="SimSun" w:hAnsi="Arial" w:cs="Arial"/>
                <w:sz w:val="16"/>
                <w:szCs w:val="16"/>
                <w:lang w:eastAsia="zh-CN"/>
              </w:rPr>
              <w:br/>
              <w:t>(ii) details of previous phototherapy and systemic drug therapy [dosage (where applicable), date of commencement and duration of therapy].</w:t>
            </w:r>
            <w:r w:rsidRPr="006D52A9">
              <w:rPr>
                <w:rFonts w:ascii="Arial" w:eastAsia="SimSun" w:hAnsi="Arial" w:cs="Arial"/>
                <w:sz w:val="16"/>
                <w:szCs w:val="16"/>
                <w:lang w:eastAsia="zh-CN"/>
              </w:rPr>
              <w:br/>
              <w:t>It is recommended that an assessment of a patient's response is conducted following a minimum of 12 weeks of therapy and no later than 4 weeks from the completion of the most recent course of treatment.</w:t>
            </w:r>
            <w:r w:rsidRPr="006D52A9">
              <w:rPr>
                <w:rFonts w:ascii="Arial" w:eastAsia="SimSun" w:hAnsi="Arial" w:cs="Arial"/>
                <w:sz w:val="16"/>
                <w:szCs w:val="16"/>
                <w:lang w:eastAsia="zh-CN"/>
              </w:rPr>
              <w:br/>
              <w:t xml:space="preserve">To demonstrate a response to treatment the application must be accompanied with the assessment of </w:t>
            </w:r>
            <w:r w:rsidRPr="006D52A9">
              <w:rPr>
                <w:rFonts w:ascii="Arial" w:eastAsia="SimSun" w:hAnsi="Arial" w:cs="Arial"/>
                <w:sz w:val="16"/>
                <w:szCs w:val="16"/>
                <w:lang w:eastAsia="zh-CN"/>
              </w:rPr>
              <w:lastRenderedPageBreak/>
              <w:t>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Demonstration of response should be provided within this timeframe.</w:t>
            </w:r>
            <w:r w:rsidRPr="006D52A9">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77EBB7B8"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4CC964C3" w14:textId="77777777" w:rsidTr="00FB6D2D">
        <w:tc>
          <w:tcPr>
            <w:tcW w:w="647" w:type="pct"/>
            <w:tcMar>
              <w:top w:w="28" w:type="dxa"/>
              <w:left w:w="28" w:type="dxa"/>
            </w:tcMar>
          </w:tcPr>
          <w:p w14:paraId="356438C3"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0E26C1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C11127</w:t>
            </w:r>
          </w:p>
        </w:tc>
        <w:tc>
          <w:tcPr>
            <w:tcW w:w="274" w:type="pct"/>
            <w:tcMar>
              <w:top w:w="28" w:type="dxa"/>
              <w:left w:w="28" w:type="dxa"/>
            </w:tcMar>
          </w:tcPr>
          <w:p w14:paraId="695A046C"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D68A16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Whole body (new patient)</w:t>
            </w:r>
            <w:r w:rsidRPr="006D52A9">
              <w:rPr>
                <w:rFonts w:ascii="Arial" w:eastAsia="SimSun" w:hAnsi="Arial" w:cs="Arial"/>
                <w:sz w:val="16"/>
                <w:szCs w:val="16"/>
                <w:lang w:eastAsia="zh-CN"/>
              </w:rPr>
              <w:br/>
              <w:t>Patient must have severe chronic plaque psoriasis where lesions have been present for at least 6 months from the time of initial diagnosis;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Where treatment with methotrexate, ciclosporin, apremilast or acitretin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or where phototherapy is contraindicated, details must be provided at the time of application.</w:t>
            </w:r>
            <w:r w:rsidRPr="006D52A9">
              <w:rPr>
                <w:rFonts w:ascii="Arial" w:eastAsia="SimSun" w:hAnsi="Arial" w:cs="Arial"/>
                <w:sz w:val="16"/>
                <w:szCs w:val="16"/>
                <w:lang w:eastAsia="zh-CN"/>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6D52A9">
              <w:rPr>
                <w:rFonts w:ascii="Arial" w:eastAsia="SimSun" w:hAnsi="Arial" w:cs="Arial"/>
                <w:sz w:val="16"/>
                <w:szCs w:val="16"/>
                <w:lang w:eastAsia="zh-CN"/>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6D52A9">
              <w:rPr>
                <w:rFonts w:ascii="Arial" w:eastAsia="SimSun" w:hAnsi="Arial" w:cs="Arial"/>
                <w:sz w:val="16"/>
                <w:szCs w:val="16"/>
                <w:lang w:eastAsia="zh-CN"/>
              </w:rPr>
              <w:br/>
              <w:t>The following criterion indicates failure to achieve an adequate response to prior treatment and must be demonstrated in the patient at the time of the application:</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(a) A current Psoriasis Area and Severity Index (PASI) score of greater than 15, as assessed, preferably whilst still on treatment, but no longer than 4 weeks following cessation of the most recent prior treatment.</w:t>
            </w:r>
            <w:r w:rsidRPr="006D52A9">
              <w:rPr>
                <w:rFonts w:ascii="Arial" w:eastAsia="SimSun" w:hAnsi="Arial" w:cs="Arial"/>
                <w:sz w:val="16"/>
                <w:szCs w:val="16"/>
                <w:lang w:eastAsia="zh-CN"/>
              </w:rPr>
              <w:br/>
              <w:t>(b) A PASI assessment must be completed for each prior treatment course, preferably whilst still on treatment, but no longer than 4 weeks following cessation of each course of treatment.</w:t>
            </w:r>
            <w:r w:rsidRPr="006D52A9">
              <w:rPr>
                <w:rFonts w:ascii="Arial" w:eastAsia="SimSun" w:hAnsi="Arial" w:cs="Arial"/>
                <w:sz w:val="16"/>
                <w:szCs w:val="16"/>
                <w:lang w:eastAsia="zh-CN"/>
              </w:rPr>
              <w:br/>
              <w:t>(c) The most recent PASI assessment must be no more than 4 weeks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and previous Psoriasis Area and Severity Index (PASI) calculation sheets including the dates of assessment of the patient's condition; and</w:t>
            </w:r>
            <w:r w:rsidRPr="006D52A9">
              <w:rPr>
                <w:rFonts w:ascii="Arial" w:eastAsia="SimSun" w:hAnsi="Arial" w:cs="Arial"/>
                <w:sz w:val="16"/>
                <w:szCs w:val="16"/>
                <w:lang w:eastAsia="zh-CN"/>
              </w:rPr>
              <w:br/>
              <w:t>(ii) details of previous phototherapy and systemic drug therapy [dosage (where applicable), date of commencement and duration of therapy].</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720534D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7B05722" w14:textId="77777777" w:rsidTr="00FB6D2D">
        <w:tc>
          <w:tcPr>
            <w:tcW w:w="647" w:type="pct"/>
            <w:tcMar>
              <w:top w:w="28" w:type="dxa"/>
              <w:left w:w="28" w:type="dxa"/>
            </w:tcMar>
          </w:tcPr>
          <w:p w14:paraId="652B7776"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F92D5E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C11128</w:t>
            </w:r>
          </w:p>
        </w:tc>
        <w:tc>
          <w:tcPr>
            <w:tcW w:w="274" w:type="pct"/>
            <w:tcMar>
              <w:top w:w="28" w:type="dxa"/>
              <w:left w:w="28" w:type="dxa"/>
            </w:tcMar>
          </w:tcPr>
          <w:p w14:paraId="4F254900"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46E5A6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Whole body (change or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less than 5 years)</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3 biological medicines for this condition within this treatment cycle; AND</w:t>
            </w:r>
            <w:r w:rsidRPr="006D52A9">
              <w:rPr>
                <w:rFonts w:ascii="Arial" w:eastAsia="SimSun" w:hAnsi="Arial" w:cs="Arial"/>
                <w:sz w:val="16"/>
                <w:szCs w:val="16"/>
                <w:lang w:eastAsia="zh-CN"/>
              </w:rPr>
              <w:br/>
              <w:t>Patient must not have already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during the current treatment cycle;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An adequate response to treatment is defined as:</w:t>
            </w:r>
            <w:r w:rsidRPr="006D52A9">
              <w:rPr>
                <w:rFonts w:ascii="Arial" w:eastAsia="SimSun" w:hAnsi="Arial" w:cs="Arial"/>
                <w:sz w:val="16"/>
                <w:szCs w:val="16"/>
                <w:lang w:eastAsia="zh-CN"/>
              </w:rPr>
              <w:br/>
              <w:t>A Psoriasis Area and Severity Index (PASI) score which is reduced by 75% or more, or is sustained at this level, when compared with the baseline value for this treatment cycle.</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and who wishes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 therapy with this drug, must be accompanied by evidence of a response to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within the timeframes specified below.</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Psoriasis Area and Severity Index (PASI) calculation sheets including the dates of assessment of the patient's condition; and</w:t>
            </w:r>
            <w:r w:rsidRPr="006D52A9">
              <w:rPr>
                <w:rFonts w:ascii="Arial" w:eastAsia="SimSun" w:hAnsi="Arial" w:cs="Arial"/>
                <w:sz w:val="16"/>
                <w:szCs w:val="16"/>
                <w:lang w:eastAsia="zh-CN"/>
              </w:rPr>
              <w:br/>
              <w:t>(ii) details of prior biological treatment, including dosage, date and duration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r w:rsidRPr="006D52A9">
              <w:rPr>
                <w:rFonts w:ascii="Arial" w:eastAsia="SimSun" w:hAnsi="Arial" w:cs="Arial"/>
                <w:sz w:val="16"/>
                <w:szCs w:val="16"/>
                <w:lang w:eastAsia="zh-CN"/>
              </w:rPr>
              <w:br/>
              <w:t>A patient may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trial this drug after a minimum of 5 years have elapsed between the date the last prescription for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approved in this cycle and the date of the first application under a new cycle under the Initial 3 treatment restriction.</w:t>
            </w:r>
          </w:p>
        </w:tc>
        <w:tc>
          <w:tcPr>
            <w:tcW w:w="929" w:type="pct"/>
            <w:tcMar>
              <w:top w:w="28" w:type="dxa"/>
              <w:left w:w="28" w:type="dxa"/>
              <w:right w:w="57" w:type="dxa"/>
            </w:tcMar>
          </w:tcPr>
          <w:p w14:paraId="788F9768"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6B0D5DD0" w14:textId="77777777" w:rsidTr="00FB6D2D">
        <w:tc>
          <w:tcPr>
            <w:tcW w:w="647" w:type="pct"/>
            <w:tcMar>
              <w:top w:w="28" w:type="dxa"/>
              <w:left w:w="28" w:type="dxa"/>
            </w:tcMar>
          </w:tcPr>
          <w:p w14:paraId="030B91FD"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DEC5A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C11129</w:t>
            </w:r>
          </w:p>
        </w:tc>
        <w:tc>
          <w:tcPr>
            <w:tcW w:w="274" w:type="pct"/>
            <w:tcMar>
              <w:top w:w="28" w:type="dxa"/>
              <w:left w:w="28" w:type="dxa"/>
            </w:tcMar>
          </w:tcPr>
          <w:p w14:paraId="1F4D0E5B"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A2C698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3, Face, hand, foot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more than 5 years)</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a break in treatment of 5 years or more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this condition; AND</w:t>
            </w:r>
            <w:r w:rsidRPr="006D52A9">
              <w:rPr>
                <w:rFonts w:ascii="Arial" w:eastAsia="SimSun" w:hAnsi="Arial" w:cs="Arial"/>
                <w:sz w:val="16"/>
                <w:szCs w:val="16"/>
                <w:lang w:eastAsia="zh-CN"/>
              </w:rPr>
              <w:br/>
              <w:t>The condition must be classified as severe due to a plaque or plaques on the face, palm of a hand or sole of a foot where: (i) at least 2 of the 3 Psoriasis Area and Severity Index (PASI) symptom subscores for erythema, thickness and scaling are rated as severe or very severe; or (ii) the skin area affected is 30% or more of the face, palm of a hand or sole of a foot;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The most recent PASI assessment must be no more than 4 weeks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completed current Psoriasis Area and Severity Index (PASI) calculation sheets and face, hand, foot area diagrams including the dates of assessment of the patient's condition.</w:t>
            </w:r>
            <w:r w:rsidRPr="006D52A9">
              <w:rPr>
                <w:rFonts w:ascii="Arial" w:eastAsia="SimSun" w:hAnsi="Arial" w:cs="Arial"/>
                <w:sz w:val="16"/>
                <w:szCs w:val="16"/>
                <w:lang w:eastAsia="zh-CN"/>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6D52A9">
              <w:rPr>
                <w:rFonts w:ascii="Arial" w:eastAsia="SimSun" w:hAnsi="Arial" w:cs="Arial"/>
                <w:sz w:val="16"/>
                <w:szCs w:val="16"/>
                <w:lang w:eastAsia="zh-CN"/>
              </w:rPr>
              <w:br/>
              <w:t>The PASI assessment for first continuing or subsequent continuing treatment must be performed on the same affected area as assessed at baseline.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44D99A9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52299A" w14:paraId="36F806F3" w14:textId="77777777" w:rsidTr="00FB6D2D">
        <w:tc>
          <w:tcPr>
            <w:tcW w:w="647" w:type="pct"/>
            <w:tcMar>
              <w:top w:w="28" w:type="dxa"/>
              <w:left w:w="28" w:type="dxa"/>
            </w:tcMar>
          </w:tcPr>
          <w:p w14:paraId="7AD4DA29"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2C262C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C11158</w:t>
            </w:r>
          </w:p>
        </w:tc>
        <w:tc>
          <w:tcPr>
            <w:tcW w:w="274" w:type="pct"/>
            <w:tcMar>
              <w:top w:w="28" w:type="dxa"/>
              <w:left w:w="28" w:type="dxa"/>
            </w:tcMar>
          </w:tcPr>
          <w:p w14:paraId="065497A8"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64ACB5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Whole body or Face, hand, foot (new patient) or Initial 2, Whole body or Face, hand, foot (change or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less than 5 years) or Initial 3, Whole body or Face, hand, foot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commencement of treatment after a break in biological medicine of more than 5 years)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Patient must have received insufficient therapy with this drug for this condition under the Initial 1, Whole body (new patient)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2, Whole body (change or recommencement of treatment after a break in biological medicine of less than 5 years )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3, Whole body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more than 5 years)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1, Face, hand, foot (new patient) restriction to complete 22 weeks treatment;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received insufficient therapy with this drug for this condition under the Initial 2, Face, hand, foot (change or recommencement of treatment after a break in biological medicine of less than 5 years) restriction to complete 22 weeks treatment; OR</w:t>
            </w:r>
            <w:r w:rsidRPr="006D52A9">
              <w:rPr>
                <w:rFonts w:ascii="Arial" w:eastAsia="SimSun" w:hAnsi="Arial" w:cs="Arial"/>
                <w:sz w:val="16"/>
                <w:szCs w:val="16"/>
                <w:lang w:eastAsia="zh-CN"/>
              </w:rPr>
              <w:br/>
              <w:t>Patient must have received insufficient therapy with this drug for this condition under the Initial 3, Face, hand, foot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commencement of treatment after a break in biological medicine of more than 5 years) restriction to complete 22 weeks treatment;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The treatment must provide no more than the balance of up to 22 weeks treatment available under the above restrictions.</w:t>
            </w:r>
            <w:r w:rsidRPr="006D52A9">
              <w:rPr>
                <w:rFonts w:ascii="Arial" w:eastAsia="SimSun" w:hAnsi="Arial" w:cs="Arial"/>
                <w:sz w:val="16"/>
                <w:szCs w:val="16"/>
                <w:lang w:eastAsia="zh-CN"/>
              </w:rPr>
              <w:br/>
              <w:t>Must be treated by a dermatologist.</w:t>
            </w:r>
          </w:p>
        </w:tc>
        <w:tc>
          <w:tcPr>
            <w:tcW w:w="929" w:type="pct"/>
            <w:tcMar>
              <w:top w:w="28" w:type="dxa"/>
              <w:left w:w="28" w:type="dxa"/>
              <w:right w:w="57" w:type="dxa"/>
            </w:tcMar>
          </w:tcPr>
          <w:p w14:paraId="2E66C09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52299A" w14:paraId="5F1888AD" w14:textId="77777777" w:rsidTr="00FB6D2D">
        <w:tc>
          <w:tcPr>
            <w:tcW w:w="647" w:type="pct"/>
            <w:tcMar>
              <w:top w:w="28" w:type="dxa"/>
              <w:left w:w="28" w:type="dxa"/>
            </w:tcMar>
          </w:tcPr>
          <w:p w14:paraId="642F6FCB"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AE09E9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C11159</w:t>
            </w:r>
          </w:p>
        </w:tc>
        <w:tc>
          <w:tcPr>
            <w:tcW w:w="274" w:type="pct"/>
            <w:tcMar>
              <w:top w:w="28" w:type="dxa"/>
              <w:left w:w="28" w:type="dxa"/>
            </w:tcMar>
          </w:tcPr>
          <w:p w14:paraId="663079D1" w14:textId="77777777" w:rsidR="008F47B8" w:rsidRPr="006D52A9" w:rsidDel="0052299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CBE2FE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Severe chronic plaque psoriasis</w:t>
            </w:r>
            <w:r w:rsidRPr="006D52A9">
              <w:rPr>
                <w:rFonts w:ascii="Arial" w:eastAsia="SimSun" w:hAnsi="Arial" w:cs="Arial"/>
                <w:sz w:val="16"/>
                <w:szCs w:val="16"/>
                <w:lang w:eastAsia="zh-CN"/>
              </w:rPr>
              <w:br/>
              <w:t xml:space="preserve">Initial 1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Whole body (new patient)</w:t>
            </w:r>
            <w:r w:rsidRPr="006D52A9">
              <w:rPr>
                <w:rFonts w:ascii="Arial" w:eastAsia="SimSun" w:hAnsi="Arial" w:cs="Arial"/>
                <w:sz w:val="16"/>
                <w:szCs w:val="16"/>
                <w:lang w:eastAsia="zh-CN"/>
              </w:rPr>
              <w:br/>
              <w:t>Patient must have severe chronic plaque psoriasis where lesions have been present for at least 6 months from the time of initial diagnosis;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this condition; AND</w:t>
            </w:r>
            <w:r w:rsidRPr="006D52A9">
              <w:rPr>
                <w:rFonts w:ascii="Arial" w:eastAsia="SimSun" w:hAnsi="Arial" w:cs="Arial"/>
                <w:sz w:val="16"/>
                <w:szCs w:val="16"/>
                <w:lang w:eastAsia="zh-CN"/>
              </w:rPr>
              <w:br/>
              <w:t>Patient must have failed to achieve an adequate response, as demonstrated by a Psoriasis Area and Severity Index (PASI) assessment, to at least 2 of the following 5 treatments: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AND</w:t>
            </w:r>
            <w:r w:rsidRPr="006D52A9">
              <w:rPr>
                <w:rFonts w:ascii="Arial" w:eastAsia="SimSun" w:hAnsi="Arial" w:cs="Arial"/>
                <w:sz w:val="16"/>
                <w:szCs w:val="16"/>
                <w:lang w:eastAsia="zh-CN"/>
              </w:rPr>
              <w:br/>
              <w:t>The treatment must be as systemic monotherapy (other than methotrexate); AND</w:t>
            </w:r>
            <w:r w:rsidRPr="006D52A9">
              <w:rPr>
                <w:rFonts w:ascii="Arial" w:eastAsia="SimSun" w:hAnsi="Arial" w:cs="Arial"/>
                <w:sz w:val="16"/>
                <w:szCs w:val="16"/>
                <w:lang w:eastAsia="zh-CN"/>
              </w:rPr>
              <w:br/>
              <w:t>Patient must not receive more than 22 weeks of treatment under this restriction.</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Must be treated by a dermatologist.</w:t>
            </w:r>
            <w:r w:rsidRPr="006D52A9">
              <w:rPr>
                <w:rFonts w:ascii="Arial" w:eastAsia="SimSun" w:hAnsi="Arial" w:cs="Arial"/>
                <w:sz w:val="16"/>
                <w:szCs w:val="16"/>
                <w:lang w:eastAsia="zh-CN"/>
              </w:rPr>
              <w:br/>
              <w:t>Where treatment with methotrexate, ciclosporin, apremilast or acitretin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or where phototherapy is contraindicated, details must be provided at the time of application.</w:t>
            </w:r>
            <w:r w:rsidRPr="006D52A9">
              <w:rPr>
                <w:rFonts w:ascii="Arial" w:eastAsia="SimSun" w:hAnsi="Arial" w:cs="Arial"/>
                <w:sz w:val="16"/>
                <w:szCs w:val="16"/>
                <w:lang w:eastAsia="zh-CN"/>
              </w:rPr>
              <w:br/>
              <w:t>Where intolerance to treatment with phototherapy, methotrexate, ciclosporin, apremilast or acitretin developed during the relevant period of use, which was of a severity to necessitate permanent treatment withdrawal, details of the degree of this toxicity must be provided at the time of application.</w:t>
            </w:r>
            <w:r w:rsidRPr="006D52A9">
              <w:rPr>
                <w:rFonts w:ascii="Arial" w:eastAsia="SimSun" w:hAnsi="Arial" w:cs="Arial"/>
                <w:sz w:val="16"/>
                <w:szCs w:val="16"/>
                <w:lang w:eastAsia="zh-CN"/>
              </w:rPr>
              <w:br/>
              <w:t>Regardless of if a patient has a contraindication to treatment with either methotrexate, ciclosporin, apremilast, acitretin or phototherapy, the patient is still required to trial 2 of these prior therapies until a failure to achieve an adequate response is met.</w:t>
            </w:r>
            <w:r w:rsidRPr="006D52A9">
              <w:rPr>
                <w:rFonts w:ascii="Arial" w:eastAsia="SimSun" w:hAnsi="Arial" w:cs="Arial"/>
                <w:sz w:val="16"/>
                <w:szCs w:val="16"/>
                <w:lang w:eastAsia="zh-CN"/>
              </w:rPr>
              <w:br/>
              <w:t>The following criterion indicates failure to achieve an adequate response to prior treatment and must be demonstrated in the patient at the time of the application:</w:t>
            </w:r>
            <w:r w:rsidRPr="006D52A9">
              <w:rPr>
                <w:rFonts w:ascii="Arial" w:eastAsia="SimSun" w:hAnsi="Arial" w:cs="Arial"/>
                <w:sz w:val="16"/>
                <w:szCs w:val="16"/>
                <w:lang w:eastAsia="zh-CN"/>
              </w:rPr>
              <w:br/>
              <w:t>(a) A current Psoriasis Area and Severity Index (PASI) score of greater than 15, as assessed, preferably whilst still on treatment, but no longer than 1 month following cessation of the most recent prior treatment.</w:t>
            </w:r>
            <w:r w:rsidRPr="006D52A9">
              <w:rPr>
                <w:rFonts w:ascii="Arial" w:eastAsia="SimSun" w:hAnsi="Arial" w:cs="Arial"/>
                <w:sz w:val="16"/>
                <w:szCs w:val="16"/>
                <w:lang w:eastAsia="zh-CN"/>
              </w:rPr>
              <w:br/>
              <w:t xml:space="preserve">(b) A PASI assessment must be completed for each prior treatment course, preferably whilst still on </w:t>
            </w:r>
            <w:r w:rsidRPr="006D52A9">
              <w:rPr>
                <w:rFonts w:ascii="Arial" w:eastAsia="SimSun" w:hAnsi="Arial" w:cs="Arial"/>
                <w:sz w:val="16"/>
                <w:szCs w:val="16"/>
                <w:lang w:eastAsia="zh-CN"/>
              </w:rPr>
              <w:lastRenderedPageBreak/>
              <w:t>treatment, but no longer than 1 month following cessation of each course of treatment.</w:t>
            </w:r>
            <w:r w:rsidRPr="006D52A9">
              <w:rPr>
                <w:rFonts w:ascii="Arial" w:eastAsia="SimSun" w:hAnsi="Arial" w:cs="Arial"/>
                <w:sz w:val="16"/>
                <w:szCs w:val="16"/>
                <w:lang w:eastAsia="zh-CN"/>
              </w:rPr>
              <w:br/>
              <w:t>(c) The most recent PASI assessment must be no more than 1 month old at the time of application.</w:t>
            </w:r>
            <w:r w:rsidRPr="006D52A9">
              <w:rPr>
                <w:rFonts w:ascii="Arial" w:eastAsia="SimSun" w:hAnsi="Arial" w:cs="Arial"/>
                <w:sz w:val="16"/>
                <w:szCs w:val="16"/>
                <w:lang w:eastAsia="zh-CN"/>
              </w:rPr>
              <w:br/>
              <w:t>At the time of the authority application, medical practitioners should request the appropriate quantity of vials, based on the weight of the patient, to provide for infusions at a dose of 5 mg per kg. Up to a maximum of 3 repeats will be authorised.</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 xml:space="preserve">(b) a completed Severe Chronic Plaque Psoriasis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the completed current and previous Psoriasis Area and Severity Index (PASI) calculation sheets including the dates of assessment of the patient's condition; and</w:t>
            </w:r>
            <w:r w:rsidRPr="006D52A9">
              <w:rPr>
                <w:rFonts w:ascii="Arial" w:eastAsia="SimSun" w:hAnsi="Arial" w:cs="Arial"/>
                <w:sz w:val="16"/>
                <w:szCs w:val="16"/>
                <w:lang w:eastAsia="zh-CN"/>
              </w:rPr>
              <w:br/>
              <w:t>(ii) details of previous phototherapy and systemic drug therapy [dosage (where applicable), date of commencement and duration of therapy].</w:t>
            </w:r>
            <w:r w:rsidRPr="006D52A9">
              <w:rPr>
                <w:rFonts w:ascii="Arial" w:eastAsia="SimSun" w:hAnsi="Arial" w:cs="Arial"/>
                <w:sz w:val="16"/>
                <w:szCs w:val="16"/>
                <w:lang w:eastAsia="zh-CN"/>
              </w:rPr>
              <w:br/>
              <w:t>It is recommended that an assessment of a patient's response is conducted following a minimum of 12 weeks of therapy and no later than 4 weeks from the completion of the most recent course of treatment.</w:t>
            </w:r>
            <w:r w:rsidRPr="006D52A9">
              <w:rPr>
                <w:rFonts w:ascii="Arial" w:eastAsia="SimSun" w:hAnsi="Arial" w:cs="Arial"/>
                <w:sz w:val="16"/>
                <w:szCs w:val="16"/>
                <w:lang w:eastAsia="zh-CN"/>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Demonstration of response should be provided within this timeframe.</w:t>
            </w:r>
            <w:r w:rsidRPr="006D52A9">
              <w:rPr>
                <w:rFonts w:ascii="Arial" w:eastAsia="SimSun" w:hAnsi="Arial" w:cs="Arial"/>
                <w:sz w:val="16"/>
                <w:szCs w:val="16"/>
                <w:lang w:eastAsia="zh-CN"/>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6D52A9">
              <w:rPr>
                <w:rFonts w:ascii="Arial" w:eastAsia="SimSun" w:hAnsi="Arial" w:cs="Arial"/>
                <w:sz w:val="16"/>
                <w:szCs w:val="16"/>
                <w:lang w:eastAsia="zh-CN"/>
              </w:rPr>
              <w:br/>
              <w:t>If a patient fails to demonstrate a response to treatment with this drug under this restriction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this treatment cycle.</w:t>
            </w:r>
          </w:p>
        </w:tc>
        <w:tc>
          <w:tcPr>
            <w:tcW w:w="929" w:type="pct"/>
            <w:tcMar>
              <w:top w:w="28" w:type="dxa"/>
              <w:left w:w="28" w:type="dxa"/>
              <w:right w:w="57" w:type="dxa"/>
            </w:tcMar>
          </w:tcPr>
          <w:p w14:paraId="574076C0"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38228E" w14:paraId="16B412DB" w14:textId="77777777" w:rsidTr="00FB6D2D">
        <w:tc>
          <w:tcPr>
            <w:tcW w:w="647" w:type="pct"/>
            <w:tcMar>
              <w:top w:w="28" w:type="dxa"/>
              <w:left w:w="28" w:type="dxa"/>
            </w:tcMar>
          </w:tcPr>
          <w:p w14:paraId="4B404863" w14:textId="77777777" w:rsidR="008F47B8" w:rsidRPr="006D52A9" w:rsidDel="0038228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Interferon 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w:t>
            </w:r>
          </w:p>
        </w:tc>
        <w:tc>
          <w:tcPr>
            <w:tcW w:w="283" w:type="pct"/>
            <w:tcMar>
              <w:top w:w="28" w:type="dxa"/>
              <w:left w:w="28" w:type="dxa"/>
            </w:tcMar>
          </w:tcPr>
          <w:p w14:paraId="7C25DB3F" w14:textId="77777777" w:rsidR="008F47B8" w:rsidRPr="006D52A9" w:rsidDel="0038228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C4993</w:t>
            </w:r>
          </w:p>
        </w:tc>
        <w:tc>
          <w:tcPr>
            <w:tcW w:w="274" w:type="pct"/>
            <w:tcMar>
              <w:top w:w="28" w:type="dxa"/>
              <w:left w:w="28" w:type="dxa"/>
            </w:tcMar>
          </w:tcPr>
          <w:p w14:paraId="5359058F" w14:textId="77777777" w:rsidR="008F47B8" w:rsidRPr="006D52A9" w:rsidDel="0038228E"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9371A97" w14:textId="77777777" w:rsidR="008F47B8" w:rsidRPr="006D52A9" w:rsidDel="0038228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B infection</w:t>
            </w:r>
            <w:r w:rsidRPr="006D52A9">
              <w:rPr>
                <w:rFonts w:ascii="Arial" w:eastAsia="SimSun" w:hAnsi="Arial" w:cs="Arial"/>
                <w:sz w:val="16"/>
                <w:szCs w:val="16"/>
                <w:lang w:eastAsia="zh-CN"/>
              </w:rPr>
              <w:br/>
              <w:t>Patient must not have cirrhosis, AND</w:t>
            </w:r>
            <w:r w:rsidRPr="006D52A9">
              <w:rPr>
                <w:rFonts w:ascii="Arial" w:eastAsia="SimSun" w:hAnsi="Arial" w:cs="Arial"/>
                <w:sz w:val="16"/>
                <w:szCs w:val="16"/>
                <w:lang w:eastAsia="zh-CN"/>
              </w:rPr>
              <w:br/>
              <w:t>Patient must have elevated HBV DNA levels greater than 20,000 IU/mL (100,000 copies/mL) if HBeAg positive, in conjunction with documented hepatitis B infection; OR</w:t>
            </w:r>
            <w:r w:rsidRPr="006D52A9">
              <w:rPr>
                <w:rFonts w:ascii="Arial" w:eastAsia="SimSun" w:hAnsi="Arial" w:cs="Arial"/>
                <w:sz w:val="16"/>
                <w:szCs w:val="16"/>
                <w:lang w:eastAsia="zh-CN"/>
              </w:rPr>
              <w:br/>
              <w:t>Patient must have elevated HBV DNA levels greater than 2,000 IU/mL (10,000 copies/mL) if HBeAg negative, in conjunction with documented hepatitis B infection, AND</w:t>
            </w:r>
            <w:r w:rsidRPr="006D52A9">
              <w:rPr>
                <w:rFonts w:ascii="Arial" w:eastAsia="SimSun" w:hAnsi="Arial" w:cs="Arial"/>
                <w:sz w:val="16"/>
                <w:szCs w:val="16"/>
                <w:lang w:eastAsia="zh-CN"/>
              </w:rPr>
              <w:br/>
              <w:t>Patient must have evidence of chronic liver injury determined by confirmed elevated serum ALT or liver biopsy.</w:t>
            </w:r>
          </w:p>
        </w:tc>
        <w:tc>
          <w:tcPr>
            <w:tcW w:w="929" w:type="pct"/>
            <w:tcMar>
              <w:top w:w="28" w:type="dxa"/>
              <w:left w:w="28" w:type="dxa"/>
              <w:right w:w="57" w:type="dxa"/>
            </w:tcMar>
          </w:tcPr>
          <w:p w14:paraId="7203CBF3" w14:textId="77777777" w:rsidR="008F47B8" w:rsidRPr="006D52A9" w:rsidDel="0038228E"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4993</w:t>
            </w:r>
          </w:p>
        </w:tc>
      </w:tr>
      <w:tr w:rsidR="008F47B8" w:rsidRPr="006D52A9" w:rsidDel="0038228E" w14:paraId="5A380368" w14:textId="77777777" w:rsidTr="00FB6D2D">
        <w:tc>
          <w:tcPr>
            <w:tcW w:w="647" w:type="pct"/>
            <w:tcMar>
              <w:top w:w="28" w:type="dxa"/>
              <w:left w:w="28" w:type="dxa"/>
            </w:tcMar>
          </w:tcPr>
          <w:p w14:paraId="15440C7D" w14:textId="77777777" w:rsidR="008F47B8" w:rsidRPr="006D52A9" w:rsidDel="0038228E"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E9FE256" w14:textId="77777777" w:rsidR="008F47B8" w:rsidRPr="006D52A9" w:rsidDel="0038228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C5036</w:t>
            </w:r>
          </w:p>
        </w:tc>
        <w:tc>
          <w:tcPr>
            <w:tcW w:w="274" w:type="pct"/>
            <w:tcMar>
              <w:top w:w="28" w:type="dxa"/>
              <w:left w:w="28" w:type="dxa"/>
            </w:tcMar>
          </w:tcPr>
          <w:p w14:paraId="06BAEFA9" w14:textId="77777777" w:rsidR="008F47B8" w:rsidRPr="006D52A9" w:rsidDel="0038228E"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C88E7F5" w14:textId="77777777" w:rsidR="008F47B8" w:rsidRPr="006D52A9" w:rsidDel="0038228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B infection</w:t>
            </w:r>
            <w:r w:rsidRPr="006D52A9">
              <w:rPr>
                <w:rFonts w:ascii="Arial" w:eastAsia="SimSun" w:hAnsi="Arial" w:cs="Arial"/>
                <w:sz w:val="16"/>
                <w:szCs w:val="16"/>
                <w:lang w:eastAsia="zh-CN"/>
              </w:rPr>
              <w:br/>
              <w:t>Patient must have cirrhosis, AND</w:t>
            </w:r>
            <w:r w:rsidRPr="006D52A9">
              <w:rPr>
                <w:rFonts w:ascii="Arial" w:eastAsia="SimSun" w:hAnsi="Arial" w:cs="Arial"/>
                <w:sz w:val="16"/>
                <w:szCs w:val="16"/>
                <w:lang w:eastAsia="zh-CN"/>
              </w:rPr>
              <w:br/>
              <w:t>Patient must have detectable HBV DNA.</w:t>
            </w:r>
            <w:r w:rsidRPr="006D52A9">
              <w:rPr>
                <w:rFonts w:ascii="Arial" w:eastAsia="SimSun" w:hAnsi="Arial" w:cs="Arial"/>
                <w:sz w:val="16"/>
                <w:szCs w:val="16"/>
                <w:lang w:eastAsia="zh-CN"/>
              </w:rPr>
              <w:br/>
              <w:t xml:space="preserve">Patients with Child’s class B or C cirrhosis (ascites, variceal bleeding, encephalopathy, albumin less than 30 g per L, bilirubin greater than 30 micromoles per L) should have their treatment discussed with a </w:t>
            </w:r>
            <w:r w:rsidRPr="006D52A9">
              <w:rPr>
                <w:rFonts w:ascii="Arial" w:eastAsia="SimSun" w:hAnsi="Arial" w:cs="Arial"/>
                <w:sz w:val="16"/>
                <w:szCs w:val="16"/>
                <w:lang w:eastAsia="zh-CN"/>
              </w:rPr>
              <w:lastRenderedPageBreak/>
              <w:t>transplant unit prior to initiating therapy.</w:t>
            </w:r>
          </w:p>
        </w:tc>
        <w:tc>
          <w:tcPr>
            <w:tcW w:w="929" w:type="pct"/>
            <w:tcMar>
              <w:top w:w="28" w:type="dxa"/>
              <w:left w:w="28" w:type="dxa"/>
              <w:right w:w="57" w:type="dxa"/>
            </w:tcMar>
          </w:tcPr>
          <w:p w14:paraId="3B37795F" w14:textId="77777777" w:rsidR="008F47B8" w:rsidRPr="006D52A9" w:rsidDel="0038228E"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5036</w:t>
            </w:r>
          </w:p>
        </w:tc>
      </w:tr>
      <w:tr w:rsidR="008F47B8" w:rsidRPr="006D52A9" w:rsidDel="00E857B4" w14:paraId="2BAFB3AA" w14:textId="77777777" w:rsidTr="00FB6D2D">
        <w:tc>
          <w:tcPr>
            <w:tcW w:w="647" w:type="pct"/>
            <w:tcMar>
              <w:top w:w="28" w:type="dxa"/>
              <w:left w:w="28" w:type="dxa"/>
            </w:tcMar>
          </w:tcPr>
          <w:p w14:paraId="31E79B14" w14:textId="77777777" w:rsidR="008F47B8" w:rsidRPr="006D52A9" w:rsidDel="00E857B4"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D351021" w14:textId="77777777" w:rsidR="008F47B8" w:rsidRPr="006D52A9" w:rsidDel="00E857B4"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C5042</w:t>
            </w:r>
          </w:p>
        </w:tc>
        <w:tc>
          <w:tcPr>
            <w:tcW w:w="274" w:type="pct"/>
            <w:tcMar>
              <w:top w:w="28" w:type="dxa"/>
              <w:left w:w="28" w:type="dxa"/>
            </w:tcMar>
          </w:tcPr>
          <w:p w14:paraId="17B88EDE" w14:textId="77777777" w:rsidR="008F47B8" w:rsidRPr="006D52A9" w:rsidDel="00E857B4"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E4D9C10" w14:textId="77777777" w:rsidR="008F47B8" w:rsidRPr="006D52A9" w:rsidDel="00E857B4"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Chronic Myeloid Leukaemia (CML)</w:t>
            </w:r>
            <w:r w:rsidRPr="006D52A9">
              <w:rPr>
                <w:rFonts w:ascii="Arial" w:hAnsi="Arial" w:cs="Arial"/>
                <w:sz w:val="16"/>
                <w:szCs w:val="16"/>
              </w:rPr>
              <w:br/>
              <w:t>The condition must be Philadelphia chromosome positive.</w:t>
            </w:r>
          </w:p>
        </w:tc>
        <w:tc>
          <w:tcPr>
            <w:tcW w:w="929" w:type="pct"/>
            <w:tcMar>
              <w:top w:w="28" w:type="dxa"/>
              <w:left w:w="28" w:type="dxa"/>
              <w:right w:w="57" w:type="dxa"/>
            </w:tcMar>
          </w:tcPr>
          <w:p w14:paraId="2268DB3F" w14:textId="77777777" w:rsidR="008F47B8" w:rsidRPr="006D52A9" w:rsidDel="00E857B4"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5042</w:t>
            </w:r>
          </w:p>
        </w:tc>
      </w:tr>
      <w:tr w:rsidR="008F47B8" w:rsidRPr="006D52A9" w:rsidDel="0038228E" w14:paraId="695B1CF1" w14:textId="77777777" w:rsidTr="00FB6D2D">
        <w:tc>
          <w:tcPr>
            <w:tcW w:w="647" w:type="pct"/>
            <w:tcMar>
              <w:top w:w="28" w:type="dxa"/>
              <w:left w:w="28" w:type="dxa"/>
            </w:tcMar>
          </w:tcPr>
          <w:p w14:paraId="0E8C47F1" w14:textId="77777777" w:rsidR="008F47B8" w:rsidRPr="006D52A9" w:rsidDel="0038228E"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6B0B17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C9259</w:t>
            </w:r>
          </w:p>
        </w:tc>
        <w:tc>
          <w:tcPr>
            <w:tcW w:w="274" w:type="pct"/>
            <w:tcMar>
              <w:top w:w="28" w:type="dxa"/>
              <w:left w:w="28" w:type="dxa"/>
            </w:tcMar>
          </w:tcPr>
          <w:p w14:paraId="3394A53B" w14:textId="77777777" w:rsidR="008F47B8" w:rsidRPr="006D52A9" w:rsidDel="0038228E"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893861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Chronic Myeloid Leukaemia (CML)</w:t>
            </w:r>
            <w:r w:rsidRPr="006D52A9">
              <w:rPr>
                <w:szCs w:val="16"/>
              </w:rPr>
              <w:br/>
            </w:r>
            <w:r w:rsidRPr="006D52A9">
              <w:rPr>
                <w:rFonts w:ascii="Arial" w:hAnsi="Arial" w:cs="Arial"/>
                <w:sz w:val="16"/>
                <w:szCs w:val="16"/>
              </w:rPr>
              <w:t>The condition must be Philadelphia chromosome positive.</w:t>
            </w:r>
          </w:p>
        </w:tc>
        <w:tc>
          <w:tcPr>
            <w:tcW w:w="929" w:type="pct"/>
            <w:tcMar>
              <w:top w:w="28" w:type="dxa"/>
              <w:left w:w="28" w:type="dxa"/>
              <w:right w:w="57" w:type="dxa"/>
            </w:tcMar>
          </w:tcPr>
          <w:p w14:paraId="7E8C59B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9259</w:t>
            </w:r>
          </w:p>
        </w:tc>
      </w:tr>
      <w:tr w:rsidR="008F47B8" w:rsidRPr="006D52A9" w:rsidDel="00FE20B2" w14:paraId="2819A15F" w14:textId="77777777" w:rsidTr="00FB6D2D">
        <w:tc>
          <w:tcPr>
            <w:tcW w:w="647" w:type="pct"/>
            <w:tcBorders>
              <w:bottom w:val="single" w:sz="4" w:space="0" w:color="auto"/>
            </w:tcBorders>
            <w:shd w:val="clear" w:color="auto" w:fill="auto"/>
            <w:tcMar>
              <w:top w:w="28" w:type="dxa"/>
              <w:left w:w="28" w:type="dxa"/>
            </w:tcMar>
          </w:tcPr>
          <w:p w14:paraId="67724ACD" w14:textId="77777777" w:rsidR="008F47B8" w:rsidRPr="006D52A9" w:rsidDel="00FE20B2" w:rsidRDefault="008F47B8" w:rsidP="00FB6D2D">
            <w:pPr>
              <w:widowControl w:val="0"/>
              <w:spacing w:line="240" w:lineRule="auto"/>
              <w:rPr>
                <w:rFonts w:ascii="Arial" w:eastAsia="SimSun" w:hAnsi="Arial" w:cs="Arial"/>
                <w:sz w:val="16"/>
                <w:szCs w:val="16"/>
                <w:lang w:eastAsia="zh-CN"/>
              </w:rPr>
            </w:pPr>
            <w:bookmarkStart w:id="157" w:name="CU_299568658"/>
            <w:bookmarkStart w:id="158" w:name="CU_303570663"/>
            <w:bookmarkEnd w:id="157"/>
            <w:bookmarkEnd w:id="158"/>
            <w:r w:rsidRPr="006D52A9">
              <w:rPr>
                <w:rFonts w:ascii="Arial" w:eastAsia="SimSun" w:hAnsi="Arial" w:cs="Arial"/>
                <w:sz w:val="16"/>
                <w:szCs w:val="16"/>
                <w:lang w:eastAsia="zh-CN"/>
              </w:rPr>
              <w:t>Interferon Gamma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1b</w:t>
            </w:r>
          </w:p>
        </w:tc>
        <w:tc>
          <w:tcPr>
            <w:tcW w:w="283" w:type="pct"/>
            <w:tcBorders>
              <w:bottom w:val="single" w:sz="4" w:space="0" w:color="auto"/>
            </w:tcBorders>
            <w:shd w:val="clear" w:color="auto" w:fill="auto"/>
            <w:tcMar>
              <w:top w:w="28" w:type="dxa"/>
              <w:left w:w="28" w:type="dxa"/>
            </w:tcMar>
          </w:tcPr>
          <w:p w14:paraId="26AC80FA" w14:textId="77777777" w:rsidR="008F47B8" w:rsidRPr="006D52A9" w:rsidDel="00FE20B2" w:rsidRDefault="008F47B8" w:rsidP="00FB6D2D">
            <w:pPr>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C6222</w:t>
            </w:r>
          </w:p>
        </w:tc>
        <w:tc>
          <w:tcPr>
            <w:tcW w:w="274" w:type="pct"/>
            <w:tcBorders>
              <w:bottom w:val="single" w:sz="4" w:space="0" w:color="auto"/>
            </w:tcBorders>
            <w:shd w:val="clear" w:color="auto" w:fill="auto"/>
            <w:tcMar>
              <w:top w:w="28" w:type="dxa"/>
              <w:left w:w="28" w:type="dxa"/>
            </w:tcMar>
          </w:tcPr>
          <w:p w14:paraId="42DCBCE1" w14:textId="77777777" w:rsidR="008F47B8" w:rsidRPr="006D52A9" w:rsidDel="00FE20B2" w:rsidRDefault="008F47B8" w:rsidP="00FB6D2D">
            <w:pPr>
              <w:widowControl w:val="0"/>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2946D736" w14:textId="77777777" w:rsidR="008F47B8" w:rsidRPr="006D52A9" w:rsidDel="00FE20B2" w:rsidRDefault="008F47B8" w:rsidP="00FB6D2D">
            <w:pPr>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granulomatous disease</w:t>
            </w:r>
            <w:r w:rsidRPr="006D52A9">
              <w:rPr>
                <w:rFonts w:ascii="Arial" w:eastAsia="SimSun" w:hAnsi="Arial" w:cs="Arial"/>
                <w:sz w:val="16"/>
                <w:szCs w:val="16"/>
                <w:lang w:eastAsia="zh-CN"/>
              </w:rPr>
              <w:br/>
              <w:t>Patient must have frequent and severe infections despite adequate prophylaxis with antimicrobial agents.</w:t>
            </w:r>
          </w:p>
        </w:tc>
        <w:tc>
          <w:tcPr>
            <w:tcW w:w="929" w:type="pct"/>
            <w:tcBorders>
              <w:bottom w:val="single" w:sz="4" w:space="0" w:color="auto"/>
            </w:tcBorders>
            <w:shd w:val="clear" w:color="auto" w:fill="auto"/>
            <w:tcMar>
              <w:top w:w="28" w:type="dxa"/>
              <w:left w:w="28" w:type="dxa"/>
              <w:right w:w="57" w:type="dxa"/>
            </w:tcMar>
          </w:tcPr>
          <w:p w14:paraId="1DBAF36F" w14:textId="77777777" w:rsidR="008F47B8" w:rsidRPr="006D52A9" w:rsidDel="00FE20B2" w:rsidRDefault="008F47B8" w:rsidP="00FB6D2D">
            <w:pPr>
              <w:keepNext/>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6222</w:t>
            </w:r>
          </w:p>
        </w:tc>
      </w:tr>
      <w:tr w:rsidR="008F47B8" w:rsidRPr="006D52A9" w:rsidDel="0052299A" w14:paraId="010BBC23" w14:textId="77777777" w:rsidTr="00FB6D2D">
        <w:tc>
          <w:tcPr>
            <w:tcW w:w="647" w:type="pct"/>
            <w:tcBorders>
              <w:bottom w:val="single" w:sz="4" w:space="0" w:color="auto"/>
            </w:tcBorders>
            <w:shd w:val="clear" w:color="auto" w:fill="auto"/>
            <w:tcMar>
              <w:top w:w="28" w:type="dxa"/>
              <w:left w:w="28" w:type="dxa"/>
            </w:tcMar>
          </w:tcPr>
          <w:p w14:paraId="7A508E41" w14:textId="77777777" w:rsidR="008F47B8" w:rsidRPr="006D52A9" w:rsidDel="0052299A" w:rsidRDefault="008F47B8" w:rsidP="00FB6D2D">
            <w:pPr>
              <w:widowControl w:val="0"/>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7F6E3E28" w14:textId="77777777" w:rsidR="008F47B8" w:rsidRPr="006D52A9" w:rsidDel="0052299A" w:rsidRDefault="008F47B8" w:rsidP="00FB6D2D">
            <w:pPr>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C9639</w:t>
            </w:r>
          </w:p>
        </w:tc>
        <w:tc>
          <w:tcPr>
            <w:tcW w:w="274" w:type="pct"/>
            <w:tcBorders>
              <w:bottom w:val="single" w:sz="4" w:space="0" w:color="auto"/>
            </w:tcBorders>
            <w:shd w:val="clear" w:color="auto" w:fill="auto"/>
            <w:tcMar>
              <w:top w:w="28" w:type="dxa"/>
              <w:left w:w="28" w:type="dxa"/>
            </w:tcMar>
          </w:tcPr>
          <w:p w14:paraId="4353901F" w14:textId="77777777" w:rsidR="008F47B8" w:rsidRPr="006D52A9" w:rsidDel="0052299A" w:rsidRDefault="008F47B8" w:rsidP="00FB6D2D">
            <w:pPr>
              <w:widowControl w:val="0"/>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77CCDE62" w14:textId="77777777" w:rsidR="008F47B8" w:rsidRPr="006D52A9" w:rsidDel="0052299A" w:rsidRDefault="008F47B8" w:rsidP="00FB6D2D">
            <w:pPr>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granulomatous disease</w:t>
            </w:r>
            <w:r w:rsidRPr="006D52A9">
              <w:rPr>
                <w:rFonts w:ascii="Arial" w:eastAsia="SimSun" w:hAnsi="Arial" w:cs="Arial"/>
                <w:sz w:val="16"/>
                <w:szCs w:val="16"/>
                <w:lang w:eastAsia="zh-CN"/>
              </w:rPr>
              <w:br/>
              <w:t>Patient must have frequent and severe infections despite adequate prophylaxis with antimicrobial agents.</w:t>
            </w:r>
          </w:p>
        </w:tc>
        <w:tc>
          <w:tcPr>
            <w:tcW w:w="929" w:type="pct"/>
            <w:tcBorders>
              <w:bottom w:val="single" w:sz="4" w:space="0" w:color="auto"/>
            </w:tcBorders>
            <w:shd w:val="clear" w:color="auto" w:fill="auto"/>
            <w:tcMar>
              <w:top w:w="28" w:type="dxa"/>
              <w:left w:w="28" w:type="dxa"/>
              <w:right w:w="57" w:type="dxa"/>
            </w:tcMar>
          </w:tcPr>
          <w:p w14:paraId="097C4FBD" w14:textId="77777777" w:rsidR="008F47B8" w:rsidRPr="006D52A9" w:rsidDel="0052299A" w:rsidRDefault="008F47B8" w:rsidP="00FB6D2D">
            <w:pPr>
              <w:keepNext/>
              <w:widowControl w:val="0"/>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9639</w:t>
            </w:r>
          </w:p>
        </w:tc>
      </w:tr>
      <w:tr w:rsidR="008F47B8" w:rsidRPr="006D52A9" w:rsidDel="001528FD" w14:paraId="136D81DE" w14:textId="77777777" w:rsidTr="00FB6D2D">
        <w:tc>
          <w:tcPr>
            <w:tcW w:w="647" w:type="pct"/>
          </w:tcPr>
          <w:p w14:paraId="3A3D4037" w14:textId="77777777" w:rsidR="008F47B8" w:rsidRPr="006D52A9" w:rsidDel="001528F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Ivacaftor</w:t>
            </w:r>
          </w:p>
        </w:tc>
        <w:tc>
          <w:tcPr>
            <w:tcW w:w="283" w:type="pct"/>
          </w:tcPr>
          <w:p w14:paraId="5AD54BFB" w14:textId="77777777" w:rsidR="008F47B8" w:rsidRPr="006D52A9" w:rsidDel="001528F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C9889</w:t>
            </w:r>
          </w:p>
        </w:tc>
        <w:tc>
          <w:tcPr>
            <w:tcW w:w="274" w:type="pct"/>
          </w:tcPr>
          <w:p w14:paraId="43D0C4DC" w14:textId="77777777" w:rsidR="008F47B8" w:rsidRPr="006D52A9" w:rsidDel="001528FD" w:rsidRDefault="008F47B8" w:rsidP="00FB6D2D">
            <w:pPr>
              <w:spacing w:line="240" w:lineRule="auto"/>
              <w:rPr>
                <w:rFonts w:ascii="Arial" w:eastAsia="SimSun" w:hAnsi="Arial" w:cs="Arial"/>
                <w:sz w:val="16"/>
                <w:szCs w:val="16"/>
                <w:lang w:eastAsia="zh-CN"/>
              </w:rPr>
            </w:pPr>
          </w:p>
        </w:tc>
        <w:tc>
          <w:tcPr>
            <w:tcW w:w="2867" w:type="pct"/>
          </w:tcPr>
          <w:p w14:paraId="3B1CFC3F" w14:textId="77777777" w:rsidR="008F47B8" w:rsidRPr="006D52A9" w:rsidDel="001528F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initial therapy with ivacaftor, given concomitantly with standard therapy, for this condition; AND</w:t>
            </w:r>
            <w:r w:rsidRPr="006D52A9">
              <w:rPr>
                <w:rFonts w:ascii="Arial" w:eastAsia="SimSun" w:hAnsi="Arial" w:cs="Arial"/>
                <w:sz w:val="16"/>
                <w:szCs w:val="16"/>
                <w:lang w:eastAsia="zh-CN"/>
              </w:rPr>
              <w:br/>
              <w:t>Patient must not receive more than 24 weeks of treatment under this restriction; AND</w:t>
            </w:r>
            <w:r w:rsidRPr="006D52A9">
              <w:rPr>
                <w:rFonts w:ascii="Arial" w:eastAsia="SimSun" w:hAnsi="Arial" w:cs="Arial"/>
                <w:sz w:val="16"/>
                <w:szCs w:val="16"/>
                <w:lang w:eastAsia="zh-CN"/>
              </w:rPr>
              <w:br/>
              <w:t>The treatment must be given concomitantly with standard therapy for this condition.</w:t>
            </w:r>
            <w:r w:rsidRPr="006D52A9">
              <w:rPr>
                <w:rFonts w:ascii="Arial" w:eastAsia="SimSun" w:hAnsi="Arial" w:cs="Arial"/>
                <w:sz w:val="16"/>
                <w:szCs w:val="16"/>
                <w:lang w:eastAsia="zh-CN"/>
              </w:rPr>
              <w:br/>
              <w:t>Patient must be aged 12 months or older.</w:t>
            </w:r>
            <w:r w:rsidRPr="006D52A9">
              <w:rPr>
                <w:rFonts w:ascii="Arial" w:eastAsia="SimSun" w:hAnsi="Arial" w:cs="Arial"/>
                <w:sz w:val="16"/>
                <w:szCs w:val="16"/>
                <w:lang w:eastAsia="zh-CN"/>
              </w:rPr>
              <w:br/>
              <w:t>Patients receiving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ivacaftor must be registered in the Australian Cystic Fibrosis Database Registry.</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eastAsia="SimSun" w:hAnsi="Arial" w:cs="Arial"/>
                <w:sz w:val="16"/>
                <w:szCs w:val="16"/>
                <w:lang w:eastAsia="zh-CN"/>
              </w:rPr>
              <w:b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w:t>
            </w:r>
            <w:r w:rsidRPr="006D52A9">
              <w:rPr>
                <w:rFonts w:ascii="Arial" w:eastAsia="SimSun" w:hAnsi="Arial" w:cs="Arial"/>
                <w:sz w:val="16"/>
                <w:szCs w:val="16"/>
                <w:lang w:eastAsia="zh-CN"/>
              </w:rPr>
              <w:lastRenderedPageBreak/>
              <w:t>a patient is concomitantly receiving a strong CYP3A4 inhibitor, a single supply of 56 tablets or sachets of ivacaftor will last for 28 weeks.</w:t>
            </w:r>
            <w:r w:rsidRPr="006D52A9">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6D52A9">
              <w:rPr>
                <w:rFonts w:ascii="Arial" w:eastAsia="SimSun" w:hAnsi="Arial" w:cs="Arial"/>
                <w:sz w:val="16"/>
                <w:szCs w:val="16"/>
                <w:lang w:eastAsia="zh-CN"/>
              </w:rPr>
              <w:br/>
              <w:t>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as a sole therapy.</w:t>
            </w:r>
            <w:r w:rsidRPr="006D52A9">
              <w:rPr>
                <w:rFonts w:ascii="Arial" w:eastAsia="SimSun" w:hAnsi="Arial" w:cs="Arial"/>
                <w:sz w:val="16"/>
                <w:szCs w:val="16"/>
                <w:lang w:eastAsia="zh-CN"/>
              </w:rPr>
              <w:br/>
              <w:t>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Ivacaftor Authority Continuing Application Supporting Information Form; and</w:t>
            </w:r>
            <w:r w:rsidRPr="006D52A9">
              <w:rPr>
                <w:rFonts w:ascii="Arial" w:eastAsia="SimSun" w:hAnsi="Arial" w:cs="Arial"/>
                <w:sz w:val="16"/>
                <w:szCs w:val="16"/>
                <w:lang w:eastAsia="zh-CN"/>
              </w:rPr>
              <w:br/>
              <w:t>(3) the result of a FEV1 measurement performed within one month prior to the date of application, if aged 6 years or older. Note: FEV1, must be measured in an accredited pulmonary function laboratory, with documented no acute infective exacerbation at the time FEV1 is measured; and</w:t>
            </w:r>
            <w:r w:rsidRPr="006D52A9">
              <w:rPr>
                <w:rFonts w:ascii="Arial" w:eastAsia="SimSun" w:hAnsi="Arial" w:cs="Arial"/>
                <w:sz w:val="16"/>
                <w:szCs w:val="16"/>
                <w:lang w:eastAsia="zh-CN"/>
              </w:rPr>
              <w:br/>
              <w:t>(4) current CYP3A4 inhibitors, CYP3A4 inducers and IV antibiotics; and</w:t>
            </w:r>
            <w:r w:rsidRPr="006D52A9">
              <w:rPr>
                <w:rFonts w:ascii="Arial" w:eastAsia="SimSun" w:hAnsi="Arial" w:cs="Arial"/>
                <w:sz w:val="16"/>
                <w:szCs w:val="16"/>
                <w:lang w:eastAsia="zh-CN"/>
              </w:rPr>
              <w:br/>
              <w:t>(5) height and weight measurements at the time of application; and</w:t>
            </w:r>
            <w:r w:rsidRPr="006D52A9">
              <w:rPr>
                <w:rFonts w:ascii="Arial" w:eastAsia="SimSun" w:hAnsi="Arial" w:cs="Arial"/>
                <w:sz w:val="16"/>
                <w:szCs w:val="16"/>
                <w:lang w:eastAsia="zh-CN"/>
              </w:rPr>
              <w:br/>
              <w:t>(6) a measurement of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 in the home) in the previous 6 months.</w:t>
            </w:r>
          </w:p>
        </w:tc>
        <w:tc>
          <w:tcPr>
            <w:tcW w:w="929" w:type="pct"/>
          </w:tcPr>
          <w:p w14:paraId="6205CBEF" w14:textId="77777777" w:rsidR="008F47B8" w:rsidRPr="006D52A9" w:rsidDel="001528FD"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8FD" w14:paraId="1FDCEBBD" w14:textId="77777777" w:rsidTr="00FB6D2D">
        <w:tc>
          <w:tcPr>
            <w:tcW w:w="647" w:type="pct"/>
          </w:tcPr>
          <w:p w14:paraId="6B1BE6A8" w14:textId="77777777" w:rsidR="008F47B8" w:rsidRPr="006D52A9" w:rsidDel="001528FD" w:rsidRDefault="008F47B8" w:rsidP="00FB6D2D">
            <w:pPr>
              <w:spacing w:line="240" w:lineRule="auto"/>
              <w:rPr>
                <w:rFonts w:ascii="Arial" w:eastAsia="SimSun" w:hAnsi="Arial" w:cs="Arial"/>
                <w:sz w:val="16"/>
                <w:szCs w:val="16"/>
                <w:lang w:eastAsia="zh-CN"/>
              </w:rPr>
            </w:pPr>
          </w:p>
        </w:tc>
        <w:tc>
          <w:tcPr>
            <w:tcW w:w="283" w:type="pct"/>
          </w:tcPr>
          <w:p w14:paraId="286CA009" w14:textId="77777777" w:rsidR="008F47B8" w:rsidRPr="006D52A9" w:rsidDel="001528F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C9890</w:t>
            </w:r>
          </w:p>
        </w:tc>
        <w:tc>
          <w:tcPr>
            <w:tcW w:w="274" w:type="pct"/>
          </w:tcPr>
          <w:p w14:paraId="6A444D69" w14:textId="77777777" w:rsidR="008F47B8" w:rsidRPr="006D52A9" w:rsidDel="001528FD" w:rsidRDefault="008F47B8" w:rsidP="00FB6D2D">
            <w:pPr>
              <w:spacing w:line="240" w:lineRule="auto"/>
              <w:rPr>
                <w:rFonts w:ascii="Arial" w:eastAsia="SimSun" w:hAnsi="Arial" w:cs="Arial"/>
                <w:sz w:val="16"/>
                <w:szCs w:val="16"/>
                <w:lang w:eastAsia="zh-CN"/>
              </w:rPr>
            </w:pPr>
          </w:p>
        </w:tc>
        <w:tc>
          <w:tcPr>
            <w:tcW w:w="2867" w:type="pct"/>
          </w:tcPr>
          <w:p w14:paraId="595AB4AC" w14:textId="77777777" w:rsidR="008F47B8" w:rsidRPr="006D52A9" w:rsidDel="001528F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New patients</w:t>
            </w:r>
            <w:r w:rsidRPr="006D52A9">
              <w:rPr>
                <w:rFonts w:ascii="Arial" w:eastAsia="SimSun" w:hAnsi="Arial" w:cs="Arial"/>
                <w:sz w:val="16"/>
                <w:szCs w:val="16"/>
                <w:lang w:eastAsia="zh-CN"/>
              </w:rPr>
              <w:b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r w:rsidRPr="006D52A9">
              <w:rPr>
                <w:rFonts w:ascii="Arial" w:eastAsia="SimSun" w:hAnsi="Arial" w:cs="Arial"/>
                <w:sz w:val="16"/>
                <w:szCs w:val="16"/>
                <w:lang w:eastAsia="zh-CN"/>
              </w:rPr>
              <w:br/>
              <w:t>Patient must have G551D mutation in the cystic fibrosis transmembrane conductance regulator (CFTR) gene on at least 1 allele; OR</w:t>
            </w:r>
            <w:r w:rsidRPr="006D52A9">
              <w:rPr>
                <w:rFonts w:ascii="Arial" w:eastAsia="SimSun" w:hAnsi="Arial" w:cs="Arial"/>
                <w:sz w:val="16"/>
                <w:szCs w:val="16"/>
                <w:lang w:eastAsia="zh-CN"/>
              </w:rPr>
              <w:br/>
              <w:t>Patient must have other gating (class III) mutation in the CFTR gene on at least 1 allele; AND</w:t>
            </w:r>
            <w:r w:rsidRPr="006D52A9">
              <w:rPr>
                <w:rFonts w:ascii="Arial" w:eastAsia="SimSun" w:hAnsi="Arial" w:cs="Arial"/>
                <w:sz w:val="16"/>
                <w:szCs w:val="16"/>
                <w:lang w:eastAsia="zh-CN"/>
              </w:rPr>
              <w:br/>
              <w:t>Patient must have a sweat chloride value of at least 60 mmol/L by quantitative pilocarpine iontophoresis; AND</w:t>
            </w:r>
            <w:r w:rsidRPr="006D52A9">
              <w:rPr>
                <w:rFonts w:ascii="Arial" w:eastAsia="SimSun" w:hAnsi="Arial" w:cs="Arial"/>
                <w:sz w:val="16"/>
                <w:szCs w:val="16"/>
                <w:lang w:eastAsia="zh-CN"/>
              </w:rPr>
              <w:br/>
              <w:t>Patient must not receive more than 24 weeks of treatment under this restriction; AND</w:t>
            </w:r>
            <w:r w:rsidRPr="006D52A9">
              <w:rPr>
                <w:rFonts w:ascii="Arial" w:eastAsia="SimSun" w:hAnsi="Arial" w:cs="Arial"/>
                <w:sz w:val="16"/>
                <w:szCs w:val="16"/>
                <w:lang w:eastAsia="zh-CN"/>
              </w:rPr>
              <w:br/>
              <w:t>The treatment must be given concomitantly with standard therapy for this condition.</w:t>
            </w:r>
            <w:r w:rsidRPr="006D52A9">
              <w:rPr>
                <w:rFonts w:ascii="Arial" w:eastAsia="SimSun" w:hAnsi="Arial" w:cs="Arial"/>
                <w:sz w:val="16"/>
                <w:szCs w:val="16"/>
                <w:lang w:eastAsia="zh-CN"/>
              </w:rPr>
              <w:br/>
              <w:t>Patient must be aged 12 months or older.</w:t>
            </w:r>
            <w:r w:rsidRPr="006D52A9">
              <w:rPr>
                <w:rFonts w:ascii="Arial" w:eastAsia="SimSun" w:hAnsi="Arial" w:cs="Arial"/>
                <w:sz w:val="16"/>
                <w:szCs w:val="16"/>
                <w:lang w:eastAsia="zh-CN"/>
              </w:rPr>
              <w:br/>
              <w:t>Patients receiving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ivacaftor must be registered in the Australian Cystic Fibrosis Database Registry.</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posaconazole, ritonavir, saquinavir, telaprevir, telithromycin, voriconazole. Where a patient is concomitantly receiving a strong CYP3A4 inhibitor, a single supply of 56 tablets or sachets of ivacaftor will last for 28 weeks.</w:t>
            </w:r>
            <w:r w:rsidRPr="006D52A9">
              <w:rPr>
                <w:rFonts w:ascii="Arial" w:eastAsia="SimSun" w:hAnsi="Arial" w:cs="Arial"/>
                <w:sz w:val="16"/>
                <w:szCs w:val="16"/>
                <w:lang w:eastAsia="zh-CN"/>
              </w:rPr>
              <w:br/>
              <w:t>Dosage of ivacaftor must not exceed the dose of one tablet (150 mg) or one sachet once daily, if the patient is concomitantly receiving one of the following moderate CYP3A4 inhibitors: amprenavir, aprepitant, atazanavir, darunavir/ritonavir, diltiazem, erythromycin, fluconazole, fosamprenavir, imatinib, verapamil. Where a patient is concomitantly receiving a moderate CYP3A4 inhibitor, a single supply of 56 tablets or sachets of ivacaftor will last for 8 weeks.</w:t>
            </w:r>
            <w:r w:rsidRPr="006D52A9">
              <w:rPr>
                <w:rFonts w:ascii="Arial" w:eastAsia="SimSun" w:hAnsi="Arial" w:cs="Arial"/>
                <w:sz w:val="16"/>
                <w:szCs w:val="16"/>
                <w:lang w:eastAsia="zh-CN"/>
              </w:rPr>
              <w:br/>
              <w:t>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as a sole therapy.</w:t>
            </w:r>
            <w:r w:rsidRPr="006D52A9">
              <w:rPr>
                <w:rFonts w:ascii="Arial" w:eastAsia="SimSun" w:hAnsi="Arial" w:cs="Arial"/>
                <w:sz w:val="16"/>
                <w:szCs w:val="16"/>
                <w:lang w:eastAsia="zh-CN"/>
              </w:rPr>
              <w:br/>
              <w:t>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Ivacaftor Authority Application Supporting Information Form; and</w:t>
            </w:r>
            <w:r w:rsidRPr="006D52A9">
              <w:rPr>
                <w:rFonts w:ascii="Arial" w:eastAsia="SimSun" w:hAnsi="Arial" w:cs="Arial"/>
                <w:sz w:val="16"/>
                <w:szCs w:val="16"/>
                <w:lang w:eastAsia="zh-CN"/>
              </w:rPr>
              <w:br/>
              <w:t>(3) a copy of the pathology report detailing the molecular testing for G551D mutation or other gating (class III) mutation on the CFTR gene; and</w:t>
            </w:r>
            <w:r w:rsidRPr="006D52A9">
              <w:rPr>
                <w:rFonts w:ascii="Arial" w:eastAsia="SimSun" w:hAnsi="Arial" w:cs="Arial"/>
                <w:sz w:val="16"/>
                <w:szCs w:val="16"/>
                <w:lang w:eastAsia="zh-CN"/>
              </w:rPr>
              <w:br/>
              <w:t>(4) the result of a FEV1 measurement performed within a month prior to the date of application, if aged from 6 years or older. Note: FEV1, must be measured in an accredited pulmonary function laboratory, with documented no acute infective exacerbation at the time FEV1 is measured; and</w:t>
            </w:r>
            <w:r w:rsidRPr="006D52A9">
              <w:rPr>
                <w:rFonts w:ascii="Arial" w:eastAsia="SimSun" w:hAnsi="Arial" w:cs="Arial"/>
                <w:sz w:val="16"/>
                <w:szCs w:val="16"/>
                <w:lang w:eastAsia="zh-CN"/>
              </w:rPr>
              <w:br/>
              <w:t>(5) current CYP3A4 inhibitors, CYP3A4 inducers and IV antibiotics; and</w:t>
            </w:r>
            <w:r w:rsidRPr="006D52A9">
              <w:rPr>
                <w:rFonts w:ascii="Arial" w:eastAsia="SimSun" w:hAnsi="Arial" w:cs="Arial"/>
                <w:sz w:val="16"/>
                <w:szCs w:val="16"/>
                <w:lang w:eastAsia="zh-CN"/>
              </w:rPr>
              <w:br/>
              <w:t>(6) sweat chloride result; and</w:t>
            </w:r>
            <w:r w:rsidRPr="006D52A9">
              <w:rPr>
                <w:rFonts w:ascii="Arial" w:eastAsia="SimSun" w:hAnsi="Arial" w:cs="Arial"/>
                <w:sz w:val="16"/>
                <w:szCs w:val="16"/>
                <w:lang w:eastAsia="zh-CN"/>
              </w:rPr>
              <w:br/>
              <w:t>(7) height and weight measurements at the time of application; and</w:t>
            </w:r>
            <w:r w:rsidRPr="006D52A9">
              <w:rPr>
                <w:rFonts w:ascii="Arial" w:eastAsia="SimSun" w:hAnsi="Arial" w:cs="Arial"/>
                <w:sz w:val="16"/>
                <w:szCs w:val="16"/>
                <w:lang w:eastAsia="zh-CN"/>
              </w:rPr>
              <w:br/>
              <w:t>(8) a baseline measurement of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12 months.</w:t>
            </w:r>
          </w:p>
        </w:tc>
        <w:tc>
          <w:tcPr>
            <w:tcW w:w="929" w:type="pct"/>
          </w:tcPr>
          <w:p w14:paraId="07D20A2C" w14:textId="77777777" w:rsidR="008F47B8" w:rsidRPr="006D52A9" w:rsidDel="001528FD"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F50979" w14:paraId="14303798" w14:textId="77777777" w:rsidTr="00FB6D2D">
        <w:tc>
          <w:tcPr>
            <w:tcW w:w="647" w:type="pct"/>
          </w:tcPr>
          <w:p w14:paraId="794C7C83" w14:textId="77777777" w:rsidR="008F47B8" w:rsidRPr="006D52A9" w:rsidDel="00F50979" w:rsidRDefault="008F47B8" w:rsidP="00FB6D2D">
            <w:pPr>
              <w:spacing w:line="240" w:lineRule="auto"/>
              <w:rPr>
                <w:rFonts w:ascii="Arial" w:eastAsia="SimSun" w:hAnsi="Arial" w:cs="Arial"/>
                <w:sz w:val="16"/>
                <w:szCs w:val="16"/>
                <w:lang w:eastAsia="zh-CN"/>
              </w:rPr>
            </w:pPr>
            <w:bookmarkStart w:id="159" w:name="CU_304570986"/>
            <w:bookmarkStart w:id="160" w:name="CU_305574692"/>
            <w:bookmarkStart w:id="161" w:name="CU_308583996"/>
            <w:bookmarkStart w:id="162" w:name="CU_313586357"/>
            <w:bookmarkEnd w:id="159"/>
            <w:bookmarkEnd w:id="160"/>
            <w:bookmarkEnd w:id="161"/>
            <w:bookmarkEnd w:id="162"/>
            <w:r w:rsidRPr="006D52A9">
              <w:rPr>
                <w:rFonts w:ascii="Arial" w:eastAsia="SimSun" w:hAnsi="Arial" w:cs="Arial"/>
                <w:sz w:val="16"/>
                <w:szCs w:val="16"/>
                <w:lang w:eastAsia="zh-CN"/>
              </w:rPr>
              <w:t>Lamivudine</w:t>
            </w:r>
          </w:p>
        </w:tc>
        <w:tc>
          <w:tcPr>
            <w:tcW w:w="283" w:type="pct"/>
          </w:tcPr>
          <w:p w14:paraId="0651990A"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Pr>
          <w:p w14:paraId="0368DA65"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Pr>
          <w:p w14:paraId="688F0C4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52D7442E"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Pr>
          <w:p w14:paraId="275F75A0" w14:textId="77777777" w:rsidR="008F47B8" w:rsidRPr="006D52A9" w:rsidDel="00F5097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F50979" w14:paraId="069E94D1" w14:textId="77777777" w:rsidTr="00FB6D2D">
        <w:tc>
          <w:tcPr>
            <w:tcW w:w="647" w:type="pct"/>
          </w:tcPr>
          <w:p w14:paraId="18D18C1A"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3" w:type="pct"/>
          </w:tcPr>
          <w:p w14:paraId="39F878AB"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Pr>
          <w:p w14:paraId="0C3A0CF2"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Pr>
          <w:p w14:paraId="2A0F44B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26CB8E5A"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treatment must be in combination with other antiretroviral agents</w:t>
            </w:r>
          </w:p>
        </w:tc>
        <w:tc>
          <w:tcPr>
            <w:tcW w:w="929" w:type="pct"/>
          </w:tcPr>
          <w:p w14:paraId="6A20C7D1" w14:textId="77777777" w:rsidR="008F47B8" w:rsidRPr="006D52A9" w:rsidDel="00F5097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w:t>
            </w:r>
            <w:r w:rsidRPr="006D52A9">
              <w:rPr>
                <w:rFonts w:ascii="Arial" w:eastAsia="SimSun" w:hAnsi="Arial" w:cs="Arial"/>
                <w:sz w:val="16"/>
                <w:szCs w:val="16"/>
                <w:lang w:eastAsia="zh-CN"/>
              </w:rPr>
              <w:lastRenderedPageBreak/>
              <w:t>Authority Code 4512</w:t>
            </w:r>
          </w:p>
        </w:tc>
      </w:tr>
      <w:tr w:rsidR="008F47B8" w:rsidRPr="006D52A9" w:rsidDel="00F50979" w14:paraId="4120F654" w14:textId="77777777" w:rsidTr="00FB6D2D">
        <w:tc>
          <w:tcPr>
            <w:tcW w:w="647" w:type="pct"/>
          </w:tcPr>
          <w:p w14:paraId="0CBFBB05"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3" w:type="pct"/>
          </w:tcPr>
          <w:p w14:paraId="32765EEC"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C4993 </w:t>
            </w:r>
          </w:p>
        </w:tc>
        <w:tc>
          <w:tcPr>
            <w:tcW w:w="274" w:type="pct"/>
          </w:tcPr>
          <w:p w14:paraId="02244EBE"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Pr>
          <w:p w14:paraId="45ED7BAE"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B infection</w:t>
            </w:r>
            <w:r w:rsidRPr="006D52A9">
              <w:rPr>
                <w:rFonts w:ascii="Arial" w:eastAsia="SimSun" w:hAnsi="Arial" w:cs="Arial"/>
                <w:sz w:val="16"/>
                <w:szCs w:val="16"/>
                <w:lang w:eastAsia="zh-CN"/>
              </w:rPr>
              <w:br/>
              <w:t>Patient must not have cirrhosis, AND</w:t>
            </w:r>
            <w:r w:rsidRPr="006D52A9">
              <w:rPr>
                <w:rFonts w:ascii="Arial" w:eastAsia="SimSun" w:hAnsi="Arial" w:cs="Arial"/>
                <w:sz w:val="16"/>
                <w:szCs w:val="16"/>
                <w:lang w:eastAsia="zh-CN"/>
              </w:rPr>
              <w:br/>
              <w:t>Patient must have elevated HBV DNA levels greater than 20,000 IU/mL (100,000 copies/mL) if HBeAg positive, in conjunction with documented hepatitis B infection; OR</w:t>
            </w:r>
            <w:r w:rsidRPr="006D52A9">
              <w:rPr>
                <w:rFonts w:ascii="Arial" w:eastAsia="SimSun" w:hAnsi="Arial" w:cs="Arial"/>
                <w:sz w:val="16"/>
                <w:szCs w:val="16"/>
                <w:lang w:eastAsia="zh-CN"/>
              </w:rPr>
              <w:br/>
              <w:t>Patient must have elevated HBV DNA levels greater than 2,000 IU/mL (10,000 copies/mL) if HBeAg negative, in conjunction with documented hepatitis B infection, AND</w:t>
            </w:r>
            <w:r w:rsidRPr="006D52A9">
              <w:rPr>
                <w:rFonts w:ascii="Arial" w:eastAsia="SimSun" w:hAnsi="Arial" w:cs="Arial"/>
                <w:sz w:val="16"/>
                <w:szCs w:val="16"/>
                <w:lang w:eastAsia="zh-CN"/>
              </w:rPr>
              <w:br/>
              <w:t>Patient must have evidence of chronic liver injury determined by confirmed elevated serum ALT or liver biopsy.</w:t>
            </w:r>
          </w:p>
        </w:tc>
        <w:tc>
          <w:tcPr>
            <w:tcW w:w="929" w:type="pct"/>
          </w:tcPr>
          <w:p w14:paraId="42AEA5F1" w14:textId="77777777" w:rsidR="008F47B8" w:rsidRPr="006D52A9" w:rsidDel="00F5097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4993</w:t>
            </w:r>
          </w:p>
        </w:tc>
      </w:tr>
      <w:tr w:rsidR="008F47B8" w:rsidRPr="006D52A9" w:rsidDel="00F50979" w14:paraId="1DE576B0" w14:textId="77777777" w:rsidTr="00FB6D2D">
        <w:tc>
          <w:tcPr>
            <w:tcW w:w="647" w:type="pct"/>
          </w:tcPr>
          <w:p w14:paraId="2896BDF2"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3" w:type="pct"/>
          </w:tcPr>
          <w:p w14:paraId="3A01C70E"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C5036</w:t>
            </w:r>
          </w:p>
        </w:tc>
        <w:tc>
          <w:tcPr>
            <w:tcW w:w="274" w:type="pct"/>
          </w:tcPr>
          <w:p w14:paraId="713E2B44"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Pr>
          <w:p w14:paraId="790EBEF8"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B infection</w:t>
            </w:r>
            <w:r w:rsidRPr="006D52A9">
              <w:rPr>
                <w:rFonts w:ascii="Arial" w:eastAsia="SimSun" w:hAnsi="Arial" w:cs="Arial"/>
                <w:sz w:val="16"/>
                <w:szCs w:val="16"/>
                <w:lang w:eastAsia="zh-CN"/>
              </w:rPr>
              <w:br/>
              <w:t>Patient must have cirrhosis, AND</w:t>
            </w:r>
            <w:r w:rsidRPr="006D52A9">
              <w:rPr>
                <w:rFonts w:ascii="Arial" w:eastAsia="SimSun" w:hAnsi="Arial" w:cs="Arial"/>
                <w:sz w:val="16"/>
                <w:szCs w:val="16"/>
                <w:lang w:eastAsia="zh-CN"/>
              </w:rPr>
              <w:br/>
              <w:t>Patient must have detectable HBV DNA.</w:t>
            </w:r>
            <w:r w:rsidRPr="006D52A9">
              <w:rPr>
                <w:rFonts w:ascii="Arial" w:eastAsia="SimSun" w:hAnsi="Arial" w:cs="Arial"/>
                <w:sz w:val="16"/>
                <w:szCs w:val="16"/>
                <w:lang w:eastAsia="zh-CN"/>
              </w:rPr>
              <w:b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29" w:type="pct"/>
          </w:tcPr>
          <w:p w14:paraId="45C12641"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5036</w:t>
            </w:r>
          </w:p>
        </w:tc>
      </w:tr>
      <w:tr w:rsidR="008F47B8" w:rsidRPr="006D52A9" w:rsidDel="00F50979" w14:paraId="5625A84F" w14:textId="77777777" w:rsidTr="00FB6D2D">
        <w:tblPrEx>
          <w:tblLook w:val="01E0" w:firstRow="1" w:lastRow="1" w:firstColumn="1" w:lastColumn="1" w:noHBand="0" w:noVBand="0"/>
        </w:tblPrEx>
        <w:tc>
          <w:tcPr>
            <w:tcW w:w="647" w:type="pct"/>
            <w:shd w:val="clear" w:color="auto" w:fill="auto"/>
            <w:tcMar>
              <w:top w:w="28" w:type="dxa"/>
              <w:left w:w="28" w:type="dxa"/>
            </w:tcMar>
          </w:tcPr>
          <w:p w14:paraId="07070712" w14:textId="77777777" w:rsidR="008F47B8" w:rsidRPr="006D52A9" w:rsidDel="00F50979" w:rsidRDefault="008F47B8" w:rsidP="00FB6D2D">
            <w:pPr>
              <w:spacing w:line="240" w:lineRule="auto"/>
              <w:rPr>
                <w:rFonts w:ascii="Arial" w:eastAsia="SimSun" w:hAnsi="Arial" w:cs="Arial"/>
                <w:sz w:val="16"/>
                <w:szCs w:val="16"/>
                <w:lang w:eastAsia="zh-CN"/>
              </w:rPr>
            </w:pPr>
            <w:bookmarkStart w:id="163" w:name="CU_318588059"/>
            <w:bookmarkEnd w:id="163"/>
            <w:r w:rsidRPr="006D52A9">
              <w:rPr>
                <w:rFonts w:ascii="Arial" w:eastAsia="SimSun" w:hAnsi="Arial" w:cs="Arial"/>
                <w:sz w:val="16"/>
                <w:szCs w:val="16"/>
                <w:lang w:eastAsia="zh-CN"/>
              </w:rPr>
              <w:t>Lamivudine with zidovudine</w:t>
            </w:r>
          </w:p>
        </w:tc>
        <w:tc>
          <w:tcPr>
            <w:tcW w:w="283" w:type="pct"/>
            <w:shd w:val="clear" w:color="auto" w:fill="auto"/>
            <w:tcMar>
              <w:top w:w="28" w:type="dxa"/>
              <w:left w:w="28" w:type="dxa"/>
            </w:tcMar>
          </w:tcPr>
          <w:p w14:paraId="33A6FBCE"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shd w:val="clear" w:color="auto" w:fill="auto"/>
            <w:tcMar>
              <w:top w:w="28" w:type="dxa"/>
              <w:left w:w="28" w:type="dxa"/>
            </w:tcMar>
          </w:tcPr>
          <w:p w14:paraId="2816E581"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116F4D4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75F42DE0"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shd w:val="clear" w:color="auto" w:fill="auto"/>
            <w:tcMar>
              <w:top w:w="28" w:type="dxa"/>
              <w:left w:w="28" w:type="dxa"/>
              <w:right w:w="57" w:type="dxa"/>
            </w:tcMar>
          </w:tcPr>
          <w:p w14:paraId="3390D41A"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F50979" w14:paraId="60626472" w14:textId="77777777" w:rsidTr="00FB6D2D">
        <w:tblPrEx>
          <w:tblLook w:val="01E0" w:firstRow="1" w:lastRow="1" w:firstColumn="1" w:lastColumn="1" w:noHBand="0" w:noVBand="0"/>
        </w:tblPrEx>
        <w:tc>
          <w:tcPr>
            <w:tcW w:w="647" w:type="pct"/>
            <w:shd w:val="clear" w:color="auto" w:fill="auto"/>
            <w:tcMar>
              <w:top w:w="28" w:type="dxa"/>
              <w:left w:w="28" w:type="dxa"/>
            </w:tcMar>
          </w:tcPr>
          <w:p w14:paraId="7DB6C7BF"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6819DD8D"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shd w:val="clear" w:color="auto" w:fill="auto"/>
            <w:tcMar>
              <w:top w:w="28" w:type="dxa"/>
              <w:left w:w="28" w:type="dxa"/>
            </w:tcMar>
          </w:tcPr>
          <w:p w14:paraId="43554B1B"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3A2F1F5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3CD1AF29"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shd w:val="clear" w:color="auto" w:fill="auto"/>
            <w:tcMar>
              <w:top w:w="28" w:type="dxa"/>
              <w:left w:w="28" w:type="dxa"/>
              <w:right w:w="57" w:type="dxa"/>
            </w:tcMar>
          </w:tcPr>
          <w:p w14:paraId="533982F9" w14:textId="77777777" w:rsidR="008F47B8" w:rsidRPr="006D52A9" w:rsidDel="00F5097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14:paraId="65B206BC" w14:textId="77777777" w:rsidTr="00FB6D2D">
        <w:tc>
          <w:tcPr>
            <w:tcW w:w="647" w:type="pct"/>
            <w:tcMar>
              <w:top w:w="28" w:type="dxa"/>
              <w:left w:w="28" w:type="dxa"/>
            </w:tcMar>
          </w:tcPr>
          <w:p w14:paraId="39B44906" w14:textId="77777777" w:rsidR="008F47B8" w:rsidRPr="006D52A9" w:rsidRDefault="008F47B8" w:rsidP="00FB6D2D">
            <w:pPr>
              <w:spacing w:line="240" w:lineRule="auto"/>
              <w:rPr>
                <w:rFonts w:ascii="Arial" w:eastAsia="SimSun" w:hAnsi="Arial" w:cs="Arial"/>
                <w:sz w:val="16"/>
                <w:szCs w:val="16"/>
                <w:lang w:eastAsia="zh-CN"/>
              </w:rPr>
            </w:pPr>
            <w:bookmarkStart w:id="164" w:name="CU_320589506"/>
            <w:bookmarkStart w:id="165" w:name="CU_323592666"/>
            <w:bookmarkEnd w:id="164"/>
            <w:bookmarkEnd w:id="165"/>
            <w:r w:rsidRPr="006D52A9">
              <w:rPr>
                <w:rFonts w:ascii="Arial" w:eastAsia="SimSun" w:hAnsi="Arial" w:cs="Arial"/>
                <w:sz w:val="16"/>
                <w:szCs w:val="16"/>
                <w:lang w:eastAsia="zh-CN"/>
              </w:rPr>
              <w:t>Lanreotide</w:t>
            </w:r>
          </w:p>
        </w:tc>
        <w:tc>
          <w:tcPr>
            <w:tcW w:w="283" w:type="pct"/>
            <w:tcMar>
              <w:top w:w="28" w:type="dxa"/>
              <w:left w:w="28" w:type="dxa"/>
            </w:tcMar>
          </w:tcPr>
          <w:p w14:paraId="54623C5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C4575</w:t>
            </w:r>
          </w:p>
        </w:tc>
        <w:tc>
          <w:tcPr>
            <w:tcW w:w="274" w:type="pct"/>
            <w:tcMar>
              <w:top w:w="28" w:type="dxa"/>
              <w:left w:w="28" w:type="dxa"/>
            </w:tcMar>
          </w:tcPr>
          <w:p w14:paraId="57B1317D"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3C4737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Functional carcinoid tumour</w:t>
            </w:r>
          </w:p>
          <w:p w14:paraId="628F252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condition must be causing intractable symptoms; AND</w:t>
            </w:r>
          </w:p>
          <w:p w14:paraId="289213F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experienced on average over 1 week, 3 or more episodes per day of diarrhoea and/or flushing, which persisted despite the use of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histamines,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serotonin agents and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diarrhoea agents; AND</w:t>
            </w:r>
            <w:r w:rsidRPr="006D52A9">
              <w:rPr>
                <w:rFonts w:ascii="Arial" w:eastAsia="SimSun" w:hAnsi="Arial" w:cs="Arial"/>
                <w:sz w:val="16"/>
                <w:szCs w:val="16"/>
                <w:lang w:eastAsia="zh-CN"/>
              </w:rPr>
              <w:br/>
              <w:t>Patient must be one in whom surgery or antineoplastic therapy has failed or is inappropriate; AND</w:t>
            </w:r>
            <w:r w:rsidRPr="006D52A9">
              <w:rPr>
                <w:rFonts w:ascii="Arial" w:eastAsia="SimSun" w:hAnsi="Arial" w:cs="Arial"/>
                <w:sz w:val="16"/>
                <w:szCs w:val="16"/>
                <w:lang w:eastAsia="zh-CN"/>
              </w:rPr>
              <w:br/>
              <w:t>The treatment must cease if there is failure to produce a clinically significant reduction in the frequency and severity of symptoms after 3 months’ therapy at a dose of 120 mg every 28 days</w:t>
            </w:r>
          </w:p>
          <w:p w14:paraId="071535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29" w:type="pct"/>
            <w:tcMar>
              <w:top w:w="28" w:type="dxa"/>
              <w:left w:w="28" w:type="dxa"/>
              <w:right w:w="57" w:type="dxa"/>
            </w:tcMar>
          </w:tcPr>
          <w:p w14:paraId="53B1C3D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4575</w:t>
            </w:r>
          </w:p>
        </w:tc>
      </w:tr>
      <w:tr w:rsidR="008F47B8" w:rsidRPr="006D52A9" w14:paraId="0DB21BE9" w14:textId="77777777" w:rsidTr="00FB6D2D">
        <w:tc>
          <w:tcPr>
            <w:tcW w:w="647" w:type="pct"/>
            <w:tcMar>
              <w:top w:w="28" w:type="dxa"/>
              <w:left w:w="28" w:type="dxa"/>
            </w:tcMar>
          </w:tcPr>
          <w:p w14:paraId="79B94404"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37358F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C7025</w:t>
            </w:r>
          </w:p>
        </w:tc>
        <w:tc>
          <w:tcPr>
            <w:tcW w:w="274" w:type="pct"/>
            <w:tcMar>
              <w:top w:w="28" w:type="dxa"/>
              <w:left w:w="28" w:type="dxa"/>
            </w:tcMar>
          </w:tcPr>
          <w:p w14:paraId="0B290454"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F97C303" w14:textId="77777777" w:rsidR="008F47B8" w:rsidRPr="006D52A9" w:rsidRDefault="008F47B8" w:rsidP="00FB6D2D">
            <w:pPr>
              <w:pStyle w:val="mps3-data"/>
              <w:spacing w:before="0" w:after="0"/>
              <w:rPr>
                <w:szCs w:val="16"/>
              </w:rPr>
            </w:pPr>
            <w:r w:rsidRPr="006D52A9">
              <w:rPr>
                <w:szCs w:val="16"/>
              </w:rPr>
              <w:t>Acromegaly</w:t>
            </w:r>
          </w:p>
          <w:p w14:paraId="3C212248" w14:textId="77777777" w:rsidR="008F47B8" w:rsidRPr="006D52A9" w:rsidRDefault="008F47B8" w:rsidP="00FB6D2D">
            <w:pPr>
              <w:pStyle w:val="mps3-data"/>
              <w:spacing w:before="0" w:after="0"/>
              <w:rPr>
                <w:szCs w:val="16"/>
              </w:rPr>
            </w:pPr>
            <w:r w:rsidRPr="006D52A9">
              <w:rPr>
                <w:szCs w:val="16"/>
              </w:rPr>
              <w:t>The condition must be active; AND</w:t>
            </w:r>
          </w:p>
          <w:p w14:paraId="5E2CF5FA" w14:textId="77777777" w:rsidR="008F47B8" w:rsidRPr="006D52A9" w:rsidRDefault="008F47B8" w:rsidP="00FB6D2D">
            <w:pPr>
              <w:pStyle w:val="mps3-data"/>
              <w:spacing w:before="0" w:after="0"/>
              <w:rPr>
                <w:szCs w:val="16"/>
              </w:rPr>
            </w:pPr>
            <w:r w:rsidRPr="006D52A9">
              <w:rPr>
                <w:szCs w:val="16"/>
              </w:rPr>
              <w:t>Patient must have persistent elevation of mean growth hormone levels of greater than 2.5 micrograms per litre; AND</w:t>
            </w:r>
          </w:p>
          <w:p w14:paraId="7DE55F25" w14:textId="77777777" w:rsidR="008F47B8" w:rsidRPr="006D52A9" w:rsidRDefault="008F47B8" w:rsidP="00FB6D2D">
            <w:pPr>
              <w:pStyle w:val="mps3-data"/>
              <w:spacing w:before="0" w:after="0"/>
              <w:rPr>
                <w:szCs w:val="16"/>
              </w:rPr>
            </w:pPr>
            <w:r w:rsidRPr="006D52A9">
              <w:rPr>
                <w:szCs w:val="16"/>
              </w:rPr>
              <w:t>The treatment must be after failure of other therapy including dopamine agonists; OR</w:t>
            </w:r>
          </w:p>
          <w:p w14:paraId="637FFAC9" w14:textId="77777777" w:rsidR="008F47B8" w:rsidRPr="006D52A9" w:rsidRDefault="008F47B8" w:rsidP="00FB6D2D">
            <w:pPr>
              <w:pStyle w:val="mps3-data"/>
              <w:spacing w:before="0" w:after="0"/>
              <w:rPr>
                <w:szCs w:val="16"/>
              </w:rPr>
            </w:pPr>
            <w:r w:rsidRPr="006D52A9">
              <w:rPr>
                <w:szCs w:val="16"/>
              </w:rPr>
              <w:t xml:space="preserve">The treatment must be as interim treatment while awaiting the effects of radiotherapy and where </w:t>
            </w:r>
            <w:r w:rsidRPr="006D52A9">
              <w:rPr>
                <w:szCs w:val="16"/>
              </w:rPr>
              <w:lastRenderedPageBreak/>
              <w:t>treatment with dopamine agonists has failed; OR</w:t>
            </w:r>
          </w:p>
          <w:p w14:paraId="3FC4E409" w14:textId="77777777" w:rsidR="008F47B8" w:rsidRPr="006D52A9" w:rsidRDefault="008F47B8" w:rsidP="00FB6D2D">
            <w:pPr>
              <w:pStyle w:val="mps3-data"/>
              <w:spacing w:before="0" w:after="0"/>
              <w:rPr>
                <w:szCs w:val="16"/>
              </w:rPr>
            </w:pPr>
            <w:r w:rsidRPr="006D52A9">
              <w:rPr>
                <w:szCs w:val="16"/>
              </w:rPr>
              <w:t>The treatment must be in a patient who is unfit for or unwilling to undergo surgery and where radiotherapy is contraindicated; AND</w:t>
            </w:r>
          </w:p>
          <w:p w14:paraId="7F6D0023" w14:textId="77777777" w:rsidR="008F47B8" w:rsidRPr="006D52A9" w:rsidRDefault="008F47B8" w:rsidP="00FB6D2D">
            <w:pPr>
              <w:pStyle w:val="mps3-data"/>
              <w:spacing w:before="0" w:after="0"/>
              <w:rPr>
                <w:szCs w:val="16"/>
              </w:rPr>
            </w:pPr>
            <w:r w:rsidRPr="006D52A9">
              <w:rPr>
                <w:szCs w:val="16"/>
              </w:rPr>
              <w:t>The treatment must cease in a patient treated with radiotherapy if there is biochemical evidence of remission (normal IGF1) after lanreotide has been withdrawn for at least 4 weeks (8 weeks after the last dose); AND</w:t>
            </w:r>
          </w:p>
          <w:p w14:paraId="13AB3AE0" w14:textId="77777777" w:rsidR="008F47B8" w:rsidRPr="006D52A9" w:rsidRDefault="008F47B8" w:rsidP="00FB6D2D">
            <w:pPr>
              <w:pStyle w:val="mps3-data"/>
              <w:spacing w:before="0" w:after="0"/>
              <w:rPr>
                <w:szCs w:val="16"/>
              </w:rPr>
            </w:pPr>
            <w:r w:rsidRPr="006D52A9">
              <w:rPr>
                <w:szCs w:val="16"/>
              </w:rPr>
              <w:t>The treatment must cease if IGF1 is not lower after 3 months of treatment; AND</w:t>
            </w:r>
          </w:p>
          <w:p w14:paraId="2AFE561A" w14:textId="77777777" w:rsidR="008F47B8" w:rsidRPr="006D52A9" w:rsidRDefault="008F47B8" w:rsidP="00FB6D2D">
            <w:pPr>
              <w:pStyle w:val="mps3-data"/>
              <w:spacing w:before="0" w:after="0"/>
              <w:rPr>
                <w:szCs w:val="16"/>
              </w:rPr>
            </w:pPr>
            <w:r w:rsidRPr="006D52A9">
              <w:rPr>
                <w:szCs w:val="16"/>
              </w:rPr>
              <w:t>The treatment must not be given concomitantly with PBS</w:t>
            </w:r>
            <w:r w:rsidR="0026100E">
              <w:rPr>
                <w:szCs w:val="16"/>
              </w:rPr>
              <w:noBreakHyphen/>
            </w:r>
            <w:r w:rsidRPr="006D52A9">
              <w:rPr>
                <w:szCs w:val="16"/>
              </w:rPr>
              <w:t>subsidised pegvisomant.</w:t>
            </w:r>
          </w:p>
          <w:p w14:paraId="7A39FC2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In a patient treated with radiotherapy, lanreotide should be withdrawn every 2 years in the 10 years after radiotherapy for assessment of remission.</w:t>
            </w:r>
          </w:p>
        </w:tc>
        <w:tc>
          <w:tcPr>
            <w:tcW w:w="929" w:type="pct"/>
            <w:tcMar>
              <w:top w:w="28" w:type="dxa"/>
              <w:left w:w="28" w:type="dxa"/>
              <w:right w:w="57" w:type="dxa"/>
            </w:tcMar>
          </w:tcPr>
          <w:p w14:paraId="1D8B8D2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7025</w:t>
            </w:r>
          </w:p>
        </w:tc>
      </w:tr>
      <w:tr w:rsidR="008F47B8" w:rsidRPr="006D52A9" w14:paraId="55DF9661" w14:textId="77777777" w:rsidTr="00FB6D2D">
        <w:tc>
          <w:tcPr>
            <w:tcW w:w="647" w:type="pct"/>
            <w:tcMar>
              <w:top w:w="28" w:type="dxa"/>
              <w:left w:w="28" w:type="dxa"/>
            </w:tcMar>
          </w:tcPr>
          <w:p w14:paraId="04E562DC"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F0E41A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C7042</w:t>
            </w:r>
          </w:p>
        </w:tc>
        <w:tc>
          <w:tcPr>
            <w:tcW w:w="274" w:type="pct"/>
            <w:tcMar>
              <w:top w:w="28" w:type="dxa"/>
              <w:left w:w="28" w:type="dxa"/>
            </w:tcMar>
          </w:tcPr>
          <w:p w14:paraId="10F97232"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C9EA96D" w14:textId="77777777" w:rsidR="008F47B8" w:rsidRPr="006D52A9" w:rsidRDefault="008F47B8" w:rsidP="00FB6D2D">
            <w:pPr>
              <w:pStyle w:val="mps3-data"/>
              <w:spacing w:before="0" w:after="0"/>
              <w:rPr>
                <w:szCs w:val="16"/>
              </w:rPr>
            </w:pPr>
            <w:r w:rsidRPr="006D52A9">
              <w:rPr>
                <w:szCs w:val="16"/>
              </w:rPr>
              <w:t>Acromegaly</w:t>
            </w:r>
          </w:p>
          <w:p w14:paraId="7DD69C73" w14:textId="77777777" w:rsidR="008F47B8" w:rsidRPr="006D52A9" w:rsidRDefault="008F47B8" w:rsidP="00FB6D2D">
            <w:pPr>
              <w:pStyle w:val="mps3-data"/>
              <w:spacing w:before="0" w:after="0"/>
              <w:rPr>
                <w:szCs w:val="16"/>
              </w:rPr>
            </w:pPr>
            <w:r w:rsidRPr="006D52A9">
              <w:rPr>
                <w:szCs w:val="16"/>
              </w:rPr>
              <w:t>The condition must be active; AND</w:t>
            </w:r>
          </w:p>
          <w:p w14:paraId="2D3CF086" w14:textId="77777777" w:rsidR="008F47B8" w:rsidRPr="006D52A9" w:rsidRDefault="008F47B8" w:rsidP="00FB6D2D">
            <w:pPr>
              <w:pStyle w:val="mps3-data"/>
              <w:spacing w:before="0" w:after="0"/>
              <w:rPr>
                <w:szCs w:val="16"/>
              </w:rPr>
            </w:pPr>
            <w:r w:rsidRPr="006D52A9">
              <w:rPr>
                <w:szCs w:val="16"/>
              </w:rPr>
              <w:t>Patient must have persistent elevation of mean growth hormone levels of greater than 2.5 micrograms per litre; AND</w:t>
            </w:r>
          </w:p>
          <w:p w14:paraId="15E40B31" w14:textId="77777777" w:rsidR="008F47B8" w:rsidRPr="006D52A9" w:rsidRDefault="008F47B8" w:rsidP="00FB6D2D">
            <w:pPr>
              <w:pStyle w:val="mps3-data"/>
              <w:spacing w:before="0" w:after="0"/>
              <w:rPr>
                <w:szCs w:val="16"/>
              </w:rPr>
            </w:pPr>
            <w:r w:rsidRPr="006D52A9">
              <w:rPr>
                <w:szCs w:val="16"/>
              </w:rPr>
              <w:t>The treatment must be after failure of other therapy including dopamine agonists; OR</w:t>
            </w:r>
          </w:p>
          <w:p w14:paraId="688E075A" w14:textId="77777777" w:rsidR="008F47B8" w:rsidRPr="006D52A9" w:rsidRDefault="008F47B8" w:rsidP="00FB6D2D">
            <w:pPr>
              <w:pStyle w:val="mps3-data"/>
              <w:spacing w:before="0" w:after="0"/>
              <w:rPr>
                <w:szCs w:val="16"/>
              </w:rPr>
            </w:pPr>
            <w:r w:rsidRPr="006D52A9">
              <w:rPr>
                <w:szCs w:val="16"/>
              </w:rPr>
              <w:t>The treatment must be as interim treatment while awaiting the effects of radiotherapy and where treatment with dopamine agonists has failed; OR</w:t>
            </w:r>
          </w:p>
          <w:p w14:paraId="2BBCFC83" w14:textId="77777777" w:rsidR="008F47B8" w:rsidRPr="006D52A9" w:rsidRDefault="008F47B8" w:rsidP="00FB6D2D">
            <w:pPr>
              <w:pStyle w:val="mps3-data"/>
              <w:spacing w:before="0" w:after="0"/>
              <w:rPr>
                <w:szCs w:val="16"/>
              </w:rPr>
            </w:pPr>
            <w:r w:rsidRPr="006D52A9">
              <w:rPr>
                <w:szCs w:val="16"/>
              </w:rPr>
              <w:t>The treatment must be in a patient who is unfit for or unwilling to undergo surgery and where radiotherapy is contraindicated; AND</w:t>
            </w:r>
          </w:p>
          <w:p w14:paraId="0C2FE7E3" w14:textId="77777777" w:rsidR="008F47B8" w:rsidRPr="006D52A9" w:rsidRDefault="008F47B8" w:rsidP="00FB6D2D">
            <w:pPr>
              <w:pStyle w:val="mps3-data"/>
              <w:spacing w:before="0" w:after="0"/>
              <w:rPr>
                <w:szCs w:val="16"/>
              </w:rPr>
            </w:pPr>
            <w:r w:rsidRPr="006D52A9">
              <w:rPr>
                <w:szCs w:val="16"/>
              </w:rPr>
              <w:t>The treatment must cease in a patient treated with radiotherapy if there is biochemical evidence of remission (normal IGF1) after lanreotide has been withdrawn for at least 4 weeks (6 weeks after the last dose); AND</w:t>
            </w:r>
          </w:p>
          <w:p w14:paraId="24DFAF15" w14:textId="77777777" w:rsidR="008F47B8" w:rsidRPr="006D52A9" w:rsidRDefault="008F47B8" w:rsidP="00FB6D2D">
            <w:pPr>
              <w:pStyle w:val="mps3-data"/>
              <w:spacing w:before="0" w:after="0"/>
              <w:rPr>
                <w:szCs w:val="16"/>
              </w:rPr>
            </w:pPr>
            <w:r w:rsidRPr="006D52A9">
              <w:rPr>
                <w:szCs w:val="16"/>
              </w:rPr>
              <w:t>The treatment must cease if IGF1 is not lower after 3 months of treatment; AND</w:t>
            </w:r>
          </w:p>
          <w:p w14:paraId="344C7446" w14:textId="77777777" w:rsidR="008F47B8" w:rsidRPr="006D52A9" w:rsidRDefault="008F47B8" w:rsidP="00FB6D2D">
            <w:pPr>
              <w:pStyle w:val="mps3-data"/>
              <w:spacing w:before="0" w:after="0"/>
              <w:rPr>
                <w:szCs w:val="16"/>
              </w:rPr>
            </w:pPr>
            <w:r w:rsidRPr="006D52A9">
              <w:rPr>
                <w:szCs w:val="16"/>
              </w:rPr>
              <w:t>The treatment must not be given concomitantly with PBS</w:t>
            </w:r>
            <w:r w:rsidR="0026100E">
              <w:rPr>
                <w:szCs w:val="16"/>
              </w:rPr>
              <w:noBreakHyphen/>
            </w:r>
            <w:r w:rsidRPr="006D52A9">
              <w:rPr>
                <w:szCs w:val="16"/>
              </w:rPr>
              <w:t>subsidised pegvisomant.</w:t>
            </w:r>
          </w:p>
          <w:p w14:paraId="74156B6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In a patient treated with radiotherapy, lanreotide should be withdrawn every 2 years in the 10 years after radiotherapy for assessment of remission.</w:t>
            </w:r>
          </w:p>
        </w:tc>
        <w:tc>
          <w:tcPr>
            <w:tcW w:w="929" w:type="pct"/>
            <w:tcMar>
              <w:top w:w="28" w:type="dxa"/>
              <w:left w:w="28" w:type="dxa"/>
              <w:right w:w="57" w:type="dxa"/>
            </w:tcMar>
          </w:tcPr>
          <w:p w14:paraId="74C5732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7042</w:t>
            </w:r>
          </w:p>
        </w:tc>
      </w:tr>
      <w:tr w:rsidR="008F47B8" w:rsidRPr="006D52A9" w14:paraId="0C697D85" w14:textId="77777777" w:rsidTr="00FB6D2D">
        <w:tc>
          <w:tcPr>
            <w:tcW w:w="647" w:type="pct"/>
            <w:tcMar>
              <w:top w:w="28" w:type="dxa"/>
              <w:left w:w="28" w:type="dxa"/>
            </w:tcMar>
          </w:tcPr>
          <w:p w14:paraId="7D98E0C6"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CF40E7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C7509</w:t>
            </w:r>
          </w:p>
        </w:tc>
        <w:tc>
          <w:tcPr>
            <w:tcW w:w="274" w:type="pct"/>
            <w:tcMar>
              <w:top w:w="28" w:type="dxa"/>
              <w:left w:w="28" w:type="dxa"/>
            </w:tcMar>
          </w:tcPr>
          <w:p w14:paraId="69DB6229"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051C000" w14:textId="77777777" w:rsidR="008F47B8" w:rsidRPr="006D52A9" w:rsidRDefault="008F47B8" w:rsidP="00FB6D2D">
            <w:pPr>
              <w:pStyle w:val="mps3-data"/>
              <w:spacing w:before="0" w:after="0"/>
              <w:rPr>
                <w:szCs w:val="16"/>
              </w:rPr>
            </w:pPr>
            <w:r w:rsidRPr="006D52A9">
              <w:rPr>
                <w:szCs w:val="16"/>
              </w:rPr>
              <w:t>Functional carcinoid tumour</w:t>
            </w:r>
          </w:p>
          <w:p w14:paraId="7B3F7233" w14:textId="77777777" w:rsidR="008F47B8" w:rsidRPr="006D52A9" w:rsidRDefault="008F47B8" w:rsidP="00FB6D2D">
            <w:pPr>
              <w:pStyle w:val="mps3-data"/>
              <w:spacing w:before="0" w:after="0"/>
              <w:rPr>
                <w:szCs w:val="16"/>
              </w:rPr>
            </w:pPr>
            <w:r w:rsidRPr="006D52A9">
              <w:rPr>
                <w:szCs w:val="16"/>
              </w:rPr>
              <w:t>Patient must have previously received PBS</w:t>
            </w:r>
            <w:r w:rsidR="0026100E">
              <w:rPr>
                <w:szCs w:val="16"/>
              </w:rPr>
              <w:noBreakHyphen/>
            </w:r>
            <w:r w:rsidRPr="006D52A9">
              <w:rPr>
                <w:szCs w:val="16"/>
              </w:rPr>
              <w:t>subsidised treatment with this drug for this condition; AND</w:t>
            </w:r>
          </w:p>
          <w:p w14:paraId="4C0D0331" w14:textId="77777777" w:rsidR="008F47B8" w:rsidRPr="006D52A9" w:rsidRDefault="008F47B8" w:rsidP="00FB6D2D">
            <w:pPr>
              <w:pStyle w:val="mps3-data"/>
              <w:spacing w:before="0" w:after="0"/>
              <w:rPr>
                <w:szCs w:val="16"/>
              </w:rPr>
            </w:pPr>
            <w:r w:rsidRPr="006D52A9">
              <w:rPr>
                <w:szCs w:val="16"/>
              </w:rPr>
              <w:t>The condition must be causing intractable symptoms; AND</w:t>
            </w:r>
          </w:p>
          <w:p w14:paraId="2A404199" w14:textId="77777777" w:rsidR="008F47B8" w:rsidRPr="006D52A9" w:rsidRDefault="008F47B8" w:rsidP="00FB6D2D">
            <w:pPr>
              <w:pStyle w:val="mps3-data"/>
              <w:spacing w:before="0" w:after="0"/>
              <w:rPr>
                <w:szCs w:val="16"/>
              </w:rPr>
            </w:pPr>
            <w:r w:rsidRPr="006D52A9">
              <w:rPr>
                <w:szCs w:val="16"/>
              </w:rPr>
              <w:t>Patient must have experienced on average over 1 week, 3 or more episodes per day of diarrhoea and/or flushing, which persisted despite the use of anti</w:t>
            </w:r>
            <w:r w:rsidR="0026100E">
              <w:rPr>
                <w:szCs w:val="16"/>
              </w:rPr>
              <w:noBreakHyphen/>
            </w:r>
            <w:r w:rsidRPr="006D52A9">
              <w:rPr>
                <w:szCs w:val="16"/>
              </w:rPr>
              <w:t>histamines, anti</w:t>
            </w:r>
            <w:r w:rsidR="0026100E">
              <w:rPr>
                <w:szCs w:val="16"/>
              </w:rPr>
              <w:noBreakHyphen/>
            </w:r>
            <w:r w:rsidRPr="006D52A9">
              <w:rPr>
                <w:szCs w:val="16"/>
              </w:rPr>
              <w:t>serotonin agents and anti</w:t>
            </w:r>
            <w:r w:rsidR="0026100E">
              <w:rPr>
                <w:szCs w:val="16"/>
              </w:rPr>
              <w:noBreakHyphen/>
            </w:r>
            <w:r w:rsidRPr="006D52A9">
              <w:rPr>
                <w:szCs w:val="16"/>
              </w:rPr>
              <w:t>diarrhoea agents; AND</w:t>
            </w:r>
          </w:p>
          <w:p w14:paraId="7E215967" w14:textId="77777777" w:rsidR="008F47B8" w:rsidRPr="006D52A9" w:rsidRDefault="008F47B8" w:rsidP="00FB6D2D">
            <w:pPr>
              <w:pStyle w:val="mps3-data"/>
              <w:spacing w:before="0" w:after="0"/>
              <w:rPr>
                <w:szCs w:val="16"/>
              </w:rPr>
            </w:pPr>
            <w:r w:rsidRPr="006D52A9">
              <w:rPr>
                <w:szCs w:val="16"/>
              </w:rPr>
              <w:t>Patient must be one in whom surgery or antineoplastic therapy has failed or is inappropriate; AND</w:t>
            </w:r>
          </w:p>
          <w:p w14:paraId="606FC7EA" w14:textId="77777777" w:rsidR="008F47B8" w:rsidRPr="006D52A9" w:rsidRDefault="008F47B8" w:rsidP="00FB6D2D">
            <w:pPr>
              <w:pStyle w:val="mps3-data"/>
              <w:spacing w:before="0" w:after="0"/>
              <w:rPr>
                <w:szCs w:val="16"/>
              </w:rPr>
            </w:pPr>
            <w:r w:rsidRPr="006D52A9">
              <w:rPr>
                <w:szCs w:val="16"/>
              </w:rPr>
              <w:t>The treatment must cease if there is failure to produce a clinically significant reduction in the frequency and severity of symptoms after 3 months’ therapy at a dose of 120 mg every 28 days.</w:t>
            </w:r>
          </w:p>
          <w:p w14:paraId="3B5553D2" w14:textId="77777777" w:rsidR="008F47B8" w:rsidRPr="006D52A9" w:rsidRDefault="008F47B8" w:rsidP="00FB6D2D">
            <w:pPr>
              <w:pStyle w:val="mps3-data"/>
              <w:spacing w:before="0" w:after="0"/>
              <w:rPr>
                <w:szCs w:val="16"/>
              </w:rPr>
            </w:pPr>
            <w:r w:rsidRPr="006D52A9">
              <w:rPr>
                <w:szCs w:val="16"/>
              </w:rPr>
              <w:t>Dosage and tolerance to the drug should be assessed regularly and the dosage should be titrated slowly downwards to determine the minimum effective dose.</w:t>
            </w:r>
          </w:p>
        </w:tc>
        <w:tc>
          <w:tcPr>
            <w:tcW w:w="929" w:type="pct"/>
            <w:tcMar>
              <w:top w:w="28" w:type="dxa"/>
              <w:left w:w="28" w:type="dxa"/>
              <w:right w:w="57" w:type="dxa"/>
            </w:tcMar>
          </w:tcPr>
          <w:p w14:paraId="537D63C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7509</w:t>
            </w:r>
          </w:p>
        </w:tc>
      </w:tr>
      <w:tr w:rsidR="008F47B8" w:rsidRPr="006D52A9" w14:paraId="0D203402" w14:textId="77777777" w:rsidTr="00FB6D2D">
        <w:tc>
          <w:tcPr>
            <w:tcW w:w="647" w:type="pct"/>
            <w:tcMar>
              <w:top w:w="28" w:type="dxa"/>
              <w:left w:w="28" w:type="dxa"/>
            </w:tcMar>
          </w:tcPr>
          <w:p w14:paraId="460121F2"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480177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C7532</w:t>
            </w:r>
          </w:p>
        </w:tc>
        <w:tc>
          <w:tcPr>
            <w:tcW w:w="274" w:type="pct"/>
            <w:tcMar>
              <w:top w:w="28" w:type="dxa"/>
              <w:left w:w="28" w:type="dxa"/>
            </w:tcMar>
          </w:tcPr>
          <w:p w14:paraId="3110B57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90ED838" w14:textId="77777777" w:rsidR="008F47B8" w:rsidRPr="006D52A9" w:rsidRDefault="008F47B8" w:rsidP="00FB6D2D">
            <w:pPr>
              <w:pStyle w:val="mps3-data"/>
              <w:spacing w:before="0" w:after="0"/>
              <w:rPr>
                <w:szCs w:val="16"/>
              </w:rPr>
            </w:pPr>
            <w:r w:rsidRPr="006D52A9">
              <w:rPr>
                <w:szCs w:val="16"/>
              </w:rPr>
              <w:t>Acromegaly</w:t>
            </w:r>
          </w:p>
          <w:p w14:paraId="7989C072" w14:textId="77777777" w:rsidR="008F47B8" w:rsidRPr="006D52A9" w:rsidRDefault="008F47B8" w:rsidP="00FB6D2D">
            <w:pPr>
              <w:pStyle w:val="mps3-data"/>
              <w:spacing w:before="0" w:after="0"/>
              <w:rPr>
                <w:szCs w:val="16"/>
              </w:rPr>
            </w:pPr>
            <w:r w:rsidRPr="006D52A9">
              <w:rPr>
                <w:szCs w:val="16"/>
              </w:rPr>
              <w:t>Patient must have previously received PBS</w:t>
            </w:r>
            <w:r w:rsidR="0026100E">
              <w:rPr>
                <w:szCs w:val="16"/>
              </w:rPr>
              <w:noBreakHyphen/>
            </w:r>
            <w:r w:rsidRPr="006D52A9">
              <w:rPr>
                <w:szCs w:val="16"/>
              </w:rPr>
              <w:t>subsidised treatment with this drug for this condition; AND</w:t>
            </w:r>
          </w:p>
          <w:p w14:paraId="34A8C908" w14:textId="77777777" w:rsidR="008F47B8" w:rsidRPr="006D52A9" w:rsidRDefault="008F47B8" w:rsidP="00FB6D2D">
            <w:pPr>
              <w:pStyle w:val="mps3-data"/>
              <w:spacing w:before="0" w:after="0"/>
              <w:rPr>
                <w:szCs w:val="16"/>
              </w:rPr>
            </w:pPr>
            <w:r w:rsidRPr="006D52A9">
              <w:rPr>
                <w:szCs w:val="16"/>
              </w:rPr>
              <w:t>The condition must be active; AND</w:t>
            </w:r>
          </w:p>
          <w:p w14:paraId="4A34F5DF" w14:textId="77777777" w:rsidR="008F47B8" w:rsidRPr="006D52A9" w:rsidRDefault="008F47B8" w:rsidP="00FB6D2D">
            <w:pPr>
              <w:pStyle w:val="mps3-data"/>
              <w:spacing w:before="0" w:after="0"/>
              <w:rPr>
                <w:szCs w:val="16"/>
              </w:rPr>
            </w:pPr>
            <w:r w:rsidRPr="006D52A9">
              <w:rPr>
                <w:szCs w:val="16"/>
              </w:rPr>
              <w:t xml:space="preserve">Patient must have persistent elevation of mean growth hormone levels of greater than 2.5 micrograms </w:t>
            </w:r>
            <w:r w:rsidRPr="006D52A9">
              <w:rPr>
                <w:szCs w:val="16"/>
              </w:rPr>
              <w:lastRenderedPageBreak/>
              <w:t>per litre; AND</w:t>
            </w:r>
          </w:p>
          <w:p w14:paraId="6CC94E2A" w14:textId="77777777" w:rsidR="008F47B8" w:rsidRPr="006D52A9" w:rsidRDefault="008F47B8" w:rsidP="00FB6D2D">
            <w:pPr>
              <w:pStyle w:val="mps3-data"/>
              <w:spacing w:before="0" w:after="0"/>
              <w:rPr>
                <w:szCs w:val="16"/>
              </w:rPr>
            </w:pPr>
            <w:r w:rsidRPr="006D52A9">
              <w:rPr>
                <w:szCs w:val="16"/>
              </w:rPr>
              <w:t>The treatment must be after failure of other therapy including dopamine agonists; OR</w:t>
            </w:r>
          </w:p>
          <w:p w14:paraId="01C89F84" w14:textId="77777777" w:rsidR="008F47B8" w:rsidRPr="006D52A9" w:rsidRDefault="008F47B8" w:rsidP="00FB6D2D">
            <w:pPr>
              <w:pStyle w:val="mps3-data"/>
              <w:spacing w:before="0" w:after="0"/>
              <w:rPr>
                <w:szCs w:val="16"/>
              </w:rPr>
            </w:pPr>
            <w:r w:rsidRPr="006D52A9">
              <w:rPr>
                <w:szCs w:val="16"/>
              </w:rPr>
              <w:t>The treatment must be as interim treatment while awaiting the effects of radiotherapy and where treatment with dopamine agonists has failed; OR</w:t>
            </w:r>
          </w:p>
          <w:p w14:paraId="089C40FB" w14:textId="77777777" w:rsidR="008F47B8" w:rsidRPr="006D52A9" w:rsidRDefault="008F47B8" w:rsidP="00FB6D2D">
            <w:pPr>
              <w:pStyle w:val="mps3-data"/>
              <w:spacing w:before="0" w:after="0"/>
              <w:rPr>
                <w:szCs w:val="16"/>
              </w:rPr>
            </w:pPr>
            <w:r w:rsidRPr="006D52A9">
              <w:rPr>
                <w:szCs w:val="16"/>
              </w:rPr>
              <w:t>The treatment must be in a patient who is unfit for or unwilling to undergo surgery and where radiotherapy is contraindicated; AND</w:t>
            </w:r>
          </w:p>
          <w:p w14:paraId="6D758F3C" w14:textId="77777777" w:rsidR="008F47B8" w:rsidRPr="006D52A9" w:rsidRDefault="008F47B8" w:rsidP="00FB6D2D">
            <w:pPr>
              <w:pStyle w:val="mps3-data"/>
              <w:spacing w:before="0" w:after="0"/>
              <w:rPr>
                <w:szCs w:val="16"/>
              </w:rPr>
            </w:pPr>
            <w:r w:rsidRPr="006D52A9">
              <w:rPr>
                <w:szCs w:val="16"/>
              </w:rPr>
              <w:t>The treatment must cease in a patient treated with radiotherapy if there is biochemical evidence of remission (normal IGF1) after lanreotide has been withdrawn for at least 4 weeks (8 weeks after the last dose); AND</w:t>
            </w:r>
          </w:p>
          <w:p w14:paraId="5204EE84" w14:textId="77777777" w:rsidR="008F47B8" w:rsidRPr="006D52A9" w:rsidRDefault="008F47B8" w:rsidP="00FB6D2D">
            <w:pPr>
              <w:pStyle w:val="mps3-data"/>
              <w:spacing w:before="0" w:after="0"/>
              <w:rPr>
                <w:szCs w:val="16"/>
              </w:rPr>
            </w:pPr>
            <w:r w:rsidRPr="006D52A9">
              <w:rPr>
                <w:szCs w:val="16"/>
              </w:rPr>
              <w:t>The treatment must cease if IGF1 is not lower after 3 months of treatment; AND</w:t>
            </w:r>
          </w:p>
          <w:p w14:paraId="223F2714" w14:textId="77777777" w:rsidR="008F47B8" w:rsidRPr="006D52A9" w:rsidRDefault="008F47B8" w:rsidP="00FB6D2D">
            <w:pPr>
              <w:pStyle w:val="mps3-data"/>
              <w:spacing w:before="0" w:after="0"/>
              <w:rPr>
                <w:szCs w:val="16"/>
              </w:rPr>
            </w:pPr>
            <w:r w:rsidRPr="006D52A9">
              <w:rPr>
                <w:szCs w:val="16"/>
              </w:rPr>
              <w:t>The treatment must not be given concomitantly with PBS</w:t>
            </w:r>
            <w:r w:rsidR="0026100E">
              <w:rPr>
                <w:szCs w:val="16"/>
              </w:rPr>
              <w:noBreakHyphen/>
            </w:r>
            <w:r w:rsidRPr="006D52A9">
              <w:rPr>
                <w:szCs w:val="16"/>
              </w:rPr>
              <w:t>subsidised pegvisomant.</w:t>
            </w:r>
          </w:p>
          <w:p w14:paraId="6BCAFE08" w14:textId="77777777" w:rsidR="008F47B8" w:rsidRPr="006D52A9" w:rsidRDefault="008F47B8" w:rsidP="00FB6D2D">
            <w:pPr>
              <w:pStyle w:val="mps3-data"/>
              <w:spacing w:before="0" w:after="0"/>
              <w:rPr>
                <w:szCs w:val="16"/>
              </w:rPr>
            </w:pPr>
            <w:r w:rsidRPr="006D52A9">
              <w:rPr>
                <w:szCs w:val="16"/>
              </w:rPr>
              <w:t>In a patient treated with radiotherapy, lanreotide should be withdrawn every 2 years in the 10 years after radiotherapy for assessment of remission.</w:t>
            </w:r>
          </w:p>
        </w:tc>
        <w:tc>
          <w:tcPr>
            <w:tcW w:w="929" w:type="pct"/>
            <w:tcMar>
              <w:top w:w="28" w:type="dxa"/>
              <w:left w:w="28" w:type="dxa"/>
              <w:right w:w="57" w:type="dxa"/>
            </w:tcMar>
          </w:tcPr>
          <w:p w14:paraId="65807BF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7532</w:t>
            </w:r>
          </w:p>
        </w:tc>
      </w:tr>
      <w:tr w:rsidR="008F47B8" w:rsidRPr="006D52A9" w14:paraId="7C450BCD" w14:textId="77777777" w:rsidTr="00FB6D2D">
        <w:tc>
          <w:tcPr>
            <w:tcW w:w="647" w:type="pct"/>
            <w:tcMar>
              <w:top w:w="28" w:type="dxa"/>
              <w:left w:w="28" w:type="dxa"/>
            </w:tcMar>
          </w:tcPr>
          <w:p w14:paraId="2777E793"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DFBCAB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C9225</w:t>
            </w:r>
          </w:p>
        </w:tc>
        <w:tc>
          <w:tcPr>
            <w:tcW w:w="274" w:type="pct"/>
            <w:tcMar>
              <w:top w:w="28" w:type="dxa"/>
              <w:left w:w="28" w:type="dxa"/>
            </w:tcMar>
          </w:tcPr>
          <w:p w14:paraId="7F9DBAC7"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11369BD" w14:textId="77777777" w:rsidR="008F47B8" w:rsidRPr="006D52A9" w:rsidRDefault="008F47B8" w:rsidP="00FB6D2D">
            <w:pPr>
              <w:pStyle w:val="mps3-data"/>
              <w:spacing w:before="0" w:after="0"/>
              <w:rPr>
                <w:rFonts w:eastAsia="SimSun"/>
                <w:szCs w:val="16"/>
              </w:rPr>
            </w:pPr>
            <w:r w:rsidRPr="006D52A9">
              <w:rPr>
                <w:szCs w:val="16"/>
              </w:rPr>
              <w:t>Acromegaly</w:t>
            </w:r>
            <w:r w:rsidRPr="006D52A9">
              <w:rPr>
                <w:szCs w:val="16"/>
              </w:rPr>
              <w:br/>
              <w:t>The condition must be active; AND</w:t>
            </w:r>
            <w:r w:rsidRPr="006D52A9">
              <w:rPr>
                <w:szCs w:val="16"/>
              </w:rPr>
              <w:br/>
              <w:t>Patient must have persistent elevation of mean growth hormone levels of greater than 2.5 micrograms per litre; AND</w:t>
            </w:r>
            <w:r w:rsidRPr="006D52A9">
              <w:rPr>
                <w:szCs w:val="16"/>
              </w:rPr>
              <w:br/>
              <w:t>The treatment must be after failure of other therapy including dopamine agonists; OR</w:t>
            </w:r>
            <w:r w:rsidRPr="006D52A9">
              <w:rPr>
                <w:szCs w:val="16"/>
              </w:rPr>
              <w:br/>
              <w:t>The treatment must be as interim treatment while awaiting the effects of radiotherapy and where treatment with dopamine agonists has failed; OR</w:t>
            </w:r>
            <w:r w:rsidRPr="006D52A9">
              <w:rPr>
                <w:szCs w:val="16"/>
              </w:rPr>
              <w:br/>
              <w:t>The treatment must be in a patient who is unfit for or unwilling to undergo surgery and where radiotherapy is contraindicated; AND</w:t>
            </w:r>
            <w:r w:rsidRPr="006D52A9">
              <w:rPr>
                <w:szCs w:val="16"/>
              </w:rPr>
              <w:br/>
              <w:t>The treatment must cease in a patient treated with radiotherapy if there is biochemical evidence of remission (normal IGF1) after lanreotide has been withdrawn for at least 4 weeks (6 weeks after the last dose); AND</w:t>
            </w:r>
            <w:r w:rsidRPr="006D52A9">
              <w:rPr>
                <w:szCs w:val="16"/>
              </w:rPr>
              <w:br/>
              <w:t>The treatment must cease if IGF1 is not lower after 3 months of treatment; AND</w:t>
            </w:r>
            <w:r w:rsidRPr="006D52A9">
              <w:rPr>
                <w:szCs w:val="16"/>
              </w:rPr>
              <w:br/>
              <w:t>The treatment must not be given concomitantly with PBS</w:t>
            </w:r>
            <w:r w:rsidR="0026100E">
              <w:rPr>
                <w:szCs w:val="16"/>
              </w:rPr>
              <w:noBreakHyphen/>
            </w:r>
            <w:r w:rsidRPr="006D52A9">
              <w:rPr>
                <w:szCs w:val="16"/>
              </w:rPr>
              <w:t>subsidised pegvisomant.</w:t>
            </w:r>
            <w:r w:rsidRPr="006D52A9">
              <w:rPr>
                <w:szCs w:val="16"/>
              </w:rPr>
              <w:br/>
              <w:t>In a patient treated with radiotherapy, lanreotide should be withdrawn every 2 years in the 10 years after radiotherapy for assessment of remission.</w:t>
            </w:r>
          </w:p>
        </w:tc>
        <w:tc>
          <w:tcPr>
            <w:tcW w:w="929" w:type="pct"/>
            <w:tcMar>
              <w:top w:w="28" w:type="dxa"/>
              <w:left w:w="28" w:type="dxa"/>
              <w:right w:w="57" w:type="dxa"/>
            </w:tcMar>
          </w:tcPr>
          <w:p w14:paraId="40CC64D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9225</w:t>
            </w:r>
          </w:p>
        </w:tc>
      </w:tr>
      <w:tr w:rsidR="008F47B8" w:rsidRPr="006D52A9" w14:paraId="2792CAA4" w14:textId="77777777" w:rsidTr="00FB6D2D">
        <w:tc>
          <w:tcPr>
            <w:tcW w:w="647" w:type="pct"/>
            <w:tcMar>
              <w:top w:w="28" w:type="dxa"/>
              <w:left w:w="28" w:type="dxa"/>
            </w:tcMar>
          </w:tcPr>
          <w:p w14:paraId="7FE2C229"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93FA7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C9260</w:t>
            </w:r>
          </w:p>
        </w:tc>
        <w:tc>
          <w:tcPr>
            <w:tcW w:w="274" w:type="pct"/>
            <w:tcMar>
              <w:top w:w="28" w:type="dxa"/>
              <w:left w:w="28" w:type="dxa"/>
            </w:tcMar>
          </w:tcPr>
          <w:p w14:paraId="5A094558"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0B62021" w14:textId="77777777" w:rsidR="008F47B8" w:rsidRPr="006D52A9" w:rsidRDefault="008F47B8" w:rsidP="00FB6D2D">
            <w:pPr>
              <w:pStyle w:val="mps3-data"/>
              <w:spacing w:before="0" w:after="0"/>
              <w:rPr>
                <w:rFonts w:eastAsia="SimSun"/>
                <w:szCs w:val="16"/>
              </w:rPr>
            </w:pPr>
            <w:r w:rsidRPr="006D52A9">
              <w:rPr>
                <w:szCs w:val="16"/>
              </w:rPr>
              <w:t>Functional carcinoid tumour</w:t>
            </w:r>
            <w:r w:rsidRPr="006D52A9">
              <w:rPr>
                <w:szCs w:val="16"/>
              </w:rPr>
              <w:br/>
              <w:t>The condition must be causing intractable symptoms; AND</w:t>
            </w:r>
            <w:r w:rsidRPr="006D52A9">
              <w:rPr>
                <w:szCs w:val="16"/>
              </w:rPr>
              <w:br/>
              <w:t>Patient must have experienced on average over 1 week, 3 or more episodes per day of diarrhoea and/or flushing, which persisted despite the use of anti</w:t>
            </w:r>
            <w:r w:rsidR="0026100E">
              <w:rPr>
                <w:szCs w:val="16"/>
              </w:rPr>
              <w:noBreakHyphen/>
            </w:r>
            <w:r w:rsidRPr="006D52A9">
              <w:rPr>
                <w:szCs w:val="16"/>
              </w:rPr>
              <w:t>histamines, anti</w:t>
            </w:r>
            <w:r w:rsidR="0026100E">
              <w:rPr>
                <w:szCs w:val="16"/>
              </w:rPr>
              <w:noBreakHyphen/>
            </w:r>
            <w:r w:rsidRPr="006D52A9">
              <w:rPr>
                <w:szCs w:val="16"/>
              </w:rPr>
              <w:t>serotonin agents and anti</w:t>
            </w:r>
            <w:r w:rsidR="0026100E">
              <w:rPr>
                <w:szCs w:val="16"/>
              </w:rPr>
              <w:noBreakHyphen/>
            </w:r>
            <w:r w:rsidRPr="006D52A9">
              <w:rPr>
                <w:szCs w:val="16"/>
              </w:rPr>
              <w:t>diarrhoea agents; AND</w:t>
            </w:r>
            <w:r w:rsidRPr="006D52A9">
              <w:rPr>
                <w:szCs w:val="16"/>
              </w:rPr>
              <w:br/>
              <w:t>Patient must be one in whom surgery or antineoplastic therapy has failed or is inappropriate; AND</w:t>
            </w:r>
            <w:r w:rsidRPr="006D52A9">
              <w:rPr>
                <w:szCs w:val="16"/>
              </w:rPr>
              <w:br/>
              <w:t>The treatment must cease if there is failure to produce a clinically significant reduction in the frequency and severity of symptoms after 3 months’ therapy at a dose of 120 mg every 28 days.</w:t>
            </w:r>
            <w:r w:rsidRPr="006D52A9">
              <w:rPr>
                <w:szCs w:val="16"/>
              </w:rPr>
              <w:br/>
              <w:t>Dosage and tolerance to the drug should be assessed regularly and the dosage should be titrated slowly downwards to determine the minimum effective dose.</w:t>
            </w:r>
          </w:p>
        </w:tc>
        <w:tc>
          <w:tcPr>
            <w:tcW w:w="929" w:type="pct"/>
            <w:tcMar>
              <w:top w:w="28" w:type="dxa"/>
              <w:left w:w="28" w:type="dxa"/>
              <w:right w:w="57" w:type="dxa"/>
            </w:tcMar>
          </w:tcPr>
          <w:p w14:paraId="55FB5FB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9260</w:t>
            </w:r>
          </w:p>
        </w:tc>
      </w:tr>
      <w:tr w:rsidR="008F47B8" w:rsidRPr="006D52A9" w14:paraId="5BEB0441" w14:textId="77777777" w:rsidTr="00FB6D2D">
        <w:tc>
          <w:tcPr>
            <w:tcW w:w="647" w:type="pct"/>
            <w:tcMar>
              <w:top w:w="28" w:type="dxa"/>
              <w:left w:w="28" w:type="dxa"/>
            </w:tcMar>
          </w:tcPr>
          <w:p w14:paraId="4574B80A"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9C535E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C9261</w:t>
            </w:r>
          </w:p>
        </w:tc>
        <w:tc>
          <w:tcPr>
            <w:tcW w:w="274" w:type="pct"/>
            <w:tcMar>
              <w:top w:w="28" w:type="dxa"/>
              <w:left w:w="28" w:type="dxa"/>
            </w:tcMar>
          </w:tcPr>
          <w:p w14:paraId="0DB15901"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7B0216D" w14:textId="77777777" w:rsidR="008F47B8" w:rsidRPr="006D52A9" w:rsidRDefault="008F47B8" w:rsidP="00FB6D2D">
            <w:pPr>
              <w:pStyle w:val="mps3-data"/>
              <w:spacing w:before="0" w:after="0"/>
              <w:rPr>
                <w:rFonts w:eastAsia="SimSun"/>
                <w:szCs w:val="16"/>
              </w:rPr>
            </w:pPr>
            <w:r w:rsidRPr="006D52A9">
              <w:rPr>
                <w:szCs w:val="16"/>
              </w:rPr>
              <w:t>Acromegaly</w:t>
            </w:r>
            <w:r w:rsidRPr="006D52A9">
              <w:rPr>
                <w:szCs w:val="16"/>
              </w:rPr>
              <w:br/>
              <w:t>The condition must be active; AND</w:t>
            </w:r>
            <w:r w:rsidRPr="006D52A9">
              <w:rPr>
                <w:szCs w:val="16"/>
              </w:rPr>
              <w:br/>
            </w:r>
            <w:r w:rsidRPr="006D52A9">
              <w:rPr>
                <w:szCs w:val="16"/>
              </w:rPr>
              <w:lastRenderedPageBreak/>
              <w:t>Patient must have persistent elevation of mean growth hormone levels of greater than 2.5 micrograms per litre; AND</w:t>
            </w:r>
            <w:r w:rsidRPr="006D52A9">
              <w:rPr>
                <w:szCs w:val="16"/>
              </w:rPr>
              <w:br/>
              <w:t>The treatment must be after failure of other therapy including dopamine agonists; OR</w:t>
            </w:r>
            <w:r w:rsidRPr="006D52A9">
              <w:rPr>
                <w:szCs w:val="16"/>
              </w:rPr>
              <w:br/>
              <w:t>The treatment must be as interim treatment while awaiting the effects of radiotherapy and where treatment with dopamine agonists has failed; OR</w:t>
            </w:r>
            <w:r w:rsidRPr="006D52A9">
              <w:rPr>
                <w:szCs w:val="16"/>
              </w:rPr>
              <w:br/>
              <w:t>The treatment must be in a patient who is unfit for or unwilling to undergo surgery and where radiotherapy is contraindicated; AND</w:t>
            </w:r>
            <w:r w:rsidRPr="006D52A9">
              <w:rPr>
                <w:szCs w:val="16"/>
              </w:rPr>
              <w:br/>
              <w:t>The treatment must cease in a patient treated with radiotherapy if there is biochemical evidence of remission (normal IGF1) after lanreotide has been withdrawn for at least 4 weeks (8 weeks after the last dose); AND</w:t>
            </w:r>
            <w:r w:rsidRPr="006D52A9">
              <w:rPr>
                <w:szCs w:val="16"/>
              </w:rPr>
              <w:br/>
              <w:t>The treatment must cease if IGF1 is not lower after 3 months of treatment; AND</w:t>
            </w:r>
            <w:r w:rsidRPr="006D52A9">
              <w:rPr>
                <w:szCs w:val="16"/>
              </w:rPr>
              <w:br/>
              <w:t>The treatment must not be given concomitantly with PBS</w:t>
            </w:r>
            <w:r w:rsidR="0026100E">
              <w:rPr>
                <w:szCs w:val="16"/>
              </w:rPr>
              <w:noBreakHyphen/>
            </w:r>
            <w:r w:rsidRPr="006D52A9">
              <w:rPr>
                <w:szCs w:val="16"/>
              </w:rPr>
              <w:t>subsidised pegvisomant.</w:t>
            </w:r>
            <w:r w:rsidRPr="006D52A9">
              <w:rPr>
                <w:szCs w:val="16"/>
              </w:rPr>
              <w:br/>
              <w:t>In a patient treated with radiotherapy, lanreotide should be withdrawn every 2 years in the 10 years after radiotherapy for assessment of remission.</w:t>
            </w:r>
          </w:p>
        </w:tc>
        <w:tc>
          <w:tcPr>
            <w:tcW w:w="929" w:type="pct"/>
            <w:tcMar>
              <w:top w:w="28" w:type="dxa"/>
              <w:left w:w="28" w:type="dxa"/>
              <w:right w:w="57" w:type="dxa"/>
            </w:tcMar>
          </w:tcPr>
          <w:p w14:paraId="6AFF36E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Required </w:t>
            </w:r>
            <w:r w:rsidRPr="006D52A9">
              <w:rPr>
                <w:rFonts w:ascii="Arial" w:hAnsi="Arial" w:cs="Arial"/>
                <w:sz w:val="16"/>
                <w:szCs w:val="16"/>
              </w:rPr>
              <w:lastRenderedPageBreak/>
              <w:t xml:space="preserve">procedures </w:t>
            </w:r>
            <w:r w:rsidR="0026100E">
              <w:rPr>
                <w:rFonts w:ascii="Arial" w:hAnsi="Arial" w:cs="Arial"/>
                <w:sz w:val="16"/>
                <w:szCs w:val="16"/>
              </w:rPr>
              <w:noBreakHyphen/>
            </w:r>
            <w:r w:rsidRPr="006D52A9">
              <w:rPr>
                <w:rFonts w:ascii="Arial" w:hAnsi="Arial" w:cs="Arial"/>
                <w:sz w:val="16"/>
                <w:szCs w:val="16"/>
              </w:rPr>
              <w:t xml:space="preserve"> Streamlined Authority Code 9261</w:t>
            </w:r>
          </w:p>
        </w:tc>
      </w:tr>
      <w:tr w:rsidR="008F47B8" w:rsidRPr="006D52A9" w:rsidDel="00726ACF" w14:paraId="133AE389" w14:textId="77777777" w:rsidTr="00FB6D2D">
        <w:tc>
          <w:tcPr>
            <w:tcW w:w="647" w:type="pct"/>
            <w:tcMar>
              <w:top w:w="28" w:type="dxa"/>
              <w:left w:w="28" w:type="dxa"/>
            </w:tcMar>
          </w:tcPr>
          <w:p w14:paraId="620F09A7"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5F235EA"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C10061</w:t>
            </w:r>
          </w:p>
        </w:tc>
        <w:tc>
          <w:tcPr>
            <w:tcW w:w="274" w:type="pct"/>
            <w:tcMar>
              <w:top w:w="28" w:type="dxa"/>
              <w:left w:w="28" w:type="dxa"/>
            </w:tcMar>
          </w:tcPr>
          <w:p w14:paraId="680B4193"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2DF9014" w14:textId="77777777" w:rsidR="008F47B8" w:rsidRPr="006D52A9" w:rsidDel="00726ACF" w:rsidRDefault="008F47B8" w:rsidP="00FB6D2D">
            <w:pPr>
              <w:pStyle w:val="mps3-data"/>
              <w:spacing w:before="0" w:after="0"/>
              <w:rPr>
                <w:szCs w:val="16"/>
              </w:rPr>
            </w:pPr>
            <w:r w:rsidRPr="006D52A9">
              <w:rPr>
                <w:szCs w:val="16"/>
              </w:rPr>
              <w:t>Non</w:t>
            </w:r>
            <w:r w:rsidR="0026100E">
              <w:rPr>
                <w:szCs w:val="16"/>
              </w:rPr>
              <w:noBreakHyphen/>
            </w:r>
            <w:r w:rsidRPr="006D52A9">
              <w:rPr>
                <w:szCs w:val="16"/>
              </w:rPr>
              <w:t>functional gastroenteropancreatic neuroendocrine tumour (GEP</w:t>
            </w:r>
            <w:r w:rsidR="0026100E">
              <w:rPr>
                <w:szCs w:val="16"/>
              </w:rPr>
              <w:noBreakHyphen/>
            </w:r>
            <w:r w:rsidRPr="006D52A9">
              <w:rPr>
                <w:szCs w:val="16"/>
              </w:rPr>
              <w:t>NET)</w:t>
            </w:r>
            <w:r w:rsidRPr="006D52A9">
              <w:rPr>
                <w:szCs w:val="16"/>
              </w:rPr>
              <w:br/>
              <w:t>The condition must be unresectable locally advanced disease or metastatic disease; AND</w:t>
            </w:r>
            <w:r w:rsidRPr="006D52A9">
              <w:rPr>
                <w:szCs w:val="16"/>
              </w:rPr>
              <w:br/>
              <w:t>The condition must be World Health Organisation (WHO) grade 1 or 2; AND</w:t>
            </w:r>
            <w:r w:rsidRPr="006D52A9">
              <w:rPr>
                <w:szCs w:val="16"/>
              </w:rPr>
              <w:br/>
              <w:t>The treatment must be the sole PBS</w:t>
            </w:r>
            <w:r w:rsidR="0026100E">
              <w:rPr>
                <w:szCs w:val="16"/>
              </w:rPr>
              <w:noBreakHyphen/>
            </w:r>
            <w:r w:rsidRPr="006D52A9">
              <w:rPr>
                <w:szCs w:val="16"/>
              </w:rPr>
              <w:t>subsidised therapy for this condition.</w:t>
            </w:r>
            <w:r w:rsidRPr="006D52A9">
              <w:rPr>
                <w:szCs w:val="16"/>
              </w:rPr>
              <w:br/>
              <w:t>Patient must be aged 18 years or older.</w:t>
            </w:r>
            <w:r w:rsidRPr="006D52A9">
              <w:rPr>
                <w:szCs w:val="16"/>
              </w:rPr>
              <w:br/>
              <w:t>WHO grade 1 of GEP</w:t>
            </w:r>
            <w:r w:rsidR="0026100E">
              <w:rPr>
                <w:szCs w:val="16"/>
              </w:rPr>
              <w:noBreakHyphen/>
            </w:r>
            <w:r w:rsidRPr="006D52A9">
              <w:rPr>
                <w:szCs w:val="16"/>
              </w:rPr>
              <w:t>NET is defined as a mitotic count (10HPF) of less than 2 and Ki</w:t>
            </w:r>
            <w:r w:rsidR="0026100E">
              <w:rPr>
                <w:szCs w:val="16"/>
              </w:rPr>
              <w:noBreakHyphen/>
            </w:r>
            <w:r w:rsidRPr="006D52A9">
              <w:rPr>
                <w:szCs w:val="16"/>
              </w:rPr>
              <w:t>67 index (%) of less than or equal to 2.</w:t>
            </w:r>
            <w:r w:rsidRPr="006D52A9">
              <w:rPr>
                <w:szCs w:val="16"/>
              </w:rPr>
              <w:br/>
              <w:t>WHO grade 2 of GEP</w:t>
            </w:r>
            <w:r w:rsidR="0026100E">
              <w:rPr>
                <w:szCs w:val="16"/>
              </w:rPr>
              <w:noBreakHyphen/>
            </w:r>
            <w:r w:rsidRPr="006D52A9">
              <w:rPr>
                <w:szCs w:val="16"/>
              </w:rPr>
              <w:t>NET is defined as a mitotic count (10HPF) of 2</w:t>
            </w:r>
            <w:r w:rsidR="0026100E">
              <w:rPr>
                <w:szCs w:val="16"/>
              </w:rPr>
              <w:noBreakHyphen/>
            </w:r>
            <w:r w:rsidRPr="006D52A9">
              <w:rPr>
                <w:szCs w:val="16"/>
              </w:rPr>
              <w:t>20 and Ki</w:t>
            </w:r>
            <w:r w:rsidR="0026100E">
              <w:rPr>
                <w:szCs w:val="16"/>
              </w:rPr>
              <w:noBreakHyphen/>
            </w:r>
            <w:r w:rsidRPr="006D52A9">
              <w:rPr>
                <w:szCs w:val="16"/>
              </w:rPr>
              <w:t>67 index (%) of 3</w:t>
            </w:r>
            <w:r w:rsidR="0026100E">
              <w:rPr>
                <w:szCs w:val="16"/>
              </w:rPr>
              <w:noBreakHyphen/>
            </w:r>
            <w:r w:rsidRPr="006D52A9">
              <w:rPr>
                <w:szCs w:val="16"/>
              </w:rPr>
              <w:t>20.</w:t>
            </w:r>
          </w:p>
        </w:tc>
        <w:tc>
          <w:tcPr>
            <w:tcW w:w="929" w:type="pct"/>
            <w:tcMar>
              <w:top w:w="28" w:type="dxa"/>
              <w:left w:w="28" w:type="dxa"/>
              <w:right w:w="57" w:type="dxa"/>
            </w:tcMar>
          </w:tcPr>
          <w:p w14:paraId="25A7036B"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10061</w:t>
            </w:r>
          </w:p>
        </w:tc>
      </w:tr>
      <w:tr w:rsidR="008F47B8" w:rsidRPr="006D52A9" w:rsidDel="00726ACF" w14:paraId="6B091D4C" w14:textId="77777777" w:rsidTr="00FB6D2D">
        <w:tc>
          <w:tcPr>
            <w:tcW w:w="647" w:type="pct"/>
            <w:tcMar>
              <w:top w:w="28" w:type="dxa"/>
              <w:left w:w="28" w:type="dxa"/>
            </w:tcMar>
          </w:tcPr>
          <w:p w14:paraId="5537B312"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4DD8B23"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C10075</w:t>
            </w:r>
          </w:p>
        </w:tc>
        <w:tc>
          <w:tcPr>
            <w:tcW w:w="274" w:type="pct"/>
            <w:tcMar>
              <w:top w:w="28" w:type="dxa"/>
              <w:left w:w="28" w:type="dxa"/>
            </w:tcMar>
          </w:tcPr>
          <w:p w14:paraId="522F9023"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5B96111" w14:textId="77777777" w:rsidR="008F47B8" w:rsidRPr="006D52A9" w:rsidDel="00726ACF" w:rsidRDefault="008F47B8" w:rsidP="00FB6D2D">
            <w:pPr>
              <w:pStyle w:val="mps3-data"/>
              <w:spacing w:before="0" w:after="0"/>
              <w:rPr>
                <w:szCs w:val="16"/>
              </w:rPr>
            </w:pPr>
            <w:r w:rsidRPr="006D52A9">
              <w:rPr>
                <w:szCs w:val="16"/>
              </w:rPr>
              <w:t>Non</w:t>
            </w:r>
            <w:r w:rsidR="0026100E">
              <w:rPr>
                <w:szCs w:val="16"/>
              </w:rPr>
              <w:noBreakHyphen/>
            </w:r>
            <w:r w:rsidRPr="006D52A9">
              <w:rPr>
                <w:szCs w:val="16"/>
              </w:rPr>
              <w:t>functional gastroenteropancreatic neuroendocrine tumour (GEP</w:t>
            </w:r>
            <w:r w:rsidR="0026100E">
              <w:rPr>
                <w:szCs w:val="16"/>
              </w:rPr>
              <w:noBreakHyphen/>
            </w:r>
            <w:r w:rsidRPr="006D52A9">
              <w:rPr>
                <w:szCs w:val="16"/>
              </w:rPr>
              <w:t>NET)</w:t>
            </w:r>
            <w:r w:rsidRPr="006D52A9">
              <w:rPr>
                <w:szCs w:val="16"/>
              </w:rPr>
              <w:br/>
              <w:t>Patient must have previously received PBS</w:t>
            </w:r>
            <w:r w:rsidR="0026100E">
              <w:rPr>
                <w:szCs w:val="16"/>
              </w:rPr>
              <w:noBreakHyphen/>
            </w:r>
            <w:r w:rsidRPr="006D52A9">
              <w:rPr>
                <w:szCs w:val="16"/>
              </w:rPr>
              <w:t>subsidised treatment with this drug for this condition; AND</w:t>
            </w:r>
            <w:r w:rsidRPr="006D52A9">
              <w:rPr>
                <w:szCs w:val="16"/>
              </w:rPr>
              <w:br/>
              <w:t>The condition must be unresectable locally advanced disease or metastatic disease; AND</w:t>
            </w:r>
            <w:r w:rsidRPr="006D52A9">
              <w:rPr>
                <w:szCs w:val="16"/>
              </w:rPr>
              <w:br/>
              <w:t>The condition must be World Health Organisation (WHO) grade 1 or 2; AND</w:t>
            </w:r>
            <w:r w:rsidRPr="006D52A9">
              <w:rPr>
                <w:szCs w:val="16"/>
              </w:rPr>
              <w:br/>
              <w:t>The treatment must be the sole PBS</w:t>
            </w:r>
            <w:r w:rsidR="0026100E">
              <w:rPr>
                <w:szCs w:val="16"/>
              </w:rPr>
              <w:noBreakHyphen/>
            </w:r>
            <w:r w:rsidRPr="006D52A9">
              <w:rPr>
                <w:szCs w:val="16"/>
              </w:rPr>
              <w:t>subsidised therapy for this condition.</w:t>
            </w:r>
            <w:r w:rsidRPr="006D52A9">
              <w:rPr>
                <w:szCs w:val="16"/>
              </w:rPr>
              <w:br/>
              <w:t>Patient must be aged 18 years or older.</w:t>
            </w:r>
            <w:r w:rsidRPr="006D52A9">
              <w:rPr>
                <w:szCs w:val="16"/>
              </w:rPr>
              <w:br/>
              <w:t>WHO grade 1 of GEP</w:t>
            </w:r>
            <w:r w:rsidR="0026100E">
              <w:rPr>
                <w:szCs w:val="16"/>
              </w:rPr>
              <w:noBreakHyphen/>
            </w:r>
            <w:r w:rsidRPr="006D52A9">
              <w:rPr>
                <w:szCs w:val="16"/>
              </w:rPr>
              <w:t>NET is defined as a mitotic count (10HPF) of less than 2 and Ki</w:t>
            </w:r>
            <w:r w:rsidR="0026100E">
              <w:rPr>
                <w:szCs w:val="16"/>
              </w:rPr>
              <w:noBreakHyphen/>
            </w:r>
            <w:r w:rsidRPr="006D52A9">
              <w:rPr>
                <w:szCs w:val="16"/>
              </w:rPr>
              <w:t>67 index (%) of less than or equal to 2.</w:t>
            </w:r>
            <w:r w:rsidRPr="006D52A9">
              <w:rPr>
                <w:szCs w:val="16"/>
              </w:rPr>
              <w:br/>
              <w:t>WHO grade 2 of GEP</w:t>
            </w:r>
            <w:r w:rsidR="0026100E">
              <w:rPr>
                <w:szCs w:val="16"/>
              </w:rPr>
              <w:noBreakHyphen/>
            </w:r>
            <w:r w:rsidRPr="006D52A9">
              <w:rPr>
                <w:szCs w:val="16"/>
              </w:rPr>
              <w:t>NET is defined as a mitotic count (10HPF) of 2</w:t>
            </w:r>
            <w:r w:rsidR="0026100E">
              <w:rPr>
                <w:szCs w:val="16"/>
              </w:rPr>
              <w:noBreakHyphen/>
            </w:r>
            <w:r w:rsidRPr="006D52A9">
              <w:rPr>
                <w:szCs w:val="16"/>
              </w:rPr>
              <w:t>20 and Ki</w:t>
            </w:r>
            <w:r w:rsidR="0026100E">
              <w:rPr>
                <w:szCs w:val="16"/>
              </w:rPr>
              <w:noBreakHyphen/>
            </w:r>
            <w:r w:rsidRPr="006D52A9">
              <w:rPr>
                <w:szCs w:val="16"/>
              </w:rPr>
              <w:t>67 index (%) of 3</w:t>
            </w:r>
            <w:r w:rsidR="0026100E">
              <w:rPr>
                <w:szCs w:val="16"/>
              </w:rPr>
              <w:noBreakHyphen/>
            </w:r>
            <w:r w:rsidRPr="006D52A9">
              <w:rPr>
                <w:szCs w:val="16"/>
              </w:rPr>
              <w:t>20.</w:t>
            </w:r>
          </w:p>
        </w:tc>
        <w:tc>
          <w:tcPr>
            <w:tcW w:w="929" w:type="pct"/>
            <w:tcMar>
              <w:top w:w="28" w:type="dxa"/>
              <w:left w:w="28" w:type="dxa"/>
              <w:right w:w="57" w:type="dxa"/>
            </w:tcMar>
          </w:tcPr>
          <w:p w14:paraId="33CD6E31"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10075</w:t>
            </w:r>
          </w:p>
        </w:tc>
      </w:tr>
      <w:tr w:rsidR="008F47B8" w:rsidRPr="006D52A9" w:rsidDel="00726ACF" w14:paraId="5B7E65BA" w14:textId="77777777" w:rsidTr="00FB6D2D">
        <w:tc>
          <w:tcPr>
            <w:tcW w:w="647" w:type="pct"/>
            <w:tcMar>
              <w:top w:w="28" w:type="dxa"/>
              <w:left w:w="28" w:type="dxa"/>
            </w:tcMar>
          </w:tcPr>
          <w:p w14:paraId="57B5E219"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7AFABBA"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C10077</w:t>
            </w:r>
          </w:p>
        </w:tc>
        <w:tc>
          <w:tcPr>
            <w:tcW w:w="274" w:type="pct"/>
            <w:tcMar>
              <w:top w:w="28" w:type="dxa"/>
              <w:left w:w="28" w:type="dxa"/>
            </w:tcMar>
          </w:tcPr>
          <w:p w14:paraId="295BE5D3" w14:textId="77777777" w:rsidR="008F47B8" w:rsidRPr="006D52A9" w:rsidDel="00726ACF"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58C8ED1" w14:textId="77777777" w:rsidR="008F47B8" w:rsidRPr="006D52A9" w:rsidDel="00726ACF" w:rsidRDefault="008F47B8" w:rsidP="00FB6D2D">
            <w:pPr>
              <w:pStyle w:val="mps3-data"/>
              <w:spacing w:before="0" w:after="0"/>
              <w:rPr>
                <w:szCs w:val="16"/>
              </w:rPr>
            </w:pPr>
            <w:r w:rsidRPr="006D52A9">
              <w:rPr>
                <w:szCs w:val="16"/>
              </w:rPr>
              <w:t>Non</w:t>
            </w:r>
            <w:r w:rsidR="0026100E">
              <w:rPr>
                <w:szCs w:val="16"/>
              </w:rPr>
              <w:noBreakHyphen/>
            </w:r>
            <w:r w:rsidRPr="006D52A9">
              <w:rPr>
                <w:szCs w:val="16"/>
              </w:rPr>
              <w:t>functional gastroenteropancreatic neuroendocrine tumour (GEP</w:t>
            </w:r>
            <w:r w:rsidR="0026100E">
              <w:rPr>
                <w:szCs w:val="16"/>
              </w:rPr>
              <w:noBreakHyphen/>
            </w:r>
            <w:r w:rsidRPr="006D52A9">
              <w:rPr>
                <w:szCs w:val="16"/>
              </w:rPr>
              <w:t>NET)</w:t>
            </w:r>
            <w:r w:rsidRPr="006D52A9">
              <w:rPr>
                <w:szCs w:val="16"/>
              </w:rPr>
              <w:br/>
              <w:t>The condition must be unresectable locally advanced disease or metastatic disease; AND</w:t>
            </w:r>
            <w:r w:rsidRPr="006D52A9">
              <w:rPr>
                <w:szCs w:val="16"/>
              </w:rPr>
              <w:br/>
              <w:t>The condition must be World Health Organisation (WHO) grade 1 or 2; AND</w:t>
            </w:r>
            <w:r w:rsidRPr="006D52A9">
              <w:rPr>
                <w:szCs w:val="16"/>
              </w:rPr>
              <w:br/>
              <w:t>The treatment must be the sole PBS</w:t>
            </w:r>
            <w:r w:rsidR="0026100E">
              <w:rPr>
                <w:szCs w:val="16"/>
              </w:rPr>
              <w:noBreakHyphen/>
            </w:r>
            <w:r w:rsidRPr="006D52A9">
              <w:rPr>
                <w:szCs w:val="16"/>
              </w:rPr>
              <w:t>subsidised therapy for this condition.</w:t>
            </w:r>
            <w:r w:rsidRPr="006D52A9">
              <w:rPr>
                <w:szCs w:val="16"/>
              </w:rPr>
              <w:br/>
              <w:t>Patient must be aged 18 years or older.</w:t>
            </w:r>
            <w:r w:rsidRPr="006D52A9">
              <w:rPr>
                <w:szCs w:val="16"/>
              </w:rPr>
              <w:br/>
              <w:t>WHO grade 1 of GEP</w:t>
            </w:r>
            <w:r w:rsidR="0026100E">
              <w:rPr>
                <w:szCs w:val="16"/>
              </w:rPr>
              <w:noBreakHyphen/>
            </w:r>
            <w:r w:rsidRPr="006D52A9">
              <w:rPr>
                <w:szCs w:val="16"/>
              </w:rPr>
              <w:t>NET is defined as a mitotic count (10HPF) of less than 2 and Ki</w:t>
            </w:r>
            <w:r w:rsidR="0026100E">
              <w:rPr>
                <w:szCs w:val="16"/>
              </w:rPr>
              <w:noBreakHyphen/>
            </w:r>
            <w:r w:rsidRPr="006D52A9">
              <w:rPr>
                <w:szCs w:val="16"/>
              </w:rPr>
              <w:t>67 index (%) of less than or equal to 2.</w:t>
            </w:r>
            <w:r w:rsidRPr="006D52A9">
              <w:rPr>
                <w:szCs w:val="16"/>
              </w:rPr>
              <w:br/>
              <w:t>WHO grade 2 of GEP</w:t>
            </w:r>
            <w:r w:rsidR="0026100E">
              <w:rPr>
                <w:szCs w:val="16"/>
              </w:rPr>
              <w:noBreakHyphen/>
            </w:r>
            <w:r w:rsidRPr="006D52A9">
              <w:rPr>
                <w:szCs w:val="16"/>
              </w:rPr>
              <w:t>NET is defined as a mitotic count (10HPF) of 2</w:t>
            </w:r>
            <w:r w:rsidR="0026100E">
              <w:rPr>
                <w:szCs w:val="16"/>
              </w:rPr>
              <w:noBreakHyphen/>
            </w:r>
            <w:r w:rsidRPr="006D52A9">
              <w:rPr>
                <w:szCs w:val="16"/>
              </w:rPr>
              <w:t>20 and Ki</w:t>
            </w:r>
            <w:r w:rsidR="0026100E">
              <w:rPr>
                <w:szCs w:val="16"/>
              </w:rPr>
              <w:noBreakHyphen/>
            </w:r>
            <w:r w:rsidRPr="006D52A9">
              <w:rPr>
                <w:szCs w:val="16"/>
              </w:rPr>
              <w:t>67 index (%) of 3</w:t>
            </w:r>
            <w:r w:rsidR="0026100E">
              <w:rPr>
                <w:szCs w:val="16"/>
              </w:rPr>
              <w:noBreakHyphen/>
            </w:r>
            <w:r w:rsidRPr="006D52A9">
              <w:rPr>
                <w:szCs w:val="16"/>
              </w:rPr>
              <w:t>20.</w:t>
            </w:r>
          </w:p>
        </w:tc>
        <w:tc>
          <w:tcPr>
            <w:tcW w:w="929" w:type="pct"/>
            <w:tcMar>
              <w:top w:w="28" w:type="dxa"/>
              <w:left w:w="28" w:type="dxa"/>
              <w:right w:w="57" w:type="dxa"/>
            </w:tcMar>
          </w:tcPr>
          <w:p w14:paraId="3C4FC67C" w14:textId="77777777" w:rsidR="008F47B8" w:rsidRPr="006D52A9" w:rsidDel="00726ACF"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10077</w:t>
            </w:r>
          </w:p>
        </w:tc>
      </w:tr>
      <w:tr w:rsidR="008F47B8" w:rsidRPr="006D52A9" w14:paraId="28221CA4" w14:textId="77777777" w:rsidTr="00FB6D2D">
        <w:tc>
          <w:tcPr>
            <w:tcW w:w="647" w:type="pct"/>
            <w:tcMar>
              <w:top w:w="28" w:type="dxa"/>
              <w:left w:w="28" w:type="dxa"/>
            </w:tcMar>
          </w:tcPr>
          <w:p w14:paraId="1B1172E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Lanthanum</w:t>
            </w:r>
          </w:p>
        </w:tc>
        <w:tc>
          <w:tcPr>
            <w:tcW w:w="283" w:type="pct"/>
            <w:tcMar>
              <w:top w:w="28" w:type="dxa"/>
              <w:left w:w="28" w:type="dxa"/>
            </w:tcMar>
          </w:tcPr>
          <w:p w14:paraId="0770E13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C5530</w:t>
            </w:r>
          </w:p>
        </w:tc>
        <w:tc>
          <w:tcPr>
            <w:tcW w:w="274" w:type="pct"/>
            <w:tcMar>
              <w:top w:w="28" w:type="dxa"/>
              <w:left w:w="28" w:type="dxa"/>
            </w:tcMar>
          </w:tcPr>
          <w:p w14:paraId="107C5BF7"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DE0BE9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Hyperphosphataemia</w:t>
            </w:r>
            <w:r w:rsidRPr="006D52A9">
              <w:rPr>
                <w:rFonts w:ascii="Arial" w:hAnsi="Arial" w:cs="Arial"/>
                <w:sz w:val="16"/>
                <w:szCs w:val="16"/>
              </w:rPr>
              <w:br/>
            </w:r>
            <w:r w:rsidRPr="006D52A9">
              <w:rPr>
                <w:rFonts w:ascii="Arial" w:hAnsi="Arial" w:cs="Arial"/>
                <w:sz w:val="16"/>
                <w:szCs w:val="16"/>
              </w:rPr>
              <w:lastRenderedPageBreak/>
              <w:t>Initiation and stabilisation</w:t>
            </w:r>
            <w:r w:rsidRPr="006D52A9">
              <w:rPr>
                <w:rFonts w:ascii="Arial" w:hAnsi="Arial" w:cs="Arial"/>
                <w:sz w:val="16"/>
                <w:szCs w:val="16"/>
              </w:rPr>
              <w:br/>
              <w:t>The condition must not be adequately controlled by calcium; AND</w:t>
            </w:r>
            <w:r w:rsidRPr="006D52A9">
              <w:rPr>
                <w:rFonts w:ascii="Arial" w:hAnsi="Arial" w:cs="Arial"/>
                <w:sz w:val="16"/>
                <w:szCs w:val="16"/>
              </w:rPr>
              <w:br/>
              <w:t>Patient must have a serum phosphate of greater than 1.6 mmol per L at the commencement of therapy; OR</w:t>
            </w:r>
            <w:r w:rsidRPr="006D52A9">
              <w:rPr>
                <w:rFonts w:ascii="Arial" w:hAnsi="Arial" w:cs="Arial"/>
                <w:sz w:val="16"/>
                <w:szCs w:val="16"/>
              </w:rPr>
              <w:br/>
              <w:t>The condition must be where a serum calcium times phosphate product is greater than 4 at the commencement of therapy; AND</w:t>
            </w:r>
            <w:r w:rsidRPr="006D52A9">
              <w:rPr>
                <w:rFonts w:ascii="Arial" w:hAnsi="Arial" w:cs="Arial"/>
                <w:sz w:val="16"/>
                <w:szCs w:val="16"/>
              </w:rPr>
              <w:br/>
              <w:t>The treatment must not be used in combination with any other non</w:t>
            </w:r>
            <w:r w:rsidR="0026100E">
              <w:rPr>
                <w:rFonts w:ascii="Arial" w:hAnsi="Arial" w:cs="Arial"/>
                <w:sz w:val="16"/>
                <w:szCs w:val="16"/>
              </w:rPr>
              <w:noBreakHyphen/>
            </w:r>
            <w:r w:rsidRPr="006D52A9">
              <w:rPr>
                <w:rFonts w:ascii="Arial" w:hAnsi="Arial" w:cs="Arial"/>
                <w:sz w:val="16"/>
                <w:szCs w:val="16"/>
              </w:rPr>
              <w:t>calcium phosphate binding agents.</w:t>
            </w:r>
            <w:r w:rsidRPr="006D52A9">
              <w:rPr>
                <w:rFonts w:ascii="Arial" w:hAnsi="Arial" w:cs="Arial"/>
                <w:sz w:val="16"/>
                <w:szCs w:val="16"/>
              </w:rPr>
              <w:br/>
              <w:t>Patient must be undergoing dialysis for chronic kidney disease.</w:t>
            </w:r>
          </w:p>
        </w:tc>
        <w:tc>
          <w:tcPr>
            <w:tcW w:w="929" w:type="pct"/>
            <w:tcMar>
              <w:top w:w="28" w:type="dxa"/>
              <w:left w:w="28" w:type="dxa"/>
              <w:right w:w="57" w:type="dxa"/>
            </w:tcMar>
          </w:tcPr>
          <w:p w14:paraId="01FB7E1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 xml:space="preserve">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5530</w:t>
            </w:r>
          </w:p>
        </w:tc>
      </w:tr>
      <w:tr w:rsidR="008F47B8" w:rsidRPr="006D52A9" w14:paraId="60EFDAA8" w14:textId="77777777" w:rsidTr="00FB6D2D">
        <w:tc>
          <w:tcPr>
            <w:tcW w:w="647" w:type="pct"/>
            <w:tcMar>
              <w:top w:w="28" w:type="dxa"/>
              <w:left w:w="28" w:type="dxa"/>
            </w:tcMar>
          </w:tcPr>
          <w:p w14:paraId="3FB18DF5"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99FBA5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C9762</w:t>
            </w:r>
          </w:p>
        </w:tc>
        <w:tc>
          <w:tcPr>
            <w:tcW w:w="274" w:type="pct"/>
            <w:tcMar>
              <w:top w:w="28" w:type="dxa"/>
              <w:left w:w="28" w:type="dxa"/>
            </w:tcMar>
          </w:tcPr>
          <w:p w14:paraId="1FBC2FE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186E01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Hyperphosphataemia</w:t>
            </w:r>
            <w:r w:rsidRPr="006D52A9">
              <w:rPr>
                <w:rFonts w:ascii="Arial" w:eastAsia="SimSun" w:hAnsi="Arial" w:cs="Arial"/>
                <w:sz w:val="16"/>
                <w:szCs w:val="16"/>
                <w:lang w:eastAsia="zh-CN"/>
              </w:rPr>
              <w:br/>
              <w:t>Initiation and stabilisation</w:t>
            </w:r>
            <w:r w:rsidRPr="006D52A9">
              <w:rPr>
                <w:rFonts w:ascii="Arial" w:eastAsia="SimSun" w:hAnsi="Arial" w:cs="Arial"/>
                <w:sz w:val="16"/>
                <w:szCs w:val="16"/>
                <w:lang w:eastAsia="zh-CN"/>
              </w:rPr>
              <w:br/>
              <w:t>The condition must not be adequately controlled by calcium; AND</w:t>
            </w:r>
            <w:r w:rsidRPr="006D52A9">
              <w:rPr>
                <w:rFonts w:ascii="Arial" w:eastAsia="SimSun" w:hAnsi="Arial" w:cs="Arial"/>
                <w:sz w:val="16"/>
                <w:szCs w:val="16"/>
                <w:lang w:eastAsia="zh-CN"/>
              </w:rPr>
              <w:br/>
              <w:t>Patient must have a serum phosphate of greater than 1.6 mmol per L at the commencement of therapy; OR</w:t>
            </w:r>
            <w:r w:rsidRPr="006D52A9">
              <w:rPr>
                <w:rFonts w:ascii="Arial" w:eastAsia="SimSun" w:hAnsi="Arial" w:cs="Arial"/>
                <w:sz w:val="16"/>
                <w:szCs w:val="16"/>
                <w:lang w:eastAsia="zh-CN"/>
              </w:rPr>
              <w:br/>
              <w:t>The condition must be where a serum calcium times phosphate product is greater than 4 at the commencement of therapy; AND</w:t>
            </w:r>
            <w:r w:rsidRPr="006D52A9">
              <w:rPr>
                <w:rFonts w:ascii="Arial" w:eastAsia="SimSun" w:hAnsi="Arial" w:cs="Arial"/>
                <w:sz w:val="16"/>
                <w:szCs w:val="16"/>
                <w:lang w:eastAsia="zh-CN"/>
              </w:rPr>
              <w:br/>
              <w:t>The treatment must not be used in combination with any other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calcium phosphate binding agents.</w:t>
            </w:r>
            <w:r w:rsidRPr="006D52A9">
              <w:rPr>
                <w:rFonts w:ascii="Arial" w:eastAsia="SimSun" w:hAnsi="Arial" w:cs="Arial"/>
                <w:sz w:val="16"/>
                <w:szCs w:val="16"/>
                <w:lang w:eastAsia="zh-CN"/>
              </w:rPr>
              <w:br/>
              <w:t>Patient must be undergoing dialysis for chronic kidney disease.</w:t>
            </w:r>
          </w:p>
        </w:tc>
        <w:tc>
          <w:tcPr>
            <w:tcW w:w="929" w:type="pct"/>
            <w:tcMar>
              <w:top w:w="28" w:type="dxa"/>
              <w:left w:w="28" w:type="dxa"/>
              <w:right w:w="57" w:type="dxa"/>
            </w:tcMar>
          </w:tcPr>
          <w:p w14:paraId="7E5012D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9762</w:t>
            </w:r>
          </w:p>
        </w:tc>
      </w:tr>
      <w:tr w:rsidR="008F47B8" w:rsidRPr="006D52A9" w14:paraId="0E5F2E9C" w14:textId="77777777" w:rsidTr="00FB6D2D">
        <w:trPr>
          <w:cantSplit/>
        </w:trPr>
        <w:tc>
          <w:tcPr>
            <w:tcW w:w="647" w:type="pct"/>
            <w:tcMar>
              <w:top w:w="28" w:type="dxa"/>
              <w:left w:w="28" w:type="dxa"/>
            </w:tcMar>
          </w:tcPr>
          <w:p w14:paraId="6CA4585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Ledipasvir with sofosbuvir</w:t>
            </w:r>
          </w:p>
        </w:tc>
        <w:tc>
          <w:tcPr>
            <w:tcW w:w="283" w:type="pct"/>
            <w:tcMar>
              <w:top w:w="28" w:type="dxa"/>
              <w:left w:w="28" w:type="dxa"/>
            </w:tcMar>
          </w:tcPr>
          <w:p w14:paraId="77DDDE5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C5944</w:t>
            </w:r>
          </w:p>
        </w:tc>
        <w:tc>
          <w:tcPr>
            <w:tcW w:w="274" w:type="pct"/>
            <w:tcMar>
              <w:top w:w="28" w:type="dxa"/>
              <w:left w:w="28" w:type="dxa"/>
            </w:tcMar>
          </w:tcPr>
          <w:p w14:paraId="15A8913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P5944</w:t>
            </w:r>
          </w:p>
        </w:tc>
        <w:tc>
          <w:tcPr>
            <w:tcW w:w="2867" w:type="pct"/>
            <w:tcMar>
              <w:top w:w="28" w:type="dxa"/>
              <w:left w:w="28" w:type="dxa"/>
            </w:tcMar>
          </w:tcPr>
          <w:p w14:paraId="7ED6E4E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Patient must meet the criteria set out in the General Statement for Drugs for the Treatment of Hepatitis C; AND</w:t>
            </w:r>
            <w:r w:rsidRPr="006D52A9">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SimSun" w:hAnsi="Arial" w:cs="Arial"/>
                <w:sz w:val="16"/>
                <w:szCs w:val="16"/>
                <w:lang w:eastAsia="zh-CN"/>
              </w:rPr>
              <w:br/>
              <w:t>The treatment must be limited to a maximum duration of 8 weeks.</w:t>
            </w:r>
          </w:p>
        </w:tc>
        <w:tc>
          <w:tcPr>
            <w:tcW w:w="929" w:type="pct"/>
            <w:tcMar>
              <w:top w:w="28" w:type="dxa"/>
              <w:left w:w="28" w:type="dxa"/>
              <w:right w:w="57" w:type="dxa"/>
            </w:tcMar>
          </w:tcPr>
          <w:p w14:paraId="15198064" w14:textId="77777777" w:rsidR="008F47B8" w:rsidRPr="006D52A9" w:rsidRDefault="008F47B8" w:rsidP="00FB6D2D">
            <w:pPr>
              <w:keepNext/>
              <w:keepLines/>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14:paraId="39FC612B" w14:textId="77777777" w:rsidTr="00FB6D2D">
        <w:tc>
          <w:tcPr>
            <w:tcW w:w="647" w:type="pct"/>
            <w:tcMar>
              <w:top w:w="28" w:type="dxa"/>
              <w:left w:w="28" w:type="dxa"/>
            </w:tcMar>
          </w:tcPr>
          <w:p w14:paraId="748BC593"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1278D5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C5969</w:t>
            </w:r>
          </w:p>
        </w:tc>
        <w:tc>
          <w:tcPr>
            <w:tcW w:w="274" w:type="pct"/>
            <w:tcMar>
              <w:top w:w="28" w:type="dxa"/>
              <w:left w:w="28" w:type="dxa"/>
            </w:tcMar>
          </w:tcPr>
          <w:p w14:paraId="5567177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P5969</w:t>
            </w:r>
          </w:p>
        </w:tc>
        <w:tc>
          <w:tcPr>
            <w:tcW w:w="2867" w:type="pct"/>
            <w:tcMar>
              <w:top w:w="28" w:type="dxa"/>
              <w:left w:w="28" w:type="dxa"/>
            </w:tcMar>
          </w:tcPr>
          <w:p w14:paraId="6EFBA1D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Patient must meet the criteria set out in the General Statement for Drugs for the Treatment of Hepatitis C; AND</w:t>
            </w:r>
            <w:r w:rsidRPr="006D52A9">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SimSun" w:hAnsi="Arial" w:cs="Arial"/>
                <w:sz w:val="16"/>
                <w:szCs w:val="16"/>
                <w:lang w:eastAsia="zh-CN"/>
              </w:rPr>
              <w:br/>
              <w:t>The treatment must be limited to a maximum duration of 12 weeks.</w:t>
            </w:r>
          </w:p>
        </w:tc>
        <w:tc>
          <w:tcPr>
            <w:tcW w:w="929" w:type="pct"/>
            <w:tcMar>
              <w:top w:w="28" w:type="dxa"/>
              <w:left w:w="28" w:type="dxa"/>
              <w:right w:w="57" w:type="dxa"/>
            </w:tcMar>
          </w:tcPr>
          <w:p w14:paraId="467CBA1A"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14:paraId="2B9E691F" w14:textId="77777777" w:rsidTr="00FB6D2D">
        <w:trPr>
          <w:cantSplit/>
        </w:trPr>
        <w:tc>
          <w:tcPr>
            <w:tcW w:w="647" w:type="pct"/>
            <w:tcMar>
              <w:top w:w="28" w:type="dxa"/>
              <w:left w:w="28" w:type="dxa"/>
            </w:tcMar>
          </w:tcPr>
          <w:p w14:paraId="222893C7"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9B9F50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C5972</w:t>
            </w:r>
          </w:p>
        </w:tc>
        <w:tc>
          <w:tcPr>
            <w:tcW w:w="274" w:type="pct"/>
            <w:tcMar>
              <w:top w:w="28" w:type="dxa"/>
              <w:left w:w="28" w:type="dxa"/>
            </w:tcMar>
          </w:tcPr>
          <w:p w14:paraId="3DF9450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P5972</w:t>
            </w:r>
          </w:p>
        </w:tc>
        <w:tc>
          <w:tcPr>
            <w:tcW w:w="2867" w:type="pct"/>
            <w:tcMar>
              <w:top w:w="28" w:type="dxa"/>
              <w:left w:w="28" w:type="dxa"/>
            </w:tcMar>
          </w:tcPr>
          <w:p w14:paraId="1ED9648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Patient must meet the criteria set out in the General Statement for Drugs for the Treatment of Hepatitis C; AND</w:t>
            </w:r>
            <w:r w:rsidRPr="006D52A9">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SimSun" w:hAnsi="Arial" w:cs="Arial"/>
                <w:sz w:val="16"/>
                <w:szCs w:val="16"/>
                <w:lang w:eastAsia="zh-CN"/>
              </w:rPr>
              <w:br/>
              <w:t>The treatment must be limited to a maximum duration of 24 weeks.</w:t>
            </w:r>
          </w:p>
        </w:tc>
        <w:tc>
          <w:tcPr>
            <w:tcW w:w="929" w:type="pct"/>
            <w:tcMar>
              <w:top w:w="28" w:type="dxa"/>
              <w:left w:w="28" w:type="dxa"/>
              <w:right w:w="57" w:type="dxa"/>
            </w:tcMar>
          </w:tcPr>
          <w:p w14:paraId="14F239C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14:paraId="18F8F585" w14:textId="77777777" w:rsidTr="00FB6D2D">
        <w:tc>
          <w:tcPr>
            <w:tcW w:w="64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7339317" w14:textId="77777777" w:rsidR="008F47B8" w:rsidRPr="006D52A9" w:rsidRDefault="008F47B8" w:rsidP="00FB6D2D">
            <w:pPr>
              <w:spacing w:line="240" w:lineRule="auto"/>
              <w:rPr>
                <w:rFonts w:ascii="Arial" w:eastAsia="SimSun" w:hAnsi="Arial" w:cs="Arial"/>
                <w:sz w:val="16"/>
                <w:szCs w:val="16"/>
                <w:lang w:eastAsia="zh-CN"/>
              </w:rPr>
            </w:pPr>
            <w:bookmarkStart w:id="166" w:name="CU_328596083"/>
            <w:bookmarkStart w:id="167" w:name="CU_329596577"/>
            <w:bookmarkStart w:id="168" w:name="CU_330601936"/>
            <w:bookmarkStart w:id="169" w:name="CU_331603508"/>
            <w:bookmarkEnd w:id="166"/>
            <w:bookmarkEnd w:id="167"/>
            <w:bookmarkEnd w:id="168"/>
            <w:bookmarkEnd w:id="169"/>
            <w:r w:rsidRPr="006D52A9">
              <w:rPr>
                <w:rFonts w:ascii="Arial" w:eastAsia="SimSun" w:hAnsi="Arial" w:cs="Arial"/>
                <w:sz w:val="16"/>
                <w:szCs w:val="16"/>
                <w:lang w:eastAsia="zh-CN"/>
              </w:rPr>
              <w:t>Lenalidomide</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109EC87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C4282</w:t>
            </w:r>
          </w:p>
        </w:tc>
        <w:tc>
          <w:tcPr>
            <w:tcW w:w="27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367DB22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0F2981F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Myelodysplastic syndrome</w:t>
            </w:r>
            <w:r w:rsidRPr="006D52A9">
              <w:rPr>
                <w:rFonts w:ascii="Arial" w:hAnsi="Arial" w:cs="Arial"/>
                <w:sz w:val="16"/>
                <w:szCs w:val="16"/>
              </w:rPr>
              <w:br/>
              <w:t>Continuing treatment</w:t>
            </w:r>
            <w:r w:rsidRPr="006D52A9">
              <w:rPr>
                <w:rFonts w:ascii="Arial" w:hAnsi="Arial" w:cs="Arial"/>
                <w:sz w:val="16"/>
                <w:szCs w:val="16"/>
              </w:rPr>
              <w:br/>
            </w:r>
            <w:r w:rsidRPr="006D52A9">
              <w:rPr>
                <w:rFonts w:ascii="Arial" w:hAnsi="Arial" w:cs="Arial"/>
                <w:sz w:val="16"/>
                <w:szCs w:val="16"/>
              </w:rPr>
              <w:lastRenderedPageBreak/>
              <w:t>Patient must be classified as Low risk or Intermediate</w:t>
            </w:r>
            <w:r w:rsidR="0026100E">
              <w:rPr>
                <w:rFonts w:ascii="Arial" w:hAnsi="Arial" w:cs="Arial"/>
                <w:sz w:val="16"/>
                <w:szCs w:val="16"/>
              </w:rPr>
              <w:noBreakHyphen/>
            </w:r>
            <w:r w:rsidRPr="006D52A9">
              <w:rPr>
                <w:rFonts w:ascii="Arial" w:hAnsi="Arial" w:cs="Arial"/>
                <w:sz w:val="16"/>
                <w:szCs w:val="16"/>
              </w:rPr>
              <w:t>1 according to the International Prognostic Scoring System (IPSS); AND</w:t>
            </w:r>
            <w:r w:rsidRPr="006D52A9">
              <w:rPr>
                <w:rFonts w:ascii="Arial" w:hAnsi="Arial" w:cs="Arial"/>
                <w:sz w:val="16"/>
                <w:szCs w:val="16"/>
              </w:rPr>
              <w:br/>
              <w:t>Patient must have a deletion 5q cytogenetic abnormality with or without additional cytogenetic abnormalities; AND</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initial therapy with lenalidomide for myelodysplastic syndrome; AND</w:t>
            </w:r>
            <w:r w:rsidRPr="006D52A9">
              <w:rPr>
                <w:rFonts w:ascii="Arial" w:hAnsi="Arial" w:cs="Arial"/>
                <w:sz w:val="16"/>
                <w:szCs w:val="16"/>
              </w:rPr>
              <w:br/>
              <w:t>Patient must have achieved and maintained transfusion independence; or least a 50% reduction in red blood cell unit transfusion requirements compared with the four month period prior to commencing initial PBS</w:t>
            </w:r>
            <w:r w:rsidR="0026100E">
              <w:rPr>
                <w:rFonts w:ascii="Arial" w:hAnsi="Arial" w:cs="Arial"/>
                <w:sz w:val="16"/>
                <w:szCs w:val="16"/>
              </w:rPr>
              <w:noBreakHyphen/>
            </w:r>
            <w:r w:rsidRPr="006D52A9">
              <w:rPr>
                <w:rFonts w:ascii="Arial" w:hAnsi="Arial" w:cs="Arial"/>
                <w:sz w:val="16"/>
                <w:szCs w:val="16"/>
              </w:rPr>
              <w:t>subsidised therapy with lenalidomide; AND</w:t>
            </w:r>
            <w:r w:rsidRPr="006D52A9">
              <w:rPr>
                <w:rFonts w:ascii="Arial" w:hAnsi="Arial" w:cs="Arial"/>
                <w:sz w:val="16"/>
                <w:szCs w:val="16"/>
              </w:rPr>
              <w:br/>
              <w:t>Patient must not have progressive disease.</w:t>
            </w:r>
            <w:r w:rsidRPr="006D52A9">
              <w:rPr>
                <w:rFonts w:ascii="Arial" w:hAnsi="Arial" w:cs="Arial"/>
                <w:sz w:val="16"/>
                <w:szCs w:val="16"/>
              </w:rPr>
              <w:br/>
              <w:t>Patients receiving lenalidomide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r w:rsidRPr="006D52A9">
              <w:rPr>
                <w:rFonts w:ascii="Arial" w:hAnsi="Arial" w:cs="Arial"/>
                <w:sz w:val="16"/>
                <w:szCs w:val="16"/>
              </w:rPr>
              <w:br/>
              <w:t>The first authority application for continuing supply must be made in writing. Subsequent authority applications for continuing supply may be made by telephone.</w:t>
            </w:r>
            <w:r w:rsidRPr="006D52A9">
              <w:rPr>
                <w:rFonts w:ascii="Arial" w:hAnsi="Arial" w:cs="Arial"/>
                <w:sz w:val="16"/>
                <w:szCs w:val="16"/>
              </w:rPr>
              <w:br/>
              <w:t>The following evidence of response must be provided at each application:</w:t>
            </w:r>
            <w:r w:rsidRPr="006D52A9">
              <w:rPr>
                <w:rFonts w:ascii="Arial" w:hAnsi="Arial" w:cs="Arial"/>
                <w:sz w:val="16"/>
                <w:szCs w:val="16"/>
              </w:rPr>
              <w:br/>
              <w:t>(i) a haemoglobin level taken within the last 4 weeks; and</w:t>
            </w:r>
            <w:r w:rsidRPr="006D52A9">
              <w:rPr>
                <w:rFonts w:ascii="Arial" w:hAnsi="Arial" w:cs="Arial"/>
                <w:sz w:val="16"/>
                <w:szCs w:val="16"/>
              </w:rPr>
              <w:br/>
              <w:t>(ii) the date of the last transfusion; and</w:t>
            </w:r>
            <w:r w:rsidRPr="006D52A9">
              <w:rPr>
                <w:rFonts w:ascii="Arial" w:hAnsi="Arial" w:cs="Arial"/>
                <w:sz w:val="16"/>
                <w:szCs w:val="16"/>
              </w:rPr>
              <w:br/>
              <w:t>(iii) a statement of the number of units of red cells transfused in the 4 months immediately preceding this application; and</w:t>
            </w:r>
            <w:r w:rsidRPr="006D52A9">
              <w:rPr>
                <w:rFonts w:ascii="Arial" w:hAnsi="Arial" w:cs="Arial"/>
                <w:sz w:val="16"/>
                <w:szCs w:val="16"/>
              </w:rPr>
              <w:br/>
              <w:t>(iv) a statement confirming that the patient has not progressed to acute myeloid leukaemia.</w:t>
            </w:r>
          </w:p>
        </w:tc>
        <w:tc>
          <w:tcPr>
            <w:tcW w:w="9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466B2F0E"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14:paraId="180F06D4" w14:textId="77777777" w:rsidTr="00FB6D2D">
        <w:tc>
          <w:tcPr>
            <w:tcW w:w="64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21EFA318"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015096E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C4287</w:t>
            </w:r>
          </w:p>
        </w:tc>
        <w:tc>
          <w:tcPr>
            <w:tcW w:w="27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0BB9E4D4"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tcMar>
          </w:tcPr>
          <w:p w14:paraId="758C426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Myelodysplastic syndrome</w:t>
            </w:r>
            <w:r w:rsidRPr="006D52A9">
              <w:rPr>
                <w:rFonts w:ascii="Arial" w:hAnsi="Arial" w:cs="Arial"/>
                <w:sz w:val="16"/>
                <w:szCs w:val="16"/>
              </w:rPr>
              <w:br/>
              <w:t>Initial treatment</w:t>
            </w:r>
            <w:r w:rsidRPr="006D52A9">
              <w:rPr>
                <w:rFonts w:ascii="Arial" w:hAnsi="Arial" w:cs="Arial"/>
                <w:sz w:val="16"/>
                <w:szCs w:val="16"/>
              </w:rPr>
              <w:br/>
              <w:t>The treatment must be limited to a maximum duration of 16 weeks; AND</w:t>
            </w:r>
            <w:r w:rsidRPr="006D52A9">
              <w:rPr>
                <w:rFonts w:ascii="Arial" w:hAnsi="Arial" w:cs="Arial"/>
                <w:sz w:val="16"/>
                <w:szCs w:val="16"/>
              </w:rPr>
              <w:br/>
              <w:t>Patient must be classified as Low risk or Intermediate</w:t>
            </w:r>
            <w:r w:rsidR="0026100E">
              <w:rPr>
                <w:rFonts w:ascii="Arial" w:hAnsi="Arial" w:cs="Arial"/>
                <w:sz w:val="16"/>
                <w:szCs w:val="16"/>
              </w:rPr>
              <w:noBreakHyphen/>
            </w:r>
            <w:r w:rsidRPr="006D52A9">
              <w:rPr>
                <w:rFonts w:ascii="Arial" w:hAnsi="Arial" w:cs="Arial"/>
                <w:sz w:val="16"/>
                <w:szCs w:val="16"/>
              </w:rPr>
              <w:t>1 according to the International Prognostic Scoring System (IPSS); AND</w:t>
            </w:r>
            <w:r w:rsidRPr="006D52A9">
              <w:rPr>
                <w:rFonts w:ascii="Arial" w:hAnsi="Arial" w:cs="Arial"/>
                <w:sz w:val="16"/>
                <w:szCs w:val="16"/>
              </w:rPr>
              <w:br/>
              <w:t>Patient must have a deletion 5q cytogenetic abnormality with or without additional cytogenetic abnormalities; AND</w:t>
            </w:r>
            <w:r w:rsidRPr="006D52A9">
              <w:rPr>
                <w:rFonts w:ascii="Arial" w:hAnsi="Arial" w:cs="Arial"/>
                <w:sz w:val="16"/>
                <w:szCs w:val="16"/>
              </w:rPr>
              <w:br/>
              <w:t>Patient must be red blood cell transfusion dependent.</w:t>
            </w:r>
            <w:r w:rsidRPr="006D52A9">
              <w:rPr>
                <w:rFonts w:ascii="Arial" w:hAnsi="Arial" w:cs="Arial"/>
                <w:sz w:val="16"/>
                <w:szCs w:val="16"/>
              </w:rPr>
              <w:br/>
              <w:t xml:space="preserve">Classification of a patient as Low risk requires a score of 0 on the IPSS, achieved with the following combination: less than 5% marrow blasts with good karyotypic status (normal, </w:t>
            </w:r>
            <w:r w:rsidR="0026100E">
              <w:rPr>
                <w:rFonts w:ascii="Arial" w:hAnsi="Arial" w:cs="Arial"/>
                <w:sz w:val="16"/>
                <w:szCs w:val="16"/>
              </w:rPr>
              <w:noBreakHyphen/>
            </w:r>
            <w:r w:rsidRPr="006D52A9">
              <w:rPr>
                <w:rFonts w:ascii="Arial" w:hAnsi="Arial" w:cs="Arial"/>
                <w:sz w:val="16"/>
                <w:szCs w:val="16"/>
              </w:rPr>
              <w:t xml:space="preserve">Y alone, </w:t>
            </w:r>
            <w:r w:rsidR="0026100E">
              <w:rPr>
                <w:rFonts w:ascii="Arial" w:hAnsi="Arial" w:cs="Arial"/>
                <w:sz w:val="16"/>
                <w:szCs w:val="16"/>
              </w:rPr>
              <w:noBreakHyphen/>
            </w:r>
            <w:r w:rsidRPr="006D52A9">
              <w:rPr>
                <w:rFonts w:ascii="Arial" w:hAnsi="Arial" w:cs="Arial"/>
                <w:sz w:val="16"/>
                <w:szCs w:val="16"/>
              </w:rPr>
              <w:t xml:space="preserve">5q alone, </w:t>
            </w:r>
            <w:r w:rsidR="0026100E">
              <w:rPr>
                <w:rFonts w:ascii="Arial" w:hAnsi="Arial" w:cs="Arial"/>
                <w:sz w:val="16"/>
                <w:szCs w:val="16"/>
              </w:rPr>
              <w:noBreakHyphen/>
            </w:r>
            <w:r w:rsidRPr="006D52A9">
              <w:rPr>
                <w:rFonts w:ascii="Arial" w:hAnsi="Arial" w:cs="Arial"/>
                <w:sz w:val="16"/>
                <w:szCs w:val="16"/>
              </w:rPr>
              <w:t>20q alone), and 0/1 cytopenias.</w:t>
            </w:r>
            <w:r w:rsidRPr="006D52A9">
              <w:rPr>
                <w:rFonts w:ascii="Arial" w:hAnsi="Arial" w:cs="Arial"/>
                <w:sz w:val="16"/>
                <w:szCs w:val="16"/>
              </w:rPr>
              <w:br/>
              <w:t>Classification of a patient as Intermediate</w:t>
            </w:r>
            <w:r w:rsidR="0026100E">
              <w:rPr>
                <w:rFonts w:ascii="Arial" w:hAnsi="Arial" w:cs="Arial"/>
                <w:sz w:val="16"/>
                <w:szCs w:val="16"/>
              </w:rPr>
              <w:noBreakHyphen/>
            </w:r>
            <w:r w:rsidRPr="006D52A9">
              <w:rPr>
                <w:rFonts w:ascii="Arial" w:hAnsi="Arial" w:cs="Arial"/>
                <w:sz w:val="16"/>
                <w:szCs w:val="16"/>
              </w:rPr>
              <w:t>1 requires a score of 0.5 to 1 on the IPSS, achieved with the following possible combinations:</w:t>
            </w:r>
            <w:r w:rsidRPr="006D52A9">
              <w:rPr>
                <w:rFonts w:ascii="Arial" w:hAnsi="Arial" w:cs="Arial"/>
                <w:sz w:val="16"/>
                <w:szCs w:val="16"/>
              </w:rPr>
              <w:br/>
              <w:t>1. 5%</w:t>
            </w:r>
            <w:r w:rsidR="0026100E">
              <w:rPr>
                <w:rFonts w:ascii="Arial" w:hAnsi="Arial" w:cs="Arial"/>
                <w:sz w:val="16"/>
                <w:szCs w:val="16"/>
              </w:rPr>
              <w:noBreakHyphen/>
            </w:r>
            <w:r w:rsidRPr="006D52A9">
              <w:rPr>
                <w:rFonts w:ascii="Arial" w:hAnsi="Arial" w:cs="Arial"/>
                <w:sz w:val="16"/>
                <w:szCs w:val="16"/>
              </w:rPr>
              <w:t xml:space="preserve">10% marrow blasts with good karyotypic status (normal, </w:t>
            </w:r>
            <w:r w:rsidR="0026100E">
              <w:rPr>
                <w:rFonts w:ascii="Arial" w:hAnsi="Arial" w:cs="Arial"/>
                <w:sz w:val="16"/>
                <w:szCs w:val="16"/>
              </w:rPr>
              <w:noBreakHyphen/>
            </w:r>
            <w:r w:rsidRPr="006D52A9">
              <w:rPr>
                <w:rFonts w:ascii="Arial" w:hAnsi="Arial" w:cs="Arial"/>
                <w:sz w:val="16"/>
                <w:szCs w:val="16"/>
              </w:rPr>
              <w:t xml:space="preserve">Y alone, </w:t>
            </w:r>
            <w:r w:rsidR="0026100E">
              <w:rPr>
                <w:rFonts w:ascii="Arial" w:hAnsi="Arial" w:cs="Arial"/>
                <w:sz w:val="16"/>
                <w:szCs w:val="16"/>
              </w:rPr>
              <w:noBreakHyphen/>
            </w:r>
            <w:r w:rsidRPr="006D52A9">
              <w:rPr>
                <w:rFonts w:ascii="Arial" w:hAnsi="Arial" w:cs="Arial"/>
                <w:sz w:val="16"/>
                <w:szCs w:val="16"/>
              </w:rPr>
              <w:t xml:space="preserve">5q alone, </w:t>
            </w:r>
            <w:r w:rsidR="0026100E">
              <w:rPr>
                <w:rFonts w:ascii="Arial" w:hAnsi="Arial" w:cs="Arial"/>
                <w:sz w:val="16"/>
                <w:szCs w:val="16"/>
              </w:rPr>
              <w:noBreakHyphen/>
            </w:r>
            <w:r w:rsidRPr="006D52A9">
              <w:rPr>
                <w:rFonts w:ascii="Arial" w:hAnsi="Arial" w:cs="Arial"/>
                <w:sz w:val="16"/>
                <w:szCs w:val="16"/>
              </w:rPr>
              <w:t>20q alone), and 0/1 cytopenias; OR</w:t>
            </w:r>
            <w:r w:rsidRPr="006D52A9">
              <w:rPr>
                <w:rFonts w:ascii="Arial" w:hAnsi="Arial" w:cs="Arial"/>
                <w:sz w:val="16"/>
                <w:szCs w:val="16"/>
              </w:rPr>
              <w:br/>
              <w:t>2. less than 5% marrow blasts with intermediate karyotypic status (other abnormalities), and 0/1 cytopenias; OR</w:t>
            </w:r>
            <w:r w:rsidRPr="006D52A9">
              <w:rPr>
                <w:rFonts w:ascii="Arial" w:hAnsi="Arial" w:cs="Arial"/>
                <w:sz w:val="16"/>
                <w:szCs w:val="16"/>
              </w:rPr>
              <w:br/>
              <w:t xml:space="preserve">3. less than 5% marrow blasts with good karyotypic status (normal, </w:t>
            </w:r>
            <w:r w:rsidR="0026100E">
              <w:rPr>
                <w:rFonts w:ascii="Arial" w:hAnsi="Arial" w:cs="Arial"/>
                <w:sz w:val="16"/>
                <w:szCs w:val="16"/>
              </w:rPr>
              <w:noBreakHyphen/>
            </w:r>
            <w:r w:rsidRPr="006D52A9">
              <w:rPr>
                <w:rFonts w:ascii="Arial" w:hAnsi="Arial" w:cs="Arial"/>
                <w:sz w:val="16"/>
                <w:szCs w:val="16"/>
              </w:rPr>
              <w:t xml:space="preserve">Y alone, </w:t>
            </w:r>
            <w:r w:rsidR="0026100E">
              <w:rPr>
                <w:rFonts w:ascii="Arial" w:hAnsi="Arial" w:cs="Arial"/>
                <w:sz w:val="16"/>
                <w:szCs w:val="16"/>
              </w:rPr>
              <w:noBreakHyphen/>
            </w:r>
            <w:r w:rsidRPr="006D52A9">
              <w:rPr>
                <w:rFonts w:ascii="Arial" w:hAnsi="Arial" w:cs="Arial"/>
                <w:sz w:val="16"/>
                <w:szCs w:val="16"/>
              </w:rPr>
              <w:t xml:space="preserve">5q alone, </w:t>
            </w:r>
            <w:r w:rsidR="0026100E">
              <w:rPr>
                <w:rFonts w:ascii="Arial" w:hAnsi="Arial" w:cs="Arial"/>
                <w:sz w:val="16"/>
                <w:szCs w:val="16"/>
              </w:rPr>
              <w:noBreakHyphen/>
            </w:r>
            <w:r w:rsidRPr="006D52A9">
              <w:rPr>
                <w:rFonts w:ascii="Arial" w:hAnsi="Arial" w:cs="Arial"/>
                <w:sz w:val="16"/>
                <w:szCs w:val="16"/>
              </w:rPr>
              <w:t>20q alone), and 2/3 cytopenias; OR</w:t>
            </w:r>
            <w:r w:rsidRPr="006D52A9">
              <w:rPr>
                <w:rFonts w:ascii="Arial" w:hAnsi="Arial" w:cs="Arial"/>
                <w:sz w:val="16"/>
                <w:szCs w:val="16"/>
              </w:rPr>
              <w:br/>
              <w:t>4. less than 5% marrow blasts with intermediate karyotypic status (other abnormalities), and 2/3 cytopenias; OR</w:t>
            </w:r>
            <w:r w:rsidRPr="006D52A9">
              <w:rPr>
                <w:rFonts w:ascii="Arial" w:hAnsi="Arial" w:cs="Arial"/>
                <w:sz w:val="16"/>
                <w:szCs w:val="16"/>
              </w:rPr>
              <w:br/>
            </w:r>
            <w:r w:rsidRPr="006D52A9">
              <w:rPr>
                <w:rFonts w:ascii="Arial" w:hAnsi="Arial" w:cs="Arial"/>
                <w:sz w:val="16"/>
                <w:szCs w:val="16"/>
              </w:rPr>
              <w:lastRenderedPageBreak/>
              <w:t>5. 5%</w:t>
            </w:r>
            <w:r w:rsidR="0026100E">
              <w:rPr>
                <w:rFonts w:ascii="Arial" w:hAnsi="Arial" w:cs="Arial"/>
                <w:sz w:val="16"/>
                <w:szCs w:val="16"/>
              </w:rPr>
              <w:noBreakHyphen/>
            </w:r>
            <w:r w:rsidRPr="006D52A9">
              <w:rPr>
                <w:rFonts w:ascii="Arial" w:hAnsi="Arial" w:cs="Arial"/>
                <w:sz w:val="16"/>
                <w:szCs w:val="16"/>
              </w:rPr>
              <w:t>10% marrow blasts with intermediate karyotypic status (other abnormalities), and 0/1 cytopenias; OR</w:t>
            </w:r>
            <w:r w:rsidRPr="006D52A9">
              <w:rPr>
                <w:rFonts w:ascii="Arial" w:hAnsi="Arial" w:cs="Arial"/>
                <w:sz w:val="16"/>
                <w:szCs w:val="16"/>
              </w:rPr>
              <w:br/>
              <w:t>6. 5%</w:t>
            </w:r>
            <w:r w:rsidR="0026100E">
              <w:rPr>
                <w:rFonts w:ascii="Arial" w:hAnsi="Arial" w:cs="Arial"/>
                <w:sz w:val="16"/>
                <w:szCs w:val="16"/>
              </w:rPr>
              <w:noBreakHyphen/>
            </w:r>
            <w:r w:rsidRPr="006D52A9">
              <w:rPr>
                <w:rFonts w:ascii="Arial" w:hAnsi="Arial" w:cs="Arial"/>
                <w:sz w:val="16"/>
                <w:szCs w:val="16"/>
              </w:rPr>
              <w:t xml:space="preserve">10% marrow blasts with good karyotypic status (normal, </w:t>
            </w:r>
            <w:r w:rsidR="0026100E">
              <w:rPr>
                <w:rFonts w:ascii="Arial" w:hAnsi="Arial" w:cs="Arial"/>
                <w:sz w:val="16"/>
                <w:szCs w:val="16"/>
              </w:rPr>
              <w:noBreakHyphen/>
            </w:r>
            <w:r w:rsidRPr="006D52A9">
              <w:rPr>
                <w:rFonts w:ascii="Arial" w:hAnsi="Arial" w:cs="Arial"/>
                <w:sz w:val="16"/>
                <w:szCs w:val="16"/>
              </w:rPr>
              <w:t xml:space="preserve">Y alone, </w:t>
            </w:r>
            <w:r w:rsidR="0026100E">
              <w:rPr>
                <w:rFonts w:ascii="Arial" w:hAnsi="Arial" w:cs="Arial"/>
                <w:sz w:val="16"/>
                <w:szCs w:val="16"/>
              </w:rPr>
              <w:noBreakHyphen/>
            </w:r>
            <w:r w:rsidRPr="006D52A9">
              <w:rPr>
                <w:rFonts w:ascii="Arial" w:hAnsi="Arial" w:cs="Arial"/>
                <w:sz w:val="16"/>
                <w:szCs w:val="16"/>
              </w:rPr>
              <w:t xml:space="preserve">5q alone, </w:t>
            </w:r>
            <w:r w:rsidR="0026100E">
              <w:rPr>
                <w:rFonts w:ascii="Arial" w:hAnsi="Arial" w:cs="Arial"/>
                <w:sz w:val="16"/>
                <w:szCs w:val="16"/>
              </w:rPr>
              <w:noBreakHyphen/>
            </w:r>
            <w:r w:rsidRPr="006D52A9">
              <w:rPr>
                <w:rFonts w:ascii="Arial" w:hAnsi="Arial" w:cs="Arial"/>
                <w:sz w:val="16"/>
                <w:szCs w:val="16"/>
              </w:rPr>
              <w:t>20q alone), and 2/3 cytopenias; OR</w:t>
            </w:r>
            <w:r w:rsidRPr="006D52A9">
              <w:rPr>
                <w:rFonts w:ascii="Arial" w:hAnsi="Arial" w:cs="Arial"/>
                <w:sz w:val="16"/>
                <w:szCs w:val="16"/>
              </w:rPr>
              <w:br/>
              <w:t>7. less than 5% marrow blasts with poor karyotypic status (complex, greater than 3 abnormalities), and 0/1 cytopenias.</w:t>
            </w:r>
            <w:r w:rsidRPr="006D52A9">
              <w:rPr>
                <w:rFonts w:ascii="Arial" w:hAnsi="Arial" w:cs="Arial"/>
                <w:sz w:val="16"/>
                <w:szCs w:val="16"/>
              </w:rPr>
              <w:br/>
              <w:t>Classification of a patient as red blood cell transfusion dependent requires that:</w:t>
            </w:r>
            <w:r w:rsidRPr="006D52A9">
              <w:rPr>
                <w:rFonts w:ascii="Arial" w:hAnsi="Arial" w:cs="Arial"/>
                <w:sz w:val="16"/>
                <w:szCs w:val="16"/>
              </w:rPr>
              <w:br/>
              <w:t>(i) the patient has been transfused within the last 8 weeks; and</w:t>
            </w:r>
            <w:r w:rsidRPr="006D52A9">
              <w:rPr>
                <w:rFonts w:ascii="Arial" w:hAnsi="Arial" w:cs="Arial"/>
                <w:sz w:val="16"/>
                <w:szCs w:val="16"/>
              </w:rPr>
              <w:br/>
              <w:t>(ii) the patient has received at least 8 units of red blood cell in the last 6 months prior to commencing PBS</w:t>
            </w:r>
            <w:r w:rsidR="0026100E">
              <w:rPr>
                <w:rFonts w:ascii="Arial" w:hAnsi="Arial" w:cs="Arial"/>
                <w:sz w:val="16"/>
                <w:szCs w:val="16"/>
              </w:rPr>
              <w:noBreakHyphen/>
            </w:r>
            <w:r w:rsidRPr="006D52A9">
              <w:rPr>
                <w:rFonts w:ascii="Arial" w:hAnsi="Arial" w:cs="Arial"/>
                <w:sz w:val="16"/>
                <w:szCs w:val="16"/>
              </w:rPr>
              <w:t>subsidised therapy with lenalidomide; and would be expected to continue this requirement without lenalidomide treatment.</w:t>
            </w:r>
            <w:r w:rsidRPr="006D52A9">
              <w:rPr>
                <w:rFonts w:ascii="Arial" w:hAnsi="Arial" w:cs="Arial"/>
                <w:sz w:val="16"/>
                <w:szCs w:val="16"/>
              </w:rPr>
              <w:br/>
              <w:t>Patients receiving lenalidomide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Myelodysplastic Syndrome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(c) a copy of the bone marrow biopsy report demonstrating that the patient has myelodysplastic syndrome; and</w:t>
            </w:r>
            <w:r w:rsidRPr="006D52A9">
              <w:rPr>
                <w:rFonts w:ascii="Arial" w:hAnsi="Arial" w:cs="Arial"/>
                <w:sz w:val="16"/>
                <w:szCs w:val="16"/>
              </w:rPr>
              <w:br/>
              <w:t>(d) a copy of the full blood examination report; and</w:t>
            </w:r>
            <w:r w:rsidRPr="006D52A9">
              <w:rPr>
                <w:rFonts w:ascii="Arial" w:hAnsi="Arial" w:cs="Arial"/>
                <w:sz w:val="16"/>
                <w:szCs w:val="16"/>
              </w:rPr>
              <w:br/>
              <w:t>(e) a copy of the pathology report detailing the cytogenetics demonstrating Low risk or Intermediate</w:t>
            </w:r>
            <w:r w:rsidR="0026100E">
              <w:rPr>
                <w:rFonts w:ascii="Arial" w:hAnsi="Arial" w:cs="Arial"/>
                <w:sz w:val="16"/>
                <w:szCs w:val="16"/>
              </w:rPr>
              <w:noBreakHyphen/>
            </w:r>
            <w:r w:rsidRPr="006D52A9">
              <w:rPr>
                <w:rFonts w:ascii="Arial" w:hAnsi="Arial" w:cs="Arial"/>
                <w:sz w:val="16"/>
                <w:szCs w:val="16"/>
              </w:rPr>
              <w:t xml:space="preserve">1 disease according to the IPSS (note: using Fluorescence in Situ Hybridization (FISH) to demonstrate MDS </w:t>
            </w:r>
            <w:r w:rsidR="0026100E">
              <w:rPr>
                <w:rFonts w:ascii="Arial" w:hAnsi="Arial" w:cs="Arial"/>
                <w:sz w:val="16"/>
                <w:szCs w:val="16"/>
              </w:rPr>
              <w:noBreakHyphen/>
            </w:r>
            <w:r w:rsidRPr="006D52A9">
              <w:rPr>
                <w:rFonts w:ascii="Arial" w:hAnsi="Arial" w:cs="Arial"/>
                <w:sz w:val="16"/>
                <w:szCs w:val="16"/>
              </w:rPr>
              <w:t>5q is acceptable); and</w:t>
            </w:r>
            <w:r w:rsidRPr="006D52A9">
              <w:rPr>
                <w:rFonts w:ascii="Arial" w:hAnsi="Arial" w:cs="Arial"/>
                <w:sz w:val="16"/>
                <w:szCs w:val="16"/>
              </w:rPr>
              <w:br/>
              <w:t>(f) details of transfusion requirements including: (i) the date of most recent transfusion and the number of red blood cell units transfused; and (ii) the total number of red cell units transfused in the 4 and 6 months preceding the date of this application; and</w:t>
            </w:r>
            <w:r w:rsidRPr="006D52A9">
              <w:rPr>
                <w:rFonts w:ascii="Arial" w:hAnsi="Arial" w:cs="Arial"/>
                <w:sz w:val="16"/>
                <w:szCs w:val="16"/>
              </w:rPr>
              <w:br/>
              <w:t>(g) a signed patient acknowledgement form.</w:t>
            </w:r>
          </w:p>
        </w:tc>
        <w:tc>
          <w:tcPr>
            <w:tcW w:w="92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57" w:type="dxa"/>
            </w:tcMar>
          </w:tcPr>
          <w:p w14:paraId="20DB4C68"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BF560C" w14:paraId="372750E3" w14:textId="77777777" w:rsidTr="00FB6D2D">
        <w:tc>
          <w:tcPr>
            <w:tcW w:w="647" w:type="pct"/>
            <w:tcMar>
              <w:top w:w="28" w:type="dxa"/>
              <w:left w:w="28" w:type="dxa"/>
            </w:tcMar>
          </w:tcPr>
          <w:p w14:paraId="1385ACB7"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0A3F96B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C10334</w:t>
            </w:r>
          </w:p>
        </w:tc>
        <w:tc>
          <w:tcPr>
            <w:tcW w:w="274" w:type="pct"/>
            <w:tcMar>
              <w:top w:w="28" w:type="dxa"/>
              <w:left w:w="28" w:type="dxa"/>
            </w:tcMar>
          </w:tcPr>
          <w:p w14:paraId="4485A0BB"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573ECE4"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szCs w:val="16"/>
              </w:rPr>
              <w:br/>
            </w:r>
            <w:r w:rsidRPr="006D52A9">
              <w:rPr>
                <w:rFonts w:ascii="Arial" w:hAnsi="Arial" w:cs="Arial"/>
                <w:sz w:val="16"/>
                <w:szCs w:val="16"/>
              </w:rPr>
              <w:t>Initial treatment with lenalidomide monotherapy in newly diagnosed disease</w:t>
            </w:r>
            <w:r w:rsidRPr="006D52A9">
              <w:rPr>
                <w:szCs w:val="16"/>
              </w:rPr>
              <w:br/>
            </w:r>
            <w:r w:rsidRPr="006D52A9">
              <w:rPr>
                <w:rFonts w:ascii="Arial" w:hAnsi="Arial" w:cs="Arial"/>
                <w:sz w:val="16"/>
                <w:szCs w:val="16"/>
              </w:rPr>
              <w:t>The treatment must be as monotherapy; AND</w:t>
            </w:r>
            <w:r w:rsidRPr="006D52A9">
              <w:rPr>
                <w:szCs w:val="16"/>
              </w:rPr>
              <w:br/>
            </w:r>
            <w:r w:rsidRPr="006D52A9">
              <w:rPr>
                <w:rFonts w:ascii="Arial" w:hAnsi="Arial" w:cs="Arial"/>
                <w:sz w:val="16"/>
                <w:szCs w:val="16"/>
              </w:rPr>
              <w:t>The condition must be confirmed by a histological diagnosis; AND</w:t>
            </w:r>
            <w:r w:rsidRPr="006D52A9">
              <w:rPr>
                <w:szCs w:val="16"/>
              </w:rPr>
              <w:br/>
            </w:r>
            <w:r w:rsidRPr="006D52A9">
              <w:rPr>
                <w:rFonts w:ascii="Arial" w:hAnsi="Arial" w:cs="Arial"/>
                <w:sz w:val="16"/>
                <w:szCs w:val="16"/>
              </w:rPr>
              <w:t>Patient must have undergone an autologous stem cell transplant (ASCT) as part of frontline therapy for newly diagnosed multiple myeloma; AND</w:t>
            </w:r>
            <w:r w:rsidRPr="006D52A9">
              <w:rPr>
                <w:szCs w:val="16"/>
              </w:rPr>
              <w:br/>
            </w:r>
            <w:r w:rsidRPr="006D52A9">
              <w:rPr>
                <w:rFonts w:ascii="Arial" w:hAnsi="Arial" w:cs="Arial"/>
                <w:sz w:val="16"/>
                <w:szCs w:val="16"/>
              </w:rPr>
              <w:t>Patient must not have progressive disease following autologous stem cell transplant (ASCT).</w:t>
            </w:r>
            <w:r w:rsidRPr="006D52A9">
              <w:rPr>
                <w:szCs w:val="16"/>
              </w:rPr>
              <w:br/>
            </w:r>
            <w:r w:rsidRPr="006D52A9">
              <w:rPr>
                <w:rFonts w:ascii="Arial" w:hAnsi="Arial" w:cs="Arial"/>
                <w:sz w:val="16"/>
                <w:szCs w:val="16"/>
              </w:rPr>
              <w:t>The authority application must be made in writing and must include:</w:t>
            </w:r>
            <w:r w:rsidRPr="006D52A9">
              <w:rPr>
                <w:szCs w:val="16"/>
              </w:rPr>
              <w:br/>
            </w:r>
            <w:r w:rsidRPr="006D52A9">
              <w:rPr>
                <w:rFonts w:ascii="Arial" w:hAnsi="Arial" w:cs="Arial"/>
                <w:sz w:val="16"/>
                <w:szCs w:val="16"/>
              </w:rPr>
              <w:t>(1) a completed authority prescription form; and</w:t>
            </w:r>
            <w:r w:rsidRPr="006D52A9">
              <w:rPr>
                <w:szCs w:val="16"/>
              </w:rPr>
              <w:br/>
            </w:r>
            <w:r w:rsidRPr="006D52A9">
              <w:rPr>
                <w:rFonts w:ascii="Arial" w:hAnsi="Arial" w:cs="Arial"/>
                <w:sz w:val="16"/>
                <w:szCs w:val="16"/>
              </w:rPr>
              <w:t xml:space="preserve">(2) a completed Multiple Myeloma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details of the histological diagnosis of multiple myeloma, the date the autologous stem cell transplant was performed, and nomination of which disease activity parameters will be used to assess progression.</w:t>
            </w:r>
            <w:r w:rsidRPr="006D52A9">
              <w:rPr>
                <w:szCs w:val="16"/>
              </w:rPr>
              <w:br/>
            </w:r>
            <w:r w:rsidRPr="006D52A9">
              <w:rPr>
                <w:rFonts w:ascii="Arial" w:hAnsi="Arial" w:cs="Arial"/>
                <w:sz w:val="16"/>
                <w:szCs w:val="16"/>
              </w:rPr>
              <w:t xml:space="preserve">To enable confirmation of eligibility for treatment, the results of current diagnostic reports of at least one </w:t>
            </w:r>
            <w:r w:rsidRPr="006D52A9">
              <w:rPr>
                <w:rFonts w:ascii="Arial" w:hAnsi="Arial" w:cs="Arial"/>
                <w:sz w:val="16"/>
                <w:szCs w:val="16"/>
              </w:rPr>
              <w:lastRenderedPageBreak/>
              <w:t>of the following must be provided:</w:t>
            </w:r>
            <w:r w:rsidRPr="006D52A9">
              <w:rPr>
                <w:szCs w:val="16"/>
              </w:rPr>
              <w:br/>
            </w:r>
            <w:r w:rsidRPr="006D52A9">
              <w:rPr>
                <w:rFonts w:ascii="Arial" w:hAnsi="Arial" w:cs="Arial"/>
                <w:sz w:val="16"/>
                <w:szCs w:val="16"/>
              </w:rPr>
              <w:t>(a) the level of serum monoclonal protein; or</w:t>
            </w:r>
            <w:r w:rsidRPr="006D52A9">
              <w:rPr>
                <w:szCs w:val="16"/>
              </w:rPr>
              <w:br/>
            </w:r>
            <w:r w:rsidRPr="006D52A9">
              <w:rPr>
                <w:rFonts w:ascii="Arial" w:hAnsi="Arial" w:cs="Arial"/>
                <w:sz w:val="16"/>
                <w:szCs w:val="16"/>
              </w:rPr>
              <w:t>(b) Bence</w:t>
            </w:r>
            <w:r w:rsidR="0026100E">
              <w:rPr>
                <w:rFonts w:ascii="Arial" w:hAnsi="Arial" w:cs="Arial"/>
                <w:sz w:val="16"/>
                <w:szCs w:val="16"/>
              </w:rPr>
              <w:noBreakHyphen/>
            </w:r>
            <w:r w:rsidRPr="006D52A9">
              <w:rPr>
                <w:rFonts w:ascii="Arial" w:hAnsi="Arial" w:cs="Arial"/>
                <w:sz w:val="16"/>
                <w:szCs w:val="16"/>
              </w:rPr>
              <w:t xml:space="preserve">Jones proteinuria </w:t>
            </w:r>
            <w:r w:rsidR="0026100E">
              <w:rPr>
                <w:rFonts w:ascii="Arial" w:hAnsi="Arial" w:cs="Arial"/>
                <w:sz w:val="16"/>
                <w:szCs w:val="16"/>
              </w:rPr>
              <w:noBreakHyphen/>
            </w:r>
            <w:r w:rsidRPr="006D52A9">
              <w:rPr>
                <w:rFonts w:ascii="Arial" w:hAnsi="Arial" w:cs="Arial"/>
                <w:sz w:val="16"/>
                <w:szCs w:val="16"/>
              </w:rPr>
              <w:t xml:space="preserve"> the results of 24</w:t>
            </w:r>
            <w:r w:rsidR="0026100E">
              <w:rPr>
                <w:rFonts w:ascii="Arial" w:hAnsi="Arial" w:cs="Arial"/>
                <w:sz w:val="16"/>
                <w:szCs w:val="16"/>
              </w:rPr>
              <w:noBreakHyphen/>
            </w:r>
            <w:r w:rsidRPr="006D52A9">
              <w:rPr>
                <w:rFonts w:ascii="Arial" w:hAnsi="Arial" w:cs="Arial"/>
                <w:sz w:val="16"/>
                <w:szCs w:val="16"/>
              </w:rPr>
              <w:t>hour urinary light chain M protein excretion; or</w:t>
            </w:r>
            <w:r w:rsidRPr="006D52A9">
              <w:rPr>
                <w:szCs w:val="16"/>
              </w:rPr>
              <w:br/>
            </w:r>
            <w:r w:rsidRPr="006D52A9">
              <w:rPr>
                <w:rFonts w:ascii="Arial" w:hAnsi="Arial" w:cs="Arial"/>
                <w:sz w:val="16"/>
                <w:szCs w:val="16"/>
              </w:rPr>
              <w:t>(c) the serum level of free kappa and lambda light chains; or</w:t>
            </w:r>
            <w:r w:rsidRPr="006D52A9">
              <w:rPr>
                <w:szCs w:val="16"/>
              </w:rPr>
              <w:br/>
            </w:r>
            <w:r w:rsidRPr="006D52A9">
              <w:rPr>
                <w:rFonts w:ascii="Arial" w:hAnsi="Arial" w:cs="Arial"/>
                <w:sz w:val="16"/>
                <w:szCs w:val="16"/>
              </w:rPr>
              <w:t>(d) bone marrow aspirate or trephine; or</w:t>
            </w:r>
            <w:r w:rsidRPr="006D52A9">
              <w:rPr>
                <w:szCs w:val="16"/>
              </w:rPr>
              <w:br/>
            </w:r>
            <w:r w:rsidRPr="006D52A9">
              <w:rPr>
                <w:rFonts w:ascii="Arial" w:hAnsi="Arial" w:cs="Arial"/>
                <w:sz w:val="16"/>
                <w:szCs w:val="16"/>
              </w:rPr>
              <w:t>(e) if present, the size and location of lytic bone lesions (not including compression fractures); or</w:t>
            </w:r>
            <w:r w:rsidRPr="006D52A9">
              <w:rPr>
                <w:szCs w:val="16"/>
              </w:rPr>
              <w:br/>
            </w:r>
            <w:r w:rsidRPr="006D52A9">
              <w:rPr>
                <w:rFonts w:ascii="Arial" w:hAnsi="Arial" w:cs="Arial"/>
                <w:sz w:val="16"/>
                <w:szCs w:val="16"/>
              </w:rPr>
              <w:t>(f) if present, the size and location of all soft tissue plasmacytomas by clinical or radiographic examination i.e. MRI or CT</w:t>
            </w:r>
            <w:r w:rsidR="0026100E">
              <w:rPr>
                <w:rFonts w:ascii="Arial" w:hAnsi="Arial" w:cs="Arial"/>
                <w:sz w:val="16"/>
                <w:szCs w:val="16"/>
              </w:rPr>
              <w:noBreakHyphen/>
            </w:r>
            <w:r w:rsidRPr="006D52A9">
              <w:rPr>
                <w:rFonts w:ascii="Arial" w:hAnsi="Arial" w:cs="Arial"/>
                <w:sz w:val="16"/>
                <w:szCs w:val="16"/>
              </w:rPr>
              <w:t>scan; or</w:t>
            </w:r>
            <w:r w:rsidRPr="006D52A9">
              <w:rPr>
                <w:szCs w:val="16"/>
              </w:rPr>
              <w:br/>
            </w:r>
            <w:r w:rsidRPr="006D52A9">
              <w:rPr>
                <w:rFonts w:ascii="Arial" w:hAnsi="Arial" w:cs="Arial"/>
                <w:sz w:val="16"/>
                <w:szCs w:val="16"/>
              </w:rPr>
              <w:t>(g) if present, the level of hypercalcaemia, corrected for albumin concentration.</w:t>
            </w:r>
            <w:r w:rsidRPr="006D52A9">
              <w:rPr>
                <w:szCs w:val="16"/>
              </w:rPr>
              <w:br/>
            </w:r>
            <w:r w:rsidRPr="006D52A9">
              <w:rPr>
                <w:rFonts w:ascii="Arial" w:hAnsi="Arial" w:cs="Arial"/>
                <w:sz w:val="16"/>
                <w:szCs w:val="16"/>
              </w:rPr>
              <w:t>As these parameters will be used to determine progression, results for either (a) or (b) or (c) should be provided for all patients. Where the patient has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either (c) or (d) or if relevant (e), (f) or (g) should be provided. Where the prescriber plans to assess response in patients with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with free light chain assays, evidence of the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nature of the multiple myeloma (current serum M protein less than 10 g per L) must be provided.</w:t>
            </w:r>
            <w:r w:rsidRPr="006D52A9">
              <w:rPr>
                <w:szCs w:val="16"/>
              </w:rPr>
              <w:br/>
            </w:r>
            <w:r w:rsidRPr="006D52A9">
              <w:rPr>
                <w:rFonts w:ascii="Arial" w:hAnsi="Arial" w:cs="Arial"/>
                <w:sz w:val="16"/>
                <w:szCs w:val="16"/>
              </w:rP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5B53C131"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BF560C" w14:paraId="67C434FC" w14:textId="77777777" w:rsidTr="00FB6D2D">
        <w:tc>
          <w:tcPr>
            <w:tcW w:w="647" w:type="pct"/>
            <w:tcMar>
              <w:top w:w="28" w:type="dxa"/>
              <w:left w:w="28" w:type="dxa"/>
            </w:tcMar>
          </w:tcPr>
          <w:p w14:paraId="7A56F75E"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755CC85B"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hAnsi="Arial" w:cs="Arial"/>
                <w:sz w:val="16"/>
                <w:szCs w:val="16"/>
              </w:rPr>
              <w:t>C10335</w:t>
            </w:r>
          </w:p>
        </w:tc>
        <w:tc>
          <w:tcPr>
            <w:tcW w:w="274" w:type="pct"/>
            <w:tcMar>
              <w:top w:w="28" w:type="dxa"/>
              <w:left w:w="28" w:type="dxa"/>
            </w:tcMar>
          </w:tcPr>
          <w:p w14:paraId="037F4AF7"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56B9B9B" w14:textId="77777777" w:rsidR="008F47B8" w:rsidRPr="006D52A9" w:rsidRDefault="008F47B8" w:rsidP="00FB6D2D">
            <w:pPr>
              <w:spacing w:after="60" w:line="240" w:lineRule="auto"/>
              <w:rPr>
                <w:rFonts w:ascii="Arial" w:eastAsia="Arial" w:hAnsi="Arial" w:cs="Arial"/>
                <w:sz w:val="16"/>
                <w:szCs w:val="16"/>
                <w:lang w:eastAsia="zh-CN"/>
              </w:rPr>
            </w:pPr>
            <w:r w:rsidRPr="006D52A9">
              <w:rPr>
                <w:rFonts w:ascii="Arial" w:hAnsi="Arial" w:cs="Arial"/>
                <w:sz w:val="16"/>
                <w:szCs w:val="16"/>
              </w:rPr>
              <w:t>Multiple myeloma</w:t>
            </w:r>
            <w:r w:rsidRPr="006D52A9">
              <w:rPr>
                <w:rFonts w:ascii="Arial" w:hAnsi="Arial" w:cs="Arial"/>
                <w:sz w:val="16"/>
                <w:szCs w:val="16"/>
              </w:rPr>
              <w:br/>
              <w:t>Continuing treatment with lenalidomide monotherapy following initial treatment with lenalidomide therapy in newly diagnosed disease</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demonstrated progressive disease; AND</w:t>
            </w:r>
            <w:r w:rsidRPr="006D52A9">
              <w:rPr>
                <w:rFonts w:ascii="Arial" w:hAnsi="Arial" w:cs="Arial"/>
                <w:sz w:val="16"/>
                <w:szCs w:val="16"/>
              </w:rPr>
              <w:br/>
              <w:t>The treatment must be as monotherapy.</w:t>
            </w:r>
            <w:r w:rsidRPr="006D52A9">
              <w:rPr>
                <w:rFonts w:ascii="Arial" w:hAnsi="Arial" w:cs="Arial"/>
                <w:sz w:val="16"/>
                <w:szCs w:val="16"/>
              </w:rPr>
              <w:br/>
              <w:t>Progressive disease is defined as at least 1 of the following:</w:t>
            </w:r>
            <w:r w:rsidRPr="006D52A9">
              <w:rPr>
                <w:rFonts w:ascii="Arial" w:hAnsi="Arial" w:cs="Arial"/>
                <w:sz w:val="16"/>
                <w:szCs w:val="16"/>
              </w:rPr>
              <w:br/>
              <w:t>(a) at least a 25% increase and an absolute increase of at least 5 g per L in serum M protein (monoclonal protein); or</w:t>
            </w:r>
            <w:r w:rsidRPr="006D52A9">
              <w:rPr>
                <w:rFonts w:ascii="Arial" w:hAnsi="Arial" w:cs="Arial"/>
                <w:sz w:val="16"/>
                <w:szCs w:val="16"/>
              </w:rPr>
              <w:br/>
              <w:t>(b) at least a 25% increase in 24</w:t>
            </w:r>
            <w:r w:rsidR="0026100E">
              <w:rPr>
                <w:rFonts w:ascii="Arial" w:hAnsi="Arial" w:cs="Arial"/>
                <w:sz w:val="16"/>
                <w:szCs w:val="16"/>
              </w:rPr>
              <w:noBreakHyphen/>
            </w:r>
            <w:r w:rsidRPr="006D52A9">
              <w:rPr>
                <w:rFonts w:ascii="Arial" w:hAnsi="Arial" w:cs="Arial"/>
                <w:sz w:val="16"/>
                <w:szCs w:val="16"/>
              </w:rPr>
              <w:t>hour urinary light chain M protein excretion, and an absolute increase of at least 200 mg per 24 hours; or</w:t>
            </w:r>
            <w:r w:rsidRPr="006D52A9">
              <w:rPr>
                <w:rFonts w:ascii="Arial" w:hAnsi="Arial" w:cs="Arial"/>
                <w:sz w:val="16"/>
                <w:szCs w:val="16"/>
              </w:rPr>
              <w:br/>
              <w:t>(c) in 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myeloma patients only, at least a 50% increase in the difference between involved free light chain and uninvolved free light chain; or</w:t>
            </w:r>
            <w:r w:rsidRPr="006D52A9">
              <w:rPr>
                <w:rFonts w:ascii="Arial" w:hAnsi="Arial" w:cs="Arial"/>
                <w:sz w:val="16"/>
                <w:szCs w:val="16"/>
              </w:rPr>
              <w:br/>
              <w:t>(d) at least a 25% relative increase and at least a 10% absolute increase in plasma cells in a bone marrow aspirate or on biopsy; or</w:t>
            </w:r>
            <w:r w:rsidRPr="006D52A9">
              <w:rPr>
                <w:rFonts w:ascii="Arial" w:hAnsi="Arial" w:cs="Arial"/>
                <w:sz w:val="16"/>
                <w:szCs w:val="16"/>
              </w:rPr>
              <w:br/>
              <w:t>(e) an increase in the size or number of lytic bone lesions (not including compression fractures); or</w:t>
            </w:r>
            <w:r w:rsidRPr="006D52A9">
              <w:rPr>
                <w:rFonts w:ascii="Arial" w:hAnsi="Arial" w:cs="Arial"/>
                <w:sz w:val="16"/>
                <w:szCs w:val="16"/>
              </w:rPr>
              <w:br/>
              <w:t>(f) at least a 25% increase in the size of an existing or the development of a new soft tissue plasmacytoma (determined by clinical examination or diagnostic imaging); or</w:t>
            </w:r>
            <w:r w:rsidRPr="006D52A9">
              <w:rPr>
                <w:rFonts w:ascii="Arial" w:hAnsi="Arial" w:cs="Arial"/>
                <w:sz w:val="16"/>
                <w:szCs w:val="16"/>
              </w:rPr>
              <w:br/>
              <w:t>(g) development of hypercalcaemia (corrected serum calcium greater than 2.65 mmol per L not attributable to any other cause).</w:t>
            </w:r>
            <w:r w:rsidRPr="006D52A9">
              <w:rPr>
                <w:rFonts w:ascii="Arial" w:hAnsi="Arial" w:cs="Arial"/>
                <w:sz w:val="16"/>
                <w:szCs w:val="16"/>
              </w:rPr>
              <w:br/>
              <w:t>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patients are defined as having active disease with less than 10 g per L serum M protein.</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4C3D53C9"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hAnsi="Arial" w:cs="Arial"/>
                <w:sz w:val="16"/>
                <w:szCs w:val="16"/>
              </w:rPr>
              <w:t>Compliance with Authority Required procedures</w:t>
            </w:r>
          </w:p>
        </w:tc>
      </w:tr>
      <w:tr w:rsidR="008F47B8" w:rsidRPr="006D52A9" w:rsidDel="00BF560C" w14:paraId="1D50E07E" w14:textId="77777777" w:rsidTr="00FB6D2D">
        <w:tc>
          <w:tcPr>
            <w:tcW w:w="647" w:type="pct"/>
            <w:tcMar>
              <w:top w:w="28" w:type="dxa"/>
              <w:left w:w="28" w:type="dxa"/>
            </w:tcMar>
          </w:tcPr>
          <w:p w14:paraId="6D31A81F"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250BA1C7"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C10349</w:t>
            </w:r>
          </w:p>
        </w:tc>
        <w:tc>
          <w:tcPr>
            <w:tcW w:w="274" w:type="pct"/>
            <w:tcMar>
              <w:top w:w="28" w:type="dxa"/>
              <w:left w:w="28" w:type="dxa"/>
            </w:tcMar>
          </w:tcPr>
          <w:p w14:paraId="4A4A1427"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6F3F33D" w14:textId="77777777" w:rsidR="008F47B8" w:rsidRPr="006D52A9" w:rsidRDefault="008F47B8" w:rsidP="00FB6D2D">
            <w:pPr>
              <w:spacing w:after="60" w:line="240" w:lineRule="auto"/>
              <w:rPr>
                <w:rFonts w:ascii="Arial" w:eastAsia="Arial" w:hAnsi="Arial" w:cs="Arial"/>
                <w:sz w:val="16"/>
                <w:szCs w:val="16"/>
                <w:lang w:eastAsia="zh-CN"/>
              </w:rPr>
            </w:pPr>
            <w:r w:rsidRPr="006D52A9">
              <w:rPr>
                <w:rFonts w:ascii="Arial" w:hAnsi="Arial" w:cs="Arial"/>
                <w:sz w:val="16"/>
                <w:szCs w:val="16"/>
              </w:rPr>
              <w:t>Multiple myeloma</w:t>
            </w:r>
            <w:r w:rsidRPr="006D52A9">
              <w:rPr>
                <w:rFonts w:ascii="Arial" w:hAnsi="Arial" w:cs="Arial"/>
                <w:sz w:val="16"/>
                <w:szCs w:val="16"/>
              </w:rPr>
              <w:br/>
              <w:t>Continuing treatment as monotherapy or dual combination therapy with dexamethasone following initial treatment for progressive disease</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relapsed or refractory multiple myeloma; AND</w:t>
            </w:r>
            <w:r w:rsidRPr="006D52A9">
              <w:rPr>
                <w:rFonts w:ascii="Arial" w:hAnsi="Arial" w:cs="Arial"/>
                <w:sz w:val="16"/>
                <w:szCs w:val="16"/>
              </w:rPr>
              <w:br/>
              <w:t>The treatment must be as monotherapy; OR</w:t>
            </w:r>
            <w:r w:rsidRPr="006D52A9">
              <w:rPr>
                <w:rFonts w:ascii="Arial" w:hAnsi="Arial" w:cs="Arial"/>
                <w:sz w:val="16"/>
                <w:szCs w:val="16"/>
              </w:rPr>
              <w:br/>
              <w:t>The treatment must be in combination with dexamethasone;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carfilzomib or thalidomide or its analogues.</w:t>
            </w:r>
            <w:r w:rsidRPr="006D52A9">
              <w:rPr>
                <w:rFonts w:ascii="Arial" w:hAnsi="Arial" w:cs="Arial"/>
                <w:sz w:val="16"/>
                <w:szCs w:val="16"/>
              </w:rPr>
              <w:br/>
              <w:t>Patients receiving lenalidomide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27C7212F"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Compliance with Authority Required procedures</w:t>
            </w:r>
          </w:p>
        </w:tc>
      </w:tr>
      <w:tr w:rsidR="008F47B8" w:rsidRPr="006D52A9" w:rsidDel="00BF560C" w14:paraId="76080357" w14:textId="77777777" w:rsidTr="00FB6D2D">
        <w:tc>
          <w:tcPr>
            <w:tcW w:w="647" w:type="pct"/>
            <w:tcMar>
              <w:top w:w="28" w:type="dxa"/>
              <w:left w:w="28" w:type="dxa"/>
            </w:tcMar>
          </w:tcPr>
          <w:p w14:paraId="42C10223"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017BD3AF"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C10350</w:t>
            </w:r>
          </w:p>
        </w:tc>
        <w:tc>
          <w:tcPr>
            <w:tcW w:w="274" w:type="pct"/>
            <w:tcMar>
              <w:top w:w="28" w:type="dxa"/>
              <w:left w:w="28" w:type="dxa"/>
            </w:tcMar>
          </w:tcPr>
          <w:p w14:paraId="06748152"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E91E8BA" w14:textId="77777777" w:rsidR="008F47B8" w:rsidRPr="006D52A9" w:rsidRDefault="008F47B8" w:rsidP="00FB6D2D">
            <w:pPr>
              <w:spacing w:after="60" w:line="240" w:lineRule="auto"/>
              <w:rPr>
                <w:rFonts w:ascii="Arial" w:eastAsia="Arial" w:hAnsi="Arial" w:cs="Arial"/>
                <w:sz w:val="16"/>
                <w:szCs w:val="16"/>
                <w:lang w:eastAsia="zh-CN"/>
              </w:rPr>
            </w:pPr>
            <w:r w:rsidRPr="006D52A9">
              <w:rPr>
                <w:rFonts w:ascii="Arial" w:hAnsi="Arial" w:cs="Arial"/>
                <w:sz w:val="16"/>
                <w:szCs w:val="16"/>
              </w:rPr>
              <w:t>Multiple myeloma</w:t>
            </w:r>
            <w:r w:rsidRPr="006D52A9">
              <w:rPr>
                <w:rFonts w:ascii="Arial" w:hAnsi="Arial" w:cs="Arial"/>
                <w:sz w:val="16"/>
                <w:szCs w:val="16"/>
              </w:rPr>
              <w:br/>
              <w:t>Initial treatment as monotherapy or dual combination therapy with dexamethasone for progressive disease</w:t>
            </w:r>
            <w:r w:rsidRPr="006D52A9">
              <w:rPr>
                <w:rFonts w:ascii="Arial" w:hAnsi="Arial" w:cs="Arial"/>
                <w:sz w:val="16"/>
                <w:szCs w:val="16"/>
              </w:rPr>
              <w:br/>
              <w:t>The condition must be confirmed by a histological diagnosis; AND</w:t>
            </w:r>
            <w:r w:rsidRPr="006D52A9">
              <w:rPr>
                <w:rFonts w:ascii="Arial" w:hAnsi="Arial" w:cs="Arial"/>
                <w:sz w:val="16"/>
                <w:szCs w:val="16"/>
              </w:rPr>
              <w:br/>
              <w:t>The treatment must be as monotherapy; OR</w:t>
            </w:r>
            <w:r w:rsidRPr="006D52A9">
              <w:rPr>
                <w:rFonts w:ascii="Arial" w:hAnsi="Arial" w:cs="Arial"/>
                <w:sz w:val="16"/>
                <w:szCs w:val="16"/>
              </w:rPr>
              <w:br/>
              <w:t>The treatment must be in combination with dexamethasone; AND</w:t>
            </w:r>
            <w:r w:rsidRPr="006D52A9">
              <w:rPr>
                <w:rFonts w:ascii="Arial" w:hAnsi="Arial" w:cs="Arial"/>
                <w:sz w:val="16"/>
                <w:szCs w:val="16"/>
              </w:rPr>
              <w:br/>
              <w:t>Patient must have progressive disease after at least one prior therapy; AND</w:t>
            </w:r>
            <w:r w:rsidRPr="006D52A9">
              <w:rPr>
                <w:rFonts w:ascii="Arial" w:hAnsi="Arial" w:cs="Arial"/>
                <w:sz w:val="16"/>
                <w:szCs w:val="16"/>
              </w:rPr>
              <w:br/>
              <w:t>Patient must have undergone or be ineligible for a primary stem cell transplant;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carfilzomib or thalidomide or its analogues.</w:t>
            </w:r>
            <w:r w:rsidRPr="006D52A9">
              <w:rPr>
                <w:rFonts w:ascii="Arial" w:hAnsi="Arial" w:cs="Arial"/>
                <w:sz w:val="16"/>
                <w:szCs w:val="16"/>
              </w:rPr>
              <w:br/>
              <w:t>Progressive disease is defined as at least 1 of the following:</w:t>
            </w:r>
            <w:r w:rsidRPr="006D52A9">
              <w:rPr>
                <w:rFonts w:ascii="Arial" w:hAnsi="Arial" w:cs="Arial"/>
                <w:sz w:val="16"/>
                <w:szCs w:val="16"/>
              </w:rPr>
              <w:br/>
              <w:t>(a) at least a 25% increase and an absolute increase of at least 5 g per L in serum M protein (monoclonal protein); or</w:t>
            </w:r>
            <w:r w:rsidRPr="006D52A9">
              <w:rPr>
                <w:rFonts w:ascii="Arial" w:hAnsi="Arial" w:cs="Arial"/>
                <w:sz w:val="16"/>
                <w:szCs w:val="16"/>
              </w:rPr>
              <w:br/>
              <w:t>(b) at least a 25% increase in 24</w:t>
            </w:r>
            <w:r w:rsidR="0026100E">
              <w:rPr>
                <w:rFonts w:ascii="Arial" w:hAnsi="Arial" w:cs="Arial"/>
                <w:sz w:val="16"/>
                <w:szCs w:val="16"/>
              </w:rPr>
              <w:noBreakHyphen/>
            </w:r>
            <w:r w:rsidRPr="006D52A9">
              <w:rPr>
                <w:rFonts w:ascii="Arial" w:hAnsi="Arial" w:cs="Arial"/>
                <w:sz w:val="16"/>
                <w:szCs w:val="16"/>
              </w:rPr>
              <w:t>hour urinary light chain M protein excretion, and an absolute increase of at least 200 mg per 24 hours; or</w:t>
            </w:r>
            <w:r w:rsidRPr="006D52A9">
              <w:rPr>
                <w:rFonts w:ascii="Arial" w:hAnsi="Arial" w:cs="Arial"/>
                <w:sz w:val="16"/>
                <w:szCs w:val="16"/>
              </w:rPr>
              <w:br/>
              <w:t>(c) in 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myeloma patients only, at least a 50% increase in the difference between involved free light chain and uninvolved free light chain; or</w:t>
            </w:r>
            <w:r w:rsidRPr="006D52A9">
              <w:rPr>
                <w:rFonts w:ascii="Arial" w:hAnsi="Arial" w:cs="Arial"/>
                <w:sz w:val="16"/>
                <w:szCs w:val="16"/>
              </w:rPr>
              <w:br/>
              <w:t>(d) at least a 25% relative increase and at least a 10% absolute increase in plasma cells in a bone marrow aspirate or on biopsy; or</w:t>
            </w:r>
            <w:r w:rsidRPr="006D52A9">
              <w:rPr>
                <w:rFonts w:ascii="Arial" w:hAnsi="Arial" w:cs="Arial"/>
                <w:sz w:val="16"/>
                <w:szCs w:val="16"/>
              </w:rPr>
              <w:br/>
              <w:t>(e) an increase in the size or number of lytic bone lesions (not including compression fractures); or</w:t>
            </w:r>
            <w:r w:rsidRPr="006D52A9">
              <w:rPr>
                <w:rFonts w:ascii="Arial" w:hAnsi="Arial" w:cs="Arial"/>
                <w:sz w:val="16"/>
                <w:szCs w:val="16"/>
              </w:rPr>
              <w:br/>
              <w:t>(f) at least a 25% increase in the size of an existing or the development of a new soft tissue plasmacytoma (determined by clinical examination or diagnostic imaging); or</w:t>
            </w:r>
            <w:r w:rsidRPr="006D52A9">
              <w:rPr>
                <w:rFonts w:ascii="Arial" w:hAnsi="Arial" w:cs="Arial"/>
                <w:sz w:val="16"/>
                <w:szCs w:val="16"/>
              </w:rPr>
              <w:br/>
              <w:t>(g) development of hypercalcaemia (corrected serum calcium greater than 2.65 mmol per L not attributable to any other cause).</w:t>
            </w:r>
            <w:r w:rsidRPr="006D52A9">
              <w:rPr>
                <w:rFonts w:ascii="Arial" w:hAnsi="Arial" w:cs="Arial"/>
                <w:sz w:val="16"/>
                <w:szCs w:val="16"/>
              </w:rPr>
              <w:br/>
              <w:t>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patients are defined as having active disease with less than 10 g per L serum M protein.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Multiple Myeloma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details of the histological diagnosis of multiple myeloma, prior treatments including </w:t>
            </w:r>
            <w:r w:rsidRPr="006D52A9">
              <w:rPr>
                <w:rFonts w:ascii="Arial" w:hAnsi="Arial" w:cs="Arial"/>
                <w:sz w:val="16"/>
                <w:szCs w:val="16"/>
              </w:rPr>
              <w:lastRenderedPageBreak/>
              <w:t>name(s) of drug(s) and date of most recent treatment cycle and record of prior stem cell transplant or ineligibility for prior stem cell transplant; details of the basis of the diagnosis of progressive disease or failure to respond; and nomination of which disease activity parameters will be used to assess response; and</w:t>
            </w:r>
            <w:r w:rsidRPr="006D52A9">
              <w:rPr>
                <w:rFonts w:ascii="Arial" w:hAnsi="Arial" w:cs="Arial"/>
                <w:sz w:val="16"/>
                <w:szCs w:val="16"/>
              </w:rPr>
              <w:br/>
              <w:t>(3) a signed patient acknowledgment.</w:t>
            </w:r>
            <w:r w:rsidRPr="006D52A9">
              <w:rPr>
                <w:rFonts w:ascii="Arial" w:hAnsi="Arial" w:cs="Arial"/>
                <w:sz w:val="16"/>
                <w:szCs w:val="16"/>
              </w:rPr>
              <w:br/>
              <w:t>To enable confirmation of eligibility for treatment, current diagnostic reports of at least one of the following must be provided:</w:t>
            </w:r>
            <w:r w:rsidRPr="006D52A9">
              <w:rPr>
                <w:rFonts w:ascii="Arial" w:hAnsi="Arial" w:cs="Arial"/>
                <w:sz w:val="16"/>
                <w:szCs w:val="16"/>
              </w:rPr>
              <w:br/>
              <w:t>(a) the level of serum monoclonal protein; or</w:t>
            </w:r>
            <w:r w:rsidRPr="006D52A9">
              <w:rPr>
                <w:rFonts w:ascii="Arial" w:hAnsi="Arial" w:cs="Arial"/>
                <w:sz w:val="16"/>
                <w:szCs w:val="16"/>
              </w:rPr>
              <w:br/>
              <w:t>(b) Bence</w:t>
            </w:r>
            <w:r w:rsidR="0026100E">
              <w:rPr>
                <w:rFonts w:ascii="Arial" w:hAnsi="Arial" w:cs="Arial"/>
                <w:sz w:val="16"/>
                <w:szCs w:val="16"/>
              </w:rPr>
              <w:noBreakHyphen/>
            </w:r>
            <w:r w:rsidRPr="006D52A9">
              <w:rPr>
                <w:rFonts w:ascii="Arial" w:hAnsi="Arial" w:cs="Arial"/>
                <w:sz w:val="16"/>
                <w:szCs w:val="16"/>
              </w:rPr>
              <w:t xml:space="preserve">Jones proteinuria </w:t>
            </w:r>
            <w:r w:rsidR="0026100E">
              <w:rPr>
                <w:rFonts w:ascii="Arial" w:hAnsi="Arial" w:cs="Arial"/>
                <w:sz w:val="16"/>
                <w:szCs w:val="16"/>
              </w:rPr>
              <w:noBreakHyphen/>
            </w:r>
            <w:r w:rsidRPr="006D52A9">
              <w:rPr>
                <w:rFonts w:ascii="Arial" w:hAnsi="Arial" w:cs="Arial"/>
                <w:sz w:val="16"/>
                <w:szCs w:val="16"/>
              </w:rPr>
              <w:t xml:space="preserve"> the results of 24</w:t>
            </w:r>
            <w:r w:rsidR="0026100E">
              <w:rPr>
                <w:rFonts w:ascii="Arial" w:hAnsi="Arial" w:cs="Arial"/>
                <w:sz w:val="16"/>
                <w:szCs w:val="16"/>
              </w:rPr>
              <w:noBreakHyphen/>
            </w:r>
            <w:r w:rsidRPr="006D52A9">
              <w:rPr>
                <w:rFonts w:ascii="Arial" w:hAnsi="Arial" w:cs="Arial"/>
                <w:sz w:val="16"/>
                <w:szCs w:val="16"/>
              </w:rPr>
              <w:t>hour urinary light chain M protein excretion; or</w:t>
            </w:r>
            <w:r w:rsidRPr="006D52A9">
              <w:rPr>
                <w:rFonts w:ascii="Arial" w:hAnsi="Arial" w:cs="Arial"/>
                <w:sz w:val="16"/>
                <w:szCs w:val="16"/>
              </w:rPr>
              <w:br/>
              <w:t>(c) the serum level of free kappa and lambda light chains; or</w:t>
            </w:r>
            <w:r w:rsidRPr="006D52A9">
              <w:rPr>
                <w:rFonts w:ascii="Arial" w:hAnsi="Arial" w:cs="Arial"/>
                <w:sz w:val="16"/>
                <w:szCs w:val="16"/>
              </w:rPr>
              <w:br/>
              <w:t>(d) bone marrow aspirate or trephine; or</w:t>
            </w:r>
            <w:r w:rsidRPr="006D52A9">
              <w:rPr>
                <w:rFonts w:ascii="Arial" w:hAnsi="Arial" w:cs="Arial"/>
                <w:sz w:val="16"/>
                <w:szCs w:val="16"/>
              </w:rPr>
              <w:br/>
              <w:t>(e) if present, the size and location of lytic bone lesions (not including compression fractures); or</w:t>
            </w:r>
            <w:r w:rsidRPr="006D52A9">
              <w:rPr>
                <w:rFonts w:ascii="Arial" w:hAnsi="Arial" w:cs="Arial"/>
                <w:sz w:val="16"/>
                <w:szCs w:val="16"/>
              </w:rPr>
              <w:br/>
              <w:t>(f) if present, the size and location of all soft tissue plasmacytomas by clinical or radiographic examination i.e. MRI or CT</w:t>
            </w:r>
            <w:r w:rsidR="0026100E">
              <w:rPr>
                <w:rFonts w:ascii="Arial" w:hAnsi="Arial" w:cs="Arial"/>
                <w:sz w:val="16"/>
                <w:szCs w:val="16"/>
              </w:rPr>
              <w:noBreakHyphen/>
            </w:r>
            <w:r w:rsidRPr="006D52A9">
              <w:rPr>
                <w:rFonts w:ascii="Arial" w:hAnsi="Arial" w:cs="Arial"/>
                <w:sz w:val="16"/>
                <w:szCs w:val="16"/>
              </w:rPr>
              <w:t>scan; or</w:t>
            </w:r>
            <w:r w:rsidRPr="006D52A9">
              <w:rPr>
                <w:rFonts w:ascii="Arial" w:hAnsi="Arial" w:cs="Arial"/>
                <w:sz w:val="16"/>
                <w:szCs w:val="16"/>
              </w:rPr>
              <w:br/>
              <w:t>(g) if present, the level of hypercalcaemia, corrected for albumin concentration.</w:t>
            </w:r>
            <w:r w:rsidRPr="006D52A9">
              <w:rPr>
                <w:rFonts w:ascii="Arial" w:hAnsi="Arial" w:cs="Arial"/>
                <w:sz w:val="16"/>
                <w:szCs w:val="16"/>
              </w:rPr>
              <w:br/>
              <w:t>As these parameters will be used to determine response, results for either (a) or (b) or (c) should be provided for all patients. Where the patient has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either (c) or (d) or if relevant (e), (f) or (g) should be provided. Where the prescriber plans to assess response in patients with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with free light chain assays, evidence of the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nature of the multiple myeloma (current serum M protein less than 10 g per L) must be provided.</w:t>
            </w:r>
            <w:r w:rsidRPr="006D52A9">
              <w:rPr>
                <w:rFonts w:ascii="Arial" w:hAnsi="Arial" w:cs="Arial"/>
                <w:sz w:val="16"/>
                <w:szCs w:val="16"/>
              </w:rPr>
              <w:br/>
              <w:t>Patients receiving lenalidomide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7E9A06E9"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eastAsia="Arial" w:hAnsi="Arial" w:cs="Arial"/>
                <w:sz w:val="16"/>
                <w:szCs w:val="16"/>
                <w:lang w:eastAsia="zh-CN"/>
              </w:rPr>
              <w:lastRenderedPageBreak/>
              <w:t>Compliance with Written Authority Required procedures</w:t>
            </w:r>
          </w:p>
        </w:tc>
      </w:tr>
      <w:tr w:rsidR="008F47B8" w:rsidRPr="006D52A9" w:rsidDel="00BF560C" w14:paraId="25EB1059" w14:textId="77777777" w:rsidTr="00FB6D2D">
        <w:tc>
          <w:tcPr>
            <w:tcW w:w="647" w:type="pct"/>
            <w:tcMar>
              <w:top w:w="28" w:type="dxa"/>
              <w:left w:w="28" w:type="dxa"/>
            </w:tcMar>
          </w:tcPr>
          <w:p w14:paraId="2C75139F"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227E8DB6"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C10373</w:t>
            </w:r>
          </w:p>
        </w:tc>
        <w:tc>
          <w:tcPr>
            <w:tcW w:w="274" w:type="pct"/>
            <w:tcMar>
              <w:top w:w="28" w:type="dxa"/>
              <w:left w:w="28" w:type="dxa"/>
            </w:tcMar>
          </w:tcPr>
          <w:p w14:paraId="6C0F3583"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E84DDD9" w14:textId="77777777" w:rsidR="008F47B8" w:rsidRPr="006D52A9" w:rsidRDefault="008F47B8" w:rsidP="00FB6D2D">
            <w:pPr>
              <w:spacing w:after="60" w:line="240" w:lineRule="auto"/>
              <w:rPr>
                <w:rFonts w:ascii="Arial" w:eastAsia="Arial" w:hAnsi="Arial" w:cs="Arial"/>
                <w:sz w:val="16"/>
                <w:szCs w:val="16"/>
                <w:lang w:eastAsia="zh-CN"/>
              </w:rPr>
            </w:pPr>
            <w:r w:rsidRPr="006D52A9">
              <w:rPr>
                <w:rFonts w:ascii="Arial" w:hAnsi="Arial" w:cs="Arial"/>
                <w:sz w:val="16"/>
                <w:szCs w:val="16"/>
              </w:rPr>
              <w:t>Multiple myeloma</w:t>
            </w:r>
            <w:r w:rsidRPr="006D52A9">
              <w:rPr>
                <w:rFonts w:ascii="Arial" w:hAnsi="Arial" w:cs="Arial"/>
                <w:sz w:val="16"/>
                <w:szCs w:val="16"/>
              </w:rPr>
              <w:br/>
              <w:t>Initial treatment in combination with dexamethasone, of newly diagnosed disease in a patient ineligible for stem cell transplantation</w:t>
            </w:r>
            <w:r w:rsidRPr="006D52A9">
              <w:rPr>
                <w:rFonts w:ascii="Arial" w:hAnsi="Arial" w:cs="Arial"/>
                <w:sz w:val="16"/>
                <w:szCs w:val="16"/>
              </w:rPr>
              <w:br/>
              <w:t>The condition must be newly diagnosed; AND</w:t>
            </w:r>
            <w:r w:rsidRPr="006D52A9">
              <w:rPr>
                <w:rFonts w:ascii="Arial" w:hAnsi="Arial" w:cs="Arial"/>
                <w:sz w:val="16"/>
                <w:szCs w:val="16"/>
              </w:rPr>
              <w:br/>
              <w:t>The condition must be confirmed by a histological diagnosis; AND</w:t>
            </w:r>
            <w:r w:rsidRPr="006D52A9">
              <w:rPr>
                <w:rFonts w:ascii="Arial" w:hAnsi="Arial" w:cs="Arial"/>
                <w:sz w:val="16"/>
                <w:szCs w:val="16"/>
              </w:rPr>
              <w:br/>
              <w:t>Patient must be ineligible for a primary stem cell transplantation;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thalidomide or its analogues; AND</w:t>
            </w:r>
            <w:r w:rsidRPr="006D52A9">
              <w:rPr>
                <w:rFonts w:ascii="Arial" w:hAnsi="Arial" w:cs="Arial"/>
                <w:sz w:val="16"/>
                <w:szCs w:val="16"/>
              </w:rPr>
              <w:br/>
              <w:t>The treatment must be in combination with dexamethasone.</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Multiple Myeloma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details of the histological diagnosis of multiple myeloma, and ineligibility for prior stem cell transplant; and nomination of which disease activity parameters will be used to assess response; and</w:t>
            </w:r>
            <w:r w:rsidRPr="006D52A9">
              <w:rPr>
                <w:rFonts w:ascii="Arial" w:hAnsi="Arial" w:cs="Arial"/>
                <w:sz w:val="16"/>
                <w:szCs w:val="16"/>
              </w:rPr>
              <w:br/>
              <w:t>(3) a signed patient acknowledgement.</w:t>
            </w:r>
            <w:r w:rsidRPr="006D52A9">
              <w:rPr>
                <w:rFonts w:ascii="Arial" w:hAnsi="Arial" w:cs="Arial"/>
                <w:sz w:val="16"/>
                <w:szCs w:val="16"/>
              </w:rPr>
              <w:br/>
              <w:t>To enable confirmation of eligibility for treatment, current diagnostic reports of at least one of the following must be provided:</w:t>
            </w:r>
            <w:r w:rsidRPr="006D52A9">
              <w:rPr>
                <w:rFonts w:ascii="Arial" w:hAnsi="Arial" w:cs="Arial"/>
                <w:sz w:val="16"/>
                <w:szCs w:val="16"/>
              </w:rPr>
              <w:br/>
            </w:r>
            <w:r w:rsidRPr="006D52A9">
              <w:rPr>
                <w:rFonts w:ascii="Arial" w:hAnsi="Arial" w:cs="Arial"/>
                <w:sz w:val="16"/>
                <w:szCs w:val="16"/>
              </w:rPr>
              <w:lastRenderedPageBreak/>
              <w:t>(a) the level of serum monoclonal protein; or</w:t>
            </w:r>
            <w:r w:rsidRPr="006D52A9">
              <w:rPr>
                <w:rFonts w:ascii="Arial" w:hAnsi="Arial" w:cs="Arial"/>
                <w:sz w:val="16"/>
                <w:szCs w:val="16"/>
              </w:rPr>
              <w:br/>
              <w:t>(b) Bence</w:t>
            </w:r>
            <w:r w:rsidR="0026100E">
              <w:rPr>
                <w:rFonts w:ascii="Arial" w:hAnsi="Arial" w:cs="Arial"/>
                <w:sz w:val="16"/>
                <w:szCs w:val="16"/>
              </w:rPr>
              <w:noBreakHyphen/>
            </w:r>
            <w:r w:rsidRPr="006D52A9">
              <w:rPr>
                <w:rFonts w:ascii="Arial" w:hAnsi="Arial" w:cs="Arial"/>
                <w:sz w:val="16"/>
                <w:szCs w:val="16"/>
              </w:rPr>
              <w:t xml:space="preserve">Jones proteinuria </w:t>
            </w:r>
            <w:r w:rsidR="0026100E">
              <w:rPr>
                <w:rFonts w:ascii="Arial" w:hAnsi="Arial" w:cs="Arial"/>
                <w:sz w:val="16"/>
                <w:szCs w:val="16"/>
              </w:rPr>
              <w:noBreakHyphen/>
            </w:r>
            <w:r w:rsidRPr="006D52A9">
              <w:rPr>
                <w:rFonts w:ascii="Arial" w:hAnsi="Arial" w:cs="Arial"/>
                <w:sz w:val="16"/>
                <w:szCs w:val="16"/>
              </w:rPr>
              <w:t xml:space="preserve"> the results of 24</w:t>
            </w:r>
            <w:r w:rsidR="0026100E">
              <w:rPr>
                <w:rFonts w:ascii="Arial" w:hAnsi="Arial" w:cs="Arial"/>
                <w:sz w:val="16"/>
                <w:szCs w:val="16"/>
              </w:rPr>
              <w:noBreakHyphen/>
            </w:r>
            <w:r w:rsidRPr="006D52A9">
              <w:rPr>
                <w:rFonts w:ascii="Arial" w:hAnsi="Arial" w:cs="Arial"/>
                <w:sz w:val="16"/>
                <w:szCs w:val="16"/>
              </w:rPr>
              <w:t>hour urinary light chain M protein excretion; or</w:t>
            </w:r>
            <w:r w:rsidRPr="006D52A9">
              <w:rPr>
                <w:rFonts w:ascii="Arial" w:hAnsi="Arial" w:cs="Arial"/>
                <w:sz w:val="16"/>
                <w:szCs w:val="16"/>
              </w:rPr>
              <w:br/>
              <w:t>(c) the serum level of free kappa and lambda light chains; or</w:t>
            </w:r>
            <w:r w:rsidRPr="006D52A9">
              <w:rPr>
                <w:rFonts w:ascii="Arial" w:hAnsi="Arial" w:cs="Arial"/>
                <w:sz w:val="16"/>
                <w:szCs w:val="16"/>
              </w:rPr>
              <w:br/>
              <w:t>(d) bone marrow aspirate or trephine; or</w:t>
            </w:r>
            <w:r w:rsidRPr="006D52A9">
              <w:rPr>
                <w:rFonts w:ascii="Arial" w:hAnsi="Arial" w:cs="Arial"/>
                <w:sz w:val="16"/>
                <w:szCs w:val="16"/>
              </w:rPr>
              <w:br/>
              <w:t>(e) if present, the size and location of lytic bone lesions (not including compression fractures); or</w:t>
            </w:r>
            <w:r w:rsidRPr="006D52A9">
              <w:rPr>
                <w:rFonts w:ascii="Arial" w:hAnsi="Arial" w:cs="Arial"/>
                <w:sz w:val="16"/>
                <w:szCs w:val="16"/>
              </w:rPr>
              <w:br/>
              <w:t>(f) if present, the size and location of all soft tissue plasmacytomas by clinical or radiographic examination i.e. MRI or CT</w:t>
            </w:r>
            <w:r w:rsidR="0026100E">
              <w:rPr>
                <w:rFonts w:ascii="Arial" w:hAnsi="Arial" w:cs="Arial"/>
                <w:sz w:val="16"/>
                <w:szCs w:val="16"/>
              </w:rPr>
              <w:noBreakHyphen/>
            </w:r>
            <w:r w:rsidRPr="006D52A9">
              <w:rPr>
                <w:rFonts w:ascii="Arial" w:hAnsi="Arial" w:cs="Arial"/>
                <w:sz w:val="16"/>
                <w:szCs w:val="16"/>
              </w:rPr>
              <w:t>scan; or</w:t>
            </w:r>
            <w:r w:rsidRPr="006D52A9">
              <w:rPr>
                <w:rFonts w:ascii="Arial" w:hAnsi="Arial" w:cs="Arial"/>
                <w:sz w:val="16"/>
                <w:szCs w:val="16"/>
              </w:rPr>
              <w:br/>
              <w:t>(g) if present, the level of hypercalcaemia, corrected for albumin concentration.</w:t>
            </w:r>
            <w:r w:rsidRPr="006D52A9">
              <w:rPr>
                <w:rFonts w:ascii="Arial" w:hAnsi="Arial" w:cs="Arial"/>
                <w:sz w:val="16"/>
                <w:szCs w:val="16"/>
              </w:rPr>
              <w:br/>
              <w:t>As these parameters will be used to determine response, results for either (a) or (b) or (c) should be provided for all patients. Where the patient has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either (c) or (d) or if relevant (e), (f) or (g) should be provided. Where the prescriber plans to assess response in patients with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with free light chain assays, evidence of the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nature of the multiple myeloma (current serum M protein less than 10 g per L) must be provided.</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6A3FA007"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eastAsia="Arial" w:hAnsi="Arial" w:cs="Arial"/>
                <w:sz w:val="16"/>
                <w:szCs w:val="16"/>
                <w:lang w:eastAsia="zh-CN"/>
              </w:rPr>
              <w:lastRenderedPageBreak/>
              <w:t>Compliance with Written Authority Required procedures</w:t>
            </w:r>
          </w:p>
        </w:tc>
      </w:tr>
      <w:tr w:rsidR="008F47B8" w:rsidRPr="006D52A9" w:rsidDel="00BF560C" w14:paraId="2FA81C5C" w14:textId="77777777" w:rsidTr="00FB6D2D">
        <w:tc>
          <w:tcPr>
            <w:tcW w:w="647" w:type="pct"/>
            <w:tcMar>
              <w:top w:w="28" w:type="dxa"/>
              <w:left w:w="28" w:type="dxa"/>
            </w:tcMar>
          </w:tcPr>
          <w:p w14:paraId="45DEFE13"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16C5ED48"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hAnsi="Arial" w:cs="Arial"/>
                <w:sz w:val="16"/>
                <w:szCs w:val="16"/>
              </w:rPr>
              <w:t>C10427</w:t>
            </w:r>
          </w:p>
        </w:tc>
        <w:tc>
          <w:tcPr>
            <w:tcW w:w="274" w:type="pct"/>
            <w:tcMar>
              <w:top w:w="28" w:type="dxa"/>
              <w:left w:w="28" w:type="dxa"/>
            </w:tcMar>
          </w:tcPr>
          <w:p w14:paraId="422C967B"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395D6C8"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Continuing treatment until progression in patients initiated on dual combination therapy (lenalidomide and dexamethasone), or, in patients initiated on triple therapy (lenalidomide, bortezomib and dexamethasone during treatment cycles 1 up to 8) and are now being treated with treatment cycle 9 or beyond</w:t>
            </w:r>
            <w:r w:rsidRPr="006D52A9">
              <w:rPr>
                <w:rFonts w:ascii="Arial" w:hAnsi="Arial" w:cs="Arial"/>
                <w:sz w:val="16"/>
                <w:szCs w:val="16"/>
              </w:rPr>
              <w:br/>
              <w:t>Patient must have previously been authorised with a PBS prescription with this drug for the condition; AND</w:t>
            </w:r>
            <w:r w:rsidRPr="006D52A9">
              <w:rPr>
                <w:rFonts w:ascii="Arial" w:hAnsi="Arial" w:cs="Arial"/>
                <w:sz w:val="16"/>
                <w:szCs w:val="16"/>
              </w:rPr>
              <w:br/>
              <w:t>Patient must not have demonstrated progressive disease;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thalidomide or its analogues; AND</w:t>
            </w:r>
            <w:r w:rsidRPr="006D52A9">
              <w:rPr>
                <w:rFonts w:ascii="Arial" w:hAnsi="Arial" w:cs="Arial"/>
                <w:sz w:val="16"/>
                <w:szCs w:val="16"/>
              </w:rPr>
              <w:br/>
              <w:t>The treatment must be in combination with dexamethasone.</w:t>
            </w:r>
            <w:r w:rsidRPr="006D52A9">
              <w:rPr>
                <w:rFonts w:ascii="Arial" w:hAnsi="Arial" w:cs="Arial"/>
                <w:sz w:val="16"/>
                <w:szCs w:val="16"/>
              </w:rPr>
              <w:br/>
              <w:t>Progressive disease is defined as at least 1 of the following:</w:t>
            </w:r>
            <w:r w:rsidRPr="006D52A9">
              <w:rPr>
                <w:rFonts w:ascii="Arial" w:hAnsi="Arial" w:cs="Arial"/>
                <w:sz w:val="16"/>
                <w:szCs w:val="16"/>
              </w:rPr>
              <w:br/>
              <w:t>(a) at least a 25% increase and an absolute increase of at least 5 g per L in serum M protein (monoclonal protein); or</w:t>
            </w:r>
            <w:r w:rsidRPr="006D52A9">
              <w:rPr>
                <w:rFonts w:ascii="Arial" w:hAnsi="Arial" w:cs="Arial"/>
                <w:sz w:val="16"/>
                <w:szCs w:val="16"/>
              </w:rPr>
              <w:br/>
              <w:t>(b) at least a 25% increase in 24</w:t>
            </w:r>
            <w:r w:rsidR="0026100E">
              <w:rPr>
                <w:rFonts w:ascii="Arial" w:hAnsi="Arial" w:cs="Arial"/>
                <w:sz w:val="16"/>
                <w:szCs w:val="16"/>
              </w:rPr>
              <w:noBreakHyphen/>
            </w:r>
            <w:r w:rsidRPr="006D52A9">
              <w:rPr>
                <w:rFonts w:ascii="Arial" w:hAnsi="Arial" w:cs="Arial"/>
                <w:sz w:val="16"/>
                <w:szCs w:val="16"/>
              </w:rPr>
              <w:t>hour urinary light chain M protein excretion, and an absolute increase of at least 200 mg per 24 hours; or</w:t>
            </w:r>
            <w:r w:rsidRPr="006D52A9">
              <w:rPr>
                <w:rFonts w:ascii="Arial" w:hAnsi="Arial" w:cs="Arial"/>
                <w:sz w:val="16"/>
                <w:szCs w:val="16"/>
              </w:rPr>
              <w:br/>
              <w:t>(c) in 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myeloma patients only, at least a 50% increase in the difference between involved free light chain and uninvolved free light chain; or</w:t>
            </w:r>
            <w:r w:rsidRPr="006D52A9">
              <w:rPr>
                <w:rFonts w:ascii="Arial" w:hAnsi="Arial" w:cs="Arial"/>
                <w:sz w:val="16"/>
                <w:szCs w:val="16"/>
              </w:rPr>
              <w:br/>
              <w:t>(d) at least a 25% relative increase and at least a 10% absolute increase in plasma cells in a bone marrow aspirate or on biopsy; or</w:t>
            </w:r>
            <w:r w:rsidRPr="006D52A9">
              <w:rPr>
                <w:rFonts w:ascii="Arial" w:hAnsi="Arial" w:cs="Arial"/>
                <w:sz w:val="16"/>
                <w:szCs w:val="16"/>
              </w:rPr>
              <w:br/>
              <w:t>(e) an increase in the size or number of lytic bone lesions (not including compression fractures); or</w:t>
            </w:r>
            <w:r w:rsidRPr="006D52A9">
              <w:rPr>
                <w:rFonts w:ascii="Arial" w:hAnsi="Arial" w:cs="Arial"/>
                <w:sz w:val="16"/>
                <w:szCs w:val="16"/>
              </w:rPr>
              <w:br/>
              <w:t>(f) at least a 25% increase in the size of an existing or the development of a new soft tissue plasmacytoma (determined by clinical examination or diagnostic imaging); or</w:t>
            </w:r>
            <w:r w:rsidRPr="006D52A9">
              <w:rPr>
                <w:rFonts w:ascii="Arial" w:hAnsi="Arial" w:cs="Arial"/>
                <w:sz w:val="16"/>
                <w:szCs w:val="16"/>
              </w:rPr>
              <w:br/>
              <w:t>(g) development of hypercalcaemia (corrected serum calcium greater than 2.65 mmol per L not attributable to any other cause).</w:t>
            </w:r>
            <w:r w:rsidRPr="006D52A9">
              <w:rPr>
                <w:rFonts w:ascii="Arial" w:hAnsi="Arial" w:cs="Arial"/>
                <w:sz w:val="16"/>
                <w:szCs w:val="16"/>
              </w:rPr>
              <w:br/>
            </w:r>
            <w:r w:rsidRPr="006D52A9">
              <w:rPr>
                <w:rFonts w:ascii="Arial" w:hAnsi="Arial" w:cs="Arial"/>
                <w:sz w:val="16"/>
                <w:szCs w:val="16"/>
              </w:rPr>
              <w:lastRenderedPageBreak/>
              <w:t>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patients are defined as having active disease with less than 10 g per L serum M protein.</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665D9849"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hAnsi="Arial" w:cs="Arial"/>
                <w:sz w:val="16"/>
                <w:szCs w:val="16"/>
              </w:rPr>
              <w:lastRenderedPageBreak/>
              <w:t>Compliance with Authority Required procedures</w:t>
            </w:r>
          </w:p>
        </w:tc>
      </w:tr>
      <w:tr w:rsidR="008F47B8" w:rsidRPr="006D52A9" w:rsidDel="00BF560C" w14:paraId="341278D4" w14:textId="77777777" w:rsidTr="00FB6D2D">
        <w:tc>
          <w:tcPr>
            <w:tcW w:w="647" w:type="pct"/>
            <w:tcMar>
              <w:top w:w="28" w:type="dxa"/>
              <w:left w:w="28" w:type="dxa"/>
            </w:tcMar>
          </w:tcPr>
          <w:p w14:paraId="5F54C837"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5291DB2B"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hAnsi="Arial" w:cs="Arial"/>
                <w:sz w:val="16"/>
                <w:szCs w:val="16"/>
              </w:rPr>
              <w:t>C10428</w:t>
            </w:r>
          </w:p>
        </w:tc>
        <w:tc>
          <w:tcPr>
            <w:tcW w:w="274" w:type="pct"/>
            <w:tcMar>
              <w:top w:w="28" w:type="dxa"/>
              <w:left w:w="28" w:type="dxa"/>
            </w:tcMar>
          </w:tcPr>
          <w:p w14:paraId="4091DDC2"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6F52CD9"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Initial treatment with triple therapy (lenalidomide, bortezomib and dexamethasone) for the first 4 treatment cycles (cycles 1 to 4) administered in a 28</w:t>
            </w:r>
            <w:r w:rsidR="0026100E">
              <w:rPr>
                <w:rFonts w:ascii="Arial" w:hAnsi="Arial" w:cs="Arial"/>
                <w:sz w:val="16"/>
                <w:szCs w:val="16"/>
              </w:rPr>
              <w:noBreakHyphen/>
            </w:r>
            <w:r w:rsidRPr="006D52A9">
              <w:rPr>
                <w:rFonts w:ascii="Arial" w:hAnsi="Arial" w:cs="Arial"/>
                <w:sz w:val="16"/>
                <w:szCs w:val="16"/>
              </w:rPr>
              <w:t>day treatment cycle</w:t>
            </w:r>
            <w:r w:rsidRPr="006D52A9">
              <w:rPr>
                <w:rFonts w:ascii="Arial" w:hAnsi="Arial" w:cs="Arial"/>
                <w:sz w:val="16"/>
                <w:szCs w:val="16"/>
              </w:rPr>
              <w:br/>
              <w:t>The condition must be newly diagnosed; AND</w:t>
            </w:r>
            <w:r w:rsidRPr="006D52A9">
              <w:rPr>
                <w:rFonts w:ascii="Arial" w:hAnsi="Arial" w:cs="Arial"/>
                <w:sz w:val="16"/>
                <w:szCs w:val="16"/>
              </w:rPr>
              <w:br/>
              <w:t>The condition must be confirmed by a histological diagnosis;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carfilzomib, thalidomide or its analogues; AND</w:t>
            </w:r>
            <w:r w:rsidRPr="006D52A9">
              <w:rPr>
                <w:rFonts w:ascii="Arial" w:hAnsi="Arial" w:cs="Arial"/>
                <w:sz w:val="16"/>
                <w:szCs w:val="16"/>
              </w:rPr>
              <w:br/>
              <w:t>The treatment must be in combination with bortezomib and dexamethasone; AND</w:t>
            </w:r>
            <w:r w:rsidRPr="006D52A9">
              <w:rPr>
                <w:rFonts w:ascii="Arial" w:hAnsi="Arial" w:cs="Arial"/>
                <w:sz w:val="16"/>
                <w:szCs w:val="16"/>
              </w:rPr>
              <w:br/>
              <w:t>Patient must not have been treated with lenalidomide or bortezomib for this condition; AND</w:t>
            </w:r>
            <w:r w:rsidRPr="006D52A9">
              <w:rPr>
                <w:rFonts w:ascii="Arial" w:hAnsi="Arial" w:cs="Arial"/>
                <w:sz w:val="16"/>
                <w:szCs w:val="16"/>
              </w:rPr>
              <w:br/>
              <w:t>The treatment must not exceed a total of 4 cycles under this restriction.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Multiple Myeloma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details of the histological diagnosis of multiple myeloma, and nomination of which disease activity parameters will be used to assess response.</w:t>
            </w:r>
            <w:r w:rsidRPr="006D52A9">
              <w:rPr>
                <w:rFonts w:ascii="Arial" w:hAnsi="Arial" w:cs="Arial"/>
                <w:sz w:val="16"/>
                <w:szCs w:val="16"/>
              </w:rPr>
              <w:br/>
              <w:t>To enable confirmation of eligibility for treatment, current pathology results of (for items a, b, c, g), or, a statement that diagnosis was based on (for items d, e, f) at least one of the following must be provided:</w:t>
            </w:r>
            <w:r w:rsidRPr="006D52A9">
              <w:rPr>
                <w:rFonts w:ascii="Arial" w:hAnsi="Arial" w:cs="Arial"/>
                <w:sz w:val="16"/>
                <w:szCs w:val="16"/>
              </w:rPr>
              <w:br/>
              <w:t>(a) the level of serum monoclonal protein; or</w:t>
            </w:r>
            <w:r w:rsidRPr="006D52A9">
              <w:rPr>
                <w:rFonts w:ascii="Arial" w:hAnsi="Arial" w:cs="Arial"/>
                <w:sz w:val="16"/>
                <w:szCs w:val="16"/>
              </w:rPr>
              <w:br/>
              <w:t>(b) Bence</w:t>
            </w:r>
            <w:r w:rsidR="0026100E">
              <w:rPr>
                <w:rFonts w:ascii="Arial" w:hAnsi="Arial" w:cs="Arial"/>
                <w:sz w:val="16"/>
                <w:szCs w:val="16"/>
              </w:rPr>
              <w:noBreakHyphen/>
            </w:r>
            <w:r w:rsidRPr="006D52A9">
              <w:rPr>
                <w:rFonts w:ascii="Arial" w:hAnsi="Arial" w:cs="Arial"/>
                <w:sz w:val="16"/>
                <w:szCs w:val="16"/>
              </w:rPr>
              <w:t xml:space="preserve">Jones proteinuria </w:t>
            </w:r>
            <w:r w:rsidR="0026100E">
              <w:rPr>
                <w:rFonts w:ascii="Arial" w:hAnsi="Arial" w:cs="Arial"/>
                <w:sz w:val="16"/>
                <w:szCs w:val="16"/>
              </w:rPr>
              <w:noBreakHyphen/>
            </w:r>
            <w:r w:rsidRPr="006D52A9">
              <w:rPr>
                <w:rFonts w:ascii="Arial" w:hAnsi="Arial" w:cs="Arial"/>
                <w:sz w:val="16"/>
                <w:szCs w:val="16"/>
              </w:rPr>
              <w:t xml:space="preserve"> the results of 24</w:t>
            </w:r>
            <w:r w:rsidR="0026100E">
              <w:rPr>
                <w:rFonts w:ascii="Arial" w:hAnsi="Arial" w:cs="Arial"/>
                <w:sz w:val="16"/>
                <w:szCs w:val="16"/>
              </w:rPr>
              <w:noBreakHyphen/>
            </w:r>
            <w:r w:rsidRPr="006D52A9">
              <w:rPr>
                <w:rFonts w:ascii="Arial" w:hAnsi="Arial" w:cs="Arial"/>
                <w:sz w:val="16"/>
                <w:szCs w:val="16"/>
              </w:rPr>
              <w:t>hour urinary light chain M protein excretion; or</w:t>
            </w:r>
            <w:r w:rsidRPr="006D52A9">
              <w:rPr>
                <w:rFonts w:ascii="Arial" w:hAnsi="Arial" w:cs="Arial"/>
                <w:sz w:val="16"/>
                <w:szCs w:val="16"/>
              </w:rPr>
              <w:br/>
              <w:t>(c) the serum level of free kappa and lambda light chains; or</w:t>
            </w:r>
            <w:r w:rsidRPr="006D52A9">
              <w:rPr>
                <w:rFonts w:ascii="Arial" w:hAnsi="Arial" w:cs="Arial"/>
                <w:sz w:val="16"/>
                <w:szCs w:val="16"/>
              </w:rPr>
              <w:br/>
              <w:t>(d) bone marrow aspirate or trephine; or</w:t>
            </w:r>
            <w:r w:rsidRPr="006D52A9">
              <w:rPr>
                <w:rFonts w:ascii="Arial" w:hAnsi="Arial" w:cs="Arial"/>
                <w:sz w:val="16"/>
                <w:szCs w:val="16"/>
              </w:rPr>
              <w:br/>
              <w:t>(e) if present, the size and location of lytic bone lesions (not including compression fractures); or</w:t>
            </w:r>
            <w:r w:rsidRPr="006D52A9">
              <w:rPr>
                <w:rFonts w:ascii="Arial" w:hAnsi="Arial" w:cs="Arial"/>
                <w:sz w:val="16"/>
                <w:szCs w:val="16"/>
              </w:rPr>
              <w:br/>
              <w:t>(f) if present, the size and location of all soft tissue plasmacytomas by clinical or radiographic examination i.e. MRI or CT</w:t>
            </w:r>
            <w:r w:rsidR="0026100E">
              <w:rPr>
                <w:rFonts w:ascii="Arial" w:hAnsi="Arial" w:cs="Arial"/>
                <w:sz w:val="16"/>
                <w:szCs w:val="16"/>
              </w:rPr>
              <w:noBreakHyphen/>
            </w:r>
            <w:r w:rsidRPr="006D52A9">
              <w:rPr>
                <w:rFonts w:ascii="Arial" w:hAnsi="Arial" w:cs="Arial"/>
                <w:sz w:val="16"/>
                <w:szCs w:val="16"/>
              </w:rPr>
              <w:t>scan; or</w:t>
            </w:r>
            <w:r w:rsidRPr="006D52A9">
              <w:rPr>
                <w:rFonts w:ascii="Arial" w:hAnsi="Arial" w:cs="Arial"/>
                <w:sz w:val="16"/>
                <w:szCs w:val="16"/>
              </w:rPr>
              <w:br/>
              <w:t>(g) if present, the level of hypercalcaemia, corrected for albumin concentration.</w:t>
            </w:r>
            <w:r w:rsidRPr="006D52A9">
              <w:rPr>
                <w:rFonts w:ascii="Arial" w:hAnsi="Arial" w:cs="Arial"/>
                <w:sz w:val="16"/>
                <w:szCs w:val="16"/>
              </w:rPr>
              <w:br/>
              <w:t>As these parameters will be used to determine response, results for either (a) or (b) or (c) should be provided for all patients and kept on the patient’s records. Where the patient has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either (c) or (d) or if relevant (e), (f) or (g) should be stated/declared. Where the prescriber plans to assess response in patients with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with free light chain assays, evidence of the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nature of the multiple myeloma (current serum M protein less than 10 g per L) must be declared to be held on the patient’s medical records.</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76C664B5"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hAnsi="Arial" w:cs="Arial"/>
                <w:sz w:val="16"/>
                <w:szCs w:val="16"/>
              </w:rPr>
              <w:t>Compliance with Written Authority Required procedures</w:t>
            </w:r>
          </w:p>
        </w:tc>
      </w:tr>
      <w:tr w:rsidR="008F47B8" w:rsidRPr="006D52A9" w:rsidDel="00BF560C" w14:paraId="7A653535" w14:textId="77777777" w:rsidTr="00FB6D2D">
        <w:tc>
          <w:tcPr>
            <w:tcW w:w="647" w:type="pct"/>
            <w:tcMar>
              <w:top w:w="28" w:type="dxa"/>
              <w:left w:w="28" w:type="dxa"/>
            </w:tcMar>
          </w:tcPr>
          <w:p w14:paraId="43B22745"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24995C22"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hAnsi="Arial" w:cs="Arial"/>
                <w:sz w:val="16"/>
                <w:szCs w:val="16"/>
              </w:rPr>
              <w:t>C10429</w:t>
            </w:r>
          </w:p>
        </w:tc>
        <w:tc>
          <w:tcPr>
            <w:tcW w:w="274" w:type="pct"/>
            <w:tcMar>
              <w:top w:w="28" w:type="dxa"/>
              <w:left w:w="28" w:type="dxa"/>
            </w:tcMar>
          </w:tcPr>
          <w:p w14:paraId="2A704491"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0033BB4"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 xml:space="preserve">Continuing treatment of triple therapy (lenalidomide, bortezomib and dexamethasone) for treatment </w:t>
            </w:r>
            <w:r w:rsidRPr="006D52A9">
              <w:rPr>
                <w:rFonts w:ascii="Arial" w:hAnsi="Arial" w:cs="Arial"/>
                <w:sz w:val="16"/>
                <w:szCs w:val="16"/>
              </w:rPr>
              <w:lastRenderedPageBreak/>
              <w:t>cycles 5 and 6 (administered using 28</w:t>
            </w:r>
            <w:r w:rsidR="0026100E">
              <w:rPr>
                <w:rFonts w:ascii="Arial" w:hAnsi="Arial" w:cs="Arial"/>
                <w:sz w:val="16"/>
                <w:szCs w:val="16"/>
              </w:rPr>
              <w:noBreakHyphen/>
            </w:r>
            <w:r w:rsidRPr="006D52A9">
              <w:rPr>
                <w:rFonts w:ascii="Arial" w:hAnsi="Arial" w:cs="Arial"/>
                <w:sz w:val="16"/>
                <w:szCs w:val="16"/>
              </w:rPr>
              <w:t>day treatment cycles)</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treatment with this drug under the treatment phase covering cycles 1 to 4;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carfilzomib, thalidomide or its analogues; AND</w:t>
            </w:r>
            <w:r w:rsidRPr="006D52A9">
              <w:rPr>
                <w:rFonts w:ascii="Arial" w:hAnsi="Arial" w:cs="Arial"/>
                <w:sz w:val="16"/>
                <w:szCs w:val="16"/>
              </w:rPr>
              <w:br/>
              <w:t>The treatment must be in combination with bortezomib and dexamethasone; AND</w:t>
            </w:r>
            <w:r w:rsidRPr="006D52A9">
              <w:rPr>
                <w:rFonts w:ascii="Arial" w:hAnsi="Arial" w:cs="Arial"/>
                <w:sz w:val="16"/>
                <w:szCs w:val="16"/>
              </w:rPr>
              <w:br/>
              <w:t>The treatment must not exceed a total of 2 cycles under this restriction.</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071637BE"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hAnsi="Arial" w:cs="Arial"/>
                <w:sz w:val="16"/>
                <w:szCs w:val="16"/>
              </w:rPr>
              <w:lastRenderedPageBreak/>
              <w:t>Compliance with Authority Required procedures</w:t>
            </w:r>
          </w:p>
        </w:tc>
      </w:tr>
      <w:tr w:rsidR="008F47B8" w:rsidRPr="006D52A9" w:rsidDel="00BF560C" w14:paraId="57C21761" w14:textId="77777777" w:rsidTr="00FB6D2D">
        <w:tc>
          <w:tcPr>
            <w:tcW w:w="647" w:type="pct"/>
            <w:tcMar>
              <w:top w:w="28" w:type="dxa"/>
              <w:left w:w="28" w:type="dxa"/>
            </w:tcMar>
          </w:tcPr>
          <w:p w14:paraId="17B73382"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6A3FC270"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hAnsi="Arial" w:cs="Arial"/>
                <w:sz w:val="16"/>
                <w:szCs w:val="16"/>
              </w:rPr>
              <w:t>C10452</w:t>
            </w:r>
          </w:p>
        </w:tc>
        <w:tc>
          <w:tcPr>
            <w:tcW w:w="274" w:type="pct"/>
            <w:tcMar>
              <w:top w:w="28" w:type="dxa"/>
              <w:left w:w="28" w:type="dxa"/>
            </w:tcMar>
          </w:tcPr>
          <w:p w14:paraId="2B133614"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B0E6C9E"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Continuing treatment of triple therapy (lenalidomide, bortezomib and dexamethasone) for treatment cycles 5 to 8 inclusive (administered using 21</w:t>
            </w:r>
            <w:r w:rsidR="0026100E">
              <w:rPr>
                <w:rFonts w:ascii="Arial" w:hAnsi="Arial" w:cs="Arial"/>
                <w:sz w:val="16"/>
                <w:szCs w:val="16"/>
              </w:rPr>
              <w:noBreakHyphen/>
            </w:r>
            <w:r w:rsidRPr="006D52A9">
              <w:rPr>
                <w:rFonts w:ascii="Arial" w:hAnsi="Arial" w:cs="Arial"/>
                <w:sz w:val="16"/>
                <w:szCs w:val="16"/>
              </w:rPr>
              <w:t>day treatment cycles)</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treatment with this drug under the treatment phase covering cycles 1 to 4;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carfilzomib, thalidomide or its analogues; AND</w:t>
            </w:r>
            <w:r w:rsidRPr="006D52A9">
              <w:rPr>
                <w:rFonts w:ascii="Arial" w:hAnsi="Arial" w:cs="Arial"/>
                <w:sz w:val="16"/>
                <w:szCs w:val="16"/>
              </w:rPr>
              <w:br/>
              <w:t>The treatment must be in combination with bortezomib and dexamethasone; AND</w:t>
            </w:r>
            <w:r w:rsidRPr="006D52A9">
              <w:rPr>
                <w:rFonts w:ascii="Arial" w:hAnsi="Arial" w:cs="Arial"/>
                <w:sz w:val="16"/>
                <w:szCs w:val="16"/>
              </w:rPr>
              <w:br/>
              <w:t>The treatment must not exceed a total of 4 cycles under this restriction.</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1369AA97"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hAnsi="Arial" w:cs="Arial"/>
                <w:sz w:val="16"/>
                <w:szCs w:val="16"/>
              </w:rPr>
              <w:t>Compliance with Authority Required procedures</w:t>
            </w:r>
          </w:p>
        </w:tc>
      </w:tr>
      <w:tr w:rsidR="008F47B8" w:rsidRPr="006D52A9" w:rsidDel="00BF560C" w14:paraId="0137C8B7" w14:textId="77777777" w:rsidTr="00FB6D2D">
        <w:tc>
          <w:tcPr>
            <w:tcW w:w="647" w:type="pct"/>
            <w:tcMar>
              <w:top w:w="28" w:type="dxa"/>
              <w:left w:w="28" w:type="dxa"/>
            </w:tcMar>
          </w:tcPr>
          <w:p w14:paraId="4C07CABD" w14:textId="77777777" w:rsidR="008F47B8" w:rsidRPr="006D52A9" w:rsidDel="00BF560C" w:rsidRDefault="008F47B8" w:rsidP="00FB6D2D">
            <w:pPr>
              <w:spacing w:line="240" w:lineRule="auto"/>
              <w:rPr>
                <w:rFonts w:ascii="Arial" w:hAnsi="Arial" w:cs="Arial"/>
                <w:sz w:val="16"/>
                <w:szCs w:val="16"/>
              </w:rPr>
            </w:pPr>
          </w:p>
        </w:tc>
        <w:tc>
          <w:tcPr>
            <w:tcW w:w="283" w:type="pct"/>
            <w:tcMar>
              <w:top w:w="28" w:type="dxa"/>
              <w:left w:w="28" w:type="dxa"/>
            </w:tcMar>
          </w:tcPr>
          <w:p w14:paraId="61F9A114"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C10453</w:t>
            </w:r>
          </w:p>
        </w:tc>
        <w:tc>
          <w:tcPr>
            <w:tcW w:w="274" w:type="pct"/>
            <w:tcMar>
              <w:top w:w="28" w:type="dxa"/>
              <w:left w:w="28" w:type="dxa"/>
            </w:tcMar>
          </w:tcPr>
          <w:p w14:paraId="40A57619" w14:textId="77777777" w:rsidR="008F47B8" w:rsidRPr="006D52A9" w:rsidDel="00BF560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6B08443"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Initial treatment with triple therapy (lenalidomide, bortezomib and dexamethasone) for the first 4 treatment cycles (cycles 1 to 4) administered in a 21</w:t>
            </w:r>
            <w:r w:rsidR="0026100E">
              <w:rPr>
                <w:rFonts w:ascii="Arial" w:hAnsi="Arial" w:cs="Arial"/>
                <w:sz w:val="16"/>
                <w:szCs w:val="16"/>
              </w:rPr>
              <w:noBreakHyphen/>
            </w:r>
            <w:r w:rsidRPr="006D52A9">
              <w:rPr>
                <w:rFonts w:ascii="Arial" w:hAnsi="Arial" w:cs="Arial"/>
                <w:sz w:val="16"/>
                <w:szCs w:val="16"/>
              </w:rPr>
              <w:t>day treatment cycle</w:t>
            </w:r>
            <w:r w:rsidRPr="006D52A9">
              <w:rPr>
                <w:rFonts w:ascii="Arial" w:hAnsi="Arial" w:cs="Arial"/>
                <w:sz w:val="16"/>
                <w:szCs w:val="16"/>
              </w:rPr>
              <w:br/>
              <w:t>The condition must be newly diagnosed; AND</w:t>
            </w:r>
            <w:r w:rsidRPr="006D52A9">
              <w:rPr>
                <w:rFonts w:ascii="Arial" w:hAnsi="Arial" w:cs="Arial"/>
                <w:sz w:val="16"/>
                <w:szCs w:val="16"/>
              </w:rPr>
              <w:br/>
              <w:t>The condition must be confirmed by a histological diagnosis;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carfilzomib, thalidomide or its analogues; AND</w:t>
            </w:r>
            <w:r w:rsidRPr="006D52A9">
              <w:rPr>
                <w:rFonts w:ascii="Arial" w:hAnsi="Arial" w:cs="Arial"/>
                <w:sz w:val="16"/>
                <w:szCs w:val="16"/>
              </w:rPr>
              <w:br/>
              <w:t>The treatment must be in combination with bortezomib and dexamethasone; AND</w:t>
            </w:r>
            <w:r w:rsidRPr="006D52A9">
              <w:rPr>
                <w:rFonts w:ascii="Arial" w:hAnsi="Arial" w:cs="Arial"/>
                <w:sz w:val="16"/>
                <w:szCs w:val="16"/>
              </w:rPr>
              <w:br/>
              <w:t>Patient must not have been treated with lenalidomide or bortezomib for this condition; AND</w:t>
            </w:r>
            <w:r w:rsidRPr="006D52A9">
              <w:rPr>
                <w:rFonts w:ascii="Arial" w:hAnsi="Arial" w:cs="Arial"/>
                <w:sz w:val="16"/>
                <w:szCs w:val="16"/>
              </w:rPr>
              <w:br/>
              <w:t>The treatment must not exceed a total of 4 cycles under this restriction.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 xml:space="preserve">(2) a completed Multiple Myeloma lenalidomide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details of the histological diagnosis of multiple myeloma, and nomination of which disease activity parameters will be used to assess response.</w:t>
            </w:r>
            <w:r w:rsidRPr="006D52A9">
              <w:rPr>
                <w:rFonts w:ascii="Arial" w:hAnsi="Arial" w:cs="Arial"/>
                <w:sz w:val="16"/>
                <w:szCs w:val="16"/>
              </w:rPr>
              <w:br/>
              <w:t>To enable confirmation of eligibility for treatment, current pathology results of (for items a, b, c, g), or, a statement that diagnosis was based on (for items d, e, f) at least one of the following must be provided:</w:t>
            </w:r>
            <w:r w:rsidRPr="006D52A9">
              <w:rPr>
                <w:rFonts w:ascii="Arial" w:hAnsi="Arial" w:cs="Arial"/>
                <w:sz w:val="16"/>
                <w:szCs w:val="16"/>
              </w:rPr>
              <w:br/>
              <w:t>(a) the level of serum monoclonal protein; or</w:t>
            </w:r>
            <w:r w:rsidRPr="006D52A9">
              <w:rPr>
                <w:rFonts w:ascii="Arial" w:hAnsi="Arial" w:cs="Arial"/>
                <w:sz w:val="16"/>
                <w:szCs w:val="16"/>
              </w:rPr>
              <w:br/>
              <w:t>(b) Bence</w:t>
            </w:r>
            <w:r w:rsidR="0026100E">
              <w:rPr>
                <w:rFonts w:ascii="Arial" w:hAnsi="Arial" w:cs="Arial"/>
                <w:sz w:val="16"/>
                <w:szCs w:val="16"/>
              </w:rPr>
              <w:noBreakHyphen/>
            </w:r>
            <w:r w:rsidRPr="006D52A9">
              <w:rPr>
                <w:rFonts w:ascii="Arial" w:hAnsi="Arial" w:cs="Arial"/>
                <w:sz w:val="16"/>
                <w:szCs w:val="16"/>
              </w:rPr>
              <w:t xml:space="preserve">Jones proteinuria </w:t>
            </w:r>
            <w:r w:rsidR="0026100E">
              <w:rPr>
                <w:rFonts w:ascii="Arial" w:hAnsi="Arial" w:cs="Arial"/>
                <w:sz w:val="16"/>
                <w:szCs w:val="16"/>
              </w:rPr>
              <w:noBreakHyphen/>
            </w:r>
            <w:r w:rsidRPr="006D52A9">
              <w:rPr>
                <w:rFonts w:ascii="Arial" w:hAnsi="Arial" w:cs="Arial"/>
                <w:sz w:val="16"/>
                <w:szCs w:val="16"/>
              </w:rPr>
              <w:t xml:space="preserve"> the results of 24</w:t>
            </w:r>
            <w:r w:rsidR="0026100E">
              <w:rPr>
                <w:rFonts w:ascii="Arial" w:hAnsi="Arial" w:cs="Arial"/>
                <w:sz w:val="16"/>
                <w:szCs w:val="16"/>
              </w:rPr>
              <w:noBreakHyphen/>
            </w:r>
            <w:r w:rsidRPr="006D52A9">
              <w:rPr>
                <w:rFonts w:ascii="Arial" w:hAnsi="Arial" w:cs="Arial"/>
                <w:sz w:val="16"/>
                <w:szCs w:val="16"/>
              </w:rPr>
              <w:t>hour urinary light chain M protein excretion; or</w:t>
            </w:r>
            <w:r w:rsidRPr="006D52A9">
              <w:rPr>
                <w:rFonts w:ascii="Arial" w:hAnsi="Arial" w:cs="Arial"/>
                <w:sz w:val="16"/>
                <w:szCs w:val="16"/>
              </w:rPr>
              <w:br/>
              <w:t>(c) the serum level of free kappa and lambda light chains; or</w:t>
            </w:r>
            <w:r w:rsidRPr="006D52A9">
              <w:rPr>
                <w:rFonts w:ascii="Arial" w:hAnsi="Arial" w:cs="Arial"/>
                <w:sz w:val="16"/>
                <w:szCs w:val="16"/>
              </w:rPr>
              <w:br/>
            </w:r>
            <w:r w:rsidRPr="006D52A9">
              <w:rPr>
                <w:rFonts w:ascii="Arial" w:hAnsi="Arial" w:cs="Arial"/>
                <w:sz w:val="16"/>
                <w:szCs w:val="16"/>
              </w:rPr>
              <w:lastRenderedPageBreak/>
              <w:t>(d) bone marrow aspirate or trephine; or</w:t>
            </w:r>
            <w:r w:rsidRPr="006D52A9">
              <w:rPr>
                <w:rFonts w:ascii="Arial" w:hAnsi="Arial" w:cs="Arial"/>
                <w:sz w:val="16"/>
                <w:szCs w:val="16"/>
              </w:rPr>
              <w:br/>
              <w:t>(e) if present, the size and location of lytic bone lesions (not including compression fractures); or</w:t>
            </w:r>
            <w:r w:rsidRPr="006D52A9">
              <w:rPr>
                <w:rFonts w:ascii="Arial" w:hAnsi="Arial" w:cs="Arial"/>
                <w:sz w:val="16"/>
                <w:szCs w:val="16"/>
              </w:rPr>
              <w:br/>
              <w:t>(f) if present, the size and location of all soft tissue plasmacytomas by clinical or radiographic examination i.e. MRI or CT</w:t>
            </w:r>
            <w:r w:rsidR="0026100E">
              <w:rPr>
                <w:rFonts w:ascii="Arial" w:hAnsi="Arial" w:cs="Arial"/>
                <w:sz w:val="16"/>
                <w:szCs w:val="16"/>
              </w:rPr>
              <w:noBreakHyphen/>
            </w:r>
            <w:r w:rsidRPr="006D52A9">
              <w:rPr>
                <w:rFonts w:ascii="Arial" w:hAnsi="Arial" w:cs="Arial"/>
                <w:sz w:val="16"/>
                <w:szCs w:val="16"/>
              </w:rPr>
              <w:t>scan; or</w:t>
            </w:r>
            <w:r w:rsidRPr="006D52A9">
              <w:rPr>
                <w:rFonts w:ascii="Arial" w:hAnsi="Arial" w:cs="Arial"/>
                <w:sz w:val="16"/>
                <w:szCs w:val="16"/>
              </w:rPr>
              <w:br/>
              <w:t>(g) if present, the level of hypercalcaemia, corrected for albumin concentration.</w:t>
            </w:r>
            <w:r w:rsidRPr="006D52A9">
              <w:rPr>
                <w:rFonts w:ascii="Arial" w:hAnsi="Arial" w:cs="Arial"/>
                <w:sz w:val="16"/>
                <w:szCs w:val="16"/>
              </w:rPr>
              <w:br/>
              <w:t>As these parameters will be used to determine response, results for either (a) or (b) or (c) should be provided for all patients and kept on the patient’s records. Where the patient has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either (c) or (d) or if relevant (e), (f) or (g) should be stated/declared. Where the prescriber plans to assess response in patients with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multiple myeloma with free light chain assays, evidence of the oligo</w:t>
            </w:r>
            <w:r w:rsidR="0026100E">
              <w:rPr>
                <w:rFonts w:ascii="Arial" w:hAnsi="Arial" w:cs="Arial"/>
                <w:sz w:val="16"/>
                <w:szCs w:val="16"/>
              </w:rPr>
              <w:noBreakHyphen/>
            </w:r>
            <w:r w:rsidRPr="006D52A9">
              <w:rPr>
                <w:rFonts w:ascii="Arial" w:hAnsi="Arial" w:cs="Arial"/>
                <w:sz w:val="16"/>
                <w:szCs w:val="16"/>
              </w:rPr>
              <w:t>secretory or non</w:t>
            </w:r>
            <w:r w:rsidR="0026100E">
              <w:rPr>
                <w:rFonts w:ascii="Arial" w:hAnsi="Arial" w:cs="Arial"/>
                <w:sz w:val="16"/>
                <w:szCs w:val="16"/>
              </w:rPr>
              <w:noBreakHyphen/>
            </w:r>
            <w:r w:rsidRPr="006D52A9">
              <w:rPr>
                <w:rFonts w:ascii="Arial" w:hAnsi="Arial" w:cs="Arial"/>
                <w:sz w:val="16"/>
                <w:szCs w:val="16"/>
              </w:rPr>
              <w:t>secretory nature of the multiple myeloma (current serum M protein less than 10 g per L) must be declared to be held on the patient’s medical records.</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tcMar>
              <w:top w:w="28" w:type="dxa"/>
              <w:left w:w="28" w:type="dxa"/>
              <w:right w:w="57" w:type="dxa"/>
            </w:tcMar>
          </w:tcPr>
          <w:p w14:paraId="5CCEB663" w14:textId="77777777" w:rsidR="008F47B8" w:rsidRPr="006D52A9" w:rsidRDefault="008F47B8" w:rsidP="00FB6D2D">
            <w:pPr>
              <w:keepNext/>
              <w:spacing w:line="240" w:lineRule="auto"/>
              <w:rPr>
                <w:rFonts w:ascii="Arial" w:eastAsia="Arial" w:hAnsi="Arial" w:cs="Arial"/>
                <w:sz w:val="16"/>
                <w:szCs w:val="16"/>
                <w:lang w:eastAsia="zh-CN"/>
              </w:rPr>
            </w:pPr>
            <w:r w:rsidRPr="006D52A9">
              <w:rPr>
                <w:rFonts w:ascii="Arial" w:eastAsia="Arial" w:hAnsi="Arial" w:cs="Arial"/>
                <w:sz w:val="16"/>
                <w:szCs w:val="16"/>
                <w:lang w:eastAsia="zh-CN"/>
              </w:rPr>
              <w:lastRenderedPageBreak/>
              <w:t>Compliance with Written Authority Required procedures</w:t>
            </w:r>
          </w:p>
        </w:tc>
      </w:tr>
      <w:tr w:rsidR="008F47B8" w:rsidRPr="006D52A9" w:rsidDel="000012FE" w14:paraId="7C9C65E1" w14:textId="77777777" w:rsidTr="00FB6D2D">
        <w:tc>
          <w:tcPr>
            <w:tcW w:w="647" w:type="pct"/>
            <w:tcMar>
              <w:top w:w="28" w:type="dxa"/>
              <w:left w:w="28" w:type="dxa"/>
            </w:tcMar>
          </w:tcPr>
          <w:p w14:paraId="541BB24D" w14:textId="77777777" w:rsidR="008F47B8" w:rsidRPr="006D52A9" w:rsidRDefault="008F47B8" w:rsidP="00FB6D2D">
            <w:pPr>
              <w:pStyle w:val="mps3-data"/>
              <w:spacing w:before="0"/>
              <w:rPr>
                <w:szCs w:val="16"/>
              </w:rPr>
            </w:pPr>
            <w:r w:rsidRPr="006D52A9">
              <w:rPr>
                <w:szCs w:val="16"/>
              </w:rPr>
              <w:t>Lenograstim</w:t>
            </w:r>
          </w:p>
        </w:tc>
        <w:tc>
          <w:tcPr>
            <w:tcW w:w="283" w:type="pct"/>
            <w:tcMar>
              <w:top w:w="28" w:type="dxa"/>
              <w:left w:w="28" w:type="dxa"/>
            </w:tcMar>
          </w:tcPr>
          <w:p w14:paraId="4594190D" w14:textId="77777777" w:rsidR="008F47B8" w:rsidRPr="006D52A9" w:rsidRDefault="008F47B8" w:rsidP="00FB6D2D">
            <w:pPr>
              <w:pStyle w:val="mps3-data"/>
              <w:spacing w:before="0"/>
              <w:rPr>
                <w:szCs w:val="16"/>
              </w:rPr>
            </w:pPr>
            <w:r w:rsidRPr="006D52A9">
              <w:rPr>
                <w:szCs w:val="16"/>
              </w:rPr>
              <w:t>C6502</w:t>
            </w:r>
          </w:p>
        </w:tc>
        <w:tc>
          <w:tcPr>
            <w:tcW w:w="274" w:type="pct"/>
            <w:tcMar>
              <w:top w:w="28" w:type="dxa"/>
              <w:left w:w="28" w:type="dxa"/>
            </w:tcMar>
          </w:tcPr>
          <w:p w14:paraId="5D91EE4C"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426FCD00"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an infant or child with central nervous system tumours.</w:t>
            </w:r>
          </w:p>
        </w:tc>
        <w:tc>
          <w:tcPr>
            <w:tcW w:w="929" w:type="pct"/>
            <w:tcMar>
              <w:top w:w="28" w:type="dxa"/>
              <w:left w:w="28" w:type="dxa"/>
              <w:right w:w="57" w:type="dxa"/>
            </w:tcMar>
          </w:tcPr>
          <w:p w14:paraId="56184859"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6502</w:t>
            </w:r>
          </w:p>
        </w:tc>
      </w:tr>
      <w:tr w:rsidR="008F47B8" w:rsidRPr="006D52A9" w:rsidDel="000012FE" w14:paraId="400DAF2E" w14:textId="77777777" w:rsidTr="00FB6D2D">
        <w:tc>
          <w:tcPr>
            <w:tcW w:w="647" w:type="pct"/>
            <w:tcMar>
              <w:top w:w="28" w:type="dxa"/>
              <w:left w:w="28" w:type="dxa"/>
            </w:tcMar>
          </w:tcPr>
          <w:p w14:paraId="16FD69FE" w14:textId="77777777" w:rsidR="008F47B8" w:rsidRPr="006D52A9" w:rsidRDefault="008F47B8" w:rsidP="00FB6D2D">
            <w:pPr>
              <w:pStyle w:val="mps3-data"/>
              <w:spacing w:before="0"/>
              <w:rPr>
                <w:szCs w:val="16"/>
              </w:rPr>
            </w:pPr>
          </w:p>
        </w:tc>
        <w:tc>
          <w:tcPr>
            <w:tcW w:w="283" w:type="pct"/>
            <w:tcMar>
              <w:top w:w="28" w:type="dxa"/>
              <w:left w:w="28" w:type="dxa"/>
            </w:tcMar>
          </w:tcPr>
          <w:p w14:paraId="12D7F57D" w14:textId="77777777" w:rsidR="008F47B8" w:rsidRPr="006D52A9" w:rsidRDefault="008F47B8" w:rsidP="00FB6D2D">
            <w:pPr>
              <w:pStyle w:val="mps3-data"/>
              <w:spacing w:before="0"/>
              <w:rPr>
                <w:szCs w:val="16"/>
              </w:rPr>
            </w:pPr>
            <w:r w:rsidRPr="006D52A9">
              <w:rPr>
                <w:szCs w:val="16"/>
              </w:rPr>
              <w:t>C6507</w:t>
            </w:r>
          </w:p>
        </w:tc>
        <w:tc>
          <w:tcPr>
            <w:tcW w:w="274" w:type="pct"/>
            <w:tcMar>
              <w:top w:w="28" w:type="dxa"/>
              <w:left w:w="28" w:type="dxa"/>
            </w:tcMar>
          </w:tcPr>
          <w:p w14:paraId="01F18971"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2A325D0A"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acute lymphoblastic leukaemia.</w:t>
            </w:r>
          </w:p>
        </w:tc>
        <w:tc>
          <w:tcPr>
            <w:tcW w:w="929" w:type="pct"/>
            <w:tcMar>
              <w:top w:w="28" w:type="dxa"/>
              <w:left w:w="28" w:type="dxa"/>
              <w:right w:w="57" w:type="dxa"/>
            </w:tcMar>
          </w:tcPr>
          <w:p w14:paraId="692809D2"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6507</w:t>
            </w:r>
          </w:p>
        </w:tc>
      </w:tr>
      <w:tr w:rsidR="008F47B8" w:rsidRPr="006D52A9" w:rsidDel="000012FE" w14:paraId="1D1B8C0D" w14:textId="77777777" w:rsidTr="00FB6D2D">
        <w:tc>
          <w:tcPr>
            <w:tcW w:w="647" w:type="pct"/>
            <w:tcMar>
              <w:top w:w="28" w:type="dxa"/>
              <w:left w:w="28" w:type="dxa"/>
            </w:tcMar>
          </w:tcPr>
          <w:p w14:paraId="68065525" w14:textId="77777777" w:rsidR="008F47B8" w:rsidRPr="006D52A9" w:rsidRDefault="008F47B8" w:rsidP="00FB6D2D">
            <w:pPr>
              <w:pStyle w:val="mps3-data"/>
              <w:spacing w:before="0"/>
              <w:rPr>
                <w:szCs w:val="16"/>
              </w:rPr>
            </w:pPr>
          </w:p>
        </w:tc>
        <w:tc>
          <w:tcPr>
            <w:tcW w:w="283" w:type="pct"/>
            <w:tcMar>
              <w:top w:w="28" w:type="dxa"/>
              <w:left w:w="28" w:type="dxa"/>
            </w:tcMar>
          </w:tcPr>
          <w:p w14:paraId="55FD59B0" w14:textId="77777777" w:rsidR="008F47B8" w:rsidRPr="006D52A9" w:rsidRDefault="008F47B8" w:rsidP="00FB6D2D">
            <w:pPr>
              <w:pStyle w:val="mps3-data"/>
              <w:spacing w:before="0"/>
              <w:rPr>
                <w:szCs w:val="16"/>
              </w:rPr>
            </w:pPr>
            <w:r w:rsidRPr="006D52A9">
              <w:rPr>
                <w:szCs w:val="16"/>
              </w:rPr>
              <w:t>C6516</w:t>
            </w:r>
          </w:p>
        </w:tc>
        <w:tc>
          <w:tcPr>
            <w:tcW w:w="274" w:type="pct"/>
            <w:tcMar>
              <w:top w:w="28" w:type="dxa"/>
              <w:left w:w="28" w:type="dxa"/>
            </w:tcMar>
          </w:tcPr>
          <w:p w14:paraId="73668854"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F890516"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neuroblastoma.</w:t>
            </w:r>
          </w:p>
        </w:tc>
        <w:tc>
          <w:tcPr>
            <w:tcW w:w="929" w:type="pct"/>
            <w:tcMar>
              <w:top w:w="28" w:type="dxa"/>
              <w:left w:w="28" w:type="dxa"/>
              <w:right w:w="57" w:type="dxa"/>
            </w:tcMar>
          </w:tcPr>
          <w:p w14:paraId="0694FF87"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6516</w:t>
            </w:r>
          </w:p>
        </w:tc>
      </w:tr>
      <w:tr w:rsidR="008F47B8" w:rsidRPr="006D52A9" w:rsidDel="000012FE" w14:paraId="66EE82F5" w14:textId="77777777" w:rsidTr="00FB6D2D">
        <w:tc>
          <w:tcPr>
            <w:tcW w:w="647" w:type="pct"/>
            <w:tcMar>
              <w:top w:w="28" w:type="dxa"/>
              <w:left w:w="28" w:type="dxa"/>
            </w:tcMar>
          </w:tcPr>
          <w:p w14:paraId="44D8966E" w14:textId="77777777" w:rsidR="008F47B8" w:rsidRPr="006D52A9" w:rsidRDefault="008F47B8" w:rsidP="00FB6D2D">
            <w:pPr>
              <w:pStyle w:val="mps3-data"/>
              <w:spacing w:before="0"/>
              <w:rPr>
                <w:szCs w:val="16"/>
              </w:rPr>
            </w:pPr>
          </w:p>
        </w:tc>
        <w:tc>
          <w:tcPr>
            <w:tcW w:w="283" w:type="pct"/>
            <w:tcMar>
              <w:top w:w="28" w:type="dxa"/>
              <w:left w:w="28" w:type="dxa"/>
            </w:tcMar>
          </w:tcPr>
          <w:p w14:paraId="440FCD48" w14:textId="77777777" w:rsidR="008F47B8" w:rsidRPr="006D52A9" w:rsidRDefault="008F47B8" w:rsidP="00FB6D2D">
            <w:pPr>
              <w:pStyle w:val="mps3-data"/>
              <w:spacing w:before="0"/>
              <w:rPr>
                <w:szCs w:val="16"/>
              </w:rPr>
            </w:pPr>
            <w:r w:rsidRPr="006D52A9">
              <w:rPr>
                <w:szCs w:val="16"/>
              </w:rPr>
              <w:t>C6522</w:t>
            </w:r>
          </w:p>
        </w:tc>
        <w:tc>
          <w:tcPr>
            <w:tcW w:w="274" w:type="pct"/>
            <w:tcMar>
              <w:top w:w="28" w:type="dxa"/>
              <w:left w:w="28" w:type="dxa"/>
            </w:tcMar>
          </w:tcPr>
          <w:p w14:paraId="2D431C66"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02A53559"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standard dose adjuvant chemotherapy for breast cancer; AND</w:t>
            </w:r>
            <w:r w:rsidRPr="006D52A9">
              <w:rPr>
                <w:szCs w:val="16"/>
              </w:rPr>
              <w:br/>
              <w:t>Patient must have had a prior episode of febrile neutropenia; OR</w:t>
            </w:r>
            <w:r w:rsidRPr="006D52A9">
              <w:rPr>
                <w:szCs w:val="16"/>
              </w:rPr>
              <w:br/>
              <w:t>Patient must have had a prior episode of prolonged severe neutropenia (neutrophil count of less than 1,000 million cells per litre); AND</w:t>
            </w:r>
            <w:r w:rsidRPr="006D52A9">
              <w:rPr>
                <w:szCs w:val="16"/>
              </w:rPr>
              <w:br/>
              <w:t>The treatment must be used in a patient for whom there is a clinical justification for wishing to continue chemotherapy with the same drug combination, dosage and treatment schedule; AND</w:t>
            </w:r>
            <w:r w:rsidRPr="006D52A9">
              <w:rPr>
                <w:szCs w:val="16"/>
              </w:rPr>
              <w:br/>
              <w:t>Patient must be anticipated to have a good response to treatment providing chemotherapy can be delivered as planned.</w:t>
            </w:r>
          </w:p>
        </w:tc>
        <w:tc>
          <w:tcPr>
            <w:tcW w:w="929" w:type="pct"/>
            <w:tcMar>
              <w:top w:w="28" w:type="dxa"/>
              <w:left w:w="28" w:type="dxa"/>
              <w:right w:w="57" w:type="dxa"/>
            </w:tcMar>
          </w:tcPr>
          <w:p w14:paraId="16FC44F7"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6522</w:t>
            </w:r>
          </w:p>
        </w:tc>
      </w:tr>
      <w:tr w:rsidR="008F47B8" w:rsidRPr="006D52A9" w:rsidDel="000012FE" w14:paraId="1A13BDAA" w14:textId="77777777" w:rsidTr="00FB6D2D">
        <w:tc>
          <w:tcPr>
            <w:tcW w:w="647" w:type="pct"/>
            <w:tcMar>
              <w:top w:w="28" w:type="dxa"/>
              <w:left w:w="28" w:type="dxa"/>
            </w:tcMar>
          </w:tcPr>
          <w:p w14:paraId="6722EFEE" w14:textId="77777777" w:rsidR="008F47B8" w:rsidRPr="006D52A9" w:rsidRDefault="008F47B8" w:rsidP="00FB6D2D">
            <w:pPr>
              <w:pStyle w:val="mps3-data"/>
              <w:spacing w:before="0"/>
              <w:rPr>
                <w:szCs w:val="16"/>
              </w:rPr>
            </w:pPr>
          </w:p>
        </w:tc>
        <w:tc>
          <w:tcPr>
            <w:tcW w:w="283" w:type="pct"/>
            <w:tcMar>
              <w:top w:w="28" w:type="dxa"/>
              <w:left w:w="28" w:type="dxa"/>
            </w:tcMar>
          </w:tcPr>
          <w:p w14:paraId="425B7220" w14:textId="77777777" w:rsidR="008F47B8" w:rsidRPr="006D52A9" w:rsidRDefault="008F47B8" w:rsidP="00FB6D2D">
            <w:pPr>
              <w:pStyle w:val="mps3-data"/>
              <w:spacing w:before="0"/>
              <w:rPr>
                <w:szCs w:val="16"/>
              </w:rPr>
            </w:pPr>
            <w:r w:rsidRPr="006D52A9">
              <w:rPr>
                <w:szCs w:val="16"/>
              </w:rPr>
              <w:t>C6523</w:t>
            </w:r>
          </w:p>
        </w:tc>
        <w:tc>
          <w:tcPr>
            <w:tcW w:w="274" w:type="pct"/>
            <w:tcMar>
              <w:top w:w="28" w:type="dxa"/>
              <w:left w:w="28" w:type="dxa"/>
            </w:tcMar>
          </w:tcPr>
          <w:p w14:paraId="49360858"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8EB0630"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germ cell tumours.</w:t>
            </w:r>
          </w:p>
        </w:tc>
        <w:tc>
          <w:tcPr>
            <w:tcW w:w="929" w:type="pct"/>
            <w:tcMar>
              <w:top w:w="28" w:type="dxa"/>
              <w:left w:w="28" w:type="dxa"/>
              <w:right w:w="57" w:type="dxa"/>
            </w:tcMar>
          </w:tcPr>
          <w:p w14:paraId="2B5940B2"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w:t>
            </w:r>
            <w:r w:rsidRPr="006D52A9">
              <w:rPr>
                <w:szCs w:val="16"/>
              </w:rPr>
              <w:lastRenderedPageBreak/>
              <w:t>Authority Code 6523</w:t>
            </w:r>
          </w:p>
        </w:tc>
      </w:tr>
      <w:tr w:rsidR="008F47B8" w:rsidRPr="006D52A9" w:rsidDel="000012FE" w14:paraId="38EFA520" w14:textId="77777777" w:rsidTr="00FB6D2D">
        <w:tc>
          <w:tcPr>
            <w:tcW w:w="647" w:type="pct"/>
            <w:tcMar>
              <w:top w:w="28" w:type="dxa"/>
              <w:left w:w="28" w:type="dxa"/>
            </w:tcMar>
          </w:tcPr>
          <w:p w14:paraId="025FE3CD" w14:textId="77777777" w:rsidR="008F47B8" w:rsidRPr="006D52A9" w:rsidRDefault="008F47B8" w:rsidP="00FB6D2D">
            <w:pPr>
              <w:pStyle w:val="mps3-data"/>
              <w:spacing w:before="0"/>
              <w:rPr>
                <w:szCs w:val="16"/>
              </w:rPr>
            </w:pPr>
          </w:p>
        </w:tc>
        <w:tc>
          <w:tcPr>
            <w:tcW w:w="283" w:type="pct"/>
            <w:tcMar>
              <w:top w:w="28" w:type="dxa"/>
              <w:left w:w="28" w:type="dxa"/>
            </w:tcMar>
          </w:tcPr>
          <w:p w14:paraId="33B2D610" w14:textId="77777777" w:rsidR="008F47B8" w:rsidRPr="006D52A9" w:rsidRDefault="008F47B8" w:rsidP="00FB6D2D">
            <w:pPr>
              <w:pStyle w:val="mps3-data"/>
              <w:spacing w:before="0"/>
              <w:rPr>
                <w:szCs w:val="16"/>
              </w:rPr>
            </w:pPr>
            <w:r w:rsidRPr="006D52A9">
              <w:rPr>
                <w:szCs w:val="16"/>
              </w:rPr>
              <w:t>C6532</w:t>
            </w:r>
          </w:p>
        </w:tc>
        <w:tc>
          <w:tcPr>
            <w:tcW w:w="274" w:type="pct"/>
            <w:tcMar>
              <w:top w:w="28" w:type="dxa"/>
              <w:left w:w="28" w:type="dxa"/>
            </w:tcMar>
          </w:tcPr>
          <w:p w14:paraId="6ECAEC31"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9D41679"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first</w:t>
            </w:r>
            <w:r w:rsidR="0026100E">
              <w:rPr>
                <w:szCs w:val="16"/>
              </w:rPr>
              <w:noBreakHyphen/>
            </w:r>
            <w:r w:rsidRPr="006D52A9">
              <w:rPr>
                <w:szCs w:val="16"/>
              </w:rPr>
              <w:t>line chemotherapy for Hodgkin disease; AND</w:t>
            </w:r>
            <w:r w:rsidRPr="006D52A9">
              <w:rPr>
                <w:szCs w:val="16"/>
              </w:rPr>
              <w:br/>
              <w:t>Patient must have had a prior episode of febrile neutropenia; OR</w:t>
            </w:r>
            <w:r w:rsidRPr="006D52A9">
              <w:rPr>
                <w:szCs w:val="16"/>
              </w:rPr>
              <w:br/>
              <w:t>Patient must have had a prior episode of prolonged severe neutropenia (neutrophil count of less than 1,000 million cells per litre); AND</w:t>
            </w:r>
            <w:r w:rsidRPr="006D52A9">
              <w:rPr>
                <w:szCs w:val="16"/>
              </w:rPr>
              <w:br/>
              <w:t>The treatment must be used in a patient for whom there is a clinical justification for wishing to continue chemotherapy with the same drug combination, dosage and treatment schedule; AND</w:t>
            </w:r>
            <w:r w:rsidRPr="006D52A9">
              <w:rPr>
                <w:szCs w:val="16"/>
              </w:rPr>
              <w:br/>
              <w:t>Patient must be anticipated to have a good response to treatment providing chemotherapy can be delivered as planned.</w:t>
            </w:r>
          </w:p>
        </w:tc>
        <w:tc>
          <w:tcPr>
            <w:tcW w:w="929" w:type="pct"/>
            <w:tcMar>
              <w:top w:w="28" w:type="dxa"/>
              <w:left w:w="28" w:type="dxa"/>
              <w:right w:w="57" w:type="dxa"/>
            </w:tcMar>
          </w:tcPr>
          <w:p w14:paraId="586F17C4"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6532</w:t>
            </w:r>
          </w:p>
        </w:tc>
      </w:tr>
      <w:tr w:rsidR="008F47B8" w:rsidRPr="006D52A9" w:rsidDel="000012FE" w14:paraId="2FB390B0" w14:textId="77777777" w:rsidTr="00FB6D2D">
        <w:tc>
          <w:tcPr>
            <w:tcW w:w="647" w:type="pct"/>
            <w:tcMar>
              <w:top w:w="28" w:type="dxa"/>
              <w:left w:w="28" w:type="dxa"/>
            </w:tcMar>
          </w:tcPr>
          <w:p w14:paraId="5C9E9E2E" w14:textId="77777777" w:rsidR="008F47B8" w:rsidRPr="006D52A9" w:rsidRDefault="008F47B8" w:rsidP="00FB6D2D">
            <w:pPr>
              <w:pStyle w:val="mps3-data"/>
              <w:spacing w:before="0"/>
              <w:rPr>
                <w:szCs w:val="16"/>
              </w:rPr>
            </w:pPr>
          </w:p>
        </w:tc>
        <w:tc>
          <w:tcPr>
            <w:tcW w:w="283" w:type="pct"/>
            <w:tcMar>
              <w:top w:w="28" w:type="dxa"/>
              <w:left w:w="28" w:type="dxa"/>
            </w:tcMar>
          </w:tcPr>
          <w:p w14:paraId="4C273795" w14:textId="77777777" w:rsidR="008F47B8" w:rsidRPr="006D52A9" w:rsidRDefault="008F47B8" w:rsidP="00FB6D2D">
            <w:pPr>
              <w:pStyle w:val="mps3-data"/>
              <w:spacing w:before="0"/>
              <w:rPr>
                <w:szCs w:val="16"/>
              </w:rPr>
            </w:pPr>
            <w:r w:rsidRPr="006D52A9">
              <w:rPr>
                <w:szCs w:val="16"/>
              </w:rPr>
              <w:t>C6535</w:t>
            </w:r>
          </w:p>
        </w:tc>
        <w:tc>
          <w:tcPr>
            <w:tcW w:w="274" w:type="pct"/>
            <w:tcMar>
              <w:top w:w="28" w:type="dxa"/>
              <w:left w:w="28" w:type="dxa"/>
            </w:tcMar>
          </w:tcPr>
          <w:p w14:paraId="178C260C"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69C68CE"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relapsed Hodgkin disease.</w:t>
            </w:r>
          </w:p>
        </w:tc>
        <w:tc>
          <w:tcPr>
            <w:tcW w:w="929" w:type="pct"/>
            <w:tcMar>
              <w:top w:w="28" w:type="dxa"/>
              <w:left w:w="28" w:type="dxa"/>
              <w:right w:w="57" w:type="dxa"/>
            </w:tcMar>
          </w:tcPr>
          <w:p w14:paraId="696DADDB"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6535</w:t>
            </w:r>
          </w:p>
        </w:tc>
      </w:tr>
      <w:tr w:rsidR="008F47B8" w:rsidRPr="006D52A9" w:rsidDel="000012FE" w14:paraId="1A36EF8A" w14:textId="77777777" w:rsidTr="00FB6D2D">
        <w:tc>
          <w:tcPr>
            <w:tcW w:w="647" w:type="pct"/>
            <w:tcMar>
              <w:top w:w="28" w:type="dxa"/>
              <w:left w:w="28" w:type="dxa"/>
            </w:tcMar>
          </w:tcPr>
          <w:p w14:paraId="16C27985" w14:textId="77777777" w:rsidR="008F47B8" w:rsidRPr="006D52A9" w:rsidRDefault="008F47B8" w:rsidP="00FB6D2D">
            <w:pPr>
              <w:pStyle w:val="mps3-data"/>
              <w:spacing w:before="0"/>
              <w:rPr>
                <w:szCs w:val="16"/>
              </w:rPr>
            </w:pPr>
          </w:p>
        </w:tc>
        <w:tc>
          <w:tcPr>
            <w:tcW w:w="283" w:type="pct"/>
            <w:tcMar>
              <w:top w:w="28" w:type="dxa"/>
              <w:left w:w="28" w:type="dxa"/>
            </w:tcMar>
          </w:tcPr>
          <w:p w14:paraId="3DBCA507" w14:textId="77777777" w:rsidR="008F47B8" w:rsidRPr="006D52A9" w:rsidRDefault="008F47B8" w:rsidP="00FB6D2D">
            <w:pPr>
              <w:pStyle w:val="mps3-data"/>
              <w:spacing w:before="0"/>
              <w:rPr>
                <w:szCs w:val="16"/>
              </w:rPr>
            </w:pPr>
            <w:r w:rsidRPr="006D52A9">
              <w:rPr>
                <w:szCs w:val="16"/>
              </w:rPr>
              <w:t>C6634</w:t>
            </w:r>
          </w:p>
        </w:tc>
        <w:tc>
          <w:tcPr>
            <w:tcW w:w="274" w:type="pct"/>
            <w:tcMar>
              <w:top w:w="28" w:type="dxa"/>
              <w:left w:w="28" w:type="dxa"/>
            </w:tcMar>
          </w:tcPr>
          <w:p w14:paraId="0913E2DA"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5AF2687C"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osteosarcoma.</w:t>
            </w:r>
          </w:p>
        </w:tc>
        <w:tc>
          <w:tcPr>
            <w:tcW w:w="929" w:type="pct"/>
            <w:tcMar>
              <w:top w:w="28" w:type="dxa"/>
              <w:left w:w="28" w:type="dxa"/>
              <w:right w:w="57" w:type="dxa"/>
            </w:tcMar>
          </w:tcPr>
          <w:p w14:paraId="209F4C18"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6634</w:t>
            </w:r>
          </w:p>
        </w:tc>
      </w:tr>
      <w:tr w:rsidR="008F47B8" w:rsidRPr="006D52A9" w:rsidDel="000012FE" w14:paraId="6FC3E443" w14:textId="77777777" w:rsidTr="00FB6D2D">
        <w:tc>
          <w:tcPr>
            <w:tcW w:w="647" w:type="pct"/>
            <w:tcMar>
              <w:top w:w="28" w:type="dxa"/>
              <w:left w:w="28" w:type="dxa"/>
            </w:tcMar>
          </w:tcPr>
          <w:p w14:paraId="48904B29" w14:textId="77777777" w:rsidR="008F47B8" w:rsidRPr="006D52A9" w:rsidRDefault="008F47B8" w:rsidP="00FB6D2D">
            <w:pPr>
              <w:pStyle w:val="mps3-data"/>
              <w:spacing w:before="0"/>
              <w:rPr>
                <w:szCs w:val="16"/>
              </w:rPr>
            </w:pPr>
          </w:p>
        </w:tc>
        <w:tc>
          <w:tcPr>
            <w:tcW w:w="283" w:type="pct"/>
            <w:tcMar>
              <w:top w:w="28" w:type="dxa"/>
              <w:left w:w="28" w:type="dxa"/>
            </w:tcMar>
          </w:tcPr>
          <w:p w14:paraId="62A04F6A" w14:textId="77777777" w:rsidR="008F47B8" w:rsidRPr="006D52A9" w:rsidRDefault="008F47B8" w:rsidP="00FB6D2D">
            <w:pPr>
              <w:pStyle w:val="mps3-data"/>
              <w:spacing w:before="0"/>
              <w:rPr>
                <w:szCs w:val="16"/>
              </w:rPr>
            </w:pPr>
            <w:r w:rsidRPr="006D52A9">
              <w:rPr>
                <w:szCs w:val="16"/>
              </w:rPr>
              <w:t>C6644</w:t>
            </w:r>
          </w:p>
        </w:tc>
        <w:tc>
          <w:tcPr>
            <w:tcW w:w="274" w:type="pct"/>
            <w:tcMar>
              <w:top w:w="28" w:type="dxa"/>
              <w:left w:w="28" w:type="dxa"/>
            </w:tcMar>
          </w:tcPr>
          <w:p w14:paraId="3B138873"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7666FAD"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Ewing's sarcoma.</w:t>
            </w:r>
          </w:p>
        </w:tc>
        <w:tc>
          <w:tcPr>
            <w:tcW w:w="929" w:type="pct"/>
            <w:tcMar>
              <w:top w:w="28" w:type="dxa"/>
              <w:left w:w="28" w:type="dxa"/>
              <w:right w:w="57" w:type="dxa"/>
            </w:tcMar>
          </w:tcPr>
          <w:p w14:paraId="2FD74020"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6644</w:t>
            </w:r>
          </w:p>
        </w:tc>
      </w:tr>
      <w:tr w:rsidR="008F47B8" w:rsidRPr="006D52A9" w:rsidDel="000012FE" w14:paraId="272DCD23" w14:textId="77777777" w:rsidTr="00FB6D2D">
        <w:tc>
          <w:tcPr>
            <w:tcW w:w="647" w:type="pct"/>
            <w:tcMar>
              <w:top w:w="28" w:type="dxa"/>
              <w:left w:w="28" w:type="dxa"/>
            </w:tcMar>
          </w:tcPr>
          <w:p w14:paraId="4918D9F9" w14:textId="77777777" w:rsidR="008F47B8" w:rsidRPr="006D52A9" w:rsidRDefault="008F47B8" w:rsidP="00FB6D2D">
            <w:pPr>
              <w:pStyle w:val="mps3-data"/>
              <w:spacing w:before="0"/>
              <w:rPr>
                <w:szCs w:val="16"/>
              </w:rPr>
            </w:pPr>
          </w:p>
        </w:tc>
        <w:tc>
          <w:tcPr>
            <w:tcW w:w="283" w:type="pct"/>
            <w:tcMar>
              <w:top w:w="28" w:type="dxa"/>
              <w:left w:w="28" w:type="dxa"/>
            </w:tcMar>
          </w:tcPr>
          <w:p w14:paraId="596EF435" w14:textId="77777777" w:rsidR="008F47B8" w:rsidRPr="006D52A9" w:rsidRDefault="008F47B8" w:rsidP="00FB6D2D">
            <w:pPr>
              <w:pStyle w:val="mps3-data"/>
              <w:spacing w:before="0"/>
              <w:rPr>
                <w:szCs w:val="16"/>
              </w:rPr>
            </w:pPr>
            <w:r w:rsidRPr="006D52A9">
              <w:rPr>
                <w:szCs w:val="16"/>
              </w:rPr>
              <w:t>C6653</w:t>
            </w:r>
          </w:p>
        </w:tc>
        <w:tc>
          <w:tcPr>
            <w:tcW w:w="274" w:type="pct"/>
            <w:tcMar>
              <w:top w:w="28" w:type="dxa"/>
              <w:left w:w="28" w:type="dxa"/>
            </w:tcMar>
          </w:tcPr>
          <w:p w14:paraId="109B6B6D"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574E3BB" w14:textId="77777777" w:rsidR="008F47B8" w:rsidRPr="006D52A9" w:rsidRDefault="008F47B8" w:rsidP="00FB6D2D">
            <w:pPr>
              <w:pStyle w:val="mps3-data"/>
              <w:spacing w:before="0"/>
            </w:pPr>
            <w:r w:rsidRPr="006D52A9">
              <w:rPr>
                <w:szCs w:val="16"/>
              </w:rPr>
              <w:t>Mobilisation of peripheral blood progenitor cells</w:t>
            </w:r>
            <w:r w:rsidRPr="006D52A9">
              <w:rPr>
                <w:szCs w:val="16"/>
              </w:rPr>
              <w:br/>
              <w:t>The treatment must be to facilitate harvest of peripheral blood progenitor cells for autologous transplantation into a patient with a non</w:t>
            </w:r>
            <w:r w:rsidR="0026100E">
              <w:rPr>
                <w:szCs w:val="16"/>
              </w:rPr>
              <w:noBreakHyphen/>
            </w:r>
            <w:r w:rsidRPr="006D52A9">
              <w:rPr>
                <w:szCs w:val="16"/>
              </w:rPr>
              <w:t>myeloid malignancy who has had myeloablative or myelosuppressive therapy.</w:t>
            </w:r>
          </w:p>
        </w:tc>
        <w:tc>
          <w:tcPr>
            <w:tcW w:w="929" w:type="pct"/>
            <w:tcMar>
              <w:top w:w="28" w:type="dxa"/>
              <w:left w:w="28" w:type="dxa"/>
              <w:right w:w="57" w:type="dxa"/>
            </w:tcMar>
          </w:tcPr>
          <w:p w14:paraId="60513A13"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6653</w:t>
            </w:r>
          </w:p>
        </w:tc>
      </w:tr>
      <w:tr w:rsidR="008F47B8" w:rsidRPr="006D52A9" w:rsidDel="000012FE" w14:paraId="26EFB01A" w14:textId="77777777" w:rsidTr="00FB6D2D">
        <w:tc>
          <w:tcPr>
            <w:tcW w:w="647" w:type="pct"/>
            <w:tcMar>
              <w:top w:w="28" w:type="dxa"/>
              <w:left w:w="28" w:type="dxa"/>
            </w:tcMar>
          </w:tcPr>
          <w:p w14:paraId="23237036" w14:textId="77777777" w:rsidR="008F47B8" w:rsidRPr="006D52A9" w:rsidRDefault="008F47B8" w:rsidP="00FB6D2D">
            <w:pPr>
              <w:pStyle w:val="mps3-data"/>
              <w:spacing w:before="0"/>
              <w:rPr>
                <w:szCs w:val="16"/>
              </w:rPr>
            </w:pPr>
          </w:p>
        </w:tc>
        <w:tc>
          <w:tcPr>
            <w:tcW w:w="283" w:type="pct"/>
            <w:tcMar>
              <w:top w:w="28" w:type="dxa"/>
              <w:left w:w="28" w:type="dxa"/>
            </w:tcMar>
          </w:tcPr>
          <w:p w14:paraId="21949FCF" w14:textId="77777777" w:rsidR="008F47B8" w:rsidRPr="006D52A9" w:rsidRDefault="008F47B8" w:rsidP="00FB6D2D">
            <w:pPr>
              <w:pStyle w:val="mps3-data"/>
              <w:spacing w:before="0"/>
              <w:rPr>
                <w:szCs w:val="16"/>
              </w:rPr>
            </w:pPr>
            <w:r w:rsidRPr="006D52A9">
              <w:rPr>
                <w:szCs w:val="16"/>
              </w:rPr>
              <w:t>C6654</w:t>
            </w:r>
          </w:p>
        </w:tc>
        <w:tc>
          <w:tcPr>
            <w:tcW w:w="274" w:type="pct"/>
            <w:tcMar>
              <w:top w:w="28" w:type="dxa"/>
              <w:left w:w="28" w:type="dxa"/>
            </w:tcMar>
          </w:tcPr>
          <w:p w14:paraId="5DC39A05"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3F89925" w14:textId="77777777" w:rsidR="008F47B8" w:rsidRPr="006D52A9" w:rsidRDefault="008F47B8" w:rsidP="00FB6D2D">
            <w:pPr>
              <w:pStyle w:val="mps3-data"/>
              <w:spacing w:before="0"/>
            </w:pPr>
            <w:r w:rsidRPr="006D52A9">
              <w:rPr>
                <w:szCs w:val="16"/>
              </w:rPr>
              <w:t>Mobilisation of peripheral blood progenitor cells</w:t>
            </w:r>
            <w:r w:rsidRPr="006D52A9">
              <w:rPr>
                <w:szCs w:val="16"/>
              </w:rPr>
              <w:br/>
              <w:t>The treatment must be in a normal volunteer for use in allogeneic transplantation.</w:t>
            </w:r>
          </w:p>
        </w:tc>
        <w:tc>
          <w:tcPr>
            <w:tcW w:w="929" w:type="pct"/>
            <w:tcMar>
              <w:top w:w="28" w:type="dxa"/>
              <w:left w:w="28" w:type="dxa"/>
              <w:right w:w="57" w:type="dxa"/>
            </w:tcMar>
          </w:tcPr>
          <w:p w14:paraId="6317E66C"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6654</w:t>
            </w:r>
          </w:p>
        </w:tc>
      </w:tr>
      <w:tr w:rsidR="008F47B8" w:rsidRPr="006D52A9" w:rsidDel="000012FE" w14:paraId="59ECCC8F" w14:textId="77777777" w:rsidTr="00FB6D2D">
        <w:tc>
          <w:tcPr>
            <w:tcW w:w="647" w:type="pct"/>
            <w:tcMar>
              <w:top w:w="28" w:type="dxa"/>
              <w:left w:w="28" w:type="dxa"/>
            </w:tcMar>
          </w:tcPr>
          <w:p w14:paraId="54439A61" w14:textId="77777777" w:rsidR="008F47B8" w:rsidRPr="006D52A9" w:rsidRDefault="008F47B8" w:rsidP="00FB6D2D">
            <w:pPr>
              <w:pStyle w:val="mps3-data"/>
              <w:spacing w:before="0"/>
              <w:rPr>
                <w:szCs w:val="16"/>
              </w:rPr>
            </w:pPr>
          </w:p>
        </w:tc>
        <w:tc>
          <w:tcPr>
            <w:tcW w:w="283" w:type="pct"/>
            <w:tcMar>
              <w:top w:w="28" w:type="dxa"/>
              <w:left w:w="28" w:type="dxa"/>
            </w:tcMar>
          </w:tcPr>
          <w:p w14:paraId="40865946" w14:textId="77777777" w:rsidR="008F47B8" w:rsidRPr="006D52A9" w:rsidRDefault="008F47B8" w:rsidP="00FB6D2D">
            <w:pPr>
              <w:pStyle w:val="mps3-data"/>
              <w:spacing w:before="0"/>
              <w:rPr>
                <w:szCs w:val="16"/>
              </w:rPr>
            </w:pPr>
            <w:r w:rsidRPr="006D52A9">
              <w:rPr>
                <w:szCs w:val="16"/>
              </w:rPr>
              <w:t>C6657</w:t>
            </w:r>
          </w:p>
        </w:tc>
        <w:tc>
          <w:tcPr>
            <w:tcW w:w="274" w:type="pct"/>
            <w:tcMar>
              <w:top w:w="28" w:type="dxa"/>
              <w:left w:w="28" w:type="dxa"/>
            </w:tcMar>
          </w:tcPr>
          <w:p w14:paraId="7D1BAAB1"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29704775" w14:textId="77777777" w:rsidR="008F47B8" w:rsidRPr="006D52A9" w:rsidRDefault="008F47B8" w:rsidP="00FB6D2D">
            <w:pPr>
              <w:pStyle w:val="mps3-data"/>
              <w:spacing w:before="0"/>
            </w:pPr>
            <w:r w:rsidRPr="006D52A9">
              <w:rPr>
                <w:szCs w:val="16"/>
              </w:rPr>
              <w:t>Assisting peripheral blood progenitor cell or bone marrow transplantation</w:t>
            </w:r>
            <w:r w:rsidRPr="006D52A9">
              <w:rPr>
                <w:szCs w:val="16"/>
              </w:rPr>
              <w:br/>
              <w:t>The treatment must be following marrow</w:t>
            </w:r>
            <w:r w:rsidR="0026100E">
              <w:rPr>
                <w:szCs w:val="16"/>
              </w:rPr>
              <w:noBreakHyphen/>
            </w:r>
            <w:r w:rsidRPr="006D52A9">
              <w:rPr>
                <w:szCs w:val="16"/>
              </w:rPr>
              <w:t>ablative chemotherapy for non</w:t>
            </w:r>
            <w:r w:rsidR="0026100E">
              <w:rPr>
                <w:szCs w:val="16"/>
              </w:rPr>
              <w:noBreakHyphen/>
            </w:r>
            <w:r w:rsidRPr="006D52A9">
              <w:rPr>
                <w:szCs w:val="16"/>
              </w:rPr>
              <w:t>myeloid malignancy prior to the transplantation.</w:t>
            </w:r>
          </w:p>
        </w:tc>
        <w:tc>
          <w:tcPr>
            <w:tcW w:w="929" w:type="pct"/>
            <w:tcMar>
              <w:top w:w="28" w:type="dxa"/>
              <w:left w:w="28" w:type="dxa"/>
              <w:right w:w="57" w:type="dxa"/>
            </w:tcMar>
          </w:tcPr>
          <w:p w14:paraId="5372106B"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6657</w:t>
            </w:r>
          </w:p>
        </w:tc>
      </w:tr>
      <w:tr w:rsidR="008F47B8" w:rsidRPr="006D52A9" w:rsidDel="000012FE" w14:paraId="0B41F1CA" w14:textId="77777777" w:rsidTr="00FB6D2D">
        <w:tc>
          <w:tcPr>
            <w:tcW w:w="647" w:type="pct"/>
            <w:tcMar>
              <w:top w:w="28" w:type="dxa"/>
              <w:left w:w="28" w:type="dxa"/>
            </w:tcMar>
          </w:tcPr>
          <w:p w14:paraId="6C70752B" w14:textId="77777777" w:rsidR="008F47B8" w:rsidRPr="006D52A9" w:rsidRDefault="008F47B8" w:rsidP="00FB6D2D">
            <w:pPr>
              <w:pStyle w:val="mps3-data"/>
              <w:spacing w:before="0"/>
              <w:rPr>
                <w:szCs w:val="16"/>
              </w:rPr>
            </w:pPr>
          </w:p>
        </w:tc>
        <w:tc>
          <w:tcPr>
            <w:tcW w:w="283" w:type="pct"/>
            <w:tcMar>
              <w:top w:w="28" w:type="dxa"/>
              <w:left w:w="28" w:type="dxa"/>
            </w:tcMar>
          </w:tcPr>
          <w:p w14:paraId="314BF00D" w14:textId="77777777" w:rsidR="008F47B8" w:rsidRPr="006D52A9" w:rsidRDefault="008F47B8" w:rsidP="00FB6D2D">
            <w:pPr>
              <w:pStyle w:val="mps3-data"/>
              <w:spacing w:before="0"/>
              <w:rPr>
                <w:szCs w:val="16"/>
              </w:rPr>
            </w:pPr>
            <w:r w:rsidRPr="006D52A9">
              <w:rPr>
                <w:szCs w:val="16"/>
              </w:rPr>
              <w:t>C6673</w:t>
            </w:r>
          </w:p>
        </w:tc>
        <w:tc>
          <w:tcPr>
            <w:tcW w:w="274" w:type="pct"/>
            <w:tcMar>
              <w:top w:w="28" w:type="dxa"/>
              <w:left w:w="28" w:type="dxa"/>
            </w:tcMar>
          </w:tcPr>
          <w:p w14:paraId="4944FF42"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7016D53"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 xml:space="preserve">Patient must be receiving treatment with aggressive chemotherapy with the intention of achieving a cure </w:t>
            </w:r>
            <w:r w:rsidRPr="006D52A9">
              <w:rPr>
                <w:szCs w:val="16"/>
              </w:rPr>
              <w:lastRenderedPageBreak/>
              <w:t>or substantial remission in non</w:t>
            </w:r>
            <w:r w:rsidR="0026100E">
              <w:rPr>
                <w:szCs w:val="16"/>
              </w:rPr>
              <w:noBreakHyphen/>
            </w:r>
            <w:r w:rsidRPr="006D52A9">
              <w:rPr>
                <w:szCs w:val="16"/>
              </w:rPr>
              <w:t>Hodgkin's lymphoma (intermediate or high grade).</w:t>
            </w:r>
          </w:p>
        </w:tc>
        <w:tc>
          <w:tcPr>
            <w:tcW w:w="929" w:type="pct"/>
            <w:tcMar>
              <w:top w:w="28" w:type="dxa"/>
              <w:left w:w="28" w:type="dxa"/>
              <w:right w:w="57" w:type="dxa"/>
            </w:tcMar>
          </w:tcPr>
          <w:p w14:paraId="0CCC0E01" w14:textId="77777777" w:rsidR="008F47B8" w:rsidRPr="006D52A9" w:rsidRDefault="008F47B8" w:rsidP="00FB6D2D">
            <w:pPr>
              <w:pStyle w:val="mps3-data"/>
              <w:keepNext/>
              <w:spacing w:before="0"/>
            </w:pPr>
            <w:r w:rsidRPr="006D52A9">
              <w:rPr>
                <w:szCs w:val="16"/>
              </w:rPr>
              <w:lastRenderedPageBreak/>
              <w:t xml:space="preserve">Compliance with Authority Required </w:t>
            </w:r>
            <w:r w:rsidRPr="006D52A9">
              <w:rPr>
                <w:szCs w:val="16"/>
              </w:rPr>
              <w:lastRenderedPageBreak/>
              <w:t xml:space="preserve">procedures </w:t>
            </w:r>
            <w:r w:rsidR="0026100E">
              <w:rPr>
                <w:szCs w:val="16"/>
              </w:rPr>
              <w:noBreakHyphen/>
            </w:r>
            <w:r w:rsidRPr="006D52A9">
              <w:rPr>
                <w:szCs w:val="16"/>
              </w:rPr>
              <w:t xml:space="preserve"> Streamlined Authority Code 6673</w:t>
            </w:r>
          </w:p>
        </w:tc>
      </w:tr>
      <w:tr w:rsidR="008F47B8" w:rsidRPr="006D52A9" w:rsidDel="000012FE" w14:paraId="4A3CF876" w14:textId="77777777" w:rsidTr="00FB6D2D">
        <w:tc>
          <w:tcPr>
            <w:tcW w:w="647" w:type="pct"/>
            <w:tcMar>
              <w:top w:w="28" w:type="dxa"/>
              <w:left w:w="28" w:type="dxa"/>
            </w:tcMar>
          </w:tcPr>
          <w:p w14:paraId="7BE59969" w14:textId="77777777" w:rsidR="008F47B8" w:rsidRPr="006D52A9" w:rsidRDefault="008F47B8" w:rsidP="00FB6D2D">
            <w:pPr>
              <w:pStyle w:val="mps3-data"/>
              <w:spacing w:before="0"/>
              <w:rPr>
                <w:szCs w:val="16"/>
              </w:rPr>
            </w:pPr>
          </w:p>
        </w:tc>
        <w:tc>
          <w:tcPr>
            <w:tcW w:w="283" w:type="pct"/>
            <w:tcMar>
              <w:top w:w="28" w:type="dxa"/>
              <w:left w:w="28" w:type="dxa"/>
            </w:tcMar>
          </w:tcPr>
          <w:p w14:paraId="323B58D7" w14:textId="77777777" w:rsidR="008F47B8" w:rsidRPr="006D52A9" w:rsidRDefault="008F47B8" w:rsidP="00FB6D2D">
            <w:pPr>
              <w:pStyle w:val="mps3-data"/>
              <w:spacing w:before="0"/>
              <w:rPr>
                <w:szCs w:val="16"/>
              </w:rPr>
            </w:pPr>
            <w:r w:rsidRPr="006D52A9">
              <w:rPr>
                <w:szCs w:val="16"/>
              </w:rPr>
              <w:t>C6682</w:t>
            </w:r>
          </w:p>
        </w:tc>
        <w:tc>
          <w:tcPr>
            <w:tcW w:w="274" w:type="pct"/>
            <w:tcMar>
              <w:top w:w="28" w:type="dxa"/>
              <w:left w:w="28" w:type="dxa"/>
            </w:tcMar>
          </w:tcPr>
          <w:p w14:paraId="29CC0826"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13615DB1"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rhabdomyosarcoma.</w:t>
            </w:r>
          </w:p>
        </w:tc>
        <w:tc>
          <w:tcPr>
            <w:tcW w:w="929" w:type="pct"/>
            <w:tcMar>
              <w:top w:w="28" w:type="dxa"/>
              <w:left w:w="28" w:type="dxa"/>
              <w:right w:w="57" w:type="dxa"/>
            </w:tcMar>
          </w:tcPr>
          <w:p w14:paraId="19541882"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6682</w:t>
            </w:r>
          </w:p>
        </w:tc>
      </w:tr>
      <w:tr w:rsidR="008F47B8" w:rsidRPr="006D52A9" w:rsidDel="000012FE" w14:paraId="24F1C00C" w14:textId="77777777" w:rsidTr="00FB6D2D">
        <w:tc>
          <w:tcPr>
            <w:tcW w:w="647" w:type="pct"/>
            <w:tcMar>
              <w:top w:w="28" w:type="dxa"/>
              <w:left w:w="28" w:type="dxa"/>
            </w:tcMar>
          </w:tcPr>
          <w:p w14:paraId="20149A6A" w14:textId="77777777" w:rsidR="008F47B8" w:rsidRPr="006D52A9" w:rsidRDefault="008F47B8" w:rsidP="00FB6D2D">
            <w:pPr>
              <w:pStyle w:val="mps3-data"/>
              <w:spacing w:before="0"/>
              <w:rPr>
                <w:szCs w:val="16"/>
              </w:rPr>
            </w:pPr>
          </w:p>
        </w:tc>
        <w:tc>
          <w:tcPr>
            <w:tcW w:w="283" w:type="pct"/>
            <w:tcMar>
              <w:top w:w="28" w:type="dxa"/>
              <w:left w:w="28" w:type="dxa"/>
            </w:tcMar>
          </w:tcPr>
          <w:p w14:paraId="51749C4A" w14:textId="77777777" w:rsidR="008F47B8" w:rsidRPr="006D52A9" w:rsidRDefault="008F47B8" w:rsidP="00FB6D2D">
            <w:pPr>
              <w:pStyle w:val="mps3-data"/>
              <w:spacing w:before="0"/>
              <w:rPr>
                <w:szCs w:val="16"/>
              </w:rPr>
            </w:pPr>
            <w:r w:rsidRPr="006D52A9">
              <w:rPr>
                <w:szCs w:val="16"/>
              </w:rPr>
              <w:t>C9226</w:t>
            </w:r>
          </w:p>
        </w:tc>
        <w:tc>
          <w:tcPr>
            <w:tcW w:w="274" w:type="pct"/>
            <w:tcMar>
              <w:top w:w="28" w:type="dxa"/>
              <w:left w:w="28" w:type="dxa"/>
            </w:tcMar>
          </w:tcPr>
          <w:p w14:paraId="019C9D2D"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046761A"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osteosarcoma.</w:t>
            </w:r>
          </w:p>
        </w:tc>
        <w:tc>
          <w:tcPr>
            <w:tcW w:w="929" w:type="pct"/>
            <w:tcMar>
              <w:top w:w="28" w:type="dxa"/>
              <w:left w:w="28" w:type="dxa"/>
              <w:right w:w="57" w:type="dxa"/>
            </w:tcMar>
          </w:tcPr>
          <w:p w14:paraId="5A2DAA79"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9226</w:t>
            </w:r>
          </w:p>
        </w:tc>
      </w:tr>
      <w:tr w:rsidR="008F47B8" w:rsidRPr="006D52A9" w:rsidDel="000012FE" w14:paraId="490ED5CD" w14:textId="77777777" w:rsidTr="00FB6D2D">
        <w:tc>
          <w:tcPr>
            <w:tcW w:w="647" w:type="pct"/>
            <w:tcMar>
              <w:top w:w="28" w:type="dxa"/>
              <w:left w:w="28" w:type="dxa"/>
            </w:tcMar>
          </w:tcPr>
          <w:p w14:paraId="696148E6" w14:textId="77777777" w:rsidR="008F47B8" w:rsidRPr="006D52A9" w:rsidRDefault="008F47B8" w:rsidP="00FB6D2D">
            <w:pPr>
              <w:pStyle w:val="mps3-data"/>
              <w:spacing w:before="0"/>
              <w:rPr>
                <w:szCs w:val="16"/>
              </w:rPr>
            </w:pPr>
          </w:p>
        </w:tc>
        <w:tc>
          <w:tcPr>
            <w:tcW w:w="283" w:type="pct"/>
            <w:tcMar>
              <w:top w:w="28" w:type="dxa"/>
              <w:left w:w="28" w:type="dxa"/>
            </w:tcMar>
          </w:tcPr>
          <w:p w14:paraId="543696C4" w14:textId="77777777" w:rsidR="008F47B8" w:rsidRPr="006D52A9" w:rsidRDefault="008F47B8" w:rsidP="00FB6D2D">
            <w:pPr>
              <w:pStyle w:val="mps3-data"/>
              <w:spacing w:before="0"/>
              <w:rPr>
                <w:szCs w:val="16"/>
              </w:rPr>
            </w:pPr>
            <w:r w:rsidRPr="006D52A9">
              <w:rPr>
                <w:szCs w:val="16"/>
              </w:rPr>
              <w:t>C9227</w:t>
            </w:r>
          </w:p>
        </w:tc>
        <w:tc>
          <w:tcPr>
            <w:tcW w:w="274" w:type="pct"/>
            <w:tcMar>
              <w:top w:w="28" w:type="dxa"/>
              <w:left w:w="28" w:type="dxa"/>
            </w:tcMar>
          </w:tcPr>
          <w:p w14:paraId="4D42B6AB"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13669351" w14:textId="77777777" w:rsidR="008F47B8" w:rsidRPr="006D52A9" w:rsidRDefault="008F47B8" w:rsidP="00FB6D2D">
            <w:pPr>
              <w:pStyle w:val="mps3-data"/>
              <w:spacing w:before="0"/>
              <w:rPr>
                <w:szCs w:val="16"/>
              </w:rPr>
            </w:pPr>
            <w:r w:rsidRPr="006D52A9">
              <w:rPr>
                <w:szCs w:val="16"/>
              </w:rPr>
              <w:t>Assisting peripheral blood progenitor cell or bone marrow transplantation</w:t>
            </w:r>
            <w:r w:rsidRPr="006D52A9">
              <w:rPr>
                <w:szCs w:val="16"/>
              </w:rPr>
              <w:br/>
              <w:t>The treatment must be following marrow</w:t>
            </w:r>
            <w:r w:rsidR="0026100E">
              <w:rPr>
                <w:szCs w:val="16"/>
              </w:rPr>
              <w:noBreakHyphen/>
            </w:r>
            <w:r w:rsidRPr="006D52A9">
              <w:rPr>
                <w:szCs w:val="16"/>
              </w:rPr>
              <w:t>ablative chemotherapy for non</w:t>
            </w:r>
            <w:r w:rsidR="0026100E">
              <w:rPr>
                <w:szCs w:val="16"/>
              </w:rPr>
              <w:noBreakHyphen/>
            </w:r>
            <w:r w:rsidRPr="006D52A9">
              <w:rPr>
                <w:szCs w:val="16"/>
              </w:rPr>
              <w:t>myeloid malignancy prior to the transplantation.</w:t>
            </w:r>
          </w:p>
        </w:tc>
        <w:tc>
          <w:tcPr>
            <w:tcW w:w="929" w:type="pct"/>
            <w:tcMar>
              <w:top w:w="28" w:type="dxa"/>
              <w:left w:w="28" w:type="dxa"/>
              <w:right w:w="57" w:type="dxa"/>
            </w:tcMar>
          </w:tcPr>
          <w:p w14:paraId="612E520E"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9227</w:t>
            </w:r>
          </w:p>
        </w:tc>
      </w:tr>
      <w:tr w:rsidR="008F47B8" w:rsidRPr="006D52A9" w:rsidDel="000012FE" w14:paraId="69CE3EAB" w14:textId="77777777" w:rsidTr="00FB6D2D">
        <w:tc>
          <w:tcPr>
            <w:tcW w:w="647" w:type="pct"/>
            <w:tcMar>
              <w:top w:w="28" w:type="dxa"/>
              <w:left w:w="28" w:type="dxa"/>
            </w:tcMar>
          </w:tcPr>
          <w:p w14:paraId="592CF6D5" w14:textId="77777777" w:rsidR="008F47B8" w:rsidRPr="006D52A9" w:rsidRDefault="008F47B8" w:rsidP="00FB6D2D">
            <w:pPr>
              <w:pStyle w:val="mps3-data"/>
              <w:spacing w:before="0"/>
              <w:rPr>
                <w:szCs w:val="16"/>
              </w:rPr>
            </w:pPr>
          </w:p>
        </w:tc>
        <w:tc>
          <w:tcPr>
            <w:tcW w:w="283" w:type="pct"/>
            <w:tcMar>
              <w:top w:w="28" w:type="dxa"/>
              <w:left w:w="28" w:type="dxa"/>
            </w:tcMar>
          </w:tcPr>
          <w:p w14:paraId="2D062FA8" w14:textId="77777777" w:rsidR="008F47B8" w:rsidRPr="006D52A9" w:rsidRDefault="008F47B8" w:rsidP="00FB6D2D">
            <w:pPr>
              <w:pStyle w:val="mps3-data"/>
              <w:spacing w:before="0"/>
              <w:rPr>
                <w:szCs w:val="16"/>
              </w:rPr>
            </w:pPr>
            <w:r w:rsidRPr="006D52A9">
              <w:rPr>
                <w:szCs w:val="16"/>
              </w:rPr>
              <w:t>C9229</w:t>
            </w:r>
          </w:p>
        </w:tc>
        <w:tc>
          <w:tcPr>
            <w:tcW w:w="274" w:type="pct"/>
            <w:tcMar>
              <w:top w:w="28" w:type="dxa"/>
              <w:left w:w="28" w:type="dxa"/>
            </w:tcMar>
          </w:tcPr>
          <w:p w14:paraId="615F178C"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181735B2"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relapsed Hodgkin disease.</w:t>
            </w:r>
          </w:p>
        </w:tc>
        <w:tc>
          <w:tcPr>
            <w:tcW w:w="929" w:type="pct"/>
            <w:tcMar>
              <w:top w:w="28" w:type="dxa"/>
              <w:left w:w="28" w:type="dxa"/>
              <w:right w:w="57" w:type="dxa"/>
            </w:tcMar>
          </w:tcPr>
          <w:p w14:paraId="4D73AD5A"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9229</w:t>
            </w:r>
          </w:p>
        </w:tc>
      </w:tr>
      <w:tr w:rsidR="008F47B8" w:rsidRPr="006D52A9" w:rsidDel="000012FE" w14:paraId="04219BD4" w14:textId="77777777" w:rsidTr="00FB6D2D">
        <w:tc>
          <w:tcPr>
            <w:tcW w:w="647" w:type="pct"/>
            <w:tcMar>
              <w:top w:w="28" w:type="dxa"/>
              <w:left w:w="28" w:type="dxa"/>
            </w:tcMar>
          </w:tcPr>
          <w:p w14:paraId="28471252" w14:textId="77777777" w:rsidR="008F47B8" w:rsidRPr="006D52A9" w:rsidRDefault="008F47B8" w:rsidP="00FB6D2D">
            <w:pPr>
              <w:pStyle w:val="mps3-data"/>
              <w:spacing w:before="0"/>
              <w:rPr>
                <w:szCs w:val="16"/>
              </w:rPr>
            </w:pPr>
          </w:p>
        </w:tc>
        <w:tc>
          <w:tcPr>
            <w:tcW w:w="283" w:type="pct"/>
            <w:tcMar>
              <w:top w:w="28" w:type="dxa"/>
              <w:left w:w="28" w:type="dxa"/>
            </w:tcMar>
          </w:tcPr>
          <w:p w14:paraId="4996925B" w14:textId="77777777" w:rsidR="008F47B8" w:rsidRPr="006D52A9" w:rsidRDefault="008F47B8" w:rsidP="00FB6D2D">
            <w:pPr>
              <w:pStyle w:val="mps3-data"/>
              <w:spacing w:before="0"/>
              <w:rPr>
                <w:szCs w:val="16"/>
              </w:rPr>
            </w:pPr>
            <w:r w:rsidRPr="006D52A9">
              <w:rPr>
                <w:szCs w:val="16"/>
              </w:rPr>
              <w:t>C9230</w:t>
            </w:r>
          </w:p>
        </w:tc>
        <w:tc>
          <w:tcPr>
            <w:tcW w:w="274" w:type="pct"/>
            <w:tcMar>
              <w:top w:w="28" w:type="dxa"/>
              <w:left w:w="28" w:type="dxa"/>
            </w:tcMar>
          </w:tcPr>
          <w:p w14:paraId="30797A3C"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F532D15"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an infant or child with central nervous system tumours.</w:t>
            </w:r>
          </w:p>
        </w:tc>
        <w:tc>
          <w:tcPr>
            <w:tcW w:w="929" w:type="pct"/>
            <w:tcMar>
              <w:top w:w="28" w:type="dxa"/>
              <w:left w:w="28" w:type="dxa"/>
              <w:right w:w="57" w:type="dxa"/>
            </w:tcMar>
          </w:tcPr>
          <w:p w14:paraId="74F55DEF"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9230</w:t>
            </w:r>
          </w:p>
        </w:tc>
      </w:tr>
      <w:tr w:rsidR="008F47B8" w:rsidRPr="006D52A9" w:rsidDel="000012FE" w14:paraId="4C3C098B" w14:textId="77777777" w:rsidTr="00FB6D2D">
        <w:tc>
          <w:tcPr>
            <w:tcW w:w="647" w:type="pct"/>
            <w:tcMar>
              <w:top w:w="28" w:type="dxa"/>
              <w:left w:w="28" w:type="dxa"/>
            </w:tcMar>
          </w:tcPr>
          <w:p w14:paraId="1863CD30" w14:textId="77777777" w:rsidR="008F47B8" w:rsidRPr="006D52A9" w:rsidRDefault="008F47B8" w:rsidP="00FB6D2D">
            <w:pPr>
              <w:pStyle w:val="mps3-data"/>
              <w:spacing w:before="0"/>
              <w:rPr>
                <w:szCs w:val="16"/>
              </w:rPr>
            </w:pPr>
          </w:p>
        </w:tc>
        <w:tc>
          <w:tcPr>
            <w:tcW w:w="283" w:type="pct"/>
            <w:tcMar>
              <w:top w:w="28" w:type="dxa"/>
              <w:left w:w="28" w:type="dxa"/>
            </w:tcMar>
          </w:tcPr>
          <w:p w14:paraId="47C3749E" w14:textId="77777777" w:rsidR="008F47B8" w:rsidRPr="006D52A9" w:rsidRDefault="008F47B8" w:rsidP="00FB6D2D">
            <w:pPr>
              <w:pStyle w:val="mps3-data"/>
              <w:spacing w:before="0"/>
              <w:rPr>
                <w:szCs w:val="16"/>
              </w:rPr>
            </w:pPr>
            <w:r w:rsidRPr="006D52A9">
              <w:rPr>
                <w:szCs w:val="16"/>
              </w:rPr>
              <w:t>C9231</w:t>
            </w:r>
          </w:p>
        </w:tc>
        <w:tc>
          <w:tcPr>
            <w:tcW w:w="274" w:type="pct"/>
            <w:tcMar>
              <w:top w:w="28" w:type="dxa"/>
              <w:left w:w="28" w:type="dxa"/>
            </w:tcMar>
          </w:tcPr>
          <w:p w14:paraId="305DA47F"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137C6079" w14:textId="77777777" w:rsidR="008F47B8" w:rsidRPr="006D52A9" w:rsidRDefault="008F47B8" w:rsidP="00FB6D2D">
            <w:pPr>
              <w:pStyle w:val="mps3-data"/>
              <w:spacing w:before="0"/>
              <w:rPr>
                <w:szCs w:val="16"/>
              </w:rPr>
            </w:pPr>
            <w:r w:rsidRPr="006D52A9">
              <w:rPr>
                <w:szCs w:val="16"/>
              </w:rPr>
              <w:t>Mobilisation of peripheral blood progenitor cells</w:t>
            </w:r>
            <w:r w:rsidRPr="006D52A9">
              <w:rPr>
                <w:szCs w:val="16"/>
              </w:rPr>
              <w:br/>
              <w:t>The treatment must be to facilitate harvest of peripheral blood progenitor cells for autologous transplantation into a patient with a non</w:t>
            </w:r>
            <w:r w:rsidR="0026100E">
              <w:rPr>
                <w:szCs w:val="16"/>
              </w:rPr>
              <w:noBreakHyphen/>
            </w:r>
            <w:r w:rsidRPr="006D52A9">
              <w:rPr>
                <w:szCs w:val="16"/>
              </w:rPr>
              <w:t>myeloid malignancy who has had myeloablative or myelosuppressive therapy.</w:t>
            </w:r>
          </w:p>
        </w:tc>
        <w:tc>
          <w:tcPr>
            <w:tcW w:w="929" w:type="pct"/>
            <w:tcMar>
              <w:top w:w="28" w:type="dxa"/>
              <w:left w:w="28" w:type="dxa"/>
              <w:right w:w="57" w:type="dxa"/>
            </w:tcMar>
          </w:tcPr>
          <w:p w14:paraId="258DCE9C"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9231</w:t>
            </w:r>
          </w:p>
        </w:tc>
      </w:tr>
      <w:tr w:rsidR="008F47B8" w:rsidRPr="006D52A9" w:rsidDel="000012FE" w14:paraId="2CA046AD" w14:textId="77777777" w:rsidTr="00FB6D2D">
        <w:tc>
          <w:tcPr>
            <w:tcW w:w="647" w:type="pct"/>
            <w:tcMar>
              <w:top w:w="28" w:type="dxa"/>
              <w:left w:w="28" w:type="dxa"/>
            </w:tcMar>
          </w:tcPr>
          <w:p w14:paraId="3646EF4A" w14:textId="77777777" w:rsidR="008F47B8" w:rsidRPr="006D52A9" w:rsidRDefault="008F47B8" w:rsidP="00FB6D2D">
            <w:pPr>
              <w:pStyle w:val="mps3-data"/>
              <w:spacing w:before="0"/>
              <w:rPr>
                <w:szCs w:val="16"/>
              </w:rPr>
            </w:pPr>
          </w:p>
        </w:tc>
        <w:tc>
          <w:tcPr>
            <w:tcW w:w="283" w:type="pct"/>
            <w:tcMar>
              <w:top w:w="28" w:type="dxa"/>
              <w:left w:w="28" w:type="dxa"/>
            </w:tcMar>
          </w:tcPr>
          <w:p w14:paraId="5A56C2E5" w14:textId="77777777" w:rsidR="008F47B8" w:rsidRPr="006D52A9" w:rsidRDefault="008F47B8" w:rsidP="00FB6D2D">
            <w:pPr>
              <w:pStyle w:val="mps3-data"/>
              <w:spacing w:before="0"/>
              <w:rPr>
                <w:szCs w:val="16"/>
              </w:rPr>
            </w:pPr>
            <w:r w:rsidRPr="006D52A9">
              <w:rPr>
                <w:szCs w:val="16"/>
              </w:rPr>
              <w:t>C9263</w:t>
            </w:r>
          </w:p>
        </w:tc>
        <w:tc>
          <w:tcPr>
            <w:tcW w:w="274" w:type="pct"/>
            <w:tcMar>
              <w:top w:w="28" w:type="dxa"/>
              <w:left w:w="28" w:type="dxa"/>
            </w:tcMar>
          </w:tcPr>
          <w:p w14:paraId="4D7FC34D"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9744155"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germ cell tumours.</w:t>
            </w:r>
          </w:p>
        </w:tc>
        <w:tc>
          <w:tcPr>
            <w:tcW w:w="929" w:type="pct"/>
            <w:tcMar>
              <w:top w:w="28" w:type="dxa"/>
              <w:left w:w="28" w:type="dxa"/>
              <w:right w:w="57" w:type="dxa"/>
            </w:tcMar>
          </w:tcPr>
          <w:p w14:paraId="3BFB23FC"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9263</w:t>
            </w:r>
          </w:p>
        </w:tc>
      </w:tr>
      <w:tr w:rsidR="008F47B8" w:rsidRPr="006D52A9" w:rsidDel="000012FE" w14:paraId="0BA559A7" w14:textId="77777777" w:rsidTr="00FB6D2D">
        <w:tc>
          <w:tcPr>
            <w:tcW w:w="647" w:type="pct"/>
            <w:tcMar>
              <w:top w:w="28" w:type="dxa"/>
              <w:left w:w="28" w:type="dxa"/>
            </w:tcMar>
          </w:tcPr>
          <w:p w14:paraId="1BC4234E" w14:textId="77777777" w:rsidR="008F47B8" w:rsidRPr="006D52A9" w:rsidRDefault="008F47B8" w:rsidP="00FB6D2D">
            <w:pPr>
              <w:pStyle w:val="mps3-data"/>
              <w:spacing w:before="0"/>
              <w:rPr>
                <w:szCs w:val="16"/>
              </w:rPr>
            </w:pPr>
          </w:p>
        </w:tc>
        <w:tc>
          <w:tcPr>
            <w:tcW w:w="283" w:type="pct"/>
            <w:tcMar>
              <w:top w:w="28" w:type="dxa"/>
              <w:left w:w="28" w:type="dxa"/>
            </w:tcMar>
          </w:tcPr>
          <w:p w14:paraId="4E8B339D" w14:textId="77777777" w:rsidR="008F47B8" w:rsidRPr="006D52A9" w:rsidRDefault="008F47B8" w:rsidP="00FB6D2D">
            <w:pPr>
              <w:pStyle w:val="mps3-data"/>
              <w:spacing w:before="0"/>
              <w:rPr>
                <w:szCs w:val="16"/>
              </w:rPr>
            </w:pPr>
            <w:r w:rsidRPr="006D52A9">
              <w:rPr>
                <w:szCs w:val="16"/>
              </w:rPr>
              <w:t>C9264</w:t>
            </w:r>
          </w:p>
        </w:tc>
        <w:tc>
          <w:tcPr>
            <w:tcW w:w="274" w:type="pct"/>
            <w:tcMar>
              <w:top w:w="28" w:type="dxa"/>
              <w:left w:w="28" w:type="dxa"/>
            </w:tcMar>
          </w:tcPr>
          <w:p w14:paraId="4D47E46D"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5A1313FF"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non</w:t>
            </w:r>
            <w:r w:rsidR="0026100E">
              <w:rPr>
                <w:szCs w:val="16"/>
              </w:rPr>
              <w:noBreakHyphen/>
            </w:r>
            <w:r w:rsidRPr="006D52A9">
              <w:rPr>
                <w:szCs w:val="16"/>
              </w:rPr>
              <w:t>Hodgkin's lymphoma (intermediate or high grade).</w:t>
            </w:r>
          </w:p>
        </w:tc>
        <w:tc>
          <w:tcPr>
            <w:tcW w:w="929" w:type="pct"/>
            <w:tcMar>
              <w:top w:w="28" w:type="dxa"/>
              <w:left w:w="28" w:type="dxa"/>
              <w:right w:w="57" w:type="dxa"/>
            </w:tcMar>
          </w:tcPr>
          <w:p w14:paraId="28F2F4C8" w14:textId="77777777" w:rsidR="008F47B8" w:rsidRPr="006D52A9" w:rsidRDefault="008F47B8" w:rsidP="00FB6D2D">
            <w:pPr>
              <w:pStyle w:val="mps3-data"/>
              <w:keepNext/>
              <w:spacing w:before="0"/>
            </w:pPr>
            <w:r w:rsidRPr="006D52A9">
              <w:rPr>
                <w:szCs w:val="16"/>
              </w:rPr>
              <w:t xml:space="preserve">Compliance with Authority Required procedures </w:t>
            </w:r>
            <w:r w:rsidR="0026100E">
              <w:rPr>
                <w:szCs w:val="16"/>
              </w:rPr>
              <w:noBreakHyphen/>
            </w:r>
            <w:r w:rsidRPr="006D52A9">
              <w:rPr>
                <w:szCs w:val="16"/>
              </w:rPr>
              <w:t xml:space="preserve"> Streamlined Authority Code 9264</w:t>
            </w:r>
          </w:p>
        </w:tc>
      </w:tr>
      <w:tr w:rsidR="008F47B8" w:rsidRPr="006D52A9" w:rsidDel="000012FE" w14:paraId="690E8EEC" w14:textId="77777777" w:rsidTr="00FB6D2D">
        <w:tc>
          <w:tcPr>
            <w:tcW w:w="647" w:type="pct"/>
            <w:tcMar>
              <w:top w:w="28" w:type="dxa"/>
              <w:left w:w="28" w:type="dxa"/>
            </w:tcMar>
          </w:tcPr>
          <w:p w14:paraId="616D0999" w14:textId="77777777" w:rsidR="008F47B8" w:rsidRPr="006D52A9" w:rsidRDefault="008F47B8" w:rsidP="00FB6D2D">
            <w:pPr>
              <w:pStyle w:val="mps3-data"/>
              <w:spacing w:before="0"/>
              <w:rPr>
                <w:szCs w:val="16"/>
              </w:rPr>
            </w:pPr>
          </w:p>
        </w:tc>
        <w:tc>
          <w:tcPr>
            <w:tcW w:w="283" w:type="pct"/>
            <w:tcMar>
              <w:top w:w="28" w:type="dxa"/>
              <w:left w:w="28" w:type="dxa"/>
            </w:tcMar>
          </w:tcPr>
          <w:p w14:paraId="2F1619AF" w14:textId="77777777" w:rsidR="008F47B8" w:rsidRPr="006D52A9" w:rsidRDefault="008F47B8" w:rsidP="00FB6D2D">
            <w:pPr>
              <w:pStyle w:val="mps3-data"/>
              <w:spacing w:before="0"/>
              <w:rPr>
                <w:szCs w:val="16"/>
              </w:rPr>
            </w:pPr>
            <w:r w:rsidRPr="006D52A9">
              <w:rPr>
                <w:szCs w:val="16"/>
              </w:rPr>
              <w:t>C9265</w:t>
            </w:r>
          </w:p>
        </w:tc>
        <w:tc>
          <w:tcPr>
            <w:tcW w:w="274" w:type="pct"/>
            <w:tcMar>
              <w:top w:w="28" w:type="dxa"/>
              <w:left w:w="28" w:type="dxa"/>
            </w:tcMar>
          </w:tcPr>
          <w:p w14:paraId="7DE42603"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34934052" w14:textId="77777777" w:rsidR="008F47B8" w:rsidRPr="006D52A9" w:rsidRDefault="008F47B8" w:rsidP="00FB6D2D">
            <w:pPr>
              <w:pStyle w:val="mps3-data"/>
              <w:spacing w:before="0"/>
            </w:pPr>
            <w:r w:rsidRPr="006D52A9">
              <w:rPr>
                <w:szCs w:val="16"/>
              </w:rPr>
              <w:t>Chemotherapy</w:t>
            </w:r>
            <w:r w:rsidR="0026100E">
              <w:rPr>
                <w:szCs w:val="16"/>
              </w:rPr>
              <w:noBreakHyphen/>
            </w:r>
            <w:r w:rsidRPr="006D52A9">
              <w:rPr>
                <w:szCs w:val="16"/>
              </w:rPr>
              <w:t>induced neutropenia</w:t>
            </w:r>
            <w:r w:rsidRPr="006D52A9">
              <w:rPr>
                <w:szCs w:val="16"/>
              </w:rPr>
              <w:br/>
            </w:r>
            <w:r w:rsidRPr="006D52A9">
              <w:rPr>
                <w:szCs w:val="16"/>
              </w:rPr>
              <w:lastRenderedPageBreak/>
              <w:t>Patient must be receiving standard dose adjuvant chemotherapy for breast cancer; AND</w:t>
            </w:r>
            <w:r w:rsidRPr="006D52A9">
              <w:rPr>
                <w:szCs w:val="16"/>
              </w:rPr>
              <w:br/>
              <w:t>Patient must have had a prior episode of febrile neutropenia; OR</w:t>
            </w:r>
            <w:r w:rsidRPr="006D52A9">
              <w:rPr>
                <w:szCs w:val="16"/>
              </w:rPr>
              <w:br/>
              <w:t>Patient must have had a prior episode of prolonged severe neutropenia (neutrophil count of less than 1,000 million cells per litre); AND</w:t>
            </w:r>
            <w:r w:rsidRPr="006D52A9">
              <w:rPr>
                <w:szCs w:val="16"/>
              </w:rPr>
              <w:br/>
              <w:t>The treatment must be used in a patient for whom there is a clinical justification for wishing to continue chemotherapy with the same drug combination, dosage and treatment schedule; AND</w:t>
            </w:r>
            <w:r w:rsidRPr="006D52A9">
              <w:rPr>
                <w:szCs w:val="16"/>
              </w:rPr>
              <w:br/>
              <w:t>Patient must be anticipated to have a good response to treatment providing chemotherapy can be delivered as planned.</w:t>
            </w:r>
          </w:p>
        </w:tc>
        <w:tc>
          <w:tcPr>
            <w:tcW w:w="929" w:type="pct"/>
            <w:tcMar>
              <w:top w:w="28" w:type="dxa"/>
              <w:left w:w="28" w:type="dxa"/>
              <w:right w:w="57" w:type="dxa"/>
            </w:tcMar>
          </w:tcPr>
          <w:p w14:paraId="10174DC1" w14:textId="77777777" w:rsidR="008F47B8" w:rsidRPr="006D52A9" w:rsidRDefault="008F47B8" w:rsidP="00FB6D2D">
            <w:pPr>
              <w:pStyle w:val="mps3-data"/>
              <w:keepNext/>
              <w:spacing w:before="0"/>
            </w:pPr>
            <w:r w:rsidRPr="006D52A9">
              <w:rPr>
                <w:szCs w:val="16"/>
              </w:rPr>
              <w:lastRenderedPageBreak/>
              <w:t xml:space="preserve">Compliance with Authority </w:t>
            </w:r>
            <w:r w:rsidRPr="006D52A9">
              <w:rPr>
                <w:szCs w:val="16"/>
              </w:rPr>
              <w:lastRenderedPageBreak/>
              <w:t xml:space="preserve">Required procedures </w:t>
            </w:r>
            <w:r w:rsidR="0026100E">
              <w:rPr>
                <w:szCs w:val="16"/>
              </w:rPr>
              <w:noBreakHyphen/>
            </w:r>
            <w:r w:rsidRPr="006D52A9">
              <w:rPr>
                <w:szCs w:val="16"/>
              </w:rPr>
              <w:t xml:space="preserve"> Streamlined Authority Code 9265</w:t>
            </w:r>
          </w:p>
        </w:tc>
      </w:tr>
      <w:tr w:rsidR="008F47B8" w:rsidRPr="006D52A9" w:rsidDel="000012FE" w14:paraId="5F3E8AE2" w14:textId="77777777" w:rsidTr="00FB6D2D">
        <w:tc>
          <w:tcPr>
            <w:tcW w:w="647" w:type="pct"/>
            <w:tcMar>
              <w:top w:w="28" w:type="dxa"/>
              <w:left w:w="28" w:type="dxa"/>
            </w:tcMar>
          </w:tcPr>
          <w:p w14:paraId="6E8DDB35" w14:textId="77777777" w:rsidR="008F47B8" w:rsidRPr="006D52A9" w:rsidRDefault="008F47B8" w:rsidP="00FB6D2D">
            <w:pPr>
              <w:pStyle w:val="mps3-data"/>
              <w:spacing w:before="0"/>
              <w:rPr>
                <w:szCs w:val="16"/>
              </w:rPr>
            </w:pPr>
          </w:p>
        </w:tc>
        <w:tc>
          <w:tcPr>
            <w:tcW w:w="283" w:type="pct"/>
            <w:tcMar>
              <w:top w:w="28" w:type="dxa"/>
              <w:left w:w="28" w:type="dxa"/>
            </w:tcMar>
          </w:tcPr>
          <w:p w14:paraId="531F7A89" w14:textId="77777777" w:rsidR="008F47B8" w:rsidRPr="006D52A9" w:rsidRDefault="008F47B8" w:rsidP="00FB6D2D">
            <w:pPr>
              <w:pStyle w:val="mps3-data"/>
              <w:spacing w:before="0"/>
              <w:rPr>
                <w:szCs w:val="16"/>
              </w:rPr>
            </w:pPr>
            <w:r w:rsidRPr="006D52A9">
              <w:rPr>
                <w:szCs w:val="16"/>
              </w:rPr>
              <w:t>C9266</w:t>
            </w:r>
          </w:p>
        </w:tc>
        <w:tc>
          <w:tcPr>
            <w:tcW w:w="274" w:type="pct"/>
            <w:tcMar>
              <w:top w:w="28" w:type="dxa"/>
              <w:left w:w="28" w:type="dxa"/>
            </w:tcMar>
          </w:tcPr>
          <w:p w14:paraId="79ACC464"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73F71C5F"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neuroblastoma.</w:t>
            </w:r>
          </w:p>
        </w:tc>
        <w:tc>
          <w:tcPr>
            <w:tcW w:w="929" w:type="pct"/>
            <w:tcMar>
              <w:top w:w="28" w:type="dxa"/>
              <w:left w:w="28" w:type="dxa"/>
              <w:right w:w="57" w:type="dxa"/>
            </w:tcMar>
          </w:tcPr>
          <w:p w14:paraId="6A086604"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9266</w:t>
            </w:r>
          </w:p>
        </w:tc>
      </w:tr>
      <w:tr w:rsidR="008F47B8" w:rsidRPr="006D52A9" w:rsidDel="000012FE" w14:paraId="3F9DFC8B" w14:textId="77777777" w:rsidTr="00FB6D2D">
        <w:tc>
          <w:tcPr>
            <w:tcW w:w="647" w:type="pct"/>
            <w:tcMar>
              <w:top w:w="28" w:type="dxa"/>
              <w:left w:w="28" w:type="dxa"/>
            </w:tcMar>
          </w:tcPr>
          <w:p w14:paraId="7D62DB5C" w14:textId="77777777" w:rsidR="008F47B8" w:rsidRPr="006D52A9" w:rsidRDefault="008F47B8" w:rsidP="00FB6D2D">
            <w:pPr>
              <w:pStyle w:val="mps3-data"/>
              <w:spacing w:before="0"/>
              <w:rPr>
                <w:szCs w:val="16"/>
              </w:rPr>
            </w:pPr>
          </w:p>
        </w:tc>
        <w:tc>
          <w:tcPr>
            <w:tcW w:w="283" w:type="pct"/>
            <w:tcMar>
              <w:top w:w="28" w:type="dxa"/>
              <w:left w:w="28" w:type="dxa"/>
            </w:tcMar>
          </w:tcPr>
          <w:p w14:paraId="548661C4" w14:textId="77777777" w:rsidR="008F47B8" w:rsidRPr="006D52A9" w:rsidRDefault="008F47B8" w:rsidP="00FB6D2D">
            <w:pPr>
              <w:pStyle w:val="mps3-data"/>
              <w:spacing w:before="0"/>
              <w:rPr>
                <w:szCs w:val="16"/>
              </w:rPr>
            </w:pPr>
            <w:r w:rsidRPr="006D52A9">
              <w:rPr>
                <w:szCs w:val="16"/>
              </w:rPr>
              <w:t>C9314</w:t>
            </w:r>
          </w:p>
        </w:tc>
        <w:tc>
          <w:tcPr>
            <w:tcW w:w="274" w:type="pct"/>
            <w:tcMar>
              <w:top w:w="28" w:type="dxa"/>
              <w:left w:w="28" w:type="dxa"/>
            </w:tcMar>
          </w:tcPr>
          <w:p w14:paraId="42617418"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2FAF9908" w14:textId="77777777" w:rsidR="008F47B8" w:rsidRPr="006D52A9" w:rsidRDefault="008F47B8" w:rsidP="00FB6D2D">
            <w:pPr>
              <w:pStyle w:val="mps3-data"/>
              <w:spacing w:before="0"/>
              <w:rPr>
                <w:szCs w:val="16"/>
              </w:rPr>
            </w:pPr>
            <w:r w:rsidRPr="006D52A9">
              <w:rPr>
                <w:szCs w:val="16"/>
              </w:rPr>
              <w:t>Mobilisation of peripheral blood progenitor cells</w:t>
            </w:r>
            <w:r w:rsidRPr="006D52A9">
              <w:rPr>
                <w:szCs w:val="16"/>
              </w:rPr>
              <w:br/>
              <w:t>The treatment must be in a normal volunteer for use in allogeneic transplantation.</w:t>
            </w:r>
          </w:p>
        </w:tc>
        <w:tc>
          <w:tcPr>
            <w:tcW w:w="929" w:type="pct"/>
            <w:tcMar>
              <w:top w:w="28" w:type="dxa"/>
              <w:left w:w="28" w:type="dxa"/>
              <w:right w:w="57" w:type="dxa"/>
            </w:tcMar>
          </w:tcPr>
          <w:p w14:paraId="7E8E995A"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9314</w:t>
            </w:r>
          </w:p>
        </w:tc>
      </w:tr>
      <w:tr w:rsidR="008F47B8" w:rsidRPr="006D52A9" w:rsidDel="000012FE" w14:paraId="6FFE417F" w14:textId="77777777" w:rsidTr="00FB6D2D">
        <w:tc>
          <w:tcPr>
            <w:tcW w:w="647" w:type="pct"/>
            <w:tcMar>
              <w:top w:w="28" w:type="dxa"/>
              <w:left w:w="28" w:type="dxa"/>
            </w:tcMar>
          </w:tcPr>
          <w:p w14:paraId="2AEE3B3C" w14:textId="77777777" w:rsidR="008F47B8" w:rsidRPr="006D52A9" w:rsidRDefault="008F47B8" w:rsidP="00FB6D2D">
            <w:pPr>
              <w:pStyle w:val="mps3-data"/>
              <w:spacing w:before="0"/>
              <w:rPr>
                <w:szCs w:val="16"/>
              </w:rPr>
            </w:pPr>
          </w:p>
        </w:tc>
        <w:tc>
          <w:tcPr>
            <w:tcW w:w="283" w:type="pct"/>
            <w:tcMar>
              <w:top w:w="28" w:type="dxa"/>
              <w:left w:w="28" w:type="dxa"/>
            </w:tcMar>
          </w:tcPr>
          <w:p w14:paraId="1063455E" w14:textId="77777777" w:rsidR="008F47B8" w:rsidRPr="006D52A9" w:rsidRDefault="008F47B8" w:rsidP="00FB6D2D">
            <w:pPr>
              <w:pStyle w:val="mps3-data"/>
              <w:spacing w:before="0"/>
              <w:rPr>
                <w:szCs w:val="16"/>
              </w:rPr>
            </w:pPr>
            <w:r w:rsidRPr="006D52A9">
              <w:rPr>
                <w:szCs w:val="16"/>
              </w:rPr>
              <w:t>C9324</w:t>
            </w:r>
          </w:p>
        </w:tc>
        <w:tc>
          <w:tcPr>
            <w:tcW w:w="274" w:type="pct"/>
            <w:tcMar>
              <w:top w:w="28" w:type="dxa"/>
              <w:left w:w="28" w:type="dxa"/>
            </w:tcMar>
          </w:tcPr>
          <w:p w14:paraId="4B68CF16"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0EDD51B7"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acute lymphoblastic leukaemia.</w:t>
            </w:r>
          </w:p>
        </w:tc>
        <w:tc>
          <w:tcPr>
            <w:tcW w:w="929" w:type="pct"/>
            <w:tcMar>
              <w:top w:w="28" w:type="dxa"/>
              <w:left w:w="28" w:type="dxa"/>
              <w:right w:w="57" w:type="dxa"/>
            </w:tcMar>
          </w:tcPr>
          <w:p w14:paraId="5B94A156"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9324</w:t>
            </w:r>
          </w:p>
        </w:tc>
      </w:tr>
      <w:tr w:rsidR="008F47B8" w:rsidRPr="006D52A9" w:rsidDel="000012FE" w14:paraId="3367EAF5" w14:textId="77777777" w:rsidTr="00FB6D2D">
        <w:tc>
          <w:tcPr>
            <w:tcW w:w="647" w:type="pct"/>
            <w:tcMar>
              <w:top w:w="28" w:type="dxa"/>
              <w:left w:w="28" w:type="dxa"/>
            </w:tcMar>
          </w:tcPr>
          <w:p w14:paraId="08239C80" w14:textId="77777777" w:rsidR="008F47B8" w:rsidRPr="006D52A9" w:rsidRDefault="008F47B8" w:rsidP="00FB6D2D">
            <w:pPr>
              <w:pStyle w:val="mps3-data"/>
              <w:spacing w:before="0"/>
              <w:rPr>
                <w:szCs w:val="16"/>
              </w:rPr>
            </w:pPr>
          </w:p>
        </w:tc>
        <w:tc>
          <w:tcPr>
            <w:tcW w:w="283" w:type="pct"/>
            <w:tcMar>
              <w:top w:w="28" w:type="dxa"/>
              <w:left w:w="28" w:type="dxa"/>
            </w:tcMar>
          </w:tcPr>
          <w:p w14:paraId="59379B9D" w14:textId="77777777" w:rsidR="008F47B8" w:rsidRPr="006D52A9" w:rsidRDefault="008F47B8" w:rsidP="00FB6D2D">
            <w:pPr>
              <w:pStyle w:val="mps3-data"/>
              <w:spacing w:before="0"/>
              <w:rPr>
                <w:szCs w:val="16"/>
              </w:rPr>
            </w:pPr>
            <w:r w:rsidRPr="006D52A9">
              <w:rPr>
                <w:szCs w:val="16"/>
              </w:rPr>
              <w:t>C9325</w:t>
            </w:r>
          </w:p>
        </w:tc>
        <w:tc>
          <w:tcPr>
            <w:tcW w:w="274" w:type="pct"/>
            <w:tcMar>
              <w:top w:w="28" w:type="dxa"/>
              <w:left w:w="28" w:type="dxa"/>
            </w:tcMar>
          </w:tcPr>
          <w:p w14:paraId="4559A9F4"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1BD9E044"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rhabdomyosarcoma.</w:t>
            </w:r>
          </w:p>
        </w:tc>
        <w:tc>
          <w:tcPr>
            <w:tcW w:w="929" w:type="pct"/>
            <w:tcMar>
              <w:top w:w="28" w:type="dxa"/>
              <w:left w:w="28" w:type="dxa"/>
              <w:right w:w="57" w:type="dxa"/>
            </w:tcMar>
          </w:tcPr>
          <w:p w14:paraId="107D5664"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9325</w:t>
            </w:r>
          </w:p>
        </w:tc>
      </w:tr>
      <w:tr w:rsidR="008F47B8" w:rsidRPr="006D52A9" w:rsidDel="000012FE" w14:paraId="12DB579C" w14:textId="77777777" w:rsidTr="00FB6D2D">
        <w:tc>
          <w:tcPr>
            <w:tcW w:w="647" w:type="pct"/>
            <w:tcMar>
              <w:top w:w="28" w:type="dxa"/>
              <w:left w:w="28" w:type="dxa"/>
            </w:tcMar>
          </w:tcPr>
          <w:p w14:paraId="34AD8E6C" w14:textId="77777777" w:rsidR="008F47B8" w:rsidRPr="006D52A9" w:rsidRDefault="008F47B8" w:rsidP="00FB6D2D">
            <w:pPr>
              <w:pStyle w:val="mps3-data"/>
              <w:spacing w:before="0"/>
              <w:rPr>
                <w:szCs w:val="16"/>
              </w:rPr>
            </w:pPr>
          </w:p>
        </w:tc>
        <w:tc>
          <w:tcPr>
            <w:tcW w:w="283" w:type="pct"/>
            <w:tcMar>
              <w:top w:w="28" w:type="dxa"/>
              <w:left w:w="28" w:type="dxa"/>
            </w:tcMar>
          </w:tcPr>
          <w:p w14:paraId="013DA1C6" w14:textId="77777777" w:rsidR="008F47B8" w:rsidRPr="006D52A9" w:rsidRDefault="008F47B8" w:rsidP="00FB6D2D">
            <w:pPr>
              <w:pStyle w:val="mps3-data"/>
              <w:spacing w:before="0"/>
              <w:rPr>
                <w:szCs w:val="16"/>
              </w:rPr>
            </w:pPr>
            <w:r w:rsidRPr="006D52A9">
              <w:rPr>
                <w:szCs w:val="16"/>
              </w:rPr>
              <w:t>C9326</w:t>
            </w:r>
          </w:p>
        </w:tc>
        <w:tc>
          <w:tcPr>
            <w:tcW w:w="274" w:type="pct"/>
            <w:tcMar>
              <w:top w:w="28" w:type="dxa"/>
              <w:left w:w="28" w:type="dxa"/>
            </w:tcMar>
          </w:tcPr>
          <w:p w14:paraId="3473E8EB"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5DBB5DDB"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first</w:t>
            </w:r>
            <w:r w:rsidR="0026100E">
              <w:rPr>
                <w:szCs w:val="16"/>
              </w:rPr>
              <w:noBreakHyphen/>
            </w:r>
            <w:r w:rsidRPr="006D52A9">
              <w:rPr>
                <w:szCs w:val="16"/>
              </w:rPr>
              <w:t>line chemotherapy for Hodgkin disease; AND</w:t>
            </w:r>
            <w:r w:rsidRPr="006D52A9">
              <w:rPr>
                <w:szCs w:val="16"/>
              </w:rPr>
              <w:br/>
              <w:t>Patient must have had a prior episode of febrile neutropenia; OR</w:t>
            </w:r>
            <w:r w:rsidRPr="006D52A9">
              <w:rPr>
                <w:szCs w:val="16"/>
              </w:rPr>
              <w:br/>
              <w:t>Patient must have had a prior episode of prolonged severe neutropenia (neutrophil count of less than 1,000 million cells per litre); AND</w:t>
            </w:r>
            <w:r w:rsidRPr="006D52A9">
              <w:rPr>
                <w:szCs w:val="16"/>
              </w:rPr>
              <w:br/>
              <w:t>The treatment must be used in a patient for whom there is a clinical justification for wishing to continue chemotherapy with the same drug combination, dosage and treatment schedule; AND</w:t>
            </w:r>
            <w:r w:rsidRPr="006D52A9">
              <w:rPr>
                <w:szCs w:val="16"/>
              </w:rPr>
              <w:br/>
              <w:t>Patient must be anticipated to have a good response to treatment providing chemotherapy can be delivered as planned.</w:t>
            </w:r>
          </w:p>
        </w:tc>
        <w:tc>
          <w:tcPr>
            <w:tcW w:w="929" w:type="pct"/>
            <w:tcMar>
              <w:top w:w="28" w:type="dxa"/>
              <w:left w:w="28" w:type="dxa"/>
              <w:right w:w="57" w:type="dxa"/>
            </w:tcMar>
          </w:tcPr>
          <w:p w14:paraId="780C81C5"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9326</w:t>
            </w:r>
          </w:p>
        </w:tc>
      </w:tr>
      <w:tr w:rsidR="008F47B8" w:rsidRPr="006D52A9" w:rsidDel="000012FE" w14:paraId="6BD7D62C" w14:textId="77777777" w:rsidTr="00FB6D2D">
        <w:tc>
          <w:tcPr>
            <w:tcW w:w="647" w:type="pct"/>
            <w:tcMar>
              <w:top w:w="28" w:type="dxa"/>
              <w:left w:w="28" w:type="dxa"/>
            </w:tcMar>
          </w:tcPr>
          <w:p w14:paraId="03BCA4A9" w14:textId="77777777" w:rsidR="008F47B8" w:rsidRPr="006D52A9" w:rsidRDefault="008F47B8" w:rsidP="00FB6D2D">
            <w:pPr>
              <w:pStyle w:val="mps3-data"/>
              <w:spacing w:before="0"/>
              <w:rPr>
                <w:szCs w:val="16"/>
              </w:rPr>
            </w:pPr>
          </w:p>
        </w:tc>
        <w:tc>
          <w:tcPr>
            <w:tcW w:w="283" w:type="pct"/>
            <w:tcMar>
              <w:top w:w="28" w:type="dxa"/>
              <w:left w:w="28" w:type="dxa"/>
            </w:tcMar>
          </w:tcPr>
          <w:p w14:paraId="7705A894" w14:textId="77777777" w:rsidR="008F47B8" w:rsidRPr="006D52A9" w:rsidRDefault="008F47B8" w:rsidP="00FB6D2D">
            <w:pPr>
              <w:pStyle w:val="mps3-data"/>
              <w:spacing w:before="0"/>
              <w:rPr>
                <w:szCs w:val="16"/>
              </w:rPr>
            </w:pPr>
            <w:r w:rsidRPr="006D52A9">
              <w:rPr>
                <w:szCs w:val="16"/>
              </w:rPr>
              <w:t>C9327</w:t>
            </w:r>
          </w:p>
        </w:tc>
        <w:tc>
          <w:tcPr>
            <w:tcW w:w="274" w:type="pct"/>
            <w:tcMar>
              <w:top w:w="28" w:type="dxa"/>
              <w:left w:w="28" w:type="dxa"/>
            </w:tcMar>
          </w:tcPr>
          <w:p w14:paraId="2F213705" w14:textId="77777777" w:rsidR="008F47B8" w:rsidRPr="006D52A9" w:rsidRDefault="008F47B8" w:rsidP="00FB6D2D">
            <w:pPr>
              <w:pStyle w:val="mps3-data"/>
              <w:spacing w:before="0"/>
              <w:rPr>
                <w:szCs w:val="16"/>
                <w:lang w:eastAsia="en-AU"/>
              </w:rPr>
            </w:pPr>
          </w:p>
        </w:tc>
        <w:tc>
          <w:tcPr>
            <w:tcW w:w="2867" w:type="pct"/>
            <w:tcMar>
              <w:top w:w="28" w:type="dxa"/>
              <w:left w:w="28" w:type="dxa"/>
            </w:tcMar>
          </w:tcPr>
          <w:p w14:paraId="28487B08"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treatment with aggressive chemotherapy with the intention of achieving a cure or substantial remission in Ewing's sarcoma.</w:t>
            </w:r>
          </w:p>
        </w:tc>
        <w:tc>
          <w:tcPr>
            <w:tcW w:w="929" w:type="pct"/>
            <w:tcMar>
              <w:top w:w="28" w:type="dxa"/>
              <w:left w:w="28" w:type="dxa"/>
              <w:right w:w="57" w:type="dxa"/>
            </w:tcMar>
          </w:tcPr>
          <w:p w14:paraId="7FA4AEEE"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9327</w:t>
            </w:r>
          </w:p>
        </w:tc>
      </w:tr>
      <w:tr w:rsidR="008F47B8" w:rsidRPr="006D52A9" w:rsidDel="000012FE" w14:paraId="4A721D80" w14:textId="77777777" w:rsidTr="00FB6D2D">
        <w:tc>
          <w:tcPr>
            <w:tcW w:w="647" w:type="pct"/>
            <w:tcMar>
              <w:top w:w="28" w:type="dxa"/>
              <w:left w:w="28" w:type="dxa"/>
            </w:tcMar>
          </w:tcPr>
          <w:p w14:paraId="52403D9C" w14:textId="77777777" w:rsidR="008F47B8" w:rsidRPr="006D52A9" w:rsidDel="000012FE" w:rsidRDefault="008F47B8" w:rsidP="00FB6D2D">
            <w:pPr>
              <w:pStyle w:val="mps3-data"/>
              <w:spacing w:before="0"/>
              <w:rPr>
                <w:szCs w:val="16"/>
              </w:rPr>
            </w:pPr>
            <w:bookmarkStart w:id="170" w:name="CU_335609073"/>
            <w:bookmarkStart w:id="171" w:name="CU_344612054"/>
            <w:bookmarkStart w:id="172" w:name="CU_351614633"/>
            <w:bookmarkStart w:id="173" w:name="CU_359617523"/>
            <w:bookmarkEnd w:id="170"/>
            <w:bookmarkEnd w:id="171"/>
            <w:bookmarkEnd w:id="172"/>
            <w:bookmarkEnd w:id="173"/>
            <w:r w:rsidRPr="006D52A9">
              <w:rPr>
                <w:szCs w:val="16"/>
              </w:rPr>
              <w:lastRenderedPageBreak/>
              <w:t>Levodopa with carbidopa</w:t>
            </w:r>
          </w:p>
        </w:tc>
        <w:tc>
          <w:tcPr>
            <w:tcW w:w="283" w:type="pct"/>
            <w:tcMar>
              <w:top w:w="28" w:type="dxa"/>
              <w:left w:w="28" w:type="dxa"/>
            </w:tcMar>
          </w:tcPr>
          <w:p w14:paraId="05886B9B" w14:textId="77777777" w:rsidR="008F47B8" w:rsidRPr="006D52A9" w:rsidDel="000012FE" w:rsidRDefault="008F47B8" w:rsidP="00FB6D2D">
            <w:pPr>
              <w:pStyle w:val="mps3-data"/>
              <w:spacing w:before="0"/>
              <w:rPr>
                <w:szCs w:val="16"/>
              </w:rPr>
            </w:pPr>
            <w:r w:rsidRPr="006D52A9">
              <w:rPr>
                <w:szCs w:val="16"/>
              </w:rPr>
              <w:t>C10138</w:t>
            </w:r>
          </w:p>
        </w:tc>
        <w:tc>
          <w:tcPr>
            <w:tcW w:w="274" w:type="pct"/>
            <w:tcMar>
              <w:top w:w="28" w:type="dxa"/>
              <w:left w:w="28" w:type="dxa"/>
            </w:tcMar>
          </w:tcPr>
          <w:p w14:paraId="5D94DC4B" w14:textId="77777777" w:rsidR="008F47B8" w:rsidRPr="006D52A9" w:rsidDel="000012FE" w:rsidRDefault="008F47B8" w:rsidP="00FB6D2D">
            <w:pPr>
              <w:pStyle w:val="mps3-data"/>
              <w:spacing w:before="0"/>
              <w:rPr>
                <w:szCs w:val="16"/>
              </w:rPr>
            </w:pPr>
            <w:r w:rsidRPr="006D52A9">
              <w:rPr>
                <w:szCs w:val="16"/>
                <w:lang w:eastAsia="en-AU"/>
              </w:rPr>
              <w:t>P10138</w:t>
            </w:r>
          </w:p>
        </w:tc>
        <w:tc>
          <w:tcPr>
            <w:tcW w:w="2867" w:type="pct"/>
            <w:tcMar>
              <w:top w:w="28" w:type="dxa"/>
              <w:left w:w="28" w:type="dxa"/>
            </w:tcMar>
          </w:tcPr>
          <w:p w14:paraId="32D411EC" w14:textId="77777777" w:rsidR="008F47B8" w:rsidRPr="006D52A9" w:rsidDel="000012FE" w:rsidRDefault="008F47B8" w:rsidP="00FB6D2D">
            <w:pPr>
              <w:pStyle w:val="mps3-data"/>
              <w:spacing w:before="0"/>
              <w:rPr>
                <w:szCs w:val="16"/>
              </w:rPr>
            </w:pPr>
            <w:r w:rsidRPr="006D52A9">
              <w:t>Advanced Parkinson disease</w:t>
            </w:r>
            <w:r w:rsidRPr="006D52A9">
              <w:br/>
              <w:t>Patient must have severe disabling motor fluctuations not adequately controlled by oral therapy; AND</w:t>
            </w:r>
            <w:r w:rsidRPr="006D52A9">
              <w:br/>
              <w:t>The treatment must be commenced in a hospital</w:t>
            </w:r>
            <w:r w:rsidR="0026100E">
              <w:noBreakHyphen/>
            </w:r>
            <w:r w:rsidRPr="006D52A9">
              <w:t>based movement disorder clinic.</w:t>
            </w:r>
          </w:p>
        </w:tc>
        <w:tc>
          <w:tcPr>
            <w:tcW w:w="929" w:type="pct"/>
            <w:tcMar>
              <w:top w:w="28" w:type="dxa"/>
              <w:left w:w="28" w:type="dxa"/>
              <w:right w:w="57" w:type="dxa"/>
            </w:tcMar>
          </w:tcPr>
          <w:p w14:paraId="0CC05B10" w14:textId="77777777" w:rsidR="008F47B8" w:rsidRPr="006D52A9" w:rsidDel="000012FE" w:rsidRDefault="008F47B8" w:rsidP="00FB6D2D">
            <w:pPr>
              <w:pStyle w:val="mps3-data"/>
              <w:keepNext/>
              <w:spacing w:before="0"/>
              <w:rPr>
                <w:rFonts w:eastAsia="SimSun"/>
                <w:szCs w:val="16"/>
              </w:rPr>
            </w:pPr>
            <w:r w:rsidRPr="006D52A9">
              <w:t xml:space="preserve">Compliance with Authority Required procedures </w:t>
            </w:r>
            <w:r w:rsidR="0026100E">
              <w:noBreakHyphen/>
            </w:r>
            <w:r w:rsidRPr="006D52A9">
              <w:t xml:space="preserve"> Streamlined Authority Code 10138</w:t>
            </w:r>
          </w:p>
        </w:tc>
      </w:tr>
      <w:tr w:rsidR="008F47B8" w:rsidRPr="006D52A9" w:rsidDel="000012FE" w14:paraId="5C7B013B" w14:textId="77777777" w:rsidTr="00FB6D2D">
        <w:tc>
          <w:tcPr>
            <w:tcW w:w="647" w:type="pct"/>
            <w:tcMar>
              <w:top w:w="28" w:type="dxa"/>
              <w:left w:w="28" w:type="dxa"/>
            </w:tcMar>
          </w:tcPr>
          <w:p w14:paraId="16E2832E" w14:textId="77777777" w:rsidR="008F47B8" w:rsidRPr="006D52A9" w:rsidDel="000012FE" w:rsidRDefault="008F47B8" w:rsidP="00FB6D2D">
            <w:pPr>
              <w:pStyle w:val="mps3-data"/>
              <w:spacing w:before="0"/>
              <w:rPr>
                <w:szCs w:val="16"/>
              </w:rPr>
            </w:pPr>
          </w:p>
        </w:tc>
        <w:tc>
          <w:tcPr>
            <w:tcW w:w="283" w:type="pct"/>
            <w:tcMar>
              <w:top w:w="28" w:type="dxa"/>
              <w:left w:w="28" w:type="dxa"/>
            </w:tcMar>
          </w:tcPr>
          <w:p w14:paraId="0ACF40B9" w14:textId="77777777" w:rsidR="008F47B8" w:rsidRPr="006D52A9" w:rsidDel="000012FE" w:rsidRDefault="008F47B8" w:rsidP="00FB6D2D">
            <w:pPr>
              <w:pStyle w:val="mps3-data"/>
              <w:spacing w:before="0"/>
              <w:rPr>
                <w:szCs w:val="16"/>
              </w:rPr>
            </w:pPr>
            <w:r w:rsidRPr="006D52A9">
              <w:rPr>
                <w:szCs w:val="16"/>
              </w:rPr>
              <w:t>C10161</w:t>
            </w:r>
          </w:p>
        </w:tc>
        <w:tc>
          <w:tcPr>
            <w:tcW w:w="274" w:type="pct"/>
            <w:tcMar>
              <w:top w:w="28" w:type="dxa"/>
              <w:left w:w="28" w:type="dxa"/>
            </w:tcMar>
          </w:tcPr>
          <w:p w14:paraId="4BF2B7D9" w14:textId="77777777" w:rsidR="008F47B8" w:rsidRPr="006D52A9" w:rsidDel="000012FE" w:rsidRDefault="008F47B8" w:rsidP="00FB6D2D">
            <w:pPr>
              <w:pStyle w:val="mps3-data"/>
              <w:spacing w:before="0"/>
              <w:rPr>
                <w:szCs w:val="16"/>
              </w:rPr>
            </w:pPr>
            <w:r w:rsidRPr="006D52A9">
              <w:rPr>
                <w:szCs w:val="16"/>
                <w:lang w:eastAsia="en-AU"/>
              </w:rPr>
              <w:t>P10161</w:t>
            </w:r>
          </w:p>
        </w:tc>
        <w:tc>
          <w:tcPr>
            <w:tcW w:w="2867" w:type="pct"/>
            <w:tcMar>
              <w:top w:w="28" w:type="dxa"/>
              <w:left w:w="28" w:type="dxa"/>
            </w:tcMar>
          </w:tcPr>
          <w:p w14:paraId="3983D3FA" w14:textId="77777777" w:rsidR="008F47B8" w:rsidRPr="006D52A9" w:rsidDel="000012FE" w:rsidRDefault="008F47B8" w:rsidP="00FB6D2D">
            <w:pPr>
              <w:pStyle w:val="mps3-data"/>
              <w:spacing w:before="0"/>
              <w:rPr>
                <w:szCs w:val="16"/>
              </w:rPr>
            </w:pPr>
            <w:r w:rsidRPr="006D52A9">
              <w:t>Advanced Parkinson disease</w:t>
            </w:r>
            <w:r w:rsidRPr="006D52A9">
              <w:br/>
              <w:t>Patient must have severe disabling motor fluctuations not adequately controlled by oral therapy; AND</w:t>
            </w:r>
            <w:r w:rsidRPr="006D52A9">
              <w:br/>
              <w:t>The treatment must be commenced in a hospital</w:t>
            </w:r>
            <w:r w:rsidR="0026100E">
              <w:noBreakHyphen/>
            </w:r>
            <w:r w:rsidRPr="006D52A9">
              <w:t>based movement disorder clinic.</w:t>
            </w:r>
          </w:p>
        </w:tc>
        <w:tc>
          <w:tcPr>
            <w:tcW w:w="929" w:type="pct"/>
            <w:tcMar>
              <w:top w:w="28" w:type="dxa"/>
              <w:left w:w="28" w:type="dxa"/>
              <w:right w:w="57" w:type="dxa"/>
            </w:tcMar>
          </w:tcPr>
          <w:p w14:paraId="1167F6FD" w14:textId="77777777" w:rsidR="008F47B8" w:rsidRPr="006D52A9" w:rsidDel="000012FE" w:rsidRDefault="008F47B8" w:rsidP="00FB6D2D">
            <w:pPr>
              <w:pStyle w:val="mps3-data"/>
              <w:keepNext/>
              <w:spacing w:before="0"/>
              <w:rPr>
                <w:rFonts w:eastAsia="SimSun"/>
                <w:szCs w:val="16"/>
              </w:rPr>
            </w:pPr>
            <w:r w:rsidRPr="006D52A9">
              <w:t xml:space="preserve">Compliance with Authority Required procedures </w:t>
            </w:r>
            <w:r w:rsidR="0026100E">
              <w:noBreakHyphen/>
            </w:r>
            <w:r w:rsidRPr="006D52A9">
              <w:t xml:space="preserve"> Streamlined Authority Code 10161</w:t>
            </w:r>
          </w:p>
        </w:tc>
      </w:tr>
      <w:tr w:rsidR="008F47B8" w:rsidRPr="006D52A9" w14:paraId="2223E12B" w14:textId="77777777" w:rsidTr="00FB6D2D">
        <w:tc>
          <w:tcPr>
            <w:tcW w:w="647" w:type="pct"/>
            <w:tcMar>
              <w:top w:w="28" w:type="dxa"/>
              <w:left w:w="28" w:type="dxa"/>
            </w:tcMar>
          </w:tcPr>
          <w:p w14:paraId="75EB0C8C" w14:textId="77777777" w:rsidR="008F47B8" w:rsidRPr="006D52A9" w:rsidRDefault="008F47B8" w:rsidP="00FB6D2D">
            <w:pPr>
              <w:pStyle w:val="mps3-data"/>
              <w:spacing w:before="0"/>
              <w:rPr>
                <w:szCs w:val="16"/>
              </w:rPr>
            </w:pPr>
          </w:p>
        </w:tc>
        <w:tc>
          <w:tcPr>
            <w:tcW w:w="283" w:type="pct"/>
            <w:tcMar>
              <w:top w:w="28" w:type="dxa"/>
              <w:left w:w="28" w:type="dxa"/>
            </w:tcMar>
          </w:tcPr>
          <w:p w14:paraId="554D4813" w14:textId="77777777" w:rsidR="008F47B8" w:rsidRPr="006D52A9" w:rsidRDefault="008F47B8" w:rsidP="00FB6D2D">
            <w:pPr>
              <w:pStyle w:val="mps3-data"/>
              <w:spacing w:before="0"/>
              <w:rPr>
                <w:szCs w:val="16"/>
              </w:rPr>
            </w:pPr>
            <w:r w:rsidRPr="006D52A9">
              <w:rPr>
                <w:szCs w:val="16"/>
              </w:rPr>
              <w:t>C10363</w:t>
            </w:r>
          </w:p>
        </w:tc>
        <w:tc>
          <w:tcPr>
            <w:tcW w:w="274" w:type="pct"/>
            <w:tcMar>
              <w:top w:w="28" w:type="dxa"/>
              <w:left w:w="28" w:type="dxa"/>
            </w:tcMar>
          </w:tcPr>
          <w:p w14:paraId="10D2EC6D" w14:textId="77777777" w:rsidR="008F47B8" w:rsidRPr="006D52A9" w:rsidRDefault="008F47B8" w:rsidP="00FB6D2D">
            <w:pPr>
              <w:pStyle w:val="mps3-data"/>
              <w:spacing w:before="0"/>
              <w:rPr>
                <w:szCs w:val="16"/>
              </w:rPr>
            </w:pPr>
            <w:r w:rsidRPr="006D52A9">
              <w:rPr>
                <w:szCs w:val="16"/>
              </w:rPr>
              <w:t>P10363</w:t>
            </w:r>
          </w:p>
        </w:tc>
        <w:tc>
          <w:tcPr>
            <w:tcW w:w="2867" w:type="pct"/>
            <w:tcMar>
              <w:top w:w="28" w:type="dxa"/>
              <w:left w:w="28" w:type="dxa"/>
            </w:tcMar>
          </w:tcPr>
          <w:p w14:paraId="06C4DE2E" w14:textId="77777777" w:rsidR="008F47B8" w:rsidRPr="006D52A9" w:rsidRDefault="008F47B8" w:rsidP="00FB6D2D">
            <w:pPr>
              <w:pStyle w:val="mps3-data"/>
              <w:spacing w:before="0"/>
              <w:rPr>
                <w:szCs w:val="16"/>
              </w:rPr>
            </w:pPr>
            <w:r w:rsidRPr="006D52A9">
              <w:rPr>
                <w:szCs w:val="16"/>
              </w:rPr>
              <w:t>Advanced Parkinson disease</w:t>
            </w:r>
            <w:r w:rsidRPr="006D52A9">
              <w:rPr>
                <w:szCs w:val="16"/>
              </w:rPr>
              <w:br/>
              <w:t>Patient must have severe disabling motor fluctuations not adequately controlled by oral therapy; AND</w:t>
            </w:r>
            <w:r w:rsidRPr="006D52A9">
              <w:rPr>
                <w:szCs w:val="16"/>
              </w:rPr>
              <w:br/>
              <w:t>The treatment must be commenced in a hospital</w:t>
            </w:r>
            <w:r w:rsidR="0026100E">
              <w:rPr>
                <w:szCs w:val="16"/>
              </w:rPr>
              <w:noBreakHyphen/>
            </w:r>
            <w:r w:rsidRPr="006D52A9">
              <w:rPr>
                <w:szCs w:val="16"/>
              </w:rPr>
              <w:t>based movement disorder clinic; AND</w:t>
            </w:r>
            <w:r w:rsidRPr="006D52A9">
              <w:rPr>
                <w:szCs w:val="16"/>
              </w:rPr>
              <w:br/>
              <w:t>Patient must require continuous administration of levodopa without an overnight break; OR</w:t>
            </w:r>
            <w:r w:rsidRPr="006D52A9">
              <w:rPr>
                <w:szCs w:val="16"/>
              </w:rPr>
              <w:br/>
              <w:t>Patient must require a total daily dose of more than 2000 mg of levodopa.</w:t>
            </w:r>
          </w:p>
        </w:tc>
        <w:tc>
          <w:tcPr>
            <w:tcW w:w="929" w:type="pct"/>
            <w:tcMar>
              <w:top w:w="28" w:type="dxa"/>
              <w:left w:w="28" w:type="dxa"/>
              <w:right w:w="57" w:type="dxa"/>
            </w:tcMar>
          </w:tcPr>
          <w:p w14:paraId="498C3040"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10363</w:t>
            </w:r>
          </w:p>
        </w:tc>
      </w:tr>
      <w:tr w:rsidR="008F47B8" w:rsidRPr="006D52A9" w14:paraId="5684DD89" w14:textId="77777777" w:rsidTr="00FB6D2D">
        <w:tc>
          <w:tcPr>
            <w:tcW w:w="647" w:type="pct"/>
            <w:tcMar>
              <w:top w:w="28" w:type="dxa"/>
              <w:left w:w="28" w:type="dxa"/>
            </w:tcMar>
          </w:tcPr>
          <w:p w14:paraId="5581E0E6" w14:textId="77777777" w:rsidR="008F47B8" w:rsidRPr="006D52A9" w:rsidRDefault="008F47B8" w:rsidP="00FB6D2D">
            <w:pPr>
              <w:pStyle w:val="mps3-data"/>
              <w:spacing w:before="0"/>
              <w:rPr>
                <w:szCs w:val="16"/>
              </w:rPr>
            </w:pPr>
          </w:p>
        </w:tc>
        <w:tc>
          <w:tcPr>
            <w:tcW w:w="283" w:type="pct"/>
            <w:tcMar>
              <w:top w:w="28" w:type="dxa"/>
              <w:left w:w="28" w:type="dxa"/>
            </w:tcMar>
          </w:tcPr>
          <w:p w14:paraId="729DACD2" w14:textId="77777777" w:rsidR="008F47B8" w:rsidRPr="006D52A9" w:rsidRDefault="008F47B8" w:rsidP="00FB6D2D">
            <w:pPr>
              <w:pStyle w:val="mps3-data"/>
              <w:spacing w:before="0"/>
              <w:rPr>
                <w:szCs w:val="16"/>
              </w:rPr>
            </w:pPr>
            <w:r w:rsidRPr="006D52A9">
              <w:rPr>
                <w:szCs w:val="16"/>
              </w:rPr>
              <w:t>C10375</w:t>
            </w:r>
          </w:p>
        </w:tc>
        <w:tc>
          <w:tcPr>
            <w:tcW w:w="274" w:type="pct"/>
            <w:tcMar>
              <w:top w:w="28" w:type="dxa"/>
              <w:left w:w="28" w:type="dxa"/>
            </w:tcMar>
          </w:tcPr>
          <w:p w14:paraId="25FBE941" w14:textId="77777777" w:rsidR="008F47B8" w:rsidRPr="006D52A9" w:rsidRDefault="008F47B8" w:rsidP="00FB6D2D">
            <w:pPr>
              <w:pStyle w:val="mps3-data"/>
              <w:spacing w:before="0"/>
              <w:rPr>
                <w:szCs w:val="16"/>
              </w:rPr>
            </w:pPr>
            <w:r w:rsidRPr="006D52A9">
              <w:rPr>
                <w:szCs w:val="16"/>
              </w:rPr>
              <w:t>P10375</w:t>
            </w:r>
          </w:p>
        </w:tc>
        <w:tc>
          <w:tcPr>
            <w:tcW w:w="2867" w:type="pct"/>
            <w:tcMar>
              <w:top w:w="28" w:type="dxa"/>
              <w:left w:w="28" w:type="dxa"/>
            </w:tcMar>
          </w:tcPr>
          <w:p w14:paraId="4C302AEB" w14:textId="77777777" w:rsidR="008F47B8" w:rsidRPr="006D52A9" w:rsidRDefault="008F47B8" w:rsidP="00FB6D2D">
            <w:pPr>
              <w:pStyle w:val="mps3-data"/>
              <w:spacing w:before="0"/>
              <w:rPr>
                <w:szCs w:val="16"/>
              </w:rPr>
            </w:pPr>
            <w:r w:rsidRPr="006D52A9">
              <w:rPr>
                <w:szCs w:val="16"/>
              </w:rPr>
              <w:t>Advanced Parkinson disease</w:t>
            </w:r>
            <w:r w:rsidRPr="006D52A9">
              <w:rPr>
                <w:szCs w:val="16"/>
              </w:rPr>
              <w:br/>
              <w:t>Patient must have severe disabling motor fluctuations not adequately controlled by oral therapy; AND</w:t>
            </w:r>
            <w:r w:rsidRPr="006D52A9">
              <w:rPr>
                <w:szCs w:val="16"/>
              </w:rPr>
              <w:br/>
              <w:t>The treatment must be commenced in a hospital</w:t>
            </w:r>
            <w:r w:rsidR="0026100E">
              <w:rPr>
                <w:szCs w:val="16"/>
              </w:rPr>
              <w:noBreakHyphen/>
            </w:r>
            <w:r w:rsidRPr="006D52A9">
              <w:rPr>
                <w:szCs w:val="16"/>
              </w:rPr>
              <w:t>based movement disorder clinic; AND</w:t>
            </w:r>
            <w:r w:rsidRPr="006D52A9">
              <w:rPr>
                <w:szCs w:val="16"/>
              </w:rPr>
              <w:br/>
              <w:t>Patient must require continuous administration of levodopa without an overnight break; OR</w:t>
            </w:r>
            <w:r w:rsidRPr="006D52A9">
              <w:rPr>
                <w:szCs w:val="16"/>
              </w:rPr>
              <w:br/>
              <w:t>Patient must require a total daily dose of more than 2000 mg of levodopa.</w:t>
            </w:r>
          </w:p>
        </w:tc>
        <w:tc>
          <w:tcPr>
            <w:tcW w:w="929" w:type="pct"/>
            <w:tcMar>
              <w:top w:w="28" w:type="dxa"/>
              <w:left w:w="28" w:type="dxa"/>
              <w:right w:w="57" w:type="dxa"/>
            </w:tcMar>
          </w:tcPr>
          <w:p w14:paraId="6EEB5E12"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10375</w:t>
            </w:r>
          </w:p>
        </w:tc>
      </w:tr>
      <w:tr w:rsidR="008F47B8" w:rsidRPr="006D52A9" w14:paraId="1F32DF98" w14:textId="77777777" w:rsidTr="00FB6D2D">
        <w:tc>
          <w:tcPr>
            <w:tcW w:w="647" w:type="pct"/>
            <w:tcMar>
              <w:top w:w="28" w:type="dxa"/>
              <w:left w:w="28" w:type="dxa"/>
            </w:tcMar>
          </w:tcPr>
          <w:p w14:paraId="4233BA7E" w14:textId="77777777" w:rsidR="008F47B8" w:rsidRPr="006D52A9" w:rsidRDefault="008F47B8" w:rsidP="00FB6D2D">
            <w:pPr>
              <w:pStyle w:val="mps3-data"/>
              <w:spacing w:before="0"/>
              <w:rPr>
                <w:szCs w:val="16"/>
              </w:rPr>
            </w:pPr>
            <w:r w:rsidRPr="006D52A9">
              <w:rPr>
                <w:szCs w:val="16"/>
              </w:rPr>
              <w:t>Lipegfilgrastim</w:t>
            </w:r>
          </w:p>
        </w:tc>
        <w:tc>
          <w:tcPr>
            <w:tcW w:w="283" w:type="pct"/>
            <w:tcMar>
              <w:top w:w="28" w:type="dxa"/>
              <w:left w:w="28" w:type="dxa"/>
            </w:tcMar>
          </w:tcPr>
          <w:p w14:paraId="558658ED" w14:textId="77777777" w:rsidR="008F47B8" w:rsidRPr="006D52A9" w:rsidRDefault="008F47B8" w:rsidP="00FB6D2D">
            <w:pPr>
              <w:pStyle w:val="mps3-data"/>
              <w:spacing w:before="0"/>
              <w:rPr>
                <w:szCs w:val="16"/>
              </w:rPr>
            </w:pPr>
            <w:r w:rsidRPr="006D52A9">
              <w:rPr>
                <w:szCs w:val="16"/>
              </w:rPr>
              <w:t>C7822</w:t>
            </w:r>
          </w:p>
        </w:tc>
        <w:tc>
          <w:tcPr>
            <w:tcW w:w="274" w:type="pct"/>
            <w:tcMar>
              <w:top w:w="28" w:type="dxa"/>
              <w:left w:w="28" w:type="dxa"/>
            </w:tcMar>
          </w:tcPr>
          <w:p w14:paraId="1E0E5E2E" w14:textId="77777777" w:rsidR="008F47B8" w:rsidRPr="006D52A9" w:rsidRDefault="008F47B8" w:rsidP="00FB6D2D">
            <w:pPr>
              <w:pStyle w:val="mps3-data"/>
              <w:spacing w:before="0"/>
              <w:rPr>
                <w:szCs w:val="16"/>
              </w:rPr>
            </w:pPr>
          </w:p>
        </w:tc>
        <w:tc>
          <w:tcPr>
            <w:tcW w:w="2867" w:type="pct"/>
            <w:tcMar>
              <w:top w:w="28" w:type="dxa"/>
              <w:left w:w="28" w:type="dxa"/>
            </w:tcMar>
          </w:tcPr>
          <w:p w14:paraId="283FDBA3"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chemotherapy with the intention of achieving a cure or a substantial remission; AND</w:t>
            </w:r>
            <w:r w:rsidRPr="006D52A9">
              <w:rPr>
                <w:szCs w:val="16"/>
              </w:rPr>
              <w:br/>
              <w:t>Patient must be at greater than 20% risk of developing febrile neutropenia; OR</w:t>
            </w:r>
            <w:r w:rsidRPr="006D52A9">
              <w:rPr>
                <w:szCs w:val="16"/>
              </w:rPr>
              <w:br/>
              <w:t>Patient must be at substantial risk (greater than 20%) of prolonged severe neutropenia for more than or equal to seven days.</w:t>
            </w:r>
          </w:p>
        </w:tc>
        <w:tc>
          <w:tcPr>
            <w:tcW w:w="929" w:type="pct"/>
            <w:tcMar>
              <w:top w:w="28" w:type="dxa"/>
              <w:left w:w="28" w:type="dxa"/>
              <w:right w:w="57" w:type="dxa"/>
            </w:tcMar>
          </w:tcPr>
          <w:p w14:paraId="34D9B649"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7822</w:t>
            </w:r>
          </w:p>
        </w:tc>
      </w:tr>
      <w:tr w:rsidR="008F47B8" w:rsidRPr="006D52A9" w14:paraId="5BE6A728" w14:textId="77777777" w:rsidTr="00FB6D2D">
        <w:tc>
          <w:tcPr>
            <w:tcW w:w="647" w:type="pct"/>
            <w:tcMar>
              <w:top w:w="28" w:type="dxa"/>
              <w:left w:w="28" w:type="dxa"/>
            </w:tcMar>
          </w:tcPr>
          <w:p w14:paraId="7DB89239" w14:textId="77777777" w:rsidR="008F47B8" w:rsidRPr="006D52A9" w:rsidRDefault="008F47B8" w:rsidP="00FB6D2D">
            <w:pPr>
              <w:pStyle w:val="mps3-data"/>
              <w:spacing w:before="0"/>
              <w:rPr>
                <w:szCs w:val="16"/>
              </w:rPr>
            </w:pPr>
          </w:p>
        </w:tc>
        <w:tc>
          <w:tcPr>
            <w:tcW w:w="283" w:type="pct"/>
            <w:tcMar>
              <w:top w:w="28" w:type="dxa"/>
              <w:left w:w="28" w:type="dxa"/>
            </w:tcMar>
          </w:tcPr>
          <w:p w14:paraId="2CCE83E7" w14:textId="77777777" w:rsidR="008F47B8" w:rsidRPr="006D52A9" w:rsidRDefault="008F47B8" w:rsidP="00FB6D2D">
            <w:pPr>
              <w:pStyle w:val="mps3-data"/>
              <w:spacing w:before="0"/>
              <w:rPr>
                <w:szCs w:val="16"/>
              </w:rPr>
            </w:pPr>
            <w:r w:rsidRPr="006D52A9">
              <w:rPr>
                <w:szCs w:val="16"/>
              </w:rPr>
              <w:t>C7843</w:t>
            </w:r>
          </w:p>
        </w:tc>
        <w:tc>
          <w:tcPr>
            <w:tcW w:w="274" w:type="pct"/>
            <w:tcMar>
              <w:top w:w="28" w:type="dxa"/>
              <w:left w:w="28" w:type="dxa"/>
            </w:tcMar>
          </w:tcPr>
          <w:p w14:paraId="09A6FDAD" w14:textId="77777777" w:rsidR="008F47B8" w:rsidRPr="006D52A9" w:rsidRDefault="008F47B8" w:rsidP="00FB6D2D">
            <w:pPr>
              <w:pStyle w:val="mps3-data"/>
              <w:spacing w:before="0"/>
              <w:rPr>
                <w:szCs w:val="16"/>
              </w:rPr>
            </w:pPr>
          </w:p>
        </w:tc>
        <w:tc>
          <w:tcPr>
            <w:tcW w:w="2867" w:type="pct"/>
            <w:tcMar>
              <w:top w:w="28" w:type="dxa"/>
              <w:left w:w="28" w:type="dxa"/>
            </w:tcMar>
          </w:tcPr>
          <w:p w14:paraId="665E97A2" w14:textId="77777777" w:rsidR="008F47B8" w:rsidRPr="006D52A9"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chemotherapy with the intention of achieving a cure or a substantial remission; AND</w:t>
            </w:r>
            <w:r w:rsidRPr="006D52A9">
              <w:rPr>
                <w:szCs w:val="16"/>
              </w:rPr>
              <w:br/>
              <w:t>Patient must have had a prior episode of febrile neutropenia; OR</w:t>
            </w:r>
            <w:r w:rsidRPr="006D52A9">
              <w:rPr>
                <w:szCs w:val="16"/>
              </w:rPr>
              <w:br/>
              <w:t>Patient must have had a prior episode of prolonged severe neutropenia for more than or equal to seven days.</w:t>
            </w:r>
          </w:p>
        </w:tc>
        <w:tc>
          <w:tcPr>
            <w:tcW w:w="929" w:type="pct"/>
            <w:tcMar>
              <w:top w:w="28" w:type="dxa"/>
              <w:left w:w="28" w:type="dxa"/>
              <w:right w:w="57" w:type="dxa"/>
            </w:tcMar>
          </w:tcPr>
          <w:p w14:paraId="55EC0E1F" w14:textId="77777777" w:rsidR="008F47B8" w:rsidRPr="006D52A9" w:rsidRDefault="008F47B8" w:rsidP="00FB6D2D">
            <w:pPr>
              <w:pStyle w:val="mps3-data"/>
              <w:keepNext/>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7843</w:t>
            </w:r>
          </w:p>
        </w:tc>
      </w:tr>
      <w:tr w:rsidR="008F47B8" w:rsidRPr="006D52A9" w:rsidDel="00B91391" w14:paraId="0B879D03" w14:textId="77777777" w:rsidTr="00FB6D2D">
        <w:tc>
          <w:tcPr>
            <w:tcW w:w="647" w:type="pct"/>
            <w:tcMar>
              <w:top w:w="28" w:type="dxa"/>
              <w:left w:w="28" w:type="dxa"/>
            </w:tcMar>
          </w:tcPr>
          <w:p w14:paraId="3AA798F3" w14:textId="77777777" w:rsidR="008F47B8" w:rsidRPr="006D52A9" w:rsidDel="00B91391" w:rsidRDefault="008F47B8" w:rsidP="00FB6D2D">
            <w:pPr>
              <w:pStyle w:val="mps3-data"/>
              <w:spacing w:before="0"/>
              <w:rPr>
                <w:szCs w:val="16"/>
              </w:rPr>
            </w:pPr>
          </w:p>
        </w:tc>
        <w:tc>
          <w:tcPr>
            <w:tcW w:w="283" w:type="pct"/>
            <w:tcMar>
              <w:top w:w="28" w:type="dxa"/>
              <w:left w:w="28" w:type="dxa"/>
            </w:tcMar>
          </w:tcPr>
          <w:p w14:paraId="4AA37FF0" w14:textId="77777777" w:rsidR="008F47B8" w:rsidRPr="006D52A9" w:rsidDel="00B91391" w:rsidRDefault="008F47B8" w:rsidP="00FB6D2D">
            <w:pPr>
              <w:pStyle w:val="mps3-data"/>
              <w:spacing w:before="0"/>
              <w:rPr>
                <w:szCs w:val="16"/>
              </w:rPr>
            </w:pPr>
            <w:r w:rsidRPr="006D52A9">
              <w:rPr>
                <w:szCs w:val="16"/>
              </w:rPr>
              <w:t>C9224</w:t>
            </w:r>
          </w:p>
        </w:tc>
        <w:tc>
          <w:tcPr>
            <w:tcW w:w="274" w:type="pct"/>
            <w:tcMar>
              <w:top w:w="28" w:type="dxa"/>
              <w:left w:w="28" w:type="dxa"/>
            </w:tcMar>
          </w:tcPr>
          <w:p w14:paraId="7D6FF5F9" w14:textId="77777777" w:rsidR="008F47B8" w:rsidRPr="006D52A9" w:rsidDel="00B91391" w:rsidRDefault="008F47B8" w:rsidP="00FB6D2D">
            <w:pPr>
              <w:pStyle w:val="mps3-data"/>
              <w:spacing w:before="0"/>
              <w:rPr>
                <w:szCs w:val="16"/>
              </w:rPr>
            </w:pPr>
          </w:p>
        </w:tc>
        <w:tc>
          <w:tcPr>
            <w:tcW w:w="2867" w:type="pct"/>
            <w:tcMar>
              <w:top w:w="28" w:type="dxa"/>
              <w:left w:w="28" w:type="dxa"/>
            </w:tcMar>
          </w:tcPr>
          <w:p w14:paraId="4B3C3EDA" w14:textId="77777777" w:rsidR="008F47B8" w:rsidRPr="006D52A9" w:rsidDel="00B91391"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chemotherapy with the intention of achieving a cure or a substantial remission; AND</w:t>
            </w:r>
            <w:r w:rsidRPr="006D52A9">
              <w:rPr>
                <w:szCs w:val="16"/>
              </w:rPr>
              <w:br/>
              <w:t>Patient must be at greater than 20% risk of developing febrile neutropenia; OR</w:t>
            </w:r>
            <w:r w:rsidRPr="006D52A9">
              <w:rPr>
                <w:szCs w:val="16"/>
              </w:rPr>
              <w:br/>
              <w:t>Patient must be at substantial risk (greater than 20%) of prolonged severe neutropenia for more than or equal to seven days.</w:t>
            </w:r>
          </w:p>
        </w:tc>
        <w:tc>
          <w:tcPr>
            <w:tcW w:w="929" w:type="pct"/>
            <w:tcMar>
              <w:top w:w="28" w:type="dxa"/>
              <w:left w:w="28" w:type="dxa"/>
              <w:right w:w="57" w:type="dxa"/>
            </w:tcMar>
          </w:tcPr>
          <w:p w14:paraId="61441287" w14:textId="77777777" w:rsidR="008F47B8" w:rsidRPr="006D52A9" w:rsidDel="00B91391" w:rsidRDefault="008F47B8" w:rsidP="00FB6D2D">
            <w:pPr>
              <w:pStyle w:val="mps3-data"/>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9224</w:t>
            </w:r>
          </w:p>
        </w:tc>
      </w:tr>
      <w:tr w:rsidR="008F47B8" w:rsidRPr="006D52A9" w:rsidDel="00B91391" w14:paraId="1B8C6888" w14:textId="77777777" w:rsidTr="00FB6D2D">
        <w:tc>
          <w:tcPr>
            <w:tcW w:w="647" w:type="pct"/>
            <w:tcMar>
              <w:top w:w="28" w:type="dxa"/>
              <w:left w:w="28" w:type="dxa"/>
            </w:tcMar>
          </w:tcPr>
          <w:p w14:paraId="6C9F3901" w14:textId="77777777" w:rsidR="008F47B8" w:rsidRPr="006D52A9" w:rsidDel="00B91391" w:rsidRDefault="008F47B8" w:rsidP="00FB6D2D">
            <w:pPr>
              <w:pStyle w:val="mps3-data"/>
              <w:spacing w:before="0"/>
              <w:rPr>
                <w:szCs w:val="16"/>
              </w:rPr>
            </w:pPr>
          </w:p>
        </w:tc>
        <w:tc>
          <w:tcPr>
            <w:tcW w:w="283" w:type="pct"/>
            <w:tcMar>
              <w:top w:w="28" w:type="dxa"/>
              <w:left w:w="28" w:type="dxa"/>
            </w:tcMar>
          </w:tcPr>
          <w:p w14:paraId="335ACF0E" w14:textId="77777777" w:rsidR="008F47B8" w:rsidRPr="006D52A9" w:rsidDel="00B91391" w:rsidRDefault="008F47B8" w:rsidP="00FB6D2D">
            <w:pPr>
              <w:pStyle w:val="mps3-data"/>
              <w:spacing w:before="0"/>
              <w:rPr>
                <w:szCs w:val="16"/>
              </w:rPr>
            </w:pPr>
            <w:r w:rsidRPr="006D52A9">
              <w:rPr>
                <w:szCs w:val="16"/>
              </w:rPr>
              <w:t>C9322</w:t>
            </w:r>
          </w:p>
        </w:tc>
        <w:tc>
          <w:tcPr>
            <w:tcW w:w="274" w:type="pct"/>
            <w:tcMar>
              <w:top w:w="28" w:type="dxa"/>
              <w:left w:w="28" w:type="dxa"/>
            </w:tcMar>
          </w:tcPr>
          <w:p w14:paraId="3DC610F2" w14:textId="77777777" w:rsidR="008F47B8" w:rsidRPr="006D52A9" w:rsidDel="00B91391" w:rsidRDefault="008F47B8" w:rsidP="00FB6D2D">
            <w:pPr>
              <w:pStyle w:val="mps3-data"/>
              <w:spacing w:before="0"/>
              <w:rPr>
                <w:szCs w:val="16"/>
              </w:rPr>
            </w:pPr>
          </w:p>
        </w:tc>
        <w:tc>
          <w:tcPr>
            <w:tcW w:w="2867" w:type="pct"/>
            <w:tcMar>
              <w:top w:w="28" w:type="dxa"/>
              <w:left w:w="28" w:type="dxa"/>
            </w:tcMar>
          </w:tcPr>
          <w:p w14:paraId="7284EAFA" w14:textId="77777777" w:rsidR="008F47B8" w:rsidRPr="006D52A9" w:rsidDel="00B91391" w:rsidRDefault="008F47B8" w:rsidP="00FB6D2D">
            <w:pPr>
              <w:pStyle w:val="mps3-data"/>
              <w:spacing w:before="0"/>
              <w:rPr>
                <w:szCs w:val="16"/>
              </w:rPr>
            </w:pPr>
            <w:r w:rsidRPr="006D52A9">
              <w:rPr>
                <w:szCs w:val="16"/>
              </w:rPr>
              <w:t>Chemotherapy</w:t>
            </w:r>
            <w:r w:rsidR="0026100E">
              <w:rPr>
                <w:szCs w:val="16"/>
              </w:rPr>
              <w:noBreakHyphen/>
            </w:r>
            <w:r w:rsidRPr="006D52A9">
              <w:rPr>
                <w:szCs w:val="16"/>
              </w:rPr>
              <w:t>induced neutropenia</w:t>
            </w:r>
            <w:r w:rsidRPr="006D52A9">
              <w:rPr>
                <w:szCs w:val="16"/>
              </w:rPr>
              <w:br/>
              <w:t>Patient must be receiving chemotherapy with the intention of achieving a cure or a substantial remission; AND</w:t>
            </w:r>
            <w:r w:rsidRPr="006D52A9">
              <w:rPr>
                <w:szCs w:val="16"/>
              </w:rPr>
              <w:br/>
              <w:t>Patient must have had a prior episode of febrile neutropenia; OR</w:t>
            </w:r>
            <w:r w:rsidRPr="006D52A9">
              <w:rPr>
                <w:szCs w:val="16"/>
              </w:rPr>
              <w:br/>
              <w:t>Patient must have had a prior episode of prolonged severe neutropenia for more than or equal to seven days.</w:t>
            </w:r>
          </w:p>
        </w:tc>
        <w:tc>
          <w:tcPr>
            <w:tcW w:w="929" w:type="pct"/>
            <w:tcMar>
              <w:top w:w="28" w:type="dxa"/>
              <w:left w:w="28" w:type="dxa"/>
              <w:right w:w="57" w:type="dxa"/>
            </w:tcMar>
          </w:tcPr>
          <w:p w14:paraId="70377B91" w14:textId="77777777" w:rsidR="008F47B8" w:rsidRPr="006D52A9" w:rsidDel="00B91391" w:rsidRDefault="008F47B8" w:rsidP="00FB6D2D">
            <w:pPr>
              <w:pStyle w:val="mps3-data"/>
              <w:spacing w:before="0"/>
              <w:rPr>
                <w:szCs w:val="16"/>
              </w:rPr>
            </w:pPr>
            <w:r w:rsidRPr="006D52A9">
              <w:rPr>
                <w:szCs w:val="16"/>
              </w:rPr>
              <w:t xml:space="preserve">Compliance with Authority Required procedures </w:t>
            </w:r>
            <w:r w:rsidR="0026100E">
              <w:rPr>
                <w:szCs w:val="16"/>
              </w:rPr>
              <w:noBreakHyphen/>
            </w:r>
            <w:r w:rsidRPr="006D52A9">
              <w:rPr>
                <w:szCs w:val="16"/>
              </w:rPr>
              <w:t xml:space="preserve"> Streamlined Authority Code 9322</w:t>
            </w:r>
          </w:p>
        </w:tc>
      </w:tr>
      <w:tr w:rsidR="008F47B8" w:rsidRPr="006D52A9" w:rsidDel="00F50979" w14:paraId="1E9EC346"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7492F0CF" w14:textId="77777777" w:rsidR="008F47B8" w:rsidRPr="006D52A9" w:rsidDel="00F50979" w:rsidRDefault="008F47B8" w:rsidP="00FB6D2D">
            <w:pPr>
              <w:spacing w:line="240" w:lineRule="auto"/>
              <w:rPr>
                <w:rFonts w:ascii="Arial" w:eastAsia="SimSun" w:hAnsi="Arial" w:cs="Arial"/>
                <w:sz w:val="16"/>
                <w:szCs w:val="16"/>
                <w:lang w:eastAsia="zh-CN"/>
              </w:rPr>
            </w:pPr>
            <w:bookmarkStart w:id="174" w:name="CU_365619619"/>
            <w:bookmarkStart w:id="175" w:name="CU_366619956"/>
            <w:bookmarkEnd w:id="174"/>
            <w:bookmarkEnd w:id="175"/>
            <w:r w:rsidRPr="006D52A9">
              <w:rPr>
                <w:rFonts w:ascii="Arial" w:eastAsia="SimSun" w:hAnsi="Arial" w:cs="Arial"/>
                <w:sz w:val="16"/>
                <w:szCs w:val="16"/>
                <w:lang w:eastAsia="zh-CN"/>
              </w:rPr>
              <w:t>Lopinavir with ritonavir</w:t>
            </w:r>
          </w:p>
        </w:tc>
        <w:tc>
          <w:tcPr>
            <w:tcW w:w="283" w:type="pct"/>
            <w:tcBorders>
              <w:bottom w:val="single" w:sz="4" w:space="0" w:color="auto"/>
            </w:tcBorders>
            <w:shd w:val="clear" w:color="auto" w:fill="auto"/>
            <w:tcMar>
              <w:top w:w="28" w:type="dxa"/>
              <w:left w:w="28" w:type="dxa"/>
            </w:tcMar>
          </w:tcPr>
          <w:p w14:paraId="442D395F"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Borders>
              <w:bottom w:val="single" w:sz="4" w:space="0" w:color="auto"/>
            </w:tcBorders>
            <w:shd w:val="clear" w:color="auto" w:fill="auto"/>
            <w:tcMar>
              <w:top w:w="28" w:type="dxa"/>
              <w:left w:w="28" w:type="dxa"/>
            </w:tcMar>
          </w:tcPr>
          <w:p w14:paraId="15FEDB3D"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D2D71F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0379595D"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6165EF6B"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F50979" w14:paraId="6A1D826A"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4BB62161"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252B74FC"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Borders>
              <w:bottom w:val="single" w:sz="4" w:space="0" w:color="auto"/>
            </w:tcBorders>
            <w:shd w:val="clear" w:color="auto" w:fill="auto"/>
            <w:tcMar>
              <w:top w:w="28" w:type="dxa"/>
              <w:left w:w="28" w:type="dxa"/>
            </w:tcMar>
          </w:tcPr>
          <w:p w14:paraId="0F33ACDC" w14:textId="77777777" w:rsidR="008F47B8" w:rsidRPr="006D52A9" w:rsidDel="00F5097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C7B281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2BBD2490" w14:textId="77777777" w:rsidR="008F47B8" w:rsidRPr="006D52A9" w:rsidDel="00F5097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123082FB" w14:textId="77777777" w:rsidR="008F47B8" w:rsidRPr="006D52A9" w:rsidDel="00F5097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rsidDel="0015259E" w14:paraId="5C4151C2"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0921154C" w14:textId="77777777" w:rsidR="008F47B8" w:rsidRPr="006D52A9" w:rsidDel="0015259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Lumacaftor with ivacaftor</w:t>
            </w:r>
          </w:p>
        </w:tc>
        <w:tc>
          <w:tcPr>
            <w:tcW w:w="283" w:type="pct"/>
            <w:tcBorders>
              <w:bottom w:val="single" w:sz="4" w:space="0" w:color="auto"/>
            </w:tcBorders>
            <w:shd w:val="clear" w:color="auto" w:fill="auto"/>
            <w:tcMar>
              <w:top w:w="28" w:type="dxa"/>
              <w:left w:w="28" w:type="dxa"/>
            </w:tcMar>
          </w:tcPr>
          <w:p w14:paraId="553AB097" w14:textId="77777777" w:rsidR="008F47B8" w:rsidRPr="006D52A9" w:rsidDel="0015259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C9857</w:t>
            </w:r>
          </w:p>
        </w:tc>
        <w:tc>
          <w:tcPr>
            <w:tcW w:w="274" w:type="pct"/>
            <w:tcBorders>
              <w:bottom w:val="single" w:sz="4" w:space="0" w:color="auto"/>
            </w:tcBorders>
            <w:shd w:val="clear" w:color="auto" w:fill="auto"/>
            <w:tcMar>
              <w:top w:w="28" w:type="dxa"/>
              <w:left w:w="28" w:type="dxa"/>
            </w:tcMar>
          </w:tcPr>
          <w:p w14:paraId="47958299"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DBFF715" w14:textId="77777777" w:rsidR="008F47B8" w:rsidRPr="006D52A9" w:rsidDel="0015259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be homozygous for the F508del mutation in the cystic fibrosis transmembrane conductance regulator (CFTR) gene; AND</w:t>
            </w:r>
            <w:r w:rsidRPr="006D52A9">
              <w:rPr>
                <w:rFonts w:ascii="Arial" w:eastAsia="SimSun" w:hAnsi="Arial" w:cs="Arial"/>
                <w:sz w:val="16"/>
                <w:szCs w:val="16"/>
                <w:lang w:eastAsia="zh-CN"/>
              </w:rPr>
              <w:br/>
              <w:t>The treatment must be given concomitantly with standard therapy for this condition; AND</w:t>
            </w:r>
            <w:r w:rsidRPr="006D52A9">
              <w:rPr>
                <w:rFonts w:ascii="Arial" w:eastAsia="SimSun" w:hAnsi="Arial" w:cs="Arial"/>
                <w:sz w:val="16"/>
                <w:szCs w:val="16"/>
                <w:lang w:eastAsia="zh-CN"/>
              </w:rPr>
              <w:br/>
              <w:t>Patient must have either chronic sinopulmonary disease or gastrointestinal and nutritional abnormalities;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w:t>
            </w:r>
            <w:r w:rsidRPr="006D52A9">
              <w:rPr>
                <w:rFonts w:ascii="Arial" w:eastAsia="SimSun" w:hAnsi="Arial" w:cs="Arial"/>
                <w:sz w:val="16"/>
                <w:szCs w:val="16"/>
                <w:lang w:eastAsia="zh-CN"/>
              </w:rPr>
              <w:br/>
              <w:t>Patient must be 12 years of age or older.</w:t>
            </w:r>
            <w:r w:rsidRPr="006D52A9">
              <w:rPr>
                <w:rFonts w:ascii="Arial" w:eastAsia="SimSun" w:hAnsi="Arial" w:cs="Arial"/>
                <w:sz w:val="16"/>
                <w:szCs w:val="16"/>
                <w:lang w:eastAsia="zh-CN"/>
              </w:rPr>
              <w:br/>
              <w:t>The patient must be registered in the Australian Cystic Fibrosis Database Registry.</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lumacaftor with ivacaftor Authority Application Supporting Information Form; and</w:t>
            </w:r>
            <w:r w:rsidRPr="006D52A9">
              <w:rPr>
                <w:rFonts w:ascii="Arial" w:eastAsia="SimSun" w:hAnsi="Arial" w:cs="Arial"/>
                <w:sz w:val="16"/>
                <w:szCs w:val="16"/>
                <w:lang w:eastAsia="zh-CN"/>
              </w:rPr>
              <w:br/>
              <w:t>(3) a copy of the pathology report detailing the molecular testing for the patient being homozygous for the F508del mutation on the CFTR gene; and</w:t>
            </w:r>
            <w:r w:rsidRPr="006D52A9">
              <w:rPr>
                <w:rFonts w:ascii="Arial" w:eastAsia="SimSun" w:hAnsi="Arial" w:cs="Arial"/>
                <w:sz w:val="16"/>
                <w:szCs w:val="16"/>
                <w:lang w:eastAsia="zh-CN"/>
              </w:rPr>
              <w:br/>
              <w:t>(4) the result of a FEV1measurement performed within a month prior to the date of application. Note: FEV1must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(5) current CYP3A4 inhibitors, CYP3A4 inducers and IV antibiotics; and</w:t>
            </w:r>
            <w:r w:rsidRPr="006D52A9">
              <w:rPr>
                <w:rFonts w:ascii="Arial" w:eastAsia="SimSun" w:hAnsi="Arial" w:cs="Arial"/>
                <w:sz w:val="16"/>
                <w:szCs w:val="16"/>
                <w:lang w:eastAsia="zh-CN"/>
              </w:rPr>
              <w:br/>
              <w:t>(6) height and weight measurements at the time of application; and</w:t>
            </w:r>
            <w:r w:rsidRPr="006D52A9">
              <w:rPr>
                <w:rFonts w:ascii="Arial" w:eastAsia="SimSun" w:hAnsi="Arial" w:cs="Arial"/>
                <w:sz w:val="16"/>
                <w:szCs w:val="16"/>
                <w:lang w:eastAsia="zh-CN"/>
              </w:rPr>
              <w:br/>
              <w:t>(7) a baseline measurement of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12 months.</w:t>
            </w:r>
          </w:p>
        </w:tc>
        <w:tc>
          <w:tcPr>
            <w:tcW w:w="929" w:type="pct"/>
            <w:tcBorders>
              <w:bottom w:val="single" w:sz="4" w:space="0" w:color="auto"/>
            </w:tcBorders>
            <w:shd w:val="clear" w:color="auto" w:fill="auto"/>
            <w:tcMar>
              <w:top w:w="28" w:type="dxa"/>
              <w:left w:w="28" w:type="dxa"/>
              <w:right w:w="57" w:type="dxa"/>
            </w:tcMar>
          </w:tcPr>
          <w:p w14:paraId="5876AFC1" w14:textId="77777777" w:rsidR="008F47B8" w:rsidRPr="006D52A9" w:rsidDel="0015259E"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4576E93F"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50EA66BA"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4B73D2F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C9891</w:t>
            </w:r>
          </w:p>
        </w:tc>
        <w:tc>
          <w:tcPr>
            <w:tcW w:w="274" w:type="pct"/>
            <w:tcBorders>
              <w:bottom w:val="single" w:sz="4" w:space="0" w:color="auto"/>
            </w:tcBorders>
            <w:shd w:val="clear" w:color="auto" w:fill="auto"/>
            <w:tcMar>
              <w:top w:w="28" w:type="dxa"/>
              <w:left w:w="28" w:type="dxa"/>
            </w:tcMar>
          </w:tcPr>
          <w:p w14:paraId="357084E7"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38A7567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 AND</w:t>
            </w:r>
            <w:r w:rsidRPr="006D52A9">
              <w:rPr>
                <w:rFonts w:ascii="Arial" w:eastAsia="SimSun" w:hAnsi="Arial" w:cs="Arial"/>
                <w:sz w:val="16"/>
                <w:szCs w:val="16"/>
                <w:lang w:eastAsia="zh-CN"/>
              </w:rPr>
              <w:br/>
              <w:t>The treatment must be given concomitantly with standard therapy for this condition.</w:t>
            </w:r>
            <w:r w:rsidRPr="006D52A9">
              <w:rPr>
                <w:rFonts w:ascii="Arial" w:eastAsia="SimSun" w:hAnsi="Arial" w:cs="Arial"/>
                <w:sz w:val="16"/>
                <w:szCs w:val="16"/>
                <w:lang w:eastAsia="zh-CN"/>
              </w:rPr>
              <w:br/>
              <w:t>Patient must be aged between 6 and 11 years inclusive.</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(1) a completed authority prescription form; and</w:t>
            </w:r>
            <w:r w:rsidRPr="006D52A9">
              <w:rPr>
                <w:rFonts w:ascii="Arial" w:eastAsia="SimSun" w:hAnsi="Arial" w:cs="Arial"/>
                <w:sz w:val="16"/>
                <w:szCs w:val="16"/>
                <w:lang w:eastAsia="zh-CN"/>
              </w:rPr>
              <w:br/>
              <w:t>(2) a completed Cystic Fibrosis lumacaftor with ivacaftor Continuing Authority Application Supporting Information Form; and</w:t>
            </w:r>
            <w:r w:rsidRPr="006D52A9">
              <w:rPr>
                <w:rFonts w:ascii="Arial" w:eastAsia="SimSun" w:hAnsi="Arial" w:cs="Arial"/>
                <w:sz w:val="16"/>
                <w:szCs w:val="16"/>
                <w:lang w:eastAsia="zh-CN"/>
              </w:rPr>
              <w:br/>
              <w:t>(3) the result of a FEV1measurement performed within a month prior to the date of application. Note: FEV1, 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(4) current CYP3A4 inhibitors, CYP3A4 inducers and IV antibiotics; and</w:t>
            </w:r>
            <w:r w:rsidRPr="006D52A9">
              <w:rPr>
                <w:rFonts w:ascii="Arial" w:eastAsia="SimSun" w:hAnsi="Arial" w:cs="Arial"/>
                <w:sz w:val="16"/>
                <w:szCs w:val="16"/>
                <w:lang w:eastAsia="zh-CN"/>
              </w:rPr>
              <w:br/>
              <w:t>(5) height and weight measurements at the time of application; and</w:t>
            </w:r>
            <w:r w:rsidRPr="006D52A9">
              <w:rPr>
                <w:rFonts w:ascii="Arial" w:eastAsia="SimSun" w:hAnsi="Arial" w:cs="Arial"/>
                <w:sz w:val="16"/>
                <w:szCs w:val="16"/>
                <w:lang w:eastAsia="zh-CN"/>
              </w:rPr>
              <w:br/>
              <w:t>(6)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6 months.</w:t>
            </w:r>
          </w:p>
        </w:tc>
        <w:tc>
          <w:tcPr>
            <w:tcW w:w="929" w:type="pct"/>
            <w:tcBorders>
              <w:bottom w:val="single" w:sz="4" w:space="0" w:color="auto"/>
            </w:tcBorders>
            <w:shd w:val="clear" w:color="auto" w:fill="auto"/>
            <w:tcMar>
              <w:top w:w="28" w:type="dxa"/>
              <w:left w:w="28" w:type="dxa"/>
              <w:right w:w="57" w:type="dxa"/>
            </w:tcMar>
          </w:tcPr>
          <w:p w14:paraId="06AD67E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3139E4D0"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7DDEECCD"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C2F694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C9920</w:t>
            </w:r>
          </w:p>
        </w:tc>
        <w:tc>
          <w:tcPr>
            <w:tcW w:w="274" w:type="pct"/>
            <w:tcBorders>
              <w:bottom w:val="single" w:sz="4" w:space="0" w:color="auto"/>
            </w:tcBorders>
            <w:shd w:val="clear" w:color="auto" w:fill="auto"/>
            <w:tcMar>
              <w:top w:w="28" w:type="dxa"/>
              <w:left w:w="28" w:type="dxa"/>
            </w:tcMar>
          </w:tcPr>
          <w:p w14:paraId="71E6F640"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481E24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be homozygous for the F508del mutation in the cystic fibrosis transmembrane conductance regulator (CFTR) gene; AND</w:t>
            </w:r>
            <w:r w:rsidRPr="006D52A9">
              <w:rPr>
                <w:rFonts w:ascii="Arial" w:eastAsia="SimSun" w:hAnsi="Arial" w:cs="Arial"/>
                <w:sz w:val="16"/>
                <w:szCs w:val="16"/>
                <w:lang w:eastAsia="zh-CN"/>
              </w:rPr>
              <w:br/>
              <w:t>The treatment must be given concomitantly with standard therapy for this condition; AND</w:t>
            </w:r>
            <w:r w:rsidRPr="006D52A9">
              <w:rPr>
                <w:rFonts w:ascii="Arial" w:eastAsia="SimSun" w:hAnsi="Arial" w:cs="Arial"/>
                <w:sz w:val="16"/>
                <w:szCs w:val="16"/>
                <w:lang w:eastAsia="zh-CN"/>
              </w:rPr>
              <w:br/>
              <w:t>Patient must have either chronic sinopulmonary disease or gastrointestinal and nutritional abnormalities;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w:t>
            </w:r>
            <w:r w:rsidRPr="006D52A9">
              <w:rPr>
                <w:rFonts w:ascii="Arial" w:eastAsia="SimSun" w:hAnsi="Arial" w:cs="Arial"/>
                <w:sz w:val="16"/>
                <w:szCs w:val="16"/>
                <w:lang w:eastAsia="zh-CN"/>
              </w:rPr>
              <w:br/>
              <w:t>Patient must be aged between 6 and 11 years inclusive.</w:t>
            </w:r>
            <w:r w:rsidRPr="006D52A9">
              <w:rPr>
                <w:rFonts w:ascii="Arial" w:eastAsia="SimSun" w:hAnsi="Arial" w:cs="Arial"/>
                <w:sz w:val="16"/>
                <w:szCs w:val="16"/>
                <w:lang w:eastAsia="zh-CN"/>
              </w:rPr>
              <w:br/>
              <w:t>The patient must be registered in the Australian Cystic Fibrosis Database Registry.</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lumacaftor with ivacaftor Authority Application Supporting Information Form;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(3) a copy of the pathology report detailing the molecular testing for the patient being homozygous for the F508del mutation on the CFTR gene; and</w:t>
            </w:r>
            <w:r w:rsidRPr="006D52A9">
              <w:rPr>
                <w:rFonts w:ascii="Arial" w:eastAsia="SimSun" w:hAnsi="Arial" w:cs="Arial"/>
                <w:sz w:val="16"/>
                <w:szCs w:val="16"/>
                <w:lang w:eastAsia="zh-CN"/>
              </w:rPr>
              <w:br/>
              <w:t>(4) the result of a FEV1measurement performed within a month prior to the date of application. Note: FEV1must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(5) current CYP3A4 inhibitors, CYP3A4 inducers and IV antibiotics; and</w:t>
            </w:r>
            <w:r w:rsidRPr="006D52A9">
              <w:rPr>
                <w:rFonts w:ascii="Arial" w:eastAsia="SimSun" w:hAnsi="Arial" w:cs="Arial"/>
                <w:sz w:val="16"/>
                <w:szCs w:val="16"/>
                <w:lang w:eastAsia="zh-CN"/>
              </w:rPr>
              <w:br/>
              <w:t>(6) height and weight measurements at the time of application; and</w:t>
            </w:r>
            <w:r w:rsidRPr="006D52A9">
              <w:rPr>
                <w:rFonts w:ascii="Arial" w:eastAsia="SimSun" w:hAnsi="Arial" w:cs="Arial"/>
                <w:sz w:val="16"/>
                <w:szCs w:val="16"/>
                <w:lang w:eastAsia="zh-CN"/>
              </w:rPr>
              <w:br/>
              <w:t>(7) a baseline measurement of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12 months.</w:t>
            </w:r>
          </w:p>
        </w:tc>
        <w:tc>
          <w:tcPr>
            <w:tcW w:w="929" w:type="pct"/>
            <w:tcBorders>
              <w:bottom w:val="single" w:sz="4" w:space="0" w:color="auto"/>
            </w:tcBorders>
            <w:shd w:val="clear" w:color="auto" w:fill="auto"/>
            <w:tcMar>
              <w:top w:w="28" w:type="dxa"/>
              <w:left w:w="28" w:type="dxa"/>
              <w:right w:w="57" w:type="dxa"/>
            </w:tcMar>
          </w:tcPr>
          <w:p w14:paraId="45D255FF"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7DD05B5A"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150BDCDA"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324502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C9943</w:t>
            </w:r>
          </w:p>
        </w:tc>
        <w:tc>
          <w:tcPr>
            <w:tcW w:w="274" w:type="pct"/>
            <w:tcBorders>
              <w:bottom w:val="single" w:sz="4" w:space="0" w:color="auto"/>
            </w:tcBorders>
            <w:shd w:val="clear" w:color="auto" w:fill="auto"/>
            <w:tcMar>
              <w:top w:w="28" w:type="dxa"/>
              <w:left w:w="28" w:type="dxa"/>
            </w:tcMar>
          </w:tcPr>
          <w:p w14:paraId="232350B8"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1CDC5BF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The treatment must be given concomitantly with standard therapy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w:t>
            </w:r>
            <w:r w:rsidRPr="006D52A9">
              <w:rPr>
                <w:rFonts w:ascii="Arial" w:eastAsia="SimSun" w:hAnsi="Arial" w:cs="Arial"/>
                <w:sz w:val="16"/>
                <w:szCs w:val="16"/>
                <w:lang w:eastAsia="zh-CN"/>
              </w:rPr>
              <w:br/>
              <w:t>Patient must be 12 years of age or older.</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lumacaftor with ivacaftor Continuing Authority Application Supporting Information Form; and</w:t>
            </w:r>
            <w:r w:rsidRPr="006D52A9">
              <w:rPr>
                <w:rFonts w:ascii="Arial" w:eastAsia="SimSun" w:hAnsi="Arial" w:cs="Arial"/>
                <w:sz w:val="16"/>
                <w:szCs w:val="16"/>
                <w:lang w:eastAsia="zh-CN"/>
              </w:rPr>
              <w:br/>
              <w:t xml:space="preserve">(3) the result of a FEV1measurement performed within a month prior to the date of application. Note: FEV1, must be measured in an accredited pulmonary function laboratory, with documented no acute </w:t>
            </w:r>
            <w:r w:rsidRPr="006D52A9">
              <w:rPr>
                <w:rFonts w:ascii="Arial" w:eastAsia="SimSun" w:hAnsi="Arial" w:cs="Arial"/>
                <w:sz w:val="16"/>
                <w:szCs w:val="16"/>
                <w:lang w:eastAsia="zh-CN"/>
              </w:rPr>
              <w:lastRenderedPageBreak/>
              <w:t>infective exacerbation at the time FEV1is measured; and</w:t>
            </w:r>
            <w:r w:rsidRPr="006D52A9">
              <w:rPr>
                <w:rFonts w:ascii="Arial" w:eastAsia="SimSun" w:hAnsi="Arial" w:cs="Arial"/>
                <w:sz w:val="16"/>
                <w:szCs w:val="16"/>
                <w:lang w:eastAsia="zh-CN"/>
              </w:rPr>
              <w:br/>
              <w:t>(4) current CYP3A4 inhibitors, CYP3A4 inducers and IV antibiotics; and</w:t>
            </w:r>
            <w:r w:rsidRPr="006D52A9">
              <w:rPr>
                <w:rFonts w:ascii="Arial" w:eastAsia="SimSun" w:hAnsi="Arial" w:cs="Arial"/>
                <w:sz w:val="16"/>
                <w:szCs w:val="16"/>
                <w:lang w:eastAsia="zh-CN"/>
              </w:rPr>
              <w:br/>
              <w:t>(5) height and weight measurements at the time of application; and</w:t>
            </w:r>
            <w:r w:rsidRPr="006D52A9">
              <w:rPr>
                <w:rFonts w:ascii="Arial" w:eastAsia="SimSun" w:hAnsi="Arial" w:cs="Arial"/>
                <w:sz w:val="16"/>
                <w:szCs w:val="16"/>
                <w:lang w:eastAsia="zh-CN"/>
              </w:rPr>
              <w:br/>
              <w:t>(6)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6 months.</w:t>
            </w:r>
          </w:p>
        </w:tc>
        <w:tc>
          <w:tcPr>
            <w:tcW w:w="929" w:type="pct"/>
            <w:tcBorders>
              <w:bottom w:val="single" w:sz="4" w:space="0" w:color="auto"/>
            </w:tcBorders>
            <w:shd w:val="clear" w:color="auto" w:fill="auto"/>
            <w:tcMar>
              <w:top w:w="28" w:type="dxa"/>
              <w:left w:w="28" w:type="dxa"/>
              <w:right w:w="57" w:type="dxa"/>
            </w:tcMar>
          </w:tcPr>
          <w:p w14:paraId="4CC006C4"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22399EF7"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3D4D76D8"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5FD50CB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C10005</w:t>
            </w:r>
          </w:p>
        </w:tc>
        <w:tc>
          <w:tcPr>
            <w:tcW w:w="274" w:type="pct"/>
            <w:tcBorders>
              <w:bottom w:val="single" w:sz="4" w:space="0" w:color="auto"/>
            </w:tcBorders>
            <w:shd w:val="clear" w:color="auto" w:fill="auto"/>
            <w:tcMar>
              <w:top w:w="28" w:type="dxa"/>
              <w:left w:w="28" w:type="dxa"/>
            </w:tcMar>
          </w:tcPr>
          <w:p w14:paraId="0B55B6EE"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725771E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be homozygous for the F508del mutation in the cystic fibrosis transmembrane conductance regulator (CFTR) gene; AND</w:t>
            </w:r>
            <w:r w:rsidRPr="006D52A9">
              <w:rPr>
                <w:rFonts w:ascii="Arial" w:eastAsia="SimSun" w:hAnsi="Arial" w:cs="Arial"/>
                <w:sz w:val="16"/>
                <w:szCs w:val="16"/>
                <w:lang w:eastAsia="zh-CN"/>
              </w:rPr>
              <w:br/>
              <w:t>The treatment must be given concomitantly with standard therapy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w:t>
            </w:r>
            <w:r w:rsidRPr="006D52A9">
              <w:rPr>
                <w:rFonts w:ascii="Arial" w:eastAsia="SimSun" w:hAnsi="Arial" w:cs="Arial"/>
                <w:sz w:val="16"/>
                <w:szCs w:val="16"/>
                <w:lang w:eastAsia="zh-CN"/>
              </w:rPr>
              <w:br/>
              <w:t>Patient must be 2 years of age or older.</w:t>
            </w:r>
            <w:r w:rsidRPr="006D52A9">
              <w:rPr>
                <w:rFonts w:ascii="Arial" w:eastAsia="SimSun" w:hAnsi="Arial" w:cs="Arial"/>
                <w:sz w:val="16"/>
                <w:szCs w:val="16"/>
                <w:lang w:eastAsia="zh-CN"/>
              </w:rPr>
              <w:br/>
              <w:t>The patient must be registered in the Australian Cystic Fibrosis Database Registry.</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lumacaftor with ivacaftor Authority Application Supporting Information Form; and</w:t>
            </w:r>
            <w:r w:rsidRPr="006D52A9">
              <w:rPr>
                <w:rFonts w:ascii="Arial" w:eastAsia="SimSun" w:hAnsi="Arial" w:cs="Arial"/>
                <w:sz w:val="16"/>
                <w:szCs w:val="16"/>
                <w:lang w:eastAsia="zh-CN"/>
              </w:rPr>
              <w:br/>
              <w:t>(3) a copy of the pathology report detailing the molecular testing for the patient being homozygous for the F508del mutation on the CFTR gene; and</w:t>
            </w:r>
            <w:r w:rsidRPr="006D52A9">
              <w:rPr>
                <w:rFonts w:ascii="Arial" w:eastAsia="SimSun" w:hAnsi="Arial" w:cs="Arial"/>
                <w:sz w:val="16"/>
                <w:szCs w:val="16"/>
                <w:lang w:eastAsia="zh-CN"/>
              </w:rPr>
              <w:br/>
              <w:t>(4) the result of a FEV1measurement performed within a month prior to the date of application, if aged from 6 years or older. Note: FEV1, 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(5) current CYP3A4 inhibitors, CYP3A4 inducers and IV antibiotics; and</w:t>
            </w:r>
            <w:r w:rsidRPr="006D52A9">
              <w:rPr>
                <w:rFonts w:ascii="Arial" w:eastAsia="SimSun" w:hAnsi="Arial" w:cs="Arial"/>
                <w:sz w:val="16"/>
                <w:szCs w:val="16"/>
                <w:lang w:eastAsia="zh-CN"/>
              </w:rPr>
              <w:br/>
              <w:t>(6) height and weight measurements at the time of application;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(7) a baseline measurement of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the home) in the previous 12 months.</w:t>
            </w:r>
            <w:r w:rsidRPr="006D52A9">
              <w:rPr>
                <w:rFonts w:ascii="Arial" w:eastAsia="SimSun" w:hAnsi="Arial" w:cs="Arial"/>
                <w:sz w:val="16"/>
                <w:szCs w:val="16"/>
                <w:lang w:eastAsia="zh-CN"/>
              </w:rPr>
              <w:br/>
              <w:t>For patients who have initiated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PBS subsidised treatment prior to </w:t>
            </w:r>
            <w:r w:rsidR="003E082A" w:rsidRPr="006D52A9">
              <w:rPr>
                <w:rFonts w:ascii="Arial" w:eastAsia="SimSun" w:hAnsi="Arial" w:cs="Arial"/>
                <w:sz w:val="16"/>
                <w:szCs w:val="16"/>
                <w:lang w:eastAsia="zh-CN"/>
              </w:rPr>
              <w:t>1 December</w:t>
            </w:r>
            <w:r w:rsidRPr="006D52A9">
              <w:rPr>
                <w:rFonts w:ascii="Arial" w:eastAsia="SimSun" w:hAnsi="Arial" w:cs="Arial"/>
                <w:sz w:val="16"/>
                <w:szCs w:val="16"/>
                <w:lang w:eastAsia="zh-CN"/>
              </w:rPr>
              <w:t xml:space="preserve"> 2019, date of initiating treatment, baseline FEV1and hospitalisation dates prior to initiating treatment (where available) should be provided.</w:t>
            </w:r>
          </w:p>
        </w:tc>
        <w:tc>
          <w:tcPr>
            <w:tcW w:w="929" w:type="pct"/>
            <w:tcBorders>
              <w:bottom w:val="single" w:sz="4" w:space="0" w:color="auto"/>
            </w:tcBorders>
            <w:shd w:val="clear" w:color="auto" w:fill="auto"/>
            <w:tcMar>
              <w:top w:w="28" w:type="dxa"/>
              <w:left w:w="28" w:type="dxa"/>
              <w:right w:w="57" w:type="dxa"/>
            </w:tcMar>
          </w:tcPr>
          <w:p w14:paraId="1FB949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0D71ED75"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17942C1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2A6D52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C10007</w:t>
            </w:r>
          </w:p>
        </w:tc>
        <w:tc>
          <w:tcPr>
            <w:tcW w:w="274" w:type="pct"/>
            <w:tcBorders>
              <w:bottom w:val="single" w:sz="4" w:space="0" w:color="auto"/>
            </w:tcBorders>
            <w:shd w:val="clear" w:color="auto" w:fill="auto"/>
            <w:tcMar>
              <w:top w:w="28" w:type="dxa"/>
              <w:left w:w="28" w:type="dxa"/>
            </w:tcMar>
          </w:tcPr>
          <w:p w14:paraId="3EF6ECBB"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21E48DF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 AND</w:t>
            </w:r>
            <w:r w:rsidRPr="006D52A9">
              <w:rPr>
                <w:rFonts w:ascii="Arial" w:eastAsia="SimSun" w:hAnsi="Arial" w:cs="Arial"/>
                <w:sz w:val="16"/>
                <w:szCs w:val="16"/>
                <w:lang w:eastAsia="zh-CN"/>
              </w:rPr>
              <w:br/>
              <w:t>The treatment must be given concomitantly with standard therapy for this condition.</w:t>
            </w:r>
            <w:r w:rsidRPr="006D52A9">
              <w:rPr>
                <w:rFonts w:ascii="Arial" w:eastAsia="SimSun" w:hAnsi="Arial" w:cs="Arial"/>
                <w:sz w:val="16"/>
                <w:szCs w:val="16"/>
                <w:lang w:eastAsia="zh-CN"/>
              </w:rPr>
              <w:br/>
              <w:t>Patient must be 2 years of age or older.</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Lumacaftor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lumacaftor with ivacaftor Continuing Authority Application Supporting Information Form; and</w:t>
            </w:r>
            <w:r w:rsidRPr="006D52A9">
              <w:rPr>
                <w:rFonts w:ascii="Arial" w:eastAsia="SimSun" w:hAnsi="Arial" w:cs="Arial"/>
                <w:sz w:val="16"/>
                <w:szCs w:val="16"/>
                <w:lang w:eastAsia="zh-CN"/>
              </w:rPr>
              <w:br/>
              <w:t>(3) the result of a FEV1measurement performed within one month prior to the date of application, if aged 6 years or older. Note: FEV1, 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(4) current CYP3A4 inhibitors, CYP3A4 inducers and IV antibiotics; and</w:t>
            </w:r>
            <w:r w:rsidRPr="006D52A9">
              <w:rPr>
                <w:rFonts w:ascii="Arial" w:eastAsia="SimSun" w:hAnsi="Arial" w:cs="Arial"/>
                <w:sz w:val="16"/>
                <w:szCs w:val="16"/>
                <w:lang w:eastAsia="zh-CN"/>
              </w:rPr>
              <w:br/>
              <w:t>(5) height and weight measurements at the time of application; and</w:t>
            </w:r>
            <w:r w:rsidRPr="006D52A9">
              <w:rPr>
                <w:rFonts w:ascii="Arial" w:eastAsia="SimSun" w:hAnsi="Arial" w:cs="Arial"/>
                <w:sz w:val="16"/>
                <w:szCs w:val="16"/>
                <w:lang w:eastAsia="zh-CN"/>
              </w:rPr>
              <w:br/>
              <w:t>(6)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the home) in the previous 6 </w:t>
            </w:r>
            <w:r w:rsidRPr="006D52A9">
              <w:rPr>
                <w:rFonts w:ascii="Arial" w:eastAsia="SimSun" w:hAnsi="Arial" w:cs="Arial"/>
                <w:sz w:val="16"/>
                <w:szCs w:val="16"/>
                <w:lang w:eastAsia="zh-CN"/>
              </w:rPr>
              <w:lastRenderedPageBreak/>
              <w:t>months.</w:t>
            </w:r>
          </w:p>
        </w:tc>
        <w:tc>
          <w:tcPr>
            <w:tcW w:w="929" w:type="pct"/>
            <w:tcBorders>
              <w:bottom w:val="single" w:sz="4" w:space="0" w:color="auto"/>
            </w:tcBorders>
            <w:shd w:val="clear" w:color="auto" w:fill="auto"/>
            <w:tcMar>
              <w:top w:w="28" w:type="dxa"/>
              <w:left w:w="28" w:type="dxa"/>
              <w:right w:w="57" w:type="dxa"/>
            </w:tcMar>
          </w:tcPr>
          <w:p w14:paraId="5827E46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15259E" w14:paraId="1DDD7515"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66AF512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Macitentan</w:t>
            </w:r>
          </w:p>
        </w:tc>
        <w:tc>
          <w:tcPr>
            <w:tcW w:w="283" w:type="pct"/>
            <w:tcBorders>
              <w:bottom w:val="single" w:sz="4" w:space="0" w:color="auto"/>
            </w:tcBorders>
            <w:shd w:val="clear" w:color="auto" w:fill="auto"/>
            <w:tcMar>
              <w:top w:w="28" w:type="dxa"/>
              <w:left w:w="28" w:type="dxa"/>
            </w:tcMar>
          </w:tcPr>
          <w:p w14:paraId="6EC9597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C10228</w:t>
            </w:r>
          </w:p>
        </w:tc>
        <w:tc>
          <w:tcPr>
            <w:tcW w:w="274" w:type="pct"/>
            <w:tcBorders>
              <w:bottom w:val="single" w:sz="4" w:space="0" w:color="auto"/>
            </w:tcBorders>
            <w:shd w:val="clear" w:color="auto" w:fill="auto"/>
            <w:tcMar>
              <w:top w:w="28" w:type="dxa"/>
              <w:left w:w="28" w:type="dxa"/>
            </w:tcMar>
          </w:tcPr>
          <w:p w14:paraId="3D797C86"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78AB024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rPr>
              <w:t>Pulmonary arterial hypertension (PAH)</w:t>
            </w:r>
            <w:r w:rsidRPr="006D52A9">
              <w:rPr>
                <w:rFonts w:ascii="Arial" w:eastAsia="SimSun" w:hAnsi="Arial" w:cs="Arial"/>
                <w:sz w:val="16"/>
                <w:szCs w:val="16"/>
              </w:rPr>
              <w:br/>
              <w:t>Continuing treatment</w:t>
            </w:r>
            <w:r w:rsidRPr="006D52A9">
              <w:rPr>
                <w:rFonts w:ascii="Arial" w:eastAsia="SimSun" w:hAnsi="Arial" w:cs="Arial"/>
                <w:sz w:val="16"/>
                <w:szCs w:val="16"/>
              </w:rPr>
              <w:br/>
              <w:t>Patient must have received their most recent course of PBS</w:t>
            </w:r>
            <w:r w:rsidR="0026100E">
              <w:rPr>
                <w:rFonts w:ascii="Arial" w:eastAsia="SimSun" w:hAnsi="Arial" w:cs="Arial"/>
                <w:sz w:val="16"/>
                <w:szCs w:val="16"/>
              </w:rPr>
              <w:noBreakHyphen/>
            </w:r>
            <w:r w:rsidRPr="006D52A9">
              <w:rPr>
                <w:rFonts w:ascii="Arial" w:eastAsia="SimSun" w:hAnsi="Arial" w:cs="Arial"/>
                <w:sz w:val="16"/>
                <w:szCs w:val="16"/>
              </w:rPr>
              <w:t>subsidised treatment with this PAH agent for this condition; AND</w:t>
            </w:r>
            <w:r w:rsidRPr="006D52A9">
              <w:rPr>
                <w:rFonts w:ascii="Arial" w:eastAsia="SimSun" w:hAnsi="Arial" w:cs="Arial"/>
                <w:sz w:val="16"/>
                <w:szCs w:val="16"/>
              </w:rPr>
              <w:br/>
              <w:t>The treatment must be the sole PBS</w:t>
            </w:r>
            <w:r w:rsidR="0026100E">
              <w:rPr>
                <w:rFonts w:ascii="Arial" w:eastAsia="SimSun" w:hAnsi="Arial" w:cs="Arial"/>
                <w:sz w:val="16"/>
                <w:szCs w:val="16"/>
              </w:rPr>
              <w:noBreakHyphen/>
            </w:r>
            <w:r w:rsidRPr="006D52A9">
              <w:rPr>
                <w:rFonts w:ascii="Arial" w:eastAsia="SimSun" w:hAnsi="Arial" w:cs="Arial"/>
                <w:sz w:val="16"/>
                <w:szCs w:val="16"/>
              </w:rPr>
              <w:t>subsidised PAH agent for this condition.</w:t>
            </w:r>
            <w:r w:rsidRPr="006D52A9">
              <w:rPr>
                <w:rFonts w:ascii="Arial" w:eastAsia="SimSun" w:hAnsi="Arial" w:cs="Arial"/>
                <w:sz w:val="16"/>
                <w:szCs w:val="16"/>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rPr>
              <w:br/>
              <w:t>PAH agents are not PBS</w:t>
            </w:r>
            <w:r w:rsidR="0026100E">
              <w:rPr>
                <w:rFonts w:ascii="Arial" w:eastAsia="SimSun" w:hAnsi="Arial" w:cs="Arial"/>
                <w:sz w:val="16"/>
                <w:szCs w:val="16"/>
              </w:rPr>
              <w:noBreakHyphen/>
            </w:r>
            <w:r w:rsidRPr="006D52A9">
              <w:rPr>
                <w:rFonts w:ascii="Arial" w:eastAsia="SimSun"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rPr>
              <w:br/>
              <w:t>The maximum quantity authorised will be limited to provide sufficient supply for 1 month of treatment, based on the dosage recommendations in the TGA</w:t>
            </w:r>
            <w:r w:rsidR="0026100E">
              <w:rPr>
                <w:rFonts w:ascii="Arial" w:eastAsia="SimSun" w:hAnsi="Arial" w:cs="Arial"/>
                <w:sz w:val="16"/>
                <w:szCs w:val="16"/>
              </w:rPr>
              <w:noBreakHyphen/>
            </w:r>
            <w:r w:rsidRPr="006D52A9">
              <w:rPr>
                <w:rFonts w:ascii="Arial" w:eastAsia="SimSun" w:hAnsi="Arial" w:cs="Arial"/>
                <w:sz w:val="16"/>
                <w:szCs w:val="16"/>
              </w:rPr>
              <w:t>approved Product Information.</w:t>
            </w:r>
            <w:r w:rsidRPr="006D52A9">
              <w:rPr>
                <w:rFonts w:ascii="Arial" w:eastAsia="SimSun"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5384848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15259E" w14:paraId="2416655B"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53E15D07"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7BAAA7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C10236</w:t>
            </w:r>
          </w:p>
        </w:tc>
        <w:tc>
          <w:tcPr>
            <w:tcW w:w="274" w:type="pct"/>
            <w:tcBorders>
              <w:bottom w:val="single" w:sz="4" w:space="0" w:color="auto"/>
            </w:tcBorders>
            <w:shd w:val="clear" w:color="auto" w:fill="auto"/>
            <w:tcMar>
              <w:top w:w="28" w:type="dxa"/>
              <w:left w:w="28" w:type="dxa"/>
            </w:tcMar>
          </w:tcPr>
          <w:p w14:paraId="1F295CD0"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10DA4E0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rPr>
              <w:t>Pulmonary arterial hypertension (PAH)</w:t>
            </w:r>
            <w:r w:rsidRPr="006D52A9">
              <w:rPr>
                <w:rFonts w:ascii="Arial" w:eastAsia="SimSun" w:hAnsi="Arial" w:cs="Arial"/>
                <w:sz w:val="16"/>
                <w:szCs w:val="16"/>
              </w:rPr>
              <w:br/>
              <w:t>Initial 2 (change)</w:t>
            </w:r>
            <w:r w:rsidRPr="006D52A9">
              <w:rPr>
                <w:rFonts w:ascii="Arial" w:eastAsia="SimSun" w:hAnsi="Arial" w:cs="Arial"/>
                <w:sz w:val="16"/>
                <w:szCs w:val="16"/>
              </w:rPr>
              <w:br/>
              <w:t>Patient must have documented WHO Functional Class II PAH, or WHO Functional Class III PAH, or WHO Functional Class IV PAH; AND</w:t>
            </w:r>
            <w:r w:rsidRPr="006D52A9">
              <w:rPr>
                <w:rFonts w:ascii="Arial" w:eastAsia="SimSun" w:hAnsi="Arial" w:cs="Arial"/>
                <w:sz w:val="16"/>
                <w:szCs w:val="16"/>
              </w:rPr>
              <w:br/>
              <w:t>Patient must have had their most recent course of PBS</w:t>
            </w:r>
            <w:r w:rsidR="0026100E">
              <w:rPr>
                <w:rFonts w:ascii="Arial" w:eastAsia="SimSun" w:hAnsi="Arial" w:cs="Arial"/>
                <w:sz w:val="16"/>
                <w:szCs w:val="16"/>
              </w:rPr>
              <w:noBreakHyphen/>
            </w:r>
            <w:r w:rsidRPr="006D52A9">
              <w:rPr>
                <w:rFonts w:ascii="Arial" w:eastAsia="SimSun" w:hAnsi="Arial" w:cs="Arial"/>
                <w:sz w:val="16"/>
                <w:szCs w:val="16"/>
              </w:rPr>
              <w:t>subsidised treatment for this condition with a PAH agent other than this agent; AND</w:t>
            </w:r>
            <w:r w:rsidRPr="006D52A9">
              <w:rPr>
                <w:rFonts w:ascii="Arial" w:eastAsia="SimSun" w:hAnsi="Arial" w:cs="Arial"/>
                <w:sz w:val="16"/>
                <w:szCs w:val="16"/>
              </w:rPr>
              <w:br/>
              <w:t>The treatment must be the sole PBS</w:t>
            </w:r>
            <w:r w:rsidR="0026100E">
              <w:rPr>
                <w:rFonts w:ascii="Arial" w:eastAsia="SimSun" w:hAnsi="Arial" w:cs="Arial"/>
                <w:sz w:val="16"/>
                <w:szCs w:val="16"/>
              </w:rPr>
              <w:noBreakHyphen/>
            </w:r>
            <w:r w:rsidRPr="006D52A9">
              <w:rPr>
                <w:rFonts w:ascii="Arial" w:eastAsia="SimSun" w:hAnsi="Arial" w:cs="Arial"/>
                <w:sz w:val="16"/>
                <w:szCs w:val="16"/>
              </w:rPr>
              <w:t>subsidised PAH agent for this condition.</w:t>
            </w:r>
            <w:r w:rsidRPr="006D52A9">
              <w:rPr>
                <w:rFonts w:ascii="Arial" w:eastAsia="SimSun" w:hAnsi="Arial" w:cs="Arial"/>
                <w:sz w:val="16"/>
                <w:szCs w:val="16"/>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rPr>
              <w:br/>
              <w:t>PAH agents are not PBS</w:t>
            </w:r>
            <w:r w:rsidR="0026100E">
              <w:rPr>
                <w:rFonts w:ascii="Arial" w:eastAsia="SimSun" w:hAnsi="Arial" w:cs="Arial"/>
                <w:sz w:val="16"/>
                <w:szCs w:val="16"/>
              </w:rPr>
              <w:noBreakHyphen/>
            </w:r>
            <w:r w:rsidRPr="006D52A9">
              <w:rPr>
                <w:rFonts w:ascii="Arial" w:eastAsia="SimSun"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eastAsia="SimSun" w:hAnsi="Arial" w:cs="Arial"/>
                <w:sz w:val="16"/>
                <w:szCs w:val="16"/>
              </w:rPr>
              <w:noBreakHyphen/>
            </w:r>
            <w:r w:rsidRPr="006D52A9">
              <w:rPr>
                <w:rFonts w:ascii="Arial" w:eastAsia="SimSun" w:hAnsi="Arial" w:cs="Arial"/>
                <w:sz w:val="16"/>
                <w:szCs w:val="16"/>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eastAsia="SimSun" w:hAnsi="Arial" w:cs="Arial"/>
                <w:sz w:val="16"/>
                <w:szCs w:val="16"/>
              </w:rPr>
              <w:br/>
              <w:t>Applications to swap between the 8 PAH agents must be made under the relevant initial treatment (monotherapy) restriction.</w:t>
            </w:r>
            <w:r w:rsidRPr="006D52A9">
              <w:rPr>
                <w:rFonts w:ascii="Arial" w:eastAsia="SimSun" w:hAnsi="Arial" w:cs="Arial"/>
                <w:sz w:val="16"/>
                <w:szCs w:val="16"/>
              </w:rPr>
              <w:br/>
              <w:t>The maximum quantity authorised will be limited to provide sufficient supply for 1 month of treatment, based on the dosage recommendations in the TGA</w:t>
            </w:r>
            <w:r w:rsidR="0026100E">
              <w:rPr>
                <w:rFonts w:ascii="Arial" w:eastAsia="SimSun" w:hAnsi="Arial" w:cs="Arial"/>
                <w:sz w:val="16"/>
                <w:szCs w:val="16"/>
              </w:rPr>
              <w:noBreakHyphen/>
            </w:r>
            <w:r w:rsidRPr="006D52A9">
              <w:rPr>
                <w:rFonts w:ascii="Arial" w:eastAsia="SimSun" w:hAnsi="Arial" w:cs="Arial"/>
                <w:sz w:val="16"/>
                <w:szCs w:val="16"/>
              </w:rPr>
              <w:t>approved Product Information.</w:t>
            </w:r>
            <w:r w:rsidRPr="006D52A9">
              <w:rPr>
                <w:rFonts w:ascii="Arial" w:eastAsia="SimSun"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1F08B2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15259E" w14:paraId="51A24DA0" w14:textId="77777777" w:rsidTr="00FB6D2D">
        <w:tblPrEx>
          <w:tblLook w:val="01E0" w:firstRow="1" w:lastRow="1" w:firstColumn="1" w:lastColumn="1" w:noHBand="0" w:noVBand="0"/>
        </w:tblPrEx>
        <w:tc>
          <w:tcPr>
            <w:tcW w:w="647" w:type="pct"/>
            <w:tcBorders>
              <w:bottom w:val="single" w:sz="4" w:space="0" w:color="auto"/>
            </w:tcBorders>
            <w:shd w:val="clear" w:color="auto" w:fill="auto"/>
            <w:tcMar>
              <w:top w:w="28" w:type="dxa"/>
              <w:left w:w="28" w:type="dxa"/>
            </w:tcMar>
          </w:tcPr>
          <w:p w14:paraId="0A3B0AE9"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161E3EA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C10285</w:t>
            </w:r>
          </w:p>
        </w:tc>
        <w:tc>
          <w:tcPr>
            <w:tcW w:w="274" w:type="pct"/>
            <w:tcBorders>
              <w:bottom w:val="single" w:sz="4" w:space="0" w:color="auto"/>
            </w:tcBorders>
            <w:shd w:val="clear" w:color="auto" w:fill="auto"/>
            <w:tcMar>
              <w:top w:w="28" w:type="dxa"/>
              <w:left w:w="28" w:type="dxa"/>
            </w:tcMar>
          </w:tcPr>
          <w:p w14:paraId="21553986" w14:textId="77777777" w:rsidR="008F47B8" w:rsidRPr="006D52A9" w:rsidDel="0015259E"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5D8C826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rPr>
              <w:t>Pulmonary arterial hypertension (PAH)</w:t>
            </w:r>
            <w:r w:rsidRPr="006D52A9">
              <w:rPr>
                <w:rFonts w:ascii="Arial" w:eastAsia="SimSun" w:hAnsi="Arial" w:cs="Arial"/>
                <w:sz w:val="16"/>
                <w:szCs w:val="16"/>
              </w:rPr>
              <w:br/>
              <w:t>Initial 1 (new patients)</w:t>
            </w:r>
            <w:r w:rsidRPr="006D52A9">
              <w:rPr>
                <w:rFonts w:ascii="Arial" w:eastAsia="SimSun" w:hAnsi="Arial" w:cs="Arial"/>
                <w:sz w:val="16"/>
                <w:szCs w:val="16"/>
              </w:rPr>
              <w:br/>
              <w:t>Patient must not have received prior PBS</w:t>
            </w:r>
            <w:r w:rsidR="0026100E">
              <w:rPr>
                <w:rFonts w:ascii="Arial" w:eastAsia="SimSun" w:hAnsi="Arial" w:cs="Arial"/>
                <w:sz w:val="16"/>
                <w:szCs w:val="16"/>
              </w:rPr>
              <w:noBreakHyphen/>
            </w:r>
            <w:r w:rsidRPr="006D52A9">
              <w:rPr>
                <w:rFonts w:ascii="Arial" w:eastAsia="SimSun" w:hAnsi="Arial" w:cs="Arial"/>
                <w:sz w:val="16"/>
                <w:szCs w:val="16"/>
              </w:rPr>
              <w:t>subsidised treatment with a pulmonary arterial hypertension (PAH) agent; AND</w:t>
            </w:r>
            <w:r w:rsidRPr="006D52A9">
              <w:rPr>
                <w:rFonts w:ascii="Arial" w:eastAsia="SimSun" w:hAnsi="Arial" w:cs="Arial"/>
                <w:sz w:val="16"/>
                <w:szCs w:val="16"/>
              </w:rPr>
              <w:br/>
            </w:r>
            <w:r w:rsidRPr="006D52A9">
              <w:rPr>
                <w:rFonts w:ascii="Arial" w:eastAsia="SimSun" w:hAnsi="Arial" w:cs="Arial"/>
                <w:sz w:val="16"/>
                <w:szCs w:val="16"/>
              </w:rPr>
              <w:lastRenderedPageBreak/>
              <w:t>Patient must have been assessed by a physician with expertise in the management of PAH; AND</w:t>
            </w:r>
            <w:r w:rsidRPr="006D52A9">
              <w:rPr>
                <w:rFonts w:ascii="Arial" w:eastAsia="SimSun" w:hAnsi="Arial" w:cs="Arial"/>
                <w:sz w:val="16"/>
                <w:szCs w:val="16"/>
              </w:rPr>
              <w:br/>
              <w:t>Patient must have WHO Functional Class II PAH, or WHO Functional Class III PAH, or WHO Functional Class IV PAH; AND</w:t>
            </w:r>
            <w:r w:rsidRPr="006D52A9">
              <w:rPr>
                <w:rFonts w:ascii="Arial" w:eastAsia="SimSun" w:hAnsi="Arial" w:cs="Arial"/>
                <w:sz w:val="16"/>
                <w:szCs w:val="16"/>
              </w:rPr>
              <w:br/>
              <w:t>The treatment must be the sole PBS</w:t>
            </w:r>
            <w:r w:rsidR="0026100E">
              <w:rPr>
                <w:rFonts w:ascii="Arial" w:eastAsia="SimSun" w:hAnsi="Arial" w:cs="Arial"/>
                <w:sz w:val="16"/>
                <w:szCs w:val="16"/>
              </w:rPr>
              <w:noBreakHyphen/>
            </w:r>
            <w:r w:rsidRPr="006D52A9">
              <w:rPr>
                <w:rFonts w:ascii="Arial" w:eastAsia="SimSun" w:hAnsi="Arial" w:cs="Arial"/>
                <w:sz w:val="16"/>
                <w:szCs w:val="16"/>
              </w:rPr>
              <w:t>subsidised PAH agent for this condition.</w:t>
            </w:r>
            <w:r w:rsidRPr="006D52A9">
              <w:rPr>
                <w:rFonts w:ascii="Arial" w:eastAsia="SimSun" w:hAnsi="Arial" w:cs="Arial"/>
                <w:sz w:val="16"/>
                <w:szCs w:val="16"/>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rPr>
              <w:br/>
              <w:t>PAH agents are not PBS</w:t>
            </w:r>
            <w:r w:rsidR="0026100E">
              <w:rPr>
                <w:rFonts w:ascii="Arial" w:eastAsia="SimSun" w:hAnsi="Arial" w:cs="Arial"/>
                <w:sz w:val="16"/>
                <w:szCs w:val="16"/>
              </w:rPr>
              <w:noBreakHyphen/>
            </w:r>
            <w:r w:rsidRPr="006D52A9">
              <w:rPr>
                <w:rFonts w:ascii="Arial" w:eastAsia="SimSun" w:hAnsi="Arial" w:cs="Arial"/>
                <w:sz w:val="16"/>
                <w:szCs w:val="16"/>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rPr>
              <w:br/>
              <w:t>PAH (WHO Group 1 pulmonary hypertension) is defined as follows:</w:t>
            </w:r>
            <w:r w:rsidRPr="006D52A9">
              <w:rPr>
                <w:rFonts w:ascii="Arial" w:eastAsia="SimSun" w:hAnsi="Arial" w:cs="Arial"/>
                <w:sz w:val="16"/>
                <w:szCs w:val="16"/>
              </w:rPr>
              <w:br/>
              <w:t>(i) mean pulmonary artery pressure (mPAP) greater than or equal to 25 mmHg at rest and pulmonary artery wedge pressure (PAWP) less than or equal to 15 mmHg; or</w:t>
            </w:r>
            <w:r w:rsidRPr="006D52A9">
              <w:rPr>
                <w:rFonts w:ascii="Arial" w:eastAsia="SimSun" w:hAnsi="Arial" w:cs="Arial"/>
                <w:sz w:val="16"/>
                <w:szCs w:val="16"/>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rPr>
              <w:br/>
              <w:t>Applications for authorisation must be in writing and must include:</w:t>
            </w:r>
            <w:r w:rsidRPr="006D52A9">
              <w:rPr>
                <w:rFonts w:ascii="Arial" w:eastAsia="SimSun" w:hAnsi="Arial" w:cs="Arial"/>
                <w:sz w:val="16"/>
                <w:szCs w:val="16"/>
              </w:rPr>
              <w:br/>
              <w:t>(1) a completed authority prescription form; and</w:t>
            </w:r>
            <w:r w:rsidRPr="006D52A9">
              <w:rPr>
                <w:rFonts w:ascii="Arial" w:eastAsia="SimSun" w:hAnsi="Arial" w:cs="Arial"/>
                <w:sz w:val="16"/>
                <w:szCs w:val="16"/>
              </w:rPr>
              <w:br/>
              <w:t xml:space="preserve">(2) a completed Pulmonary Arterial Hypertension PBS Authority Application </w:t>
            </w:r>
            <w:r w:rsidR="0026100E">
              <w:rPr>
                <w:rFonts w:ascii="Arial" w:eastAsia="SimSun" w:hAnsi="Arial" w:cs="Arial"/>
                <w:sz w:val="16"/>
                <w:szCs w:val="16"/>
              </w:rPr>
              <w:noBreakHyphen/>
            </w:r>
            <w:r w:rsidRPr="006D52A9">
              <w:rPr>
                <w:rFonts w:ascii="Arial" w:eastAsia="SimSun" w:hAnsi="Arial" w:cs="Arial"/>
                <w:sz w:val="16"/>
                <w:szCs w:val="16"/>
              </w:rPr>
              <w:t xml:space="preserve"> Supporting Information form which includes results from the three tests below, where available:</w:t>
            </w:r>
            <w:r w:rsidRPr="006D52A9">
              <w:rPr>
                <w:rFonts w:ascii="Arial" w:eastAsia="SimSun" w:hAnsi="Arial" w:cs="Arial"/>
                <w:sz w:val="16"/>
                <w:szCs w:val="16"/>
              </w:rPr>
              <w:br/>
              <w:t>(i) RHC composite assessment; and</w:t>
            </w:r>
            <w:r w:rsidRPr="006D52A9">
              <w:rPr>
                <w:rFonts w:ascii="Arial" w:eastAsia="SimSun" w:hAnsi="Arial" w:cs="Arial"/>
                <w:sz w:val="16"/>
                <w:szCs w:val="16"/>
              </w:rPr>
              <w:br/>
              <w:t>(ii) ECHO composite assessment; and</w:t>
            </w:r>
            <w:r w:rsidRPr="006D52A9">
              <w:rPr>
                <w:rFonts w:ascii="Arial" w:eastAsia="SimSun" w:hAnsi="Arial" w:cs="Arial"/>
                <w:sz w:val="16"/>
                <w:szCs w:val="16"/>
              </w:rPr>
              <w:br/>
              <w:t>(iii) 6 Minute Walk Test (6MWT).</w:t>
            </w:r>
            <w:r w:rsidRPr="006D52A9">
              <w:rPr>
                <w:rFonts w:ascii="Arial" w:eastAsia="SimSun" w:hAnsi="Arial" w:cs="Arial"/>
                <w:sz w:val="16"/>
                <w:szCs w:val="16"/>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rPr>
              <w:noBreakHyphen/>
            </w:r>
            <w:r w:rsidRPr="006D52A9">
              <w:rPr>
                <w:rFonts w:ascii="Arial" w:eastAsia="SimSun" w:hAnsi="Arial" w:cs="Arial"/>
                <w:sz w:val="16"/>
                <w:szCs w:val="16"/>
              </w:rPr>
              <w:t>subsidised treatment:</w:t>
            </w:r>
            <w:r w:rsidRPr="006D52A9">
              <w:rPr>
                <w:rFonts w:ascii="Arial" w:eastAsia="SimSun" w:hAnsi="Arial" w:cs="Arial"/>
                <w:sz w:val="16"/>
                <w:szCs w:val="16"/>
              </w:rPr>
              <w:br/>
              <w:t>(1) RHC plus ECHO composite assessments;</w:t>
            </w:r>
            <w:r w:rsidRPr="006D52A9">
              <w:rPr>
                <w:rFonts w:ascii="Arial" w:eastAsia="SimSun" w:hAnsi="Arial" w:cs="Arial"/>
                <w:sz w:val="16"/>
                <w:szCs w:val="16"/>
              </w:rPr>
              <w:br/>
              <w:t>(2) RHC composite assessment plus 6MWT;</w:t>
            </w:r>
            <w:r w:rsidRPr="006D52A9">
              <w:rPr>
                <w:rFonts w:ascii="Arial" w:eastAsia="SimSun" w:hAnsi="Arial" w:cs="Arial"/>
                <w:sz w:val="16"/>
                <w:szCs w:val="16"/>
              </w:rPr>
              <w:br/>
              <w:t>(3) RHC composite assessment only.</w:t>
            </w:r>
            <w:r w:rsidRPr="006D52A9">
              <w:rPr>
                <w:rFonts w:ascii="Arial" w:eastAsia="SimSun" w:hAnsi="Arial" w:cs="Arial"/>
                <w:sz w:val="16"/>
                <w:szCs w:val="16"/>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rPr>
              <w:br/>
              <w:t>(1) ECHO composite assessment plus 6MWT;</w:t>
            </w:r>
            <w:r w:rsidRPr="006D52A9">
              <w:rPr>
                <w:rFonts w:ascii="Arial" w:eastAsia="SimSun" w:hAnsi="Arial" w:cs="Arial"/>
                <w:sz w:val="16"/>
                <w:szCs w:val="16"/>
              </w:rPr>
              <w:br/>
              <w:t>(2) ECHO composite assessment only.</w:t>
            </w:r>
            <w:r w:rsidRPr="006D52A9">
              <w:rPr>
                <w:rFonts w:ascii="Arial" w:eastAsia="SimSun" w:hAnsi="Arial" w:cs="Arial"/>
                <w:sz w:val="16"/>
                <w:szCs w:val="16"/>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rPr>
              <w:br/>
              <w:t>The test results provided must not be more than 2 months old at the time of application.</w:t>
            </w:r>
            <w:r w:rsidRPr="006D52A9">
              <w:rPr>
                <w:rFonts w:ascii="Arial" w:eastAsia="SimSun" w:hAnsi="Arial" w:cs="Arial"/>
                <w:sz w:val="16"/>
                <w:szCs w:val="16"/>
              </w:rPr>
              <w:br/>
              <w:t>The maximum quantity authorised will be limited to provide sufficient supply for 1 month of treatment, based on the dosage recommendations in the TGA</w:t>
            </w:r>
            <w:r w:rsidR="0026100E">
              <w:rPr>
                <w:rFonts w:ascii="Arial" w:eastAsia="SimSun" w:hAnsi="Arial" w:cs="Arial"/>
                <w:sz w:val="16"/>
                <w:szCs w:val="16"/>
              </w:rPr>
              <w:noBreakHyphen/>
            </w:r>
            <w:r w:rsidRPr="006D52A9">
              <w:rPr>
                <w:rFonts w:ascii="Arial" w:eastAsia="SimSun" w:hAnsi="Arial" w:cs="Arial"/>
                <w:sz w:val="16"/>
                <w:szCs w:val="16"/>
              </w:rPr>
              <w:t>approved Product Information.</w:t>
            </w:r>
            <w:r w:rsidRPr="006D52A9">
              <w:rPr>
                <w:rFonts w:ascii="Arial" w:eastAsia="SimSun" w:hAnsi="Arial" w:cs="Arial"/>
                <w:sz w:val="16"/>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7273702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A93A5F" w14:paraId="19B45356" w14:textId="77777777" w:rsidTr="00FB6D2D">
        <w:tblPrEx>
          <w:tblLook w:val="01E0" w:firstRow="1" w:lastRow="1" w:firstColumn="1" w:lastColumn="1" w:noHBand="0" w:noVBand="0"/>
        </w:tblPrEx>
        <w:tc>
          <w:tcPr>
            <w:tcW w:w="647" w:type="pct"/>
            <w:shd w:val="clear" w:color="auto" w:fill="auto"/>
            <w:tcMar>
              <w:top w:w="28" w:type="dxa"/>
              <w:left w:w="28" w:type="dxa"/>
            </w:tcMar>
          </w:tcPr>
          <w:p w14:paraId="5A88DBA6" w14:textId="77777777" w:rsidR="008F47B8" w:rsidRPr="006D52A9" w:rsidDel="00A93A5F"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4F5F580E" w14:textId="77777777" w:rsidR="008F47B8" w:rsidRPr="006D52A9" w:rsidDel="00A93A5F"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C11229 </w:t>
            </w:r>
          </w:p>
        </w:tc>
        <w:tc>
          <w:tcPr>
            <w:tcW w:w="274" w:type="pct"/>
            <w:shd w:val="clear" w:color="auto" w:fill="auto"/>
            <w:tcMar>
              <w:top w:w="28" w:type="dxa"/>
              <w:left w:w="28" w:type="dxa"/>
            </w:tcMar>
          </w:tcPr>
          <w:p w14:paraId="17C1E861" w14:textId="77777777" w:rsidR="008F47B8" w:rsidRPr="006D52A9" w:rsidDel="00A93A5F"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04FC9C2C" w14:textId="77777777" w:rsidR="008F47B8" w:rsidRPr="006D52A9" w:rsidDel="00A93A5F"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Triple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D52A9">
              <w:rPr>
                <w:rFonts w:ascii="Arial" w:eastAsia="SimSun" w:hAnsi="Arial" w:cs="Arial"/>
                <w:sz w:val="16"/>
                <w:szCs w:val="16"/>
                <w:lang w:eastAsia="zh-CN"/>
              </w:rPr>
              <w:br/>
              <w:t>The treatment must form part of triple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(referred to as 'triple therapy'); OR</w:t>
            </w:r>
            <w:r w:rsidRPr="006D52A9">
              <w:rPr>
                <w:rFonts w:ascii="Arial" w:eastAsia="SimSun" w:hAnsi="Arial" w:cs="Arial"/>
                <w:sz w:val="16"/>
                <w:szCs w:val="16"/>
                <w:lang w:eastAsia="zh-CN"/>
              </w:rPr>
              <w:br/>
              <w:t>The treatment must form part of dual combination therapy consisting of either: (i)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endothelin receptor antagonist, (ii)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as triple combination therapy with selexipag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an endothelin receptor antagonist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 phoshodiesterase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not possible due to an intolerance/contraindication to the endothelin receptor antagonist class/phosphodiesterase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class (referred to as 'dual therapy in lieu of triple therapy').</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The authority application for selexipag must be approved prior to the authority application for this agent.</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69FFE9AC" w14:textId="77777777" w:rsidR="008F47B8" w:rsidRPr="006D52A9" w:rsidDel="00A93A5F"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7561E4" w14:paraId="38C1D662" w14:textId="77777777" w:rsidTr="00FB6D2D">
        <w:tblPrEx>
          <w:tblLook w:val="01E0" w:firstRow="1" w:lastRow="1" w:firstColumn="1" w:lastColumn="1" w:noHBand="0" w:noVBand="0"/>
        </w:tblPrEx>
        <w:tc>
          <w:tcPr>
            <w:tcW w:w="647" w:type="pct"/>
            <w:shd w:val="clear" w:color="auto" w:fill="auto"/>
            <w:tcMar>
              <w:top w:w="28" w:type="dxa"/>
              <w:left w:w="28" w:type="dxa"/>
            </w:tcMar>
          </w:tcPr>
          <w:p w14:paraId="35EDDAA4"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00E99B9A"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C11312</w:t>
            </w:r>
          </w:p>
        </w:tc>
        <w:tc>
          <w:tcPr>
            <w:tcW w:w="274" w:type="pct"/>
            <w:shd w:val="clear" w:color="auto" w:fill="auto"/>
            <w:tcMar>
              <w:top w:w="28" w:type="dxa"/>
              <w:left w:w="28" w:type="dxa"/>
            </w:tcMar>
          </w:tcPr>
          <w:p w14:paraId="1D030424"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17C29E77"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1 (starting dual therapy in an untreated patient for the first time)</w:t>
            </w:r>
            <w:r w:rsidRPr="006D52A9">
              <w:rPr>
                <w:rFonts w:ascii="Arial" w:eastAsia="SimSun" w:hAnsi="Arial" w:cs="Arial"/>
                <w:sz w:val="16"/>
                <w:szCs w:val="16"/>
                <w:lang w:eastAsia="zh-CN"/>
              </w:rPr>
              <w:br/>
              <w:t>Patient must not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pulmonary arterial hypertension (PAH) agent; AND</w:t>
            </w:r>
            <w:r w:rsidRPr="006D52A9">
              <w:rPr>
                <w:rFonts w:ascii="Arial" w:eastAsia="SimSun" w:hAnsi="Arial" w:cs="Arial"/>
                <w:sz w:val="16"/>
                <w:szCs w:val="16"/>
                <w:lang w:eastAsia="zh-CN"/>
              </w:rPr>
              <w:br/>
              <w:t>Patient must currently have WHO Functional Class III PAH or WHO Functional Class IV PAH;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 xml:space="preserve">For the purposes of PBS subsidy, an endothelin receptor antagonist is one of: (a) ambrisentan, (b) </w:t>
            </w:r>
            <w:r w:rsidRPr="006D52A9">
              <w:rPr>
                <w:rFonts w:ascii="Arial" w:eastAsia="SimSun" w:hAnsi="Arial" w:cs="Arial"/>
                <w:sz w:val="16"/>
                <w:szCs w:val="16"/>
                <w:lang w:eastAsia="zh-CN"/>
              </w:rPr>
              <w:lastRenderedPageBreak/>
              <w:t>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The test results provided must not be more than 2 months old at the time of application.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204601DA" w14:textId="77777777" w:rsidR="008F47B8" w:rsidRPr="006D52A9" w:rsidDel="007561E4"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7561E4" w14:paraId="1FE4BF33" w14:textId="77777777" w:rsidTr="00FB6D2D">
        <w:tblPrEx>
          <w:tblLook w:val="01E0" w:firstRow="1" w:lastRow="1" w:firstColumn="1" w:lastColumn="1" w:noHBand="0" w:noVBand="0"/>
        </w:tblPrEx>
        <w:tc>
          <w:tcPr>
            <w:tcW w:w="647" w:type="pct"/>
            <w:shd w:val="clear" w:color="auto" w:fill="auto"/>
            <w:tcMar>
              <w:top w:w="28" w:type="dxa"/>
              <w:left w:w="28" w:type="dxa"/>
            </w:tcMar>
          </w:tcPr>
          <w:p w14:paraId="7F4A490C"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5FE158FA"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C11313</w:t>
            </w:r>
          </w:p>
        </w:tc>
        <w:tc>
          <w:tcPr>
            <w:tcW w:w="274" w:type="pct"/>
            <w:shd w:val="clear" w:color="auto" w:fill="auto"/>
            <w:tcMar>
              <w:top w:w="28" w:type="dxa"/>
              <w:left w:w="28" w:type="dxa"/>
            </w:tcMar>
          </w:tcPr>
          <w:p w14:paraId="631F6654"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6A599DA"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Continuing treatment (dual therapy)</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supply;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5A0C2B44" w14:textId="77777777" w:rsidR="008F47B8" w:rsidRPr="006D52A9" w:rsidDel="007561E4"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7561E4" w14:paraId="5E8C7375" w14:textId="77777777" w:rsidTr="00FB6D2D">
        <w:tblPrEx>
          <w:tblLook w:val="01E0" w:firstRow="1" w:lastRow="1" w:firstColumn="1" w:lastColumn="1" w:noHBand="0" w:noVBand="0"/>
        </w:tblPrEx>
        <w:tc>
          <w:tcPr>
            <w:tcW w:w="647" w:type="pct"/>
            <w:shd w:val="clear" w:color="auto" w:fill="auto"/>
            <w:tcMar>
              <w:top w:w="28" w:type="dxa"/>
              <w:left w:w="28" w:type="dxa"/>
            </w:tcMar>
          </w:tcPr>
          <w:p w14:paraId="2587C5CB"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64BBD469"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C11314</w:t>
            </w:r>
          </w:p>
        </w:tc>
        <w:tc>
          <w:tcPr>
            <w:tcW w:w="274" w:type="pct"/>
            <w:shd w:val="clear" w:color="auto" w:fill="auto"/>
            <w:tcMar>
              <w:top w:w="28" w:type="dxa"/>
              <w:left w:w="28" w:type="dxa"/>
            </w:tcMar>
          </w:tcPr>
          <w:p w14:paraId="14D0ADEB"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24ACC7D2"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2 (starting dual therapy in a treated patient for the first time)</w:t>
            </w:r>
            <w:r w:rsidRPr="006D52A9">
              <w:rPr>
                <w:rFonts w:ascii="Arial" w:eastAsia="SimSun" w:hAnsi="Arial" w:cs="Arial"/>
                <w:sz w:val="16"/>
                <w:szCs w:val="16"/>
                <w:lang w:eastAsia="zh-CN"/>
              </w:rPr>
              <w:br/>
              <w:t>The condition must be PAH of WHO Functional Class III severity at the time dual therapy is initiated; OR</w:t>
            </w:r>
            <w:r w:rsidRPr="006D52A9">
              <w:rPr>
                <w:rFonts w:ascii="Arial" w:eastAsia="SimSun" w:hAnsi="Arial" w:cs="Arial"/>
                <w:sz w:val="16"/>
                <w:szCs w:val="16"/>
                <w:lang w:eastAsia="zh-CN"/>
              </w:rPr>
              <w:br/>
              <w:t>The condition must be PAH of WHO Functional Class IV severity at the time dual therapy is initiated; AND</w:t>
            </w:r>
            <w:r w:rsidRPr="006D52A9">
              <w:rPr>
                <w:rFonts w:ascii="Arial" w:eastAsia="SimSun" w:hAnsi="Arial" w:cs="Arial"/>
                <w:sz w:val="16"/>
                <w:szCs w:val="16"/>
                <w:lang w:eastAsia="zh-CN"/>
              </w:rPr>
              <w:br/>
              <w:t>Patient must have failed to achieve/maintain WHO Functional Class II status with at least one of the following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therapies: (i) endothelin receptor antagonist monotherapy, (ii)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monotherapy, (iii) prostanoid monotherapy;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137A86A7" w14:textId="77777777" w:rsidR="008F47B8" w:rsidRPr="006D52A9" w:rsidDel="007561E4"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7561E4" w14:paraId="2C9D9B2F" w14:textId="77777777" w:rsidTr="00FB6D2D">
        <w:tblPrEx>
          <w:tblLook w:val="01E0" w:firstRow="1" w:lastRow="1" w:firstColumn="1" w:lastColumn="1" w:noHBand="0" w:noVBand="0"/>
        </w:tblPrEx>
        <w:tc>
          <w:tcPr>
            <w:tcW w:w="647" w:type="pct"/>
            <w:shd w:val="clear" w:color="auto" w:fill="auto"/>
            <w:tcMar>
              <w:top w:w="28" w:type="dxa"/>
              <w:left w:w="28" w:type="dxa"/>
            </w:tcMar>
          </w:tcPr>
          <w:p w14:paraId="4D363196"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3319186A"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C11317</w:t>
            </w:r>
          </w:p>
        </w:tc>
        <w:tc>
          <w:tcPr>
            <w:tcW w:w="274" w:type="pct"/>
            <w:shd w:val="clear" w:color="auto" w:fill="auto"/>
            <w:tcMar>
              <w:top w:w="28" w:type="dxa"/>
              <w:left w:w="28" w:type="dxa"/>
            </w:tcMar>
          </w:tcPr>
          <w:p w14:paraId="64CA7AF0"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6DB40A0"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Grandfathered patient (dual therapy)</w:t>
            </w:r>
            <w:r w:rsidRPr="006D52A9">
              <w:rPr>
                <w:rFonts w:ascii="Arial" w:eastAsia="SimSun" w:hAnsi="Arial" w:cs="Arial"/>
                <w:sz w:val="16"/>
                <w:szCs w:val="16"/>
                <w:lang w:eastAsia="zh-CN"/>
              </w:rPr>
              <w:br/>
              <w:t>Patient must be receiving dual therapy with this non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pulmonary arterial hypertension (PAH) agent and a non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5i) for this condition prior to </w:t>
            </w:r>
            <w:r w:rsidR="003E082A" w:rsidRPr="006D52A9">
              <w:rPr>
                <w:rFonts w:ascii="Arial" w:eastAsia="SimSun" w:hAnsi="Arial" w:cs="Arial"/>
                <w:sz w:val="16"/>
                <w:szCs w:val="16"/>
                <w:lang w:eastAsia="zh-CN"/>
              </w:rPr>
              <w:t>1 October</w:t>
            </w:r>
            <w:r w:rsidRPr="006D52A9">
              <w:rPr>
                <w:rFonts w:ascii="Arial" w:eastAsia="SimSun" w:hAnsi="Arial" w:cs="Arial"/>
                <w:sz w:val="16"/>
                <w:szCs w:val="16"/>
                <w:lang w:eastAsia="zh-CN"/>
              </w:rPr>
              <w:t xml:space="preserve"> 2020; AND</w:t>
            </w:r>
            <w:r w:rsidRPr="006D52A9">
              <w:rPr>
                <w:rFonts w:ascii="Arial" w:eastAsia="SimSun" w:hAnsi="Arial" w:cs="Arial"/>
                <w:sz w:val="16"/>
                <w:szCs w:val="16"/>
                <w:lang w:eastAsia="zh-CN"/>
              </w:rPr>
              <w:br/>
              <w:t>Patient must have documented WHO Functional Class III PAH or WHO Functional Class IV PAH.</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A prior PAH agent is any of: ambrisentan, bosentan, macitentan, sildenafil, tadalafil, epoprostenol, iloprost, riociguat.</w:t>
            </w:r>
            <w:r w:rsidRPr="006D52A9">
              <w:rPr>
                <w:rFonts w:ascii="Arial" w:eastAsia="SimSun" w:hAnsi="Arial" w:cs="Arial"/>
                <w:sz w:val="16"/>
                <w:szCs w:val="16"/>
                <w:lang w:eastAsia="zh-CN"/>
              </w:rPr>
              <w:br/>
              <w:t>For the purposes of PBS subsidy, dual therapy refers to combined use of an endothelin receptor antagonist (ERA) and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w:t>
            </w:r>
            <w:r w:rsidRPr="006D52A9">
              <w:rPr>
                <w:rFonts w:ascii="Arial" w:eastAsia="SimSun" w:hAnsi="Arial" w:cs="Arial"/>
                <w:sz w:val="16"/>
                <w:szCs w:val="16"/>
                <w:lang w:eastAsia="zh-CN"/>
              </w:rPr>
              <w:br/>
              <w:t>(i) An ERA includes ambrisentan, bosentan monohydrate, or macitentan.</w:t>
            </w:r>
            <w:r w:rsidRPr="006D52A9">
              <w:rPr>
                <w:rFonts w:ascii="Arial" w:eastAsia="SimSun" w:hAnsi="Arial" w:cs="Arial"/>
                <w:sz w:val="16"/>
                <w:szCs w:val="16"/>
                <w:lang w:eastAsia="zh-CN"/>
              </w:rPr>
              <w:br/>
              <w:t>(ii) A 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 includes sildenafil citrate, or tadalafil.</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 xml:space="preserve">Where fewer than 3 tests were able to be performed on clinical grounds, a patient specific reason outlining why the particular test(s) could not be conducted must be provided with the authority </w:t>
            </w:r>
            <w:r w:rsidRPr="006D52A9">
              <w:rPr>
                <w:rFonts w:ascii="Arial" w:eastAsia="SimSun" w:hAnsi="Arial" w:cs="Arial"/>
                <w:sz w:val="16"/>
                <w:szCs w:val="16"/>
                <w:lang w:eastAsia="zh-CN"/>
              </w:rPr>
              <w:lastRenderedPageBreak/>
              <w:t>application.</w:t>
            </w:r>
            <w:r w:rsidRPr="006D52A9">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A patient may qualify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under this restriction once only. For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a Grandfathered patient must qualify under the Continuing treatment criteria for dual therapy for this condition.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644B0221" w14:textId="77777777" w:rsidR="008F47B8" w:rsidRPr="006D52A9" w:rsidDel="007561E4"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Written </w:t>
            </w:r>
            <w:r w:rsidRPr="006D52A9">
              <w:rPr>
                <w:rFonts w:ascii="Arial" w:eastAsia="SimSun" w:hAnsi="Arial" w:cs="Arial"/>
                <w:sz w:val="16"/>
                <w:szCs w:val="16"/>
                <w:lang w:eastAsia="zh-CN"/>
              </w:rPr>
              <w:lastRenderedPageBreak/>
              <w:t>Authority Required procedures</w:t>
            </w:r>
          </w:p>
        </w:tc>
      </w:tr>
      <w:tr w:rsidR="008F47B8" w:rsidRPr="006D52A9" w:rsidDel="007561E4" w14:paraId="6F75AFDB" w14:textId="77777777" w:rsidTr="00FB6D2D">
        <w:tblPrEx>
          <w:tblLook w:val="01E0" w:firstRow="1" w:lastRow="1" w:firstColumn="1" w:lastColumn="1" w:noHBand="0" w:noVBand="0"/>
        </w:tblPrEx>
        <w:tc>
          <w:tcPr>
            <w:tcW w:w="647" w:type="pct"/>
            <w:shd w:val="clear" w:color="auto" w:fill="auto"/>
            <w:tcMar>
              <w:top w:w="28" w:type="dxa"/>
              <w:left w:w="28" w:type="dxa"/>
            </w:tcMar>
          </w:tcPr>
          <w:p w14:paraId="355722D5"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6AE0072A"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C11321</w:t>
            </w:r>
          </w:p>
        </w:tc>
        <w:tc>
          <w:tcPr>
            <w:tcW w:w="274" w:type="pct"/>
            <w:shd w:val="clear" w:color="auto" w:fill="auto"/>
            <w:tcMar>
              <w:top w:w="28" w:type="dxa"/>
              <w:left w:w="28" w:type="dxa"/>
            </w:tcMar>
          </w:tcPr>
          <w:p w14:paraId="2F7FC288" w14:textId="77777777" w:rsidR="008F47B8" w:rsidRPr="006D52A9" w:rsidDel="007561E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356A104" w14:textId="77777777" w:rsidR="008F47B8" w:rsidRPr="006D52A9" w:rsidDel="007561E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Initial 3 (dual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change)</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shd w:val="clear" w:color="auto" w:fill="auto"/>
            <w:tcMar>
              <w:top w:w="28" w:type="dxa"/>
              <w:left w:w="28" w:type="dxa"/>
              <w:right w:w="57" w:type="dxa"/>
            </w:tcMar>
          </w:tcPr>
          <w:p w14:paraId="3D6BE67A" w14:textId="77777777" w:rsidR="008F47B8" w:rsidRPr="006D52A9" w:rsidDel="007561E4"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C8725D" w14:paraId="5944C484" w14:textId="77777777" w:rsidTr="00FB6D2D">
        <w:tblPrEx>
          <w:tblLook w:val="01E0" w:firstRow="1" w:lastRow="1" w:firstColumn="1" w:lastColumn="1" w:noHBand="0" w:noVBand="0"/>
        </w:tblPrEx>
        <w:tc>
          <w:tcPr>
            <w:tcW w:w="647" w:type="pct"/>
            <w:shd w:val="clear" w:color="auto" w:fill="auto"/>
            <w:tcMar>
              <w:top w:w="28" w:type="dxa"/>
              <w:left w:w="28" w:type="dxa"/>
            </w:tcMar>
          </w:tcPr>
          <w:p w14:paraId="10E86716" w14:textId="77777777" w:rsidR="008F47B8" w:rsidRPr="006D52A9" w:rsidDel="00C8725D" w:rsidRDefault="008F47B8" w:rsidP="00FB6D2D">
            <w:pPr>
              <w:spacing w:line="240" w:lineRule="auto"/>
              <w:rPr>
                <w:rFonts w:ascii="Arial" w:eastAsia="SimSun" w:hAnsi="Arial" w:cs="Arial"/>
                <w:sz w:val="16"/>
                <w:szCs w:val="16"/>
                <w:lang w:eastAsia="zh-CN"/>
              </w:rPr>
            </w:pPr>
            <w:bookmarkStart w:id="176" w:name="CU_367620287"/>
            <w:bookmarkStart w:id="177" w:name="CU_368625538"/>
            <w:bookmarkStart w:id="178" w:name="CU_369631414"/>
            <w:bookmarkStart w:id="179" w:name="CU_370635780"/>
            <w:bookmarkStart w:id="180" w:name="CU_373642694"/>
            <w:bookmarkStart w:id="181" w:name="CU_374643449"/>
            <w:bookmarkStart w:id="182" w:name="CU_375647086"/>
            <w:bookmarkEnd w:id="176"/>
            <w:bookmarkEnd w:id="177"/>
            <w:bookmarkEnd w:id="178"/>
            <w:bookmarkEnd w:id="179"/>
            <w:bookmarkEnd w:id="180"/>
            <w:bookmarkEnd w:id="181"/>
            <w:bookmarkEnd w:id="182"/>
            <w:r w:rsidRPr="006D52A9">
              <w:rPr>
                <w:rFonts w:ascii="Arial" w:eastAsia="SimSun" w:hAnsi="Arial" w:cs="Arial"/>
                <w:sz w:val="16"/>
                <w:szCs w:val="16"/>
                <w:lang w:eastAsia="zh-CN"/>
              </w:rPr>
              <w:t>Mannitol</w:t>
            </w:r>
          </w:p>
        </w:tc>
        <w:tc>
          <w:tcPr>
            <w:tcW w:w="283" w:type="pct"/>
            <w:shd w:val="clear" w:color="auto" w:fill="auto"/>
            <w:tcMar>
              <w:top w:w="28" w:type="dxa"/>
              <w:left w:w="28" w:type="dxa"/>
            </w:tcMar>
          </w:tcPr>
          <w:p w14:paraId="3EC77AA7" w14:textId="77777777" w:rsidR="008F47B8" w:rsidRPr="006D52A9" w:rsidDel="00C8725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C7362</w:t>
            </w:r>
          </w:p>
        </w:tc>
        <w:tc>
          <w:tcPr>
            <w:tcW w:w="274" w:type="pct"/>
            <w:shd w:val="clear" w:color="auto" w:fill="auto"/>
            <w:tcMar>
              <w:top w:w="28" w:type="dxa"/>
              <w:left w:w="28" w:type="dxa"/>
            </w:tcMar>
          </w:tcPr>
          <w:p w14:paraId="05B93356"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2CF3157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p>
          <w:p w14:paraId="048BBBB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as monotherapy; AND</w:t>
            </w:r>
          </w:p>
          <w:p w14:paraId="7FAE3A5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intolerant or inadequately responsive to dornase alfa.</w:t>
            </w:r>
          </w:p>
          <w:p w14:paraId="5A0219E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6 years of age or older.</w:t>
            </w:r>
          </w:p>
          <w:p w14:paraId="1DA80F7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14:paraId="5366986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21F0B20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14:paraId="29E9B85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Initial therapy is limited to 3 months treatment with mannitol at a dose of 400 mg twice daily.</w:t>
            </w:r>
          </w:p>
          <w:p w14:paraId="0652A62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To be eligible for continued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following 3 months of initial treatment:</w:t>
            </w:r>
          </w:p>
          <w:p w14:paraId="2BBBC10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(1) the patient must demonstrate no deterioration in FEV1 compared to baseline; AND</w:t>
            </w:r>
          </w:p>
          <w:p w14:paraId="5CE964F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(2) the patient or the patient’s family (in the case of paediatric patients) and the treating physician(s) must report a benefit in the clinical status of the patient.</w:t>
            </w:r>
          </w:p>
          <w:p w14:paraId="00D22FE5" w14:textId="77777777" w:rsidR="008F47B8" w:rsidRPr="006D52A9" w:rsidDel="00C8725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Further reassessments must be undertaken and documented at six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29" w:type="pct"/>
            <w:shd w:val="clear" w:color="auto" w:fill="auto"/>
            <w:tcMar>
              <w:top w:w="28" w:type="dxa"/>
              <w:left w:w="28" w:type="dxa"/>
              <w:right w:w="57" w:type="dxa"/>
            </w:tcMar>
          </w:tcPr>
          <w:p w14:paraId="1A841C77" w14:textId="77777777" w:rsidR="008F47B8" w:rsidRPr="006D52A9" w:rsidDel="00C8725D"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7362</w:t>
            </w:r>
          </w:p>
        </w:tc>
      </w:tr>
      <w:tr w:rsidR="008F47B8" w:rsidRPr="006D52A9" w:rsidDel="00C8725D" w14:paraId="18781F92" w14:textId="77777777" w:rsidTr="00FB6D2D">
        <w:tblPrEx>
          <w:tblLook w:val="01E0" w:firstRow="1" w:lastRow="1" w:firstColumn="1" w:lastColumn="1" w:noHBand="0" w:noVBand="0"/>
        </w:tblPrEx>
        <w:tc>
          <w:tcPr>
            <w:tcW w:w="647" w:type="pct"/>
            <w:shd w:val="clear" w:color="auto" w:fill="auto"/>
            <w:tcMar>
              <w:top w:w="28" w:type="dxa"/>
              <w:left w:w="28" w:type="dxa"/>
            </w:tcMar>
          </w:tcPr>
          <w:p w14:paraId="3E33E5A4"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67FD931A" w14:textId="77777777" w:rsidR="008F47B8" w:rsidRPr="006D52A9" w:rsidDel="00C8725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C7367</w:t>
            </w:r>
          </w:p>
        </w:tc>
        <w:tc>
          <w:tcPr>
            <w:tcW w:w="274" w:type="pct"/>
            <w:shd w:val="clear" w:color="auto" w:fill="auto"/>
            <w:tcMar>
              <w:top w:w="28" w:type="dxa"/>
              <w:left w:w="28" w:type="dxa"/>
            </w:tcMar>
          </w:tcPr>
          <w:p w14:paraId="06013413"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737786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p>
          <w:p w14:paraId="26129D1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in combination with dornase alfa; AND</w:t>
            </w:r>
          </w:p>
          <w:p w14:paraId="3320A86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inadequately responsive to dornase alfa; AND</w:t>
            </w:r>
          </w:p>
          <w:p w14:paraId="06E99B1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trialled hypertonic saline for this condition.</w:t>
            </w:r>
          </w:p>
          <w:p w14:paraId="4AEE834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6 years of age or older.</w:t>
            </w:r>
          </w:p>
          <w:p w14:paraId="3B2E81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been assessed for bronchial hyperresponsiveness as per the TGA approved Product Information initiation dose assessment for this drug, prior to therapy with this drug, with a negative result.</w:t>
            </w:r>
          </w:p>
          <w:p w14:paraId="023DF99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14:paraId="1E9DDE0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Prior to therapy with this drug, a baseline measurement of forced expiratory volume in 1 second (FEV1) must be undertaken during a stable period of the disease.</w:t>
            </w:r>
          </w:p>
          <w:p w14:paraId="295C15F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Initial therapy is limited to 3 months treatment with mannitol at a dose of 400 mg twice daily.</w:t>
            </w:r>
          </w:p>
          <w:p w14:paraId="4CC306D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To be eligible for continued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following 3 months of initial treatment:</w:t>
            </w:r>
          </w:p>
          <w:p w14:paraId="70EA075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(1) the patient must demonstrate no deterioration in FEV1 compared to baseline; AND</w:t>
            </w:r>
          </w:p>
          <w:p w14:paraId="5D29BA3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(2) the patient or the patient’s family (in the case of paediatric patients) and the treating physician(s) must report a benefit in the clinical status of the patient.</w:t>
            </w:r>
          </w:p>
          <w:p w14:paraId="24DA2082" w14:textId="77777777" w:rsidR="008F47B8" w:rsidRPr="006D52A9" w:rsidDel="00C8725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Further reassessments must be undertaken and documented at six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29" w:type="pct"/>
            <w:shd w:val="clear" w:color="auto" w:fill="auto"/>
            <w:tcMar>
              <w:top w:w="28" w:type="dxa"/>
              <w:left w:w="28" w:type="dxa"/>
              <w:right w:w="57" w:type="dxa"/>
            </w:tcMar>
          </w:tcPr>
          <w:p w14:paraId="5F1DE21B" w14:textId="77777777" w:rsidR="008F47B8" w:rsidRPr="006D52A9" w:rsidDel="00C8725D"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7367</w:t>
            </w:r>
          </w:p>
        </w:tc>
      </w:tr>
      <w:tr w:rsidR="008F47B8" w:rsidRPr="006D52A9" w:rsidDel="00C8725D" w14:paraId="7907A141" w14:textId="77777777" w:rsidTr="00FB6D2D">
        <w:tblPrEx>
          <w:tblLook w:val="01E0" w:firstRow="1" w:lastRow="1" w:firstColumn="1" w:lastColumn="1" w:noHBand="0" w:noVBand="0"/>
        </w:tblPrEx>
        <w:tc>
          <w:tcPr>
            <w:tcW w:w="647" w:type="pct"/>
            <w:shd w:val="clear" w:color="auto" w:fill="auto"/>
            <w:tcMar>
              <w:top w:w="28" w:type="dxa"/>
              <w:left w:w="28" w:type="dxa"/>
            </w:tcMar>
          </w:tcPr>
          <w:p w14:paraId="535FDDE2"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1FD009A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C9527</w:t>
            </w:r>
          </w:p>
        </w:tc>
        <w:tc>
          <w:tcPr>
            <w:tcW w:w="274" w:type="pct"/>
            <w:shd w:val="clear" w:color="auto" w:fill="auto"/>
            <w:tcMar>
              <w:top w:w="28" w:type="dxa"/>
              <w:left w:w="28" w:type="dxa"/>
            </w:tcMar>
          </w:tcPr>
          <w:p w14:paraId="0B0E6039"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18E326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The treatment must be as monotherapy; AND</w:t>
            </w:r>
            <w:r w:rsidRPr="006D52A9">
              <w:rPr>
                <w:rFonts w:ascii="Arial" w:eastAsia="SimSun" w:hAnsi="Arial" w:cs="Arial"/>
                <w:sz w:val="16"/>
                <w:szCs w:val="16"/>
                <w:lang w:eastAsia="zh-CN"/>
              </w:rPr>
              <w:br/>
              <w:t>Patient must be intolerant or inadequately responsive to dornase alfa.</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6D52A9">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6D52A9">
              <w:rPr>
                <w:rFonts w:ascii="Arial" w:eastAsia="SimSun" w:hAnsi="Arial" w:cs="Arial"/>
                <w:sz w:val="16"/>
                <w:szCs w:val="16"/>
                <w:lang w:eastAsia="zh-CN"/>
              </w:rPr>
              <w:br/>
              <w:t>Initial therapy is limited to 3 months treatment with mannitol at a dose of 400 mg twice daily.</w:t>
            </w:r>
            <w:r w:rsidRPr="006D52A9">
              <w:rPr>
                <w:rFonts w:ascii="Arial" w:eastAsia="SimSun" w:hAnsi="Arial" w:cs="Arial"/>
                <w:sz w:val="16"/>
                <w:szCs w:val="16"/>
                <w:lang w:eastAsia="zh-CN"/>
              </w:rPr>
              <w:br/>
              <w:t>To be eligible for continued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following 3 months of initial treatment:</w:t>
            </w:r>
            <w:r w:rsidRPr="006D52A9">
              <w:rPr>
                <w:rFonts w:ascii="Arial" w:eastAsia="SimSun" w:hAnsi="Arial" w:cs="Arial"/>
                <w:sz w:val="16"/>
                <w:szCs w:val="16"/>
                <w:lang w:eastAsia="zh-CN"/>
              </w:rPr>
              <w:br/>
              <w:t>(1) the patient must demonstrate no deterioration in FEV1 compared to baseline; AND</w:t>
            </w:r>
            <w:r w:rsidRPr="006D52A9">
              <w:rPr>
                <w:rFonts w:ascii="Arial" w:eastAsia="SimSun" w:hAnsi="Arial" w:cs="Arial"/>
                <w:sz w:val="16"/>
                <w:szCs w:val="16"/>
                <w:lang w:eastAsia="zh-CN"/>
              </w:rPr>
              <w:br/>
              <w:t>(2) the patient or the patient’s family (in the case of paediatric patients) and the treating physician(s) must report a benefit in the clinical status of the patient.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Further reassessments must be undertaken and documented at six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29" w:type="pct"/>
            <w:shd w:val="clear" w:color="auto" w:fill="auto"/>
            <w:tcMar>
              <w:top w:w="28" w:type="dxa"/>
              <w:left w:w="28" w:type="dxa"/>
              <w:right w:w="57" w:type="dxa"/>
            </w:tcMar>
          </w:tcPr>
          <w:p w14:paraId="0730DFD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9527</w:t>
            </w:r>
          </w:p>
        </w:tc>
      </w:tr>
      <w:tr w:rsidR="008F47B8" w:rsidRPr="006D52A9" w:rsidDel="00C8725D" w14:paraId="00767424" w14:textId="77777777" w:rsidTr="00FB6D2D">
        <w:tblPrEx>
          <w:tblLook w:val="01E0" w:firstRow="1" w:lastRow="1" w:firstColumn="1" w:lastColumn="1" w:noHBand="0" w:noVBand="0"/>
        </w:tblPrEx>
        <w:tc>
          <w:tcPr>
            <w:tcW w:w="647" w:type="pct"/>
            <w:shd w:val="clear" w:color="auto" w:fill="auto"/>
            <w:tcMar>
              <w:top w:w="28" w:type="dxa"/>
              <w:left w:w="28" w:type="dxa"/>
            </w:tcMar>
          </w:tcPr>
          <w:p w14:paraId="34C22144"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168301D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C9593</w:t>
            </w:r>
          </w:p>
        </w:tc>
        <w:tc>
          <w:tcPr>
            <w:tcW w:w="274" w:type="pct"/>
            <w:shd w:val="clear" w:color="auto" w:fill="auto"/>
            <w:tcMar>
              <w:top w:w="28" w:type="dxa"/>
              <w:left w:w="28" w:type="dxa"/>
            </w:tcMar>
          </w:tcPr>
          <w:p w14:paraId="3AEABAFF" w14:textId="77777777" w:rsidR="008F47B8" w:rsidRPr="006D52A9" w:rsidDel="00C8725D"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A14A85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Cystic fibrosis</w:t>
            </w:r>
            <w:r w:rsidRPr="006D52A9">
              <w:rPr>
                <w:rFonts w:ascii="Arial" w:eastAsia="SimSun" w:hAnsi="Arial" w:cs="Arial"/>
                <w:sz w:val="16"/>
                <w:szCs w:val="16"/>
                <w:lang w:eastAsia="zh-CN"/>
              </w:rPr>
              <w:br/>
              <w:t>The treatment must be in combination with dornase alfa; AND</w:t>
            </w:r>
            <w:r w:rsidRPr="006D52A9">
              <w:rPr>
                <w:rFonts w:ascii="Arial" w:eastAsia="SimSun" w:hAnsi="Arial" w:cs="Arial"/>
                <w:sz w:val="16"/>
                <w:szCs w:val="16"/>
                <w:lang w:eastAsia="zh-CN"/>
              </w:rPr>
              <w:br/>
              <w:t>Patient must be inadequately responsive to dornase alfa; AND</w:t>
            </w:r>
            <w:r w:rsidRPr="006D52A9">
              <w:rPr>
                <w:rFonts w:ascii="Arial" w:eastAsia="SimSun" w:hAnsi="Arial" w:cs="Arial"/>
                <w:sz w:val="16"/>
                <w:szCs w:val="16"/>
                <w:lang w:eastAsia="zh-CN"/>
              </w:rPr>
              <w:br/>
              <w:t>Patient must have trialled hypertonic saline for this condition.</w:t>
            </w:r>
            <w:r w:rsidRPr="006D52A9">
              <w:rPr>
                <w:rFonts w:ascii="Arial" w:eastAsia="SimSun" w:hAnsi="Arial" w:cs="Arial"/>
                <w:sz w:val="16"/>
                <w:szCs w:val="16"/>
                <w:lang w:eastAsia="zh-CN"/>
              </w:rPr>
              <w:br/>
              <w:t>Patient must be 6 years of age or older.</w:t>
            </w:r>
            <w:r w:rsidRPr="006D52A9">
              <w:rPr>
                <w:rFonts w:ascii="Arial" w:eastAsia="SimSun" w:hAnsi="Arial" w:cs="Arial"/>
                <w:sz w:val="16"/>
                <w:szCs w:val="16"/>
                <w:lang w:eastAsia="zh-CN"/>
              </w:rPr>
              <w:br/>
              <w:t>Patient must have been assessed for bronchial hyperresponsiveness as per the TGA approved Product Information initiation dose assessment for this drug, prior to therapy with this drug, with a negative result.</w:t>
            </w:r>
            <w:r w:rsidRPr="006D52A9">
              <w:rPr>
                <w:rFonts w:ascii="Arial" w:eastAsia="SimSun" w:hAnsi="Arial" w:cs="Arial"/>
                <w:sz w:val="16"/>
                <w:szCs w:val="16"/>
                <w:lang w:eastAsia="zh-CN"/>
              </w:rPr>
              <w:br/>
              <w:t>Patient must be assessed at a cystic fibrosis clinic/centre which is under the control of specialist respiratory physicians with experience and expertise in the management of cystic fibrosis or by a specialist physician or paediatrician in consultation with such a unit.</w:t>
            </w:r>
            <w:r w:rsidRPr="006D52A9">
              <w:rPr>
                <w:rFonts w:ascii="Arial" w:eastAsia="SimSun" w:hAnsi="Arial" w:cs="Arial"/>
                <w:sz w:val="16"/>
                <w:szCs w:val="16"/>
                <w:lang w:eastAsia="zh-CN"/>
              </w:rPr>
              <w:br/>
              <w:t>Prior to therapy with this drug, a baseline measurement of forced expiratory volume in 1 second (FEV1) must be undertaken during a stable period of the disease.</w:t>
            </w:r>
            <w:r w:rsidRPr="006D52A9">
              <w:rPr>
                <w:rFonts w:ascii="Arial" w:eastAsia="SimSun" w:hAnsi="Arial" w:cs="Arial"/>
                <w:sz w:val="16"/>
                <w:szCs w:val="16"/>
                <w:lang w:eastAsia="zh-CN"/>
              </w:rPr>
              <w:br/>
              <w:t>Initial therapy is limited to 3 months treatment with mannitol at a dose of 400 mg twice daily.</w:t>
            </w:r>
            <w:r w:rsidRPr="006D52A9">
              <w:rPr>
                <w:rFonts w:ascii="Arial" w:eastAsia="SimSun" w:hAnsi="Arial" w:cs="Arial"/>
                <w:sz w:val="16"/>
                <w:szCs w:val="16"/>
                <w:lang w:eastAsia="zh-CN"/>
              </w:rPr>
              <w:br/>
              <w:t>To be eligible for continued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following 3 months of initial treatment:</w:t>
            </w:r>
            <w:r w:rsidRPr="006D52A9">
              <w:rPr>
                <w:rFonts w:ascii="Arial" w:eastAsia="SimSun" w:hAnsi="Arial" w:cs="Arial"/>
                <w:sz w:val="16"/>
                <w:szCs w:val="16"/>
                <w:lang w:eastAsia="zh-CN"/>
              </w:rPr>
              <w:br/>
              <w:t>(1) the patient must demonstrate no deterioration in FEV1 compared to baseline; AND</w:t>
            </w:r>
            <w:r w:rsidRPr="006D52A9">
              <w:rPr>
                <w:rFonts w:ascii="Arial" w:eastAsia="SimSun" w:hAnsi="Arial" w:cs="Arial"/>
                <w:sz w:val="16"/>
                <w:szCs w:val="16"/>
                <w:lang w:eastAsia="zh-CN"/>
              </w:rPr>
              <w:br/>
              <w:t>(2) the patient or the patient’s family (in the case of paediatric patients) and the treating physician(s) must report a benefit in the clinical status of the patient.</w:t>
            </w:r>
            <w:r w:rsidRPr="006D52A9">
              <w:rPr>
                <w:rFonts w:ascii="Arial" w:eastAsia="SimSun" w:hAnsi="Arial" w:cs="Arial"/>
                <w:sz w:val="16"/>
                <w:szCs w:val="16"/>
                <w:lang w:eastAsia="zh-CN"/>
              </w:rPr>
              <w:br/>
              <w:t>Further reassessments must be undertaken and documented at six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monthly intervals. Therapy with this drug should cease if there is not general agreement of benefit as there is always the possibility of harm from unnecessary use.</w:t>
            </w:r>
          </w:p>
        </w:tc>
        <w:tc>
          <w:tcPr>
            <w:tcW w:w="929" w:type="pct"/>
            <w:shd w:val="clear" w:color="auto" w:fill="auto"/>
            <w:tcMar>
              <w:top w:w="28" w:type="dxa"/>
              <w:left w:w="28" w:type="dxa"/>
              <w:right w:w="57" w:type="dxa"/>
            </w:tcMar>
          </w:tcPr>
          <w:p w14:paraId="658A29E7"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9593</w:t>
            </w:r>
          </w:p>
        </w:tc>
      </w:tr>
      <w:tr w:rsidR="008F47B8" w:rsidRPr="006D52A9" w:rsidDel="00C92AAE" w14:paraId="13B6404C" w14:textId="77777777" w:rsidTr="00FB6D2D">
        <w:tblPrEx>
          <w:tblLook w:val="01E0" w:firstRow="1" w:lastRow="1" w:firstColumn="1" w:lastColumn="1" w:noHBand="0" w:noVBand="0"/>
        </w:tblPrEx>
        <w:tc>
          <w:tcPr>
            <w:tcW w:w="647" w:type="pct"/>
            <w:tcMar>
              <w:top w:w="28" w:type="dxa"/>
              <w:left w:w="28" w:type="dxa"/>
            </w:tcMar>
          </w:tcPr>
          <w:p w14:paraId="5B5227CC" w14:textId="77777777" w:rsidR="008F47B8" w:rsidRPr="006D52A9" w:rsidDel="00C92AA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Maraviroc</w:t>
            </w:r>
          </w:p>
        </w:tc>
        <w:tc>
          <w:tcPr>
            <w:tcW w:w="283" w:type="pct"/>
            <w:tcMar>
              <w:top w:w="28" w:type="dxa"/>
              <w:left w:w="28" w:type="dxa"/>
            </w:tcMar>
          </w:tcPr>
          <w:p w14:paraId="79CDA914" w14:textId="77777777" w:rsidR="008F47B8" w:rsidRPr="006D52A9" w:rsidDel="00C92AA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C5008</w:t>
            </w:r>
          </w:p>
        </w:tc>
        <w:tc>
          <w:tcPr>
            <w:tcW w:w="274" w:type="pct"/>
            <w:tcMar>
              <w:top w:w="28" w:type="dxa"/>
              <w:left w:w="28" w:type="dxa"/>
            </w:tcMar>
          </w:tcPr>
          <w:p w14:paraId="61DC661D" w14:textId="77777777" w:rsidR="008F47B8" w:rsidRPr="006D52A9" w:rsidDel="00C92AAE"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F465E7E" w14:textId="77777777" w:rsidR="008F47B8" w:rsidRPr="006D52A9" w:rsidDel="00C92AAE"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Patient must be infected with CCR5</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tropic HIV</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AND</w:t>
            </w:r>
            <w:r w:rsidRPr="006D52A9">
              <w:rPr>
                <w:rFonts w:ascii="Arial" w:eastAsia="SimSun" w:hAnsi="Arial" w:cs="Arial"/>
                <w:sz w:val="16"/>
                <w:szCs w:val="16"/>
                <w:lang w:eastAsia="zh-CN"/>
              </w:rPr>
              <w:br/>
              <w:t>The treatment must be in addition to optimised background therapy, AND</w:t>
            </w:r>
            <w:r w:rsidRPr="006D52A9">
              <w:rPr>
                <w:rFonts w:ascii="Arial" w:eastAsia="SimSun" w:hAnsi="Arial" w:cs="Arial"/>
                <w:sz w:val="16"/>
                <w:szCs w:val="16"/>
                <w:lang w:eastAsia="zh-CN"/>
              </w:rPr>
              <w:br/>
              <w:t>The treatment must be in combination with other antiretroviral agents, AND</w:t>
            </w:r>
            <w:r w:rsidRPr="006D52A9">
              <w:rPr>
                <w:rFonts w:ascii="Arial" w:eastAsia="SimSun" w:hAnsi="Arial" w:cs="Arial"/>
                <w:sz w:val="16"/>
                <w:szCs w:val="16"/>
                <w:lang w:eastAsia="zh-CN"/>
              </w:rPr>
              <w:br/>
              <w:t>Patient must have experienced virological failure or clinical failure or genotypic resistance after each of at least 3 different antiretroviral regimens that have included one drug from at least 3 different antiretroviral classes.</w:t>
            </w:r>
            <w:r w:rsidRPr="006D52A9">
              <w:rPr>
                <w:rFonts w:ascii="Arial" w:eastAsia="SimSun" w:hAnsi="Arial" w:cs="Arial"/>
                <w:sz w:val="16"/>
                <w:szCs w:val="16"/>
                <w:lang w:eastAsia="zh-CN"/>
              </w:rPr>
              <w:br/>
              <w:t>Virological failure is defined as a viral load greater than 400 copies per mL on two consecutive occasions, while clinical failure is linked to emerging signs and symptoms of progressing HIV infection or treatment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limiting toxicity.</w:t>
            </w:r>
            <w:r w:rsidRPr="006D52A9">
              <w:rPr>
                <w:rFonts w:ascii="Arial" w:eastAsia="SimSun" w:hAnsi="Arial" w:cs="Arial"/>
                <w:sz w:val="16"/>
                <w:szCs w:val="16"/>
                <w:lang w:eastAsia="zh-CN"/>
              </w:rPr>
              <w:br/>
              <w:t>A tropism assay to determine CCR5 only strain status must be performed prior to initiation. Individuals with CXCR4 tropism demonstrated at any time point are not eligible.</w:t>
            </w:r>
          </w:p>
        </w:tc>
        <w:tc>
          <w:tcPr>
            <w:tcW w:w="929" w:type="pct"/>
            <w:tcMar>
              <w:top w:w="28" w:type="dxa"/>
              <w:left w:w="28" w:type="dxa"/>
              <w:right w:w="57" w:type="dxa"/>
            </w:tcMar>
          </w:tcPr>
          <w:p w14:paraId="29A4008F" w14:textId="77777777" w:rsidR="008F47B8" w:rsidRPr="006D52A9" w:rsidDel="00C92AAE"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5008</w:t>
            </w:r>
          </w:p>
        </w:tc>
      </w:tr>
      <w:tr w:rsidR="008F47B8" w:rsidRPr="006D52A9" w:rsidDel="0015259E" w14:paraId="62CDFB65" w14:textId="77777777" w:rsidTr="00FB6D2D">
        <w:tblPrEx>
          <w:tblLook w:val="01E0" w:firstRow="1" w:lastRow="1" w:firstColumn="1" w:lastColumn="1" w:noHBand="0" w:noVBand="0"/>
        </w:tblPrEx>
        <w:tc>
          <w:tcPr>
            <w:tcW w:w="647" w:type="pct"/>
            <w:tcMar>
              <w:top w:w="28" w:type="dxa"/>
              <w:left w:w="28" w:type="dxa"/>
            </w:tcMar>
          </w:tcPr>
          <w:p w14:paraId="51CD6EF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Mepolizumab</w:t>
            </w:r>
          </w:p>
        </w:tc>
        <w:tc>
          <w:tcPr>
            <w:tcW w:w="283" w:type="pct"/>
            <w:tcMar>
              <w:top w:w="28" w:type="dxa"/>
              <w:left w:w="28" w:type="dxa"/>
            </w:tcMar>
          </w:tcPr>
          <w:p w14:paraId="5127AF6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C9885</w:t>
            </w:r>
          </w:p>
        </w:tc>
        <w:tc>
          <w:tcPr>
            <w:tcW w:w="274" w:type="pct"/>
            <w:tcMar>
              <w:top w:w="28" w:type="dxa"/>
              <w:left w:w="28" w:type="dxa"/>
            </w:tcMar>
          </w:tcPr>
          <w:p w14:paraId="7A811E44" w14:textId="77777777" w:rsidR="008F47B8" w:rsidRPr="006D52A9" w:rsidDel="0015259E" w:rsidRDefault="008F47B8" w:rsidP="00FB6D2D">
            <w:pPr>
              <w:spacing w:line="240" w:lineRule="auto"/>
              <w:rPr>
                <w:rFonts w:ascii="Arial" w:eastAsia="SimSun" w:hAnsi="Arial" w:cs="Arial"/>
                <w:sz w:val="16"/>
                <w:szCs w:val="16"/>
                <w:lang w:eastAsia="zh-CN"/>
              </w:rPr>
            </w:pPr>
            <w:r w:rsidRPr="006D52A9">
              <w:rPr>
                <w:rFonts w:ascii="Arial" w:hAnsi="Arial" w:cs="Arial"/>
                <w:iCs/>
                <w:sz w:val="16"/>
                <w:szCs w:val="16"/>
              </w:rPr>
              <w:t>P9885</w:t>
            </w:r>
          </w:p>
        </w:tc>
        <w:tc>
          <w:tcPr>
            <w:tcW w:w="2867" w:type="pct"/>
            <w:tcMar>
              <w:top w:w="28" w:type="dxa"/>
              <w:left w:w="28" w:type="dxa"/>
            </w:tcMar>
          </w:tcPr>
          <w:p w14:paraId="46730FB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eosinophilic asthma</w:t>
            </w:r>
            <w:r w:rsidRPr="006D52A9">
              <w:rPr>
                <w:rFonts w:ascii="Arial" w:eastAsia="SimSun" w:hAnsi="Arial" w:cs="Arial"/>
                <w:sz w:val="16"/>
                <w:szCs w:val="16"/>
                <w:lang w:eastAsia="zh-CN"/>
              </w:rPr>
              <w:br/>
              <w:t>Balance of supply</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 xml:space="preserve">Patient must received insufficient therapy with this drug under the Initial 1 (new patients or </w:t>
            </w:r>
            <w:r w:rsidRPr="006D52A9">
              <w:rPr>
                <w:rFonts w:ascii="Arial" w:eastAsia="SimSun" w:hAnsi="Arial" w:cs="Arial"/>
                <w:sz w:val="16"/>
                <w:szCs w:val="16"/>
                <w:lang w:eastAsia="zh-CN"/>
              </w:rPr>
              <w:lastRenderedPageBreak/>
              <w:t>recommencement of treatment in a new treatment cycle) restriction to complete 32 weeks treatment; OR</w:t>
            </w:r>
            <w:r w:rsidRPr="006D52A9">
              <w:rPr>
                <w:rFonts w:ascii="Arial" w:eastAsia="SimSun" w:hAnsi="Arial" w:cs="Arial"/>
                <w:sz w:val="16"/>
                <w:szCs w:val="16"/>
                <w:lang w:eastAsia="zh-CN"/>
              </w:rPr>
              <w:br/>
              <w:t>Patient must have received insufficient therapy with this drug under the Initial 2 (change of treatment) restriction to complete 32 weeks treatment; OR</w:t>
            </w:r>
            <w:r w:rsidRPr="006D52A9">
              <w:rPr>
                <w:rFonts w:ascii="Arial" w:eastAsia="SimSun" w:hAnsi="Arial" w:cs="Arial"/>
                <w:sz w:val="16"/>
                <w:szCs w:val="16"/>
                <w:lang w:eastAsia="zh-CN"/>
              </w:rPr>
              <w:br/>
              <w:t>Patient must have received insufficient therapy with this drug under the Continuing treatment restriction to complete 24 weeks treatment; AND</w:t>
            </w:r>
            <w:r w:rsidRPr="006D52A9">
              <w:rPr>
                <w:rFonts w:ascii="Arial" w:eastAsia="SimSun" w:hAnsi="Arial" w:cs="Arial"/>
                <w:sz w:val="16"/>
                <w:szCs w:val="16"/>
                <w:lang w:eastAsia="zh-CN"/>
              </w:rPr>
              <w:br/>
              <w:t>The treatment must not provide more than the balance of up to 32 weeks of treatment if the most recent authority approval was made under an Initial treatment restriction; OR</w:t>
            </w:r>
            <w:r w:rsidRPr="006D52A9">
              <w:rPr>
                <w:rFonts w:ascii="Arial" w:eastAsia="SimSun" w:hAnsi="Arial" w:cs="Arial"/>
                <w:sz w:val="16"/>
                <w:szCs w:val="16"/>
                <w:lang w:eastAsia="zh-CN"/>
              </w:rPr>
              <w:br/>
              <w:t>The treatment must not provide more than the balance of up to 24 weeks of treatment if the most recent authority approval was made under the Continuing treatment restriction.</w:t>
            </w:r>
          </w:p>
        </w:tc>
        <w:tc>
          <w:tcPr>
            <w:tcW w:w="929" w:type="pct"/>
            <w:tcMar>
              <w:top w:w="28" w:type="dxa"/>
              <w:left w:w="28" w:type="dxa"/>
              <w:right w:w="57" w:type="dxa"/>
            </w:tcMar>
          </w:tcPr>
          <w:p w14:paraId="472EA07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FE20B2" w14:paraId="0EA72C7B" w14:textId="77777777" w:rsidTr="00FB6D2D">
        <w:tc>
          <w:tcPr>
            <w:tcW w:w="647" w:type="pct"/>
            <w:tcMar>
              <w:top w:w="28" w:type="dxa"/>
              <w:left w:w="28" w:type="dxa"/>
            </w:tcMar>
          </w:tcPr>
          <w:p w14:paraId="1332448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A7CE6E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C10221</w:t>
            </w:r>
          </w:p>
        </w:tc>
        <w:tc>
          <w:tcPr>
            <w:tcW w:w="274" w:type="pct"/>
            <w:tcMar>
              <w:top w:w="28" w:type="dxa"/>
              <w:left w:w="28" w:type="dxa"/>
            </w:tcMar>
          </w:tcPr>
          <w:p w14:paraId="74B24A22"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lang w:eastAsia="en-AU"/>
              </w:rPr>
              <w:t>P10221</w:t>
            </w:r>
          </w:p>
        </w:tc>
        <w:tc>
          <w:tcPr>
            <w:tcW w:w="2867" w:type="pct"/>
            <w:tcMar>
              <w:top w:w="28" w:type="dxa"/>
              <w:left w:w="28" w:type="dxa"/>
            </w:tcMar>
          </w:tcPr>
          <w:p w14:paraId="76D2F8F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eosinophilic asthma</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patients; or Recommencement of treatment in a new treatment cycle following a break in PBS subsidised biological medicine therapy)</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be under the care of the same physician for at least 6 months; OR</w:t>
            </w:r>
            <w:r w:rsidRPr="006D52A9">
              <w:rPr>
                <w:rFonts w:ascii="Arial" w:eastAsia="SimSun" w:hAnsi="Arial" w:cs="Arial"/>
                <w:sz w:val="16"/>
                <w:szCs w:val="16"/>
                <w:lang w:eastAsia="zh-CN"/>
              </w:rPr>
              <w:br/>
              <w:t>Patient must have been diagnosed by a multidisciplinary severe asthma clinic team;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OR</w:t>
            </w:r>
            <w:r w:rsidRPr="006D52A9">
              <w:rPr>
                <w:rFonts w:ascii="Arial" w:eastAsia="SimSun" w:hAnsi="Arial" w:cs="Arial"/>
                <w:sz w:val="16"/>
                <w:szCs w:val="16"/>
                <w:lang w:eastAsia="zh-CN"/>
              </w:rPr>
              <w:br/>
              <w:t>Patient must have had a break in treatment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severe asthma; AND</w:t>
            </w:r>
            <w:r w:rsidRPr="006D52A9">
              <w:rPr>
                <w:rFonts w:ascii="Arial" w:eastAsia="SimSun" w:hAnsi="Arial" w:cs="Arial"/>
                <w:sz w:val="16"/>
                <w:szCs w:val="16"/>
                <w:lang w:eastAsia="zh-CN"/>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D52A9">
              <w:rPr>
                <w:rFonts w:ascii="Arial" w:eastAsia="SimSun" w:hAnsi="Arial" w:cs="Arial"/>
                <w:sz w:val="16"/>
                <w:szCs w:val="16"/>
                <w:lang w:eastAsia="zh-CN"/>
              </w:rPr>
              <w:br/>
              <w:t>Patient must have a diagnosis of asthma from at least two physicians experienced in the management of patients with severe asthma; AND</w:t>
            </w:r>
            <w:r w:rsidRPr="006D52A9">
              <w:rPr>
                <w:rFonts w:ascii="Arial" w:eastAsia="SimSun" w:hAnsi="Arial" w:cs="Arial"/>
                <w:sz w:val="16"/>
                <w:szCs w:val="16"/>
                <w:lang w:eastAsia="zh-CN"/>
              </w:rPr>
              <w:br/>
              <w:t>Patient must have a duration of asthma of at least 1 year; AND</w:t>
            </w:r>
            <w:r w:rsidRPr="006D52A9">
              <w:rPr>
                <w:rFonts w:ascii="Arial" w:eastAsia="SimSun" w:hAnsi="Arial" w:cs="Arial"/>
                <w:sz w:val="16"/>
                <w:szCs w:val="16"/>
                <w:lang w:eastAsia="zh-CN"/>
              </w:rPr>
              <w:br/>
              <w:t>Patient must have blood eosinophil count greater than or equal to 300 cells per microlitre in the last 12 months; OR</w:t>
            </w:r>
            <w:r w:rsidRPr="006D52A9">
              <w:rPr>
                <w:rFonts w:ascii="Arial" w:eastAsia="SimSun" w:hAnsi="Arial" w:cs="Arial"/>
                <w:sz w:val="16"/>
                <w:szCs w:val="16"/>
                <w:lang w:eastAsia="zh-CN"/>
              </w:rPr>
              <w:br/>
              <w:t>Patient must have blood eosinophil count greater than or equal to 150 cells per microlitre while receiving treatment with oral corticosteroids in the last 12 months; AND</w:t>
            </w:r>
            <w:r w:rsidRPr="006D52A9">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6D52A9">
              <w:rPr>
                <w:rFonts w:ascii="Arial" w:eastAsia="SimSun" w:hAnsi="Arial" w:cs="Arial"/>
                <w:sz w:val="16"/>
                <w:szCs w:val="16"/>
                <w:lang w:eastAsia="zh-CN"/>
              </w:rPr>
              <w:br/>
              <w:t>Patient must not receive more than 32 weeks of treatment under this restriction;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prescribed for severe asthma.</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Optimised asthma therapy includes:</w:t>
            </w:r>
            <w:r w:rsidRPr="006D52A9">
              <w:rPr>
                <w:rFonts w:ascii="Arial" w:eastAsia="SimSun" w:hAnsi="Arial" w:cs="Arial"/>
                <w:sz w:val="16"/>
                <w:szCs w:val="16"/>
                <w:lang w:eastAsia="zh-CN"/>
              </w:rPr>
              <w:br/>
              <w:t>(i) Adherence to maximal inhaled therapy, including high dose inhaled corticosteroid (ICS) plus long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acting beta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 agonist (LABA) therapy for at least 12 months, unless contraindicated or not tolerated;</w:t>
            </w:r>
            <w:r w:rsidRPr="006D52A9">
              <w:rPr>
                <w:rFonts w:ascii="Arial" w:eastAsia="SimSun" w:hAnsi="Arial" w:cs="Arial"/>
                <w:sz w:val="16"/>
                <w:szCs w:val="16"/>
                <w:lang w:eastAsia="zh-CN"/>
              </w:rPr>
              <w:br/>
              <w:t>AND</w:t>
            </w:r>
            <w:r w:rsidRPr="006D52A9">
              <w:rPr>
                <w:rFonts w:ascii="Arial" w:eastAsia="SimSun" w:hAnsi="Arial" w:cs="Arial"/>
                <w:sz w:val="16"/>
                <w:szCs w:val="16"/>
                <w:lang w:eastAsia="zh-CN"/>
              </w:rPr>
              <w:br/>
              <w:t>(ii) treatment with oral corticosteroids, either daily oral corticosteroids for at least 6 weeks, OR a cumulative dose of oral corticosteroids of at least 500 mg prednisolone equivalent in the previous 12 months, unless contraindicated or not tolerated.</w:t>
            </w:r>
            <w:r w:rsidRPr="006D52A9">
              <w:rPr>
                <w:rFonts w:ascii="Arial" w:eastAsia="SimSun" w:hAnsi="Arial" w:cs="Arial"/>
                <w:sz w:val="16"/>
                <w:szCs w:val="16"/>
                <w:lang w:eastAsia="zh-CN"/>
              </w:rPr>
              <w:br/>
              <w:t>If the requirement for treatment with optimised asthma therapy cannot be met because of contraindications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6D52A9">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6D52A9">
              <w:rPr>
                <w:rFonts w:ascii="Arial" w:eastAsia="SimSun" w:hAnsi="Arial" w:cs="Arial"/>
                <w:sz w:val="16"/>
                <w:szCs w:val="16"/>
                <w:lang w:eastAsia="zh-CN"/>
              </w:rPr>
              <w:br/>
              <w:t>(a) an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of at least 2.0, as assessed in the previous month, AND</w:t>
            </w:r>
            <w:r w:rsidRPr="006D52A9">
              <w:rPr>
                <w:rFonts w:ascii="Arial" w:eastAsia="SimSun" w:hAnsi="Arial" w:cs="Arial"/>
                <w:sz w:val="16"/>
                <w:szCs w:val="16"/>
                <w:lang w:eastAsia="zh-CN"/>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eastAsia="SimSun" w:hAnsi="Arial" w:cs="Arial"/>
                <w:sz w:val="16"/>
                <w:szCs w:val="16"/>
                <w:lang w:eastAsia="zh-CN"/>
              </w:rPr>
              <w:br/>
              <w:t>The Asthma Control Questionnaire (5 item version) assessment of the patient’s response to this initial course of treatment, and the assessment of oral corticosteroid dose, should be made at around 28 weeks after the first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dose of this drug under this restriction so that there is adequate time for a response to be demonstrated and for the application for the first continuing therapy to be processed.</w:t>
            </w:r>
            <w:r w:rsidRPr="006D52A9">
              <w:rPr>
                <w:rFonts w:ascii="Arial" w:eastAsia="SimSun" w:hAnsi="Arial" w:cs="Arial"/>
                <w:sz w:val="16"/>
                <w:szCs w:val="16"/>
                <w:lang w:eastAsia="zh-CN"/>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within the same treatment cycle.</w:t>
            </w:r>
            <w:r w:rsidRPr="006D52A9">
              <w:rPr>
                <w:rFonts w:ascii="Arial" w:eastAsia="SimSun" w:hAnsi="Arial" w:cs="Arial"/>
                <w:sz w:val="16"/>
                <w:szCs w:val="16"/>
                <w:lang w:eastAsia="zh-CN"/>
              </w:rPr>
              <w:br/>
              <w:t>A treatment break in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of at least 12 months must be observed in a patient who has either failed to achieve or sustain a response to treatment with 3 biological medicines within the same treatment cycle.</w:t>
            </w:r>
            <w:r w:rsidRPr="006D52A9">
              <w:rPr>
                <w:rFonts w:ascii="Arial" w:eastAsia="SimSun" w:hAnsi="Arial" w:cs="Arial"/>
                <w:sz w:val="16"/>
                <w:szCs w:val="16"/>
                <w:lang w:eastAsia="zh-CN"/>
              </w:rPr>
              <w:br/>
              <w:t>The length of the break in therapy is measured from the date the most recent treatment with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administered until the date of the first application for recommencement of treatment with a biological medicine under the new treatment cycle.</w:t>
            </w:r>
            <w:r w:rsidRPr="006D52A9">
              <w:rPr>
                <w:rFonts w:ascii="Arial" w:eastAsia="SimSun" w:hAnsi="Arial" w:cs="Arial"/>
                <w:sz w:val="16"/>
                <w:szCs w:val="16"/>
                <w:lang w:eastAsia="zh-CN"/>
              </w:rPr>
              <w:br/>
              <w:t>There is no limit to the number of treatment cycles that a patient may undertake in their lifetime.</w:t>
            </w:r>
            <w:r w:rsidRPr="006D52A9">
              <w:rPr>
                <w:rFonts w:ascii="Arial" w:eastAsia="SimSun" w:hAnsi="Arial" w:cs="Arial"/>
                <w:sz w:val="16"/>
                <w:szCs w:val="16"/>
                <w:lang w:eastAsia="zh-CN"/>
              </w:rPr>
              <w:br/>
              <w:t>At the time of the authority application, medical practitioners should request up to 7 repeats to provide for an initial course of mepolizumab sufficient for up to 32 weeks of therapy.</w:t>
            </w:r>
            <w:r w:rsidRPr="006D52A9">
              <w:rPr>
                <w:rFonts w:ascii="Arial" w:eastAsia="SimSun" w:hAnsi="Arial" w:cs="Arial"/>
                <w:sz w:val="16"/>
                <w:szCs w:val="16"/>
                <w:lang w:eastAsia="zh-CN"/>
              </w:rPr>
              <w:br/>
              <w:t>A multidisciplinary severe asthma clinic team comprises of:</w:t>
            </w:r>
            <w:r w:rsidRPr="006D52A9">
              <w:rPr>
                <w:rFonts w:ascii="Arial" w:eastAsia="SimSun" w:hAnsi="Arial" w:cs="Arial"/>
                <w:sz w:val="16"/>
                <w:szCs w:val="16"/>
                <w:lang w:eastAsia="zh-CN"/>
              </w:rPr>
              <w:br/>
              <w:t>A respiratory physician; and</w:t>
            </w:r>
            <w:r w:rsidRPr="006D52A9">
              <w:rPr>
                <w:rFonts w:ascii="Arial" w:eastAsia="SimSun" w:hAnsi="Arial" w:cs="Arial"/>
                <w:sz w:val="16"/>
                <w:szCs w:val="16"/>
                <w:lang w:eastAsia="zh-CN"/>
              </w:rPr>
              <w:br/>
              <w:t>A pharmacist, nurse or asthma educator.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Severe Eosinophilic Asthma Initial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which includes the following:</w:t>
            </w:r>
            <w:r w:rsidRPr="006D52A9">
              <w:rPr>
                <w:rFonts w:ascii="Arial" w:eastAsia="SimSun" w:hAnsi="Arial" w:cs="Arial"/>
                <w:sz w:val="16"/>
                <w:szCs w:val="16"/>
                <w:lang w:eastAsia="zh-CN"/>
              </w:rPr>
              <w:br/>
              <w:t>(i) details of prior optimised asthma drug therapy (date of commencement and duration of therapy); and</w:t>
            </w:r>
            <w:r w:rsidRPr="006D52A9">
              <w:rPr>
                <w:rFonts w:ascii="Arial" w:eastAsia="SimSun" w:hAnsi="Arial" w:cs="Arial"/>
                <w:sz w:val="16"/>
                <w:szCs w:val="16"/>
                <w:lang w:eastAsia="zh-CN"/>
              </w:rPr>
              <w:br/>
              <w:t>(ii) details of severe exacerbation/s experienced in the past 12 months while receiving optimised asthma therapy (date and treatment); and</w:t>
            </w:r>
            <w:r w:rsidRPr="006D52A9">
              <w:rPr>
                <w:rFonts w:ascii="Arial" w:eastAsia="SimSun" w:hAnsi="Arial" w:cs="Arial"/>
                <w:sz w:val="16"/>
                <w:szCs w:val="16"/>
                <w:lang w:eastAsia="zh-CN"/>
              </w:rPr>
              <w:br/>
              <w:t>(iii) the eosinophil count and date; and</w:t>
            </w:r>
            <w:r w:rsidRPr="006D52A9">
              <w:rPr>
                <w:rFonts w:ascii="Arial" w:eastAsia="SimSun" w:hAnsi="Arial" w:cs="Arial"/>
                <w:sz w:val="16"/>
                <w:szCs w:val="16"/>
                <w:lang w:eastAsia="zh-CN"/>
              </w:rPr>
              <w:br/>
              <w:t>(iv)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w:t>
            </w:r>
          </w:p>
        </w:tc>
        <w:tc>
          <w:tcPr>
            <w:tcW w:w="929" w:type="pct"/>
            <w:tcMar>
              <w:top w:w="28" w:type="dxa"/>
              <w:left w:w="28" w:type="dxa"/>
              <w:right w:w="57" w:type="dxa"/>
            </w:tcMar>
          </w:tcPr>
          <w:p w14:paraId="16A68E20"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FE20B2" w14:paraId="0B1567FB" w14:textId="77777777" w:rsidTr="00FB6D2D">
        <w:tc>
          <w:tcPr>
            <w:tcW w:w="647" w:type="pct"/>
            <w:tcMar>
              <w:top w:w="28" w:type="dxa"/>
              <w:left w:w="28" w:type="dxa"/>
            </w:tcMar>
          </w:tcPr>
          <w:p w14:paraId="3E622FC5"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7CF5E2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C10222</w:t>
            </w:r>
          </w:p>
        </w:tc>
        <w:tc>
          <w:tcPr>
            <w:tcW w:w="274" w:type="pct"/>
            <w:tcMar>
              <w:top w:w="28" w:type="dxa"/>
              <w:left w:w="28" w:type="dxa"/>
            </w:tcMar>
          </w:tcPr>
          <w:p w14:paraId="495CB45F"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lang w:eastAsia="en-AU"/>
              </w:rPr>
              <w:t>P10222</w:t>
            </w:r>
          </w:p>
        </w:tc>
        <w:tc>
          <w:tcPr>
            <w:tcW w:w="2867" w:type="pct"/>
            <w:tcMar>
              <w:top w:w="28" w:type="dxa"/>
              <w:left w:w="28" w:type="dxa"/>
            </w:tcMar>
          </w:tcPr>
          <w:p w14:paraId="04807A0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eosinophilic asthma</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of treatment)</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be under the care of the same physician for at least 6 months; OR</w:t>
            </w:r>
            <w:r w:rsidRPr="006D52A9">
              <w:rPr>
                <w:rFonts w:ascii="Arial" w:eastAsia="SimSun" w:hAnsi="Arial" w:cs="Arial"/>
                <w:sz w:val="16"/>
                <w:szCs w:val="16"/>
                <w:lang w:eastAsia="zh-CN"/>
              </w:rPr>
              <w:br/>
              <w:t>Patient must have been diagnosed by a multidisciplinary severe asthma clinic team; AND</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in this treatment cycle; AND</w:t>
            </w:r>
            <w:r w:rsidRPr="006D52A9">
              <w:rPr>
                <w:rFonts w:ascii="Arial" w:eastAsia="SimSun" w:hAnsi="Arial" w:cs="Arial"/>
                <w:sz w:val="16"/>
                <w:szCs w:val="16"/>
                <w:lang w:eastAsia="zh-CN"/>
              </w:rPr>
              <w:br/>
              <w:t>Patient must not have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severe asthma during the current treatment cycle; AND</w:t>
            </w:r>
            <w:r w:rsidRPr="006D52A9">
              <w:rPr>
                <w:rFonts w:ascii="Arial" w:eastAsia="SimSun" w:hAnsi="Arial" w:cs="Arial"/>
                <w:sz w:val="16"/>
                <w:szCs w:val="16"/>
                <w:lang w:eastAsia="zh-CN"/>
              </w:rPr>
              <w:br/>
              <w:t>Patient must have had a blood eosinophil count greater than or equal to 300 cells per microlitre and that is no older than 12 months immediately prior to commencing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severe asthma; OR</w:t>
            </w:r>
            <w:r w:rsidRPr="006D52A9">
              <w:rPr>
                <w:rFonts w:ascii="Arial" w:eastAsia="SimSun" w:hAnsi="Arial" w:cs="Arial"/>
                <w:sz w:val="16"/>
                <w:szCs w:val="16"/>
                <w:lang w:eastAsia="zh-CN"/>
              </w:rPr>
              <w:br/>
              <w:t>Patient must have had a blood eosinophil count greater than or equal to 150 cells per microlitre while receiving treatment with oral corticosteroids and that is no older than 12 months immediately prior to commencing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severe asthma; AND</w:t>
            </w:r>
            <w:r w:rsidRPr="006D52A9">
              <w:rPr>
                <w:rFonts w:ascii="Arial" w:eastAsia="SimSun" w:hAnsi="Arial" w:cs="Arial"/>
                <w:sz w:val="16"/>
                <w:szCs w:val="16"/>
                <w:lang w:eastAsia="zh-CN"/>
              </w:rPr>
              <w:br/>
              <w:t>Patient must not receive more than 32 weeks of treatment under this restriction;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prescribed for severe asthma.</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Severe Eosinophilic Asthma (mepolizumab/benralizumab) Initial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item version) score (where a new baseline is being submitted or where the patient has responded to prior treatment); and</w:t>
            </w:r>
            <w:r w:rsidRPr="006D52A9">
              <w:rPr>
                <w:rFonts w:ascii="Arial" w:eastAsia="SimSun" w:hAnsi="Arial" w:cs="Arial"/>
                <w:sz w:val="16"/>
                <w:szCs w:val="16"/>
                <w:lang w:eastAsia="zh-CN"/>
              </w:rPr>
              <w:br/>
              <w:t>(ii) the details of prior biological medicine treatment including the details of date and duration of treatment; and</w:t>
            </w:r>
            <w:r w:rsidRPr="006D52A9">
              <w:rPr>
                <w:rFonts w:ascii="Arial" w:eastAsia="SimSun" w:hAnsi="Arial" w:cs="Arial"/>
                <w:sz w:val="16"/>
                <w:szCs w:val="16"/>
                <w:lang w:eastAsia="zh-CN"/>
              </w:rPr>
              <w:br/>
              <w:t>(iii) eosinophil count and date; and</w:t>
            </w:r>
            <w:r w:rsidRPr="006D52A9">
              <w:rPr>
                <w:rFonts w:ascii="Arial" w:eastAsia="SimSun" w:hAnsi="Arial" w:cs="Arial"/>
                <w:sz w:val="16"/>
                <w:szCs w:val="16"/>
                <w:lang w:eastAsia="zh-CN"/>
              </w:rPr>
              <w:br/>
              <w:t>(iv) the dose of the maintenance oral corticosteroid (where the response criteria or baseline is based on corticosteroid dose);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(v) the reason for switching therapy (e.g. failure of prior therapy, partial response to prior therapy, adverse event to prior therapy).</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severe asthma who wishes to change therapy to this biological medicine, must be accompanied by the results of an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assessment of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D52A9">
              <w:rPr>
                <w:rFonts w:ascii="Arial" w:eastAsia="SimSun" w:hAnsi="Arial" w:cs="Arial"/>
                <w:sz w:val="16"/>
                <w:szCs w:val="16"/>
                <w:lang w:eastAsia="zh-CN"/>
              </w:rPr>
              <w:br/>
              <w:t>An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assessment of the patient may be made at the time of application for treatment (to establish a new baseline score), but should be made again around 28 weeks after the first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dose of this biological medicine under this restriction so that there is adequate time for a response to be demonstrated and for the application for the first continuing therapy to be processed.</w:t>
            </w:r>
            <w:r w:rsidRPr="006D52A9">
              <w:rPr>
                <w:rFonts w:ascii="Arial" w:eastAsia="SimSun" w:hAnsi="Arial" w:cs="Arial"/>
                <w:sz w:val="16"/>
                <w:szCs w:val="16"/>
                <w:lang w:eastAsia="zh-CN"/>
              </w:rPr>
              <w:b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6D52A9">
              <w:rPr>
                <w:rFonts w:ascii="Arial" w:eastAsia="SimSun" w:hAnsi="Arial" w:cs="Arial"/>
                <w:sz w:val="16"/>
                <w:szCs w:val="16"/>
                <w:lang w:eastAsia="zh-CN"/>
              </w:rPr>
              <w:br/>
              <w:t>At the time of the authority application, medical practitioners should request up to 7 repeats to provide for an initial course sufficient for up to 32 weeks of therapy.</w:t>
            </w:r>
            <w:r w:rsidRPr="006D52A9">
              <w:rPr>
                <w:rFonts w:ascii="Arial" w:eastAsia="SimSun" w:hAnsi="Arial" w:cs="Arial"/>
                <w:sz w:val="16"/>
                <w:szCs w:val="16"/>
                <w:lang w:eastAsia="zh-CN"/>
              </w:rPr>
              <w:br/>
              <w:t>A multidisciplinary severe asthma clinic team comprises of:</w:t>
            </w:r>
            <w:r w:rsidRPr="006D52A9">
              <w:rPr>
                <w:rFonts w:ascii="Arial" w:eastAsia="SimSun" w:hAnsi="Arial" w:cs="Arial"/>
                <w:sz w:val="16"/>
                <w:szCs w:val="16"/>
                <w:lang w:eastAsia="zh-CN"/>
              </w:rPr>
              <w:br/>
              <w:t>A respiratory physician; and</w:t>
            </w:r>
            <w:r w:rsidRPr="006D52A9">
              <w:rPr>
                <w:rFonts w:ascii="Arial" w:eastAsia="SimSun" w:hAnsi="Arial" w:cs="Arial"/>
                <w:sz w:val="16"/>
                <w:szCs w:val="16"/>
                <w:lang w:eastAsia="zh-CN"/>
              </w:rPr>
              <w:br/>
              <w:t>A pharmacist, nurse or asthma educator.</w:t>
            </w:r>
          </w:p>
        </w:tc>
        <w:tc>
          <w:tcPr>
            <w:tcW w:w="929" w:type="pct"/>
            <w:tcMar>
              <w:top w:w="28" w:type="dxa"/>
              <w:left w:w="28" w:type="dxa"/>
              <w:right w:w="57" w:type="dxa"/>
            </w:tcMar>
          </w:tcPr>
          <w:p w14:paraId="4FD720E2"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FE20B2" w14:paraId="37EA0FD6" w14:textId="77777777" w:rsidTr="00FB6D2D">
        <w:tc>
          <w:tcPr>
            <w:tcW w:w="647" w:type="pct"/>
            <w:tcMar>
              <w:top w:w="28" w:type="dxa"/>
              <w:left w:w="28" w:type="dxa"/>
            </w:tcMar>
          </w:tcPr>
          <w:p w14:paraId="4F42AE8C"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C2F0AB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C10280</w:t>
            </w:r>
          </w:p>
        </w:tc>
        <w:tc>
          <w:tcPr>
            <w:tcW w:w="274" w:type="pct"/>
            <w:tcMar>
              <w:top w:w="28" w:type="dxa"/>
              <w:left w:w="28" w:type="dxa"/>
            </w:tcMar>
          </w:tcPr>
          <w:p w14:paraId="43BA46B3"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lang w:eastAsia="en-AU"/>
              </w:rPr>
              <w:t>P10280</w:t>
            </w:r>
          </w:p>
        </w:tc>
        <w:tc>
          <w:tcPr>
            <w:tcW w:w="2867" w:type="pct"/>
            <w:tcMar>
              <w:top w:w="28" w:type="dxa"/>
              <w:left w:w="28" w:type="dxa"/>
            </w:tcMar>
          </w:tcPr>
          <w:p w14:paraId="5C371A6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eosinophilic asthma</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have demonstrated or sustained an adequate response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prescribed for severe asthma;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t>An adequate response to this biological medicine is defined as:</w:t>
            </w:r>
            <w:r w:rsidRPr="006D52A9">
              <w:rPr>
                <w:rFonts w:ascii="Arial" w:eastAsia="SimSun" w:hAnsi="Arial" w:cs="Arial"/>
                <w:sz w:val="16"/>
                <w:szCs w:val="16"/>
                <w:lang w:eastAsia="zh-CN"/>
              </w:rPr>
              <w:br/>
              <w:t>(a) a reduction in the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of at least 0.5 from baseline,</w:t>
            </w:r>
            <w:r w:rsidRPr="006D52A9">
              <w:rPr>
                <w:rFonts w:ascii="Arial" w:eastAsia="SimSun" w:hAnsi="Arial" w:cs="Arial"/>
                <w:sz w:val="16"/>
                <w:szCs w:val="16"/>
                <w:lang w:eastAsia="zh-CN"/>
              </w:rPr>
              <w:br/>
              <w:t>OR</w:t>
            </w:r>
            <w:r w:rsidRPr="006D52A9">
              <w:rPr>
                <w:rFonts w:ascii="Arial" w:eastAsia="SimSun" w:hAnsi="Arial" w:cs="Arial"/>
                <w:sz w:val="16"/>
                <w:szCs w:val="16"/>
                <w:lang w:eastAsia="zh-CN"/>
              </w:rPr>
              <w:br/>
              <w:t>(b) maintenance oral corticosteroid dose reduced by at least 25% from baseline, and no deterioration in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from baseline or an increase in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from baseline less than or equal to 0.5.</w:t>
            </w:r>
            <w:r w:rsidRPr="006D52A9">
              <w:rPr>
                <w:rFonts w:ascii="Arial" w:eastAsia="SimSun" w:hAnsi="Arial" w:cs="Arial"/>
                <w:sz w:val="16"/>
                <w:szCs w:val="16"/>
                <w:lang w:eastAsia="zh-CN"/>
              </w:rPr>
              <w:b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dose of </w:t>
            </w:r>
            <w:r w:rsidRPr="006D52A9">
              <w:rPr>
                <w:rFonts w:ascii="Arial" w:eastAsia="SimSun" w:hAnsi="Arial" w:cs="Arial"/>
                <w:sz w:val="16"/>
                <w:szCs w:val="16"/>
                <w:lang w:eastAsia="zh-CN"/>
              </w:rPr>
              <w:lastRenderedPageBreak/>
              <w:t>this drug under this restriction so that there is adequate time for a response to be demonstrated and for the application for continuing therapy to be processed.</w:t>
            </w:r>
            <w:r w:rsidRPr="006D52A9">
              <w:rPr>
                <w:rFonts w:ascii="Arial" w:eastAsia="SimSun" w:hAnsi="Arial" w:cs="Arial"/>
                <w:sz w:val="16"/>
                <w:szCs w:val="16"/>
                <w:lang w:eastAsia="zh-CN"/>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6D52A9">
              <w:rPr>
                <w:rFonts w:ascii="Arial" w:eastAsia="SimSun" w:hAnsi="Arial" w:cs="Arial"/>
                <w:sz w:val="16"/>
                <w:szCs w:val="16"/>
                <w:lang w:eastAsia="zh-CN"/>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D52A9">
              <w:rPr>
                <w:rFonts w:ascii="Arial" w:eastAsia="SimSun" w:hAnsi="Arial" w:cs="Arial"/>
                <w:sz w:val="16"/>
                <w:szCs w:val="16"/>
                <w:lang w:eastAsia="zh-CN"/>
              </w:rPr>
              <w:br/>
              <w:t>A patient who fails to respond to treatment with this biological medicine for uncontrolled severe asthma will not be eligible to receive further PBS subsidised treatment with this biological medicine for severe asthma within the current treatment cycle.</w:t>
            </w:r>
            <w:r w:rsidRPr="006D52A9">
              <w:rPr>
                <w:rFonts w:ascii="Arial" w:eastAsia="SimSun" w:hAnsi="Arial" w:cs="Arial"/>
                <w:sz w:val="16"/>
                <w:szCs w:val="16"/>
                <w:lang w:eastAsia="zh-CN"/>
              </w:rPr>
              <w:br/>
              <w:t>At the time of the authority application, medical practitioners should request the appropriate number of repeats to provide for a continuing course of this drug sufficient for up to 24 weeks of therapy.</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Severe Eosinophilic Asthma Continuing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w:t>
            </w:r>
            <w:r w:rsidRPr="006D52A9">
              <w:rPr>
                <w:rFonts w:ascii="Arial" w:eastAsia="SimSun" w:hAnsi="Arial" w:cs="Arial"/>
                <w:sz w:val="16"/>
                <w:szCs w:val="16"/>
                <w:lang w:eastAsia="zh-CN"/>
              </w:rPr>
              <w:br/>
              <w:t>(i) details of maintenance oral corticosteroid dose; or</w:t>
            </w:r>
            <w:r w:rsidRPr="006D52A9">
              <w:rPr>
                <w:rFonts w:ascii="Arial" w:eastAsia="SimSun" w:hAnsi="Arial" w:cs="Arial"/>
                <w:sz w:val="16"/>
                <w:szCs w:val="16"/>
                <w:lang w:eastAsia="zh-CN"/>
              </w:rPr>
              <w:br/>
              <w:t>(ii) a completed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w:t>
            </w:r>
          </w:p>
        </w:tc>
        <w:tc>
          <w:tcPr>
            <w:tcW w:w="929" w:type="pct"/>
            <w:tcMar>
              <w:top w:w="28" w:type="dxa"/>
              <w:left w:w="28" w:type="dxa"/>
              <w:right w:w="57" w:type="dxa"/>
            </w:tcMar>
          </w:tcPr>
          <w:p w14:paraId="48FD4919"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FE20B2" w14:paraId="125E9768" w14:textId="77777777" w:rsidTr="00FB6D2D">
        <w:tc>
          <w:tcPr>
            <w:tcW w:w="647" w:type="pct"/>
            <w:tcMar>
              <w:top w:w="28" w:type="dxa"/>
              <w:left w:w="28" w:type="dxa"/>
            </w:tcMar>
          </w:tcPr>
          <w:p w14:paraId="296E50B9"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81B83B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C10483</w:t>
            </w:r>
          </w:p>
        </w:tc>
        <w:tc>
          <w:tcPr>
            <w:tcW w:w="274" w:type="pct"/>
            <w:tcMar>
              <w:top w:w="28" w:type="dxa"/>
              <w:left w:w="28" w:type="dxa"/>
            </w:tcMar>
          </w:tcPr>
          <w:p w14:paraId="22994B17"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rPr>
              <w:t>P10483</w:t>
            </w:r>
          </w:p>
        </w:tc>
        <w:tc>
          <w:tcPr>
            <w:tcW w:w="2867" w:type="pct"/>
            <w:tcMar>
              <w:top w:w="28" w:type="dxa"/>
              <w:left w:w="28" w:type="dxa"/>
            </w:tcMar>
          </w:tcPr>
          <w:p w14:paraId="6DE286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Uncontrolled severe eosinophilic asthma</w:t>
            </w:r>
            <w:r w:rsidRPr="006D52A9">
              <w:rPr>
                <w:rFonts w:ascii="Arial" w:hAnsi="Arial" w:cs="Arial"/>
                <w:sz w:val="16"/>
                <w:szCs w:val="16"/>
              </w:rPr>
              <w:br/>
              <w:t xml:space="preserve">Grandfather treatment </w:t>
            </w:r>
            <w:r w:rsidR="0026100E">
              <w:rPr>
                <w:rFonts w:ascii="Arial" w:hAnsi="Arial" w:cs="Arial"/>
                <w:sz w:val="16"/>
                <w:szCs w:val="16"/>
              </w:rPr>
              <w:noBreakHyphen/>
            </w:r>
            <w:r w:rsidRPr="006D52A9">
              <w:rPr>
                <w:rFonts w:ascii="Arial" w:hAnsi="Arial" w:cs="Arial"/>
                <w:sz w:val="16"/>
                <w:szCs w:val="16"/>
              </w:rPr>
              <w:t xml:space="preserve"> use in a patient initiated with non</w:t>
            </w:r>
            <w:r w:rsidR="0026100E">
              <w:rPr>
                <w:rFonts w:ascii="Arial" w:hAnsi="Arial" w:cs="Arial"/>
                <w:sz w:val="16"/>
                <w:szCs w:val="16"/>
              </w:rPr>
              <w:noBreakHyphen/>
            </w:r>
            <w:r w:rsidRPr="006D52A9">
              <w:rPr>
                <w:rFonts w:ascii="Arial" w:hAnsi="Arial" w:cs="Arial"/>
                <w:sz w:val="16"/>
                <w:szCs w:val="16"/>
              </w:rPr>
              <w:t>PBS subsidised pre</w:t>
            </w:r>
            <w:r w:rsidR="0026100E">
              <w:rPr>
                <w:rFonts w:ascii="Arial" w:hAnsi="Arial" w:cs="Arial"/>
                <w:sz w:val="16"/>
                <w:szCs w:val="16"/>
              </w:rPr>
              <w:noBreakHyphen/>
            </w:r>
            <w:r w:rsidRPr="006D52A9">
              <w:rPr>
                <w:rFonts w:ascii="Arial" w:hAnsi="Arial" w:cs="Arial"/>
                <w:sz w:val="16"/>
                <w:szCs w:val="16"/>
              </w:rPr>
              <w:t>filled syringe or pen device</w:t>
            </w:r>
            <w:r w:rsidRPr="006D52A9">
              <w:rPr>
                <w:rFonts w:ascii="Arial" w:hAnsi="Arial" w:cs="Arial"/>
                <w:sz w:val="16"/>
                <w:szCs w:val="16"/>
              </w:rPr>
              <w:br/>
              <w:t>Patient must have received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with this biological medicine’s pre</w:t>
            </w:r>
            <w:r w:rsidR="0026100E">
              <w:rPr>
                <w:rFonts w:ascii="Arial" w:hAnsi="Arial" w:cs="Arial"/>
                <w:sz w:val="16"/>
                <w:szCs w:val="16"/>
              </w:rPr>
              <w:noBreakHyphen/>
            </w:r>
            <w:r w:rsidRPr="006D52A9">
              <w:rPr>
                <w:rFonts w:ascii="Arial" w:hAnsi="Arial" w:cs="Arial"/>
                <w:sz w:val="16"/>
                <w:szCs w:val="16"/>
              </w:rPr>
              <w:t>filled syringe or pen device for this PBS</w:t>
            </w:r>
            <w:r w:rsidR="0026100E">
              <w:rPr>
                <w:rFonts w:ascii="Arial" w:hAnsi="Arial" w:cs="Arial"/>
                <w:sz w:val="16"/>
                <w:szCs w:val="16"/>
              </w:rPr>
              <w:noBreakHyphen/>
            </w:r>
            <w:r w:rsidRPr="006D52A9">
              <w:rPr>
                <w:rFonts w:ascii="Arial" w:hAnsi="Arial" w:cs="Arial"/>
                <w:sz w:val="16"/>
                <w:szCs w:val="16"/>
              </w:rPr>
              <w:t xml:space="preserve">indication prior to </w:t>
            </w:r>
            <w:r w:rsidR="003E082A" w:rsidRPr="006D52A9">
              <w:rPr>
                <w:rFonts w:ascii="Arial" w:hAnsi="Arial" w:cs="Arial"/>
                <w:sz w:val="16"/>
                <w:szCs w:val="16"/>
              </w:rPr>
              <w:t>1 June</w:t>
            </w:r>
            <w:r w:rsidRPr="006D52A9">
              <w:rPr>
                <w:rFonts w:ascii="Arial" w:hAnsi="Arial" w:cs="Arial"/>
                <w:sz w:val="16"/>
                <w:szCs w:val="16"/>
              </w:rPr>
              <w:t xml:space="preserve"> 2020; AND</w:t>
            </w:r>
            <w:r w:rsidRPr="006D52A9">
              <w:rPr>
                <w:rFonts w:ascii="Arial" w:hAnsi="Arial" w:cs="Arial"/>
                <w:sz w:val="16"/>
                <w:szCs w:val="16"/>
              </w:rPr>
              <w:br/>
              <w:t>Patient must have demonstrated or sustained an adequate response to treatment with this biological medicine if the patient has received at least the week 28 dose of this biological medicine; AND</w:t>
            </w:r>
            <w:r w:rsidRPr="006D52A9">
              <w:rPr>
                <w:rFonts w:ascii="Arial" w:hAnsi="Arial" w:cs="Arial"/>
                <w:sz w:val="16"/>
                <w:szCs w:val="16"/>
              </w:rPr>
              <w:br/>
              <w:t>Patient must be receiving treatment with this drug for this condition at the time of application; AND</w:t>
            </w:r>
            <w:r w:rsidRPr="006D52A9">
              <w:rPr>
                <w:rFonts w:ascii="Arial" w:hAnsi="Arial" w:cs="Arial"/>
                <w:sz w:val="16"/>
                <w:szCs w:val="16"/>
              </w:rPr>
              <w:br/>
              <w:t>Patient must be under the care of the same physician for at least 6 months; OR</w:t>
            </w:r>
            <w:r w:rsidRPr="006D52A9">
              <w:rPr>
                <w:rFonts w:ascii="Arial" w:hAnsi="Arial" w:cs="Arial"/>
                <w:sz w:val="16"/>
                <w:szCs w:val="16"/>
              </w:rPr>
              <w:br/>
              <w:t>Patient must have been diagnosed with severe asthma by a multidisciplinary severe asthma clinic team; AND</w:t>
            </w:r>
            <w:r w:rsidRPr="006D52A9">
              <w:rPr>
                <w:rFonts w:ascii="Arial" w:hAnsi="Arial" w:cs="Arial"/>
                <w:sz w:val="16"/>
                <w:szCs w:val="16"/>
              </w:rPr>
              <w:br/>
              <w:t xml:space="preserve">Patient must have had, prior to commencement of this drug,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w:t>
            </w:r>
            <w:r w:rsidRPr="006D52A9">
              <w:rPr>
                <w:rFonts w:ascii="Arial" w:hAnsi="Arial" w:cs="Arial"/>
                <w:sz w:val="16"/>
                <w:szCs w:val="16"/>
              </w:rPr>
              <w:lastRenderedPageBreak/>
              <w:t>expiratory flow (PEF) variability of greater than 15% between the two highest and two lowest peak expiratory flow rates during 14 days; OR</w:t>
            </w:r>
            <w:r w:rsidRPr="006D52A9">
              <w:rPr>
                <w:rFonts w:ascii="Arial" w:hAnsi="Arial" w:cs="Arial"/>
                <w:sz w:val="16"/>
                <w:szCs w:val="16"/>
              </w:rPr>
              <w:br/>
              <w:t>Patient must have had, prior to commencement of this drug, a diagnosis of asthma from at least two physicians experienced in the management of patients with severe asthma; AND</w:t>
            </w:r>
            <w:r w:rsidRPr="006D52A9">
              <w:rPr>
                <w:rFonts w:ascii="Arial" w:hAnsi="Arial" w:cs="Arial"/>
                <w:sz w:val="16"/>
                <w:szCs w:val="16"/>
              </w:rPr>
              <w:br/>
              <w:t>Patient must have had a blood eosinophil count greater than or equal to 300 cells per microlitre prior to commencement of a biological medicine treatment for severe asthma; OR</w:t>
            </w:r>
            <w:r w:rsidRPr="006D52A9">
              <w:rPr>
                <w:rFonts w:ascii="Arial" w:hAnsi="Arial" w:cs="Arial"/>
                <w:sz w:val="16"/>
                <w:szCs w:val="16"/>
              </w:rPr>
              <w:br/>
              <w:t>Patient must have had a blood eosinophil count greater than or equal to 150 cells per microlitre while receiving treatment with oral corticosteroids prior to commencement of a biological medicine treatment for severe asthma; AND</w:t>
            </w:r>
            <w:r w:rsidRPr="006D52A9">
              <w:rPr>
                <w:rFonts w:ascii="Arial" w:hAnsi="Arial" w:cs="Arial"/>
                <w:sz w:val="16"/>
                <w:szCs w:val="16"/>
              </w:rPr>
              <w:br/>
              <w:t>Patient must have had a duration of asthma of at least 1 year prior to commencement of this biological medicine; AND</w:t>
            </w:r>
            <w:r w:rsidRPr="006D52A9">
              <w:rPr>
                <w:rFonts w:ascii="Arial"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6D52A9">
              <w:rPr>
                <w:rFonts w:ascii="Arial" w:hAnsi="Arial" w:cs="Arial"/>
                <w:sz w:val="16"/>
                <w:szCs w:val="16"/>
              </w:rPr>
              <w:br/>
              <w:t>The treatment must not be used in combination with and within 4 weeks of another PBS</w:t>
            </w:r>
            <w:r w:rsidR="0026100E">
              <w:rPr>
                <w:rFonts w:ascii="Arial" w:hAnsi="Arial" w:cs="Arial"/>
                <w:sz w:val="16"/>
                <w:szCs w:val="16"/>
              </w:rPr>
              <w:noBreakHyphen/>
            </w:r>
            <w:r w:rsidRPr="006D52A9">
              <w:rPr>
                <w:rFonts w:ascii="Arial" w:hAnsi="Arial" w:cs="Arial"/>
                <w:sz w:val="16"/>
                <w:szCs w:val="16"/>
              </w:rPr>
              <w:t>subsidised biological medicine prescribed for severe asthma.</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be aged 12 years or older.</w:t>
            </w:r>
            <w:r w:rsidRPr="006D52A9">
              <w:rPr>
                <w:rFonts w:ascii="Arial" w:hAnsi="Arial" w:cs="Arial"/>
                <w:sz w:val="16"/>
                <w:szCs w:val="16"/>
              </w:rPr>
              <w:br/>
              <w:t>Optimised asthma therapy includes:</w:t>
            </w:r>
            <w:r w:rsidRPr="006D52A9">
              <w:rPr>
                <w:rFonts w:ascii="Arial" w:hAnsi="Arial" w:cs="Arial"/>
                <w:sz w:val="16"/>
                <w:szCs w:val="16"/>
              </w:rPr>
              <w:br/>
              <w:t>(i) Adherence to maximal inhaled therapy, including high dose inhaled corticosteroid (ICS) plus long</w:t>
            </w:r>
            <w:r w:rsidR="0026100E">
              <w:rPr>
                <w:rFonts w:ascii="Arial" w:hAnsi="Arial" w:cs="Arial"/>
                <w:sz w:val="16"/>
                <w:szCs w:val="16"/>
              </w:rPr>
              <w:noBreakHyphen/>
            </w:r>
            <w:r w:rsidRPr="006D52A9">
              <w:rPr>
                <w:rFonts w:ascii="Arial" w:hAnsi="Arial" w:cs="Arial"/>
                <w:sz w:val="16"/>
                <w:szCs w:val="16"/>
              </w:rPr>
              <w:t>acting beta</w:t>
            </w:r>
            <w:r w:rsidR="0026100E">
              <w:rPr>
                <w:rFonts w:ascii="Arial" w:hAnsi="Arial" w:cs="Arial"/>
                <w:sz w:val="16"/>
                <w:szCs w:val="16"/>
              </w:rPr>
              <w:noBreakHyphen/>
            </w:r>
            <w:r w:rsidRPr="006D52A9">
              <w:rPr>
                <w:rFonts w:ascii="Arial" w:hAnsi="Arial" w:cs="Arial"/>
                <w:sz w:val="16"/>
                <w:szCs w:val="16"/>
              </w:rPr>
              <w:t>2 agonist (LABA) therapy for at least 12 months, unless contraindicated or not tolerated;</w:t>
            </w:r>
            <w:r w:rsidRPr="006D52A9">
              <w:rPr>
                <w:rFonts w:ascii="Arial" w:hAnsi="Arial" w:cs="Arial"/>
                <w:sz w:val="16"/>
                <w:szCs w:val="16"/>
              </w:rPr>
              <w:br/>
              <w:t>AND</w:t>
            </w:r>
            <w:r w:rsidRPr="006D52A9">
              <w:rPr>
                <w:rFonts w:ascii="Arial"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6D52A9">
              <w:rPr>
                <w:rFonts w:ascii="Arial" w:hAnsi="Arial" w:cs="Arial"/>
                <w:sz w:val="16"/>
                <w:szCs w:val="16"/>
              </w:rPr>
              <w:br/>
              <w:t>If the requirement for treatment with optimised asthma therapy cannot be met because of contraindications according to the relevant TGA</w:t>
            </w:r>
            <w:r w:rsidR="0026100E">
              <w:rPr>
                <w:rFonts w:ascii="Arial" w:hAnsi="Arial" w:cs="Arial"/>
                <w:sz w:val="16"/>
                <w:szCs w:val="16"/>
              </w:rPr>
              <w:noBreakHyphen/>
            </w:r>
            <w:r w:rsidRPr="006D52A9">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 (if not already provided).</w:t>
            </w:r>
            <w:r w:rsidRPr="006D52A9">
              <w:rPr>
                <w:rFonts w:ascii="Arial" w:hAnsi="Arial" w:cs="Arial"/>
                <w:sz w:val="16"/>
                <w:szCs w:val="16"/>
              </w:rPr>
              <w:br/>
              <w:t>The following initiation criteria indicate failure to achieve adequate control with optimised asthma therapy and must be declared to have been met at the time of the application:</w:t>
            </w:r>
            <w:r w:rsidRPr="006D52A9">
              <w:rPr>
                <w:rFonts w:ascii="Arial" w:hAnsi="Arial" w:cs="Arial"/>
                <w:sz w:val="16"/>
                <w:szCs w:val="16"/>
              </w:rPr>
              <w:br/>
              <w:t>(a) an Asthma Control Questionnaire (ACQ</w:t>
            </w:r>
            <w:r w:rsidR="0026100E">
              <w:rPr>
                <w:rFonts w:ascii="Arial" w:hAnsi="Arial" w:cs="Arial"/>
                <w:sz w:val="16"/>
                <w:szCs w:val="16"/>
              </w:rPr>
              <w:noBreakHyphen/>
            </w:r>
            <w:r w:rsidRPr="006D52A9">
              <w:rPr>
                <w:rFonts w:ascii="Arial" w:hAnsi="Arial" w:cs="Arial"/>
                <w:sz w:val="16"/>
                <w:szCs w:val="16"/>
              </w:rPr>
              <w:t>5) score of at least 2.0 prior to commencement with a biological medicine for severe asthma; AND</w:t>
            </w:r>
            <w:r w:rsidRPr="006D52A9">
              <w:rPr>
                <w:rFonts w:ascii="Arial"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hAnsi="Arial" w:cs="Arial"/>
                <w:sz w:val="16"/>
                <w:szCs w:val="16"/>
              </w:rPr>
              <w:br/>
              <w:t xml:space="preserve">An Asthma Control Questionnaire (5 item version) assessment and/or an assessment of a reduction in </w:t>
            </w:r>
            <w:r w:rsidRPr="006D52A9">
              <w:rPr>
                <w:rFonts w:ascii="Arial" w:hAnsi="Arial" w:cs="Arial"/>
                <w:sz w:val="16"/>
                <w:szCs w:val="16"/>
              </w:rPr>
              <w:lastRenderedPageBreak/>
              <w:t>the patient’s maintenance oral corticosteroid dose to determine whether the patient has achieved or sustained an adequate response to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must be conducted immediately (no later than 4 weeks after the last dose of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prior to this application if the treatment duration has been 28 weeks or greater.</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the same treatment cycle.</w:t>
            </w:r>
            <w:r w:rsidRPr="006D52A9">
              <w:rPr>
                <w:rFonts w:ascii="Arial" w:hAnsi="Arial" w:cs="Arial"/>
                <w:sz w:val="16"/>
                <w:szCs w:val="16"/>
              </w:rPr>
              <w:br/>
              <w:t>A treatment break in PBS</w:t>
            </w:r>
            <w:r w:rsidR="0026100E">
              <w:rPr>
                <w:rFonts w:ascii="Arial" w:hAnsi="Arial" w:cs="Arial"/>
                <w:sz w:val="16"/>
                <w:szCs w:val="16"/>
              </w:rPr>
              <w:noBreakHyphen/>
            </w:r>
            <w:r w:rsidRPr="006D52A9">
              <w:rPr>
                <w:rFonts w:ascii="Arial" w:hAnsi="Arial" w:cs="Arial"/>
                <w:sz w:val="16"/>
                <w:szCs w:val="16"/>
              </w:rPr>
              <w:t>subsidised biological medicine therapy of at least 12 months must be observed in a patient who has either failed to achieve or sustain a response to treatment with 3 biological medicines within the same treatment cycle.</w:t>
            </w:r>
            <w:r w:rsidRPr="006D52A9">
              <w:rPr>
                <w:rFonts w:ascii="Arial" w:hAnsi="Arial" w:cs="Arial"/>
                <w:sz w:val="16"/>
                <w:szCs w:val="16"/>
              </w:rPr>
              <w:br/>
              <w:t>The length of the break in therapy is measured from the date the most recent treatment with a PBS</w:t>
            </w:r>
            <w:r w:rsidR="0026100E">
              <w:rPr>
                <w:rFonts w:ascii="Arial" w:hAnsi="Arial" w:cs="Arial"/>
                <w:sz w:val="16"/>
                <w:szCs w:val="16"/>
              </w:rPr>
              <w:noBreakHyphen/>
            </w:r>
            <w:r w:rsidRPr="006D52A9">
              <w:rPr>
                <w:rFonts w:ascii="Arial" w:hAnsi="Arial" w:cs="Arial"/>
                <w:sz w:val="16"/>
                <w:szCs w:val="16"/>
              </w:rPr>
              <w:t>subsidised biological medicine was administered until the date of the first application for recommencement of treatment with a biological medicine under the new treatment cycle.</w:t>
            </w:r>
            <w:r w:rsidRPr="006D52A9">
              <w:rPr>
                <w:rFonts w:ascii="Arial" w:hAnsi="Arial" w:cs="Arial"/>
                <w:sz w:val="16"/>
                <w:szCs w:val="16"/>
              </w:rPr>
              <w:br/>
              <w:t>There is no limit to the number of treatment cycles that a patient may undertake in their lifetime.</w:t>
            </w:r>
            <w:r w:rsidRPr="006D52A9">
              <w:rPr>
                <w:rFonts w:ascii="Arial" w:hAnsi="Arial" w:cs="Arial"/>
                <w:sz w:val="16"/>
                <w:szCs w:val="16"/>
              </w:rPr>
              <w:br/>
              <w:t>A multidisciplinary severe asthma clinic team comprises of:</w:t>
            </w:r>
            <w:r w:rsidRPr="006D52A9">
              <w:rPr>
                <w:rFonts w:ascii="Arial" w:hAnsi="Arial" w:cs="Arial"/>
                <w:sz w:val="16"/>
                <w:szCs w:val="16"/>
              </w:rPr>
              <w:br/>
              <w:t>A respiratory physician; and</w:t>
            </w:r>
            <w:r w:rsidRPr="006D52A9">
              <w:rPr>
                <w:rFonts w:ascii="Arial" w:hAnsi="Arial" w:cs="Arial"/>
                <w:sz w:val="16"/>
                <w:szCs w:val="16"/>
              </w:rPr>
              <w:br/>
              <w:t>A pharmacist, nurse or asthma educator.</w:t>
            </w:r>
            <w:r w:rsidRPr="006D52A9">
              <w:rPr>
                <w:rFonts w:ascii="Arial" w:hAnsi="Arial" w:cs="Arial"/>
                <w:sz w:val="16"/>
                <w:szCs w:val="16"/>
              </w:rPr>
              <w:br/>
              <w:t>An adequate response to this biological medicine is defined as:</w:t>
            </w:r>
            <w:r w:rsidRPr="006D52A9">
              <w:rPr>
                <w:rFonts w:ascii="Arial" w:hAnsi="Arial" w:cs="Arial"/>
                <w:sz w:val="16"/>
                <w:szCs w:val="16"/>
              </w:rPr>
              <w:br/>
              <w:t>(a) a reduction in the Asthma Control Questionnaire (ACQ</w:t>
            </w:r>
            <w:r w:rsidR="0026100E">
              <w:rPr>
                <w:rFonts w:ascii="Arial" w:hAnsi="Arial" w:cs="Arial"/>
                <w:sz w:val="16"/>
                <w:szCs w:val="16"/>
              </w:rPr>
              <w:noBreakHyphen/>
            </w:r>
            <w:r w:rsidRPr="006D52A9">
              <w:rPr>
                <w:rFonts w:ascii="Arial" w:hAnsi="Arial" w:cs="Arial"/>
                <w:sz w:val="16"/>
                <w:szCs w:val="16"/>
              </w:rPr>
              <w:t>5) score of at least 0.5 from baseline,</w:t>
            </w:r>
            <w:r w:rsidRPr="006D52A9">
              <w:rPr>
                <w:rFonts w:ascii="Arial" w:hAnsi="Arial" w:cs="Arial"/>
                <w:sz w:val="16"/>
                <w:szCs w:val="16"/>
              </w:rPr>
              <w:br/>
              <w:t>OR</w:t>
            </w:r>
            <w:r w:rsidRPr="006D52A9">
              <w:rPr>
                <w:rFonts w:ascii="Arial" w:hAnsi="Arial" w:cs="Arial"/>
                <w:sz w:val="16"/>
                <w:szCs w:val="16"/>
              </w:rPr>
              <w:br/>
              <w:t>(b) maintenance oral corticosteroid dose reduced by at least 25% from baseline, and no deterioration in ACQ</w:t>
            </w:r>
            <w:r w:rsidR="0026100E">
              <w:rPr>
                <w:rFonts w:ascii="Arial" w:hAnsi="Arial" w:cs="Arial"/>
                <w:sz w:val="16"/>
                <w:szCs w:val="16"/>
              </w:rPr>
              <w:noBreakHyphen/>
            </w:r>
            <w:r w:rsidRPr="006D52A9">
              <w:rPr>
                <w:rFonts w:ascii="Arial" w:hAnsi="Arial" w:cs="Arial"/>
                <w:sz w:val="16"/>
                <w:szCs w:val="16"/>
              </w:rPr>
              <w:t>5 score from baseline or an increase in ACQ</w:t>
            </w:r>
            <w:r w:rsidR="0026100E">
              <w:rPr>
                <w:rFonts w:ascii="Arial" w:hAnsi="Arial" w:cs="Arial"/>
                <w:sz w:val="16"/>
                <w:szCs w:val="16"/>
              </w:rPr>
              <w:noBreakHyphen/>
            </w:r>
            <w:r w:rsidRPr="006D52A9">
              <w:rPr>
                <w:rFonts w:ascii="Arial" w:hAnsi="Arial" w:cs="Arial"/>
                <w:sz w:val="16"/>
                <w:szCs w:val="16"/>
              </w:rPr>
              <w:t>5 score from baseline less than or equal to 0.5.</w:t>
            </w:r>
            <w:r w:rsidRPr="006D52A9">
              <w:rPr>
                <w:rFonts w:ascii="Arial" w:hAnsi="Arial" w:cs="Arial"/>
                <w:sz w:val="16"/>
                <w:szCs w:val="16"/>
              </w:rPr>
              <w:br/>
              <w:t>A Grandfathered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Severe Eosinophilic Asthma Grandfather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seeks details of the following (if not already provided):</w:t>
            </w:r>
            <w:r w:rsidRPr="006D52A9">
              <w:rPr>
                <w:rFonts w:ascii="Arial" w:hAnsi="Arial" w:cs="Arial"/>
                <w:sz w:val="16"/>
                <w:szCs w:val="16"/>
              </w:rPr>
              <w:br/>
              <w:t>(i) prior optimised asthma drug therapy (date of commencement and duration of therapy); and</w:t>
            </w:r>
            <w:r w:rsidRPr="006D52A9">
              <w:rPr>
                <w:rFonts w:ascii="Arial" w:hAnsi="Arial" w:cs="Arial"/>
                <w:sz w:val="16"/>
                <w:szCs w:val="16"/>
              </w:rPr>
              <w:br/>
              <w:t>(ii) eosinophil pathology report (eosinophil counts and dates); and</w:t>
            </w:r>
            <w:r w:rsidRPr="006D52A9">
              <w:rPr>
                <w:rFonts w:ascii="Arial" w:hAnsi="Arial" w:cs="Arial"/>
                <w:sz w:val="16"/>
                <w:szCs w:val="16"/>
              </w:rPr>
              <w:br/>
              <w:t>(iii) ACQ</w:t>
            </w:r>
            <w:r w:rsidR="0026100E">
              <w:rPr>
                <w:rFonts w:ascii="Arial" w:hAnsi="Arial" w:cs="Arial"/>
                <w:sz w:val="16"/>
                <w:szCs w:val="16"/>
              </w:rPr>
              <w:noBreakHyphen/>
            </w:r>
            <w:r w:rsidRPr="006D52A9">
              <w:rPr>
                <w:rFonts w:ascii="Arial" w:hAnsi="Arial" w:cs="Arial"/>
                <w:sz w:val="16"/>
                <w:szCs w:val="16"/>
              </w:rPr>
              <w:t>5 scores including the date of assessment of the patient’s symptoms, or details of the maintenance oral corticosteroid dose.</w:t>
            </w:r>
          </w:p>
        </w:tc>
        <w:tc>
          <w:tcPr>
            <w:tcW w:w="929" w:type="pct"/>
            <w:tcMar>
              <w:top w:w="28" w:type="dxa"/>
              <w:left w:w="28" w:type="dxa"/>
              <w:right w:w="57" w:type="dxa"/>
            </w:tcMar>
          </w:tcPr>
          <w:p w14:paraId="2661D614"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FE20B2" w14:paraId="43329A5F" w14:textId="77777777" w:rsidTr="00FB6D2D">
        <w:tc>
          <w:tcPr>
            <w:tcW w:w="647" w:type="pct"/>
            <w:tcMar>
              <w:top w:w="28" w:type="dxa"/>
              <w:left w:w="28" w:type="dxa"/>
            </w:tcMar>
          </w:tcPr>
          <w:p w14:paraId="51E337F6"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4E6C7A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C10484</w:t>
            </w:r>
          </w:p>
        </w:tc>
        <w:tc>
          <w:tcPr>
            <w:tcW w:w="274" w:type="pct"/>
            <w:tcMar>
              <w:top w:w="28" w:type="dxa"/>
              <w:left w:w="28" w:type="dxa"/>
            </w:tcMar>
          </w:tcPr>
          <w:p w14:paraId="748587F0" w14:textId="77777777" w:rsidR="008F47B8" w:rsidRPr="006D52A9" w:rsidRDefault="008F47B8" w:rsidP="00FB6D2D">
            <w:pPr>
              <w:spacing w:line="240" w:lineRule="auto"/>
              <w:rPr>
                <w:rFonts w:ascii="Arial" w:hAnsi="Arial" w:cs="Arial"/>
                <w:sz w:val="16"/>
                <w:szCs w:val="16"/>
                <w:lang w:eastAsia="en-AU"/>
              </w:rPr>
            </w:pPr>
            <w:r w:rsidRPr="006D52A9">
              <w:rPr>
                <w:rFonts w:ascii="Arial" w:hAnsi="Arial" w:cs="Arial"/>
                <w:sz w:val="16"/>
                <w:szCs w:val="16"/>
              </w:rPr>
              <w:t>P10484</w:t>
            </w:r>
          </w:p>
        </w:tc>
        <w:tc>
          <w:tcPr>
            <w:tcW w:w="2867" w:type="pct"/>
            <w:tcMar>
              <w:top w:w="28" w:type="dxa"/>
              <w:left w:w="28" w:type="dxa"/>
            </w:tcMar>
          </w:tcPr>
          <w:p w14:paraId="41BCE63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Uncontrolled severe eosinophilic asthma</w:t>
            </w:r>
            <w:r w:rsidRPr="006D52A9">
              <w:rPr>
                <w:rFonts w:ascii="Arial" w:hAnsi="Arial" w:cs="Arial"/>
                <w:sz w:val="16"/>
                <w:szCs w:val="16"/>
              </w:rPr>
              <w:br/>
              <w:t xml:space="preserve">Grandfather treatment </w:t>
            </w:r>
            <w:r w:rsidR="0026100E">
              <w:rPr>
                <w:rFonts w:ascii="Arial" w:hAnsi="Arial" w:cs="Arial"/>
                <w:sz w:val="16"/>
                <w:szCs w:val="16"/>
              </w:rPr>
              <w:noBreakHyphen/>
            </w:r>
            <w:r w:rsidRPr="006D52A9">
              <w:rPr>
                <w:rFonts w:ascii="Arial" w:hAnsi="Arial" w:cs="Arial"/>
                <w:sz w:val="16"/>
                <w:szCs w:val="16"/>
              </w:rPr>
              <w:t xml:space="preserve"> use in a patient initiated with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pre</w:t>
            </w:r>
            <w:r w:rsidR="0026100E">
              <w:rPr>
                <w:rFonts w:ascii="Arial" w:hAnsi="Arial" w:cs="Arial"/>
                <w:sz w:val="16"/>
                <w:szCs w:val="16"/>
              </w:rPr>
              <w:noBreakHyphen/>
            </w:r>
            <w:r w:rsidRPr="006D52A9">
              <w:rPr>
                <w:rFonts w:ascii="Arial" w:hAnsi="Arial" w:cs="Arial"/>
                <w:sz w:val="16"/>
                <w:szCs w:val="16"/>
              </w:rPr>
              <w:t>filled syringe or pen device</w:t>
            </w:r>
            <w:r w:rsidRPr="006D52A9">
              <w:rPr>
                <w:rFonts w:ascii="Arial" w:hAnsi="Arial" w:cs="Arial"/>
                <w:sz w:val="16"/>
                <w:szCs w:val="16"/>
              </w:rPr>
              <w:br/>
              <w:t>Patient must have received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with this biological medicine’s pre</w:t>
            </w:r>
            <w:r w:rsidR="0026100E">
              <w:rPr>
                <w:rFonts w:ascii="Arial" w:hAnsi="Arial" w:cs="Arial"/>
                <w:sz w:val="16"/>
                <w:szCs w:val="16"/>
              </w:rPr>
              <w:noBreakHyphen/>
            </w:r>
            <w:r w:rsidRPr="006D52A9">
              <w:rPr>
                <w:rFonts w:ascii="Arial" w:hAnsi="Arial" w:cs="Arial"/>
                <w:sz w:val="16"/>
                <w:szCs w:val="16"/>
              </w:rPr>
              <w:t>filled syringe or pen device for this PBS</w:t>
            </w:r>
            <w:r w:rsidR="0026100E">
              <w:rPr>
                <w:rFonts w:ascii="Arial" w:hAnsi="Arial" w:cs="Arial"/>
                <w:sz w:val="16"/>
                <w:szCs w:val="16"/>
              </w:rPr>
              <w:noBreakHyphen/>
            </w:r>
            <w:r w:rsidRPr="006D52A9">
              <w:rPr>
                <w:rFonts w:ascii="Arial" w:hAnsi="Arial" w:cs="Arial"/>
                <w:sz w:val="16"/>
                <w:szCs w:val="16"/>
              </w:rPr>
              <w:t xml:space="preserve">indication prior to </w:t>
            </w:r>
            <w:r w:rsidR="003E082A" w:rsidRPr="006D52A9">
              <w:rPr>
                <w:rFonts w:ascii="Arial" w:hAnsi="Arial" w:cs="Arial"/>
                <w:sz w:val="16"/>
                <w:szCs w:val="16"/>
              </w:rPr>
              <w:t>1 June</w:t>
            </w:r>
            <w:r w:rsidRPr="006D52A9">
              <w:rPr>
                <w:rFonts w:ascii="Arial" w:hAnsi="Arial" w:cs="Arial"/>
                <w:sz w:val="16"/>
                <w:szCs w:val="16"/>
              </w:rPr>
              <w:t xml:space="preserve"> 2020; AND</w:t>
            </w:r>
            <w:r w:rsidRPr="006D52A9">
              <w:rPr>
                <w:rFonts w:ascii="Arial" w:hAnsi="Arial" w:cs="Arial"/>
                <w:sz w:val="16"/>
                <w:szCs w:val="16"/>
              </w:rPr>
              <w:br/>
              <w:t>Patient must have demonstrated or sustained an adequate response to treatment with this biological medicine if the patient has received at least the week 28 dose of this biological medicine; AND</w:t>
            </w:r>
            <w:r w:rsidRPr="006D52A9">
              <w:rPr>
                <w:rFonts w:ascii="Arial" w:hAnsi="Arial" w:cs="Arial"/>
                <w:sz w:val="16"/>
                <w:szCs w:val="16"/>
              </w:rPr>
              <w:br/>
              <w:t>Patient must be receiving treatment with this drug for this condition at the time of application; AND</w:t>
            </w:r>
            <w:r w:rsidRPr="006D52A9">
              <w:rPr>
                <w:rFonts w:ascii="Arial" w:hAnsi="Arial" w:cs="Arial"/>
                <w:sz w:val="16"/>
                <w:szCs w:val="16"/>
              </w:rPr>
              <w:br/>
              <w:t>Patient must be under the care of the same physician for at least 6 months; OR</w:t>
            </w:r>
            <w:r w:rsidRPr="006D52A9">
              <w:rPr>
                <w:rFonts w:ascii="Arial" w:hAnsi="Arial" w:cs="Arial"/>
                <w:sz w:val="16"/>
                <w:szCs w:val="16"/>
              </w:rPr>
              <w:br/>
            </w:r>
            <w:r w:rsidRPr="006D52A9">
              <w:rPr>
                <w:rFonts w:ascii="Arial" w:hAnsi="Arial" w:cs="Arial"/>
                <w:sz w:val="16"/>
                <w:szCs w:val="16"/>
              </w:rPr>
              <w:lastRenderedPageBreak/>
              <w:t>Patient must have been diagnosed with severe asthma by a multidisciplinary severe asthma clinic team; AND</w:t>
            </w:r>
            <w:r w:rsidRPr="006D52A9">
              <w:rPr>
                <w:rFonts w:ascii="Arial" w:hAnsi="Arial" w:cs="Arial"/>
                <w:sz w:val="16"/>
                <w:szCs w:val="16"/>
              </w:rPr>
              <w:br/>
              <w:t>Patient must have had, prior to commencement of this drug,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D52A9">
              <w:rPr>
                <w:rFonts w:ascii="Arial" w:hAnsi="Arial" w:cs="Arial"/>
                <w:sz w:val="16"/>
                <w:szCs w:val="16"/>
              </w:rPr>
              <w:br/>
              <w:t>Patient must have had, prior to commencement of this drug, a diagnosis of asthma from at least two physicians experienced in the management of patients with severe asthma; AND</w:t>
            </w:r>
            <w:r w:rsidRPr="006D52A9">
              <w:rPr>
                <w:rFonts w:ascii="Arial" w:hAnsi="Arial" w:cs="Arial"/>
                <w:sz w:val="16"/>
                <w:szCs w:val="16"/>
              </w:rPr>
              <w:br/>
              <w:t>Patient must have had a blood eosinophil count greater than or equal to 300 cells per microlitre prior to commencement of a biological medicine treatment for severe asthma; OR</w:t>
            </w:r>
            <w:r w:rsidRPr="006D52A9">
              <w:rPr>
                <w:rFonts w:ascii="Arial" w:hAnsi="Arial" w:cs="Arial"/>
                <w:sz w:val="16"/>
                <w:szCs w:val="16"/>
              </w:rPr>
              <w:br/>
              <w:t>Patient must have had a blood eosinophil count greater than or equal to 150 cells per microlitre while receiving treatment with oral corticosteroids prior to commencement of a biological medicine treatment for severe asthma; AND</w:t>
            </w:r>
            <w:r w:rsidRPr="006D52A9">
              <w:rPr>
                <w:rFonts w:ascii="Arial" w:hAnsi="Arial" w:cs="Arial"/>
                <w:sz w:val="16"/>
                <w:szCs w:val="16"/>
              </w:rPr>
              <w:br/>
              <w:t>Patient must have had a duration of asthma of at least 1 year prior to commencement of this biological medicine; AND</w:t>
            </w:r>
            <w:r w:rsidRPr="006D52A9">
              <w:rPr>
                <w:rFonts w:ascii="Arial" w:hAnsi="Arial" w:cs="Arial"/>
                <w:sz w:val="16"/>
                <w:szCs w:val="16"/>
              </w:rPr>
              <w:br/>
              <w:t>Patient must have failed to achieve adequate control with optimised asthma therapy prior to commencement of this biological medicine despite formal assessment of and adherence to correct inhaler technique, which has been documented; AND</w:t>
            </w:r>
            <w:r w:rsidRPr="006D52A9">
              <w:rPr>
                <w:rFonts w:ascii="Arial" w:hAnsi="Arial" w:cs="Arial"/>
                <w:sz w:val="16"/>
                <w:szCs w:val="16"/>
              </w:rPr>
              <w:br/>
              <w:t>The treatment must not be used in combination with and within 4 weeks of another PBS</w:t>
            </w:r>
            <w:r w:rsidR="0026100E">
              <w:rPr>
                <w:rFonts w:ascii="Arial" w:hAnsi="Arial" w:cs="Arial"/>
                <w:sz w:val="16"/>
                <w:szCs w:val="16"/>
              </w:rPr>
              <w:noBreakHyphen/>
            </w:r>
            <w:r w:rsidRPr="006D52A9">
              <w:rPr>
                <w:rFonts w:ascii="Arial" w:hAnsi="Arial" w:cs="Arial"/>
                <w:sz w:val="16"/>
                <w:szCs w:val="16"/>
              </w:rPr>
              <w:t>subsidised biological medicine prescribed for severe asthma.</w:t>
            </w:r>
            <w:r w:rsidRPr="006D52A9">
              <w:rPr>
                <w:rFonts w:ascii="Arial" w:hAnsi="Arial" w:cs="Arial"/>
                <w:sz w:val="16"/>
                <w:szCs w:val="16"/>
              </w:rPr>
              <w:br/>
              <w:t>Must be treated by a respiratory physician, clinical immunologist, allergist or general physician experienced in the management of patients with severe asthma.</w:t>
            </w:r>
            <w:r w:rsidRPr="006D52A9">
              <w:rPr>
                <w:rFonts w:ascii="Arial" w:hAnsi="Arial" w:cs="Arial"/>
                <w:sz w:val="16"/>
                <w:szCs w:val="16"/>
              </w:rPr>
              <w:br/>
              <w:t>Patient must be aged 12 years or older.</w:t>
            </w:r>
            <w:r w:rsidRPr="006D52A9">
              <w:rPr>
                <w:rFonts w:ascii="Arial" w:hAnsi="Arial" w:cs="Arial"/>
                <w:sz w:val="16"/>
                <w:szCs w:val="16"/>
              </w:rPr>
              <w:br/>
              <w:t>Optimised asthma therapy includes:</w:t>
            </w:r>
            <w:r w:rsidRPr="006D52A9">
              <w:rPr>
                <w:rFonts w:ascii="Arial" w:hAnsi="Arial" w:cs="Arial"/>
                <w:sz w:val="16"/>
                <w:szCs w:val="16"/>
              </w:rPr>
              <w:br/>
              <w:t>(i) Adherence to maximal inhaled therapy, including high dose inhaled corticosteroid (ICS) plus long</w:t>
            </w:r>
            <w:r w:rsidR="0026100E">
              <w:rPr>
                <w:rFonts w:ascii="Arial" w:hAnsi="Arial" w:cs="Arial"/>
                <w:sz w:val="16"/>
                <w:szCs w:val="16"/>
              </w:rPr>
              <w:noBreakHyphen/>
            </w:r>
            <w:r w:rsidRPr="006D52A9">
              <w:rPr>
                <w:rFonts w:ascii="Arial" w:hAnsi="Arial" w:cs="Arial"/>
                <w:sz w:val="16"/>
                <w:szCs w:val="16"/>
              </w:rPr>
              <w:t>acting beta</w:t>
            </w:r>
            <w:r w:rsidR="0026100E">
              <w:rPr>
                <w:rFonts w:ascii="Arial" w:hAnsi="Arial" w:cs="Arial"/>
                <w:sz w:val="16"/>
                <w:szCs w:val="16"/>
              </w:rPr>
              <w:noBreakHyphen/>
            </w:r>
            <w:r w:rsidRPr="006D52A9">
              <w:rPr>
                <w:rFonts w:ascii="Arial" w:hAnsi="Arial" w:cs="Arial"/>
                <w:sz w:val="16"/>
                <w:szCs w:val="16"/>
              </w:rPr>
              <w:t>2 agonist (LABA) therapy for at least 12 months, unless contraindicated or not tolerated;</w:t>
            </w:r>
            <w:r w:rsidRPr="006D52A9">
              <w:rPr>
                <w:rFonts w:ascii="Arial" w:hAnsi="Arial" w:cs="Arial"/>
                <w:sz w:val="16"/>
                <w:szCs w:val="16"/>
              </w:rPr>
              <w:br/>
              <w:t>AND</w:t>
            </w:r>
            <w:r w:rsidRPr="006D52A9">
              <w:rPr>
                <w:rFonts w:ascii="Arial" w:hAnsi="Arial" w:cs="Arial"/>
                <w:sz w:val="16"/>
                <w:szCs w:val="16"/>
              </w:rPr>
              <w:br/>
              <w:t>(ii) treatment with oral corticosteroids, either daily oral corticosteroids for at least 6 weeks, OR a cumulative dose of oral corticosteroids of at least 500 mg prednisolone equivalent in the 12 months prior to commencing treatment with a biological medicine for severe asthma, unless contraindicated or not tolerated.</w:t>
            </w:r>
            <w:r w:rsidRPr="006D52A9">
              <w:rPr>
                <w:rFonts w:ascii="Arial" w:hAnsi="Arial" w:cs="Arial"/>
                <w:sz w:val="16"/>
                <w:szCs w:val="16"/>
              </w:rPr>
              <w:br/>
              <w:t>If the requirement for treatment with optimised asthma therapy cannot be met because of contraindications according to the relevant TGA</w:t>
            </w:r>
            <w:r w:rsidR="0026100E">
              <w:rPr>
                <w:rFonts w:ascii="Arial" w:hAnsi="Arial" w:cs="Arial"/>
                <w:sz w:val="16"/>
                <w:szCs w:val="16"/>
              </w:rPr>
              <w:noBreakHyphen/>
            </w:r>
            <w:r w:rsidRPr="006D52A9">
              <w:rPr>
                <w:rFonts w:ascii="Arial" w:hAnsi="Arial" w:cs="Arial"/>
                <w:sz w:val="16"/>
                <w:szCs w:val="16"/>
              </w:rPr>
              <w:t>approved Product Information and/or intolerances of a severity necessitating permanent treatment withdrawal, details of the contraindication and/or intolerance must be provided in the Authority application (if not already provided).</w:t>
            </w:r>
            <w:r w:rsidRPr="006D52A9">
              <w:rPr>
                <w:rFonts w:ascii="Arial" w:hAnsi="Arial" w:cs="Arial"/>
                <w:sz w:val="16"/>
                <w:szCs w:val="16"/>
              </w:rPr>
              <w:br/>
              <w:t xml:space="preserve">The following initiation criteria indicate failure to achieve adequate control with optimised asthma therapy </w:t>
            </w:r>
            <w:r w:rsidRPr="006D52A9">
              <w:rPr>
                <w:rFonts w:ascii="Arial" w:hAnsi="Arial" w:cs="Arial"/>
                <w:sz w:val="16"/>
                <w:szCs w:val="16"/>
              </w:rPr>
              <w:lastRenderedPageBreak/>
              <w:t>and must be declared to have been met at the time of the application:</w:t>
            </w:r>
            <w:r w:rsidRPr="006D52A9">
              <w:rPr>
                <w:rFonts w:ascii="Arial" w:hAnsi="Arial" w:cs="Arial"/>
                <w:sz w:val="16"/>
                <w:szCs w:val="16"/>
              </w:rPr>
              <w:br/>
              <w:t>(a) an Asthma Control Questionnaire (ACQ</w:t>
            </w:r>
            <w:r w:rsidR="0026100E">
              <w:rPr>
                <w:rFonts w:ascii="Arial" w:hAnsi="Arial" w:cs="Arial"/>
                <w:sz w:val="16"/>
                <w:szCs w:val="16"/>
              </w:rPr>
              <w:noBreakHyphen/>
            </w:r>
            <w:r w:rsidRPr="006D52A9">
              <w:rPr>
                <w:rFonts w:ascii="Arial" w:hAnsi="Arial" w:cs="Arial"/>
                <w:sz w:val="16"/>
                <w:szCs w:val="16"/>
              </w:rPr>
              <w:t>5) score of at least 2.0 prior to commencement with a biological medicine for severe asthma; AND</w:t>
            </w:r>
            <w:r w:rsidRPr="006D52A9">
              <w:rPr>
                <w:rFonts w:ascii="Arial" w:hAnsi="Arial" w:cs="Arial"/>
                <w:sz w:val="16"/>
                <w:szCs w:val="16"/>
              </w:rPr>
              <w:b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hAnsi="Arial" w:cs="Arial"/>
                <w:sz w:val="16"/>
                <w:szCs w:val="16"/>
              </w:rPr>
              <w:br/>
              <w:t>An Asthma Control Questionnaire (5 item version) assessment and/or an assessment of a reduction in the patient’s maintenance oral corticosteroid dose to determine whether the patient has achieved or sustained an adequate response to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must be conducted immediately (no later than 4 weeks after the last dose of non</w:t>
            </w:r>
            <w:r w:rsidR="0026100E">
              <w:rPr>
                <w:rFonts w:ascii="Arial" w:hAnsi="Arial" w:cs="Arial"/>
                <w:sz w:val="16"/>
                <w:szCs w:val="16"/>
              </w:rPr>
              <w:noBreakHyphen/>
            </w:r>
            <w:r w:rsidRPr="006D52A9">
              <w:rPr>
                <w:rFonts w:ascii="Arial" w:hAnsi="Arial" w:cs="Arial"/>
                <w:sz w:val="16"/>
                <w:szCs w:val="16"/>
              </w:rPr>
              <w:t>PBS</w:t>
            </w:r>
            <w:r w:rsidR="0026100E">
              <w:rPr>
                <w:rFonts w:ascii="Arial" w:hAnsi="Arial" w:cs="Arial"/>
                <w:sz w:val="16"/>
                <w:szCs w:val="16"/>
              </w:rPr>
              <w:noBreakHyphen/>
            </w:r>
            <w:r w:rsidRPr="006D52A9">
              <w:rPr>
                <w:rFonts w:ascii="Arial" w:hAnsi="Arial" w:cs="Arial"/>
                <w:sz w:val="16"/>
                <w:szCs w:val="16"/>
              </w:rPr>
              <w:t>subsidised treatment) prior to this application if the treatment duration has been 28 weeks or greater.</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within the same treatment cycle.</w:t>
            </w:r>
            <w:r w:rsidRPr="006D52A9">
              <w:rPr>
                <w:rFonts w:ascii="Arial" w:hAnsi="Arial" w:cs="Arial"/>
                <w:sz w:val="16"/>
                <w:szCs w:val="16"/>
              </w:rPr>
              <w:br/>
              <w:t>A treatment break in PBS</w:t>
            </w:r>
            <w:r w:rsidR="0026100E">
              <w:rPr>
                <w:rFonts w:ascii="Arial" w:hAnsi="Arial" w:cs="Arial"/>
                <w:sz w:val="16"/>
                <w:szCs w:val="16"/>
              </w:rPr>
              <w:noBreakHyphen/>
            </w:r>
            <w:r w:rsidRPr="006D52A9">
              <w:rPr>
                <w:rFonts w:ascii="Arial" w:hAnsi="Arial" w:cs="Arial"/>
                <w:sz w:val="16"/>
                <w:szCs w:val="16"/>
              </w:rPr>
              <w:t>subsidised biological medicine therapy of at least 12 months must be observed in a patient who has either failed to achieve or sustain a response to treatment with 3 biological medicines within the same treatment cycle.</w:t>
            </w:r>
            <w:r w:rsidRPr="006D52A9">
              <w:rPr>
                <w:rFonts w:ascii="Arial" w:hAnsi="Arial" w:cs="Arial"/>
                <w:sz w:val="16"/>
                <w:szCs w:val="16"/>
              </w:rPr>
              <w:br/>
              <w:t>The length of the break in therapy is measured from the date the most recent treatment with a PBS</w:t>
            </w:r>
            <w:r w:rsidR="0026100E">
              <w:rPr>
                <w:rFonts w:ascii="Arial" w:hAnsi="Arial" w:cs="Arial"/>
                <w:sz w:val="16"/>
                <w:szCs w:val="16"/>
              </w:rPr>
              <w:noBreakHyphen/>
            </w:r>
            <w:r w:rsidRPr="006D52A9">
              <w:rPr>
                <w:rFonts w:ascii="Arial" w:hAnsi="Arial" w:cs="Arial"/>
                <w:sz w:val="16"/>
                <w:szCs w:val="16"/>
              </w:rPr>
              <w:t>subsidised biological medicine was administered until the date of the first application for recommencement of treatment with a biological medicine under the new treatment cycle.</w:t>
            </w:r>
            <w:r w:rsidRPr="006D52A9">
              <w:rPr>
                <w:rFonts w:ascii="Arial" w:hAnsi="Arial" w:cs="Arial"/>
                <w:sz w:val="16"/>
                <w:szCs w:val="16"/>
              </w:rPr>
              <w:br/>
              <w:t>There is no limit to the number of treatment cycles that a patient may undertake in their lifetime.</w:t>
            </w:r>
            <w:r w:rsidRPr="006D52A9">
              <w:rPr>
                <w:rFonts w:ascii="Arial" w:hAnsi="Arial" w:cs="Arial"/>
                <w:sz w:val="16"/>
                <w:szCs w:val="16"/>
              </w:rPr>
              <w:br/>
              <w:t>A multidisciplinary severe asthma clinic team comprises of:</w:t>
            </w:r>
            <w:r w:rsidRPr="006D52A9">
              <w:rPr>
                <w:rFonts w:ascii="Arial" w:hAnsi="Arial" w:cs="Arial"/>
                <w:sz w:val="16"/>
                <w:szCs w:val="16"/>
              </w:rPr>
              <w:br/>
              <w:t>A respiratory physician; and</w:t>
            </w:r>
            <w:r w:rsidRPr="006D52A9">
              <w:rPr>
                <w:rFonts w:ascii="Arial" w:hAnsi="Arial" w:cs="Arial"/>
                <w:sz w:val="16"/>
                <w:szCs w:val="16"/>
              </w:rPr>
              <w:br/>
              <w:t>A pharmacist, nurse or asthma educator.</w:t>
            </w:r>
            <w:r w:rsidRPr="006D52A9">
              <w:rPr>
                <w:rFonts w:ascii="Arial" w:hAnsi="Arial" w:cs="Arial"/>
                <w:sz w:val="16"/>
                <w:szCs w:val="16"/>
              </w:rPr>
              <w:br/>
              <w:t>An adequate response to this biological medicine is defined as:</w:t>
            </w:r>
            <w:r w:rsidRPr="006D52A9">
              <w:rPr>
                <w:rFonts w:ascii="Arial" w:hAnsi="Arial" w:cs="Arial"/>
                <w:sz w:val="16"/>
                <w:szCs w:val="16"/>
              </w:rPr>
              <w:br/>
              <w:t>(a) a reduction in the Asthma Control Questionnaire (ACQ</w:t>
            </w:r>
            <w:r w:rsidR="0026100E">
              <w:rPr>
                <w:rFonts w:ascii="Arial" w:hAnsi="Arial" w:cs="Arial"/>
                <w:sz w:val="16"/>
                <w:szCs w:val="16"/>
              </w:rPr>
              <w:noBreakHyphen/>
            </w:r>
            <w:r w:rsidRPr="006D52A9">
              <w:rPr>
                <w:rFonts w:ascii="Arial" w:hAnsi="Arial" w:cs="Arial"/>
                <w:sz w:val="16"/>
                <w:szCs w:val="16"/>
              </w:rPr>
              <w:t>5) score of at least 0.5 from baseline,</w:t>
            </w:r>
            <w:r w:rsidRPr="006D52A9">
              <w:rPr>
                <w:rFonts w:ascii="Arial" w:hAnsi="Arial" w:cs="Arial"/>
                <w:sz w:val="16"/>
                <w:szCs w:val="16"/>
              </w:rPr>
              <w:br/>
              <w:t>OR</w:t>
            </w:r>
            <w:r w:rsidRPr="006D52A9">
              <w:rPr>
                <w:rFonts w:ascii="Arial" w:hAnsi="Arial" w:cs="Arial"/>
                <w:sz w:val="16"/>
                <w:szCs w:val="16"/>
              </w:rPr>
              <w:br/>
              <w:t>(b) maintenance oral corticosteroid dose reduced by at least 25% from baseline, and no deterioration in ACQ</w:t>
            </w:r>
            <w:r w:rsidR="0026100E">
              <w:rPr>
                <w:rFonts w:ascii="Arial" w:hAnsi="Arial" w:cs="Arial"/>
                <w:sz w:val="16"/>
                <w:szCs w:val="16"/>
              </w:rPr>
              <w:noBreakHyphen/>
            </w:r>
            <w:r w:rsidRPr="006D52A9">
              <w:rPr>
                <w:rFonts w:ascii="Arial" w:hAnsi="Arial" w:cs="Arial"/>
                <w:sz w:val="16"/>
                <w:szCs w:val="16"/>
              </w:rPr>
              <w:t>5 score from baseline or an increase in ACQ</w:t>
            </w:r>
            <w:r w:rsidR="0026100E">
              <w:rPr>
                <w:rFonts w:ascii="Arial" w:hAnsi="Arial" w:cs="Arial"/>
                <w:sz w:val="16"/>
                <w:szCs w:val="16"/>
              </w:rPr>
              <w:noBreakHyphen/>
            </w:r>
            <w:r w:rsidRPr="006D52A9">
              <w:rPr>
                <w:rFonts w:ascii="Arial" w:hAnsi="Arial" w:cs="Arial"/>
                <w:sz w:val="16"/>
                <w:szCs w:val="16"/>
              </w:rPr>
              <w:t>5 score from baseline less than or equal to 0.5.</w:t>
            </w:r>
            <w:r w:rsidRPr="006D52A9">
              <w:rPr>
                <w:rFonts w:ascii="Arial" w:hAnsi="Arial" w:cs="Arial"/>
                <w:sz w:val="16"/>
                <w:szCs w:val="16"/>
              </w:rPr>
              <w:br/>
              <w:t>A Grandfathered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 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continuing treatment criteria.</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Severe Eosinophilic Asthma Grandfather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seeks details of the following (if not already provided):</w:t>
            </w:r>
            <w:r w:rsidRPr="006D52A9">
              <w:rPr>
                <w:rFonts w:ascii="Arial" w:hAnsi="Arial" w:cs="Arial"/>
                <w:sz w:val="16"/>
                <w:szCs w:val="16"/>
              </w:rPr>
              <w:br/>
              <w:t>(i) prior optimised asthma drug therapy (date of commencement and duration of therapy); and</w:t>
            </w:r>
            <w:r w:rsidRPr="006D52A9">
              <w:rPr>
                <w:rFonts w:ascii="Arial" w:hAnsi="Arial" w:cs="Arial"/>
                <w:sz w:val="16"/>
                <w:szCs w:val="16"/>
              </w:rPr>
              <w:br/>
              <w:t>(ii) eosinophil pathology report (eosinophil counts and dates); and</w:t>
            </w:r>
            <w:r w:rsidRPr="006D52A9">
              <w:rPr>
                <w:rFonts w:ascii="Arial" w:hAnsi="Arial" w:cs="Arial"/>
                <w:sz w:val="16"/>
                <w:szCs w:val="16"/>
              </w:rPr>
              <w:br/>
              <w:t>(iii) ACQ</w:t>
            </w:r>
            <w:r w:rsidR="0026100E">
              <w:rPr>
                <w:rFonts w:ascii="Arial" w:hAnsi="Arial" w:cs="Arial"/>
                <w:sz w:val="16"/>
                <w:szCs w:val="16"/>
              </w:rPr>
              <w:noBreakHyphen/>
            </w:r>
            <w:r w:rsidRPr="006D52A9">
              <w:rPr>
                <w:rFonts w:ascii="Arial" w:hAnsi="Arial" w:cs="Arial"/>
                <w:sz w:val="16"/>
                <w:szCs w:val="16"/>
              </w:rPr>
              <w:t>5 scores including the date of assessment of the patient’s symptoms, or details of the maintenance oral corticosteroid dose.</w:t>
            </w:r>
          </w:p>
        </w:tc>
        <w:tc>
          <w:tcPr>
            <w:tcW w:w="929" w:type="pct"/>
            <w:tcMar>
              <w:top w:w="28" w:type="dxa"/>
              <w:left w:w="28" w:type="dxa"/>
              <w:right w:w="57" w:type="dxa"/>
            </w:tcMar>
          </w:tcPr>
          <w:p w14:paraId="06D8B8B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FE20B2" w14:paraId="21963826" w14:textId="77777777" w:rsidTr="00FB6D2D">
        <w:tc>
          <w:tcPr>
            <w:tcW w:w="647" w:type="pct"/>
            <w:tcMar>
              <w:top w:w="28" w:type="dxa"/>
              <w:left w:w="28" w:type="dxa"/>
            </w:tcMar>
          </w:tcPr>
          <w:p w14:paraId="0759053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Methoxsalen</w:t>
            </w:r>
          </w:p>
        </w:tc>
        <w:tc>
          <w:tcPr>
            <w:tcW w:w="283" w:type="pct"/>
            <w:tcMar>
              <w:top w:w="28" w:type="dxa"/>
              <w:left w:w="28" w:type="dxa"/>
            </w:tcMar>
          </w:tcPr>
          <w:p w14:paraId="7D297BC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C10971</w:t>
            </w:r>
          </w:p>
        </w:tc>
        <w:tc>
          <w:tcPr>
            <w:tcW w:w="274" w:type="pct"/>
            <w:tcMar>
              <w:top w:w="28" w:type="dxa"/>
              <w:left w:w="28" w:type="dxa"/>
            </w:tcMar>
          </w:tcPr>
          <w:p w14:paraId="3B7F2E2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P10971</w:t>
            </w:r>
          </w:p>
        </w:tc>
        <w:tc>
          <w:tcPr>
            <w:tcW w:w="2867" w:type="pct"/>
            <w:tcMar>
              <w:top w:w="28" w:type="dxa"/>
              <w:left w:w="28" w:type="dxa"/>
            </w:tcMar>
          </w:tcPr>
          <w:p w14:paraId="19198CE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Erythrodermic stage III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IVa T4 M0 Cutaneous 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cell lymphoma</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6D52A9">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systemic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cancer therapy for this PBS indication; OR</w:t>
            </w:r>
            <w:r w:rsidRPr="006D52A9">
              <w:rPr>
                <w:rFonts w:ascii="Arial" w:eastAsia="SimSun" w:hAnsi="Arial" w:cs="Arial"/>
                <w:sz w:val="16"/>
                <w:szCs w:val="16"/>
                <w:lang w:eastAsia="zh-CN"/>
              </w:rPr>
              <w:br/>
              <w:t>The treatment must be in combination with peginterferon 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 only if used in combination with another drug; AND</w:t>
            </w:r>
            <w:r w:rsidRPr="006D52A9">
              <w:rPr>
                <w:rFonts w:ascii="Arial" w:eastAsia="SimSun" w:hAnsi="Arial" w:cs="Arial"/>
                <w:sz w:val="16"/>
                <w:szCs w:val="16"/>
                <w:lang w:eastAsia="zh-CN"/>
              </w:rPr>
              <w:br/>
              <w:t xml:space="preserve">Patient must be receiving the medical service as described in </w:t>
            </w:r>
            <w:r w:rsidR="003E082A" w:rsidRPr="006D52A9">
              <w:rPr>
                <w:rFonts w:ascii="Arial" w:eastAsia="SimSun" w:hAnsi="Arial" w:cs="Arial"/>
                <w:sz w:val="16"/>
                <w:szCs w:val="16"/>
                <w:lang w:eastAsia="zh-CN"/>
              </w:rPr>
              <w:t>item 1</w:t>
            </w:r>
            <w:r w:rsidRPr="006D52A9">
              <w:rPr>
                <w:rFonts w:ascii="Arial" w:eastAsia="SimSun" w:hAnsi="Arial" w:cs="Arial"/>
                <w:sz w:val="16"/>
                <w:szCs w:val="16"/>
                <w:lang w:eastAsia="zh-CN"/>
              </w:rPr>
              <w:t>4247 of the Medicare Benefits Schedule; AND</w:t>
            </w:r>
            <w:r w:rsidRPr="006D52A9">
              <w:rPr>
                <w:rFonts w:ascii="Arial" w:eastAsia="SimSun" w:hAnsi="Arial" w:cs="Arial"/>
                <w:sz w:val="16"/>
                <w:szCs w:val="16"/>
                <w:lang w:eastAsia="zh-CN"/>
              </w:rPr>
              <w:br/>
              <w:t>Patient must not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PBS indication.</w:t>
            </w:r>
            <w:r w:rsidRPr="006D52A9">
              <w:rPr>
                <w:rFonts w:ascii="Arial" w:eastAsia="SimSun" w:hAnsi="Arial" w:cs="Arial"/>
                <w:sz w:val="16"/>
                <w:szCs w:val="16"/>
                <w:lang w:eastAsia="zh-CN"/>
              </w:rPr>
              <w:br/>
              <w:t>Must be treated by a haematologist; OR</w:t>
            </w:r>
            <w:r w:rsidRPr="006D52A9">
              <w:rPr>
                <w:rFonts w:ascii="Arial" w:eastAsia="SimSun" w:hAnsi="Arial" w:cs="Arial"/>
                <w:sz w:val="16"/>
                <w:szCs w:val="16"/>
                <w:lang w:eastAsia="zh-CN"/>
              </w:rPr>
              <w:br/>
              <w:t>Must be treated by a medical physician working under the supervision of a haematologist.</w:t>
            </w:r>
            <w:r w:rsidRPr="006D52A9">
              <w:rPr>
                <w:rFonts w:ascii="Arial" w:eastAsia="SimSun" w:hAnsi="Arial" w:cs="Arial"/>
                <w:sz w:val="16"/>
                <w:szCs w:val="16"/>
                <w:lang w:eastAsia="zh-CN"/>
              </w:rPr>
              <w:br/>
              <w:t>Patient must be aged 18 years or over.</w:t>
            </w:r>
          </w:p>
        </w:tc>
        <w:tc>
          <w:tcPr>
            <w:tcW w:w="929" w:type="pct"/>
            <w:tcMar>
              <w:top w:w="28" w:type="dxa"/>
              <w:left w:w="28" w:type="dxa"/>
              <w:right w:w="57" w:type="dxa"/>
            </w:tcMar>
          </w:tcPr>
          <w:p w14:paraId="043FE08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10971</w:t>
            </w:r>
          </w:p>
        </w:tc>
      </w:tr>
      <w:tr w:rsidR="008F47B8" w:rsidRPr="006D52A9" w:rsidDel="00FE20B2" w14:paraId="210924D5" w14:textId="77777777" w:rsidTr="00FB6D2D">
        <w:tc>
          <w:tcPr>
            <w:tcW w:w="647" w:type="pct"/>
            <w:tcMar>
              <w:top w:w="28" w:type="dxa"/>
              <w:left w:w="28" w:type="dxa"/>
            </w:tcMar>
          </w:tcPr>
          <w:p w14:paraId="1AF4C2C1"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AE01B6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C10985</w:t>
            </w:r>
          </w:p>
        </w:tc>
        <w:tc>
          <w:tcPr>
            <w:tcW w:w="274" w:type="pct"/>
            <w:tcMar>
              <w:top w:w="28" w:type="dxa"/>
              <w:left w:w="28" w:type="dxa"/>
            </w:tcMar>
          </w:tcPr>
          <w:p w14:paraId="4287846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P10985</w:t>
            </w:r>
          </w:p>
        </w:tc>
        <w:tc>
          <w:tcPr>
            <w:tcW w:w="2867" w:type="pct"/>
            <w:tcMar>
              <w:top w:w="28" w:type="dxa"/>
              <w:left w:w="28" w:type="dxa"/>
            </w:tcMar>
          </w:tcPr>
          <w:p w14:paraId="63F00CC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Erythrodermic stage III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IVa T4 M0 Cutaneous 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cell lymphoma</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Patient must have experienced disease progression while on at least one systemic treatment for this PBS indication prior to initiating treatment with this drug; OR</w:t>
            </w:r>
            <w:r w:rsidRPr="006D52A9">
              <w:rPr>
                <w:rFonts w:ascii="Arial" w:eastAsia="SimSun" w:hAnsi="Arial" w:cs="Arial"/>
                <w:sz w:val="16"/>
                <w:szCs w:val="16"/>
                <w:lang w:eastAsia="zh-CN"/>
              </w:rPr>
              <w:br/>
              <w:t>Patient must have experienced an intolerance necessitating permanent treatment withdrawal to at least one systemic treatment for this PBS indication prior to initiating treatment with this drug;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systemic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cancer therapy for this PBS indication; OR</w:t>
            </w:r>
            <w:r w:rsidRPr="006D52A9">
              <w:rPr>
                <w:rFonts w:ascii="Arial" w:eastAsia="SimSun" w:hAnsi="Arial" w:cs="Arial"/>
                <w:sz w:val="16"/>
                <w:szCs w:val="16"/>
                <w:lang w:eastAsia="zh-CN"/>
              </w:rPr>
              <w:br/>
              <w:t>The treatment must be in combination with peginterferon 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 only if used in combination with another drug; AND</w:t>
            </w:r>
            <w:r w:rsidRPr="006D52A9">
              <w:rPr>
                <w:rFonts w:ascii="Arial" w:eastAsia="SimSun" w:hAnsi="Arial" w:cs="Arial"/>
                <w:sz w:val="16"/>
                <w:szCs w:val="16"/>
                <w:lang w:eastAsia="zh-CN"/>
              </w:rPr>
              <w:br/>
              <w:t xml:space="preserve">Patient must be receiving the medical service as described in </w:t>
            </w:r>
            <w:r w:rsidR="003E082A" w:rsidRPr="006D52A9">
              <w:rPr>
                <w:rFonts w:ascii="Arial" w:eastAsia="SimSun" w:hAnsi="Arial" w:cs="Arial"/>
                <w:sz w:val="16"/>
                <w:szCs w:val="16"/>
                <w:lang w:eastAsia="zh-CN"/>
              </w:rPr>
              <w:t>item 1</w:t>
            </w:r>
            <w:r w:rsidRPr="006D52A9">
              <w:rPr>
                <w:rFonts w:ascii="Arial" w:eastAsia="SimSun" w:hAnsi="Arial" w:cs="Arial"/>
                <w:sz w:val="16"/>
                <w:szCs w:val="16"/>
                <w:lang w:eastAsia="zh-CN"/>
              </w:rPr>
              <w:t>4247 of the Medicare Benefits Schedule; AND</w:t>
            </w:r>
            <w:r w:rsidRPr="006D52A9">
              <w:rPr>
                <w:rFonts w:ascii="Arial" w:eastAsia="SimSun" w:hAnsi="Arial" w:cs="Arial"/>
                <w:sz w:val="16"/>
                <w:szCs w:val="16"/>
                <w:lang w:eastAsia="zh-CN"/>
              </w:rPr>
              <w:br/>
              <w:t>Patient must not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PBS indication.</w:t>
            </w:r>
            <w:r w:rsidRPr="006D52A9">
              <w:rPr>
                <w:rFonts w:ascii="Arial" w:eastAsia="SimSun" w:hAnsi="Arial" w:cs="Arial"/>
                <w:sz w:val="16"/>
                <w:szCs w:val="16"/>
                <w:lang w:eastAsia="zh-CN"/>
              </w:rPr>
              <w:br/>
              <w:t>Must be treated by a haematologist; OR</w:t>
            </w:r>
            <w:r w:rsidRPr="006D52A9">
              <w:rPr>
                <w:rFonts w:ascii="Arial" w:eastAsia="SimSun" w:hAnsi="Arial" w:cs="Arial"/>
                <w:sz w:val="16"/>
                <w:szCs w:val="16"/>
                <w:lang w:eastAsia="zh-CN"/>
              </w:rPr>
              <w:br/>
              <w:t>Must be treated by a medical physician working under the supervision of a haematologist.</w:t>
            </w:r>
            <w:r w:rsidRPr="006D52A9">
              <w:rPr>
                <w:rFonts w:ascii="Arial" w:eastAsia="SimSun" w:hAnsi="Arial" w:cs="Arial"/>
                <w:sz w:val="16"/>
                <w:szCs w:val="16"/>
                <w:lang w:eastAsia="zh-CN"/>
              </w:rPr>
              <w:br/>
              <w:t>Patient must be aged 18 years or over.</w:t>
            </w:r>
          </w:p>
        </w:tc>
        <w:tc>
          <w:tcPr>
            <w:tcW w:w="929" w:type="pct"/>
            <w:tcMar>
              <w:top w:w="28" w:type="dxa"/>
              <w:left w:w="28" w:type="dxa"/>
              <w:right w:w="57" w:type="dxa"/>
            </w:tcMar>
          </w:tcPr>
          <w:p w14:paraId="0B28386B"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10985</w:t>
            </w:r>
          </w:p>
        </w:tc>
      </w:tr>
      <w:tr w:rsidR="008F47B8" w:rsidRPr="006D52A9" w:rsidDel="00FE20B2" w14:paraId="0D9CC720" w14:textId="77777777" w:rsidTr="00FB6D2D">
        <w:tc>
          <w:tcPr>
            <w:tcW w:w="647" w:type="pct"/>
            <w:tcMar>
              <w:top w:w="28" w:type="dxa"/>
              <w:left w:w="28" w:type="dxa"/>
            </w:tcMar>
          </w:tcPr>
          <w:p w14:paraId="76D6CF8D"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9E53BB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C10988</w:t>
            </w:r>
          </w:p>
        </w:tc>
        <w:tc>
          <w:tcPr>
            <w:tcW w:w="274" w:type="pct"/>
            <w:tcMar>
              <w:top w:w="28" w:type="dxa"/>
              <w:left w:w="28" w:type="dxa"/>
            </w:tcMar>
          </w:tcPr>
          <w:p w14:paraId="5A30160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P10988</w:t>
            </w:r>
          </w:p>
        </w:tc>
        <w:tc>
          <w:tcPr>
            <w:tcW w:w="2867" w:type="pct"/>
            <w:tcMar>
              <w:top w:w="28" w:type="dxa"/>
              <w:left w:w="28" w:type="dxa"/>
            </w:tcMar>
          </w:tcPr>
          <w:p w14:paraId="01C9AF6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Erythrodermic stage III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IVa T4 M0 Cutaneous 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cell lymphoma</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PBS indication; AND</w:t>
            </w:r>
            <w:r w:rsidRPr="006D52A9">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systemic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cancer therapy for this PBS indication;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treatment must be in combination with peginterferon 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 only if used in combination with another drug; AND</w:t>
            </w:r>
            <w:r w:rsidRPr="006D52A9">
              <w:rPr>
                <w:rFonts w:ascii="Arial" w:eastAsia="SimSun" w:hAnsi="Arial" w:cs="Arial"/>
                <w:sz w:val="16"/>
                <w:szCs w:val="16"/>
                <w:lang w:eastAsia="zh-CN"/>
              </w:rPr>
              <w:br/>
              <w:t xml:space="preserve">Patient must be receiving the medical service as described in </w:t>
            </w:r>
            <w:r w:rsidR="003E082A" w:rsidRPr="006D52A9">
              <w:rPr>
                <w:rFonts w:ascii="Arial" w:eastAsia="SimSun" w:hAnsi="Arial" w:cs="Arial"/>
                <w:sz w:val="16"/>
                <w:szCs w:val="16"/>
                <w:lang w:eastAsia="zh-CN"/>
              </w:rPr>
              <w:t>item 1</w:t>
            </w:r>
            <w:r w:rsidRPr="006D52A9">
              <w:rPr>
                <w:rFonts w:ascii="Arial" w:eastAsia="SimSun" w:hAnsi="Arial" w:cs="Arial"/>
                <w:sz w:val="16"/>
                <w:szCs w:val="16"/>
                <w:lang w:eastAsia="zh-CN"/>
              </w:rPr>
              <w:t>4249 of the Medicare Benefits Schedule.</w:t>
            </w:r>
            <w:r w:rsidRPr="006D52A9">
              <w:rPr>
                <w:rFonts w:ascii="Arial" w:eastAsia="SimSun" w:hAnsi="Arial" w:cs="Arial"/>
                <w:sz w:val="16"/>
                <w:szCs w:val="16"/>
                <w:lang w:eastAsia="zh-CN"/>
              </w:rPr>
              <w:br/>
              <w:t>Must be treated by a haematologist; OR</w:t>
            </w:r>
            <w:r w:rsidRPr="006D52A9">
              <w:rPr>
                <w:rFonts w:ascii="Arial" w:eastAsia="SimSun" w:hAnsi="Arial" w:cs="Arial"/>
                <w:sz w:val="16"/>
                <w:szCs w:val="16"/>
                <w:lang w:eastAsia="zh-CN"/>
              </w:rPr>
              <w:br/>
              <w:t>Must be treated by a medical physician working under the supervision of a haematologist.</w:t>
            </w:r>
            <w:r w:rsidRPr="006D52A9">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Response only needs to be demonstrated after the first six months of treatment</w:t>
            </w:r>
          </w:p>
        </w:tc>
        <w:tc>
          <w:tcPr>
            <w:tcW w:w="929" w:type="pct"/>
            <w:tcMar>
              <w:top w:w="28" w:type="dxa"/>
              <w:left w:w="28" w:type="dxa"/>
              <w:right w:w="57" w:type="dxa"/>
            </w:tcMar>
          </w:tcPr>
          <w:p w14:paraId="315B10B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10988</w:t>
            </w:r>
          </w:p>
        </w:tc>
      </w:tr>
      <w:tr w:rsidR="008F47B8" w:rsidRPr="006D52A9" w:rsidDel="00FE20B2" w14:paraId="1168830E" w14:textId="77777777" w:rsidTr="00FB6D2D">
        <w:tc>
          <w:tcPr>
            <w:tcW w:w="647" w:type="pct"/>
            <w:tcMar>
              <w:top w:w="28" w:type="dxa"/>
              <w:left w:w="28" w:type="dxa"/>
            </w:tcMar>
          </w:tcPr>
          <w:p w14:paraId="528FD929"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38ADF1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C10989</w:t>
            </w:r>
          </w:p>
        </w:tc>
        <w:tc>
          <w:tcPr>
            <w:tcW w:w="274" w:type="pct"/>
            <w:tcMar>
              <w:top w:w="28" w:type="dxa"/>
              <w:left w:w="28" w:type="dxa"/>
            </w:tcMar>
          </w:tcPr>
          <w:p w14:paraId="319E915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P10989</w:t>
            </w:r>
          </w:p>
        </w:tc>
        <w:tc>
          <w:tcPr>
            <w:tcW w:w="2867" w:type="pct"/>
            <w:tcMar>
              <w:top w:w="28" w:type="dxa"/>
              <w:left w:w="28" w:type="dxa"/>
            </w:tcMar>
          </w:tcPr>
          <w:p w14:paraId="2B39770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Erythrodermic stage III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IVa T4 M0 Cutaneous 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cell lymphoma</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PBS indication; AND</w:t>
            </w:r>
            <w:r w:rsidRPr="006D52A9">
              <w:rPr>
                <w:rFonts w:ascii="Arial" w:eastAsia="SimSun" w:hAnsi="Arial" w:cs="Arial"/>
                <w:sz w:val="16"/>
                <w:szCs w:val="16"/>
                <w:lang w:eastAsia="zh-CN"/>
              </w:rPr>
              <w:br/>
              <w:t>Patient must have demonstrated a response to treatment with this drug if treatment is continuing beyond 6 months of treatment for the first time;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systemic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cancer therapy for this PBS indication; OR</w:t>
            </w:r>
            <w:r w:rsidRPr="006D52A9">
              <w:rPr>
                <w:rFonts w:ascii="Arial" w:eastAsia="SimSun" w:hAnsi="Arial" w:cs="Arial"/>
                <w:sz w:val="16"/>
                <w:szCs w:val="16"/>
                <w:lang w:eastAsia="zh-CN"/>
              </w:rPr>
              <w:br/>
              <w:t>The treatment must be in combination with peginterferon 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 only if used in combination with another drug; AND</w:t>
            </w:r>
            <w:r w:rsidRPr="006D52A9">
              <w:rPr>
                <w:rFonts w:ascii="Arial" w:eastAsia="SimSun" w:hAnsi="Arial" w:cs="Arial"/>
                <w:sz w:val="16"/>
                <w:szCs w:val="16"/>
                <w:lang w:eastAsia="zh-CN"/>
              </w:rPr>
              <w:br/>
              <w:t xml:space="preserve">Patient must be receiving the medical service as described in </w:t>
            </w:r>
            <w:r w:rsidR="003E082A" w:rsidRPr="006D52A9">
              <w:rPr>
                <w:rFonts w:ascii="Arial" w:eastAsia="SimSun" w:hAnsi="Arial" w:cs="Arial"/>
                <w:sz w:val="16"/>
                <w:szCs w:val="16"/>
                <w:lang w:eastAsia="zh-CN"/>
              </w:rPr>
              <w:t>item 1</w:t>
            </w:r>
            <w:r w:rsidRPr="006D52A9">
              <w:rPr>
                <w:rFonts w:ascii="Arial" w:eastAsia="SimSun" w:hAnsi="Arial" w:cs="Arial"/>
                <w:sz w:val="16"/>
                <w:szCs w:val="16"/>
                <w:lang w:eastAsia="zh-CN"/>
              </w:rPr>
              <w:t>4249 of the Medicare Benefits Schedule.</w:t>
            </w:r>
            <w:r w:rsidRPr="006D52A9">
              <w:rPr>
                <w:rFonts w:ascii="Arial" w:eastAsia="SimSun" w:hAnsi="Arial" w:cs="Arial"/>
                <w:sz w:val="16"/>
                <w:szCs w:val="16"/>
                <w:lang w:eastAsia="zh-CN"/>
              </w:rPr>
              <w:br/>
              <w:t>Must be treated by a haematologist; OR</w:t>
            </w:r>
            <w:r w:rsidRPr="006D52A9">
              <w:rPr>
                <w:rFonts w:ascii="Arial" w:eastAsia="SimSun" w:hAnsi="Arial" w:cs="Arial"/>
                <w:sz w:val="16"/>
                <w:szCs w:val="16"/>
                <w:lang w:eastAsia="zh-CN"/>
              </w:rPr>
              <w:br/>
              <w:t>Must be treated by a medical physician working under the supervision of a haematologist.</w:t>
            </w:r>
            <w:r w:rsidRPr="006D52A9">
              <w:rPr>
                <w:rFonts w:ascii="Arial" w:eastAsia="SimSun" w:hAnsi="Arial" w:cs="Arial"/>
                <w:sz w:val="16"/>
                <w:szCs w:val="16"/>
                <w:lang w:eastAsia="zh-CN"/>
              </w:rPr>
              <w:br/>
              <w:t>A response, for the purposes of administering this continuing restriction, is defined as attaining a reduction of at least 50% in the overall skin lesion score from baseline, for at least 4 consecutive weeks. Refer to the Product Information for directions on calculating an overall skin lesion score. The definition of a clinically significant reduction in the Product Information differs to the 50% requirement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Response only needs to be demonstrated after the first six months of treatment</w:t>
            </w:r>
          </w:p>
        </w:tc>
        <w:tc>
          <w:tcPr>
            <w:tcW w:w="929" w:type="pct"/>
            <w:tcMar>
              <w:top w:w="28" w:type="dxa"/>
              <w:left w:w="28" w:type="dxa"/>
              <w:right w:w="57" w:type="dxa"/>
            </w:tcMar>
          </w:tcPr>
          <w:p w14:paraId="56979CD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10989</w:t>
            </w:r>
          </w:p>
        </w:tc>
      </w:tr>
      <w:tr w:rsidR="008F47B8" w:rsidRPr="006D52A9" w:rsidDel="00FE20B2" w14:paraId="1DB28BAE" w14:textId="77777777" w:rsidTr="00FB6D2D">
        <w:trPr>
          <w:cantSplit/>
        </w:trPr>
        <w:tc>
          <w:tcPr>
            <w:tcW w:w="647" w:type="pct"/>
            <w:tcMar>
              <w:top w:w="28" w:type="dxa"/>
              <w:left w:w="28" w:type="dxa"/>
            </w:tcMar>
          </w:tcPr>
          <w:p w14:paraId="7178643C"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Methoxy polyethylene glycol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epoetin beta</w:t>
            </w:r>
          </w:p>
        </w:tc>
        <w:tc>
          <w:tcPr>
            <w:tcW w:w="283" w:type="pct"/>
            <w:tcMar>
              <w:top w:w="28" w:type="dxa"/>
              <w:left w:w="28" w:type="dxa"/>
            </w:tcMar>
          </w:tcPr>
          <w:p w14:paraId="32AA3BD2"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C6294</w:t>
            </w:r>
          </w:p>
        </w:tc>
        <w:tc>
          <w:tcPr>
            <w:tcW w:w="274" w:type="pct"/>
            <w:tcMar>
              <w:top w:w="28" w:type="dxa"/>
              <w:left w:w="28" w:type="dxa"/>
            </w:tcMar>
          </w:tcPr>
          <w:p w14:paraId="47C5C207"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8B15F1D"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Anaemia associated with intrinsic renal disease</w:t>
            </w:r>
            <w:r w:rsidRPr="006D52A9">
              <w:rPr>
                <w:rFonts w:ascii="Arial" w:eastAsia="SimSun" w:hAnsi="Arial" w:cs="Arial"/>
                <w:sz w:val="16"/>
                <w:szCs w:val="16"/>
                <w:lang w:eastAsia="zh-CN"/>
              </w:rPr>
              <w:br/>
              <w:t>Patient must require transfusion; AND</w:t>
            </w:r>
            <w:r w:rsidRPr="006D52A9">
              <w:rPr>
                <w:rFonts w:ascii="Arial" w:eastAsia="SimSun" w:hAnsi="Arial" w:cs="Arial"/>
                <w:sz w:val="16"/>
                <w:szCs w:val="16"/>
                <w:lang w:eastAsia="zh-CN"/>
              </w:rPr>
              <w:br/>
              <w:t>Patient must have a haemoglobin level of less than 100 g per L; AND</w:t>
            </w:r>
            <w:r w:rsidRPr="006D52A9">
              <w:rPr>
                <w:rFonts w:ascii="Arial" w:eastAsia="SimSun" w:hAnsi="Arial" w:cs="Arial"/>
                <w:sz w:val="16"/>
                <w:szCs w:val="16"/>
                <w:lang w:eastAsia="zh-CN"/>
              </w:rPr>
              <w:br/>
              <w:t>Patient must have intrinsic renal disease, as assessed by a nephrologist.</w:t>
            </w:r>
          </w:p>
        </w:tc>
        <w:tc>
          <w:tcPr>
            <w:tcW w:w="929" w:type="pct"/>
            <w:tcMar>
              <w:top w:w="28" w:type="dxa"/>
              <w:left w:w="28" w:type="dxa"/>
              <w:right w:w="57" w:type="dxa"/>
            </w:tcMar>
          </w:tcPr>
          <w:p w14:paraId="179A837A" w14:textId="77777777" w:rsidR="008F47B8" w:rsidRPr="006D52A9" w:rsidDel="00FE20B2"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6294</w:t>
            </w:r>
          </w:p>
        </w:tc>
      </w:tr>
      <w:tr w:rsidR="008F47B8" w:rsidRPr="006D52A9" w:rsidDel="00FE20B2" w14:paraId="50D1CF7E" w14:textId="77777777" w:rsidTr="00FB6D2D">
        <w:trPr>
          <w:cantSplit/>
        </w:trPr>
        <w:tc>
          <w:tcPr>
            <w:tcW w:w="647" w:type="pct"/>
            <w:tcMar>
              <w:top w:w="28" w:type="dxa"/>
              <w:left w:w="28" w:type="dxa"/>
            </w:tcMar>
          </w:tcPr>
          <w:p w14:paraId="65A55A11"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37D1F7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C9688</w:t>
            </w:r>
          </w:p>
        </w:tc>
        <w:tc>
          <w:tcPr>
            <w:tcW w:w="274" w:type="pct"/>
            <w:tcMar>
              <w:top w:w="28" w:type="dxa"/>
              <w:left w:w="28" w:type="dxa"/>
            </w:tcMar>
          </w:tcPr>
          <w:p w14:paraId="422BB652"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1FE4F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Anaemia associated with intrinsic renal disease</w:t>
            </w:r>
            <w:r w:rsidRPr="006D52A9">
              <w:rPr>
                <w:rFonts w:ascii="Arial" w:eastAsia="SimSun" w:hAnsi="Arial" w:cs="Arial"/>
                <w:sz w:val="16"/>
                <w:szCs w:val="16"/>
                <w:lang w:eastAsia="zh-CN"/>
              </w:rPr>
              <w:br/>
              <w:t>Patient must require transfusion; AND</w:t>
            </w:r>
            <w:r w:rsidRPr="006D52A9">
              <w:rPr>
                <w:rFonts w:ascii="Arial" w:eastAsia="SimSun" w:hAnsi="Arial" w:cs="Arial"/>
                <w:sz w:val="16"/>
                <w:szCs w:val="16"/>
                <w:lang w:eastAsia="zh-CN"/>
              </w:rPr>
              <w:br/>
              <w:t>Patient must have a haemoglobin level of less than 100 g per L; AND</w:t>
            </w:r>
            <w:r w:rsidRPr="006D52A9">
              <w:rPr>
                <w:rFonts w:ascii="Arial" w:eastAsia="SimSun" w:hAnsi="Arial" w:cs="Arial"/>
                <w:sz w:val="16"/>
                <w:szCs w:val="16"/>
                <w:lang w:eastAsia="zh-CN"/>
              </w:rPr>
              <w:br/>
              <w:t>Patient must have intrinsic renal disease, as assessed by a nephrologist.</w:t>
            </w:r>
          </w:p>
        </w:tc>
        <w:tc>
          <w:tcPr>
            <w:tcW w:w="929" w:type="pct"/>
            <w:tcMar>
              <w:top w:w="28" w:type="dxa"/>
              <w:left w:w="28" w:type="dxa"/>
              <w:right w:w="57" w:type="dxa"/>
            </w:tcMar>
          </w:tcPr>
          <w:p w14:paraId="3430D7C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9688</w:t>
            </w:r>
          </w:p>
        </w:tc>
      </w:tr>
      <w:tr w:rsidR="008F47B8" w:rsidRPr="006D52A9" w:rsidDel="00FE20B2" w14:paraId="4E3FC620" w14:textId="77777777" w:rsidTr="00FB6D2D">
        <w:tc>
          <w:tcPr>
            <w:tcW w:w="647" w:type="pct"/>
            <w:tcMar>
              <w:top w:w="28" w:type="dxa"/>
              <w:left w:w="28" w:type="dxa"/>
            </w:tcMar>
          </w:tcPr>
          <w:p w14:paraId="1C120073"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Midostaurin</w:t>
            </w:r>
          </w:p>
        </w:tc>
        <w:tc>
          <w:tcPr>
            <w:tcW w:w="283" w:type="pct"/>
            <w:tcMar>
              <w:top w:w="28" w:type="dxa"/>
              <w:left w:w="28" w:type="dxa"/>
            </w:tcMar>
          </w:tcPr>
          <w:p w14:paraId="79A7EFE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C8138</w:t>
            </w:r>
          </w:p>
        </w:tc>
        <w:tc>
          <w:tcPr>
            <w:tcW w:w="274" w:type="pct"/>
            <w:tcMar>
              <w:top w:w="28" w:type="dxa"/>
              <w:left w:w="28" w:type="dxa"/>
            </w:tcMar>
          </w:tcPr>
          <w:p w14:paraId="3AAC411F"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P8138</w:t>
            </w:r>
          </w:p>
        </w:tc>
        <w:tc>
          <w:tcPr>
            <w:tcW w:w="2867" w:type="pct"/>
            <w:tcMar>
              <w:top w:w="28" w:type="dxa"/>
              <w:left w:w="28" w:type="dxa"/>
            </w:tcMar>
          </w:tcPr>
          <w:p w14:paraId="7D4B1C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Acute Myeloid Leukaemia</w:t>
            </w:r>
            <w:r w:rsidRPr="006D52A9">
              <w:rPr>
                <w:rFonts w:ascii="Arial" w:hAnsi="Arial" w:cs="Arial"/>
                <w:sz w:val="16"/>
                <w:szCs w:val="16"/>
              </w:rPr>
              <w:br/>
              <w:t xml:space="preserve">Maintenance therapy </w:t>
            </w:r>
            <w:r w:rsidR="0026100E">
              <w:rPr>
                <w:rFonts w:ascii="Arial" w:hAnsi="Arial" w:cs="Arial"/>
                <w:sz w:val="16"/>
                <w:szCs w:val="16"/>
              </w:rPr>
              <w:noBreakHyphen/>
            </w:r>
            <w:r w:rsidRPr="006D52A9">
              <w:rPr>
                <w:rFonts w:ascii="Arial" w:hAnsi="Arial" w:cs="Arial"/>
                <w:sz w:val="16"/>
                <w:szCs w:val="16"/>
              </w:rPr>
              <w:t xml:space="preserve"> Continuing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 xml:space="preserve">subsidised treatment with this drug for this condition under </w:t>
            </w:r>
            <w:r w:rsidRPr="006D52A9">
              <w:rPr>
                <w:rFonts w:ascii="Arial" w:hAnsi="Arial" w:cs="Arial"/>
                <w:sz w:val="16"/>
                <w:szCs w:val="16"/>
              </w:rPr>
              <w:lastRenderedPageBreak/>
              <w:t>the initial maintenance or the initial maintenance grandfathering treatment restriction; AND</w:t>
            </w:r>
            <w:r w:rsidRPr="006D52A9">
              <w:rPr>
                <w:rFonts w:ascii="Arial" w:hAnsi="Arial" w:cs="Arial"/>
                <w:sz w:val="16"/>
                <w:szCs w:val="16"/>
              </w:rPr>
              <w:br/>
              <w:t>Patient must not have developed disease progression while receiving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be undergoing or have undergone a stem cell transplant.</w:t>
            </w:r>
            <w:r w:rsidRPr="006D52A9">
              <w:rPr>
                <w:rFonts w:ascii="Arial" w:hAnsi="Arial" w:cs="Arial"/>
                <w:sz w:val="16"/>
                <w:szCs w:val="16"/>
              </w:rPr>
              <w:br/>
              <w:t>A maximum of 9 cycles will be authorised under this restriction in a lifetime.</w:t>
            </w:r>
            <w:r w:rsidRPr="006D52A9">
              <w:rPr>
                <w:rFonts w:ascii="Arial" w:hAnsi="Arial" w:cs="Arial"/>
                <w:sz w:val="16"/>
                <w:szCs w:val="16"/>
              </w:rPr>
              <w:br/>
              <w:t>Progressive disease monitoring via a complete blood count must be taken at the end of each cycle.</w:t>
            </w:r>
            <w:r w:rsidRPr="006D52A9">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D52A9">
              <w:rPr>
                <w:rFonts w:ascii="Arial" w:hAnsi="Arial" w:cs="Arial"/>
                <w:sz w:val="16"/>
                <w:szCs w:val="16"/>
              </w:rPr>
              <w:br/>
              <w:t>Progressive disease is defined as the presence of any of the following:</w:t>
            </w:r>
            <w:r w:rsidRPr="006D52A9">
              <w:rPr>
                <w:rFonts w:ascii="Arial" w:hAnsi="Arial" w:cs="Arial"/>
                <w:sz w:val="16"/>
                <w:szCs w:val="16"/>
              </w:rPr>
              <w:br/>
              <w:t>Leukaemic cells in the CSF;</w:t>
            </w:r>
            <w:r w:rsidRPr="006D52A9">
              <w:rPr>
                <w:rFonts w:ascii="Arial" w:hAnsi="Arial" w:cs="Arial"/>
                <w:sz w:val="16"/>
                <w:szCs w:val="16"/>
              </w:rPr>
              <w:br/>
              <w:t>Re</w:t>
            </w:r>
            <w:r w:rsidR="0026100E">
              <w:rPr>
                <w:rFonts w:ascii="Arial" w:hAnsi="Arial" w:cs="Arial"/>
                <w:sz w:val="16"/>
                <w:szCs w:val="16"/>
              </w:rPr>
              <w:noBreakHyphen/>
            </w:r>
            <w:r w:rsidRPr="006D52A9">
              <w:rPr>
                <w:rFonts w:ascii="Arial" w:hAnsi="Arial" w:cs="Arial"/>
                <w:sz w:val="16"/>
                <w:szCs w:val="16"/>
              </w:rPr>
              <w:t>appearance of circulating blast cells in the peripheral blood, not attributable to overshoot following recovery from myeloablative therapy;</w:t>
            </w:r>
            <w:r w:rsidRPr="006D52A9">
              <w:rPr>
                <w:rFonts w:ascii="Arial" w:hAnsi="Arial" w:cs="Arial"/>
                <w:sz w:val="16"/>
                <w:szCs w:val="16"/>
              </w:rPr>
              <w:br/>
              <w:t>Greater than 5 % blasts in the marrow not attributable to bone marrow regeneration or another cause;</w:t>
            </w:r>
            <w:r w:rsidRPr="006D52A9">
              <w:rPr>
                <w:rFonts w:ascii="Arial" w:hAnsi="Arial" w:cs="Arial"/>
                <w:sz w:val="16"/>
                <w:szCs w:val="16"/>
              </w:rPr>
              <w:br/>
              <w:t>Extramedullary leukaemia.</w:t>
            </w:r>
            <w:r w:rsidRPr="006D52A9">
              <w:rPr>
                <w:rFonts w:ascii="Arial" w:hAnsi="Arial" w:cs="Arial"/>
                <w:sz w:val="16"/>
                <w:szCs w:val="16"/>
              </w:rPr>
              <w:br/>
              <w:t>A patient who has progressive disease when treated with this drug is no longer eligible for PBS</w:t>
            </w:r>
            <w:r w:rsidR="0026100E">
              <w:rPr>
                <w:rFonts w:ascii="Arial" w:hAnsi="Arial" w:cs="Arial"/>
                <w:sz w:val="16"/>
                <w:szCs w:val="16"/>
              </w:rPr>
              <w:noBreakHyphen/>
            </w:r>
            <w:r w:rsidRPr="006D52A9">
              <w:rPr>
                <w:rFonts w:ascii="Arial" w:hAnsi="Arial" w:cs="Arial"/>
                <w:sz w:val="16"/>
                <w:szCs w:val="16"/>
              </w:rPr>
              <w:t>subsidised treatment with this drug.</w:t>
            </w:r>
          </w:p>
        </w:tc>
        <w:tc>
          <w:tcPr>
            <w:tcW w:w="929" w:type="pct"/>
            <w:tcMar>
              <w:top w:w="28" w:type="dxa"/>
              <w:left w:w="28" w:type="dxa"/>
              <w:right w:w="57" w:type="dxa"/>
            </w:tcMar>
          </w:tcPr>
          <w:p w14:paraId="45A4619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Authority Required procedures</w:t>
            </w:r>
          </w:p>
        </w:tc>
      </w:tr>
      <w:tr w:rsidR="008F47B8" w:rsidRPr="006D52A9" w:rsidDel="00FE20B2" w14:paraId="22D7F6DD" w14:textId="77777777" w:rsidTr="00FB6D2D">
        <w:tc>
          <w:tcPr>
            <w:tcW w:w="647" w:type="pct"/>
            <w:tcMar>
              <w:top w:w="28" w:type="dxa"/>
              <w:left w:w="28" w:type="dxa"/>
            </w:tcMar>
          </w:tcPr>
          <w:p w14:paraId="7FA09A47"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F4BA22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C8177</w:t>
            </w:r>
          </w:p>
        </w:tc>
        <w:tc>
          <w:tcPr>
            <w:tcW w:w="274" w:type="pct"/>
            <w:tcMar>
              <w:top w:w="28" w:type="dxa"/>
              <w:left w:w="28" w:type="dxa"/>
            </w:tcMar>
          </w:tcPr>
          <w:p w14:paraId="2397D46F"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P8177</w:t>
            </w:r>
          </w:p>
        </w:tc>
        <w:tc>
          <w:tcPr>
            <w:tcW w:w="2867" w:type="pct"/>
            <w:tcMar>
              <w:top w:w="28" w:type="dxa"/>
              <w:left w:w="28" w:type="dxa"/>
            </w:tcMar>
          </w:tcPr>
          <w:p w14:paraId="12BD774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Acute Myeloid Leukaemia</w:t>
            </w:r>
            <w:r w:rsidRPr="006D52A9">
              <w:rPr>
                <w:rFonts w:ascii="Arial" w:hAnsi="Arial" w:cs="Arial"/>
                <w:sz w:val="16"/>
                <w:szCs w:val="16"/>
              </w:rPr>
              <w:br/>
              <w:t xml:space="preserve">Maintenance therapy </w:t>
            </w:r>
            <w:r w:rsidR="0026100E">
              <w:rPr>
                <w:rFonts w:ascii="Arial" w:hAnsi="Arial" w:cs="Arial"/>
                <w:sz w:val="16"/>
                <w:szCs w:val="16"/>
              </w:rPr>
              <w:noBreakHyphen/>
            </w:r>
            <w:r w:rsidRPr="006D52A9">
              <w:rPr>
                <w:rFonts w:ascii="Arial" w:hAnsi="Arial" w:cs="Arial"/>
                <w:sz w:val="16"/>
                <w:szCs w:val="16"/>
              </w:rPr>
              <w:t xml:space="preserve"> Initial treatment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developed disease progression while receiving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have demonstrated complete remission after induction and consolidation chemotherapy in combination with midostaurin; AND</w:t>
            </w:r>
            <w:r w:rsidRPr="006D52A9">
              <w:rPr>
                <w:rFonts w:ascii="Arial" w:hAnsi="Arial" w:cs="Arial"/>
                <w:sz w:val="16"/>
                <w:szCs w:val="16"/>
              </w:rPr>
              <w:br/>
              <w:t>Patient must not be undergoing or have undergone a stem cell transplant; AND</w:t>
            </w:r>
            <w:r w:rsidRPr="006D52A9">
              <w:rPr>
                <w:rFonts w:ascii="Arial" w:hAnsi="Arial" w:cs="Arial"/>
                <w:sz w:val="16"/>
                <w:szCs w:val="16"/>
              </w:rPr>
              <w:br/>
              <w:t>The condition must have been internal tandem duplication (ITD) or tyrosine kinase domain (TKD) FMS tyrosine kinase 3 (FLT3) mutation positive before initiating this drug for this condition.</w:t>
            </w:r>
            <w:r w:rsidRPr="006D52A9">
              <w:rPr>
                <w:rFonts w:ascii="Arial" w:hAnsi="Arial" w:cs="Arial"/>
                <w:sz w:val="16"/>
                <w:szCs w:val="16"/>
              </w:rPr>
              <w:br/>
              <w:t>A maximum of 3 cycles will be authorised under this restriction in a lifetime.</w:t>
            </w:r>
            <w:r w:rsidRPr="006D52A9">
              <w:rPr>
                <w:rFonts w:ascii="Arial" w:hAnsi="Arial" w:cs="Arial"/>
                <w:sz w:val="16"/>
                <w:szCs w:val="16"/>
              </w:rPr>
              <w:br/>
              <w:t>Progressive disease monitoring via a complete blood count must be taken at the end of each cycle.</w:t>
            </w:r>
            <w:r w:rsidRPr="006D52A9">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D52A9">
              <w:rPr>
                <w:rFonts w:ascii="Arial" w:hAnsi="Arial" w:cs="Arial"/>
                <w:sz w:val="16"/>
                <w:szCs w:val="16"/>
              </w:rPr>
              <w:br/>
              <w:t>Progressive disease is defined as the presence of any of the following:</w:t>
            </w:r>
            <w:r w:rsidRPr="006D52A9">
              <w:rPr>
                <w:rFonts w:ascii="Arial" w:hAnsi="Arial" w:cs="Arial"/>
                <w:sz w:val="16"/>
                <w:szCs w:val="16"/>
              </w:rPr>
              <w:br/>
              <w:t>Leukaemic cells in the CSF;</w:t>
            </w:r>
            <w:r w:rsidRPr="006D52A9">
              <w:rPr>
                <w:rFonts w:ascii="Arial" w:hAnsi="Arial" w:cs="Arial"/>
                <w:sz w:val="16"/>
                <w:szCs w:val="16"/>
              </w:rPr>
              <w:br/>
              <w:t>Re</w:t>
            </w:r>
            <w:r w:rsidR="0026100E">
              <w:rPr>
                <w:rFonts w:ascii="Arial" w:hAnsi="Arial" w:cs="Arial"/>
                <w:sz w:val="16"/>
                <w:szCs w:val="16"/>
              </w:rPr>
              <w:noBreakHyphen/>
            </w:r>
            <w:r w:rsidRPr="006D52A9">
              <w:rPr>
                <w:rFonts w:ascii="Arial" w:hAnsi="Arial" w:cs="Arial"/>
                <w:sz w:val="16"/>
                <w:szCs w:val="16"/>
              </w:rPr>
              <w:t>appearance of circulating blast cells in the peripheral blood, not attributable to overshoot following recovery from myeloablative therapy;</w:t>
            </w:r>
            <w:r w:rsidRPr="006D52A9">
              <w:rPr>
                <w:rFonts w:ascii="Arial" w:hAnsi="Arial" w:cs="Arial"/>
                <w:sz w:val="16"/>
                <w:szCs w:val="16"/>
              </w:rPr>
              <w:br/>
              <w:t>Greater than 5 % blasts in the marrow not attributable to bone marrow regeneration or another cause;</w:t>
            </w:r>
            <w:r w:rsidRPr="006D52A9">
              <w:rPr>
                <w:rFonts w:ascii="Arial" w:hAnsi="Arial" w:cs="Arial"/>
                <w:sz w:val="16"/>
                <w:szCs w:val="16"/>
              </w:rPr>
              <w:br/>
              <w:t>Extramedullary leukaemia.</w:t>
            </w:r>
            <w:r w:rsidRPr="006D52A9">
              <w:rPr>
                <w:rFonts w:ascii="Arial" w:hAnsi="Arial" w:cs="Arial"/>
                <w:sz w:val="16"/>
                <w:szCs w:val="16"/>
              </w:rPr>
              <w:br/>
              <w:t>A patient who has progressive disease when treated with this drug is no longer eligible for PBS</w:t>
            </w:r>
            <w:r w:rsidR="0026100E">
              <w:rPr>
                <w:rFonts w:ascii="Arial" w:hAnsi="Arial" w:cs="Arial"/>
                <w:sz w:val="16"/>
                <w:szCs w:val="16"/>
              </w:rPr>
              <w:noBreakHyphen/>
            </w:r>
            <w:r w:rsidRPr="006D52A9">
              <w:rPr>
                <w:rFonts w:ascii="Arial" w:hAnsi="Arial" w:cs="Arial"/>
                <w:sz w:val="16"/>
                <w:szCs w:val="16"/>
              </w:rPr>
              <w:t>subsidised treatment with this drug.</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w:t>
            </w:r>
            <w:r w:rsidRPr="006D52A9">
              <w:rPr>
                <w:rFonts w:ascii="Arial" w:hAnsi="Arial" w:cs="Arial"/>
                <w:sz w:val="16"/>
                <w:szCs w:val="16"/>
              </w:rPr>
              <w:br/>
              <w:t xml:space="preserve">(2) a completed Acute myeloid leukaemia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r>
            <w:r w:rsidRPr="006D52A9">
              <w:rPr>
                <w:rFonts w:ascii="Arial" w:hAnsi="Arial" w:cs="Arial"/>
                <w:sz w:val="16"/>
                <w:szCs w:val="16"/>
              </w:rPr>
              <w:lastRenderedPageBreak/>
              <w:t>(3) confirmation that the patient is not undergoing or has not undergone a stem cell transplant; and</w:t>
            </w:r>
            <w:r w:rsidRPr="006D52A9">
              <w:rPr>
                <w:rFonts w:ascii="Arial" w:hAnsi="Arial" w:cs="Arial"/>
                <w:sz w:val="16"/>
                <w:szCs w:val="16"/>
              </w:rPr>
              <w:br/>
              <w:t>(4) confirmation that the patient does not have progressive disease; and</w:t>
            </w:r>
            <w:r w:rsidRPr="006D52A9">
              <w:rPr>
                <w:rFonts w:ascii="Arial" w:hAnsi="Arial" w:cs="Arial"/>
                <w:sz w:val="16"/>
                <w:szCs w:val="16"/>
              </w:rPr>
              <w:br/>
              <w:t>(5) a copy of a recent bone marrow biopsy report demonstrating that the patient is in complete remission; and</w:t>
            </w:r>
            <w:r w:rsidRPr="006D52A9">
              <w:rPr>
                <w:rFonts w:ascii="Arial" w:hAnsi="Arial" w:cs="Arial"/>
                <w:sz w:val="16"/>
                <w:szCs w:val="16"/>
              </w:rPr>
              <w:br/>
              <w:t>(6) a copy of the pathology test demonstrating that the condition was FMS tyrosine kinase 3 (FLT3) (ITD or TKD) mutation positive prior to commencing midostaurin.</w:t>
            </w:r>
          </w:p>
        </w:tc>
        <w:tc>
          <w:tcPr>
            <w:tcW w:w="929" w:type="pct"/>
            <w:tcMar>
              <w:top w:w="28" w:type="dxa"/>
              <w:left w:w="28" w:type="dxa"/>
              <w:right w:w="57" w:type="dxa"/>
            </w:tcMar>
          </w:tcPr>
          <w:p w14:paraId="09948C5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FE20B2" w14:paraId="6CCCBCA3" w14:textId="77777777" w:rsidTr="00FB6D2D">
        <w:tc>
          <w:tcPr>
            <w:tcW w:w="647" w:type="pct"/>
            <w:tcMar>
              <w:top w:w="28" w:type="dxa"/>
              <w:left w:w="28" w:type="dxa"/>
            </w:tcMar>
          </w:tcPr>
          <w:p w14:paraId="5226444A"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116BA1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C8193</w:t>
            </w:r>
          </w:p>
        </w:tc>
        <w:tc>
          <w:tcPr>
            <w:tcW w:w="274" w:type="pct"/>
            <w:tcMar>
              <w:top w:w="28" w:type="dxa"/>
              <w:left w:w="28" w:type="dxa"/>
            </w:tcMar>
          </w:tcPr>
          <w:p w14:paraId="7FED5A04"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P8193</w:t>
            </w:r>
          </w:p>
        </w:tc>
        <w:tc>
          <w:tcPr>
            <w:tcW w:w="2867" w:type="pct"/>
            <w:tcMar>
              <w:top w:w="28" w:type="dxa"/>
              <w:left w:w="28" w:type="dxa"/>
            </w:tcMar>
          </w:tcPr>
          <w:p w14:paraId="4FA359F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Acute Myeloid Leukaemia</w:t>
            </w:r>
            <w:r w:rsidRPr="006D52A9">
              <w:rPr>
                <w:rFonts w:ascii="Arial" w:hAnsi="Arial" w:cs="Arial"/>
                <w:sz w:val="16"/>
                <w:szCs w:val="16"/>
              </w:rPr>
              <w:br/>
              <w:t>Induction / Consolidation therapy</w:t>
            </w:r>
            <w:r w:rsidRPr="006D52A9">
              <w:rPr>
                <w:rFonts w:ascii="Arial" w:hAnsi="Arial" w:cs="Arial"/>
                <w:sz w:val="16"/>
                <w:szCs w:val="16"/>
              </w:rPr>
              <w:br/>
              <w:t>Patient must not have received prior chemotherapy as induction therapy for this condition; OR</w:t>
            </w:r>
            <w:r w:rsidRPr="006D52A9">
              <w:rPr>
                <w:rFonts w:ascii="Arial" w:hAnsi="Arial" w:cs="Arial"/>
                <w:sz w:val="16"/>
                <w:szCs w:val="16"/>
              </w:rPr>
              <w:br/>
              <w:t>The treatment must be for consolidation treatment following induction treatment with midostaurin in combination with chemotherapy; AND</w:t>
            </w:r>
            <w:r w:rsidRPr="006D52A9">
              <w:rPr>
                <w:rFonts w:ascii="Arial" w:hAnsi="Arial" w:cs="Arial"/>
                <w:sz w:val="16"/>
                <w:szCs w:val="16"/>
              </w:rPr>
              <w:br/>
              <w:t>The condition must be internal tandem duplication (ITD) or tyrosine kinase domain (TKD) FMS tyrosine kinase 3 (FLT3) mutation positive before initiating this drug for this condition; AND</w:t>
            </w:r>
            <w:r w:rsidRPr="006D52A9">
              <w:rPr>
                <w:rFonts w:ascii="Arial" w:hAnsi="Arial" w:cs="Arial"/>
                <w:sz w:val="16"/>
                <w:szCs w:val="16"/>
              </w:rPr>
              <w:br/>
              <w:t>The condition must not be acute promyelocytic leukaemia; AND</w:t>
            </w:r>
            <w:r w:rsidRPr="006D52A9">
              <w:rPr>
                <w:rFonts w:ascii="Arial" w:hAnsi="Arial" w:cs="Arial"/>
                <w:sz w:val="16"/>
                <w:szCs w:val="16"/>
              </w:rPr>
              <w:br/>
              <w:t>The treatment must be in combination with standard intensive remission induction or consolidation chemotherapy for this condition.</w:t>
            </w:r>
            <w:r w:rsidRPr="006D52A9">
              <w:rPr>
                <w:rFonts w:ascii="Arial" w:hAnsi="Arial" w:cs="Arial"/>
                <w:sz w:val="16"/>
                <w:szCs w:val="16"/>
              </w:rPr>
              <w:br/>
              <w:t>A maximum of 6 cycles will be authorised under this restriction in a lifetime.</w:t>
            </w:r>
            <w:r w:rsidRPr="006D52A9">
              <w:rPr>
                <w:rFonts w:ascii="Arial" w:hAnsi="Arial" w:cs="Arial"/>
                <w:sz w:val="16"/>
                <w:szCs w:val="16"/>
              </w:rPr>
              <w:br/>
              <w:t>Standard intensive remission induction combination chemotherapy must include cytarabine and an anthracycline.</w:t>
            </w:r>
            <w:r w:rsidRPr="006D52A9">
              <w:rPr>
                <w:rFonts w:ascii="Arial" w:hAnsi="Arial" w:cs="Arial"/>
                <w:sz w:val="16"/>
                <w:szCs w:val="16"/>
              </w:rPr>
              <w:br/>
              <w:t>The FLT3 ITD or TKD mutation test result and date of testing must be provided at the time of application.</w:t>
            </w:r>
            <w:r w:rsidRPr="006D52A9">
              <w:rPr>
                <w:rFonts w:ascii="Arial" w:hAnsi="Arial" w:cs="Arial"/>
                <w:sz w:val="16"/>
                <w:szCs w:val="16"/>
              </w:rPr>
              <w:br/>
              <w:t>This drug is not PBS</w:t>
            </w:r>
            <w:r w:rsidR="0026100E">
              <w:rPr>
                <w:rFonts w:ascii="Arial" w:hAnsi="Arial" w:cs="Arial"/>
                <w:sz w:val="16"/>
                <w:szCs w:val="16"/>
              </w:rPr>
              <w:noBreakHyphen/>
            </w:r>
            <w:r w:rsidRPr="006D52A9">
              <w:rPr>
                <w:rFonts w:ascii="Arial" w:hAnsi="Arial" w:cs="Arial"/>
                <w:sz w:val="16"/>
                <w:szCs w:val="16"/>
              </w:rPr>
              <w:t>subsidised if it is prescribed to an in</w:t>
            </w:r>
            <w:r w:rsidR="0026100E">
              <w:rPr>
                <w:rFonts w:ascii="Arial" w:hAnsi="Arial" w:cs="Arial"/>
                <w:sz w:val="16"/>
                <w:szCs w:val="16"/>
              </w:rPr>
              <w:noBreakHyphen/>
            </w:r>
            <w:r w:rsidRPr="006D52A9">
              <w:rPr>
                <w:rFonts w:ascii="Arial" w:hAnsi="Arial" w:cs="Arial"/>
                <w:sz w:val="16"/>
                <w:szCs w:val="16"/>
              </w:rPr>
              <w:t>patient in a public hospital setting.</w:t>
            </w:r>
            <w:r w:rsidRPr="006D52A9">
              <w:rPr>
                <w:rFonts w:ascii="Arial" w:hAnsi="Arial" w:cs="Arial"/>
                <w:sz w:val="16"/>
                <w:szCs w:val="16"/>
              </w:rPr>
              <w:br/>
              <w:t>Progressive disease monitoring via a complete blood count must be taken at the end of each cycle.</w:t>
            </w:r>
            <w:r w:rsidRPr="006D52A9">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D52A9">
              <w:rPr>
                <w:rFonts w:ascii="Arial" w:hAnsi="Arial" w:cs="Arial"/>
                <w:sz w:val="16"/>
                <w:szCs w:val="16"/>
              </w:rPr>
              <w:br/>
              <w:t>Progressive disease is defined as the presence of any of the following:</w:t>
            </w:r>
            <w:r w:rsidRPr="006D52A9">
              <w:rPr>
                <w:rFonts w:ascii="Arial" w:hAnsi="Arial" w:cs="Arial"/>
                <w:sz w:val="16"/>
                <w:szCs w:val="16"/>
              </w:rPr>
              <w:br/>
              <w:t>Leukaemic cells in the CSF;</w:t>
            </w:r>
            <w:r w:rsidRPr="006D52A9">
              <w:rPr>
                <w:rFonts w:ascii="Arial" w:hAnsi="Arial" w:cs="Arial"/>
                <w:sz w:val="16"/>
                <w:szCs w:val="16"/>
              </w:rPr>
              <w:br/>
              <w:t>Re</w:t>
            </w:r>
            <w:r w:rsidR="0026100E">
              <w:rPr>
                <w:rFonts w:ascii="Arial" w:hAnsi="Arial" w:cs="Arial"/>
                <w:sz w:val="16"/>
                <w:szCs w:val="16"/>
              </w:rPr>
              <w:noBreakHyphen/>
            </w:r>
            <w:r w:rsidRPr="006D52A9">
              <w:rPr>
                <w:rFonts w:ascii="Arial" w:hAnsi="Arial" w:cs="Arial"/>
                <w:sz w:val="16"/>
                <w:szCs w:val="16"/>
              </w:rPr>
              <w:t>appearance of circulating blast cells in the peripheral blood, not attributable to overshoot following recovery from myeloablative therapy;</w:t>
            </w:r>
            <w:r w:rsidRPr="006D52A9">
              <w:rPr>
                <w:rFonts w:ascii="Arial" w:hAnsi="Arial" w:cs="Arial"/>
                <w:sz w:val="16"/>
                <w:szCs w:val="16"/>
              </w:rPr>
              <w:br/>
              <w:t>Greater than 5 % blasts in the marrow not attributable to bone marrow regeneration or another cause;</w:t>
            </w:r>
            <w:r w:rsidRPr="006D52A9">
              <w:rPr>
                <w:rFonts w:ascii="Arial" w:hAnsi="Arial" w:cs="Arial"/>
                <w:sz w:val="16"/>
                <w:szCs w:val="16"/>
              </w:rPr>
              <w:br/>
              <w:t>Extramedullary leukaemia.</w:t>
            </w:r>
            <w:r w:rsidRPr="006D52A9">
              <w:rPr>
                <w:rFonts w:ascii="Arial" w:hAnsi="Arial" w:cs="Arial"/>
                <w:sz w:val="16"/>
                <w:szCs w:val="16"/>
              </w:rPr>
              <w:br/>
              <w:t>A patient who has progressive disease when treated with this drug is no longer eligible for PBS</w:t>
            </w:r>
            <w:r w:rsidR="0026100E">
              <w:rPr>
                <w:rFonts w:ascii="Arial" w:hAnsi="Arial" w:cs="Arial"/>
                <w:sz w:val="16"/>
                <w:szCs w:val="16"/>
              </w:rPr>
              <w:noBreakHyphen/>
            </w:r>
            <w:r w:rsidRPr="006D52A9">
              <w:rPr>
                <w:rFonts w:ascii="Arial" w:hAnsi="Arial" w:cs="Arial"/>
                <w:sz w:val="16"/>
                <w:szCs w:val="16"/>
              </w:rPr>
              <w:t>subsidised treatment with this drug.</w:t>
            </w:r>
          </w:p>
        </w:tc>
        <w:tc>
          <w:tcPr>
            <w:tcW w:w="929" w:type="pct"/>
            <w:tcMar>
              <w:top w:w="28" w:type="dxa"/>
              <w:left w:w="28" w:type="dxa"/>
              <w:right w:w="57" w:type="dxa"/>
            </w:tcMar>
          </w:tcPr>
          <w:p w14:paraId="48BF452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Compliance with Authority Required procedures</w:t>
            </w:r>
          </w:p>
        </w:tc>
      </w:tr>
      <w:tr w:rsidR="008F47B8" w:rsidRPr="006D52A9" w:rsidDel="00FE20B2" w14:paraId="3B0ABDAF" w14:textId="77777777" w:rsidTr="00FB6D2D">
        <w:tc>
          <w:tcPr>
            <w:tcW w:w="647" w:type="pct"/>
            <w:tcMar>
              <w:top w:w="28" w:type="dxa"/>
              <w:left w:w="28" w:type="dxa"/>
            </w:tcMar>
          </w:tcPr>
          <w:p w14:paraId="056DA065" w14:textId="77777777" w:rsidR="008F47B8" w:rsidRPr="006D52A9" w:rsidDel="00FE20B2"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9AEFAD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C8218</w:t>
            </w:r>
          </w:p>
        </w:tc>
        <w:tc>
          <w:tcPr>
            <w:tcW w:w="274" w:type="pct"/>
            <w:tcMar>
              <w:top w:w="28" w:type="dxa"/>
              <w:left w:w="28" w:type="dxa"/>
            </w:tcMar>
          </w:tcPr>
          <w:p w14:paraId="28D8D947" w14:textId="77777777" w:rsidR="008F47B8" w:rsidRPr="006D52A9" w:rsidDel="00FE20B2"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P8218</w:t>
            </w:r>
          </w:p>
        </w:tc>
        <w:tc>
          <w:tcPr>
            <w:tcW w:w="2867" w:type="pct"/>
            <w:tcMar>
              <w:top w:w="28" w:type="dxa"/>
              <w:left w:w="28" w:type="dxa"/>
            </w:tcMar>
          </w:tcPr>
          <w:p w14:paraId="221438D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Acute Myeloid Leukaemia</w:t>
            </w:r>
            <w:r w:rsidRPr="006D52A9">
              <w:rPr>
                <w:rFonts w:ascii="Arial" w:hAnsi="Arial" w:cs="Arial"/>
                <w:sz w:val="16"/>
                <w:szCs w:val="16"/>
              </w:rPr>
              <w:br/>
              <w:t xml:space="preserve">Maintenance therapy </w:t>
            </w:r>
            <w:r w:rsidR="0026100E">
              <w:rPr>
                <w:rFonts w:ascii="Arial" w:hAnsi="Arial" w:cs="Arial"/>
                <w:sz w:val="16"/>
                <w:szCs w:val="16"/>
              </w:rPr>
              <w:noBreakHyphen/>
            </w:r>
            <w:r w:rsidRPr="006D52A9">
              <w:rPr>
                <w:rFonts w:ascii="Arial" w:hAnsi="Arial" w:cs="Arial"/>
                <w:sz w:val="16"/>
                <w:szCs w:val="16"/>
              </w:rPr>
              <w:t xml:space="preserve"> Grandfathered treatment</w:t>
            </w:r>
            <w:r w:rsidRPr="006D52A9">
              <w:rPr>
                <w:rFonts w:ascii="Arial" w:hAnsi="Arial" w:cs="Arial"/>
                <w:sz w:val="16"/>
                <w:szCs w:val="16"/>
              </w:rPr>
              <w:br/>
              <w:t>Patient must have received non</w:t>
            </w:r>
            <w:r w:rsidR="0026100E">
              <w:rPr>
                <w:rFonts w:ascii="Arial" w:hAnsi="Arial" w:cs="Arial"/>
                <w:sz w:val="16"/>
                <w:szCs w:val="16"/>
              </w:rPr>
              <w:noBreakHyphen/>
            </w:r>
            <w:r w:rsidRPr="006D52A9">
              <w:rPr>
                <w:rFonts w:ascii="Arial" w:hAnsi="Arial" w:cs="Arial"/>
                <w:sz w:val="16"/>
                <w:szCs w:val="16"/>
              </w:rPr>
              <w:t xml:space="preserve">PBS subsidised treatment with this drug for this condition prior to </w:t>
            </w:r>
            <w:r w:rsidR="003E082A" w:rsidRPr="006D52A9">
              <w:rPr>
                <w:rFonts w:ascii="Arial" w:hAnsi="Arial" w:cs="Arial"/>
                <w:sz w:val="16"/>
                <w:szCs w:val="16"/>
              </w:rPr>
              <w:t>1 December</w:t>
            </w:r>
            <w:r w:rsidRPr="006D52A9">
              <w:rPr>
                <w:rFonts w:ascii="Arial" w:hAnsi="Arial" w:cs="Arial"/>
                <w:sz w:val="16"/>
                <w:szCs w:val="16"/>
              </w:rPr>
              <w:t xml:space="preserve"> 2018; AND</w:t>
            </w:r>
            <w:r w:rsidRPr="006D52A9">
              <w:rPr>
                <w:rFonts w:ascii="Arial" w:hAnsi="Arial" w:cs="Arial"/>
                <w:sz w:val="16"/>
                <w:szCs w:val="16"/>
              </w:rPr>
              <w:br/>
              <w:t>Patient must be receiving treatment with this drug for this condition at the time of application; AND</w:t>
            </w:r>
            <w:r w:rsidRPr="006D52A9">
              <w:rPr>
                <w:rFonts w:ascii="Arial" w:hAnsi="Arial" w:cs="Arial"/>
                <w:sz w:val="16"/>
                <w:szCs w:val="16"/>
              </w:rPr>
              <w:br/>
              <w:t>Patient must not have developed disease progression while receiving treatment with this drug for this condition; AND</w:t>
            </w:r>
            <w:r w:rsidRPr="006D52A9">
              <w:rPr>
                <w:rFonts w:ascii="Arial" w:hAnsi="Arial" w:cs="Arial"/>
                <w:sz w:val="16"/>
                <w:szCs w:val="16"/>
              </w:rPr>
              <w:br/>
              <w:t>Patient must have demonstrated complete remission after induction and consolidation chemotherapy in combination with midostaurin; AND</w:t>
            </w:r>
            <w:r w:rsidRPr="006D52A9">
              <w:rPr>
                <w:rFonts w:ascii="Arial" w:hAnsi="Arial" w:cs="Arial"/>
                <w:sz w:val="16"/>
                <w:szCs w:val="16"/>
              </w:rPr>
              <w:br/>
            </w:r>
            <w:r w:rsidRPr="006D52A9">
              <w:rPr>
                <w:rFonts w:ascii="Arial" w:hAnsi="Arial" w:cs="Arial"/>
                <w:sz w:val="16"/>
                <w:szCs w:val="16"/>
              </w:rPr>
              <w:lastRenderedPageBreak/>
              <w:t>Patient must not be undergoing or have undergone a stem cell transplant; AND</w:t>
            </w:r>
            <w:r w:rsidRPr="006D52A9">
              <w:rPr>
                <w:rFonts w:ascii="Arial" w:hAnsi="Arial" w:cs="Arial"/>
                <w:sz w:val="16"/>
                <w:szCs w:val="16"/>
              </w:rPr>
              <w:br/>
              <w:t>The condition must have been internal tandem duplication (ITD) or tyrosine kinase domain (TKD) FMS tyrosine kinase 3 (FLT3) mutation positive before initiating this drug for this condition.</w:t>
            </w:r>
            <w:r w:rsidRPr="006D52A9">
              <w:rPr>
                <w:rFonts w:ascii="Arial" w:hAnsi="Arial" w:cs="Arial"/>
                <w:sz w:val="16"/>
                <w:szCs w:val="16"/>
              </w:rPr>
              <w:br/>
              <w:t>A maximum of 2 cycles will be authorised under this restriction in a lifetime.</w:t>
            </w:r>
            <w:r w:rsidRPr="006D52A9">
              <w:rPr>
                <w:rFonts w:ascii="Arial" w:hAnsi="Arial" w:cs="Arial"/>
                <w:sz w:val="16"/>
                <w:szCs w:val="16"/>
              </w:rPr>
              <w:br/>
              <w:t>A patient may qualify for PBS</w:t>
            </w:r>
            <w:r w:rsidR="0026100E">
              <w:rPr>
                <w:rFonts w:ascii="Arial" w:hAnsi="Arial" w:cs="Arial"/>
                <w:sz w:val="16"/>
                <w:szCs w:val="16"/>
              </w:rPr>
              <w:noBreakHyphen/>
            </w:r>
            <w:r w:rsidRPr="006D52A9">
              <w:rPr>
                <w:rFonts w:ascii="Arial" w:hAnsi="Arial" w:cs="Arial"/>
                <w:sz w:val="16"/>
                <w:szCs w:val="16"/>
              </w:rPr>
              <w:t>subsidised treatment under this restriction once only.</w:t>
            </w:r>
            <w:r w:rsidRPr="006D52A9">
              <w:rPr>
                <w:rFonts w:ascii="Arial" w:hAnsi="Arial" w:cs="Arial"/>
                <w:sz w:val="16"/>
                <w:szCs w:val="16"/>
              </w:rPr>
              <w:br/>
              <w:t>For continuing PBS</w:t>
            </w:r>
            <w:r w:rsidR="0026100E">
              <w:rPr>
                <w:rFonts w:ascii="Arial" w:hAnsi="Arial" w:cs="Arial"/>
                <w:sz w:val="16"/>
                <w:szCs w:val="16"/>
              </w:rPr>
              <w:noBreakHyphen/>
            </w:r>
            <w:r w:rsidRPr="006D52A9">
              <w:rPr>
                <w:rFonts w:ascii="Arial" w:hAnsi="Arial" w:cs="Arial"/>
                <w:sz w:val="16"/>
                <w:szCs w:val="16"/>
              </w:rPr>
              <w:t>subsidised treatment, a Grandfathered patient must qualify under the maintenance therapy continuing treatment criteria.</w:t>
            </w:r>
            <w:r w:rsidRPr="006D52A9">
              <w:rPr>
                <w:rFonts w:ascii="Arial" w:hAnsi="Arial" w:cs="Arial"/>
                <w:sz w:val="16"/>
                <w:szCs w:val="16"/>
              </w:rPr>
              <w:br/>
              <w:t>Progressive disease monitoring via a complete blood count must be taken at the end of each cycle.</w:t>
            </w:r>
            <w:r w:rsidRPr="006D52A9">
              <w:rPr>
                <w:rFonts w:ascii="Arial" w:hAnsi="Arial" w:cs="Arial"/>
                <w:sz w:val="16"/>
                <w:szCs w:val="16"/>
              </w:rPr>
              <w:br/>
              <w:t>If abnormal blood counts suggest the potential for relapsed AML, a bone marrow biopsy must be performed to confirm the absence of progressive disease for the patient to be eligible for further cycles.</w:t>
            </w:r>
            <w:r w:rsidRPr="006D52A9">
              <w:rPr>
                <w:rFonts w:ascii="Arial" w:hAnsi="Arial" w:cs="Arial"/>
                <w:sz w:val="16"/>
                <w:szCs w:val="16"/>
              </w:rPr>
              <w:br/>
              <w:t>Progressive disease is defined as the presence of any of the following:</w:t>
            </w:r>
            <w:r w:rsidRPr="006D52A9">
              <w:rPr>
                <w:rFonts w:ascii="Arial" w:hAnsi="Arial" w:cs="Arial"/>
                <w:sz w:val="16"/>
                <w:szCs w:val="16"/>
              </w:rPr>
              <w:br/>
              <w:t>Leukaemic cells in the CSF;</w:t>
            </w:r>
            <w:r w:rsidRPr="006D52A9">
              <w:rPr>
                <w:rFonts w:ascii="Arial" w:hAnsi="Arial" w:cs="Arial"/>
                <w:sz w:val="16"/>
                <w:szCs w:val="16"/>
              </w:rPr>
              <w:br/>
              <w:t>Re</w:t>
            </w:r>
            <w:r w:rsidR="0026100E">
              <w:rPr>
                <w:rFonts w:ascii="Arial" w:hAnsi="Arial" w:cs="Arial"/>
                <w:sz w:val="16"/>
                <w:szCs w:val="16"/>
              </w:rPr>
              <w:noBreakHyphen/>
            </w:r>
            <w:r w:rsidRPr="006D52A9">
              <w:rPr>
                <w:rFonts w:ascii="Arial" w:hAnsi="Arial" w:cs="Arial"/>
                <w:sz w:val="16"/>
                <w:szCs w:val="16"/>
              </w:rPr>
              <w:t>appearance of circulating blast cells in the peripheral blood, not attributable to overshoot following recovery from myeloablative therapy;</w:t>
            </w:r>
            <w:r w:rsidRPr="006D52A9">
              <w:rPr>
                <w:rFonts w:ascii="Arial" w:hAnsi="Arial" w:cs="Arial"/>
                <w:sz w:val="16"/>
                <w:szCs w:val="16"/>
              </w:rPr>
              <w:br/>
              <w:t>Greater than 5 % blasts in the marrow not attributable to bone marrow regeneration or another cause;</w:t>
            </w:r>
            <w:r w:rsidRPr="006D52A9">
              <w:rPr>
                <w:rFonts w:ascii="Arial" w:hAnsi="Arial" w:cs="Arial"/>
                <w:sz w:val="16"/>
                <w:szCs w:val="16"/>
              </w:rPr>
              <w:br/>
              <w:t>Extramedullary leukaemia.</w:t>
            </w:r>
            <w:r w:rsidRPr="006D52A9">
              <w:rPr>
                <w:rFonts w:ascii="Arial" w:hAnsi="Arial" w:cs="Arial"/>
                <w:sz w:val="16"/>
                <w:szCs w:val="16"/>
              </w:rPr>
              <w:br/>
              <w:t>A patient who has progressive disease when treated with this drug is no longer eligible for PBS</w:t>
            </w:r>
            <w:r w:rsidR="0026100E">
              <w:rPr>
                <w:rFonts w:ascii="Arial" w:hAnsi="Arial" w:cs="Arial"/>
                <w:sz w:val="16"/>
                <w:szCs w:val="16"/>
              </w:rPr>
              <w:noBreakHyphen/>
            </w:r>
            <w:r w:rsidRPr="006D52A9">
              <w:rPr>
                <w:rFonts w:ascii="Arial" w:hAnsi="Arial" w:cs="Arial"/>
                <w:sz w:val="16"/>
                <w:szCs w:val="16"/>
              </w:rPr>
              <w:t>subsidised treatment with this drug.</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w:t>
            </w:r>
            <w:r w:rsidRPr="006D52A9">
              <w:rPr>
                <w:rFonts w:ascii="Arial" w:hAnsi="Arial" w:cs="Arial"/>
                <w:sz w:val="16"/>
                <w:szCs w:val="16"/>
              </w:rPr>
              <w:br/>
              <w:t xml:space="preserve">(2) a completed Acute myeloid leukaemia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(3) confirmation that the patient is not undergoing or has not undergone a stem cell transplant; and</w:t>
            </w:r>
            <w:r w:rsidRPr="006D52A9">
              <w:rPr>
                <w:rFonts w:ascii="Arial" w:hAnsi="Arial" w:cs="Arial"/>
                <w:sz w:val="16"/>
                <w:szCs w:val="16"/>
              </w:rPr>
              <w:br/>
              <w:t>(4) confirmation that the patient does not have progressive disease; and</w:t>
            </w:r>
            <w:r w:rsidRPr="006D52A9">
              <w:rPr>
                <w:rFonts w:ascii="Arial" w:hAnsi="Arial" w:cs="Arial"/>
                <w:sz w:val="16"/>
                <w:szCs w:val="16"/>
              </w:rPr>
              <w:br/>
              <w:t>(5) a copy of a recent bone marrow biopsy report demonstrating that the patient is in complete remission; and</w:t>
            </w:r>
            <w:r w:rsidRPr="006D52A9">
              <w:rPr>
                <w:rFonts w:ascii="Arial" w:hAnsi="Arial" w:cs="Arial"/>
                <w:sz w:val="16"/>
                <w:szCs w:val="16"/>
              </w:rPr>
              <w:br/>
              <w:t>(6) a copy of the pathology test demonstrating that the condition was FMS tyrosine kinase 3 (FLT3) (ITD or TKD) mutation positive prior to commencing midostaurin.</w:t>
            </w:r>
          </w:p>
        </w:tc>
        <w:tc>
          <w:tcPr>
            <w:tcW w:w="929" w:type="pct"/>
            <w:tcMar>
              <w:top w:w="28" w:type="dxa"/>
              <w:left w:w="28" w:type="dxa"/>
              <w:right w:w="57" w:type="dxa"/>
            </w:tcMar>
          </w:tcPr>
          <w:p w14:paraId="7CD60F0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14:paraId="1DA90818" w14:textId="77777777" w:rsidTr="00FB6D2D">
        <w:trPr>
          <w:cantSplit/>
        </w:trPr>
        <w:tc>
          <w:tcPr>
            <w:tcW w:w="647" w:type="pct"/>
            <w:tcMar>
              <w:top w:w="28" w:type="dxa"/>
              <w:left w:w="28" w:type="dxa"/>
            </w:tcMar>
          </w:tcPr>
          <w:p w14:paraId="261BA317" w14:textId="77777777" w:rsidR="008F47B8" w:rsidRPr="006D52A9" w:rsidRDefault="008F47B8" w:rsidP="00FB6D2D">
            <w:pPr>
              <w:spacing w:line="240" w:lineRule="auto"/>
              <w:rPr>
                <w:rFonts w:ascii="Arial" w:eastAsia="SimSun" w:hAnsi="Arial" w:cs="Arial"/>
                <w:sz w:val="16"/>
                <w:szCs w:val="16"/>
                <w:lang w:eastAsia="zh-CN"/>
              </w:rPr>
            </w:pPr>
            <w:bookmarkStart w:id="183" w:name="CU_382654271"/>
            <w:bookmarkEnd w:id="183"/>
            <w:r w:rsidRPr="006D52A9">
              <w:rPr>
                <w:rFonts w:ascii="Arial" w:eastAsia="SimSun" w:hAnsi="Arial" w:cs="Arial"/>
                <w:sz w:val="16"/>
                <w:szCs w:val="16"/>
                <w:lang w:eastAsia="zh-CN"/>
              </w:rPr>
              <w:t>Mycophenolic Acid</w:t>
            </w:r>
          </w:p>
        </w:tc>
        <w:tc>
          <w:tcPr>
            <w:tcW w:w="283" w:type="pct"/>
            <w:tcMar>
              <w:top w:w="28" w:type="dxa"/>
              <w:left w:w="28" w:type="dxa"/>
            </w:tcMar>
          </w:tcPr>
          <w:p w14:paraId="0D4C6BE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C4084</w:t>
            </w:r>
          </w:p>
        </w:tc>
        <w:tc>
          <w:tcPr>
            <w:tcW w:w="274" w:type="pct"/>
            <w:tcMar>
              <w:top w:w="28" w:type="dxa"/>
              <w:left w:w="28" w:type="dxa"/>
            </w:tcMar>
          </w:tcPr>
          <w:p w14:paraId="47D3EF0E"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886D52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Prophylaxis of renal allograft rejection</w:t>
            </w:r>
          </w:p>
          <w:p w14:paraId="57AB6C8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w:t>
            </w:r>
          </w:p>
          <w:p w14:paraId="666EE4C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under the supervision and direction of a transplant unit.</w:t>
            </w:r>
          </w:p>
        </w:tc>
        <w:tc>
          <w:tcPr>
            <w:tcW w:w="929" w:type="pct"/>
            <w:tcMar>
              <w:top w:w="28" w:type="dxa"/>
              <w:left w:w="28" w:type="dxa"/>
              <w:right w:w="57" w:type="dxa"/>
            </w:tcMar>
          </w:tcPr>
          <w:p w14:paraId="474ADA6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 – Streamlined Authority Code 4084</w:t>
            </w:r>
          </w:p>
        </w:tc>
      </w:tr>
      <w:tr w:rsidR="008F47B8" w:rsidRPr="006D52A9" w14:paraId="71638B5B" w14:textId="77777777" w:rsidTr="00FB6D2D">
        <w:trPr>
          <w:cantSplit/>
        </w:trPr>
        <w:tc>
          <w:tcPr>
            <w:tcW w:w="647" w:type="pct"/>
            <w:tcMar>
              <w:top w:w="28" w:type="dxa"/>
              <w:left w:w="28" w:type="dxa"/>
            </w:tcMar>
          </w:tcPr>
          <w:p w14:paraId="78A84B6B"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B624BB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C4095</w:t>
            </w:r>
          </w:p>
        </w:tc>
        <w:tc>
          <w:tcPr>
            <w:tcW w:w="274" w:type="pct"/>
            <w:tcMar>
              <w:top w:w="28" w:type="dxa"/>
              <w:left w:w="28" w:type="dxa"/>
            </w:tcMar>
          </w:tcPr>
          <w:p w14:paraId="3500AC3D"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5DC6F8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WHO Class III, IV or V lupus nephritis</w:t>
            </w:r>
          </w:p>
          <w:p w14:paraId="24AEB5C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w:t>
            </w:r>
          </w:p>
          <w:p w14:paraId="5D806E5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condition must be proven by biopsy,</w:t>
            </w:r>
          </w:p>
          <w:p w14:paraId="231580F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Must be treated by a nephrologist or in consultation with a nephrologist.</w:t>
            </w:r>
          </w:p>
          <w:p w14:paraId="0B00F4D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name of the consulting nephrologist must be included in the patient medical records.</w:t>
            </w:r>
          </w:p>
        </w:tc>
        <w:tc>
          <w:tcPr>
            <w:tcW w:w="929" w:type="pct"/>
            <w:tcMar>
              <w:top w:w="28" w:type="dxa"/>
              <w:left w:w="28" w:type="dxa"/>
              <w:right w:w="57" w:type="dxa"/>
            </w:tcMar>
          </w:tcPr>
          <w:p w14:paraId="3EBCF08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 – Streamlined Authority Code 4095</w:t>
            </w:r>
          </w:p>
        </w:tc>
      </w:tr>
      <w:tr w:rsidR="008F47B8" w:rsidRPr="006D52A9" w14:paraId="388E929E" w14:textId="77777777" w:rsidTr="00FB6D2D">
        <w:tc>
          <w:tcPr>
            <w:tcW w:w="647" w:type="pct"/>
            <w:shd w:val="clear" w:color="auto" w:fill="auto"/>
            <w:tcMar>
              <w:top w:w="28" w:type="dxa"/>
              <w:left w:w="28" w:type="dxa"/>
            </w:tcMar>
          </w:tcPr>
          <w:p w14:paraId="12E623FD" w14:textId="77777777" w:rsidR="008F47B8" w:rsidRPr="006D52A9" w:rsidRDefault="008F47B8" w:rsidP="00FB6D2D">
            <w:pPr>
              <w:spacing w:line="240" w:lineRule="auto"/>
              <w:rPr>
                <w:rFonts w:ascii="Arial" w:eastAsia="SimSun" w:hAnsi="Arial" w:cs="Arial"/>
                <w:sz w:val="16"/>
                <w:szCs w:val="16"/>
                <w:lang w:eastAsia="zh-CN"/>
              </w:rPr>
            </w:pPr>
            <w:bookmarkStart w:id="184" w:name="CU_387656136"/>
            <w:bookmarkEnd w:id="184"/>
          </w:p>
        </w:tc>
        <w:tc>
          <w:tcPr>
            <w:tcW w:w="283" w:type="pct"/>
            <w:shd w:val="clear" w:color="auto" w:fill="auto"/>
            <w:tcMar>
              <w:top w:w="28" w:type="dxa"/>
              <w:left w:w="28" w:type="dxa"/>
            </w:tcMar>
          </w:tcPr>
          <w:p w14:paraId="21FF533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C5554</w:t>
            </w:r>
          </w:p>
        </w:tc>
        <w:tc>
          <w:tcPr>
            <w:tcW w:w="274" w:type="pct"/>
            <w:shd w:val="clear" w:color="auto" w:fill="auto"/>
            <w:tcMar>
              <w:top w:w="28" w:type="dxa"/>
              <w:left w:w="28" w:type="dxa"/>
            </w:tcMar>
          </w:tcPr>
          <w:p w14:paraId="5B272DB4"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0911475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cardiac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cardiac allograft rejection, AND</w:t>
            </w:r>
            <w:r w:rsidRPr="006D52A9">
              <w:rPr>
                <w:rFonts w:ascii="Arial" w:eastAsia="SimSun" w:hAnsi="Arial" w:cs="Arial"/>
                <w:sz w:val="16"/>
                <w:szCs w:val="16"/>
                <w:lang w:eastAsia="zh-CN"/>
              </w:rPr>
              <w:br/>
              <w:t>The treatment must be under the supervision and direction of a transplant unit.</w:t>
            </w:r>
          </w:p>
        </w:tc>
        <w:tc>
          <w:tcPr>
            <w:tcW w:w="929" w:type="pct"/>
            <w:shd w:val="clear" w:color="auto" w:fill="auto"/>
            <w:tcMar>
              <w:top w:w="28" w:type="dxa"/>
              <w:left w:w="28" w:type="dxa"/>
              <w:right w:w="57" w:type="dxa"/>
            </w:tcMar>
          </w:tcPr>
          <w:p w14:paraId="76EB364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5554</w:t>
            </w:r>
          </w:p>
        </w:tc>
      </w:tr>
      <w:tr w:rsidR="008F47B8" w:rsidRPr="006D52A9" w14:paraId="4EB5FD24" w14:textId="77777777" w:rsidTr="00FB6D2D">
        <w:tc>
          <w:tcPr>
            <w:tcW w:w="647" w:type="pct"/>
            <w:shd w:val="clear" w:color="auto" w:fill="auto"/>
            <w:tcMar>
              <w:top w:w="28" w:type="dxa"/>
              <w:left w:w="28" w:type="dxa"/>
            </w:tcMar>
          </w:tcPr>
          <w:p w14:paraId="509B9A3A"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7C78934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C5600</w:t>
            </w:r>
          </w:p>
        </w:tc>
        <w:tc>
          <w:tcPr>
            <w:tcW w:w="274" w:type="pct"/>
            <w:shd w:val="clear" w:color="auto" w:fill="auto"/>
            <w:tcMar>
              <w:top w:w="28" w:type="dxa"/>
              <w:left w:w="28" w:type="dxa"/>
            </w:tcMar>
          </w:tcPr>
          <w:p w14:paraId="38B841A6"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0FBB523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cardiac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cardiac allograft rejection, AND</w:t>
            </w:r>
            <w:r w:rsidRPr="006D52A9">
              <w:rPr>
                <w:rFonts w:ascii="Arial" w:eastAsia="SimSun" w:hAnsi="Arial" w:cs="Arial"/>
                <w:sz w:val="16"/>
                <w:szCs w:val="16"/>
                <w:lang w:eastAsia="zh-CN"/>
              </w:rPr>
              <w:br/>
              <w:t>The treatment must be under the supervision and direction of a transplant unit.</w:t>
            </w:r>
          </w:p>
        </w:tc>
        <w:tc>
          <w:tcPr>
            <w:tcW w:w="929" w:type="pct"/>
            <w:shd w:val="clear" w:color="auto" w:fill="auto"/>
            <w:tcMar>
              <w:top w:w="28" w:type="dxa"/>
              <w:left w:w="28" w:type="dxa"/>
              <w:right w:w="57" w:type="dxa"/>
            </w:tcMar>
          </w:tcPr>
          <w:p w14:paraId="204D40A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5600</w:t>
            </w:r>
          </w:p>
        </w:tc>
      </w:tr>
      <w:tr w:rsidR="008F47B8" w:rsidRPr="006D52A9" w14:paraId="63506BFB" w14:textId="77777777" w:rsidTr="00FB6D2D">
        <w:tc>
          <w:tcPr>
            <w:tcW w:w="647" w:type="pct"/>
            <w:shd w:val="clear" w:color="auto" w:fill="auto"/>
            <w:tcMar>
              <w:top w:w="28" w:type="dxa"/>
              <w:left w:w="28" w:type="dxa"/>
            </w:tcMar>
          </w:tcPr>
          <w:p w14:paraId="36BD29F1"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11FED08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C5653</w:t>
            </w:r>
          </w:p>
        </w:tc>
        <w:tc>
          <w:tcPr>
            <w:tcW w:w="274" w:type="pct"/>
            <w:shd w:val="clear" w:color="auto" w:fill="auto"/>
            <w:tcMar>
              <w:top w:w="28" w:type="dxa"/>
              <w:left w:w="28" w:type="dxa"/>
            </w:tcMar>
          </w:tcPr>
          <w:p w14:paraId="77938E6E"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2CC10A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renal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renal allograft rejection, AND</w:t>
            </w:r>
            <w:r w:rsidRPr="006D52A9">
              <w:rPr>
                <w:rFonts w:ascii="Arial" w:eastAsia="SimSun" w:hAnsi="Arial" w:cs="Arial"/>
                <w:sz w:val="16"/>
                <w:szCs w:val="16"/>
                <w:lang w:eastAsia="zh-CN"/>
              </w:rPr>
              <w:br/>
              <w:t>The treatment must be under the supervision and direction of a transplant unit.</w:t>
            </w:r>
          </w:p>
        </w:tc>
        <w:tc>
          <w:tcPr>
            <w:tcW w:w="929" w:type="pct"/>
            <w:shd w:val="clear" w:color="auto" w:fill="auto"/>
            <w:tcMar>
              <w:top w:w="28" w:type="dxa"/>
              <w:left w:w="28" w:type="dxa"/>
              <w:right w:w="57" w:type="dxa"/>
            </w:tcMar>
          </w:tcPr>
          <w:p w14:paraId="19A8299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5653</w:t>
            </w:r>
          </w:p>
        </w:tc>
      </w:tr>
      <w:tr w:rsidR="008F47B8" w:rsidRPr="006D52A9" w14:paraId="153219F6" w14:textId="77777777" w:rsidTr="00FB6D2D">
        <w:tc>
          <w:tcPr>
            <w:tcW w:w="647" w:type="pct"/>
            <w:shd w:val="clear" w:color="auto" w:fill="auto"/>
            <w:tcMar>
              <w:top w:w="28" w:type="dxa"/>
              <w:left w:w="28" w:type="dxa"/>
            </w:tcMar>
          </w:tcPr>
          <w:p w14:paraId="1F4B6C21"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2B7FEFB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C5795</w:t>
            </w:r>
          </w:p>
        </w:tc>
        <w:tc>
          <w:tcPr>
            <w:tcW w:w="274" w:type="pct"/>
            <w:shd w:val="clear" w:color="auto" w:fill="auto"/>
            <w:tcMar>
              <w:top w:w="28" w:type="dxa"/>
              <w:left w:w="28" w:type="dxa"/>
            </w:tcMar>
          </w:tcPr>
          <w:p w14:paraId="661B8B54"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9BD058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renal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renal allograft rejection, AND</w:t>
            </w:r>
            <w:r w:rsidRPr="006D52A9">
              <w:rPr>
                <w:rFonts w:ascii="Arial" w:eastAsia="SimSun" w:hAnsi="Arial" w:cs="Arial"/>
                <w:sz w:val="16"/>
                <w:szCs w:val="16"/>
                <w:lang w:eastAsia="zh-CN"/>
              </w:rPr>
              <w:br/>
              <w:t>The treatment must be under the supervision and direction of a transplant unit.</w:t>
            </w:r>
          </w:p>
        </w:tc>
        <w:tc>
          <w:tcPr>
            <w:tcW w:w="929" w:type="pct"/>
            <w:shd w:val="clear" w:color="auto" w:fill="auto"/>
            <w:tcMar>
              <w:top w:w="28" w:type="dxa"/>
              <w:left w:w="28" w:type="dxa"/>
              <w:right w:w="57" w:type="dxa"/>
            </w:tcMar>
          </w:tcPr>
          <w:p w14:paraId="738A217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5795</w:t>
            </w:r>
          </w:p>
        </w:tc>
      </w:tr>
      <w:tr w:rsidR="008F47B8" w:rsidRPr="006D52A9" w14:paraId="67450BB7" w14:textId="77777777" w:rsidTr="00FB6D2D">
        <w:tc>
          <w:tcPr>
            <w:tcW w:w="647" w:type="pct"/>
            <w:shd w:val="clear" w:color="auto" w:fill="auto"/>
            <w:tcMar>
              <w:top w:w="28" w:type="dxa"/>
              <w:left w:w="28" w:type="dxa"/>
            </w:tcMar>
          </w:tcPr>
          <w:p w14:paraId="3E1ABC79"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22BD3A16"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C9689</w:t>
            </w:r>
          </w:p>
        </w:tc>
        <w:tc>
          <w:tcPr>
            <w:tcW w:w="274" w:type="pct"/>
            <w:shd w:val="clear" w:color="auto" w:fill="auto"/>
            <w:tcMar>
              <w:top w:w="28" w:type="dxa"/>
              <w:left w:w="28" w:type="dxa"/>
            </w:tcMar>
          </w:tcPr>
          <w:p w14:paraId="506A2672"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1351D60F"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Management of renal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renal allograft rejection; AND</w:t>
            </w:r>
            <w:r w:rsidRPr="006D52A9">
              <w:rPr>
                <w:rFonts w:ascii="Arial" w:hAnsi="Arial" w:cs="Arial"/>
                <w:sz w:val="16"/>
                <w:szCs w:val="16"/>
              </w:rPr>
              <w:br/>
              <w:t>The treatment must be under the supervision and direction of a transplant unit.</w:t>
            </w:r>
          </w:p>
        </w:tc>
        <w:tc>
          <w:tcPr>
            <w:tcW w:w="929" w:type="pct"/>
            <w:shd w:val="clear" w:color="auto" w:fill="auto"/>
            <w:tcMar>
              <w:top w:w="28" w:type="dxa"/>
              <w:left w:w="28" w:type="dxa"/>
              <w:right w:w="57" w:type="dxa"/>
            </w:tcMar>
          </w:tcPr>
          <w:p w14:paraId="458DAD7A"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9689</w:t>
            </w:r>
          </w:p>
        </w:tc>
      </w:tr>
      <w:tr w:rsidR="008F47B8" w:rsidRPr="006D52A9" w14:paraId="36D7C163" w14:textId="77777777" w:rsidTr="00FB6D2D">
        <w:tc>
          <w:tcPr>
            <w:tcW w:w="647" w:type="pct"/>
            <w:shd w:val="clear" w:color="auto" w:fill="auto"/>
            <w:tcMar>
              <w:top w:w="28" w:type="dxa"/>
              <w:left w:w="28" w:type="dxa"/>
            </w:tcMar>
          </w:tcPr>
          <w:p w14:paraId="5EDF68FC"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3BCB6EE7"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C9690</w:t>
            </w:r>
          </w:p>
        </w:tc>
        <w:tc>
          <w:tcPr>
            <w:tcW w:w="274" w:type="pct"/>
            <w:shd w:val="clear" w:color="auto" w:fill="auto"/>
            <w:tcMar>
              <w:top w:w="28" w:type="dxa"/>
              <w:left w:w="28" w:type="dxa"/>
            </w:tcMar>
          </w:tcPr>
          <w:p w14:paraId="066A6837"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3B2CC6B8"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Management of cardiac allograft rejection</w:t>
            </w:r>
            <w:r w:rsidRPr="006D52A9">
              <w:rPr>
                <w:rFonts w:ascii="Arial" w:hAnsi="Arial" w:cs="Arial"/>
                <w:sz w:val="16"/>
                <w:szCs w:val="16"/>
              </w:rPr>
              <w:br/>
              <w:t>Management (initiation, stabilisation and review of therapy )</w:t>
            </w:r>
            <w:r w:rsidRPr="006D52A9">
              <w:rPr>
                <w:rFonts w:ascii="Arial" w:hAnsi="Arial" w:cs="Arial"/>
                <w:sz w:val="16"/>
                <w:szCs w:val="16"/>
              </w:rPr>
              <w:br/>
              <w:t>Patient must be receiving this drug for prophylaxis of cardiac allograft rejection; AND</w:t>
            </w:r>
            <w:r w:rsidRPr="006D52A9">
              <w:rPr>
                <w:rFonts w:ascii="Arial" w:hAnsi="Arial" w:cs="Arial"/>
                <w:sz w:val="16"/>
                <w:szCs w:val="16"/>
              </w:rPr>
              <w:br/>
              <w:t>The treatment must be under the supervision and direction of a transplant unit.</w:t>
            </w:r>
          </w:p>
        </w:tc>
        <w:tc>
          <w:tcPr>
            <w:tcW w:w="929" w:type="pct"/>
            <w:shd w:val="clear" w:color="auto" w:fill="auto"/>
            <w:tcMar>
              <w:top w:w="28" w:type="dxa"/>
              <w:left w:w="28" w:type="dxa"/>
              <w:right w:w="57" w:type="dxa"/>
            </w:tcMar>
          </w:tcPr>
          <w:p w14:paraId="3FD05849"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9690</w:t>
            </w:r>
          </w:p>
        </w:tc>
      </w:tr>
      <w:tr w:rsidR="008F47B8" w:rsidRPr="006D52A9" w14:paraId="5E8E014C" w14:textId="77777777" w:rsidTr="00FB6D2D">
        <w:tc>
          <w:tcPr>
            <w:tcW w:w="647" w:type="pct"/>
            <w:shd w:val="clear" w:color="auto" w:fill="auto"/>
            <w:tcMar>
              <w:top w:w="28" w:type="dxa"/>
              <w:left w:w="28" w:type="dxa"/>
            </w:tcMar>
          </w:tcPr>
          <w:p w14:paraId="0E22B6C7"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64CAB287"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C9691</w:t>
            </w:r>
          </w:p>
        </w:tc>
        <w:tc>
          <w:tcPr>
            <w:tcW w:w="274" w:type="pct"/>
            <w:shd w:val="clear" w:color="auto" w:fill="auto"/>
            <w:tcMar>
              <w:top w:w="28" w:type="dxa"/>
              <w:left w:w="28" w:type="dxa"/>
            </w:tcMar>
          </w:tcPr>
          <w:p w14:paraId="4F2FD4C3"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79021002"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Management of renal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renal allograft rejection; AND</w:t>
            </w:r>
            <w:r w:rsidRPr="006D52A9">
              <w:rPr>
                <w:rFonts w:ascii="Arial" w:hAnsi="Arial" w:cs="Arial"/>
                <w:sz w:val="16"/>
                <w:szCs w:val="16"/>
              </w:rPr>
              <w:br/>
              <w:t>The treatment must be under the supervision and direction of a transplant unit.</w:t>
            </w:r>
          </w:p>
        </w:tc>
        <w:tc>
          <w:tcPr>
            <w:tcW w:w="929" w:type="pct"/>
            <w:shd w:val="clear" w:color="auto" w:fill="auto"/>
            <w:tcMar>
              <w:top w:w="28" w:type="dxa"/>
              <w:left w:w="28" w:type="dxa"/>
              <w:right w:w="57" w:type="dxa"/>
            </w:tcMar>
          </w:tcPr>
          <w:p w14:paraId="5F2D0E64"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9691</w:t>
            </w:r>
          </w:p>
        </w:tc>
      </w:tr>
      <w:tr w:rsidR="008F47B8" w:rsidRPr="006D52A9" w14:paraId="42C4B400" w14:textId="77777777" w:rsidTr="00FB6D2D">
        <w:tc>
          <w:tcPr>
            <w:tcW w:w="647" w:type="pct"/>
            <w:shd w:val="clear" w:color="auto" w:fill="auto"/>
            <w:tcMar>
              <w:top w:w="28" w:type="dxa"/>
              <w:left w:w="28" w:type="dxa"/>
            </w:tcMar>
          </w:tcPr>
          <w:p w14:paraId="08D49AD4"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5F445ECD"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C9692</w:t>
            </w:r>
          </w:p>
        </w:tc>
        <w:tc>
          <w:tcPr>
            <w:tcW w:w="274" w:type="pct"/>
            <w:shd w:val="clear" w:color="auto" w:fill="auto"/>
            <w:tcMar>
              <w:top w:w="28" w:type="dxa"/>
              <w:left w:w="28" w:type="dxa"/>
            </w:tcMar>
          </w:tcPr>
          <w:p w14:paraId="5CF5C99E"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5C44A8DC"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Prophylaxis of renal allograft rejection</w:t>
            </w:r>
            <w:r w:rsidRPr="006D52A9">
              <w:rPr>
                <w:rFonts w:ascii="Arial" w:hAnsi="Arial" w:cs="Arial"/>
                <w:sz w:val="16"/>
                <w:szCs w:val="16"/>
              </w:rPr>
              <w:br/>
              <w:t>Management</w:t>
            </w:r>
            <w:r w:rsidRPr="006D52A9">
              <w:rPr>
                <w:rFonts w:ascii="Arial" w:hAnsi="Arial" w:cs="Arial"/>
                <w:sz w:val="16"/>
                <w:szCs w:val="16"/>
              </w:rPr>
              <w:br/>
              <w:t>The treatment must be under the supervision and direction of a transplant unit.</w:t>
            </w:r>
          </w:p>
        </w:tc>
        <w:tc>
          <w:tcPr>
            <w:tcW w:w="929" w:type="pct"/>
            <w:shd w:val="clear" w:color="auto" w:fill="auto"/>
            <w:tcMar>
              <w:top w:w="28" w:type="dxa"/>
              <w:left w:w="28" w:type="dxa"/>
              <w:right w:w="57" w:type="dxa"/>
            </w:tcMar>
          </w:tcPr>
          <w:p w14:paraId="510EE06E"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9692</w:t>
            </w:r>
          </w:p>
        </w:tc>
      </w:tr>
      <w:tr w:rsidR="008F47B8" w:rsidRPr="006D52A9" w14:paraId="4A51356E" w14:textId="77777777" w:rsidTr="00FB6D2D">
        <w:tc>
          <w:tcPr>
            <w:tcW w:w="647" w:type="pct"/>
            <w:shd w:val="clear" w:color="auto" w:fill="auto"/>
            <w:tcMar>
              <w:top w:w="28" w:type="dxa"/>
              <w:left w:w="28" w:type="dxa"/>
            </w:tcMar>
          </w:tcPr>
          <w:p w14:paraId="0F3A4E40"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4AD8B674"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C9693</w:t>
            </w:r>
          </w:p>
        </w:tc>
        <w:tc>
          <w:tcPr>
            <w:tcW w:w="274" w:type="pct"/>
            <w:shd w:val="clear" w:color="auto" w:fill="auto"/>
            <w:tcMar>
              <w:top w:w="28" w:type="dxa"/>
              <w:left w:w="28" w:type="dxa"/>
            </w:tcMar>
          </w:tcPr>
          <w:p w14:paraId="76DC6BBC"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011E0536"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Management of cardiac allograft rejection</w:t>
            </w:r>
            <w:r w:rsidRPr="006D52A9">
              <w:rPr>
                <w:rFonts w:ascii="Arial" w:hAnsi="Arial" w:cs="Arial"/>
                <w:sz w:val="16"/>
                <w:szCs w:val="16"/>
              </w:rPr>
              <w:br/>
              <w:t>Management (initiation, stabilisation and review of therapy)</w:t>
            </w:r>
            <w:r w:rsidRPr="006D52A9">
              <w:rPr>
                <w:rFonts w:ascii="Arial" w:hAnsi="Arial" w:cs="Arial"/>
                <w:sz w:val="16"/>
                <w:szCs w:val="16"/>
              </w:rPr>
              <w:br/>
              <w:t>Patient must be receiving this drug for prophylaxis of cardiac allograft rejection; AND</w:t>
            </w:r>
            <w:r w:rsidRPr="006D52A9">
              <w:rPr>
                <w:rFonts w:ascii="Arial" w:hAnsi="Arial" w:cs="Arial"/>
                <w:sz w:val="16"/>
                <w:szCs w:val="16"/>
              </w:rPr>
              <w:br/>
              <w:t>The treatment must be under the supervision and direction of a transplant unit.</w:t>
            </w:r>
          </w:p>
        </w:tc>
        <w:tc>
          <w:tcPr>
            <w:tcW w:w="929" w:type="pct"/>
            <w:shd w:val="clear" w:color="auto" w:fill="auto"/>
            <w:tcMar>
              <w:top w:w="28" w:type="dxa"/>
              <w:left w:w="28" w:type="dxa"/>
              <w:right w:w="57" w:type="dxa"/>
            </w:tcMar>
          </w:tcPr>
          <w:p w14:paraId="77BA8A1B"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9693</w:t>
            </w:r>
          </w:p>
        </w:tc>
      </w:tr>
      <w:tr w:rsidR="008F47B8" w:rsidRPr="006D52A9" w14:paraId="553C856C" w14:textId="77777777" w:rsidTr="00FB6D2D">
        <w:tc>
          <w:tcPr>
            <w:tcW w:w="647" w:type="pct"/>
            <w:shd w:val="clear" w:color="auto" w:fill="auto"/>
            <w:tcMar>
              <w:top w:w="28" w:type="dxa"/>
              <w:left w:w="28" w:type="dxa"/>
            </w:tcMar>
          </w:tcPr>
          <w:p w14:paraId="287B9980"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28BC837E"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C9809</w:t>
            </w:r>
          </w:p>
        </w:tc>
        <w:tc>
          <w:tcPr>
            <w:tcW w:w="274" w:type="pct"/>
            <w:shd w:val="clear" w:color="auto" w:fill="auto"/>
            <w:tcMar>
              <w:top w:w="28" w:type="dxa"/>
              <w:left w:w="28" w:type="dxa"/>
            </w:tcMar>
          </w:tcPr>
          <w:p w14:paraId="630D30E5"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0C199CE8"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WHO Class III, IV or V lupus nephritis</w:t>
            </w:r>
            <w:r w:rsidRPr="006D52A9">
              <w:rPr>
                <w:rFonts w:ascii="Arial" w:hAnsi="Arial" w:cs="Arial"/>
                <w:sz w:val="16"/>
                <w:szCs w:val="16"/>
              </w:rPr>
              <w:br/>
              <w:t>Management</w:t>
            </w:r>
            <w:r w:rsidRPr="006D52A9">
              <w:rPr>
                <w:rFonts w:ascii="Arial" w:hAnsi="Arial" w:cs="Arial"/>
                <w:sz w:val="16"/>
                <w:szCs w:val="16"/>
              </w:rPr>
              <w:br/>
              <w:t>The condition must be proven by biopsy.</w:t>
            </w:r>
            <w:r w:rsidRPr="006D52A9">
              <w:rPr>
                <w:rFonts w:ascii="Arial" w:hAnsi="Arial" w:cs="Arial"/>
                <w:sz w:val="16"/>
                <w:szCs w:val="16"/>
              </w:rPr>
              <w:br/>
              <w:t>Must be treated by a nephrologist or in consultation with a nephrologist.</w:t>
            </w:r>
            <w:r w:rsidRPr="006D52A9">
              <w:rPr>
                <w:rFonts w:ascii="Arial" w:hAnsi="Arial" w:cs="Arial"/>
                <w:sz w:val="16"/>
                <w:szCs w:val="16"/>
              </w:rPr>
              <w:br/>
              <w:t>The name of the consulting nephrologist must be included in the patient medical records.</w:t>
            </w:r>
          </w:p>
        </w:tc>
        <w:tc>
          <w:tcPr>
            <w:tcW w:w="929" w:type="pct"/>
            <w:shd w:val="clear" w:color="auto" w:fill="auto"/>
            <w:tcMar>
              <w:top w:w="28" w:type="dxa"/>
              <w:left w:w="28" w:type="dxa"/>
              <w:right w:w="57" w:type="dxa"/>
            </w:tcMar>
          </w:tcPr>
          <w:p w14:paraId="4DA53058"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9809</w:t>
            </w:r>
          </w:p>
        </w:tc>
      </w:tr>
      <w:tr w:rsidR="008F47B8" w:rsidRPr="006D52A9" w14:paraId="63CE7566" w14:textId="77777777" w:rsidTr="00FB6D2D">
        <w:tc>
          <w:tcPr>
            <w:tcW w:w="647" w:type="pct"/>
            <w:shd w:val="clear" w:color="auto" w:fill="auto"/>
            <w:tcMar>
              <w:top w:w="28" w:type="dxa"/>
              <w:left w:w="28" w:type="dxa"/>
            </w:tcMar>
          </w:tcPr>
          <w:p w14:paraId="0DD757D4"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Natalizumab</w:t>
            </w:r>
          </w:p>
        </w:tc>
        <w:tc>
          <w:tcPr>
            <w:tcW w:w="283" w:type="pct"/>
            <w:shd w:val="clear" w:color="auto" w:fill="auto"/>
            <w:tcMar>
              <w:top w:w="28" w:type="dxa"/>
              <w:left w:w="28" w:type="dxa"/>
            </w:tcMar>
          </w:tcPr>
          <w:p w14:paraId="19512075"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C9744</w:t>
            </w:r>
          </w:p>
        </w:tc>
        <w:tc>
          <w:tcPr>
            <w:tcW w:w="274" w:type="pct"/>
            <w:shd w:val="clear" w:color="auto" w:fill="auto"/>
            <w:tcMar>
              <w:top w:w="28" w:type="dxa"/>
              <w:left w:w="28" w:type="dxa"/>
            </w:tcMar>
          </w:tcPr>
          <w:p w14:paraId="5856E412"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18786FE4"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Clinically definite relapsing</w:t>
            </w:r>
            <w:r w:rsidR="0026100E">
              <w:rPr>
                <w:rFonts w:ascii="Arial" w:hAnsi="Arial" w:cs="Arial"/>
                <w:sz w:val="16"/>
                <w:szCs w:val="16"/>
              </w:rPr>
              <w:noBreakHyphen/>
            </w:r>
            <w:r w:rsidRPr="006D52A9">
              <w:rPr>
                <w:rFonts w:ascii="Arial" w:hAnsi="Arial" w:cs="Arial"/>
                <w:sz w:val="16"/>
                <w:szCs w:val="16"/>
              </w:rPr>
              <w:t>remitting multiple sclerosis</w:t>
            </w:r>
            <w:r w:rsidRPr="006D52A9">
              <w:rPr>
                <w:rFonts w:ascii="Arial" w:hAnsi="Arial" w:cs="Arial"/>
                <w:sz w:val="16"/>
                <w:szCs w:val="16"/>
              </w:rPr>
              <w:br/>
            </w:r>
            <w:r w:rsidRPr="006D52A9">
              <w:rPr>
                <w:rFonts w:ascii="Arial" w:hAnsi="Arial" w:cs="Arial"/>
                <w:sz w:val="16"/>
                <w:szCs w:val="16"/>
              </w:rPr>
              <w:lastRenderedPageBreak/>
              <w:t>Must be treated by a neurologist.</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be ambulatory (without assistance or support); AND</w:t>
            </w:r>
            <w:r w:rsidRPr="006D52A9">
              <w:rPr>
                <w:rFonts w:ascii="Arial" w:hAnsi="Arial" w:cs="Arial"/>
                <w:sz w:val="16"/>
                <w:szCs w:val="16"/>
              </w:rPr>
              <w:br/>
              <w:t>Patient must have experienced at least 2 documented attacks of neurological dysfunction, believed to be due to multiple sclerosis, in the preceding 2 years of commencing a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The condition must be confirmed by magnetic resonance imaging of the brain and/or spinal cord; OR</w:t>
            </w:r>
            <w:r w:rsidRPr="006D52A9">
              <w:rPr>
                <w:rFonts w:ascii="Arial" w:hAnsi="Arial" w:cs="Arial"/>
                <w:sz w:val="16"/>
                <w:szCs w:val="16"/>
              </w:rPr>
              <w:br/>
              <w:t>Patient must be deemed unsuitable for magnetic resonance imaging due to the risk of physical (not psychological) injury to the patient.</w:t>
            </w:r>
            <w:r w:rsidRPr="006D52A9">
              <w:rPr>
                <w:rFonts w:ascii="Arial" w:hAnsi="Arial" w:cs="Arial"/>
                <w:sz w:val="16"/>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6D52A9">
              <w:rPr>
                <w:rFonts w:ascii="Arial" w:hAnsi="Arial" w:cs="Arial"/>
                <w:sz w:val="16"/>
                <w:szCs w:val="16"/>
              </w:rPr>
              <w:br/>
              <w:t>Treatment with this drug must cease if there is continuing progression of disability whilst the patient is being treated with this drug.</w:t>
            </w:r>
            <w:r w:rsidRPr="006D52A9">
              <w:rPr>
                <w:rFonts w:ascii="Arial" w:hAnsi="Arial" w:cs="Arial"/>
                <w:sz w:val="16"/>
                <w:szCs w:val="16"/>
              </w:rPr>
              <w:br/>
              <w:t>For continued treatment the patient must demonstrate compliance with, and an ability to tolerate, this drug.</w:t>
            </w:r>
            <w:r w:rsidRPr="006D52A9">
              <w:rPr>
                <w:rFonts w:ascii="Arial" w:hAnsi="Arial" w:cs="Arial"/>
                <w:sz w:val="16"/>
                <w:szCs w:val="16"/>
              </w:rPr>
              <w:br/>
              <w:t>Neurologists prescribing natalizumab under the PBS listing must be registered with the Tysabri Australian Prescribing Program.</w:t>
            </w:r>
          </w:p>
        </w:tc>
        <w:tc>
          <w:tcPr>
            <w:tcW w:w="929" w:type="pct"/>
            <w:shd w:val="clear" w:color="auto" w:fill="auto"/>
            <w:tcMar>
              <w:top w:w="28" w:type="dxa"/>
              <w:left w:w="28" w:type="dxa"/>
              <w:right w:w="57" w:type="dxa"/>
            </w:tcMar>
          </w:tcPr>
          <w:p w14:paraId="5F694023"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 xml:space="preserve">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9744</w:t>
            </w:r>
          </w:p>
        </w:tc>
      </w:tr>
      <w:tr w:rsidR="008F47B8" w:rsidRPr="006D52A9" w14:paraId="15590604" w14:textId="77777777" w:rsidTr="00FB6D2D">
        <w:tc>
          <w:tcPr>
            <w:tcW w:w="647" w:type="pct"/>
            <w:shd w:val="clear" w:color="auto" w:fill="auto"/>
            <w:tcMar>
              <w:top w:w="28" w:type="dxa"/>
              <w:left w:w="28" w:type="dxa"/>
            </w:tcMar>
          </w:tcPr>
          <w:p w14:paraId="027ABF79" w14:textId="77777777" w:rsidR="008F47B8" w:rsidRPr="006D52A9" w:rsidRDefault="008F47B8" w:rsidP="00FB6D2D">
            <w:pPr>
              <w:tabs>
                <w:tab w:val="left" w:pos="33"/>
              </w:tabs>
              <w:spacing w:line="240" w:lineRule="auto"/>
              <w:ind w:left="34"/>
              <w:rPr>
                <w:rFonts w:ascii="Arial" w:hAnsi="Arial" w:cs="Arial"/>
                <w:sz w:val="16"/>
                <w:szCs w:val="16"/>
              </w:rPr>
            </w:pPr>
          </w:p>
        </w:tc>
        <w:tc>
          <w:tcPr>
            <w:tcW w:w="283" w:type="pct"/>
            <w:shd w:val="clear" w:color="auto" w:fill="auto"/>
            <w:tcMar>
              <w:top w:w="28" w:type="dxa"/>
              <w:left w:w="28" w:type="dxa"/>
            </w:tcMar>
          </w:tcPr>
          <w:p w14:paraId="3A102A46"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C9818</w:t>
            </w:r>
          </w:p>
        </w:tc>
        <w:tc>
          <w:tcPr>
            <w:tcW w:w="274" w:type="pct"/>
            <w:shd w:val="clear" w:color="auto" w:fill="auto"/>
            <w:tcMar>
              <w:top w:w="28" w:type="dxa"/>
              <w:left w:w="28" w:type="dxa"/>
            </w:tcMar>
          </w:tcPr>
          <w:p w14:paraId="19328472" w14:textId="77777777" w:rsidR="008F47B8" w:rsidRPr="006D52A9" w:rsidRDefault="008F47B8" w:rsidP="00FB6D2D">
            <w:pPr>
              <w:tabs>
                <w:tab w:val="left" w:pos="33"/>
              </w:tabs>
              <w:spacing w:line="240" w:lineRule="auto"/>
              <w:ind w:left="34"/>
              <w:rPr>
                <w:rFonts w:ascii="Arial" w:hAnsi="Arial" w:cs="Arial"/>
                <w:sz w:val="16"/>
                <w:szCs w:val="16"/>
              </w:rPr>
            </w:pPr>
          </w:p>
        </w:tc>
        <w:tc>
          <w:tcPr>
            <w:tcW w:w="2867" w:type="pct"/>
            <w:shd w:val="clear" w:color="auto" w:fill="auto"/>
            <w:tcMar>
              <w:top w:w="28" w:type="dxa"/>
              <w:left w:w="28" w:type="dxa"/>
            </w:tcMar>
          </w:tcPr>
          <w:p w14:paraId="420FB8B2"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Clinically definite relapsing</w:t>
            </w:r>
            <w:r w:rsidR="0026100E">
              <w:rPr>
                <w:rFonts w:ascii="Arial" w:hAnsi="Arial" w:cs="Arial"/>
                <w:sz w:val="16"/>
                <w:szCs w:val="16"/>
              </w:rPr>
              <w:noBreakHyphen/>
            </w:r>
            <w:r w:rsidRPr="006D52A9">
              <w:rPr>
                <w:rFonts w:ascii="Arial" w:hAnsi="Arial" w:cs="Arial"/>
                <w:sz w:val="16"/>
                <w:szCs w:val="16"/>
              </w:rPr>
              <w:t>remitting multiple sclerosis</w:t>
            </w:r>
            <w:r w:rsidRPr="006D52A9">
              <w:rPr>
                <w:rFonts w:ascii="Arial" w:hAnsi="Arial" w:cs="Arial"/>
                <w:sz w:val="16"/>
                <w:szCs w:val="16"/>
              </w:rPr>
              <w:br/>
              <w:t>Must be treated by a neurologist.</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Patient must be ambulatory (without assistance or support); AND</w:t>
            </w:r>
            <w:r w:rsidRPr="006D52A9">
              <w:rPr>
                <w:rFonts w:ascii="Arial" w:hAnsi="Arial" w:cs="Arial"/>
                <w:sz w:val="16"/>
                <w:szCs w:val="16"/>
              </w:rPr>
              <w:br/>
              <w:t>Patient must have experienced at least 2 documented attacks of neurological dysfunction, believed to be due to multiple sclerosis, in the preceding 2 years of commencing a PBS</w:t>
            </w:r>
            <w:r w:rsidR="0026100E">
              <w:rPr>
                <w:rFonts w:ascii="Arial" w:hAnsi="Arial" w:cs="Arial"/>
                <w:sz w:val="16"/>
                <w:szCs w:val="16"/>
              </w:rPr>
              <w:noBreakHyphen/>
            </w:r>
            <w:r w:rsidRPr="006D52A9">
              <w:rPr>
                <w:rFonts w:ascii="Arial" w:hAnsi="Arial" w:cs="Arial"/>
                <w:sz w:val="16"/>
                <w:szCs w:val="16"/>
              </w:rPr>
              <w:t>subsidised disease modifying therapy for this condition; AND</w:t>
            </w:r>
            <w:r w:rsidRPr="006D52A9">
              <w:rPr>
                <w:rFonts w:ascii="Arial" w:hAnsi="Arial" w:cs="Arial"/>
                <w:sz w:val="16"/>
                <w:szCs w:val="16"/>
              </w:rPr>
              <w:br/>
              <w:t>The condition must be confirmed by magnetic resonance imaging of the brain and/or spinal cord; OR</w:t>
            </w:r>
            <w:r w:rsidRPr="006D52A9">
              <w:rPr>
                <w:rFonts w:ascii="Arial" w:hAnsi="Arial" w:cs="Arial"/>
                <w:sz w:val="16"/>
                <w:szCs w:val="16"/>
              </w:rPr>
              <w:br/>
              <w:t>Patient must be deemed unsuitable for magnetic resonance imaging due to the risk of physical (not psychological) injury to the patient.</w:t>
            </w:r>
            <w:r w:rsidRPr="006D52A9">
              <w:rPr>
                <w:rFonts w:ascii="Arial" w:hAnsi="Arial" w:cs="Arial"/>
                <w:sz w:val="16"/>
                <w:szCs w:val="16"/>
              </w:rPr>
              <w:b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r w:rsidRPr="006D52A9">
              <w:rPr>
                <w:rFonts w:ascii="Arial" w:hAnsi="Arial" w:cs="Arial"/>
                <w:sz w:val="16"/>
                <w:szCs w:val="16"/>
              </w:rPr>
              <w:br/>
              <w:t>Treatment with this drug must cease if there is continuing progression of disability whilst the patient is being treated with this drug.</w:t>
            </w:r>
            <w:r w:rsidRPr="006D52A9">
              <w:rPr>
                <w:rFonts w:ascii="Arial" w:hAnsi="Arial" w:cs="Arial"/>
                <w:sz w:val="16"/>
                <w:szCs w:val="16"/>
              </w:rPr>
              <w:br/>
              <w:t>For continued treatment the patient must demonstrate compliance with, and an ability to tolerate, this drug.</w:t>
            </w:r>
            <w:r w:rsidRPr="006D52A9">
              <w:rPr>
                <w:rFonts w:ascii="Arial" w:hAnsi="Arial" w:cs="Arial"/>
                <w:sz w:val="16"/>
                <w:szCs w:val="16"/>
              </w:rPr>
              <w:br/>
              <w:t>Neurologists prescribing natalizumab under the PBS listing must be registered with the Tysabri Australian Prescribing Program.</w:t>
            </w:r>
          </w:p>
        </w:tc>
        <w:tc>
          <w:tcPr>
            <w:tcW w:w="929" w:type="pct"/>
            <w:shd w:val="clear" w:color="auto" w:fill="auto"/>
            <w:tcMar>
              <w:top w:w="28" w:type="dxa"/>
              <w:left w:w="28" w:type="dxa"/>
              <w:right w:w="57" w:type="dxa"/>
            </w:tcMar>
          </w:tcPr>
          <w:p w14:paraId="702D4FBD" w14:textId="77777777" w:rsidR="008F47B8" w:rsidRPr="006D52A9" w:rsidRDefault="008F47B8" w:rsidP="00FB6D2D">
            <w:pPr>
              <w:tabs>
                <w:tab w:val="left" w:pos="33"/>
              </w:tabs>
              <w:spacing w:line="240" w:lineRule="auto"/>
              <w:ind w:left="34"/>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9818</w:t>
            </w:r>
          </w:p>
        </w:tc>
      </w:tr>
      <w:tr w:rsidR="008F47B8" w:rsidRPr="006D52A9" w:rsidDel="00C92AAE" w14:paraId="544DC951" w14:textId="77777777" w:rsidTr="00FB6D2D">
        <w:trPr>
          <w:cantSplit/>
        </w:trPr>
        <w:tc>
          <w:tcPr>
            <w:tcW w:w="647" w:type="pct"/>
            <w:tcBorders>
              <w:bottom w:val="single" w:sz="4" w:space="0" w:color="auto"/>
            </w:tcBorders>
            <w:tcMar>
              <w:top w:w="28" w:type="dxa"/>
              <w:left w:w="28" w:type="dxa"/>
            </w:tcMar>
          </w:tcPr>
          <w:p w14:paraId="134880C7" w14:textId="77777777" w:rsidR="008F47B8" w:rsidRPr="006D52A9" w:rsidDel="00C92AAE" w:rsidRDefault="008F47B8" w:rsidP="00FB6D2D">
            <w:pPr>
              <w:spacing w:after="60" w:line="240" w:lineRule="auto"/>
              <w:rPr>
                <w:rFonts w:ascii="Arial" w:hAnsi="Arial" w:cs="Arial"/>
                <w:sz w:val="16"/>
                <w:szCs w:val="16"/>
              </w:rPr>
            </w:pPr>
            <w:bookmarkStart w:id="185" w:name="CU_392659430"/>
            <w:bookmarkEnd w:id="185"/>
            <w:r w:rsidRPr="006D52A9">
              <w:rPr>
                <w:rFonts w:ascii="Arial" w:hAnsi="Arial" w:cs="Arial"/>
                <w:sz w:val="16"/>
                <w:szCs w:val="16"/>
              </w:rPr>
              <w:t>Nevirapine</w:t>
            </w:r>
          </w:p>
        </w:tc>
        <w:tc>
          <w:tcPr>
            <w:tcW w:w="283" w:type="pct"/>
            <w:tcBorders>
              <w:bottom w:val="single" w:sz="4" w:space="0" w:color="auto"/>
            </w:tcBorders>
            <w:tcMar>
              <w:top w:w="28" w:type="dxa"/>
              <w:left w:w="28" w:type="dxa"/>
            </w:tcMar>
          </w:tcPr>
          <w:p w14:paraId="5F81040B"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C4454</w:t>
            </w:r>
          </w:p>
        </w:tc>
        <w:tc>
          <w:tcPr>
            <w:tcW w:w="274" w:type="pct"/>
            <w:tcBorders>
              <w:bottom w:val="single" w:sz="4" w:space="0" w:color="auto"/>
            </w:tcBorders>
            <w:tcMar>
              <w:top w:w="28" w:type="dxa"/>
              <w:left w:w="28" w:type="dxa"/>
            </w:tcMar>
          </w:tcPr>
          <w:p w14:paraId="73850B36" w14:textId="77777777" w:rsidR="008F47B8" w:rsidRPr="006D52A9" w:rsidDel="00C92AAE" w:rsidRDefault="008F47B8" w:rsidP="00FB6D2D">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14:paraId="520C021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31B80BEF" w14:textId="77777777" w:rsidR="008F47B8" w:rsidRPr="006D52A9" w:rsidDel="00C92AAE" w:rsidRDefault="008F47B8" w:rsidP="00FB6D2D">
            <w:pPr>
              <w:spacing w:after="60"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29" w:type="pct"/>
            <w:tcBorders>
              <w:bottom w:val="single" w:sz="4" w:space="0" w:color="auto"/>
            </w:tcBorders>
            <w:tcMar>
              <w:top w:w="28" w:type="dxa"/>
              <w:left w:w="28" w:type="dxa"/>
              <w:right w:w="57" w:type="dxa"/>
            </w:tcMar>
          </w:tcPr>
          <w:p w14:paraId="7CAEADC8"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C92AAE" w14:paraId="002F0761" w14:textId="77777777" w:rsidTr="00FB6D2D">
        <w:trPr>
          <w:cantSplit/>
        </w:trPr>
        <w:tc>
          <w:tcPr>
            <w:tcW w:w="647" w:type="pct"/>
            <w:tcBorders>
              <w:bottom w:val="single" w:sz="4" w:space="0" w:color="auto"/>
            </w:tcBorders>
            <w:tcMar>
              <w:top w:w="28" w:type="dxa"/>
              <w:left w:w="28" w:type="dxa"/>
            </w:tcMar>
          </w:tcPr>
          <w:p w14:paraId="47310569" w14:textId="77777777" w:rsidR="008F47B8" w:rsidRPr="006D52A9" w:rsidDel="00C92AAE" w:rsidRDefault="008F47B8" w:rsidP="00FB6D2D">
            <w:pPr>
              <w:spacing w:after="60" w:line="240" w:lineRule="auto"/>
              <w:rPr>
                <w:rFonts w:ascii="Arial" w:hAnsi="Arial" w:cs="Arial"/>
                <w:sz w:val="16"/>
                <w:szCs w:val="16"/>
              </w:rPr>
            </w:pPr>
          </w:p>
        </w:tc>
        <w:tc>
          <w:tcPr>
            <w:tcW w:w="283" w:type="pct"/>
            <w:tcBorders>
              <w:bottom w:val="single" w:sz="4" w:space="0" w:color="auto"/>
            </w:tcBorders>
            <w:tcMar>
              <w:top w:w="28" w:type="dxa"/>
              <w:left w:w="28" w:type="dxa"/>
            </w:tcMar>
          </w:tcPr>
          <w:p w14:paraId="3EA976F2"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C4512</w:t>
            </w:r>
          </w:p>
        </w:tc>
        <w:tc>
          <w:tcPr>
            <w:tcW w:w="274" w:type="pct"/>
            <w:tcBorders>
              <w:bottom w:val="single" w:sz="4" w:space="0" w:color="auto"/>
            </w:tcBorders>
            <w:tcMar>
              <w:top w:w="28" w:type="dxa"/>
              <w:left w:w="28" w:type="dxa"/>
            </w:tcMar>
          </w:tcPr>
          <w:p w14:paraId="0644E7AD" w14:textId="77777777" w:rsidR="008F47B8" w:rsidRPr="006D52A9" w:rsidDel="00C92AAE" w:rsidRDefault="008F47B8" w:rsidP="00FB6D2D">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14:paraId="1C788F7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5823D9B6" w14:textId="77777777" w:rsidR="008F47B8" w:rsidRPr="006D52A9" w:rsidDel="00C92AAE" w:rsidRDefault="008F47B8" w:rsidP="00FB6D2D">
            <w:pPr>
              <w:spacing w:after="60"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29" w:type="pct"/>
            <w:tcBorders>
              <w:bottom w:val="single" w:sz="4" w:space="0" w:color="auto"/>
            </w:tcBorders>
            <w:tcMar>
              <w:top w:w="28" w:type="dxa"/>
              <w:left w:w="28" w:type="dxa"/>
              <w:right w:w="57" w:type="dxa"/>
            </w:tcMar>
          </w:tcPr>
          <w:p w14:paraId="7263F807"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C92AAE" w14:paraId="645D7F2A" w14:textId="77777777" w:rsidTr="00FB6D2D">
        <w:trPr>
          <w:cantSplit/>
        </w:trPr>
        <w:tc>
          <w:tcPr>
            <w:tcW w:w="647" w:type="pct"/>
            <w:tcBorders>
              <w:bottom w:val="single" w:sz="4" w:space="0" w:color="auto"/>
            </w:tcBorders>
            <w:tcMar>
              <w:top w:w="28" w:type="dxa"/>
              <w:left w:w="28" w:type="dxa"/>
            </w:tcMar>
          </w:tcPr>
          <w:p w14:paraId="273AB7D5" w14:textId="77777777" w:rsidR="008F47B8" w:rsidRPr="006D52A9" w:rsidDel="00C92AAE" w:rsidRDefault="008F47B8" w:rsidP="00FB6D2D">
            <w:pPr>
              <w:spacing w:after="60" w:line="240" w:lineRule="auto"/>
              <w:rPr>
                <w:rFonts w:ascii="Arial" w:hAnsi="Arial" w:cs="Arial"/>
                <w:sz w:val="16"/>
                <w:szCs w:val="16"/>
              </w:rPr>
            </w:pPr>
          </w:p>
        </w:tc>
        <w:tc>
          <w:tcPr>
            <w:tcW w:w="283" w:type="pct"/>
            <w:tcBorders>
              <w:bottom w:val="single" w:sz="4" w:space="0" w:color="auto"/>
            </w:tcBorders>
            <w:tcMar>
              <w:top w:w="28" w:type="dxa"/>
              <w:left w:w="28" w:type="dxa"/>
            </w:tcMar>
          </w:tcPr>
          <w:p w14:paraId="12AB2493"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C4526</w:t>
            </w:r>
          </w:p>
        </w:tc>
        <w:tc>
          <w:tcPr>
            <w:tcW w:w="274" w:type="pct"/>
            <w:tcBorders>
              <w:bottom w:val="single" w:sz="4" w:space="0" w:color="auto"/>
            </w:tcBorders>
            <w:tcMar>
              <w:top w:w="28" w:type="dxa"/>
              <w:left w:w="28" w:type="dxa"/>
            </w:tcMar>
          </w:tcPr>
          <w:p w14:paraId="4AA6D41F" w14:textId="77777777" w:rsidR="008F47B8" w:rsidRPr="006D52A9" w:rsidDel="00C92AAE" w:rsidRDefault="008F47B8" w:rsidP="00FB6D2D">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14:paraId="7D24965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7FA90CE0" w14:textId="77777777" w:rsidR="008F47B8" w:rsidRPr="006D52A9" w:rsidDel="00C92AAE" w:rsidRDefault="008F47B8" w:rsidP="00FB6D2D">
            <w:pPr>
              <w:spacing w:after="60" w:line="240" w:lineRule="auto"/>
              <w:rPr>
                <w:rFonts w:ascii="Arial" w:hAnsi="Arial" w:cs="Arial"/>
                <w:sz w:val="16"/>
                <w:szCs w:val="16"/>
              </w:rPr>
            </w:pPr>
            <w:r w:rsidRPr="006D52A9">
              <w:rPr>
                <w:rFonts w:ascii="Arial" w:hAnsi="Arial" w:cs="Arial"/>
                <w:sz w:val="16"/>
                <w:szCs w:val="16"/>
              </w:rPr>
              <w:t>Patient must have been stabilised on nevirapine immediate release; AND</w:t>
            </w:r>
            <w:r w:rsidRPr="006D52A9">
              <w:rPr>
                <w:rFonts w:ascii="Arial" w:hAnsi="Arial" w:cs="Arial"/>
                <w:sz w:val="16"/>
                <w:szCs w:val="16"/>
              </w:rPr>
              <w:br/>
              <w:t>The treatment must be in combination with other antiretroviral agents</w:t>
            </w:r>
          </w:p>
        </w:tc>
        <w:tc>
          <w:tcPr>
            <w:tcW w:w="929" w:type="pct"/>
            <w:tcBorders>
              <w:bottom w:val="single" w:sz="4" w:space="0" w:color="auto"/>
            </w:tcBorders>
            <w:tcMar>
              <w:top w:w="28" w:type="dxa"/>
              <w:left w:w="28" w:type="dxa"/>
              <w:right w:w="57" w:type="dxa"/>
            </w:tcMar>
          </w:tcPr>
          <w:p w14:paraId="135FFC44" w14:textId="77777777" w:rsidR="008F47B8" w:rsidRPr="006D52A9" w:rsidDel="00C92AAE"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4526</w:t>
            </w:r>
          </w:p>
        </w:tc>
      </w:tr>
      <w:tr w:rsidR="008F47B8" w:rsidRPr="006D52A9" w:rsidDel="00C92AAE" w14:paraId="7F80CBD4" w14:textId="77777777" w:rsidTr="00FB6D2D">
        <w:tc>
          <w:tcPr>
            <w:tcW w:w="647" w:type="pct"/>
            <w:tcBorders>
              <w:bottom w:val="single" w:sz="4" w:space="0" w:color="auto"/>
            </w:tcBorders>
            <w:tcMar>
              <w:top w:w="28" w:type="dxa"/>
              <w:left w:w="28" w:type="dxa"/>
            </w:tcMar>
          </w:tcPr>
          <w:p w14:paraId="71E44C84" w14:textId="77777777" w:rsidR="008F47B8" w:rsidRPr="006D52A9" w:rsidDel="00C92AAE" w:rsidRDefault="008F47B8" w:rsidP="00FB6D2D">
            <w:pPr>
              <w:spacing w:after="60" w:line="240" w:lineRule="auto"/>
              <w:rPr>
                <w:rFonts w:ascii="Arial" w:hAnsi="Arial" w:cs="Arial"/>
                <w:sz w:val="16"/>
                <w:szCs w:val="16"/>
              </w:rPr>
            </w:pPr>
            <w:r w:rsidRPr="006D52A9">
              <w:rPr>
                <w:rFonts w:ascii="Arial" w:hAnsi="Arial" w:cs="Arial"/>
                <w:sz w:val="16"/>
                <w:szCs w:val="16"/>
              </w:rPr>
              <w:t>Nusinersen</w:t>
            </w:r>
          </w:p>
        </w:tc>
        <w:tc>
          <w:tcPr>
            <w:tcW w:w="283" w:type="pct"/>
            <w:tcBorders>
              <w:bottom w:val="single" w:sz="4" w:space="0" w:color="auto"/>
            </w:tcBorders>
            <w:tcMar>
              <w:top w:w="28" w:type="dxa"/>
              <w:left w:w="28" w:type="dxa"/>
            </w:tcMar>
          </w:tcPr>
          <w:p w14:paraId="5E58511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C11049</w:t>
            </w:r>
          </w:p>
        </w:tc>
        <w:tc>
          <w:tcPr>
            <w:tcW w:w="274" w:type="pct"/>
            <w:tcBorders>
              <w:bottom w:val="single" w:sz="4" w:space="0" w:color="auto"/>
            </w:tcBorders>
            <w:tcMar>
              <w:top w:w="28" w:type="dxa"/>
              <w:left w:w="28" w:type="dxa"/>
            </w:tcMar>
          </w:tcPr>
          <w:p w14:paraId="7D2D0520" w14:textId="77777777" w:rsidR="008F47B8" w:rsidRPr="006D52A9" w:rsidDel="00C92AAE" w:rsidRDefault="008F47B8" w:rsidP="00FB6D2D">
            <w:pPr>
              <w:spacing w:after="60" w:line="240" w:lineRule="auto"/>
              <w:rPr>
                <w:rFonts w:ascii="Arial" w:hAnsi="Arial" w:cs="Arial"/>
                <w:sz w:val="16"/>
                <w:szCs w:val="16"/>
              </w:rPr>
            </w:pPr>
          </w:p>
        </w:tc>
        <w:tc>
          <w:tcPr>
            <w:tcW w:w="2867" w:type="pct"/>
            <w:tcBorders>
              <w:bottom w:val="single" w:sz="4" w:space="0" w:color="auto"/>
            </w:tcBorders>
            <w:tcMar>
              <w:top w:w="28" w:type="dxa"/>
              <w:left w:w="28" w:type="dxa"/>
            </w:tcMar>
          </w:tcPr>
          <w:p w14:paraId="432A87E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Spinal muscular atrophy (SMA)</w:t>
            </w:r>
            <w:r w:rsidRPr="006D52A9">
              <w:rPr>
                <w:rFonts w:ascii="Arial" w:hAnsi="Arial" w:cs="Arial"/>
                <w:sz w:val="16"/>
                <w:szCs w:val="16"/>
              </w:rPr>
              <w:br/>
              <w:t>Continuing/maintenance treatment of either symptomatic Type I, II or IIIa SMA or of a patient commenced on this drug under the pre</w:t>
            </w:r>
            <w:r w:rsidR="0026100E">
              <w:rPr>
                <w:rFonts w:ascii="Arial" w:hAnsi="Arial" w:cs="Arial"/>
                <w:sz w:val="16"/>
                <w:szCs w:val="16"/>
              </w:rPr>
              <w:noBreakHyphen/>
            </w:r>
            <w:r w:rsidRPr="006D52A9">
              <w:rPr>
                <w:rFonts w:ascii="Arial" w:hAnsi="Arial" w:cs="Arial"/>
                <w:sz w:val="16"/>
                <w:szCs w:val="16"/>
              </w:rPr>
              <w:t>symptomatic SMA listing</w:t>
            </w:r>
            <w:r w:rsidRPr="006D52A9">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The treatment must be given concomitantly with standard of care for this condition; AND</w:t>
            </w:r>
            <w:r w:rsidRPr="006D52A9">
              <w:rPr>
                <w:rFonts w:ascii="Arial" w:hAnsi="Arial" w:cs="Arial"/>
                <w:sz w:val="16"/>
                <w:szCs w:val="16"/>
              </w:rPr>
              <w:br/>
              <w:t>The treatment must be ceased when invasive permanent assisted ventilation is required in the absence of a potentially reversible cause while being treated with this drug.</w:t>
            </w:r>
            <w:r w:rsidRPr="006D52A9">
              <w:rPr>
                <w:rFonts w:ascii="Arial" w:hAnsi="Arial" w:cs="Arial"/>
                <w:sz w:val="16"/>
                <w:szCs w:val="16"/>
              </w:rPr>
              <w:b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r w:rsidRPr="006D52A9">
              <w:rPr>
                <w:rFonts w:ascii="Arial" w:hAnsi="Arial" w:cs="Arial"/>
                <w:sz w:val="16"/>
                <w:szCs w:val="16"/>
              </w:rPr>
              <w:br/>
              <w:t>Invasive permanent assisted ventilation means ventilation via tracheostomy tube for greater than or equal to 16 hours per day.</w:t>
            </w:r>
          </w:p>
        </w:tc>
        <w:tc>
          <w:tcPr>
            <w:tcW w:w="929" w:type="pct"/>
            <w:tcBorders>
              <w:bottom w:val="single" w:sz="4" w:space="0" w:color="auto"/>
            </w:tcBorders>
            <w:tcMar>
              <w:top w:w="28" w:type="dxa"/>
              <w:left w:w="28" w:type="dxa"/>
              <w:right w:w="57" w:type="dxa"/>
            </w:tcMar>
          </w:tcPr>
          <w:p w14:paraId="51AD46C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C92AAE" w14:paraId="4B40AB87" w14:textId="77777777" w:rsidTr="00FB6D2D">
        <w:tc>
          <w:tcPr>
            <w:tcW w:w="647" w:type="pct"/>
            <w:tcBorders>
              <w:bottom w:val="single" w:sz="4" w:space="0" w:color="auto"/>
            </w:tcBorders>
            <w:tcMar>
              <w:top w:w="28" w:type="dxa"/>
              <w:left w:w="28" w:type="dxa"/>
            </w:tcMar>
          </w:tcPr>
          <w:p w14:paraId="0B18832C" w14:textId="77777777" w:rsidR="008F47B8" w:rsidRPr="006D52A9" w:rsidDel="00C92AAE"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466CEBE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C11050</w:t>
            </w:r>
          </w:p>
        </w:tc>
        <w:tc>
          <w:tcPr>
            <w:tcW w:w="274" w:type="pct"/>
            <w:tcBorders>
              <w:bottom w:val="single" w:sz="4" w:space="0" w:color="auto"/>
            </w:tcBorders>
            <w:tcMar>
              <w:top w:w="28" w:type="dxa"/>
              <w:left w:w="28" w:type="dxa"/>
            </w:tcMar>
          </w:tcPr>
          <w:p w14:paraId="5BA2CA3E" w14:textId="77777777" w:rsidR="008F47B8" w:rsidRPr="006D52A9" w:rsidDel="00C92AAE"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0F3597C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Symptomatic Type I, II or IIIa spinal muscular atrophy (SMA)</w:t>
            </w:r>
            <w:r w:rsidRPr="006D52A9">
              <w:rPr>
                <w:rFonts w:ascii="Arial" w:hAnsi="Arial" w:cs="Arial"/>
                <w:sz w:val="16"/>
                <w:szCs w:val="16"/>
              </w:rPr>
              <w:br/>
              <w:t xml:space="preserve">Initial treatment of symptomatic Type I, II or IIIa SMA </w:t>
            </w:r>
            <w:r w:rsidR="0026100E">
              <w:rPr>
                <w:rFonts w:ascii="Arial" w:hAnsi="Arial" w:cs="Arial"/>
                <w:sz w:val="16"/>
                <w:szCs w:val="16"/>
              </w:rPr>
              <w:noBreakHyphen/>
            </w:r>
            <w:r w:rsidRPr="006D52A9">
              <w:rPr>
                <w:rFonts w:ascii="Arial" w:hAnsi="Arial" w:cs="Arial"/>
                <w:sz w:val="16"/>
                <w:szCs w:val="16"/>
              </w:rPr>
              <w:t xml:space="preserve"> Loading doses</w:t>
            </w:r>
            <w:r w:rsidRPr="006D52A9">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6D52A9">
              <w:rPr>
                <w:rFonts w:ascii="Arial" w:hAnsi="Arial" w:cs="Arial"/>
                <w:sz w:val="16"/>
                <w:szCs w:val="16"/>
              </w:rPr>
              <w:br/>
              <w:t>The condition must have genetic confirmation of 5q homozygous deletion of the survival motor neuron 1 (SMN1) gene; OR</w:t>
            </w:r>
            <w:r w:rsidRPr="006D52A9">
              <w:rPr>
                <w:rFonts w:ascii="Arial" w:hAnsi="Arial" w:cs="Arial"/>
                <w:sz w:val="16"/>
                <w:szCs w:val="16"/>
              </w:rPr>
              <w:br/>
              <w:t>The condition must have genetic confirmation of deletion of one copy of the SMN1 gene in addition to a pathogenic/likely pathogenic variant in the remaining single copy of the SMN1 gene; AND</w:t>
            </w:r>
            <w:r w:rsidRPr="006D52A9">
              <w:rPr>
                <w:rFonts w:ascii="Arial" w:hAnsi="Arial" w:cs="Arial"/>
                <w:sz w:val="16"/>
                <w:szCs w:val="16"/>
              </w:rPr>
              <w:br/>
              <w:t>Patient must have experienced at least two of the defined signs and symptoms of SMA type I, II or IIIa prior to 3 years of age; AND</w:t>
            </w:r>
            <w:r w:rsidRPr="006D52A9">
              <w:rPr>
                <w:rFonts w:ascii="Arial" w:hAnsi="Arial" w:cs="Arial"/>
                <w:sz w:val="16"/>
                <w:szCs w:val="16"/>
              </w:rPr>
              <w:br/>
              <w:t>The treatment must be given concomitantly with standard of care for this condition; AND</w:t>
            </w:r>
            <w:r w:rsidRPr="006D52A9">
              <w:rPr>
                <w:rFonts w:ascii="Arial" w:hAnsi="Arial" w:cs="Arial"/>
                <w:sz w:val="16"/>
                <w:szCs w:val="16"/>
              </w:rPr>
              <w:br/>
            </w:r>
            <w:r w:rsidRPr="006D52A9">
              <w:rPr>
                <w:rFonts w:ascii="Arial" w:hAnsi="Arial" w:cs="Arial"/>
                <w:sz w:val="16"/>
                <w:szCs w:val="16"/>
              </w:rPr>
              <w:lastRenderedPageBreak/>
              <w:t>The treatment must not exceed four loading doses (at days 0, 14, 28 and 63) under this restriction.</w:t>
            </w:r>
            <w:r w:rsidRPr="006D52A9">
              <w:rPr>
                <w:rFonts w:ascii="Arial" w:hAnsi="Arial" w:cs="Arial"/>
                <w:sz w:val="16"/>
                <w:szCs w:val="16"/>
              </w:rPr>
              <w:br/>
              <w:t>Patient must be 18 years of age or under.</w:t>
            </w:r>
            <w:r w:rsidRPr="006D52A9">
              <w:rPr>
                <w:rFonts w:ascii="Arial" w:hAnsi="Arial" w:cs="Arial"/>
                <w:sz w:val="16"/>
                <w:szCs w:val="16"/>
              </w:rPr>
              <w:br/>
              <w:t>Defined signs and symptoms of type I SMA are:</w:t>
            </w:r>
            <w:r w:rsidRPr="006D52A9">
              <w:rPr>
                <w:rFonts w:ascii="Arial" w:hAnsi="Arial" w:cs="Arial"/>
                <w:sz w:val="16"/>
                <w:szCs w:val="16"/>
              </w:rPr>
              <w:br/>
              <w:t>i) Onset before 6 months of age; and</w:t>
            </w:r>
            <w:r w:rsidRPr="006D52A9">
              <w:rPr>
                <w:rFonts w:ascii="Arial" w:hAnsi="Arial" w:cs="Arial"/>
                <w:sz w:val="16"/>
                <w:szCs w:val="16"/>
              </w:rPr>
              <w:br/>
              <w:t>ii) Failure to meet or regression in ability to perform age</w:t>
            </w:r>
            <w:r w:rsidR="0026100E">
              <w:rPr>
                <w:rFonts w:ascii="Arial" w:hAnsi="Arial" w:cs="Arial"/>
                <w:sz w:val="16"/>
                <w:szCs w:val="16"/>
              </w:rPr>
              <w:noBreakHyphen/>
            </w:r>
            <w:r w:rsidRPr="006D52A9">
              <w:rPr>
                <w:rFonts w:ascii="Arial" w:hAnsi="Arial" w:cs="Arial"/>
                <w:sz w:val="16"/>
                <w:szCs w:val="16"/>
              </w:rPr>
              <w:t>appropriate motor milestones; or</w:t>
            </w:r>
            <w:r w:rsidRPr="006D52A9">
              <w:rPr>
                <w:rFonts w:ascii="Arial" w:hAnsi="Arial" w:cs="Arial"/>
                <w:sz w:val="16"/>
                <w:szCs w:val="16"/>
              </w:rPr>
              <w:br/>
              <w:t>iii) Proximal weakness; or</w:t>
            </w:r>
            <w:r w:rsidRPr="006D52A9">
              <w:rPr>
                <w:rFonts w:ascii="Arial" w:hAnsi="Arial" w:cs="Arial"/>
                <w:sz w:val="16"/>
                <w:szCs w:val="16"/>
              </w:rPr>
              <w:br/>
              <w:t>iv) Hypotonia; or</w:t>
            </w:r>
            <w:r w:rsidRPr="006D52A9">
              <w:rPr>
                <w:rFonts w:ascii="Arial" w:hAnsi="Arial" w:cs="Arial"/>
                <w:sz w:val="16"/>
                <w:szCs w:val="16"/>
              </w:rPr>
              <w:br/>
              <w:t>v) Absence of deep tendon reflexes; or</w:t>
            </w:r>
            <w:r w:rsidRPr="006D52A9">
              <w:rPr>
                <w:rFonts w:ascii="Arial" w:hAnsi="Arial" w:cs="Arial"/>
                <w:sz w:val="16"/>
                <w:szCs w:val="16"/>
              </w:rPr>
              <w:br/>
              <w:t>vi) Failure to gain weight appropriate for age; or</w:t>
            </w:r>
            <w:r w:rsidRPr="006D52A9">
              <w:rPr>
                <w:rFonts w:ascii="Arial" w:hAnsi="Arial" w:cs="Arial"/>
                <w:sz w:val="16"/>
                <w:szCs w:val="16"/>
              </w:rPr>
              <w:br/>
              <w:t>vii) Any active chronic neurogenic changes; or</w:t>
            </w:r>
            <w:r w:rsidRPr="006D52A9">
              <w:rPr>
                <w:rFonts w:ascii="Arial" w:hAnsi="Arial" w:cs="Arial"/>
                <w:sz w:val="16"/>
                <w:szCs w:val="16"/>
              </w:rPr>
              <w:br/>
              <w:t>viii) A compound muscle action potential below normative values for an age</w:t>
            </w:r>
            <w:r w:rsidR="0026100E">
              <w:rPr>
                <w:rFonts w:ascii="Arial" w:hAnsi="Arial" w:cs="Arial"/>
                <w:sz w:val="16"/>
                <w:szCs w:val="16"/>
              </w:rPr>
              <w:noBreakHyphen/>
            </w:r>
            <w:r w:rsidRPr="006D52A9">
              <w:rPr>
                <w:rFonts w:ascii="Arial" w:hAnsi="Arial" w:cs="Arial"/>
                <w:sz w:val="16"/>
                <w:szCs w:val="16"/>
              </w:rPr>
              <w:t>matched child.</w:t>
            </w:r>
            <w:r w:rsidRPr="006D52A9">
              <w:rPr>
                <w:rFonts w:ascii="Arial" w:hAnsi="Arial" w:cs="Arial"/>
                <w:sz w:val="16"/>
                <w:szCs w:val="16"/>
              </w:rPr>
              <w:br/>
              <w:t>Defined signs and symptoms of type II SMA are:</w:t>
            </w:r>
            <w:r w:rsidRPr="006D52A9">
              <w:rPr>
                <w:rFonts w:ascii="Arial" w:hAnsi="Arial" w:cs="Arial"/>
                <w:sz w:val="16"/>
                <w:szCs w:val="16"/>
              </w:rPr>
              <w:br/>
              <w:t>i) Onset between 6 and 18 months; and</w:t>
            </w:r>
            <w:r w:rsidRPr="006D52A9">
              <w:rPr>
                <w:rFonts w:ascii="Arial" w:hAnsi="Arial" w:cs="Arial"/>
                <w:sz w:val="16"/>
                <w:szCs w:val="16"/>
              </w:rPr>
              <w:br/>
              <w:t>ii) Failure to meet or regression in ability to perform age</w:t>
            </w:r>
            <w:r w:rsidR="0026100E">
              <w:rPr>
                <w:rFonts w:ascii="Arial" w:hAnsi="Arial" w:cs="Arial"/>
                <w:sz w:val="16"/>
                <w:szCs w:val="16"/>
              </w:rPr>
              <w:noBreakHyphen/>
            </w:r>
            <w:r w:rsidRPr="006D52A9">
              <w:rPr>
                <w:rFonts w:ascii="Arial" w:hAnsi="Arial" w:cs="Arial"/>
                <w:sz w:val="16"/>
                <w:szCs w:val="16"/>
              </w:rPr>
              <w:t>appropriate motor milestones; or</w:t>
            </w:r>
            <w:r w:rsidRPr="006D52A9">
              <w:rPr>
                <w:rFonts w:ascii="Arial" w:hAnsi="Arial" w:cs="Arial"/>
                <w:sz w:val="16"/>
                <w:szCs w:val="16"/>
              </w:rPr>
              <w:br/>
              <w:t>iii) Proximal weakness; or</w:t>
            </w:r>
            <w:r w:rsidRPr="006D52A9">
              <w:rPr>
                <w:rFonts w:ascii="Arial" w:hAnsi="Arial" w:cs="Arial"/>
                <w:sz w:val="16"/>
                <w:szCs w:val="16"/>
              </w:rPr>
              <w:br/>
              <w:t>iv) Weakness in trunk righting/derotation; or</w:t>
            </w:r>
            <w:r w:rsidRPr="006D52A9">
              <w:rPr>
                <w:rFonts w:ascii="Arial" w:hAnsi="Arial" w:cs="Arial"/>
                <w:sz w:val="16"/>
                <w:szCs w:val="16"/>
              </w:rPr>
              <w:br/>
              <w:t>v) Hypotonia; or</w:t>
            </w:r>
            <w:r w:rsidRPr="006D52A9">
              <w:rPr>
                <w:rFonts w:ascii="Arial" w:hAnsi="Arial" w:cs="Arial"/>
                <w:sz w:val="16"/>
                <w:szCs w:val="16"/>
              </w:rPr>
              <w:br/>
              <w:t>vi) Absence of deep tendon reflexes; or</w:t>
            </w:r>
            <w:r w:rsidRPr="006D52A9">
              <w:rPr>
                <w:rFonts w:ascii="Arial" w:hAnsi="Arial" w:cs="Arial"/>
                <w:sz w:val="16"/>
                <w:szCs w:val="16"/>
              </w:rPr>
              <w:br/>
              <w:t>vii) Failure to gain weight appropriate for age; or</w:t>
            </w:r>
            <w:r w:rsidRPr="006D52A9">
              <w:rPr>
                <w:rFonts w:ascii="Arial" w:hAnsi="Arial" w:cs="Arial"/>
                <w:sz w:val="16"/>
                <w:szCs w:val="16"/>
              </w:rPr>
              <w:br/>
              <w:t>viii) Any active chronic neurogenic changes; or</w:t>
            </w:r>
            <w:r w:rsidRPr="006D52A9">
              <w:rPr>
                <w:rFonts w:ascii="Arial" w:hAnsi="Arial" w:cs="Arial"/>
                <w:sz w:val="16"/>
                <w:szCs w:val="16"/>
              </w:rPr>
              <w:br/>
              <w:t>ix) A compound muscle action potential below normative values for an age</w:t>
            </w:r>
            <w:r w:rsidR="0026100E">
              <w:rPr>
                <w:rFonts w:ascii="Arial" w:hAnsi="Arial" w:cs="Arial"/>
                <w:sz w:val="16"/>
                <w:szCs w:val="16"/>
              </w:rPr>
              <w:noBreakHyphen/>
            </w:r>
            <w:r w:rsidRPr="006D52A9">
              <w:rPr>
                <w:rFonts w:ascii="Arial" w:hAnsi="Arial" w:cs="Arial"/>
                <w:sz w:val="16"/>
                <w:szCs w:val="16"/>
              </w:rPr>
              <w:t>matched child.</w:t>
            </w:r>
            <w:r w:rsidRPr="006D52A9">
              <w:rPr>
                <w:rFonts w:ascii="Arial" w:hAnsi="Arial" w:cs="Arial"/>
                <w:sz w:val="16"/>
                <w:szCs w:val="16"/>
              </w:rPr>
              <w:br/>
              <w:t>Defined signs and symptoms of type IIIa SMA are:</w:t>
            </w:r>
            <w:r w:rsidRPr="006D52A9">
              <w:rPr>
                <w:rFonts w:ascii="Arial" w:hAnsi="Arial" w:cs="Arial"/>
                <w:sz w:val="16"/>
                <w:szCs w:val="16"/>
              </w:rPr>
              <w:br/>
              <w:t>i) Onset between 18 months and 3 years of age; and</w:t>
            </w:r>
            <w:r w:rsidRPr="006D52A9">
              <w:rPr>
                <w:rFonts w:ascii="Arial" w:hAnsi="Arial" w:cs="Arial"/>
                <w:sz w:val="16"/>
                <w:szCs w:val="16"/>
              </w:rPr>
              <w:br/>
              <w:t>ii) Failure to meet or regression in ability to perform age</w:t>
            </w:r>
            <w:r w:rsidR="0026100E">
              <w:rPr>
                <w:rFonts w:ascii="Arial" w:hAnsi="Arial" w:cs="Arial"/>
                <w:sz w:val="16"/>
                <w:szCs w:val="16"/>
              </w:rPr>
              <w:noBreakHyphen/>
            </w:r>
            <w:r w:rsidRPr="006D52A9">
              <w:rPr>
                <w:rFonts w:ascii="Arial" w:hAnsi="Arial" w:cs="Arial"/>
                <w:sz w:val="16"/>
                <w:szCs w:val="16"/>
              </w:rPr>
              <w:t>appropriate motor milestones; or</w:t>
            </w:r>
            <w:r w:rsidRPr="006D52A9">
              <w:rPr>
                <w:rFonts w:ascii="Arial" w:hAnsi="Arial" w:cs="Arial"/>
                <w:sz w:val="16"/>
                <w:szCs w:val="16"/>
              </w:rPr>
              <w:br/>
              <w:t>iii) Proximal weakness; or</w:t>
            </w:r>
            <w:r w:rsidRPr="006D52A9">
              <w:rPr>
                <w:rFonts w:ascii="Arial" w:hAnsi="Arial" w:cs="Arial"/>
                <w:sz w:val="16"/>
                <w:szCs w:val="16"/>
              </w:rPr>
              <w:br/>
              <w:t>iv) Hypotonia; or</w:t>
            </w:r>
            <w:r w:rsidRPr="006D52A9">
              <w:rPr>
                <w:rFonts w:ascii="Arial" w:hAnsi="Arial" w:cs="Arial"/>
                <w:sz w:val="16"/>
                <w:szCs w:val="16"/>
              </w:rPr>
              <w:br/>
              <w:t>v) Absence of deep tendon reflexes; or</w:t>
            </w:r>
            <w:r w:rsidRPr="006D52A9">
              <w:rPr>
                <w:rFonts w:ascii="Arial" w:hAnsi="Arial" w:cs="Arial"/>
                <w:sz w:val="16"/>
                <w:szCs w:val="16"/>
              </w:rPr>
              <w:br/>
              <w:t>vi) Failure to gain weight appropriate for age; or</w:t>
            </w:r>
            <w:r w:rsidRPr="006D52A9">
              <w:rPr>
                <w:rFonts w:ascii="Arial" w:hAnsi="Arial" w:cs="Arial"/>
                <w:sz w:val="16"/>
                <w:szCs w:val="16"/>
              </w:rPr>
              <w:br/>
              <w:t>vii) Any active chronic neurogenic changes; or</w:t>
            </w:r>
            <w:r w:rsidRPr="006D52A9">
              <w:rPr>
                <w:rFonts w:ascii="Arial" w:hAnsi="Arial" w:cs="Arial"/>
                <w:sz w:val="16"/>
                <w:szCs w:val="16"/>
              </w:rPr>
              <w:br/>
              <w:t>viii) A compound muscle action potential below normative values for an age</w:t>
            </w:r>
            <w:r w:rsidR="0026100E">
              <w:rPr>
                <w:rFonts w:ascii="Arial" w:hAnsi="Arial" w:cs="Arial"/>
                <w:sz w:val="16"/>
                <w:szCs w:val="16"/>
              </w:rPr>
              <w:noBreakHyphen/>
            </w:r>
            <w:r w:rsidRPr="006D52A9">
              <w:rPr>
                <w:rFonts w:ascii="Arial" w:hAnsi="Arial" w:cs="Arial"/>
                <w:sz w:val="16"/>
                <w:szCs w:val="16"/>
              </w:rPr>
              <w:t>matched child.</w:t>
            </w:r>
            <w:r w:rsidRPr="006D52A9">
              <w:rPr>
                <w:rFonts w:ascii="Arial" w:hAnsi="Arial" w:cs="Arial"/>
                <w:sz w:val="16"/>
                <w:szCs w:val="16"/>
              </w:rPr>
              <w:br/>
              <w:t>Recognised hospitals in the management of SMA are Lady Cilento Children's Hospital (Brisbane), Royal Children's Hospital Melbourne, Monash Children's Hospital (Melbourne), John Hunter Hospital (Newcastle), Sydney Children's Hospital Randwick, Children's Hospital at Westmead, Adelaide Women and Children's Hospital and Perth Children's Hospital.</w:t>
            </w:r>
            <w:r w:rsidRPr="006D52A9">
              <w:rPr>
                <w:rFonts w:ascii="Arial" w:hAnsi="Arial" w:cs="Arial"/>
                <w:sz w:val="16"/>
                <w:szCs w:val="16"/>
              </w:rPr>
              <w:br/>
              <w:t>Application for authorisation of initial treatment must be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(b) a completed Spinal muscular atrophy PBS Authority Application Form which includes the following:</w:t>
            </w:r>
            <w:r w:rsidRPr="006D52A9">
              <w:rPr>
                <w:rFonts w:ascii="Arial" w:hAnsi="Arial" w:cs="Arial"/>
                <w:sz w:val="16"/>
                <w:szCs w:val="16"/>
              </w:rPr>
              <w:br/>
              <w:t>i) specification of SMA type (I, II or IIIa); and</w:t>
            </w:r>
            <w:r w:rsidRPr="006D52A9">
              <w:rPr>
                <w:rFonts w:ascii="Arial" w:hAnsi="Arial" w:cs="Arial"/>
                <w:sz w:val="16"/>
                <w:szCs w:val="16"/>
              </w:rPr>
              <w:br/>
              <w:t>(ii) sign(s) and symptom(s) that the patient has experienced; and</w:t>
            </w:r>
            <w:r w:rsidRPr="006D52A9">
              <w:rPr>
                <w:rFonts w:ascii="Arial" w:hAnsi="Arial" w:cs="Arial"/>
                <w:sz w:val="16"/>
                <w:szCs w:val="16"/>
              </w:rPr>
              <w:br/>
              <w:t>(iii) patient's age at the onset of sign(s) and symptom(s).</w:t>
            </w:r>
          </w:p>
        </w:tc>
        <w:tc>
          <w:tcPr>
            <w:tcW w:w="929" w:type="pct"/>
            <w:tcBorders>
              <w:bottom w:val="single" w:sz="4" w:space="0" w:color="auto"/>
            </w:tcBorders>
            <w:tcMar>
              <w:top w:w="28" w:type="dxa"/>
              <w:left w:w="28" w:type="dxa"/>
              <w:right w:w="57" w:type="dxa"/>
            </w:tcMar>
          </w:tcPr>
          <w:p w14:paraId="160B517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C92AAE" w14:paraId="3597FE03" w14:textId="77777777" w:rsidTr="00FB6D2D">
        <w:tc>
          <w:tcPr>
            <w:tcW w:w="647" w:type="pct"/>
            <w:tcBorders>
              <w:bottom w:val="single" w:sz="4" w:space="0" w:color="auto"/>
            </w:tcBorders>
            <w:tcMar>
              <w:top w:w="28" w:type="dxa"/>
              <w:left w:w="28" w:type="dxa"/>
            </w:tcMar>
          </w:tcPr>
          <w:p w14:paraId="0B013276" w14:textId="77777777" w:rsidR="008F47B8" w:rsidRPr="006D52A9" w:rsidDel="00C92AAE" w:rsidRDefault="008F47B8" w:rsidP="00FB6D2D">
            <w:pPr>
              <w:spacing w:line="240" w:lineRule="auto"/>
              <w:rPr>
                <w:rFonts w:ascii="Arial" w:hAnsi="Arial" w:cs="Arial"/>
                <w:sz w:val="16"/>
                <w:szCs w:val="16"/>
              </w:rPr>
            </w:pPr>
          </w:p>
        </w:tc>
        <w:tc>
          <w:tcPr>
            <w:tcW w:w="283" w:type="pct"/>
            <w:tcBorders>
              <w:bottom w:val="single" w:sz="4" w:space="0" w:color="auto"/>
            </w:tcBorders>
            <w:tcMar>
              <w:top w:w="28" w:type="dxa"/>
              <w:left w:w="28" w:type="dxa"/>
            </w:tcMar>
          </w:tcPr>
          <w:p w14:paraId="47F9993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C11058</w:t>
            </w:r>
          </w:p>
        </w:tc>
        <w:tc>
          <w:tcPr>
            <w:tcW w:w="274" w:type="pct"/>
            <w:tcBorders>
              <w:bottom w:val="single" w:sz="4" w:space="0" w:color="auto"/>
            </w:tcBorders>
            <w:tcMar>
              <w:top w:w="28" w:type="dxa"/>
              <w:left w:w="28" w:type="dxa"/>
            </w:tcMar>
          </w:tcPr>
          <w:p w14:paraId="4D784765" w14:textId="77777777" w:rsidR="008F47B8" w:rsidRPr="006D52A9" w:rsidDel="00C92AAE" w:rsidRDefault="008F47B8" w:rsidP="00FB6D2D">
            <w:pPr>
              <w:spacing w:line="240" w:lineRule="auto"/>
              <w:rPr>
                <w:rFonts w:ascii="Arial" w:hAnsi="Arial" w:cs="Arial"/>
                <w:sz w:val="16"/>
                <w:szCs w:val="16"/>
              </w:rPr>
            </w:pPr>
          </w:p>
        </w:tc>
        <w:tc>
          <w:tcPr>
            <w:tcW w:w="2867" w:type="pct"/>
            <w:tcBorders>
              <w:bottom w:val="single" w:sz="4" w:space="0" w:color="auto"/>
            </w:tcBorders>
            <w:tcMar>
              <w:top w:w="28" w:type="dxa"/>
              <w:left w:w="28" w:type="dxa"/>
            </w:tcMar>
          </w:tcPr>
          <w:p w14:paraId="1A57DB2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Pre</w:t>
            </w:r>
            <w:r w:rsidR="0026100E">
              <w:rPr>
                <w:rFonts w:ascii="Arial" w:hAnsi="Arial" w:cs="Arial"/>
                <w:sz w:val="16"/>
                <w:szCs w:val="16"/>
              </w:rPr>
              <w:noBreakHyphen/>
            </w:r>
            <w:r w:rsidRPr="006D52A9">
              <w:rPr>
                <w:rFonts w:ascii="Arial" w:hAnsi="Arial" w:cs="Arial"/>
                <w:sz w:val="16"/>
                <w:szCs w:val="16"/>
              </w:rPr>
              <w:t>symptomatic spinal muscular atrophy (SMA)</w:t>
            </w:r>
            <w:r w:rsidRPr="006D52A9">
              <w:rPr>
                <w:rFonts w:ascii="Arial" w:hAnsi="Arial" w:cs="Arial"/>
                <w:sz w:val="16"/>
                <w:szCs w:val="16"/>
              </w:rPr>
              <w:br/>
            </w:r>
            <w:r w:rsidRPr="006D52A9">
              <w:rPr>
                <w:rFonts w:ascii="Arial" w:hAnsi="Arial" w:cs="Arial"/>
                <w:sz w:val="16"/>
                <w:szCs w:val="16"/>
              </w:rPr>
              <w:lastRenderedPageBreak/>
              <w:t>Initial treatment of pre</w:t>
            </w:r>
            <w:r w:rsidR="0026100E">
              <w:rPr>
                <w:rFonts w:ascii="Arial" w:hAnsi="Arial" w:cs="Arial"/>
                <w:sz w:val="16"/>
                <w:szCs w:val="16"/>
              </w:rPr>
              <w:noBreakHyphen/>
            </w:r>
            <w:r w:rsidRPr="006D52A9">
              <w:rPr>
                <w:rFonts w:ascii="Arial" w:hAnsi="Arial" w:cs="Arial"/>
                <w:sz w:val="16"/>
                <w:szCs w:val="16"/>
              </w:rPr>
              <w:t xml:space="preserve">symptomatic spinal muscular atrophy (SMA) </w:t>
            </w:r>
            <w:r w:rsidR="0026100E">
              <w:rPr>
                <w:rFonts w:ascii="Arial" w:hAnsi="Arial" w:cs="Arial"/>
                <w:sz w:val="16"/>
                <w:szCs w:val="16"/>
              </w:rPr>
              <w:noBreakHyphen/>
            </w:r>
            <w:r w:rsidRPr="006D52A9">
              <w:rPr>
                <w:rFonts w:ascii="Arial" w:hAnsi="Arial" w:cs="Arial"/>
                <w:sz w:val="16"/>
                <w:szCs w:val="16"/>
              </w:rPr>
              <w:t xml:space="preserve"> Loading doses</w:t>
            </w:r>
            <w:r w:rsidRPr="006D52A9">
              <w:rPr>
                <w:rFonts w:ascii="Arial" w:hAnsi="Arial" w:cs="Arial"/>
                <w:sz w:val="16"/>
                <w:szCs w:val="16"/>
              </w:rPr>
              <w:br/>
              <w:t>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w:t>
            </w:r>
            <w:r w:rsidRPr="006D52A9">
              <w:rPr>
                <w:rFonts w:ascii="Arial" w:hAnsi="Arial" w:cs="Arial"/>
                <w:sz w:val="16"/>
                <w:szCs w:val="16"/>
              </w:rPr>
              <w:br/>
              <w:t>The condition must have genetic confirmation of 5q homozygous deletion of the survival motor neuron 1 (SMN1) gene; OR</w:t>
            </w:r>
            <w:r w:rsidRPr="006D52A9">
              <w:rPr>
                <w:rFonts w:ascii="Arial" w:hAnsi="Arial" w:cs="Arial"/>
                <w:sz w:val="16"/>
                <w:szCs w:val="16"/>
              </w:rPr>
              <w:br/>
              <w:t>The condition must have genetic confirmation of deletion of one copy of the SMN1 gene in addition to a pathogenic/likely pathogenic variant in the remaining single copy of the SMN1 gene; AND</w:t>
            </w:r>
            <w:r w:rsidRPr="006D52A9">
              <w:rPr>
                <w:rFonts w:ascii="Arial" w:hAnsi="Arial" w:cs="Arial"/>
                <w:sz w:val="16"/>
                <w:szCs w:val="16"/>
              </w:rPr>
              <w:br/>
              <w:t>The condition must have genetic confirmation that there are 1 to 2 copies of the survival motor neuron 2 (SMN2) gene; AND</w:t>
            </w:r>
            <w:r w:rsidRPr="006D52A9">
              <w:rPr>
                <w:rFonts w:ascii="Arial" w:hAnsi="Arial" w:cs="Arial"/>
                <w:sz w:val="16"/>
                <w:szCs w:val="16"/>
              </w:rPr>
              <w:br/>
              <w:t>The condition must be pre</w:t>
            </w:r>
            <w:r w:rsidR="0026100E">
              <w:rPr>
                <w:rFonts w:ascii="Arial" w:hAnsi="Arial" w:cs="Arial"/>
                <w:sz w:val="16"/>
                <w:szCs w:val="16"/>
              </w:rPr>
              <w:noBreakHyphen/>
            </w:r>
            <w:r w:rsidRPr="006D52A9">
              <w:rPr>
                <w:rFonts w:ascii="Arial" w:hAnsi="Arial" w:cs="Arial"/>
                <w:sz w:val="16"/>
                <w:szCs w:val="16"/>
              </w:rPr>
              <w:t>symptomatic; AND</w:t>
            </w:r>
            <w:r w:rsidRPr="006D52A9">
              <w:rPr>
                <w:rFonts w:ascii="Arial" w:hAnsi="Arial" w:cs="Arial"/>
                <w:sz w:val="16"/>
                <w:szCs w:val="16"/>
              </w:rPr>
              <w:br/>
              <w:t>The treatment must be given concomitantly with standard of care for this condition; AND</w:t>
            </w:r>
            <w:r w:rsidRPr="006D52A9">
              <w:rPr>
                <w:rFonts w:ascii="Arial" w:hAnsi="Arial" w:cs="Arial"/>
                <w:sz w:val="16"/>
                <w:szCs w:val="16"/>
              </w:rPr>
              <w:br/>
              <w:t>The treatment must not exceed four loading doses (at days 0, 14, 28 and 63) under this restriction.</w:t>
            </w:r>
            <w:r w:rsidRPr="006D52A9">
              <w:rPr>
                <w:rFonts w:ascii="Arial" w:hAnsi="Arial" w:cs="Arial"/>
                <w:sz w:val="16"/>
                <w:szCs w:val="16"/>
              </w:rPr>
              <w:br/>
              <w:t>Patient must be aged under 36 months prior to commencing treatment.</w:t>
            </w:r>
            <w:r w:rsidRPr="006D52A9">
              <w:rPr>
                <w:rFonts w:ascii="Arial" w:hAnsi="Arial" w:cs="Arial"/>
                <w:sz w:val="16"/>
                <w:szCs w:val="16"/>
              </w:rPr>
              <w:br/>
              <w:t>Application for authorisation of initial treatment must be in writing (lodged via postal service or electronic upload) and must include:</w:t>
            </w:r>
            <w:r w:rsidRPr="006D52A9">
              <w:rPr>
                <w:rFonts w:ascii="Arial" w:hAnsi="Arial" w:cs="Arial"/>
                <w:sz w:val="16"/>
                <w:szCs w:val="16"/>
              </w:rPr>
              <w:br/>
              <w:t>(a) a completed authority prescription form; and</w:t>
            </w:r>
            <w:r w:rsidRPr="006D52A9">
              <w:rPr>
                <w:rFonts w:ascii="Arial" w:hAnsi="Arial" w:cs="Arial"/>
                <w:sz w:val="16"/>
                <w:szCs w:val="16"/>
              </w:rPr>
              <w:br/>
              <w:t>(b) a completed Spinal muscular atrophy PBS Authority Application Form which includes the following:</w:t>
            </w:r>
            <w:r w:rsidRPr="006D52A9">
              <w:rPr>
                <w:rFonts w:ascii="Arial" w:hAnsi="Arial" w:cs="Arial"/>
                <w:sz w:val="16"/>
                <w:szCs w:val="16"/>
              </w:rPr>
              <w:br/>
              <w:t>(i) confirmation of genetic diagnosis of SMA; and</w:t>
            </w:r>
            <w:r w:rsidRPr="006D52A9">
              <w:rPr>
                <w:rFonts w:ascii="Arial" w:hAnsi="Arial" w:cs="Arial"/>
                <w:sz w:val="16"/>
                <w:szCs w:val="16"/>
              </w:rPr>
              <w:br/>
              <w:t>(ii) a copy of the results substantiating the number of SMN2 gene copies determined by quantitative polymerase chain reaction (qPCR) or multiple ligation dependent probe amplification (MLPA)</w:t>
            </w:r>
            <w:r w:rsidRPr="006D52A9">
              <w:rPr>
                <w:rFonts w:ascii="Arial" w:hAnsi="Arial" w:cs="Arial"/>
                <w:sz w:val="16"/>
                <w:szCs w:val="16"/>
              </w:rPr>
              <w:br/>
              <w:t>Recognised hospitals in the management of SMA are Queensland Children's Hospital (Brisbane), Royal Children's Hospital Melbourne, Monash Children's Hospital (Melbourne), John Hunter Hospital (Newcastle), Sydney Children's Hospital Randwick, Children's Hospital at Westmead, Adelaide Women and Children's Hospital and Perth Children's Hospital.</w:t>
            </w:r>
          </w:p>
        </w:tc>
        <w:tc>
          <w:tcPr>
            <w:tcW w:w="929" w:type="pct"/>
            <w:tcBorders>
              <w:bottom w:val="single" w:sz="4" w:space="0" w:color="auto"/>
            </w:tcBorders>
            <w:tcMar>
              <w:top w:w="28" w:type="dxa"/>
              <w:left w:w="28" w:type="dxa"/>
              <w:right w:w="57" w:type="dxa"/>
            </w:tcMar>
          </w:tcPr>
          <w:p w14:paraId="377F9C3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Written </w:t>
            </w:r>
            <w:r w:rsidRPr="006D52A9">
              <w:rPr>
                <w:rFonts w:ascii="Arial" w:hAnsi="Arial" w:cs="Arial"/>
                <w:sz w:val="16"/>
                <w:szCs w:val="16"/>
              </w:rPr>
              <w:lastRenderedPageBreak/>
              <w:t>Authority Required procedures</w:t>
            </w:r>
          </w:p>
        </w:tc>
      </w:tr>
      <w:tr w:rsidR="008F47B8" w:rsidRPr="006D52A9" w:rsidDel="00EC55AD" w14:paraId="54F80FDB" w14:textId="77777777" w:rsidTr="00FB6D2D">
        <w:tc>
          <w:tcPr>
            <w:tcW w:w="647" w:type="pct"/>
            <w:tcBorders>
              <w:bottom w:val="single" w:sz="4" w:space="0" w:color="auto"/>
            </w:tcBorders>
            <w:tcMar>
              <w:top w:w="28" w:type="dxa"/>
              <w:left w:w="28" w:type="dxa"/>
            </w:tcMar>
          </w:tcPr>
          <w:p w14:paraId="22F87662" w14:textId="77777777" w:rsidR="008F47B8" w:rsidRPr="006D52A9" w:rsidDel="00EC55A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Ocrelizumab</w:t>
            </w:r>
          </w:p>
        </w:tc>
        <w:tc>
          <w:tcPr>
            <w:tcW w:w="283" w:type="pct"/>
            <w:tcBorders>
              <w:bottom w:val="single" w:sz="4" w:space="0" w:color="auto"/>
            </w:tcBorders>
            <w:tcMar>
              <w:top w:w="28" w:type="dxa"/>
              <w:left w:w="28" w:type="dxa"/>
            </w:tcMar>
          </w:tcPr>
          <w:p w14:paraId="30E2576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C7386</w:t>
            </w:r>
          </w:p>
        </w:tc>
        <w:tc>
          <w:tcPr>
            <w:tcW w:w="274" w:type="pct"/>
            <w:tcBorders>
              <w:bottom w:val="single" w:sz="4" w:space="0" w:color="auto"/>
            </w:tcBorders>
            <w:tcMar>
              <w:top w:w="28" w:type="dxa"/>
              <w:left w:w="28" w:type="dxa"/>
            </w:tcMar>
          </w:tcPr>
          <w:p w14:paraId="76400765"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14:paraId="1168AC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Multiple sclerosis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not show continuing progression of disability while on treatment with this drug;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t>Patient must have demonstrated compliance with, and an ability to tolerate this therapy.</w:t>
            </w:r>
            <w:r w:rsidRPr="006D52A9">
              <w:rPr>
                <w:rFonts w:ascii="Arial" w:eastAsia="SimSun" w:hAnsi="Arial" w:cs="Arial"/>
                <w:sz w:val="16"/>
                <w:szCs w:val="16"/>
                <w:lang w:eastAsia="zh-CN"/>
              </w:rPr>
              <w:br/>
              <w:t>Must be treated by a neurologist.</w:t>
            </w:r>
          </w:p>
        </w:tc>
        <w:tc>
          <w:tcPr>
            <w:tcW w:w="929" w:type="pct"/>
            <w:tcBorders>
              <w:bottom w:val="single" w:sz="4" w:space="0" w:color="auto"/>
            </w:tcBorders>
            <w:tcMar>
              <w:top w:w="28" w:type="dxa"/>
              <w:left w:w="28" w:type="dxa"/>
              <w:right w:w="57" w:type="dxa"/>
            </w:tcMar>
          </w:tcPr>
          <w:p w14:paraId="77C17D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7386</w:t>
            </w:r>
          </w:p>
        </w:tc>
      </w:tr>
      <w:tr w:rsidR="008F47B8" w:rsidRPr="006D52A9" w:rsidDel="00EC55AD" w14:paraId="1AB7C69C" w14:textId="77777777" w:rsidTr="00FB6D2D">
        <w:tc>
          <w:tcPr>
            <w:tcW w:w="647" w:type="pct"/>
            <w:tcBorders>
              <w:bottom w:val="single" w:sz="4" w:space="0" w:color="auto"/>
            </w:tcBorders>
            <w:tcMar>
              <w:top w:w="28" w:type="dxa"/>
              <w:left w:w="28" w:type="dxa"/>
            </w:tcMar>
          </w:tcPr>
          <w:p w14:paraId="4B8530AE"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14:paraId="4FA9612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C7699</w:t>
            </w:r>
          </w:p>
        </w:tc>
        <w:tc>
          <w:tcPr>
            <w:tcW w:w="274" w:type="pct"/>
            <w:tcBorders>
              <w:bottom w:val="single" w:sz="4" w:space="0" w:color="auto"/>
            </w:tcBorders>
            <w:tcMar>
              <w:top w:w="28" w:type="dxa"/>
              <w:left w:w="28" w:type="dxa"/>
            </w:tcMar>
          </w:tcPr>
          <w:p w14:paraId="3001A648"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14:paraId="4A54F51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Multiple sclerosis</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The condition must be diagnosed as clinically definite relapsing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remitting multiple sclerosis by magnetic resonance imaging of the brain and/or spinal cord; OR</w:t>
            </w:r>
            <w:r w:rsidRPr="006D52A9">
              <w:rPr>
                <w:rFonts w:ascii="Arial" w:eastAsia="SimSun" w:hAnsi="Arial" w:cs="Arial"/>
                <w:sz w:val="16"/>
                <w:szCs w:val="16"/>
                <w:lang w:eastAsia="zh-CN"/>
              </w:rPr>
              <w:br/>
              <w:t>The condition must be diagnosed as clinically definite relapsing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remitting multiple sclerosis by accompanying written certification provided by a radiologist that a magnetic resonance imaging scan is contraindicated because of the risk of physical (not psychological) injury to the patient;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experienced at least 2 documented attacks of neurological dysfunction, believed to be due to multiple sclerosis, in the preceding 2 years of commencing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t>Patient must be ambulatory (without assistance or support).</w:t>
            </w:r>
            <w:r w:rsidRPr="006D52A9">
              <w:rPr>
                <w:rFonts w:ascii="Arial" w:eastAsia="SimSun" w:hAnsi="Arial" w:cs="Arial"/>
                <w:sz w:val="16"/>
                <w:szCs w:val="16"/>
                <w:lang w:eastAsia="zh-CN"/>
              </w:rPr>
              <w:br/>
              <w:t>Must be treated by a neurologist.</w:t>
            </w:r>
            <w:r w:rsidRPr="006D52A9">
              <w:rPr>
                <w:rFonts w:ascii="Arial" w:eastAsia="SimSun" w:hAnsi="Arial" w:cs="Arial"/>
                <w:sz w:val="16"/>
                <w:szCs w:val="16"/>
                <w:lang w:eastAsia="zh-CN"/>
              </w:rPr>
              <w:br/>
              <w:t>Where applicable, the date of the magnetic resonance imaging scan must be recorded in the patient's medical records.</w:t>
            </w:r>
          </w:p>
        </w:tc>
        <w:tc>
          <w:tcPr>
            <w:tcW w:w="929" w:type="pct"/>
            <w:tcBorders>
              <w:bottom w:val="single" w:sz="4" w:space="0" w:color="auto"/>
            </w:tcBorders>
            <w:tcMar>
              <w:top w:w="28" w:type="dxa"/>
              <w:left w:w="28" w:type="dxa"/>
              <w:right w:w="57" w:type="dxa"/>
            </w:tcMar>
          </w:tcPr>
          <w:p w14:paraId="384A700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7699</w:t>
            </w:r>
          </w:p>
        </w:tc>
      </w:tr>
      <w:tr w:rsidR="008F47B8" w:rsidRPr="006D52A9" w:rsidDel="00EC55AD" w14:paraId="432DEB82" w14:textId="77777777" w:rsidTr="00FB6D2D">
        <w:tc>
          <w:tcPr>
            <w:tcW w:w="647" w:type="pct"/>
            <w:tcBorders>
              <w:bottom w:val="single" w:sz="4" w:space="0" w:color="auto"/>
            </w:tcBorders>
            <w:tcMar>
              <w:top w:w="28" w:type="dxa"/>
              <w:left w:w="28" w:type="dxa"/>
            </w:tcMar>
          </w:tcPr>
          <w:p w14:paraId="174B05E6"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14:paraId="342DF70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C9523</w:t>
            </w:r>
          </w:p>
        </w:tc>
        <w:tc>
          <w:tcPr>
            <w:tcW w:w="274" w:type="pct"/>
            <w:tcBorders>
              <w:bottom w:val="single" w:sz="4" w:space="0" w:color="auto"/>
            </w:tcBorders>
            <w:tcMar>
              <w:top w:w="28" w:type="dxa"/>
              <w:left w:w="28" w:type="dxa"/>
            </w:tcMar>
          </w:tcPr>
          <w:p w14:paraId="6269F93E"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14:paraId="168BA07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Multiple sclerosis</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The condition must be diagnosed as clinically definite relapsing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remitting multiple sclerosis by magnetic resonance imaging of the brain and/or spinal cord; OR</w:t>
            </w:r>
            <w:r w:rsidRPr="006D52A9">
              <w:rPr>
                <w:rFonts w:ascii="Arial" w:eastAsia="SimSun" w:hAnsi="Arial" w:cs="Arial"/>
                <w:sz w:val="16"/>
                <w:szCs w:val="16"/>
                <w:lang w:eastAsia="zh-CN"/>
              </w:rPr>
              <w:br/>
              <w:t>The condition must be diagnosed as clinically definite relapsing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remitting multiple sclerosis by accompanying written certification provided by a radiologist that a magnetic resonance imaging scan is contraindicated because of the risk of physical (not psychological) injury to the patient;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t>Patient must have experienced at least 2 documented attacks of neurological dysfunction, believed to be due to multiple sclerosis, in the preceding 2 years of commencing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t>Patient must be ambulatory (without assistance or support).</w:t>
            </w:r>
            <w:r w:rsidRPr="006D52A9">
              <w:rPr>
                <w:rFonts w:ascii="Arial" w:eastAsia="SimSun" w:hAnsi="Arial" w:cs="Arial"/>
                <w:sz w:val="16"/>
                <w:szCs w:val="16"/>
                <w:lang w:eastAsia="zh-CN"/>
              </w:rPr>
              <w:br/>
              <w:t>Must be treated by a neurologist.</w:t>
            </w:r>
            <w:r w:rsidRPr="006D52A9">
              <w:rPr>
                <w:rFonts w:ascii="Arial" w:eastAsia="SimSun" w:hAnsi="Arial" w:cs="Arial"/>
                <w:sz w:val="16"/>
                <w:szCs w:val="16"/>
                <w:lang w:eastAsia="zh-CN"/>
              </w:rPr>
              <w:br/>
              <w:t>Where applicable, the date of the magnetic resonance imaging scan must be recorded in the patient's medical records.</w:t>
            </w:r>
          </w:p>
        </w:tc>
        <w:tc>
          <w:tcPr>
            <w:tcW w:w="929" w:type="pct"/>
            <w:tcBorders>
              <w:bottom w:val="single" w:sz="4" w:space="0" w:color="auto"/>
            </w:tcBorders>
            <w:tcMar>
              <w:top w:w="28" w:type="dxa"/>
              <w:left w:w="28" w:type="dxa"/>
              <w:right w:w="57" w:type="dxa"/>
            </w:tcMar>
          </w:tcPr>
          <w:p w14:paraId="05986A2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9523</w:t>
            </w:r>
          </w:p>
        </w:tc>
      </w:tr>
      <w:tr w:rsidR="008F47B8" w:rsidRPr="006D52A9" w:rsidDel="00EC55AD" w14:paraId="040AF6B6" w14:textId="77777777" w:rsidTr="00FB6D2D">
        <w:tc>
          <w:tcPr>
            <w:tcW w:w="647" w:type="pct"/>
            <w:tcBorders>
              <w:bottom w:val="single" w:sz="4" w:space="0" w:color="auto"/>
            </w:tcBorders>
            <w:tcMar>
              <w:top w:w="28" w:type="dxa"/>
              <w:left w:w="28" w:type="dxa"/>
            </w:tcMar>
          </w:tcPr>
          <w:p w14:paraId="53B0A5AE"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tcMar>
              <w:top w:w="28" w:type="dxa"/>
              <w:left w:w="28" w:type="dxa"/>
            </w:tcMar>
          </w:tcPr>
          <w:p w14:paraId="3AD0DAA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C9635</w:t>
            </w:r>
          </w:p>
        </w:tc>
        <w:tc>
          <w:tcPr>
            <w:tcW w:w="274" w:type="pct"/>
            <w:tcBorders>
              <w:bottom w:val="single" w:sz="4" w:space="0" w:color="auto"/>
            </w:tcBorders>
            <w:tcMar>
              <w:top w:w="28" w:type="dxa"/>
              <w:left w:w="28" w:type="dxa"/>
            </w:tcMar>
          </w:tcPr>
          <w:p w14:paraId="79621036" w14:textId="77777777" w:rsidR="008F47B8" w:rsidRPr="006D52A9" w:rsidDel="00EC55AD"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14:paraId="4214E10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Multiple sclerosis</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not show continuing progression of disability while on treatment with this drug;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disease modifying therapy for this condition; AND</w:t>
            </w:r>
            <w:r w:rsidRPr="006D52A9">
              <w:rPr>
                <w:rFonts w:ascii="Arial" w:eastAsia="SimSun" w:hAnsi="Arial" w:cs="Arial"/>
                <w:sz w:val="16"/>
                <w:szCs w:val="16"/>
                <w:lang w:eastAsia="zh-CN"/>
              </w:rPr>
              <w:br/>
              <w:t>Patient must have demonstrated compliance with, and an ability to tolerate this therapy.</w:t>
            </w:r>
            <w:r w:rsidRPr="006D52A9">
              <w:rPr>
                <w:rFonts w:ascii="Arial" w:eastAsia="SimSun" w:hAnsi="Arial" w:cs="Arial"/>
                <w:sz w:val="16"/>
                <w:szCs w:val="16"/>
                <w:lang w:eastAsia="zh-CN"/>
              </w:rPr>
              <w:br/>
              <w:t>Must be treated by a neurologist.</w:t>
            </w:r>
          </w:p>
        </w:tc>
        <w:tc>
          <w:tcPr>
            <w:tcW w:w="929" w:type="pct"/>
            <w:tcBorders>
              <w:bottom w:val="single" w:sz="4" w:space="0" w:color="auto"/>
            </w:tcBorders>
            <w:tcMar>
              <w:top w:w="28" w:type="dxa"/>
              <w:left w:w="28" w:type="dxa"/>
              <w:right w:w="57" w:type="dxa"/>
            </w:tcMar>
          </w:tcPr>
          <w:p w14:paraId="3608A0B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9635</w:t>
            </w:r>
          </w:p>
        </w:tc>
      </w:tr>
      <w:tr w:rsidR="008F47B8" w:rsidRPr="006D52A9" w14:paraId="7DC60FE4" w14:textId="77777777" w:rsidTr="00FB6D2D">
        <w:tc>
          <w:tcPr>
            <w:tcW w:w="647" w:type="pct"/>
            <w:shd w:val="clear" w:color="auto" w:fill="auto"/>
            <w:tcMar>
              <w:top w:w="28" w:type="dxa"/>
              <w:left w:w="28" w:type="dxa"/>
            </w:tcMar>
          </w:tcPr>
          <w:p w14:paraId="33A75040" w14:textId="77777777" w:rsidR="008F47B8" w:rsidRPr="006D52A9" w:rsidRDefault="008F47B8" w:rsidP="00FB6D2D">
            <w:pPr>
              <w:spacing w:line="240" w:lineRule="auto"/>
              <w:rPr>
                <w:rFonts w:ascii="Arial" w:eastAsia="SimSun" w:hAnsi="Arial" w:cs="Arial"/>
                <w:sz w:val="16"/>
                <w:szCs w:val="16"/>
                <w:lang w:eastAsia="zh-CN"/>
              </w:rPr>
            </w:pPr>
            <w:bookmarkStart w:id="186" w:name="CU_397661068"/>
            <w:bookmarkStart w:id="187" w:name="CU_400664007"/>
            <w:bookmarkEnd w:id="186"/>
            <w:bookmarkEnd w:id="187"/>
            <w:r w:rsidRPr="006D52A9">
              <w:rPr>
                <w:rFonts w:ascii="Arial" w:eastAsia="SimSun" w:hAnsi="Arial" w:cs="Arial"/>
                <w:sz w:val="16"/>
                <w:szCs w:val="16"/>
                <w:lang w:eastAsia="zh-CN"/>
              </w:rPr>
              <w:t>Octreotide</w:t>
            </w:r>
          </w:p>
        </w:tc>
        <w:tc>
          <w:tcPr>
            <w:tcW w:w="283" w:type="pct"/>
            <w:shd w:val="clear" w:color="auto" w:fill="auto"/>
            <w:tcMar>
              <w:top w:w="28" w:type="dxa"/>
              <w:left w:w="28" w:type="dxa"/>
            </w:tcMar>
          </w:tcPr>
          <w:p w14:paraId="34BE809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C5901</w:t>
            </w:r>
          </w:p>
        </w:tc>
        <w:tc>
          <w:tcPr>
            <w:tcW w:w="274" w:type="pct"/>
            <w:shd w:val="clear" w:color="auto" w:fill="auto"/>
            <w:tcMar>
              <w:top w:w="28" w:type="dxa"/>
              <w:left w:w="28" w:type="dxa"/>
            </w:tcMar>
          </w:tcPr>
          <w:p w14:paraId="0B5701F0"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23F1FDB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Functional carcinoid tumour</w:t>
            </w:r>
            <w:r w:rsidRPr="006D52A9">
              <w:rPr>
                <w:rFonts w:ascii="Arial" w:eastAsia="SimSun" w:hAnsi="Arial" w:cs="Arial"/>
                <w:sz w:val="16"/>
                <w:szCs w:val="16"/>
                <w:lang w:eastAsia="zh-CN"/>
              </w:rPr>
              <w:br/>
              <w:t>Patient must have achieved symptom control on octreotide immediate release injections, AND</w:t>
            </w:r>
            <w:r w:rsidRPr="006D52A9">
              <w:rPr>
                <w:rFonts w:ascii="Arial" w:eastAsia="SimSun" w:hAnsi="Arial" w:cs="Arial"/>
                <w:sz w:val="16"/>
                <w:szCs w:val="16"/>
                <w:lang w:eastAsia="zh-CN"/>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D52A9">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159E87A2" w14:textId="77777777" w:rsidR="008F47B8" w:rsidRPr="006D52A9" w:rsidRDefault="008F47B8" w:rsidP="00FB6D2D">
            <w:pPr>
              <w:pStyle w:val="mps3-data"/>
            </w:pPr>
            <w:r w:rsidRPr="006D52A9">
              <w:t xml:space="preserve">Compliance with Authority Required procedures </w:t>
            </w:r>
            <w:r w:rsidR="0026100E">
              <w:noBreakHyphen/>
            </w:r>
            <w:r w:rsidRPr="006D52A9">
              <w:t xml:space="preserve"> Streamlined Authority Code 5901</w:t>
            </w:r>
          </w:p>
        </w:tc>
      </w:tr>
      <w:tr w:rsidR="008F47B8" w:rsidRPr="006D52A9" w14:paraId="5E307A98" w14:textId="77777777" w:rsidTr="00FB6D2D">
        <w:tc>
          <w:tcPr>
            <w:tcW w:w="647" w:type="pct"/>
            <w:shd w:val="clear" w:color="auto" w:fill="auto"/>
            <w:tcMar>
              <w:top w:w="28" w:type="dxa"/>
              <w:left w:w="28" w:type="dxa"/>
            </w:tcMar>
          </w:tcPr>
          <w:p w14:paraId="325C86F4"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22B212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C5906</w:t>
            </w:r>
          </w:p>
        </w:tc>
        <w:tc>
          <w:tcPr>
            <w:tcW w:w="274" w:type="pct"/>
            <w:shd w:val="clear" w:color="auto" w:fill="auto"/>
            <w:tcMar>
              <w:top w:w="28" w:type="dxa"/>
              <w:left w:w="28" w:type="dxa"/>
            </w:tcMar>
          </w:tcPr>
          <w:p w14:paraId="247C02B4"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4807D3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Vasoactive intestinal peptide secreting tumour (VIPoma)</w:t>
            </w:r>
            <w:r w:rsidRPr="006D52A9">
              <w:rPr>
                <w:rFonts w:ascii="Arial" w:eastAsia="SimSun" w:hAnsi="Arial" w:cs="Arial"/>
                <w:sz w:val="16"/>
                <w:szCs w:val="16"/>
                <w:lang w:eastAsia="zh-CN"/>
              </w:rPr>
              <w:br/>
              <w:t>Patient must have achieved symptom control on octreotide immediate release injections, AND</w:t>
            </w:r>
            <w:r w:rsidRPr="006D52A9">
              <w:rPr>
                <w:rFonts w:ascii="Arial" w:eastAsia="SimSun" w:hAnsi="Arial" w:cs="Arial"/>
                <w:sz w:val="16"/>
                <w:szCs w:val="16"/>
                <w:lang w:eastAsia="zh-CN"/>
              </w:rPr>
              <w:br/>
              <w:t xml:space="preserve">The treatment must cease if there is failure to produce a clinically significant reduction in the frequency and severity of symptoms after 3 months’ therapy at a dose of 30 mg every 28 days and having allowed </w:t>
            </w:r>
            <w:r w:rsidRPr="006D52A9">
              <w:rPr>
                <w:rFonts w:ascii="Arial" w:eastAsia="SimSun" w:hAnsi="Arial" w:cs="Arial"/>
                <w:sz w:val="16"/>
                <w:szCs w:val="16"/>
                <w:lang w:eastAsia="zh-CN"/>
              </w:rPr>
              <w:lastRenderedPageBreak/>
              <w:t>adequate rescue therapy with octreotide immediate release injections.</w:t>
            </w:r>
            <w:r w:rsidRPr="006D52A9">
              <w:rPr>
                <w:rFonts w:ascii="Arial" w:eastAsia="SimSun" w:hAnsi="Arial" w:cs="Arial"/>
                <w:sz w:val="16"/>
                <w:szCs w:val="16"/>
                <w:lang w:eastAsia="zh-CN"/>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104FBDC9" w14:textId="77777777" w:rsidR="008F47B8" w:rsidRPr="006D52A9" w:rsidRDefault="008F47B8" w:rsidP="00FB6D2D">
            <w:pPr>
              <w:pStyle w:val="mps3-data"/>
            </w:pPr>
            <w:r w:rsidRPr="006D52A9">
              <w:lastRenderedPageBreak/>
              <w:t xml:space="preserve">Compliance with Authority Required procedures </w:t>
            </w:r>
            <w:r w:rsidR="0026100E">
              <w:noBreakHyphen/>
            </w:r>
            <w:r w:rsidRPr="006D52A9">
              <w:t xml:space="preserve"> Streamlined Authority Code 5906</w:t>
            </w:r>
          </w:p>
        </w:tc>
      </w:tr>
      <w:tr w:rsidR="008F47B8" w:rsidRPr="006D52A9" w14:paraId="527B3144" w14:textId="77777777" w:rsidTr="00FB6D2D">
        <w:tc>
          <w:tcPr>
            <w:tcW w:w="647" w:type="pct"/>
            <w:shd w:val="clear" w:color="auto" w:fill="auto"/>
            <w:tcMar>
              <w:top w:w="28" w:type="dxa"/>
              <w:left w:w="28" w:type="dxa"/>
            </w:tcMar>
          </w:tcPr>
          <w:p w14:paraId="04DC0A5D"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08864FE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C6369</w:t>
            </w:r>
          </w:p>
        </w:tc>
        <w:tc>
          <w:tcPr>
            <w:tcW w:w="274" w:type="pct"/>
            <w:shd w:val="clear" w:color="auto" w:fill="auto"/>
            <w:tcMar>
              <w:top w:w="28" w:type="dxa"/>
              <w:left w:w="28" w:type="dxa"/>
            </w:tcMar>
          </w:tcPr>
          <w:p w14:paraId="23B41AA6"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F6F21F4"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Vasoactive intestinal peptide secreting tumour (VIPoma)</w:t>
            </w:r>
          </w:p>
          <w:p w14:paraId="75766AB3"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The condition must be causing intractable symptoms; AND</w:t>
            </w:r>
          </w:p>
          <w:p w14:paraId="5AE845CB"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have experienced on average over 1 week, 3 or more episodes per day of diarrhoea and/or flushing, which persisted despite the use of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histamines,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serotonin agents and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diarrhoea agents; AND</w:t>
            </w:r>
          </w:p>
          <w:p w14:paraId="1BCA64D3"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be one in whom surgery or antineoplastic therapy has failed or is inappropriate; AND</w:t>
            </w:r>
          </w:p>
          <w:p w14:paraId="3E8AB198"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The treatment must cease if there is failure to produce a clinically significant reduction in the frequency and severity of symptoms after 2 months’ therapy.</w:t>
            </w:r>
          </w:p>
          <w:p w14:paraId="69CBDDD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4D0BA30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6369</w:t>
            </w:r>
          </w:p>
        </w:tc>
      </w:tr>
      <w:tr w:rsidR="008F47B8" w:rsidRPr="006D52A9" w14:paraId="7E614AB2" w14:textId="77777777" w:rsidTr="00FB6D2D">
        <w:tc>
          <w:tcPr>
            <w:tcW w:w="647" w:type="pct"/>
            <w:shd w:val="clear" w:color="auto" w:fill="auto"/>
            <w:tcMar>
              <w:top w:w="28" w:type="dxa"/>
              <w:left w:w="28" w:type="dxa"/>
            </w:tcMar>
          </w:tcPr>
          <w:p w14:paraId="5B1DEE18"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2643FA3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C6390</w:t>
            </w:r>
          </w:p>
        </w:tc>
        <w:tc>
          <w:tcPr>
            <w:tcW w:w="274" w:type="pct"/>
            <w:shd w:val="clear" w:color="auto" w:fill="auto"/>
            <w:tcMar>
              <w:top w:w="28" w:type="dxa"/>
              <w:left w:w="28" w:type="dxa"/>
            </w:tcMar>
          </w:tcPr>
          <w:p w14:paraId="18E3E91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A725658"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Functional carcinoid tumour</w:t>
            </w:r>
          </w:p>
          <w:p w14:paraId="0F676E40"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The condition must be causing intractable symptoms; AND</w:t>
            </w:r>
          </w:p>
          <w:p w14:paraId="0DFD3F88"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have experienced on average over 1 week, 3 or more episodes per day of diarrhoea and/or flushing, which persisted despite the use of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histamines,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serotonin agents and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diarrhoea agents; AND</w:t>
            </w:r>
          </w:p>
          <w:p w14:paraId="477AF350"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be one in whom surgery or antineoplastic therapy has failed or is inappropriate; AND</w:t>
            </w:r>
          </w:p>
          <w:p w14:paraId="52D512A9"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The treatment must cease if there is failure to produce a clinically significant reduction in the frequency and severity of symptoms after 2 months’ therapy.</w:t>
            </w:r>
          </w:p>
          <w:p w14:paraId="5339CBF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6B5386A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6390</w:t>
            </w:r>
          </w:p>
        </w:tc>
      </w:tr>
      <w:tr w:rsidR="008F47B8" w:rsidRPr="006D52A9" w14:paraId="670BF48A" w14:textId="77777777" w:rsidTr="00FB6D2D">
        <w:tc>
          <w:tcPr>
            <w:tcW w:w="647" w:type="pct"/>
            <w:shd w:val="clear" w:color="auto" w:fill="auto"/>
            <w:tcMar>
              <w:top w:w="28" w:type="dxa"/>
              <w:left w:w="28" w:type="dxa"/>
            </w:tcMar>
          </w:tcPr>
          <w:p w14:paraId="757B7816"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1CBAD3B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C8161</w:t>
            </w:r>
          </w:p>
        </w:tc>
        <w:tc>
          <w:tcPr>
            <w:tcW w:w="274" w:type="pct"/>
            <w:shd w:val="clear" w:color="auto" w:fill="auto"/>
            <w:tcMar>
              <w:top w:w="28" w:type="dxa"/>
              <w:left w:w="28" w:type="dxa"/>
            </w:tcMar>
          </w:tcPr>
          <w:p w14:paraId="4658C05D"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5D8820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Acromegaly</w:t>
            </w:r>
            <w:r w:rsidRPr="006D52A9">
              <w:rPr>
                <w:rFonts w:ascii="Arial" w:hAnsi="Arial" w:cs="Arial"/>
                <w:sz w:val="16"/>
                <w:szCs w:val="16"/>
              </w:rPr>
              <w:br/>
              <w:t>The condition must be controlled with octreotide immediate release injections; AND</w:t>
            </w:r>
            <w:r w:rsidRPr="006D52A9">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D52A9">
              <w:rPr>
                <w:rFonts w:ascii="Arial" w:hAnsi="Arial" w:cs="Arial"/>
                <w:sz w:val="16"/>
                <w:szCs w:val="16"/>
              </w:rPr>
              <w:br/>
              <w:t>The treatment must cease if IGF1 is not lower after 3 months of treatment; AND</w:t>
            </w:r>
            <w:r w:rsidRPr="006D52A9">
              <w:rPr>
                <w:rFonts w:ascii="Arial" w:hAnsi="Arial" w:cs="Arial"/>
                <w:sz w:val="16"/>
                <w:szCs w:val="16"/>
              </w:rPr>
              <w:br/>
              <w:t>The treatment must not be given concomitantly with PBS</w:t>
            </w:r>
            <w:r w:rsidR="0026100E">
              <w:rPr>
                <w:rFonts w:ascii="Arial" w:hAnsi="Arial" w:cs="Arial"/>
                <w:sz w:val="16"/>
                <w:szCs w:val="16"/>
              </w:rPr>
              <w:noBreakHyphen/>
            </w:r>
            <w:r w:rsidRPr="006D52A9">
              <w:rPr>
                <w:rFonts w:ascii="Arial" w:hAnsi="Arial" w:cs="Arial"/>
                <w:sz w:val="16"/>
                <w:szCs w:val="16"/>
              </w:rPr>
              <w:t>subsidised lanreotide or pegvisomant for this condition.</w:t>
            </w:r>
            <w:r w:rsidRPr="006D52A9">
              <w:rPr>
                <w:rFonts w:ascii="Arial" w:hAnsi="Arial" w:cs="Arial"/>
                <w:sz w:val="16"/>
                <w:szCs w:val="16"/>
              </w:rPr>
              <w:br/>
              <w:t>In a patient treated with radiotherapy, octreotide should be withdrawn every 2 years in the 10 years after radiotherapy for assessment of remission</w:t>
            </w:r>
          </w:p>
        </w:tc>
        <w:tc>
          <w:tcPr>
            <w:tcW w:w="929" w:type="pct"/>
            <w:shd w:val="clear" w:color="auto" w:fill="auto"/>
            <w:tcMar>
              <w:top w:w="28" w:type="dxa"/>
              <w:left w:w="28" w:type="dxa"/>
              <w:right w:w="57" w:type="dxa"/>
            </w:tcMar>
          </w:tcPr>
          <w:p w14:paraId="6E023DD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8161</w:t>
            </w:r>
          </w:p>
        </w:tc>
      </w:tr>
      <w:tr w:rsidR="008F47B8" w:rsidRPr="006D52A9" w14:paraId="3B51A88B" w14:textId="77777777" w:rsidTr="00FB6D2D">
        <w:tc>
          <w:tcPr>
            <w:tcW w:w="647" w:type="pct"/>
            <w:shd w:val="clear" w:color="auto" w:fill="auto"/>
            <w:tcMar>
              <w:top w:w="28" w:type="dxa"/>
              <w:left w:w="28" w:type="dxa"/>
            </w:tcMar>
          </w:tcPr>
          <w:p w14:paraId="50B1473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3C07120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C8165</w:t>
            </w:r>
          </w:p>
        </w:tc>
        <w:tc>
          <w:tcPr>
            <w:tcW w:w="274" w:type="pct"/>
            <w:shd w:val="clear" w:color="auto" w:fill="auto"/>
            <w:tcMar>
              <w:top w:w="28" w:type="dxa"/>
              <w:left w:w="28" w:type="dxa"/>
            </w:tcMar>
          </w:tcPr>
          <w:p w14:paraId="764C7893"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6EBAA94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Acromegaly</w:t>
            </w:r>
            <w:r w:rsidRPr="006D52A9">
              <w:rPr>
                <w:rFonts w:ascii="Arial" w:hAnsi="Arial" w:cs="Arial"/>
                <w:sz w:val="16"/>
                <w:szCs w:val="16"/>
              </w:rPr>
              <w:br/>
              <w:t>The condition must be active; AND</w:t>
            </w:r>
            <w:r w:rsidRPr="006D52A9">
              <w:rPr>
                <w:rFonts w:ascii="Arial" w:hAnsi="Arial" w:cs="Arial"/>
                <w:sz w:val="16"/>
                <w:szCs w:val="16"/>
              </w:rPr>
              <w:br/>
              <w:t>Patient must have persistent elevation of mean growth hormone levels of greater than 2.5 micrograms per litre; AND</w:t>
            </w:r>
            <w:r w:rsidRPr="006D52A9">
              <w:rPr>
                <w:rFonts w:ascii="Arial" w:hAnsi="Arial" w:cs="Arial"/>
                <w:sz w:val="16"/>
                <w:szCs w:val="16"/>
              </w:rPr>
              <w:br/>
              <w:t>The treatment must be after failure of other therapy including dopamine agonists; OR</w:t>
            </w:r>
            <w:r w:rsidRPr="006D52A9">
              <w:rPr>
                <w:rFonts w:ascii="Arial" w:hAnsi="Arial" w:cs="Arial"/>
                <w:sz w:val="16"/>
                <w:szCs w:val="16"/>
              </w:rPr>
              <w:br/>
              <w:t>The treatment must be as interim treatment while awaiting the effects of radiotherapy and where treatment with dopamine agonists has failed; OR</w:t>
            </w:r>
            <w:r w:rsidRPr="006D52A9">
              <w:rPr>
                <w:rFonts w:ascii="Arial" w:hAnsi="Arial" w:cs="Arial"/>
                <w:sz w:val="16"/>
                <w:szCs w:val="16"/>
              </w:rPr>
              <w:br/>
            </w:r>
            <w:r w:rsidRPr="006D52A9">
              <w:rPr>
                <w:rFonts w:ascii="Arial" w:hAnsi="Arial" w:cs="Arial"/>
                <w:sz w:val="16"/>
                <w:szCs w:val="16"/>
              </w:rPr>
              <w:lastRenderedPageBreak/>
              <w:t>The treatment must be in a patient who is unfit for or unwilling to undergo surgery and where radiotherapy is contraindicated; AND</w:t>
            </w:r>
            <w:r w:rsidRPr="006D52A9">
              <w:rPr>
                <w:rFonts w:ascii="Arial" w:hAnsi="Arial" w:cs="Arial"/>
                <w:sz w:val="16"/>
                <w:szCs w:val="16"/>
              </w:rPr>
              <w:br/>
              <w:t>The treatment must cease in a patient treated with radiotherapy if there is biochemical evidence of remission (normal IGF1) after octreotide has been withdrawn for at least 4 weeks; AND</w:t>
            </w:r>
            <w:r w:rsidRPr="006D52A9">
              <w:rPr>
                <w:rFonts w:ascii="Arial" w:hAnsi="Arial" w:cs="Arial"/>
                <w:sz w:val="16"/>
                <w:szCs w:val="16"/>
              </w:rPr>
              <w:br/>
              <w:t>The treatment must cease if IGF1 is not lower after 3 months of treatment at a dose of 100 micrograms 3 time daily; AND</w:t>
            </w:r>
            <w:r w:rsidRPr="006D52A9">
              <w:rPr>
                <w:rFonts w:ascii="Arial" w:hAnsi="Arial" w:cs="Arial"/>
                <w:sz w:val="16"/>
                <w:szCs w:val="16"/>
              </w:rPr>
              <w:br/>
              <w:t>The treatment must not be given concomitantly with PBS</w:t>
            </w:r>
            <w:r w:rsidR="0026100E">
              <w:rPr>
                <w:rFonts w:ascii="Arial" w:hAnsi="Arial" w:cs="Arial"/>
                <w:sz w:val="16"/>
                <w:szCs w:val="16"/>
              </w:rPr>
              <w:noBreakHyphen/>
            </w:r>
            <w:r w:rsidRPr="006D52A9">
              <w:rPr>
                <w:rFonts w:ascii="Arial" w:hAnsi="Arial" w:cs="Arial"/>
                <w:sz w:val="16"/>
                <w:szCs w:val="16"/>
              </w:rPr>
              <w:t>subsidised lanreotide or pegvisomant for this condition.</w:t>
            </w:r>
            <w:r w:rsidRPr="006D52A9">
              <w:rPr>
                <w:rFonts w:ascii="Arial" w:hAnsi="Arial" w:cs="Arial"/>
                <w:sz w:val="16"/>
                <w:szCs w:val="16"/>
              </w:rPr>
              <w:br/>
              <w:t>In a patient treated with radiotherapy, octreotide should be withdrawn every 2 years in the 10 years after radiotherapy for assessment of remission</w:t>
            </w:r>
          </w:p>
        </w:tc>
        <w:tc>
          <w:tcPr>
            <w:tcW w:w="929" w:type="pct"/>
            <w:shd w:val="clear" w:color="auto" w:fill="auto"/>
            <w:tcMar>
              <w:top w:w="28" w:type="dxa"/>
              <w:left w:w="28" w:type="dxa"/>
              <w:right w:w="57" w:type="dxa"/>
            </w:tcMar>
          </w:tcPr>
          <w:p w14:paraId="09FC9E4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8165</w:t>
            </w:r>
          </w:p>
        </w:tc>
      </w:tr>
      <w:tr w:rsidR="008F47B8" w:rsidRPr="006D52A9" w14:paraId="0BDB78FC" w14:textId="77777777" w:rsidTr="00FB6D2D">
        <w:tc>
          <w:tcPr>
            <w:tcW w:w="647" w:type="pct"/>
            <w:shd w:val="clear" w:color="auto" w:fill="auto"/>
            <w:tcMar>
              <w:top w:w="28" w:type="dxa"/>
              <w:left w:w="28" w:type="dxa"/>
            </w:tcMar>
          </w:tcPr>
          <w:p w14:paraId="46BBBBA8"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2B1AE9B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C8197</w:t>
            </w:r>
          </w:p>
        </w:tc>
        <w:tc>
          <w:tcPr>
            <w:tcW w:w="274" w:type="pct"/>
            <w:shd w:val="clear" w:color="auto" w:fill="auto"/>
            <w:tcMar>
              <w:top w:w="28" w:type="dxa"/>
              <w:left w:w="28" w:type="dxa"/>
            </w:tcMar>
          </w:tcPr>
          <w:p w14:paraId="428592A2"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195739A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Acromegaly</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The condition must be controlled with octreotide immediate release injections; AND</w:t>
            </w:r>
            <w:r w:rsidRPr="006D52A9">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D52A9">
              <w:rPr>
                <w:rFonts w:ascii="Arial" w:hAnsi="Arial" w:cs="Arial"/>
                <w:sz w:val="16"/>
                <w:szCs w:val="16"/>
              </w:rPr>
              <w:br/>
              <w:t>The treatment must cease if IGF1 is not lower after 3 months of treatment; AND</w:t>
            </w:r>
            <w:r w:rsidRPr="006D52A9">
              <w:rPr>
                <w:rFonts w:ascii="Arial" w:hAnsi="Arial" w:cs="Arial"/>
                <w:sz w:val="16"/>
                <w:szCs w:val="16"/>
              </w:rPr>
              <w:br/>
              <w:t>The treatment must not be given concomitantly with PBS</w:t>
            </w:r>
            <w:r w:rsidR="0026100E">
              <w:rPr>
                <w:rFonts w:ascii="Arial" w:hAnsi="Arial" w:cs="Arial"/>
                <w:sz w:val="16"/>
                <w:szCs w:val="16"/>
              </w:rPr>
              <w:noBreakHyphen/>
            </w:r>
            <w:r w:rsidRPr="006D52A9">
              <w:rPr>
                <w:rFonts w:ascii="Arial" w:hAnsi="Arial" w:cs="Arial"/>
                <w:sz w:val="16"/>
                <w:szCs w:val="16"/>
              </w:rPr>
              <w:t>subsidised lanreotide or pegvisomant for this condition.</w:t>
            </w:r>
            <w:r w:rsidRPr="006D52A9">
              <w:rPr>
                <w:rFonts w:ascii="Arial" w:hAnsi="Arial" w:cs="Arial"/>
                <w:sz w:val="16"/>
                <w:szCs w:val="16"/>
              </w:rPr>
              <w:br/>
              <w:t>In a patient treated with radiotherapy, octreotide should be withdrawn every 2 years in the 10 years after radiotherapy for assessment of remission</w:t>
            </w:r>
          </w:p>
        </w:tc>
        <w:tc>
          <w:tcPr>
            <w:tcW w:w="929" w:type="pct"/>
            <w:shd w:val="clear" w:color="auto" w:fill="auto"/>
            <w:tcMar>
              <w:top w:w="28" w:type="dxa"/>
              <w:left w:w="28" w:type="dxa"/>
              <w:right w:w="57" w:type="dxa"/>
            </w:tcMar>
          </w:tcPr>
          <w:p w14:paraId="424C801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8197</w:t>
            </w:r>
          </w:p>
        </w:tc>
      </w:tr>
      <w:tr w:rsidR="008F47B8" w:rsidRPr="006D52A9" w14:paraId="3C4ACD82" w14:textId="77777777" w:rsidTr="00FB6D2D">
        <w:tc>
          <w:tcPr>
            <w:tcW w:w="647" w:type="pct"/>
            <w:shd w:val="clear" w:color="auto" w:fill="auto"/>
            <w:tcMar>
              <w:top w:w="28" w:type="dxa"/>
              <w:left w:w="28" w:type="dxa"/>
            </w:tcMar>
          </w:tcPr>
          <w:p w14:paraId="7DBD019B"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56F3A20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C8198</w:t>
            </w:r>
          </w:p>
        </w:tc>
        <w:tc>
          <w:tcPr>
            <w:tcW w:w="274" w:type="pct"/>
            <w:shd w:val="clear" w:color="auto" w:fill="auto"/>
            <w:tcMar>
              <w:top w:w="28" w:type="dxa"/>
              <w:left w:w="28" w:type="dxa"/>
            </w:tcMar>
          </w:tcPr>
          <w:p w14:paraId="5B9ABC3B"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A34024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Vasoactive intestinal peptide secreting tumour (VIPoma)</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have achieved symptom control on octreotide immediate release injections; AND</w:t>
            </w:r>
            <w:r w:rsidRPr="006D52A9">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D52A9">
              <w:rPr>
                <w:rFonts w:ascii="Arial" w:hAnsi="Arial" w:cs="Arial"/>
                <w:sz w:val="16"/>
                <w:szCs w:val="16"/>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1848CF7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8198</w:t>
            </w:r>
          </w:p>
        </w:tc>
      </w:tr>
      <w:tr w:rsidR="008F47B8" w:rsidRPr="006D52A9" w14:paraId="6E1641E6" w14:textId="77777777" w:rsidTr="00FB6D2D">
        <w:tc>
          <w:tcPr>
            <w:tcW w:w="647" w:type="pct"/>
            <w:shd w:val="clear" w:color="auto" w:fill="auto"/>
            <w:tcMar>
              <w:top w:w="28" w:type="dxa"/>
              <w:left w:w="28" w:type="dxa"/>
            </w:tcMar>
          </w:tcPr>
          <w:p w14:paraId="1CBADB8E"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47859C9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C8208</w:t>
            </w:r>
          </w:p>
        </w:tc>
        <w:tc>
          <w:tcPr>
            <w:tcW w:w="274" w:type="pct"/>
            <w:shd w:val="clear" w:color="auto" w:fill="auto"/>
            <w:tcMar>
              <w:top w:w="28" w:type="dxa"/>
              <w:left w:w="28" w:type="dxa"/>
            </w:tcMar>
          </w:tcPr>
          <w:p w14:paraId="6BD4598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C7BEE6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Functional carcinoid tumour</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have achieved symptom control on octreotide immediate release injections; AND</w:t>
            </w:r>
            <w:r w:rsidRPr="006D52A9">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D52A9">
              <w:rPr>
                <w:rFonts w:ascii="Arial" w:hAnsi="Arial" w:cs="Arial"/>
                <w:sz w:val="16"/>
                <w:szCs w:val="16"/>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4976CF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8208</w:t>
            </w:r>
          </w:p>
        </w:tc>
      </w:tr>
      <w:tr w:rsidR="008F47B8" w:rsidRPr="006D52A9" w14:paraId="3724B33B" w14:textId="77777777" w:rsidTr="00FB6D2D">
        <w:tc>
          <w:tcPr>
            <w:tcW w:w="647" w:type="pct"/>
            <w:shd w:val="clear" w:color="auto" w:fill="auto"/>
            <w:tcMar>
              <w:top w:w="28" w:type="dxa"/>
              <w:left w:w="28" w:type="dxa"/>
            </w:tcMar>
          </w:tcPr>
          <w:p w14:paraId="66EB13B5"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635FEA0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C9232</w:t>
            </w:r>
          </w:p>
        </w:tc>
        <w:tc>
          <w:tcPr>
            <w:tcW w:w="274" w:type="pct"/>
            <w:shd w:val="clear" w:color="auto" w:fill="auto"/>
            <w:tcMar>
              <w:top w:w="28" w:type="dxa"/>
              <w:left w:w="28" w:type="dxa"/>
            </w:tcMar>
          </w:tcPr>
          <w:p w14:paraId="71A22898"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4FC3A7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Vasoactive intestinal peptide secreting tumour (VIPoma)</w:t>
            </w:r>
            <w:r w:rsidRPr="006D52A9">
              <w:rPr>
                <w:rFonts w:ascii="Arial" w:hAnsi="Arial" w:cs="Arial"/>
                <w:sz w:val="16"/>
                <w:szCs w:val="16"/>
              </w:rPr>
              <w:br/>
              <w:t>The condition must be causing intractable symptoms; AND</w:t>
            </w:r>
            <w:r w:rsidRPr="006D52A9">
              <w:rPr>
                <w:rFonts w:ascii="Arial" w:hAnsi="Arial" w:cs="Arial"/>
                <w:sz w:val="16"/>
                <w:szCs w:val="16"/>
              </w:rPr>
              <w:br/>
              <w:t xml:space="preserve">Patient must have experienced on average over 1 week, 3 or more episodes per day of diarrhoea and/or </w:t>
            </w:r>
            <w:r w:rsidRPr="006D52A9">
              <w:rPr>
                <w:rFonts w:ascii="Arial" w:hAnsi="Arial" w:cs="Arial"/>
                <w:sz w:val="16"/>
                <w:szCs w:val="16"/>
              </w:rPr>
              <w:lastRenderedPageBreak/>
              <w:t>flushing, which persisted despite the use of anti</w:t>
            </w:r>
            <w:r w:rsidR="0026100E">
              <w:rPr>
                <w:rFonts w:ascii="Arial" w:hAnsi="Arial" w:cs="Arial"/>
                <w:sz w:val="16"/>
                <w:szCs w:val="16"/>
              </w:rPr>
              <w:noBreakHyphen/>
            </w:r>
            <w:r w:rsidRPr="006D52A9">
              <w:rPr>
                <w:rFonts w:ascii="Arial" w:hAnsi="Arial" w:cs="Arial"/>
                <w:sz w:val="16"/>
                <w:szCs w:val="16"/>
              </w:rPr>
              <w:t>histamines, anti</w:t>
            </w:r>
            <w:r w:rsidR="0026100E">
              <w:rPr>
                <w:rFonts w:ascii="Arial" w:hAnsi="Arial" w:cs="Arial"/>
                <w:sz w:val="16"/>
                <w:szCs w:val="16"/>
              </w:rPr>
              <w:noBreakHyphen/>
            </w:r>
            <w:r w:rsidRPr="006D52A9">
              <w:rPr>
                <w:rFonts w:ascii="Arial" w:hAnsi="Arial" w:cs="Arial"/>
                <w:sz w:val="16"/>
                <w:szCs w:val="16"/>
              </w:rPr>
              <w:t>serotonin agents and anti</w:t>
            </w:r>
            <w:r w:rsidR="0026100E">
              <w:rPr>
                <w:rFonts w:ascii="Arial" w:hAnsi="Arial" w:cs="Arial"/>
                <w:sz w:val="16"/>
                <w:szCs w:val="16"/>
              </w:rPr>
              <w:noBreakHyphen/>
            </w:r>
            <w:r w:rsidRPr="006D52A9">
              <w:rPr>
                <w:rFonts w:ascii="Arial" w:hAnsi="Arial" w:cs="Arial"/>
                <w:sz w:val="16"/>
                <w:szCs w:val="16"/>
              </w:rPr>
              <w:t>diarrhoea agents; AND</w:t>
            </w:r>
            <w:r w:rsidRPr="006D52A9">
              <w:rPr>
                <w:rFonts w:ascii="Arial" w:hAnsi="Arial" w:cs="Arial"/>
                <w:sz w:val="16"/>
                <w:szCs w:val="16"/>
              </w:rPr>
              <w:br/>
              <w:t>Patient must be one in whom surgery or antineoplastic therapy has failed or is inappropriate; AND</w:t>
            </w:r>
            <w:r w:rsidRPr="006D52A9">
              <w:rPr>
                <w:rFonts w:ascii="Arial" w:hAnsi="Arial" w:cs="Arial"/>
                <w:sz w:val="16"/>
                <w:szCs w:val="16"/>
              </w:rPr>
              <w:br/>
              <w:t>The treatment must cease if there is failure to produce a clinically significant reduction in the frequency and severity of symptoms after 2 months’ therapy.</w:t>
            </w:r>
            <w:r w:rsidRPr="006D52A9">
              <w:rPr>
                <w:rFonts w:ascii="Arial" w:hAnsi="Arial" w:cs="Arial"/>
                <w:sz w:val="16"/>
                <w:szCs w:val="16"/>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0B5AD83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w:t>
            </w:r>
            <w:r w:rsidRPr="006D52A9">
              <w:rPr>
                <w:rFonts w:ascii="Arial" w:hAnsi="Arial" w:cs="Arial"/>
                <w:sz w:val="16"/>
                <w:szCs w:val="16"/>
              </w:rPr>
              <w:lastRenderedPageBreak/>
              <w:t>Authority Code 9232</w:t>
            </w:r>
          </w:p>
        </w:tc>
      </w:tr>
      <w:tr w:rsidR="008F47B8" w:rsidRPr="006D52A9" w14:paraId="34D0ED08" w14:textId="77777777" w:rsidTr="00FB6D2D">
        <w:tc>
          <w:tcPr>
            <w:tcW w:w="647" w:type="pct"/>
            <w:shd w:val="clear" w:color="auto" w:fill="auto"/>
            <w:tcMar>
              <w:top w:w="28" w:type="dxa"/>
              <w:left w:w="28" w:type="dxa"/>
            </w:tcMar>
          </w:tcPr>
          <w:p w14:paraId="15FCB9B3" w14:textId="77777777" w:rsidR="008F47B8" w:rsidRPr="006D52A9" w:rsidRDefault="008F47B8" w:rsidP="00FB6D2D">
            <w:pPr>
              <w:pStyle w:val="Tabletext"/>
              <w:tabs>
                <w:tab w:val="left" w:pos="958"/>
              </w:tabs>
              <w:rPr>
                <w:rFonts w:cs="Arial"/>
                <w:szCs w:val="16"/>
              </w:rPr>
            </w:pPr>
          </w:p>
        </w:tc>
        <w:tc>
          <w:tcPr>
            <w:tcW w:w="283" w:type="pct"/>
            <w:shd w:val="clear" w:color="auto" w:fill="auto"/>
            <w:tcMar>
              <w:top w:w="28" w:type="dxa"/>
              <w:left w:w="28" w:type="dxa"/>
            </w:tcMar>
          </w:tcPr>
          <w:p w14:paraId="1B6CC4A6" w14:textId="77777777" w:rsidR="008F47B8" w:rsidRPr="006D52A9" w:rsidRDefault="008F47B8" w:rsidP="00FB6D2D">
            <w:pPr>
              <w:spacing w:line="240" w:lineRule="auto"/>
              <w:rPr>
                <w:rFonts w:cs="Arial"/>
                <w:szCs w:val="16"/>
              </w:rPr>
            </w:pPr>
            <w:r w:rsidRPr="006D52A9">
              <w:rPr>
                <w:rFonts w:ascii="Arial" w:hAnsi="Arial" w:cs="Arial"/>
                <w:sz w:val="16"/>
                <w:szCs w:val="16"/>
              </w:rPr>
              <w:t>C9233</w:t>
            </w:r>
          </w:p>
        </w:tc>
        <w:tc>
          <w:tcPr>
            <w:tcW w:w="274" w:type="pct"/>
            <w:shd w:val="clear" w:color="auto" w:fill="auto"/>
            <w:tcMar>
              <w:top w:w="28" w:type="dxa"/>
              <w:left w:w="28" w:type="dxa"/>
            </w:tcMar>
          </w:tcPr>
          <w:p w14:paraId="36C0C5C2" w14:textId="77777777" w:rsidR="008F47B8" w:rsidRPr="006D52A9" w:rsidRDefault="008F47B8" w:rsidP="00FB6D2D">
            <w:pPr>
              <w:spacing w:before="60" w:after="60"/>
              <w:rPr>
                <w:rFonts w:ascii="Arial" w:hAnsi="Arial" w:cs="Arial"/>
                <w:sz w:val="16"/>
                <w:szCs w:val="16"/>
                <w:lang w:eastAsia="en-AU"/>
              </w:rPr>
            </w:pPr>
          </w:p>
        </w:tc>
        <w:tc>
          <w:tcPr>
            <w:tcW w:w="2867" w:type="pct"/>
            <w:shd w:val="clear" w:color="auto" w:fill="auto"/>
            <w:tcMar>
              <w:top w:w="28" w:type="dxa"/>
              <w:left w:w="28" w:type="dxa"/>
            </w:tcMar>
          </w:tcPr>
          <w:p w14:paraId="1C6F78D3" w14:textId="77777777" w:rsidR="008F47B8" w:rsidRPr="006D52A9" w:rsidRDefault="008F47B8" w:rsidP="00FB6D2D">
            <w:pPr>
              <w:pStyle w:val="mps3-data"/>
              <w:rPr>
                <w:szCs w:val="16"/>
              </w:rPr>
            </w:pPr>
            <w:r w:rsidRPr="006D52A9">
              <w:rPr>
                <w:szCs w:val="16"/>
              </w:rPr>
              <w:t>Acromegaly</w:t>
            </w:r>
            <w:r w:rsidRPr="006D52A9">
              <w:rPr>
                <w:szCs w:val="16"/>
              </w:rPr>
              <w:br/>
              <w:t>The condition must be active; AND</w:t>
            </w:r>
            <w:r w:rsidRPr="006D52A9">
              <w:rPr>
                <w:szCs w:val="16"/>
              </w:rPr>
              <w:br/>
              <w:t>Patient must have persistent elevation of mean growth hormone levels of greater than 2.5 micrograms per litre; AND</w:t>
            </w:r>
            <w:r w:rsidRPr="006D52A9">
              <w:rPr>
                <w:szCs w:val="16"/>
              </w:rPr>
              <w:br/>
              <w:t>The treatment must be after failure of other therapy including dopamine agonists; OR</w:t>
            </w:r>
            <w:r w:rsidRPr="006D52A9">
              <w:rPr>
                <w:szCs w:val="16"/>
              </w:rPr>
              <w:br/>
              <w:t>The treatment must be as interim treatment while awaiting the effects of radiotherapy and where treatment with dopamine agonists has failed; OR</w:t>
            </w:r>
            <w:r w:rsidRPr="006D52A9">
              <w:rPr>
                <w:szCs w:val="16"/>
              </w:rPr>
              <w:br/>
              <w:t>The treatment must be in a patient who is unfit for or unwilling to undergo surgery and where radiotherapy is contraindicated; AND</w:t>
            </w:r>
            <w:r w:rsidRPr="006D52A9">
              <w:rPr>
                <w:szCs w:val="16"/>
              </w:rPr>
              <w:br/>
              <w:t>The treatment must cease in a patient treated with radiotherapy if there is biochemical evidence of remission (normal IGF1) after octreotide has been withdrawn for at least 4 weeks; AND</w:t>
            </w:r>
            <w:r w:rsidRPr="006D52A9">
              <w:rPr>
                <w:szCs w:val="16"/>
              </w:rPr>
              <w:br/>
              <w:t>The treatment must cease if IGF1 is not lower after 3 months of treatment at a dose of 100 micrograms</w:t>
            </w:r>
            <w:r w:rsidRPr="006D52A9">
              <w:rPr>
                <w:strike/>
                <w:szCs w:val="16"/>
              </w:rPr>
              <w:t xml:space="preserve"> </w:t>
            </w:r>
            <w:r w:rsidRPr="006D52A9">
              <w:rPr>
                <w:szCs w:val="16"/>
              </w:rPr>
              <w:t>3 times daily; AND</w:t>
            </w:r>
            <w:r w:rsidRPr="006D52A9">
              <w:rPr>
                <w:szCs w:val="16"/>
              </w:rPr>
              <w:br/>
              <w:t>The treatment must not be given concomitantly with PBS</w:t>
            </w:r>
            <w:r w:rsidR="0026100E">
              <w:rPr>
                <w:szCs w:val="16"/>
              </w:rPr>
              <w:noBreakHyphen/>
            </w:r>
            <w:r w:rsidRPr="006D52A9">
              <w:rPr>
                <w:szCs w:val="16"/>
              </w:rPr>
              <w:t>subsidised lanreotide or pegvisomant for this condition.</w:t>
            </w:r>
            <w:r w:rsidRPr="006D52A9">
              <w:rPr>
                <w:szCs w:val="16"/>
              </w:rPr>
              <w:br/>
              <w:t>In a patient treated with radiotherapy, octreotide should be withdrawn every 2 years in the 10 years after radiotherapy for assessment of remission</w:t>
            </w:r>
          </w:p>
        </w:tc>
        <w:tc>
          <w:tcPr>
            <w:tcW w:w="929" w:type="pct"/>
            <w:shd w:val="clear" w:color="auto" w:fill="auto"/>
            <w:tcMar>
              <w:top w:w="28" w:type="dxa"/>
              <w:left w:w="28" w:type="dxa"/>
              <w:right w:w="57" w:type="dxa"/>
            </w:tcMar>
          </w:tcPr>
          <w:p w14:paraId="7B7AE5DB" w14:textId="77777777" w:rsidR="008F47B8" w:rsidRPr="006D52A9" w:rsidRDefault="008F47B8" w:rsidP="00FB6D2D">
            <w:pPr>
              <w:spacing w:line="240" w:lineRule="auto"/>
              <w:rPr>
                <w:rFonts w:cs="Arial"/>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9233</w:t>
            </w:r>
          </w:p>
        </w:tc>
      </w:tr>
      <w:tr w:rsidR="008F47B8" w:rsidRPr="006D52A9" w14:paraId="54AE5367" w14:textId="77777777" w:rsidTr="00FB6D2D">
        <w:tc>
          <w:tcPr>
            <w:tcW w:w="647" w:type="pct"/>
            <w:shd w:val="clear" w:color="auto" w:fill="auto"/>
            <w:tcMar>
              <w:top w:w="28" w:type="dxa"/>
              <w:left w:w="28" w:type="dxa"/>
            </w:tcMar>
          </w:tcPr>
          <w:p w14:paraId="4E222A17"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0FB59A9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C9262</w:t>
            </w:r>
          </w:p>
        </w:tc>
        <w:tc>
          <w:tcPr>
            <w:tcW w:w="274" w:type="pct"/>
            <w:shd w:val="clear" w:color="auto" w:fill="auto"/>
            <w:tcMar>
              <w:top w:w="28" w:type="dxa"/>
              <w:left w:w="28" w:type="dxa"/>
            </w:tcMar>
          </w:tcPr>
          <w:p w14:paraId="44F7307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A0C5C1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Acromegaly</w:t>
            </w:r>
            <w:r w:rsidRPr="006D52A9">
              <w:rPr>
                <w:rFonts w:ascii="Arial" w:hAnsi="Arial" w:cs="Arial"/>
                <w:sz w:val="16"/>
                <w:szCs w:val="16"/>
              </w:rPr>
              <w:br/>
              <w:t>The condition must be controlled with octreotide immediate release injections; AND</w:t>
            </w:r>
            <w:r w:rsidRPr="006D52A9">
              <w:rPr>
                <w:rFonts w:ascii="Arial" w:hAnsi="Arial" w:cs="Arial"/>
                <w:sz w:val="16"/>
                <w:szCs w:val="16"/>
              </w:rPr>
              <w:br/>
              <w:t>The treatment must cease in a patient treated with radiotherapy if there is biochemical evidence of remission (normal IGF1) after octreotide has been withdrawn for at least 4 weeks (8 weeks after the last dose); AND</w:t>
            </w:r>
            <w:r w:rsidRPr="006D52A9">
              <w:rPr>
                <w:rFonts w:ascii="Arial" w:hAnsi="Arial" w:cs="Arial"/>
                <w:sz w:val="16"/>
                <w:szCs w:val="16"/>
              </w:rPr>
              <w:br/>
              <w:t>The treatment must cease if IGF1 is not lower after 3 months of treatment; AND</w:t>
            </w:r>
            <w:r w:rsidRPr="006D52A9">
              <w:rPr>
                <w:rFonts w:ascii="Arial" w:hAnsi="Arial" w:cs="Arial"/>
                <w:sz w:val="16"/>
                <w:szCs w:val="16"/>
              </w:rPr>
              <w:br/>
              <w:t>The treatment must not be given concomitantly with PBS</w:t>
            </w:r>
            <w:r w:rsidR="0026100E">
              <w:rPr>
                <w:rFonts w:ascii="Arial" w:hAnsi="Arial" w:cs="Arial"/>
                <w:sz w:val="16"/>
                <w:szCs w:val="16"/>
              </w:rPr>
              <w:noBreakHyphen/>
            </w:r>
            <w:r w:rsidRPr="006D52A9">
              <w:rPr>
                <w:rFonts w:ascii="Arial" w:hAnsi="Arial" w:cs="Arial"/>
                <w:sz w:val="16"/>
                <w:szCs w:val="16"/>
              </w:rPr>
              <w:t>subsidised lanreotide or pegvisomant for this condition.</w:t>
            </w:r>
            <w:r w:rsidRPr="006D52A9">
              <w:rPr>
                <w:rFonts w:ascii="Arial" w:hAnsi="Arial" w:cs="Arial"/>
                <w:sz w:val="16"/>
                <w:szCs w:val="16"/>
              </w:rPr>
              <w:br/>
              <w:t>In a patient treated with radiotherapy, octreotide should be withdrawn every 2 years in the 10 years after radiotherapy for assessment of remission</w:t>
            </w:r>
          </w:p>
        </w:tc>
        <w:tc>
          <w:tcPr>
            <w:tcW w:w="929" w:type="pct"/>
            <w:shd w:val="clear" w:color="auto" w:fill="auto"/>
            <w:tcMar>
              <w:top w:w="28" w:type="dxa"/>
              <w:left w:w="28" w:type="dxa"/>
              <w:right w:w="57" w:type="dxa"/>
            </w:tcMar>
          </w:tcPr>
          <w:p w14:paraId="2735C40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9262</w:t>
            </w:r>
          </w:p>
        </w:tc>
      </w:tr>
      <w:tr w:rsidR="008F47B8" w:rsidRPr="006D52A9" w14:paraId="13DC715C" w14:textId="77777777" w:rsidTr="00FB6D2D">
        <w:tc>
          <w:tcPr>
            <w:tcW w:w="647" w:type="pct"/>
            <w:shd w:val="clear" w:color="auto" w:fill="auto"/>
            <w:tcMar>
              <w:top w:w="28" w:type="dxa"/>
              <w:left w:w="28" w:type="dxa"/>
            </w:tcMar>
          </w:tcPr>
          <w:p w14:paraId="3EC270DB"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4470649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C9288</w:t>
            </w:r>
          </w:p>
        </w:tc>
        <w:tc>
          <w:tcPr>
            <w:tcW w:w="274" w:type="pct"/>
            <w:shd w:val="clear" w:color="auto" w:fill="auto"/>
            <w:tcMar>
              <w:top w:w="28" w:type="dxa"/>
              <w:left w:w="28" w:type="dxa"/>
            </w:tcMar>
          </w:tcPr>
          <w:p w14:paraId="26D0B9D2"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30757E8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Vasoactive intestinal peptide secreting tumour (VIPoma)</w:t>
            </w:r>
            <w:r w:rsidRPr="006D52A9">
              <w:rPr>
                <w:rFonts w:ascii="Arial" w:hAnsi="Arial" w:cs="Arial"/>
                <w:sz w:val="16"/>
                <w:szCs w:val="16"/>
              </w:rPr>
              <w:br/>
              <w:t>Patient must have achieved symptom control on octreotide immediate release injections; AND</w:t>
            </w:r>
            <w:r w:rsidRPr="006D52A9">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D52A9">
              <w:rPr>
                <w:rFonts w:ascii="Arial" w:hAnsi="Arial" w:cs="Arial"/>
                <w:sz w:val="16"/>
                <w:szCs w:val="16"/>
              </w:rPr>
              <w:br/>
              <w:t xml:space="preserve">Dosage and tolerance to the drug should be assessed regularly and the dosage should be titrated slowly </w:t>
            </w:r>
            <w:r w:rsidRPr="006D52A9">
              <w:rPr>
                <w:rFonts w:ascii="Arial" w:hAnsi="Arial" w:cs="Arial"/>
                <w:sz w:val="16"/>
                <w:szCs w:val="16"/>
              </w:rPr>
              <w:lastRenderedPageBreak/>
              <w:t>downwards to determine the minimum effective dose.</w:t>
            </w:r>
          </w:p>
        </w:tc>
        <w:tc>
          <w:tcPr>
            <w:tcW w:w="929" w:type="pct"/>
            <w:shd w:val="clear" w:color="auto" w:fill="auto"/>
            <w:tcMar>
              <w:top w:w="28" w:type="dxa"/>
              <w:left w:w="28" w:type="dxa"/>
              <w:right w:w="57" w:type="dxa"/>
            </w:tcMar>
          </w:tcPr>
          <w:p w14:paraId="26833D8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9288</w:t>
            </w:r>
          </w:p>
        </w:tc>
      </w:tr>
      <w:tr w:rsidR="008F47B8" w:rsidRPr="006D52A9" w14:paraId="19B65D6E" w14:textId="77777777" w:rsidTr="00FB6D2D">
        <w:tc>
          <w:tcPr>
            <w:tcW w:w="647" w:type="pct"/>
            <w:shd w:val="clear" w:color="auto" w:fill="auto"/>
            <w:tcMar>
              <w:top w:w="28" w:type="dxa"/>
              <w:left w:w="28" w:type="dxa"/>
            </w:tcMar>
          </w:tcPr>
          <w:p w14:paraId="0AF59FEE" w14:textId="77777777" w:rsidR="008F47B8" w:rsidRPr="006D52A9"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0C05283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C9289</w:t>
            </w:r>
          </w:p>
        </w:tc>
        <w:tc>
          <w:tcPr>
            <w:tcW w:w="274" w:type="pct"/>
            <w:shd w:val="clear" w:color="auto" w:fill="auto"/>
            <w:tcMar>
              <w:top w:w="28" w:type="dxa"/>
              <w:left w:w="28" w:type="dxa"/>
            </w:tcMar>
          </w:tcPr>
          <w:p w14:paraId="3CE43C51" w14:textId="77777777" w:rsidR="008F47B8" w:rsidRPr="006D52A9"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1AEAB8B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Functional carcinoid tumour</w:t>
            </w:r>
            <w:r w:rsidRPr="006D52A9">
              <w:rPr>
                <w:rFonts w:ascii="Arial" w:hAnsi="Arial" w:cs="Arial"/>
                <w:sz w:val="16"/>
                <w:szCs w:val="16"/>
              </w:rPr>
              <w:br/>
              <w:t>The condition must be causing intractable symptoms; AND</w:t>
            </w:r>
            <w:r w:rsidRPr="006D52A9">
              <w:rPr>
                <w:rFonts w:ascii="Arial" w:hAnsi="Arial" w:cs="Arial"/>
                <w:sz w:val="16"/>
                <w:szCs w:val="16"/>
              </w:rPr>
              <w:br/>
              <w:t>Patient must have experienced on average over 1 week, 3 or more episodes per day of diarrhoea and/or flushing, which persisted despite the use of anti</w:t>
            </w:r>
            <w:r w:rsidR="0026100E">
              <w:rPr>
                <w:rFonts w:ascii="Arial" w:hAnsi="Arial" w:cs="Arial"/>
                <w:sz w:val="16"/>
                <w:szCs w:val="16"/>
              </w:rPr>
              <w:noBreakHyphen/>
            </w:r>
            <w:r w:rsidRPr="006D52A9">
              <w:rPr>
                <w:rFonts w:ascii="Arial" w:hAnsi="Arial" w:cs="Arial"/>
                <w:sz w:val="16"/>
                <w:szCs w:val="16"/>
              </w:rPr>
              <w:t>histamines, anti</w:t>
            </w:r>
            <w:r w:rsidR="0026100E">
              <w:rPr>
                <w:rFonts w:ascii="Arial" w:hAnsi="Arial" w:cs="Arial"/>
                <w:sz w:val="16"/>
                <w:szCs w:val="16"/>
              </w:rPr>
              <w:noBreakHyphen/>
            </w:r>
            <w:r w:rsidRPr="006D52A9">
              <w:rPr>
                <w:rFonts w:ascii="Arial" w:hAnsi="Arial" w:cs="Arial"/>
                <w:sz w:val="16"/>
                <w:szCs w:val="16"/>
              </w:rPr>
              <w:t>serotonin agents and anti</w:t>
            </w:r>
            <w:r w:rsidR="0026100E">
              <w:rPr>
                <w:rFonts w:ascii="Arial" w:hAnsi="Arial" w:cs="Arial"/>
                <w:sz w:val="16"/>
                <w:szCs w:val="16"/>
              </w:rPr>
              <w:noBreakHyphen/>
            </w:r>
            <w:r w:rsidRPr="006D52A9">
              <w:rPr>
                <w:rFonts w:ascii="Arial" w:hAnsi="Arial" w:cs="Arial"/>
                <w:sz w:val="16"/>
                <w:szCs w:val="16"/>
              </w:rPr>
              <w:t>diarrhoea agents; AND</w:t>
            </w:r>
            <w:r w:rsidRPr="006D52A9">
              <w:rPr>
                <w:rFonts w:ascii="Arial" w:hAnsi="Arial" w:cs="Arial"/>
                <w:sz w:val="16"/>
                <w:szCs w:val="16"/>
              </w:rPr>
              <w:br/>
              <w:t>Patient must be one in whom surgery or antineoplastic therapy has failed or is inappropriate; AND</w:t>
            </w:r>
            <w:r w:rsidRPr="006D52A9">
              <w:rPr>
                <w:rFonts w:ascii="Arial" w:hAnsi="Arial" w:cs="Arial"/>
                <w:sz w:val="16"/>
                <w:szCs w:val="16"/>
              </w:rPr>
              <w:br/>
              <w:t>The treatment must cease if there is failure to produce a clinically significant reduction in the frequency and severity of symptoms after 2 months’ therapy.</w:t>
            </w:r>
            <w:r w:rsidRPr="006D52A9">
              <w:rPr>
                <w:rFonts w:ascii="Arial" w:hAnsi="Arial" w:cs="Arial"/>
                <w:sz w:val="16"/>
                <w:szCs w:val="16"/>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39BCC3F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9289</w:t>
            </w:r>
          </w:p>
        </w:tc>
      </w:tr>
      <w:tr w:rsidR="008F47B8" w:rsidRPr="006D52A9" w14:paraId="2568CF2B" w14:textId="77777777" w:rsidTr="00FB6D2D">
        <w:tc>
          <w:tcPr>
            <w:tcW w:w="647" w:type="pct"/>
            <w:shd w:val="clear" w:color="auto" w:fill="auto"/>
            <w:tcMar>
              <w:top w:w="28" w:type="dxa"/>
              <w:left w:w="28" w:type="dxa"/>
            </w:tcMar>
          </w:tcPr>
          <w:p w14:paraId="042B0D1F" w14:textId="77777777" w:rsidR="008F47B8" w:rsidRPr="006D52A9"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02A30EA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C9313</w:t>
            </w:r>
          </w:p>
        </w:tc>
        <w:tc>
          <w:tcPr>
            <w:tcW w:w="274" w:type="pct"/>
            <w:shd w:val="clear" w:color="auto" w:fill="auto"/>
            <w:tcMar>
              <w:top w:w="28" w:type="dxa"/>
              <w:left w:w="28" w:type="dxa"/>
            </w:tcMar>
          </w:tcPr>
          <w:p w14:paraId="447676A2" w14:textId="77777777" w:rsidR="008F47B8" w:rsidRPr="006D52A9" w:rsidRDefault="008F47B8" w:rsidP="00FB6D2D">
            <w:pPr>
              <w:spacing w:line="240" w:lineRule="auto"/>
              <w:rPr>
                <w:rFonts w:ascii="Arial" w:hAnsi="Arial" w:cs="Arial"/>
                <w:sz w:val="16"/>
                <w:szCs w:val="16"/>
              </w:rPr>
            </w:pPr>
          </w:p>
        </w:tc>
        <w:tc>
          <w:tcPr>
            <w:tcW w:w="2867" w:type="pct"/>
            <w:shd w:val="clear" w:color="auto" w:fill="auto"/>
            <w:tcMar>
              <w:top w:w="28" w:type="dxa"/>
              <w:left w:w="28" w:type="dxa"/>
            </w:tcMar>
          </w:tcPr>
          <w:p w14:paraId="0FB20DC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Functional carcinoid tumour</w:t>
            </w:r>
            <w:r w:rsidRPr="006D52A9">
              <w:rPr>
                <w:rFonts w:ascii="Arial" w:hAnsi="Arial" w:cs="Arial"/>
                <w:sz w:val="16"/>
                <w:szCs w:val="16"/>
              </w:rPr>
              <w:br/>
              <w:t>Patient must have achieved symptom control on octreotide immediate release injections; AND</w:t>
            </w:r>
            <w:r w:rsidRPr="006D52A9">
              <w:rPr>
                <w:rFonts w:ascii="Arial" w:hAnsi="Arial" w:cs="Arial"/>
                <w:sz w:val="16"/>
                <w:szCs w:val="16"/>
              </w:rPr>
              <w:br/>
              <w:t>The treatment must cease if there is failure to produce a clinically significant reduction in the frequency and severity of symptoms after 3 months therapy at a dose of 30 mg every 28 days and having allowed adequate rescue therapy with octreotide immediate release injections.</w:t>
            </w:r>
            <w:r w:rsidRPr="006D52A9">
              <w:rPr>
                <w:rFonts w:ascii="Arial" w:hAnsi="Arial" w:cs="Arial"/>
                <w:sz w:val="16"/>
                <w:szCs w:val="16"/>
              </w:rPr>
              <w:br/>
              <w:t>Dosage and tolerance to the drug should be assessed regularly and the dosage should be titrated slowly downwards to determine the minimum effective dose.</w:t>
            </w:r>
          </w:p>
        </w:tc>
        <w:tc>
          <w:tcPr>
            <w:tcW w:w="929" w:type="pct"/>
            <w:shd w:val="clear" w:color="auto" w:fill="auto"/>
            <w:tcMar>
              <w:top w:w="28" w:type="dxa"/>
              <w:left w:w="28" w:type="dxa"/>
              <w:right w:w="57" w:type="dxa"/>
            </w:tcMar>
          </w:tcPr>
          <w:p w14:paraId="3CC67AF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9313</w:t>
            </w:r>
          </w:p>
        </w:tc>
      </w:tr>
      <w:tr w:rsidR="008F47B8" w:rsidRPr="006D52A9" w14:paraId="77B6CA25" w14:textId="77777777" w:rsidTr="00FB6D2D">
        <w:tc>
          <w:tcPr>
            <w:tcW w:w="647" w:type="pct"/>
            <w:shd w:val="clear" w:color="auto" w:fill="auto"/>
            <w:tcMar>
              <w:top w:w="28" w:type="dxa"/>
              <w:left w:w="28" w:type="dxa"/>
            </w:tcMar>
          </w:tcPr>
          <w:p w14:paraId="40E0723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7D8BBB9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C10061</w:t>
            </w:r>
          </w:p>
        </w:tc>
        <w:tc>
          <w:tcPr>
            <w:tcW w:w="274" w:type="pct"/>
            <w:shd w:val="clear" w:color="auto" w:fill="auto"/>
            <w:tcMar>
              <w:top w:w="28" w:type="dxa"/>
              <w:left w:w="28" w:type="dxa"/>
            </w:tcMar>
          </w:tcPr>
          <w:p w14:paraId="74A98957"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2706D30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Non</w:t>
            </w:r>
            <w:r w:rsidR="0026100E">
              <w:rPr>
                <w:rFonts w:ascii="Arial" w:hAnsi="Arial" w:cs="Arial"/>
                <w:sz w:val="16"/>
                <w:szCs w:val="16"/>
              </w:rPr>
              <w:noBreakHyphen/>
            </w:r>
            <w:r w:rsidRPr="006D52A9">
              <w:rPr>
                <w:rFonts w:ascii="Arial" w:hAnsi="Arial" w:cs="Arial"/>
                <w:sz w:val="16"/>
                <w:szCs w:val="16"/>
              </w:rPr>
              <w:t>functional gastroenteropancreatic neuroendocrine tumour (GEP</w:t>
            </w:r>
            <w:r w:rsidR="0026100E">
              <w:rPr>
                <w:rFonts w:ascii="Arial" w:hAnsi="Arial" w:cs="Arial"/>
                <w:sz w:val="16"/>
                <w:szCs w:val="16"/>
              </w:rPr>
              <w:noBreakHyphen/>
            </w:r>
            <w:r w:rsidRPr="006D52A9">
              <w:rPr>
                <w:rFonts w:ascii="Arial" w:hAnsi="Arial" w:cs="Arial"/>
                <w:sz w:val="16"/>
                <w:szCs w:val="16"/>
              </w:rPr>
              <w:t>NET)</w:t>
            </w:r>
            <w:r w:rsidRPr="006D52A9">
              <w:rPr>
                <w:rFonts w:ascii="Arial" w:hAnsi="Arial" w:cs="Arial"/>
                <w:sz w:val="16"/>
                <w:szCs w:val="16"/>
              </w:rPr>
              <w:br/>
              <w:t>The condition must be unresectable locally advanced disease or metastatic disease; AND</w:t>
            </w:r>
            <w:r w:rsidRPr="006D52A9">
              <w:rPr>
                <w:rFonts w:ascii="Arial" w:hAnsi="Arial" w:cs="Arial"/>
                <w:sz w:val="16"/>
                <w:szCs w:val="16"/>
              </w:rPr>
              <w:br/>
              <w:t>The condition must be World Health Organisation (WHO) grade 1 or 2;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therapy for this condition.</w:t>
            </w:r>
            <w:r w:rsidRPr="006D52A9">
              <w:rPr>
                <w:rFonts w:ascii="Arial" w:hAnsi="Arial" w:cs="Arial"/>
                <w:sz w:val="16"/>
                <w:szCs w:val="16"/>
              </w:rPr>
              <w:br/>
              <w:t>Patient must be aged 18 years or older.</w:t>
            </w:r>
            <w:r w:rsidRPr="006D52A9">
              <w:rPr>
                <w:rFonts w:ascii="Arial" w:hAnsi="Arial" w:cs="Arial"/>
                <w:sz w:val="16"/>
                <w:szCs w:val="16"/>
              </w:rPr>
              <w:br/>
              <w:t>WHO grade 1 of GEP</w:t>
            </w:r>
            <w:r w:rsidR="0026100E">
              <w:rPr>
                <w:rFonts w:ascii="Arial" w:hAnsi="Arial" w:cs="Arial"/>
                <w:sz w:val="16"/>
                <w:szCs w:val="16"/>
              </w:rPr>
              <w:noBreakHyphen/>
            </w:r>
            <w:r w:rsidRPr="006D52A9">
              <w:rPr>
                <w:rFonts w:ascii="Arial" w:hAnsi="Arial" w:cs="Arial"/>
                <w:sz w:val="16"/>
                <w:szCs w:val="16"/>
              </w:rPr>
              <w:t>NET is defined as a mitotic count (10HPF) of less than 2 and Ki</w:t>
            </w:r>
            <w:r w:rsidR="0026100E">
              <w:rPr>
                <w:rFonts w:ascii="Arial" w:hAnsi="Arial" w:cs="Arial"/>
                <w:sz w:val="16"/>
                <w:szCs w:val="16"/>
              </w:rPr>
              <w:noBreakHyphen/>
            </w:r>
            <w:r w:rsidRPr="006D52A9">
              <w:rPr>
                <w:rFonts w:ascii="Arial" w:hAnsi="Arial" w:cs="Arial"/>
                <w:sz w:val="16"/>
                <w:szCs w:val="16"/>
              </w:rPr>
              <w:t>67 index (%) of less than or equal to 2.</w:t>
            </w:r>
            <w:r w:rsidRPr="006D52A9">
              <w:rPr>
                <w:rFonts w:ascii="Arial" w:hAnsi="Arial" w:cs="Arial"/>
                <w:sz w:val="16"/>
                <w:szCs w:val="16"/>
              </w:rPr>
              <w:br/>
              <w:t>WHO grade 2 of GEP</w:t>
            </w:r>
            <w:r w:rsidR="0026100E">
              <w:rPr>
                <w:rFonts w:ascii="Arial" w:hAnsi="Arial" w:cs="Arial"/>
                <w:sz w:val="16"/>
                <w:szCs w:val="16"/>
              </w:rPr>
              <w:noBreakHyphen/>
            </w:r>
            <w:r w:rsidRPr="006D52A9">
              <w:rPr>
                <w:rFonts w:ascii="Arial" w:hAnsi="Arial" w:cs="Arial"/>
                <w:sz w:val="16"/>
                <w:szCs w:val="16"/>
              </w:rPr>
              <w:t>NET is defined as a mitotic count (10HPF) of 2</w:t>
            </w:r>
            <w:r w:rsidR="0026100E">
              <w:rPr>
                <w:rFonts w:ascii="Arial" w:hAnsi="Arial" w:cs="Arial"/>
                <w:sz w:val="16"/>
                <w:szCs w:val="16"/>
              </w:rPr>
              <w:noBreakHyphen/>
            </w:r>
            <w:r w:rsidRPr="006D52A9">
              <w:rPr>
                <w:rFonts w:ascii="Arial" w:hAnsi="Arial" w:cs="Arial"/>
                <w:sz w:val="16"/>
                <w:szCs w:val="16"/>
              </w:rPr>
              <w:t>20 and Ki</w:t>
            </w:r>
            <w:r w:rsidR="0026100E">
              <w:rPr>
                <w:rFonts w:ascii="Arial" w:hAnsi="Arial" w:cs="Arial"/>
                <w:sz w:val="16"/>
                <w:szCs w:val="16"/>
              </w:rPr>
              <w:noBreakHyphen/>
            </w:r>
            <w:r w:rsidRPr="006D52A9">
              <w:rPr>
                <w:rFonts w:ascii="Arial" w:hAnsi="Arial" w:cs="Arial"/>
                <w:sz w:val="16"/>
                <w:szCs w:val="16"/>
              </w:rPr>
              <w:t>67 index (%) of 3</w:t>
            </w:r>
            <w:r w:rsidR="0026100E">
              <w:rPr>
                <w:rFonts w:ascii="Arial" w:hAnsi="Arial" w:cs="Arial"/>
                <w:sz w:val="16"/>
                <w:szCs w:val="16"/>
              </w:rPr>
              <w:noBreakHyphen/>
            </w:r>
            <w:r w:rsidRPr="006D52A9">
              <w:rPr>
                <w:rFonts w:ascii="Arial" w:hAnsi="Arial" w:cs="Arial"/>
                <w:sz w:val="16"/>
                <w:szCs w:val="16"/>
              </w:rPr>
              <w:t>20.</w:t>
            </w:r>
          </w:p>
        </w:tc>
        <w:tc>
          <w:tcPr>
            <w:tcW w:w="929" w:type="pct"/>
            <w:shd w:val="clear" w:color="auto" w:fill="auto"/>
            <w:tcMar>
              <w:top w:w="28" w:type="dxa"/>
              <w:left w:w="28" w:type="dxa"/>
              <w:right w:w="57" w:type="dxa"/>
            </w:tcMar>
          </w:tcPr>
          <w:p w14:paraId="4BD9A5B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10061</w:t>
            </w:r>
          </w:p>
        </w:tc>
      </w:tr>
      <w:tr w:rsidR="008F47B8" w:rsidRPr="006D52A9" w14:paraId="54CE2573" w14:textId="77777777" w:rsidTr="00FB6D2D">
        <w:tc>
          <w:tcPr>
            <w:tcW w:w="647" w:type="pct"/>
            <w:shd w:val="clear" w:color="auto" w:fill="auto"/>
            <w:tcMar>
              <w:top w:w="28" w:type="dxa"/>
              <w:left w:w="28" w:type="dxa"/>
            </w:tcMar>
          </w:tcPr>
          <w:p w14:paraId="3A75F2E4"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59F3DBA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C10075</w:t>
            </w:r>
          </w:p>
        </w:tc>
        <w:tc>
          <w:tcPr>
            <w:tcW w:w="274" w:type="pct"/>
            <w:shd w:val="clear" w:color="auto" w:fill="auto"/>
            <w:tcMar>
              <w:top w:w="28" w:type="dxa"/>
              <w:left w:w="28" w:type="dxa"/>
            </w:tcMar>
          </w:tcPr>
          <w:p w14:paraId="7B3DC8A3"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0C471FE9"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Non</w:t>
            </w:r>
            <w:r w:rsidR="0026100E">
              <w:rPr>
                <w:rFonts w:ascii="Arial" w:hAnsi="Arial" w:cs="Arial"/>
                <w:sz w:val="16"/>
                <w:szCs w:val="16"/>
              </w:rPr>
              <w:noBreakHyphen/>
            </w:r>
            <w:r w:rsidRPr="006D52A9">
              <w:rPr>
                <w:rFonts w:ascii="Arial" w:hAnsi="Arial" w:cs="Arial"/>
                <w:sz w:val="16"/>
                <w:szCs w:val="16"/>
              </w:rPr>
              <w:t>functional gastroenteropancreatic neuroendocrine tumour (GEP</w:t>
            </w:r>
            <w:r w:rsidR="0026100E">
              <w:rPr>
                <w:rFonts w:ascii="Arial" w:hAnsi="Arial" w:cs="Arial"/>
                <w:sz w:val="16"/>
                <w:szCs w:val="16"/>
              </w:rPr>
              <w:noBreakHyphen/>
            </w:r>
            <w:r w:rsidRPr="006D52A9">
              <w:rPr>
                <w:rFonts w:ascii="Arial" w:hAnsi="Arial" w:cs="Arial"/>
                <w:sz w:val="16"/>
                <w:szCs w:val="16"/>
              </w:rPr>
              <w:t>NET)</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The condition must be unresectable locally advanced disease or metastatic disease; AND</w:t>
            </w:r>
            <w:r w:rsidRPr="006D52A9">
              <w:rPr>
                <w:rFonts w:ascii="Arial" w:hAnsi="Arial" w:cs="Arial"/>
                <w:sz w:val="16"/>
                <w:szCs w:val="16"/>
              </w:rPr>
              <w:br/>
              <w:t>The condition must be World Health Organisation (WHO) grade 1 or 2;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therapy for this condition.</w:t>
            </w:r>
            <w:r w:rsidRPr="006D52A9">
              <w:rPr>
                <w:rFonts w:ascii="Arial" w:hAnsi="Arial" w:cs="Arial"/>
                <w:sz w:val="16"/>
                <w:szCs w:val="16"/>
              </w:rPr>
              <w:br/>
              <w:t>Patient must be aged 18 years or older.</w:t>
            </w:r>
            <w:r w:rsidRPr="006D52A9">
              <w:rPr>
                <w:rFonts w:ascii="Arial" w:hAnsi="Arial" w:cs="Arial"/>
                <w:sz w:val="16"/>
                <w:szCs w:val="16"/>
              </w:rPr>
              <w:br/>
              <w:t>WHO grade 1 of GEP</w:t>
            </w:r>
            <w:r w:rsidR="0026100E">
              <w:rPr>
                <w:rFonts w:ascii="Arial" w:hAnsi="Arial" w:cs="Arial"/>
                <w:sz w:val="16"/>
                <w:szCs w:val="16"/>
              </w:rPr>
              <w:noBreakHyphen/>
            </w:r>
            <w:r w:rsidRPr="006D52A9">
              <w:rPr>
                <w:rFonts w:ascii="Arial" w:hAnsi="Arial" w:cs="Arial"/>
                <w:sz w:val="16"/>
                <w:szCs w:val="16"/>
              </w:rPr>
              <w:t>NET is defined as a mitotic count (10HPF) of less than 2 and Ki</w:t>
            </w:r>
            <w:r w:rsidR="0026100E">
              <w:rPr>
                <w:rFonts w:ascii="Arial" w:hAnsi="Arial" w:cs="Arial"/>
                <w:sz w:val="16"/>
                <w:szCs w:val="16"/>
              </w:rPr>
              <w:noBreakHyphen/>
            </w:r>
            <w:r w:rsidRPr="006D52A9">
              <w:rPr>
                <w:rFonts w:ascii="Arial" w:hAnsi="Arial" w:cs="Arial"/>
                <w:sz w:val="16"/>
                <w:szCs w:val="16"/>
              </w:rPr>
              <w:t>67 index (%) of less than or equal to 2.</w:t>
            </w:r>
            <w:r w:rsidRPr="006D52A9">
              <w:rPr>
                <w:rFonts w:ascii="Arial" w:hAnsi="Arial" w:cs="Arial"/>
                <w:sz w:val="16"/>
                <w:szCs w:val="16"/>
              </w:rPr>
              <w:br/>
              <w:t>WHO grade 2 of GEP</w:t>
            </w:r>
            <w:r w:rsidR="0026100E">
              <w:rPr>
                <w:rFonts w:ascii="Arial" w:hAnsi="Arial" w:cs="Arial"/>
                <w:sz w:val="16"/>
                <w:szCs w:val="16"/>
              </w:rPr>
              <w:noBreakHyphen/>
            </w:r>
            <w:r w:rsidRPr="006D52A9">
              <w:rPr>
                <w:rFonts w:ascii="Arial" w:hAnsi="Arial" w:cs="Arial"/>
                <w:sz w:val="16"/>
                <w:szCs w:val="16"/>
              </w:rPr>
              <w:t>NET is defined as a mitotic count (10HPF) of 2</w:t>
            </w:r>
            <w:r w:rsidR="0026100E">
              <w:rPr>
                <w:rFonts w:ascii="Arial" w:hAnsi="Arial" w:cs="Arial"/>
                <w:sz w:val="16"/>
                <w:szCs w:val="16"/>
              </w:rPr>
              <w:noBreakHyphen/>
            </w:r>
            <w:r w:rsidRPr="006D52A9">
              <w:rPr>
                <w:rFonts w:ascii="Arial" w:hAnsi="Arial" w:cs="Arial"/>
                <w:sz w:val="16"/>
                <w:szCs w:val="16"/>
              </w:rPr>
              <w:t>20 and Ki</w:t>
            </w:r>
            <w:r w:rsidR="0026100E">
              <w:rPr>
                <w:rFonts w:ascii="Arial" w:hAnsi="Arial" w:cs="Arial"/>
                <w:sz w:val="16"/>
                <w:szCs w:val="16"/>
              </w:rPr>
              <w:noBreakHyphen/>
            </w:r>
            <w:r w:rsidRPr="006D52A9">
              <w:rPr>
                <w:rFonts w:ascii="Arial" w:hAnsi="Arial" w:cs="Arial"/>
                <w:sz w:val="16"/>
                <w:szCs w:val="16"/>
              </w:rPr>
              <w:t>67 index (%) of 3</w:t>
            </w:r>
            <w:r w:rsidR="0026100E">
              <w:rPr>
                <w:rFonts w:ascii="Arial" w:hAnsi="Arial" w:cs="Arial"/>
                <w:sz w:val="16"/>
                <w:szCs w:val="16"/>
              </w:rPr>
              <w:noBreakHyphen/>
            </w:r>
            <w:r w:rsidRPr="006D52A9">
              <w:rPr>
                <w:rFonts w:ascii="Arial" w:hAnsi="Arial" w:cs="Arial"/>
                <w:sz w:val="16"/>
                <w:szCs w:val="16"/>
              </w:rPr>
              <w:t>20.</w:t>
            </w:r>
          </w:p>
        </w:tc>
        <w:tc>
          <w:tcPr>
            <w:tcW w:w="929" w:type="pct"/>
            <w:shd w:val="clear" w:color="auto" w:fill="auto"/>
            <w:tcMar>
              <w:top w:w="28" w:type="dxa"/>
              <w:left w:w="28" w:type="dxa"/>
              <w:right w:w="57" w:type="dxa"/>
            </w:tcMar>
          </w:tcPr>
          <w:p w14:paraId="1F9FE98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10075</w:t>
            </w:r>
          </w:p>
        </w:tc>
      </w:tr>
      <w:tr w:rsidR="008F47B8" w:rsidRPr="006D52A9" w14:paraId="25E1DD57" w14:textId="77777777" w:rsidTr="00FB6D2D">
        <w:tc>
          <w:tcPr>
            <w:tcW w:w="647" w:type="pct"/>
            <w:shd w:val="clear" w:color="auto" w:fill="auto"/>
            <w:tcMar>
              <w:top w:w="28" w:type="dxa"/>
              <w:left w:w="28" w:type="dxa"/>
            </w:tcMar>
          </w:tcPr>
          <w:p w14:paraId="037F84F9" w14:textId="77777777" w:rsidR="008F47B8" w:rsidRPr="006D52A9"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4E1CEFE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C10077</w:t>
            </w:r>
          </w:p>
        </w:tc>
        <w:tc>
          <w:tcPr>
            <w:tcW w:w="274" w:type="pct"/>
            <w:shd w:val="clear" w:color="auto" w:fill="auto"/>
            <w:tcMar>
              <w:top w:w="28" w:type="dxa"/>
              <w:left w:w="28" w:type="dxa"/>
            </w:tcMar>
          </w:tcPr>
          <w:p w14:paraId="472CCB55"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1C81683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Non</w:t>
            </w:r>
            <w:r w:rsidR="0026100E">
              <w:rPr>
                <w:rFonts w:ascii="Arial" w:hAnsi="Arial" w:cs="Arial"/>
                <w:sz w:val="16"/>
                <w:szCs w:val="16"/>
              </w:rPr>
              <w:noBreakHyphen/>
            </w:r>
            <w:r w:rsidRPr="006D52A9">
              <w:rPr>
                <w:rFonts w:ascii="Arial" w:hAnsi="Arial" w:cs="Arial"/>
                <w:sz w:val="16"/>
                <w:szCs w:val="16"/>
              </w:rPr>
              <w:t>functional gastroenteropancreatic neuroendocrine tumour (GEP</w:t>
            </w:r>
            <w:r w:rsidR="0026100E">
              <w:rPr>
                <w:rFonts w:ascii="Arial" w:hAnsi="Arial" w:cs="Arial"/>
                <w:sz w:val="16"/>
                <w:szCs w:val="16"/>
              </w:rPr>
              <w:noBreakHyphen/>
            </w:r>
            <w:r w:rsidRPr="006D52A9">
              <w:rPr>
                <w:rFonts w:ascii="Arial" w:hAnsi="Arial" w:cs="Arial"/>
                <w:sz w:val="16"/>
                <w:szCs w:val="16"/>
              </w:rPr>
              <w:t>NET)</w:t>
            </w:r>
            <w:r w:rsidRPr="006D52A9">
              <w:rPr>
                <w:rFonts w:ascii="Arial" w:hAnsi="Arial" w:cs="Arial"/>
                <w:sz w:val="16"/>
                <w:szCs w:val="16"/>
              </w:rPr>
              <w:br/>
              <w:t>The condition must be unresectable locally advanced disease or metastatic disease; AND</w:t>
            </w:r>
            <w:r w:rsidRPr="006D52A9">
              <w:rPr>
                <w:rFonts w:ascii="Arial" w:hAnsi="Arial" w:cs="Arial"/>
                <w:sz w:val="16"/>
                <w:szCs w:val="16"/>
              </w:rPr>
              <w:br/>
              <w:t>The condition must be World Health Organisation (WHO) grade 1 or 2;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therapy for this condition.</w:t>
            </w:r>
            <w:r w:rsidRPr="006D52A9">
              <w:rPr>
                <w:rFonts w:ascii="Arial" w:hAnsi="Arial" w:cs="Arial"/>
                <w:sz w:val="16"/>
                <w:szCs w:val="16"/>
              </w:rPr>
              <w:br/>
              <w:t>Patient must be aged 18 years or older.</w:t>
            </w:r>
            <w:r w:rsidRPr="006D52A9">
              <w:rPr>
                <w:rFonts w:ascii="Arial" w:hAnsi="Arial" w:cs="Arial"/>
                <w:sz w:val="16"/>
                <w:szCs w:val="16"/>
              </w:rPr>
              <w:br/>
            </w:r>
            <w:r w:rsidRPr="006D52A9">
              <w:rPr>
                <w:rFonts w:ascii="Arial" w:hAnsi="Arial" w:cs="Arial"/>
                <w:sz w:val="16"/>
                <w:szCs w:val="16"/>
              </w:rPr>
              <w:lastRenderedPageBreak/>
              <w:t>WHO grade 1 of GEP</w:t>
            </w:r>
            <w:r w:rsidR="0026100E">
              <w:rPr>
                <w:rFonts w:ascii="Arial" w:hAnsi="Arial" w:cs="Arial"/>
                <w:sz w:val="16"/>
                <w:szCs w:val="16"/>
              </w:rPr>
              <w:noBreakHyphen/>
            </w:r>
            <w:r w:rsidRPr="006D52A9">
              <w:rPr>
                <w:rFonts w:ascii="Arial" w:hAnsi="Arial" w:cs="Arial"/>
                <w:sz w:val="16"/>
                <w:szCs w:val="16"/>
              </w:rPr>
              <w:t>NET is defined as a mitotic count (10HPF) of less than 2 and Ki</w:t>
            </w:r>
            <w:r w:rsidR="0026100E">
              <w:rPr>
                <w:rFonts w:ascii="Arial" w:hAnsi="Arial" w:cs="Arial"/>
                <w:sz w:val="16"/>
                <w:szCs w:val="16"/>
              </w:rPr>
              <w:noBreakHyphen/>
            </w:r>
            <w:r w:rsidRPr="006D52A9">
              <w:rPr>
                <w:rFonts w:ascii="Arial" w:hAnsi="Arial" w:cs="Arial"/>
                <w:sz w:val="16"/>
                <w:szCs w:val="16"/>
              </w:rPr>
              <w:t>67 index (%) of less than or equal to 2.</w:t>
            </w:r>
            <w:r w:rsidRPr="006D52A9">
              <w:rPr>
                <w:rFonts w:ascii="Arial" w:hAnsi="Arial" w:cs="Arial"/>
                <w:sz w:val="16"/>
                <w:szCs w:val="16"/>
              </w:rPr>
              <w:br/>
              <w:t>WHO grade 2 of GEP</w:t>
            </w:r>
            <w:r w:rsidR="0026100E">
              <w:rPr>
                <w:rFonts w:ascii="Arial" w:hAnsi="Arial" w:cs="Arial"/>
                <w:sz w:val="16"/>
                <w:szCs w:val="16"/>
              </w:rPr>
              <w:noBreakHyphen/>
            </w:r>
            <w:r w:rsidRPr="006D52A9">
              <w:rPr>
                <w:rFonts w:ascii="Arial" w:hAnsi="Arial" w:cs="Arial"/>
                <w:sz w:val="16"/>
                <w:szCs w:val="16"/>
              </w:rPr>
              <w:t>NET is defined as a mitotic count (10HPF) of 2</w:t>
            </w:r>
            <w:r w:rsidR="0026100E">
              <w:rPr>
                <w:rFonts w:ascii="Arial" w:hAnsi="Arial" w:cs="Arial"/>
                <w:sz w:val="16"/>
                <w:szCs w:val="16"/>
              </w:rPr>
              <w:noBreakHyphen/>
            </w:r>
            <w:r w:rsidRPr="006D52A9">
              <w:rPr>
                <w:rFonts w:ascii="Arial" w:hAnsi="Arial" w:cs="Arial"/>
                <w:sz w:val="16"/>
                <w:szCs w:val="16"/>
              </w:rPr>
              <w:t>20 and Ki</w:t>
            </w:r>
            <w:r w:rsidR="0026100E">
              <w:rPr>
                <w:rFonts w:ascii="Arial" w:hAnsi="Arial" w:cs="Arial"/>
                <w:sz w:val="16"/>
                <w:szCs w:val="16"/>
              </w:rPr>
              <w:noBreakHyphen/>
            </w:r>
            <w:r w:rsidRPr="006D52A9">
              <w:rPr>
                <w:rFonts w:ascii="Arial" w:hAnsi="Arial" w:cs="Arial"/>
                <w:sz w:val="16"/>
                <w:szCs w:val="16"/>
              </w:rPr>
              <w:t>67 index (%) of 3</w:t>
            </w:r>
            <w:r w:rsidR="0026100E">
              <w:rPr>
                <w:rFonts w:ascii="Arial" w:hAnsi="Arial" w:cs="Arial"/>
                <w:sz w:val="16"/>
                <w:szCs w:val="16"/>
              </w:rPr>
              <w:noBreakHyphen/>
            </w:r>
            <w:r w:rsidRPr="006D52A9">
              <w:rPr>
                <w:rFonts w:ascii="Arial" w:hAnsi="Arial" w:cs="Arial"/>
                <w:sz w:val="16"/>
                <w:szCs w:val="16"/>
              </w:rPr>
              <w:t>20.</w:t>
            </w:r>
          </w:p>
        </w:tc>
        <w:tc>
          <w:tcPr>
            <w:tcW w:w="929" w:type="pct"/>
            <w:shd w:val="clear" w:color="auto" w:fill="auto"/>
            <w:tcMar>
              <w:top w:w="28" w:type="dxa"/>
              <w:left w:w="28" w:type="dxa"/>
              <w:right w:w="57" w:type="dxa"/>
            </w:tcMar>
          </w:tcPr>
          <w:p w14:paraId="2B884593"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10077</w:t>
            </w:r>
          </w:p>
        </w:tc>
      </w:tr>
      <w:tr w:rsidR="008F47B8" w:rsidRPr="006D52A9" w14:paraId="73CD4F66" w14:textId="77777777" w:rsidTr="00FB6D2D">
        <w:tc>
          <w:tcPr>
            <w:tcW w:w="647" w:type="pct"/>
            <w:tcMar>
              <w:top w:w="28" w:type="dxa"/>
              <w:left w:w="28" w:type="dxa"/>
            </w:tcMar>
          </w:tcPr>
          <w:p w14:paraId="64F50A46" w14:textId="77777777" w:rsidR="008F47B8" w:rsidRPr="006D52A9" w:rsidRDefault="008F47B8" w:rsidP="00FB6D2D">
            <w:pPr>
              <w:spacing w:line="240" w:lineRule="auto"/>
              <w:rPr>
                <w:rFonts w:ascii="Arial" w:eastAsia="SimSun" w:hAnsi="Arial" w:cs="Arial"/>
                <w:sz w:val="16"/>
                <w:szCs w:val="16"/>
                <w:lang w:eastAsia="zh-CN"/>
              </w:rPr>
            </w:pPr>
            <w:bookmarkStart w:id="188" w:name="CU_404667109"/>
            <w:bookmarkStart w:id="189" w:name="CU_408669833"/>
            <w:bookmarkStart w:id="190" w:name="CU_409676045"/>
            <w:bookmarkEnd w:id="188"/>
            <w:bookmarkEnd w:id="189"/>
            <w:bookmarkEnd w:id="190"/>
            <w:r w:rsidRPr="006D52A9">
              <w:rPr>
                <w:rFonts w:ascii="Arial" w:eastAsia="SimSun" w:hAnsi="Arial" w:cs="Arial"/>
                <w:sz w:val="16"/>
                <w:szCs w:val="16"/>
                <w:lang w:eastAsia="zh-CN"/>
              </w:rPr>
              <w:t>Omalizumab</w:t>
            </w:r>
          </w:p>
        </w:tc>
        <w:tc>
          <w:tcPr>
            <w:tcW w:w="283" w:type="pct"/>
            <w:tcMar>
              <w:top w:w="28" w:type="dxa"/>
              <w:left w:w="28" w:type="dxa"/>
            </w:tcMar>
          </w:tcPr>
          <w:p w14:paraId="27981E0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C7046</w:t>
            </w:r>
          </w:p>
        </w:tc>
        <w:tc>
          <w:tcPr>
            <w:tcW w:w="274" w:type="pct"/>
            <w:tcMar>
              <w:top w:w="28" w:type="dxa"/>
              <w:left w:w="28" w:type="dxa"/>
            </w:tcMar>
          </w:tcPr>
          <w:p w14:paraId="11C5FE3E"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3B74D5D" w14:textId="77777777" w:rsidR="008F47B8" w:rsidRPr="006D52A9" w:rsidRDefault="008F47B8" w:rsidP="00FB6D2D">
            <w:pPr>
              <w:pStyle w:val="mps3-data"/>
              <w:spacing w:before="0" w:after="0"/>
              <w:rPr>
                <w:szCs w:val="16"/>
              </w:rPr>
            </w:pPr>
            <w:r w:rsidRPr="006D52A9">
              <w:rPr>
                <w:szCs w:val="16"/>
              </w:rPr>
              <w:t>Severe chronic spontaneous urticaria</w:t>
            </w:r>
          </w:p>
          <w:p w14:paraId="5A1FD581" w14:textId="77777777" w:rsidR="008F47B8" w:rsidRPr="006D52A9" w:rsidRDefault="008F47B8" w:rsidP="00FB6D2D">
            <w:pPr>
              <w:pStyle w:val="mps3-data"/>
              <w:spacing w:before="0" w:after="0"/>
              <w:rPr>
                <w:szCs w:val="16"/>
              </w:rPr>
            </w:pPr>
            <w:r w:rsidRPr="006D52A9">
              <w:rPr>
                <w:szCs w:val="16"/>
              </w:rPr>
              <w:t>Continuing treatment</w:t>
            </w:r>
          </w:p>
          <w:p w14:paraId="124EA549" w14:textId="77777777" w:rsidR="008F47B8" w:rsidRPr="006D52A9" w:rsidRDefault="008F47B8" w:rsidP="00FB6D2D">
            <w:pPr>
              <w:pStyle w:val="mps3-data"/>
              <w:spacing w:before="0" w:after="0"/>
              <w:rPr>
                <w:szCs w:val="16"/>
              </w:rPr>
            </w:pPr>
            <w:r w:rsidRPr="006D52A9">
              <w:rPr>
                <w:szCs w:val="16"/>
              </w:rPr>
              <w:t>Must be treated by a clinical immunologist; OR</w:t>
            </w:r>
          </w:p>
          <w:p w14:paraId="6E2798D0" w14:textId="77777777" w:rsidR="008F47B8" w:rsidRPr="006D52A9" w:rsidRDefault="008F47B8" w:rsidP="00FB6D2D">
            <w:pPr>
              <w:pStyle w:val="mps3-data"/>
              <w:spacing w:before="0" w:after="0"/>
              <w:rPr>
                <w:szCs w:val="16"/>
              </w:rPr>
            </w:pPr>
            <w:r w:rsidRPr="006D52A9">
              <w:rPr>
                <w:szCs w:val="16"/>
              </w:rPr>
              <w:t>Must be treated by an allergist; OR</w:t>
            </w:r>
          </w:p>
          <w:p w14:paraId="001E65B8" w14:textId="77777777" w:rsidR="008F47B8" w:rsidRPr="006D52A9" w:rsidRDefault="008F47B8" w:rsidP="00FB6D2D">
            <w:pPr>
              <w:pStyle w:val="mps3-data"/>
              <w:spacing w:before="0" w:after="0"/>
              <w:rPr>
                <w:szCs w:val="16"/>
              </w:rPr>
            </w:pPr>
            <w:r w:rsidRPr="006D52A9">
              <w:rPr>
                <w:szCs w:val="16"/>
              </w:rPr>
              <w:t>Must be treated by a dermatologist; OR</w:t>
            </w:r>
          </w:p>
          <w:p w14:paraId="2930E497" w14:textId="77777777" w:rsidR="008F47B8" w:rsidRPr="006D52A9" w:rsidRDefault="008F47B8" w:rsidP="00FB6D2D">
            <w:pPr>
              <w:pStyle w:val="mps3-data"/>
              <w:spacing w:before="0" w:after="0"/>
              <w:rPr>
                <w:szCs w:val="16"/>
              </w:rPr>
            </w:pPr>
            <w:r w:rsidRPr="006D52A9">
              <w:rPr>
                <w:szCs w:val="16"/>
              </w:rPr>
              <w:t>Must be treated by a general physician with expertise in the management of chronic spontaneous urticaria (CSU).</w:t>
            </w:r>
          </w:p>
          <w:p w14:paraId="53BE36CB" w14:textId="77777777" w:rsidR="008F47B8" w:rsidRPr="006D52A9" w:rsidRDefault="008F47B8" w:rsidP="00FB6D2D">
            <w:pPr>
              <w:pStyle w:val="mps3-data"/>
              <w:spacing w:before="0" w:after="0"/>
              <w:rPr>
                <w:szCs w:val="16"/>
              </w:rPr>
            </w:pPr>
            <w:r w:rsidRPr="006D52A9">
              <w:rPr>
                <w:szCs w:val="16"/>
              </w:rPr>
              <w:t>Patient must have demonstrated a response to the most recent PBS</w:t>
            </w:r>
            <w:r w:rsidR="0026100E">
              <w:rPr>
                <w:szCs w:val="16"/>
              </w:rPr>
              <w:noBreakHyphen/>
            </w:r>
            <w:r w:rsidRPr="006D52A9">
              <w:rPr>
                <w:szCs w:val="16"/>
              </w:rPr>
              <w:t>subsidised treatment with this drug for this condition; AND</w:t>
            </w:r>
          </w:p>
          <w:p w14:paraId="4348EBF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Patient must not receive more than 24 weeks per authorised course of treatment under this restriction.</w:t>
            </w:r>
          </w:p>
        </w:tc>
        <w:tc>
          <w:tcPr>
            <w:tcW w:w="929" w:type="pct"/>
            <w:tcMar>
              <w:top w:w="28" w:type="dxa"/>
              <w:left w:w="28" w:type="dxa"/>
              <w:right w:w="57" w:type="dxa"/>
            </w:tcMar>
          </w:tcPr>
          <w:p w14:paraId="5F91B4A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Compliance with Authority Required procedures</w:t>
            </w:r>
          </w:p>
        </w:tc>
      </w:tr>
      <w:tr w:rsidR="008F47B8" w:rsidRPr="006D52A9" w14:paraId="03836393" w14:textId="77777777" w:rsidTr="00FB6D2D">
        <w:tc>
          <w:tcPr>
            <w:tcW w:w="647" w:type="pct"/>
            <w:tcMar>
              <w:top w:w="28" w:type="dxa"/>
              <w:left w:w="28" w:type="dxa"/>
            </w:tcMar>
          </w:tcPr>
          <w:p w14:paraId="266BF43E"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685AF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C7055</w:t>
            </w:r>
          </w:p>
        </w:tc>
        <w:tc>
          <w:tcPr>
            <w:tcW w:w="274" w:type="pct"/>
            <w:tcMar>
              <w:top w:w="28" w:type="dxa"/>
              <w:left w:w="28" w:type="dxa"/>
            </w:tcMar>
          </w:tcPr>
          <w:p w14:paraId="21AA1465"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4DD3332" w14:textId="77777777" w:rsidR="008F47B8" w:rsidRPr="006D52A9" w:rsidRDefault="008F47B8" w:rsidP="00FB6D2D">
            <w:pPr>
              <w:pStyle w:val="mps3-data"/>
              <w:spacing w:before="0" w:after="0"/>
              <w:rPr>
                <w:szCs w:val="16"/>
              </w:rPr>
            </w:pPr>
            <w:r w:rsidRPr="006D52A9">
              <w:rPr>
                <w:szCs w:val="16"/>
              </w:rPr>
              <w:t>Severe chronic spontaneous urticaria</w:t>
            </w:r>
          </w:p>
          <w:p w14:paraId="0501CA1A" w14:textId="77777777" w:rsidR="008F47B8" w:rsidRPr="006D52A9" w:rsidRDefault="008F47B8" w:rsidP="00FB6D2D">
            <w:pPr>
              <w:pStyle w:val="mps3-data"/>
              <w:spacing w:before="0" w:after="0"/>
              <w:rPr>
                <w:szCs w:val="16"/>
              </w:rPr>
            </w:pPr>
            <w:r w:rsidRPr="006D52A9">
              <w:rPr>
                <w:szCs w:val="16"/>
              </w:rPr>
              <w:t>Initial treatment</w:t>
            </w:r>
          </w:p>
          <w:p w14:paraId="30B2FF1E" w14:textId="77777777" w:rsidR="008F47B8" w:rsidRPr="006D52A9" w:rsidRDefault="008F47B8" w:rsidP="00FB6D2D">
            <w:pPr>
              <w:pStyle w:val="mps3-data"/>
              <w:spacing w:before="0" w:after="0"/>
              <w:rPr>
                <w:szCs w:val="16"/>
              </w:rPr>
            </w:pPr>
            <w:r w:rsidRPr="006D52A9">
              <w:rPr>
                <w:szCs w:val="16"/>
              </w:rPr>
              <w:t>Must be treated by a clinical immunologist; OR</w:t>
            </w:r>
          </w:p>
          <w:p w14:paraId="5DF1FA2A" w14:textId="77777777" w:rsidR="008F47B8" w:rsidRPr="006D52A9" w:rsidRDefault="008F47B8" w:rsidP="00FB6D2D">
            <w:pPr>
              <w:pStyle w:val="mps3-data"/>
              <w:spacing w:before="0" w:after="0"/>
              <w:rPr>
                <w:szCs w:val="16"/>
              </w:rPr>
            </w:pPr>
            <w:r w:rsidRPr="006D52A9">
              <w:rPr>
                <w:szCs w:val="16"/>
              </w:rPr>
              <w:t>Must be treated by an allergist; OR</w:t>
            </w:r>
          </w:p>
          <w:p w14:paraId="2716F60D" w14:textId="77777777" w:rsidR="008F47B8" w:rsidRPr="006D52A9" w:rsidRDefault="008F47B8" w:rsidP="00FB6D2D">
            <w:pPr>
              <w:pStyle w:val="mps3-data"/>
              <w:spacing w:before="0" w:after="0"/>
              <w:rPr>
                <w:szCs w:val="16"/>
              </w:rPr>
            </w:pPr>
            <w:r w:rsidRPr="006D52A9">
              <w:rPr>
                <w:szCs w:val="16"/>
              </w:rPr>
              <w:t>Must be treated by a dermatologist; OR</w:t>
            </w:r>
          </w:p>
          <w:p w14:paraId="36EA0D91" w14:textId="77777777" w:rsidR="008F47B8" w:rsidRPr="006D52A9" w:rsidRDefault="008F47B8" w:rsidP="00FB6D2D">
            <w:pPr>
              <w:pStyle w:val="mps3-data"/>
              <w:spacing w:before="0" w:after="0"/>
              <w:rPr>
                <w:szCs w:val="16"/>
              </w:rPr>
            </w:pPr>
            <w:r w:rsidRPr="006D52A9">
              <w:rPr>
                <w:szCs w:val="16"/>
              </w:rPr>
              <w:t>Must be treated by a general physician with expertise in the management of chronic spontaneous urticaria (CSU).</w:t>
            </w:r>
          </w:p>
          <w:p w14:paraId="4C173A08" w14:textId="77777777" w:rsidR="008F47B8" w:rsidRPr="006D52A9" w:rsidRDefault="008F47B8" w:rsidP="00FB6D2D">
            <w:pPr>
              <w:pStyle w:val="mps3-data"/>
              <w:spacing w:before="0" w:after="0"/>
              <w:rPr>
                <w:szCs w:val="16"/>
              </w:rPr>
            </w:pPr>
            <w:r w:rsidRPr="006D52A9">
              <w:rPr>
                <w:szCs w:val="16"/>
              </w:rPr>
              <w:t>The condition must be based on both physical examination and patient history (to exclude any factors that may be triggering the urticaria); AND</w:t>
            </w:r>
          </w:p>
          <w:p w14:paraId="321A3440" w14:textId="77777777" w:rsidR="008F47B8" w:rsidRPr="006D52A9" w:rsidRDefault="008F47B8" w:rsidP="00FB6D2D">
            <w:pPr>
              <w:pStyle w:val="mps3-data"/>
              <w:spacing w:before="0" w:after="0"/>
              <w:rPr>
                <w:szCs w:val="16"/>
              </w:rPr>
            </w:pPr>
            <w:r w:rsidRPr="006D52A9">
              <w:rPr>
                <w:szCs w:val="16"/>
              </w:rPr>
              <w:t>Patient must have experienced itch and hives that persist on a daily basis for at least 6 weeks despite treatment with H1 antihistamines; AND</w:t>
            </w:r>
          </w:p>
          <w:p w14:paraId="325351F1" w14:textId="77777777" w:rsidR="008F47B8" w:rsidRPr="006D52A9" w:rsidRDefault="008F47B8" w:rsidP="00FB6D2D">
            <w:pPr>
              <w:pStyle w:val="mps3-data"/>
              <w:spacing w:before="0" w:after="0"/>
              <w:rPr>
                <w:szCs w:val="16"/>
              </w:rPr>
            </w:pPr>
            <w:r w:rsidRPr="006D52A9">
              <w:rPr>
                <w:szCs w:val="16"/>
              </w:rPr>
              <w:t>Patient must have failed to achieve an adequate response after a minimum of 2 weeks treatment with a standard therapy; AND</w:t>
            </w:r>
          </w:p>
          <w:p w14:paraId="417B6A76" w14:textId="77777777" w:rsidR="008F47B8" w:rsidRPr="006D52A9" w:rsidRDefault="008F47B8" w:rsidP="00FB6D2D">
            <w:pPr>
              <w:pStyle w:val="mps3-data"/>
              <w:spacing w:before="0" w:after="0"/>
              <w:rPr>
                <w:szCs w:val="16"/>
              </w:rPr>
            </w:pPr>
            <w:r w:rsidRPr="006D52A9">
              <w:rPr>
                <w:szCs w:val="16"/>
              </w:rPr>
              <w:t>Patient must not receive more than 12 weeks of treatment under this restriction.</w:t>
            </w:r>
          </w:p>
          <w:p w14:paraId="36AFF787" w14:textId="77777777" w:rsidR="008F47B8" w:rsidRPr="006D52A9" w:rsidRDefault="008F47B8" w:rsidP="00FB6D2D">
            <w:pPr>
              <w:pStyle w:val="mps3-data"/>
              <w:spacing w:before="0" w:after="0"/>
              <w:rPr>
                <w:szCs w:val="16"/>
              </w:rPr>
            </w:pPr>
            <w:r w:rsidRPr="006D52A9">
              <w:rPr>
                <w:szCs w:val="16"/>
              </w:rPr>
              <w:t>A standard therapy is defined as a combination of therapies that includes H1 antihistamines at maximally tolerated doses in accordance with clinical guidelines, and one of the following:</w:t>
            </w:r>
          </w:p>
          <w:p w14:paraId="17B7B489" w14:textId="77777777" w:rsidR="008F47B8" w:rsidRPr="006D52A9" w:rsidRDefault="008F47B8" w:rsidP="00FB6D2D">
            <w:pPr>
              <w:pStyle w:val="mps3-data"/>
              <w:spacing w:before="0" w:after="0"/>
              <w:rPr>
                <w:szCs w:val="16"/>
              </w:rPr>
            </w:pPr>
            <w:r w:rsidRPr="006D52A9">
              <w:rPr>
                <w:szCs w:val="16"/>
              </w:rPr>
              <w:t>1) a H2 receptor antagonist (150 mg twice per day); or</w:t>
            </w:r>
          </w:p>
          <w:p w14:paraId="7D95B1F9" w14:textId="77777777" w:rsidR="008F47B8" w:rsidRPr="006D52A9" w:rsidRDefault="008F47B8" w:rsidP="00FB6D2D">
            <w:pPr>
              <w:pStyle w:val="mps3-data"/>
              <w:spacing w:before="0" w:after="0"/>
              <w:rPr>
                <w:szCs w:val="16"/>
              </w:rPr>
            </w:pPr>
            <w:r w:rsidRPr="006D52A9">
              <w:rPr>
                <w:szCs w:val="16"/>
              </w:rPr>
              <w:t>2) a leukotriene receptor antagonist (LTRA) (10 mg per day); or</w:t>
            </w:r>
          </w:p>
          <w:p w14:paraId="72D9A539" w14:textId="77777777" w:rsidR="008F47B8" w:rsidRPr="006D52A9" w:rsidRDefault="008F47B8" w:rsidP="00FB6D2D">
            <w:pPr>
              <w:pStyle w:val="mps3-data"/>
              <w:spacing w:before="0" w:after="0"/>
              <w:rPr>
                <w:szCs w:val="16"/>
              </w:rPr>
            </w:pPr>
            <w:r w:rsidRPr="006D52A9">
              <w:rPr>
                <w:szCs w:val="16"/>
              </w:rPr>
              <w:t>3) doxepin (up to 25 mg three times a day)</w:t>
            </w:r>
          </w:p>
          <w:p w14:paraId="22A48102" w14:textId="77777777" w:rsidR="008F47B8" w:rsidRPr="006D52A9" w:rsidRDefault="008F47B8" w:rsidP="00FB6D2D">
            <w:pPr>
              <w:pStyle w:val="mps3-data"/>
              <w:spacing w:before="0" w:after="0"/>
              <w:rPr>
                <w:szCs w:val="16"/>
              </w:rPr>
            </w:pPr>
            <w:r w:rsidRPr="006D52A9">
              <w:rPr>
                <w:szCs w:val="16"/>
              </w:rPr>
              <w:t>If the requirement for treatment with H1 antihistamines and a H2 receptor antagonist, or a leukotriene receptor antagonist or doxepin cannot be met because of contraindications according to the relevant TGA</w:t>
            </w:r>
            <w:r w:rsidR="0026100E">
              <w:rPr>
                <w:szCs w:val="16"/>
              </w:rPr>
              <w:noBreakHyphen/>
            </w:r>
            <w:r w:rsidRPr="006D52A9">
              <w:rPr>
                <w:szCs w:val="16"/>
              </w:rPr>
              <w:t>approved Product Information and/or intolerances of a severity necessitating permanent treatment withdrawal, details of the contraindication and/or intolerance must be provided in the authority application.</w:t>
            </w:r>
          </w:p>
          <w:p w14:paraId="1BF5E29A" w14:textId="77777777" w:rsidR="008F47B8" w:rsidRPr="006D52A9" w:rsidRDefault="008F47B8" w:rsidP="00FB6D2D">
            <w:pPr>
              <w:pStyle w:val="mps3-data"/>
              <w:spacing w:before="0" w:after="0"/>
              <w:rPr>
                <w:szCs w:val="16"/>
              </w:rPr>
            </w:pPr>
            <w:r w:rsidRPr="006D52A9">
              <w:rPr>
                <w:szCs w:val="16"/>
              </w:rPr>
              <w:t>A failure to achieve an adequate response to standard therapy is defined as a current Urticaria Activity Score 7 (UAS7) score of equal to or greater than 28 with an itch score of greater than 8, as assessed while still on standard therapy.</w:t>
            </w:r>
          </w:p>
          <w:p w14:paraId="4302DC40" w14:textId="77777777" w:rsidR="008F47B8" w:rsidRPr="006D52A9" w:rsidRDefault="008F47B8" w:rsidP="00FB6D2D">
            <w:pPr>
              <w:pStyle w:val="mps3-data"/>
              <w:spacing w:before="0" w:after="0"/>
              <w:rPr>
                <w:szCs w:val="16"/>
              </w:rPr>
            </w:pPr>
            <w:r w:rsidRPr="006D52A9">
              <w:rPr>
                <w:szCs w:val="16"/>
              </w:rPr>
              <w:t>The authority application must be made in writing and must include:</w:t>
            </w:r>
          </w:p>
          <w:p w14:paraId="5FC866D4" w14:textId="77777777" w:rsidR="008F47B8" w:rsidRPr="006D52A9" w:rsidRDefault="008F47B8" w:rsidP="00FB6D2D">
            <w:pPr>
              <w:pStyle w:val="mps3-data"/>
              <w:spacing w:before="0" w:after="0"/>
              <w:rPr>
                <w:szCs w:val="16"/>
              </w:rPr>
            </w:pPr>
            <w:r w:rsidRPr="006D52A9">
              <w:rPr>
                <w:szCs w:val="16"/>
              </w:rPr>
              <w:lastRenderedPageBreak/>
              <w:t>(a) a completed authority prescription form; and</w:t>
            </w:r>
          </w:p>
          <w:p w14:paraId="261DBC38" w14:textId="77777777" w:rsidR="008F47B8" w:rsidRPr="006D52A9" w:rsidRDefault="008F47B8" w:rsidP="00FB6D2D">
            <w:pPr>
              <w:pStyle w:val="mps3-data"/>
              <w:spacing w:before="0" w:after="0"/>
              <w:rPr>
                <w:szCs w:val="16"/>
              </w:rPr>
            </w:pPr>
            <w:r w:rsidRPr="006D52A9">
              <w:rPr>
                <w:szCs w:val="16"/>
              </w:rPr>
              <w:t xml:space="preserve">(b) a completed Chronic Spontaneous Urticaria Omalizumab Initial PBS Authority Application </w:t>
            </w:r>
            <w:r w:rsidR="0026100E">
              <w:rPr>
                <w:szCs w:val="16"/>
              </w:rPr>
              <w:noBreakHyphen/>
            </w:r>
            <w:r w:rsidRPr="006D52A9">
              <w:rPr>
                <w:szCs w:val="16"/>
              </w:rPr>
              <w:t xml:space="preserve"> Supporting Information Form which must include:</w:t>
            </w:r>
          </w:p>
          <w:p w14:paraId="5DCA64B8" w14:textId="77777777" w:rsidR="008F47B8" w:rsidRPr="006D52A9" w:rsidRDefault="008F47B8" w:rsidP="00FB6D2D">
            <w:pPr>
              <w:pStyle w:val="mps3-data"/>
              <w:spacing w:before="0" w:after="0"/>
              <w:rPr>
                <w:szCs w:val="16"/>
              </w:rPr>
            </w:pPr>
            <w:r w:rsidRPr="006D52A9">
              <w:rPr>
                <w:szCs w:val="16"/>
              </w:rPr>
              <w:t>(i) demonstration of failure to achieve an adequate response to standard therapy; and</w:t>
            </w:r>
          </w:p>
          <w:p w14:paraId="3886BF69" w14:textId="77777777" w:rsidR="008F47B8" w:rsidRPr="006D52A9" w:rsidRDefault="008F47B8" w:rsidP="00FB6D2D">
            <w:pPr>
              <w:pStyle w:val="mps3-data"/>
              <w:spacing w:before="0" w:after="0"/>
              <w:rPr>
                <w:szCs w:val="16"/>
              </w:rPr>
            </w:pPr>
            <w:r w:rsidRPr="006D52A9">
              <w:rPr>
                <w:szCs w:val="16"/>
              </w:rPr>
              <w:t>(ii) drug names and doses of standard therapies that the patient has failed; and</w:t>
            </w:r>
          </w:p>
          <w:p w14:paraId="2469ED72" w14:textId="77777777" w:rsidR="008F47B8" w:rsidRPr="006D52A9" w:rsidRDefault="008F47B8" w:rsidP="00FB6D2D">
            <w:pPr>
              <w:pStyle w:val="mps3-data"/>
              <w:spacing w:before="0" w:after="0"/>
              <w:rPr>
                <w:rFonts w:eastAsia="SimSun"/>
                <w:szCs w:val="16"/>
              </w:rPr>
            </w:pPr>
            <w:r w:rsidRPr="006D52A9">
              <w:rPr>
                <w:szCs w:val="16"/>
              </w:rPr>
              <w:t>(iii) a signed patient acknowledgment that cessation of therapy should be considered after the patient has demonstrated clinical benefit with omalizumab to re</w:t>
            </w:r>
            <w:r w:rsidR="0026100E">
              <w:rPr>
                <w:szCs w:val="16"/>
              </w:rPr>
              <w:noBreakHyphen/>
            </w:r>
            <w:r w:rsidRPr="006D52A9">
              <w:rPr>
                <w:szCs w:val="16"/>
              </w:rPr>
              <w:t>evaluate the need for continued therapy. Any patient who ceases therapy and whose CSU relapses will need to re</w:t>
            </w:r>
            <w:r w:rsidR="0026100E">
              <w:rPr>
                <w:szCs w:val="16"/>
              </w:rPr>
              <w:noBreakHyphen/>
            </w:r>
            <w:r w:rsidRPr="006D52A9">
              <w:rPr>
                <w:szCs w:val="16"/>
              </w:rPr>
              <w:t>initiate PBS</w:t>
            </w:r>
            <w:r w:rsidR="0026100E">
              <w:rPr>
                <w:szCs w:val="16"/>
              </w:rPr>
              <w:noBreakHyphen/>
            </w:r>
            <w:r w:rsidRPr="006D52A9">
              <w:rPr>
                <w:szCs w:val="16"/>
              </w:rPr>
              <w:t>subsidised omalizumab as a new patient.</w:t>
            </w:r>
          </w:p>
        </w:tc>
        <w:tc>
          <w:tcPr>
            <w:tcW w:w="929" w:type="pct"/>
            <w:tcMar>
              <w:top w:w="28" w:type="dxa"/>
              <w:left w:w="28" w:type="dxa"/>
              <w:right w:w="57" w:type="dxa"/>
            </w:tcMar>
          </w:tcPr>
          <w:p w14:paraId="0EC70123"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ED1AE1" w14:paraId="2A7EBE32" w14:textId="77777777" w:rsidTr="00FB6D2D">
        <w:tc>
          <w:tcPr>
            <w:tcW w:w="647" w:type="pct"/>
            <w:tcMar>
              <w:top w:w="28" w:type="dxa"/>
              <w:left w:w="28" w:type="dxa"/>
            </w:tcMar>
          </w:tcPr>
          <w:p w14:paraId="628FB94B" w14:textId="77777777" w:rsidR="008F47B8" w:rsidRPr="006D52A9" w:rsidDel="00ED1AE1"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EC4699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C9855</w:t>
            </w:r>
          </w:p>
        </w:tc>
        <w:tc>
          <w:tcPr>
            <w:tcW w:w="274" w:type="pct"/>
            <w:tcMar>
              <w:top w:w="28" w:type="dxa"/>
              <w:left w:w="28" w:type="dxa"/>
            </w:tcMar>
          </w:tcPr>
          <w:p w14:paraId="101446B6" w14:textId="77777777" w:rsidR="008F47B8" w:rsidRPr="006D52A9" w:rsidDel="00ED1AE1"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4E98111" w14:textId="77777777" w:rsidR="008F47B8" w:rsidRPr="006D52A9" w:rsidRDefault="008F47B8" w:rsidP="00FB6D2D">
            <w:pPr>
              <w:pStyle w:val="mps3-data"/>
              <w:spacing w:before="0"/>
              <w:rPr>
                <w:rFonts w:eastAsia="SimSun"/>
                <w:szCs w:val="16"/>
              </w:rPr>
            </w:pPr>
            <w:r w:rsidRPr="006D52A9">
              <w:rPr>
                <w:rFonts w:eastAsia="SimSun"/>
                <w:szCs w:val="16"/>
              </w:rPr>
              <w:t>Uncontrolled severe allergic asthma</w:t>
            </w:r>
            <w:r w:rsidRPr="006D52A9">
              <w:rPr>
                <w:rFonts w:eastAsia="SimSun"/>
                <w:szCs w:val="16"/>
              </w:rPr>
              <w:br/>
              <w:t>Balance of supply in a patient aged 12 years or older</w:t>
            </w:r>
            <w:r w:rsidRPr="006D52A9">
              <w:rPr>
                <w:rFonts w:eastAsia="SimSun"/>
                <w:szCs w:val="16"/>
              </w:rPr>
              <w:br/>
              <w:t>Must be treated by a respiratory physician, clinical immunologist, allergist or general physician experienced in the management of patients with severe asthma.</w:t>
            </w:r>
            <w:r w:rsidRPr="006D52A9">
              <w:rPr>
                <w:rFonts w:eastAsia="SimSun"/>
                <w:szCs w:val="16"/>
              </w:rPr>
              <w:br/>
              <w:t>Patient must received insufficient therapy with this drug under the Initial 1 (new patients or recommencement of treatment in a new treatment cycle) restriction to complete 32 weeks treatment; OR</w:t>
            </w:r>
            <w:r w:rsidRPr="006D52A9">
              <w:rPr>
                <w:rFonts w:eastAsia="SimSun"/>
                <w:szCs w:val="16"/>
              </w:rPr>
              <w:br/>
              <w:t>Patient must have received insufficient therapy with this drug under the Initial 2 (change of treatment) restriction to complete 32 weeks treatment; OR</w:t>
            </w:r>
            <w:r w:rsidRPr="006D52A9">
              <w:rPr>
                <w:rFonts w:eastAsia="SimSun"/>
                <w:szCs w:val="16"/>
              </w:rPr>
              <w:br/>
              <w:t>Patient must have received insufficient therapy with this drug under the Continuing treatment restriction to complete 24 weeks treatment; AND</w:t>
            </w:r>
            <w:r w:rsidRPr="006D52A9">
              <w:rPr>
                <w:rFonts w:eastAsia="SimSun"/>
                <w:szCs w:val="16"/>
              </w:rPr>
              <w:br/>
              <w:t>The treatment must not provide more than the balance of up to 32 weeks of treatment if the most recent authority approval was made under an Initial treatment restriction; OR</w:t>
            </w:r>
            <w:r w:rsidRPr="006D52A9">
              <w:rPr>
                <w:rFonts w:eastAsia="SimSun"/>
                <w:szCs w:val="16"/>
              </w:rPr>
              <w:br/>
              <w:t>The treatment must not provide more than the balance of up to 24 weeks of treatment if the most recent authority approval was made under the Continuing treatment restriction.</w:t>
            </w:r>
          </w:p>
        </w:tc>
        <w:tc>
          <w:tcPr>
            <w:tcW w:w="929" w:type="pct"/>
            <w:tcMar>
              <w:top w:w="28" w:type="dxa"/>
              <w:left w:w="28" w:type="dxa"/>
              <w:right w:w="57" w:type="dxa"/>
            </w:tcMar>
          </w:tcPr>
          <w:p w14:paraId="3D0957E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BF453B" w14:paraId="219FDE97" w14:textId="77777777" w:rsidTr="00FB6D2D">
        <w:tc>
          <w:tcPr>
            <w:tcW w:w="647" w:type="pct"/>
            <w:tcMar>
              <w:top w:w="28" w:type="dxa"/>
              <w:left w:w="28" w:type="dxa"/>
            </w:tcMar>
          </w:tcPr>
          <w:p w14:paraId="5B534640"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4BAE70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C10219</w:t>
            </w:r>
          </w:p>
        </w:tc>
        <w:tc>
          <w:tcPr>
            <w:tcW w:w="274" w:type="pct"/>
            <w:tcMar>
              <w:top w:w="28" w:type="dxa"/>
              <w:left w:w="28" w:type="dxa"/>
            </w:tcMar>
          </w:tcPr>
          <w:p w14:paraId="313DF952"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192895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2 (Change of treatment)</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be under the care of the same physician for at least 6 months; OR</w:t>
            </w:r>
            <w:r w:rsidRPr="006D52A9">
              <w:rPr>
                <w:rFonts w:ascii="Arial" w:eastAsia="SimSun" w:hAnsi="Arial" w:cs="Arial"/>
                <w:sz w:val="16"/>
                <w:szCs w:val="16"/>
                <w:lang w:eastAsia="zh-CN"/>
              </w:rPr>
              <w:br/>
              <w:t>Patient must have been diagnosed by a multidisciplinary severe asthma clinic team; AND</w:t>
            </w:r>
            <w:r w:rsidRPr="006D52A9">
              <w:rPr>
                <w:rFonts w:ascii="Arial" w:eastAsia="SimSun" w:hAnsi="Arial" w:cs="Arial"/>
                <w:sz w:val="16"/>
                <w:szCs w:val="16"/>
                <w:lang w:eastAsia="zh-CN"/>
              </w:rPr>
              <w:br/>
              <w:t>Patient must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in this treatment cycle; AND</w:t>
            </w:r>
            <w:r w:rsidRPr="006D52A9">
              <w:rPr>
                <w:rFonts w:ascii="Arial" w:eastAsia="SimSun" w:hAnsi="Arial" w:cs="Arial"/>
                <w:sz w:val="16"/>
                <w:szCs w:val="16"/>
                <w:lang w:eastAsia="zh-CN"/>
              </w:rPr>
              <w:br/>
              <w:t>Patient must not have failed, or ceased to respond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severe asthma during the current treatment cycle; AND</w:t>
            </w:r>
            <w:r w:rsidRPr="006D52A9">
              <w:rPr>
                <w:rFonts w:ascii="Arial" w:eastAsia="SimSun" w:hAnsi="Arial" w:cs="Arial"/>
                <w:sz w:val="16"/>
                <w:szCs w:val="16"/>
                <w:lang w:eastAsia="zh-CN"/>
              </w:rPr>
              <w:br/>
              <w:t>Patient must have past or current evidence of atopy, documented by skin prick testing or an in vitro measure of specific IgE in the past 12 months or in the 12 months prior to initiating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AND</w:t>
            </w:r>
            <w:r w:rsidRPr="006D52A9">
              <w:rPr>
                <w:rFonts w:ascii="Arial" w:eastAsia="SimSun" w:hAnsi="Arial" w:cs="Arial"/>
                <w:sz w:val="16"/>
                <w:szCs w:val="16"/>
                <w:lang w:eastAsia="zh-CN"/>
              </w:rPr>
              <w:br/>
              <w:t>Patient must have total serum human immunoglobulin E greater than or equal to 30 IU/mL, measured no more than 12 months prior to initiating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AND</w:t>
            </w:r>
            <w:r w:rsidRPr="006D52A9">
              <w:rPr>
                <w:rFonts w:ascii="Arial" w:eastAsia="SimSun" w:hAnsi="Arial" w:cs="Arial"/>
                <w:sz w:val="16"/>
                <w:szCs w:val="16"/>
                <w:lang w:eastAsia="zh-CN"/>
              </w:rPr>
              <w:br/>
              <w:t>Patient must not receive more than 32 weeks of treatment under this restriction;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w:t>
            </w:r>
            <w:r w:rsidRPr="006D52A9">
              <w:rPr>
                <w:rFonts w:ascii="Arial" w:eastAsia="SimSun" w:hAnsi="Arial" w:cs="Arial"/>
                <w:sz w:val="16"/>
                <w:szCs w:val="16"/>
                <w:lang w:eastAsia="zh-CN"/>
              </w:rPr>
              <w:lastRenderedPageBreak/>
              <w:t>biological medicine prescribed for severe asthma.</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Severe Allergic Asthma (omalizumab) Initial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the following:</w:t>
            </w:r>
            <w:r w:rsidRPr="006D52A9">
              <w:rPr>
                <w:rFonts w:ascii="Arial" w:eastAsia="SimSun" w:hAnsi="Arial" w:cs="Arial"/>
                <w:sz w:val="16"/>
                <w:szCs w:val="16"/>
                <w:lang w:eastAsia="zh-CN"/>
              </w:rPr>
              <w:br/>
              <w:t>(i)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item version) score (where a new baseline is being submitted or where the patient has responded to prior treatment); and</w:t>
            </w:r>
            <w:r w:rsidRPr="006D52A9">
              <w:rPr>
                <w:rFonts w:ascii="Arial" w:eastAsia="SimSun" w:hAnsi="Arial" w:cs="Arial"/>
                <w:sz w:val="16"/>
                <w:szCs w:val="16"/>
                <w:lang w:eastAsia="zh-CN"/>
              </w:rPr>
              <w:br/>
              <w:t>(ii) the details of prior biological medicine treatment including the details of date and duration of treatment; and</w:t>
            </w:r>
            <w:r w:rsidRPr="006D52A9">
              <w:rPr>
                <w:rFonts w:ascii="Arial" w:eastAsia="SimSun" w:hAnsi="Arial" w:cs="Arial"/>
                <w:sz w:val="16"/>
                <w:szCs w:val="16"/>
                <w:lang w:eastAsia="zh-CN"/>
              </w:rPr>
              <w:br/>
              <w:t>(iii) the IgE results; and</w:t>
            </w:r>
            <w:r w:rsidRPr="006D52A9">
              <w:rPr>
                <w:rFonts w:ascii="Arial" w:eastAsia="SimSun" w:hAnsi="Arial" w:cs="Arial"/>
                <w:sz w:val="16"/>
                <w:szCs w:val="16"/>
                <w:lang w:eastAsia="zh-CN"/>
              </w:rPr>
              <w:br/>
              <w:t>(iv) the reason for switching therapy (e.g. failure of prior therapy, partial response to prior therapy, adverse event to prior therapy).</w:t>
            </w:r>
            <w:r w:rsidRPr="006D52A9">
              <w:rPr>
                <w:rFonts w:ascii="Arial" w:eastAsia="SimSun" w:hAnsi="Arial" w:cs="Arial"/>
                <w:sz w:val="16"/>
                <w:szCs w:val="16"/>
                <w:lang w:eastAsia="zh-CN"/>
              </w:rPr>
              <w:br/>
              <w:t>An application for a patient who has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for this condition who wishes to change therapy to this biological medicine, must be accompanied by the results of an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assessment of the patient’s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r w:rsidRPr="006D52A9">
              <w:rPr>
                <w:rFonts w:ascii="Arial" w:eastAsia="SimSun" w:hAnsi="Arial" w:cs="Arial"/>
                <w:sz w:val="16"/>
                <w:szCs w:val="16"/>
                <w:lang w:eastAsia="zh-CN"/>
              </w:rPr>
              <w:br/>
              <w:t>An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assessment of the patient may be made at the time of application for treatment (to establish a new baseline score), but should be made again around 28 weeks after the first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dose of this biological medicine under this restriction so that there is adequate time for a response to be demonstrated and for the application for the first continuing therapy to be processed.</w:t>
            </w:r>
            <w:r w:rsidRPr="006D52A9">
              <w:rPr>
                <w:rFonts w:ascii="Arial" w:eastAsia="SimSun" w:hAnsi="Arial" w:cs="Arial"/>
                <w:sz w:val="16"/>
                <w:szCs w:val="16"/>
                <w:lang w:eastAsia="zh-CN"/>
              </w:rPr>
              <w:b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r w:rsidRPr="006D52A9">
              <w:rPr>
                <w:rFonts w:ascii="Arial" w:eastAsia="SimSun" w:hAnsi="Arial" w:cs="Arial"/>
                <w:sz w:val="16"/>
                <w:szCs w:val="16"/>
                <w:lang w:eastAsia="zh-CN"/>
              </w:rPr>
              <w:br/>
              <w:t>At the time of the authority application, medical practitioners should request an appropriate maximum quantity based on IgE level and body weight (refer to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to be administered every 2 to 4 weeks and up to 7 repeats to provide for an initial course sufficient for up to 32 weeks of therapy.</w:t>
            </w:r>
            <w:r w:rsidRPr="006D52A9">
              <w:rPr>
                <w:rFonts w:ascii="Arial" w:eastAsia="SimSun" w:hAnsi="Arial" w:cs="Arial"/>
                <w:sz w:val="16"/>
                <w:szCs w:val="16"/>
                <w:lang w:eastAsia="zh-CN"/>
              </w:rPr>
              <w:br/>
              <w:t>A multidisciplinary severe asthma clinic team comprises of:</w:t>
            </w:r>
            <w:r w:rsidRPr="006D52A9">
              <w:rPr>
                <w:rFonts w:ascii="Arial" w:eastAsia="SimSun" w:hAnsi="Arial" w:cs="Arial"/>
                <w:sz w:val="16"/>
                <w:szCs w:val="16"/>
                <w:lang w:eastAsia="zh-CN"/>
              </w:rPr>
              <w:br/>
              <w:t>A respiratory physician; and</w:t>
            </w:r>
            <w:r w:rsidRPr="006D52A9">
              <w:rPr>
                <w:rFonts w:ascii="Arial" w:eastAsia="SimSun" w:hAnsi="Arial" w:cs="Arial"/>
                <w:sz w:val="16"/>
                <w:szCs w:val="16"/>
                <w:lang w:eastAsia="zh-CN"/>
              </w:rPr>
              <w:br/>
              <w:t>A pharmacist, nurse or asthma educator.</w:t>
            </w:r>
          </w:p>
        </w:tc>
        <w:tc>
          <w:tcPr>
            <w:tcW w:w="929" w:type="pct"/>
            <w:tcMar>
              <w:top w:w="28" w:type="dxa"/>
              <w:left w:w="28" w:type="dxa"/>
              <w:right w:w="57" w:type="dxa"/>
            </w:tcMar>
          </w:tcPr>
          <w:p w14:paraId="5DABC48B"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BF453B" w14:paraId="70F67AEB" w14:textId="77777777" w:rsidTr="00FB6D2D">
        <w:tc>
          <w:tcPr>
            <w:tcW w:w="647" w:type="pct"/>
            <w:tcMar>
              <w:top w:w="28" w:type="dxa"/>
              <w:left w:w="28" w:type="dxa"/>
            </w:tcMar>
          </w:tcPr>
          <w:p w14:paraId="0D2B1562"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8E011D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C10223</w:t>
            </w:r>
          </w:p>
        </w:tc>
        <w:tc>
          <w:tcPr>
            <w:tcW w:w="274" w:type="pct"/>
            <w:tcMar>
              <w:top w:w="28" w:type="dxa"/>
              <w:left w:w="28" w:type="dxa"/>
            </w:tcMar>
          </w:tcPr>
          <w:p w14:paraId="571A2D24"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242A07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Balance of supply in a patient aged 6 to 12 years</w:t>
            </w:r>
            <w:r w:rsidRPr="006D52A9">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D52A9">
              <w:rPr>
                <w:rFonts w:ascii="Arial" w:eastAsia="SimSun" w:hAnsi="Arial" w:cs="Arial"/>
                <w:sz w:val="16"/>
                <w:szCs w:val="16"/>
                <w:lang w:eastAsia="zh-CN"/>
              </w:rPr>
              <w:br/>
              <w:t xml:space="preserve">Patient must have received insufficient therapy with this drug under the Initial treatment restriction to </w:t>
            </w:r>
            <w:r w:rsidRPr="006D52A9">
              <w:rPr>
                <w:rFonts w:ascii="Arial" w:eastAsia="SimSun" w:hAnsi="Arial" w:cs="Arial"/>
                <w:sz w:val="16"/>
                <w:szCs w:val="16"/>
                <w:lang w:eastAsia="zh-CN"/>
              </w:rPr>
              <w:lastRenderedPageBreak/>
              <w:t>complete 28 weeks treatment; OR</w:t>
            </w:r>
            <w:r w:rsidRPr="006D52A9">
              <w:rPr>
                <w:rFonts w:ascii="Arial" w:eastAsia="SimSun" w:hAnsi="Arial" w:cs="Arial"/>
                <w:sz w:val="16"/>
                <w:szCs w:val="16"/>
                <w:lang w:eastAsia="zh-CN"/>
              </w:rPr>
              <w:br/>
              <w:t>Patient must have received insufficient therapy with this drug under the Continuing treatment restriction to complete 24 weeks treatment; AND</w:t>
            </w:r>
            <w:r w:rsidRPr="006D52A9">
              <w:rPr>
                <w:rFonts w:ascii="Arial" w:eastAsia="SimSun" w:hAnsi="Arial" w:cs="Arial"/>
                <w:sz w:val="16"/>
                <w:szCs w:val="16"/>
                <w:lang w:eastAsia="zh-CN"/>
              </w:rPr>
              <w:br/>
              <w:t>The treatment must provide no more than the balance of up to 28 weeks treatment available under the Initial restriction or up to 24 weeks treatment available under the Continuing restriction.</w:t>
            </w:r>
          </w:p>
        </w:tc>
        <w:tc>
          <w:tcPr>
            <w:tcW w:w="929" w:type="pct"/>
            <w:tcMar>
              <w:top w:w="28" w:type="dxa"/>
              <w:left w:w="28" w:type="dxa"/>
              <w:right w:w="57" w:type="dxa"/>
            </w:tcMar>
          </w:tcPr>
          <w:p w14:paraId="7112954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BF453B" w14:paraId="18330673" w14:textId="77777777" w:rsidTr="00FB6D2D">
        <w:tc>
          <w:tcPr>
            <w:tcW w:w="647" w:type="pct"/>
            <w:tcMar>
              <w:top w:w="28" w:type="dxa"/>
              <w:left w:w="28" w:type="dxa"/>
            </w:tcMar>
          </w:tcPr>
          <w:p w14:paraId="3AD68262"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254AA9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C10226</w:t>
            </w:r>
          </w:p>
        </w:tc>
        <w:tc>
          <w:tcPr>
            <w:tcW w:w="274" w:type="pct"/>
            <w:tcMar>
              <w:top w:w="28" w:type="dxa"/>
              <w:left w:w="28" w:type="dxa"/>
            </w:tcMar>
          </w:tcPr>
          <w:p w14:paraId="152042A9"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1AA19E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a documented history of severe allergic asthma; AND</w:t>
            </w:r>
            <w:r w:rsidRPr="006D52A9">
              <w:rPr>
                <w:rFonts w:ascii="Arial" w:eastAsia="SimSun" w:hAnsi="Arial" w:cs="Arial"/>
                <w:sz w:val="16"/>
                <w:szCs w:val="16"/>
                <w:lang w:eastAsia="zh-CN"/>
              </w:rPr>
              <w:br/>
              <w:t>Patient must have demonstrated or sustained an adequate response to treatment with this drug; AND</w:t>
            </w:r>
            <w:r w:rsidRPr="006D52A9">
              <w:rPr>
                <w:rFonts w:ascii="Arial" w:eastAsia="SimSun" w:hAnsi="Arial" w:cs="Arial"/>
                <w:sz w:val="16"/>
                <w:szCs w:val="16"/>
                <w:lang w:eastAsia="zh-CN"/>
              </w:rPr>
              <w:br/>
              <w:t>Patient must not receive more than 24 weeks of treatment under this restriction.</w:t>
            </w:r>
            <w:r w:rsidRPr="006D52A9">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D52A9">
              <w:rPr>
                <w:rFonts w:ascii="Arial" w:eastAsia="SimSun" w:hAnsi="Arial" w:cs="Arial"/>
                <w:sz w:val="16"/>
                <w:szCs w:val="16"/>
                <w:lang w:eastAsia="zh-CN"/>
              </w:rPr>
              <w:br/>
              <w:t>An adequate response to omalizumab treatment is defined as:</w:t>
            </w:r>
            <w:r w:rsidRPr="006D52A9">
              <w:rPr>
                <w:rFonts w:ascii="Arial" w:eastAsia="SimSun" w:hAnsi="Arial" w:cs="Arial"/>
                <w:sz w:val="16"/>
                <w:szCs w:val="16"/>
                <w:lang w:eastAsia="zh-CN"/>
              </w:rPr>
              <w:br/>
              <w:t>(a) a reduction in the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or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score of at least 0.5 from baseline, OR</w:t>
            </w:r>
            <w:r w:rsidRPr="006D52A9">
              <w:rPr>
                <w:rFonts w:ascii="Arial" w:eastAsia="SimSun" w:hAnsi="Arial" w:cs="Arial"/>
                <w:sz w:val="16"/>
                <w:szCs w:val="16"/>
                <w:lang w:eastAsia="zh-CN"/>
              </w:rPr>
              <w:br/>
              <w:t>(b) maintenance oral corticosteroid dose reduced by at least 25% from baseline, and no deterioration in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or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score from baseline, OR</w:t>
            </w:r>
            <w:r w:rsidRPr="006D52A9">
              <w:rPr>
                <w:rFonts w:ascii="Arial" w:eastAsia="SimSun" w:hAnsi="Arial" w:cs="Arial"/>
                <w:sz w:val="16"/>
                <w:szCs w:val="16"/>
                <w:lang w:eastAsia="zh-CN"/>
              </w:rPr>
              <w:br/>
              <w:t>(c) a reduction in the time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adjusted exacerbation rates compared to the 12 months prior to baseline.</w:t>
            </w:r>
            <w:r w:rsidRPr="006D52A9">
              <w:rPr>
                <w:rFonts w:ascii="Arial" w:eastAsia="SimSun" w:hAnsi="Arial" w:cs="Arial"/>
                <w:sz w:val="16"/>
                <w:szCs w:val="16"/>
                <w:lang w:eastAsia="zh-CN"/>
              </w:rPr>
              <w:br/>
              <w:t>All applications for continuing treatment with omalizumab must include a measurement of response to the prior course of therapy. The Asthma Control Questionnaire (5 item version) or Asthma Control Questionnaire interviewer administered version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assessment of the patient’s response to the prior course of treatment, the assessment of systemic corticosteroid dose, and the assessment of time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adjusted exacerbation rate must be made at around 20 weeks after the first dose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omalizumab so that there is adequate time for a response to be demonstrated and for the application for continuing therapy to be processed.</w:t>
            </w:r>
            <w:r w:rsidRPr="006D52A9">
              <w:rPr>
                <w:rFonts w:ascii="Arial" w:eastAsia="SimSun" w:hAnsi="Arial" w:cs="Arial"/>
                <w:sz w:val="16"/>
                <w:szCs w:val="16"/>
                <w:lang w:eastAsia="zh-CN"/>
              </w:rPr>
              <w:br/>
              <w:t>The first assessment should, where possible, be completed by the same physician who initiated treatment with omalizumab.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6D52A9">
              <w:rPr>
                <w:rFonts w:ascii="Arial" w:eastAsia="SimSun" w:hAnsi="Arial" w:cs="Arial"/>
                <w:sz w:val="16"/>
                <w:szCs w:val="16"/>
                <w:lang w:eastAsia="zh-CN"/>
              </w:rPr>
              <w:br/>
              <w:t>A patient who fails to respond to a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omalizumab for the treatment of uncontrolled severe allergic asthma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omalizumab for this condition within 6 months of the date on which treatment was ceased.</w:t>
            </w:r>
            <w:r w:rsidRPr="006D52A9">
              <w:rPr>
                <w:rFonts w:ascii="Arial" w:eastAsia="SimSun" w:hAnsi="Arial" w:cs="Arial"/>
                <w:sz w:val="16"/>
                <w:szCs w:val="16"/>
                <w:lang w:eastAsia="zh-CN"/>
              </w:rPr>
              <w:br/>
              <w:t>At the time of the authority application, medical practitioners should request the appropriate quantity and number of repeats to provide for a continuing course of omalizumab consisting of the recommended number of doses for the baseline IgE level and body weight of the patient (refer to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sufficient for 24 weeks of therapy.</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 xml:space="preserve">(b) a completed Paediatric Severe Allergic Asthma Continuing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details of:</w:t>
            </w:r>
            <w:r w:rsidRPr="006D52A9">
              <w:rPr>
                <w:rFonts w:ascii="Arial" w:eastAsia="SimSun" w:hAnsi="Arial" w:cs="Arial"/>
                <w:sz w:val="16"/>
                <w:szCs w:val="16"/>
                <w:lang w:eastAsia="zh-CN"/>
              </w:rPr>
              <w:br/>
              <w:t>(i) maintenance oral corticosteroid dose; and</w:t>
            </w:r>
            <w:r w:rsidRPr="006D52A9">
              <w:rPr>
                <w:rFonts w:ascii="Arial" w:eastAsia="SimSun" w:hAnsi="Arial" w:cs="Arial"/>
                <w:sz w:val="16"/>
                <w:szCs w:val="16"/>
                <w:lang w:eastAsia="zh-CN"/>
              </w:rPr>
              <w:br/>
              <w:t>(ii)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or</w:t>
            </w:r>
            <w:r w:rsidRPr="006D52A9">
              <w:rPr>
                <w:rFonts w:ascii="Arial" w:eastAsia="SimSun" w:hAnsi="Arial" w:cs="Arial"/>
                <w:sz w:val="16"/>
                <w:szCs w:val="16"/>
                <w:lang w:eastAsia="zh-CN"/>
              </w:rPr>
              <w:br/>
              <w:t>(iii) Asthma Control Questionnaire interviewer administered version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score.</w:t>
            </w:r>
          </w:p>
        </w:tc>
        <w:tc>
          <w:tcPr>
            <w:tcW w:w="929" w:type="pct"/>
            <w:tcMar>
              <w:top w:w="28" w:type="dxa"/>
              <w:left w:w="28" w:type="dxa"/>
              <w:right w:w="57" w:type="dxa"/>
            </w:tcMar>
          </w:tcPr>
          <w:p w14:paraId="45B0517D"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BF453B" w14:paraId="15B8995A" w14:textId="77777777" w:rsidTr="00FB6D2D">
        <w:tc>
          <w:tcPr>
            <w:tcW w:w="647" w:type="pct"/>
            <w:tcMar>
              <w:top w:w="28" w:type="dxa"/>
              <w:left w:w="28" w:type="dxa"/>
            </w:tcMar>
          </w:tcPr>
          <w:p w14:paraId="788B1BAD"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BB1BB0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C10265</w:t>
            </w:r>
          </w:p>
        </w:tc>
        <w:tc>
          <w:tcPr>
            <w:tcW w:w="274" w:type="pct"/>
            <w:tcMar>
              <w:top w:w="28" w:type="dxa"/>
              <w:left w:w="28" w:type="dxa"/>
            </w:tcMar>
          </w:tcPr>
          <w:p w14:paraId="3C5FD248"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312E17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forced expiratory volume (FEV1) reversibility or airway hyperresponsiveness or peak expiratory flow (PEF) variability; AND</w:t>
            </w:r>
            <w:r w:rsidRPr="006D52A9">
              <w:rPr>
                <w:rFonts w:ascii="Arial" w:eastAsia="SimSun" w:hAnsi="Arial" w:cs="Arial"/>
                <w:sz w:val="16"/>
                <w:szCs w:val="16"/>
                <w:lang w:eastAsia="zh-CN"/>
              </w:rPr>
              <w:br/>
              <w:t>Patient must have a duration of asthma of at least 1 year; AND</w:t>
            </w:r>
            <w:r w:rsidRPr="006D52A9">
              <w:rPr>
                <w:rFonts w:ascii="Arial" w:eastAsia="SimSun" w:hAnsi="Arial" w:cs="Arial"/>
                <w:sz w:val="16"/>
                <w:szCs w:val="16"/>
                <w:lang w:eastAsia="zh-CN"/>
              </w:rPr>
              <w:br/>
              <w:t>Patient must have past or current evidence of atopy, documented by skin prick testing or an in vitro measure of specific IgE; AND</w:t>
            </w:r>
            <w:r w:rsidRPr="006D52A9">
              <w:rPr>
                <w:rFonts w:ascii="Arial" w:eastAsia="SimSun" w:hAnsi="Arial" w:cs="Arial"/>
                <w:sz w:val="16"/>
                <w:szCs w:val="16"/>
                <w:lang w:eastAsia="zh-CN"/>
              </w:rPr>
              <w:br/>
              <w:t>Patient must have total serum human immunoglobulin E greater than or equal to 30 IU/mL; AND</w:t>
            </w:r>
            <w:r w:rsidRPr="006D52A9">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6D52A9">
              <w:rPr>
                <w:rFonts w:ascii="Arial" w:eastAsia="SimSun" w:hAnsi="Arial" w:cs="Arial"/>
                <w:sz w:val="16"/>
                <w:szCs w:val="16"/>
                <w:lang w:eastAsia="zh-CN"/>
              </w:rPr>
              <w:br/>
              <w:t>Patient must not receive more than 28 weeks of treatment under this restriction.</w:t>
            </w:r>
            <w:r w:rsidRPr="006D52A9">
              <w:rPr>
                <w:rFonts w:ascii="Arial" w:eastAsia="SimSun" w:hAnsi="Arial" w:cs="Arial"/>
                <w:sz w:val="16"/>
                <w:szCs w:val="16"/>
                <w:lang w:eastAsia="zh-CN"/>
              </w:rPr>
              <w:br/>
              <w:t>Patient must be aged 6 to less than 12 years.</w:t>
            </w:r>
            <w:r w:rsidRPr="006D52A9">
              <w:rPr>
                <w:rFonts w:ascii="Arial" w:eastAsia="SimSun" w:hAnsi="Arial" w:cs="Arial"/>
                <w:sz w:val="16"/>
                <w:szCs w:val="16"/>
                <w:lang w:eastAsia="zh-CN"/>
              </w:rPr>
              <w:br/>
              <w:t>Must be treated by a paediatric respiratory physician, clinical immunologist, allergist; or paediatrician or general physician experienced in the management of patients with severe asthma, in consultation with a respiratory physician.</w:t>
            </w:r>
            <w:r w:rsidRPr="006D52A9">
              <w:rPr>
                <w:rFonts w:ascii="Arial" w:eastAsia="SimSun" w:hAnsi="Arial" w:cs="Arial"/>
                <w:sz w:val="16"/>
                <w:szCs w:val="16"/>
                <w:lang w:eastAsia="zh-CN"/>
              </w:rPr>
              <w:br/>
              <w:t>Patient must be under the care of the same physician for at least 6 months.</w:t>
            </w:r>
            <w:r w:rsidRPr="006D52A9">
              <w:rPr>
                <w:rFonts w:ascii="Arial" w:eastAsia="SimSun" w:hAnsi="Arial" w:cs="Arial"/>
                <w:sz w:val="16"/>
                <w:szCs w:val="16"/>
                <w:lang w:eastAsia="zh-CN"/>
              </w:rPr>
              <w:br/>
              <w:t>Optimised asthma therapy includes:</w:t>
            </w:r>
            <w:r w:rsidRPr="006D52A9">
              <w:rPr>
                <w:rFonts w:ascii="Arial" w:eastAsia="SimSun" w:hAnsi="Arial" w:cs="Arial"/>
                <w:sz w:val="16"/>
                <w:szCs w:val="16"/>
                <w:lang w:eastAsia="zh-CN"/>
              </w:rPr>
              <w:br/>
              <w:t>(i) Adherence to optimal inhaled therapy, including high dose inhaled corticosteroid (ICS) and long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acting beta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 agonist (LABA) therapy for at least six months. If LABA therapy is contraindicated, not tolerated or not effective, montelukast, cromoglycate or nedocromil may be used as an alternative;</w:t>
            </w:r>
            <w:r w:rsidRPr="006D52A9">
              <w:rPr>
                <w:rFonts w:ascii="Arial" w:eastAsia="SimSun" w:hAnsi="Arial" w:cs="Arial"/>
                <w:sz w:val="16"/>
                <w:szCs w:val="16"/>
                <w:lang w:eastAsia="zh-CN"/>
              </w:rPr>
              <w:br/>
              <w:t>AND</w:t>
            </w:r>
            <w:r w:rsidRPr="006D52A9">
              <w:rPr>
                <w:rFonts w:ascii="Arial" w:eastAsia="SimSun" w:hAnsi="Arial" w:cs="Arial"/>
                <w:sz w:val="16"/>
                <w:szCs w:val="16"/>
                <w:lang w:eastAsia="zh-CN"/>
              </w:rPr>
              <w:br/>
              <w:t>(ii) treatment with at least 2 courses of oral or IV corticosteroids (daily or alternate day maintenance treatment courses, or 3</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day exacerbation treatment courses), in the previous 12 months, unless contraindicated or not tolerated.</w:t>
            </w:r>
            <w:r w:rsidRPr="006D52A9">
              <w:rPr>
                <w:rFonts w:ascii="Arial" w:eastAsia="SimSun" w:hAnsi="Arial" w:cs="Arial"/>
                <w:sz w:val="16"/>
                <w:szCs w:val="16"/>
                <w:lang w:eastAsia="zh-CN"/>
              </w:rPr>
              <w:br/>
              <w:t>If the requirement for treatment with optimised asthma therapy cannot be met because of contraindications (including those specified in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and/or intolerances of a severity necessitating permanent treatment withdrawal, details of the contraindication and/or intolerance must be provided in the Authority application.</w:t>
            </w:r>
            <w:r w:rsidRPr="006D52A9">
              <w:rPr>
                <w:rFonts w:ascii="Arial" w:eastAsia="SimSun" w:hAnsi="Arial" w:cs="Arial"/>
                <w:sz w:val="16"/>
                <w:szCs w:val="16"/>
                <w:lang w:eastAsia="zh-CN"/>
              </w:rPr>
              <w:br/>
              <w:t>The initial IgE assessment must be no more than 12 months old at the time of application.</w:t>
            </w:r>
            <w:r w:rsidRPr="006D52A9">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6D52A9">
              <w:rPr>
                <w:rFonts w:ascii="Arial" w:eastAsia="SimSun" w:hAnsi="Arial" w:cs="Arial"/>
                <w:sz w:val="16"/>
                <w:szCs w:val="16"/>
                <w:lang w:eastAsia="zh-CN"/>
              </w:rPr>
              <w:br/>
              <w:t>(a) An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5) score of at least 2.0, as assessed in the previous month (for children aged 6 to 10 years it is recommended that the Interviewer Administered version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the </w:t>
            </w:r>
            <w:r w:rsidRPr="006D52A9">
              <w:rPr>
                <w:rFonts w:ascii="Arial" w:eastAsia="SimSun" w:hAnsi="Arial" w:cs="Arial"/>
                <w:sz w:val="16"/>
                <w:szCs w:val="16"/>
                <w:lang w:eastAsia="zh-CN"/>
              </w:rPr>
              <w:lastRenderedPageBreak/>
              <w:t>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be used),</w:t>
            </w:r>
            <w:r w:rsidRPr="006D52A9">
              <w:rPr>
                <w:rFonts w:ascii="Arial" w:eastAsia="SimSun" w:hAnsi="Arial" w:cs="Arial"/>
                <w:sz w:val="16"/>
                <w:szCs w:val="16"/>
                <w:lang w:eastAsia="zh-CN"/>
              </w:rPr>
              <w:br/>
              <w:t>AND</w:t>
            </w:r>
            <w:r w:rsidRPr="006D52A9">
              <w:rPr>
                <w:rFonts w:ascii="Arial" w:eastAsia="SimSun" w:hAnsi="Arial" w:cs="Arial"/>
                <w:sz w:val="16"/>
                <w:szCs w:val="16"/>
                <w:lang w:eastAsia="zh-CN"/>
              </w:rPr>
              <w:br/>
              <w:t>(b)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eastAsia="SimSun" w:hAnsi="Arial" w:cs="Arial"/>
                <w:sz w:val="16"/>
                <w:szCs w:val="16"/>
                <w:lang w:eastAsia="zh-CN"/>
              </w:rPr>
              <w:br/>
              <w:t>The Asthma Control Questionnaire (5 item version) or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assessment of the patient’s response to this initial course of treatment, the assessment of oral corticosteroid dose, and the assessment of exacerbation rate should be made at around 24 weeks after the first dose so that there is adequate time for a response to be demonstrated and for the application for continuing therapy to be processed.</w:t>
            </w:r>
            <w:r w:rsidRPr="006D52A9">
              <w:rPr>
                <w:rFonts w:ascii="Arial" w:eastAsia="SimSun" w:hAnsi="Arial" w:cs="Arial"/>
                <w:sz w:val="16"/>
                <w:szCs w:val="16"/>
                <w:lang w:eastAsia="zh-CN"/>
              </w:rPr>
              <w:br/>
              <w:t>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omalizumab.</w:t>
            </w:r>
            <w:r w:rsidRPr="006D52A9">
              <w:rPr>
                <w:rFonts w:ascii="Arial" w:eastAsia="SimSun" w:hAnsi="Arial" w:cs="Arial"/>
                <w:sz w:val="16"/>
                <w:szCs w:val="16"/>
                <w:lang w:eastAsia="zh-CN"/>
              </w:rPr>
              <w:br/>
              <w:t>A patient who fails to respond to a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omalizumab for the treatment of uncontrolled severe allergic asthma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omalizumab for this condition within 6 months of the date on which treatment was ceased.</w:t>
            </w:r>
            <w:r w:rsidRPr="006D52A9">
              <w:rPr>
                <w:rFonts w:ascii="Arial" w:eastAsia="SimSun" w:hAnsi="Arial" w:cs="Arial"/>
                <w:sz w:val="16"/>
                <w:szCs w:val="16"/>
                <w:lang w:eastAsia="zh-CN"/>
              </w:rPr>
              <w:br/>
              <w:t>At the time of the authority application, medical practitioners should request the appropriate maximum quantity and number of repeats to provide for an initial course of omalizumab of up to 28 weeks, consisting of the recommended number of doses for the baseline IgE level and body weight of the patient (refer to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to be administered every 2 or 4 weeks.</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Paediatric Severe Allergic Asthma Initial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which includes the following:</w:t>
            </w:r>
            <w:r w:rsidRPr="006D52A9">
              <w:rPr>
                <w:rFonts w:ascii="Arial" w:eastAsia="SimSun" w:hAnsi="Arial" w:cs="Arial"/>
                <w:sz w:val="16"/>
                <w:szCs w:val="16"/>
                <w:lang w:eastAsia="zh-CN"/>
              </w:rPr>
              <w:br/>
              <w:t>(i) details of prior optimised asthma drug therapy (dosage, date of commencement and duration of therapy); and</w:t>
            </w:r>
            <w:r w:rsidRPr="006D52A9">
              <w:rPr>
                <w:rFonts w:ascii="Arial" w:eastAsia="SimSun" w:hAnsi="Arial" w:cs="Arial"/>
                <w:sz w:val="16"/>
                <w:szCs w:val="16"/>
                <w:lang w:eastAsia="zh-CN"/>
              </w:rPr>
              <w:br/>
              <w:t>(ii) details of severe exacerbation/s experienced in the past 12 months while receiving optimised asthma therapy (date and treatment); and</w:t>
            </w:r>
            <w:r w:rsidRPr="006D52A9">
              <w:rPr>
                <w:rFonts w:ascii="Arial" w:eastAsia="SimSun" w:hAnsi="Arial" w:cs="Arial"/>
                <w:sz w:val="16"/>
                <w:szCs w:val="16"/>
                <w:lang w:eastAsia="zh-CN"/>
              </w:rPr>
              <w:br/>
              <w:t>(iii) the IgE result; and</w:t>
            </w:r>
            <w:r w:rsidRPr="006D52A9">
              <w:rPr>
                <w:rFonts w:ascii="Arial" w:eastAsia="SimSun" w:hAnsi="Arial" w:cs="Arial"/>
                <w:sz w:val="16"/>
                <w:szCs w:val="16"/>
                <w:lang w:eastAsia="zh-CN"/>
              </w:rPr>
              <w:br/>
              <w:t>(iv)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or</w:t>
            </w:r>
            <w:r w:rsidRPr="006D52A9">
              <w:rPr>
                <w:rFonts w:ascii="Arial" w:eastAsia="SimSun" w:hAnsi="Arial" w:cs="Arial"/>
                <w:sz w:val="16"/>
                <w:szCs w:val="16"/>
                <w:lang w:eastAsia="zh-CN"/>
              </w:rPr>
              <w:br/>
              <w:t>(v) Asthma Control Questionnaire interviewer administered version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IA) score.</w:t>
            </w:r>
          </w:p>
        </w:tc>
        <w:tc>
          <w:tcPr>
            <w:tcW w:w="929" w:type="pct"/>
            <w:tcMar>
              <w:top w:w="28" w:type="dxa"/>
              <w:left w:w="28" w:type="dxa"/>
              <w:right w:w="57" w:type="dxa"/>
            </w:tcMar>
          </w:tcPr>
          <w:p w14:paraId="466116E8"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BF453B" w14:paraId="4FCEB18F" w14:textId="77777777" w:rsidTr="00FB6D2D">
        <w:tc>
          <w:tcPr>
            <w:tcW w:w="647" w:type="pct"/>
            <w:tcMar>
              <w:top w:w="28" w:type="dxa"/>
              <w:left w:w="28" w:type="dxa"/>
            </w:tcMar>
          </w:tcPr>
          <w:p w14:paraId="65DFC7B7"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4FDB64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C10279</w:t>
            </w:r>
          </w:p>
        </w:tc>
        <w:tc>
          <w:tcPr>
            <w:tcW w:w="274" w:type="pct"/>
            <w:tcMar>
              <w:top w:w="28" w:type="dxa"/>
              <w:left w:w="28" w:type="dxa"/>
            </w:tcMar>
          </w:tcPr>
          <w:p w14:paraId="2445E8B5"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8FD1C5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demonstrated or sustained an adequate response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not receive more than 24 weeks of treatment under this restriction;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prescribed for severe asthma.</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t>An adequate response to omalizumab treatment is defined as:</w:t>
            </w:r>
            <w:r w:rsidRPr="006D52A9">
              <w:rPr>
                <w:rFonts w:ascii="Arial" w:eastAsia="SimSun" w:hAnsi="Arial" w:cs="Arial"/>
                <w:sz w:val="16"/>
                <w:szCs w:val="16"/>
                <w:lang w:eastAsia="zh-CN"/>
              </w:rPr>
              <w:br/>
              <w:t>(a) a reduction in the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of at least 0.5 from baseline, OR</w:t>
            </w:r>
            <w:r w:rsidRPr="006D52A9">
              <w:rPr>
                <w:rFonts w:ascii="Arial" w:eastAsia="SimSun" w:hAnsi="Arial" w:cs="Arial"/>
                <w:sz w:val="16"/>
                <w:szCs w:val="16"/>
                <w:lang w:eastAsia="zh-CN"/>
              </w:rPr>
              <w:br/>
              <w:t>(b) maintenance oral corticosteroid dose reduced by at least 25% from baseline, and no deterioration in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from baseline or an increase in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from baseline less than or equal to 0.5, OR</w:t>
            </w:r>
            <w:r w:rsidRPr="006D52A9">
              <w:rPr>
                <w:rFonts w:ascii="Arial" w:eastAsia="SimSun" w:hAnsi="Arial" w:cs="Arial"/>
                <w:sz w:val="16"/>
                <w:szCs w:val="16"/>
                <w:lang w:eastAsia="zh-CN"/>
              </w:rPr>
              <w:br/>
              <w:t>(c) a reduction in the time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adjusted exacerbation rates compared to the 12 months prior to baseline (this criterion is only applicable for patients transitioned from the paediatric to the adolescent/adult restriction).</w:t>
            </w:r>
            <w:r w:rsidRPr="006D52A9">
              <w:rPr>
                <w:rFonts w:ascii="Arial" w:eastAsia="SimSun" w:hAnsi="Arial" w:cs="Arial"/>
                <w:sz w:val="16"/>
                <w:szCs w:val="16"/>
                <w:lang w:eastAsia="zh-CN"/>
              </w:rPr>
              <w:br/>
              <w:t>All applications for second and subsequent continuing treatments with this drug must include a measurement of response to the prior course of therapy. The Asthma Control Questionnaire (5 item version) assessment of the patient’s response to the prior course of treatment, the assessment of oral corticosteroid dose or the assessment of time adjusted exacerbation rate must be made at around 20 weeks after the first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dose of this drug under this restriction so that there is adequate time for a response to be demonstrated and for the application for continuing therapy to be processed.</w:t>
            </w:r>
            <w:r w:rsidRPr="006D52A9">
              <w:rPr>
                <w:rFonts w:ascii="Arial" w:eastAsia="SimSun" w:hAnsi="Arial" w:cs="Arial"/>
                <w:sz w:val="16"/>
                <w:szCs w:val="16"/>
                <w:lang w:eastAsia="zh-CN"/>
              </w:rPr>
              <w:b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6D52A9">
              <w:rPr>
                <w:rFonts w:ascii="Arial" w:eastAsia="SimSun" w:hAnsi="Arial" w:cs="Arial"/>
                <w:sz w:val="16"/>
                <w:szCs w:val="16"/>
                <w:lang w:eastAsia="zh-CN"/>
              </w:rPr>
              <w:b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r w:rsidRPr="006D52A9">
              <w:rPr>
                <w:rFonts w:ascii="Arial" w:eastAsia="SimSun" w:hAnsi="Arial" w:cs="Arial"/>
                <w:sz w:val="16"/>
                <w:szCs w:val="16"/>
                <w:lang w:eastAsia="zh-CN"/>
              </w:rPr>
              <w:br/>
              <w:t>A patient who fails to respond to treatment with this biological medicine for uncontrolled severe asthma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biological medicine for severe asthma within the current treatment cycle.</w:t>
            </w:r>
            <w:r w:rsidRPr="006D52A9">
              <w:rPr>
                <w:rFonts w:ascii="Arial" w:eastAsia="SimSun" w:hAnsi="Arial" w:cs="Arial"/>
                <w:sz w:val="16"/>
                <w:szCs w:val="16"/>
                <w:lang w:eastAsia="zh-CN"/>
              </w:rPr>
              <w:br/>
              <w:t>At the time of the authority application, medical practitioners should request the appropriate quantity and number of repeats to provide for a continuing course of this biological medicine consisting of the recommended number of doses for the baseline IgE level and body weight of the patient (refer to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sufficient for up to 24 weeks of therapy.</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form(s); and</w:t>
            </w:r>
            <w:r w:rsidRPr="006D52A9">
              <w:rPr>
                <w:rFonts w:ascii="Arial" w:eastAsia="SimSun" w:hAnsi="Arial" w:cs="Arial"/>
                <w:sz w:val="16"/>
                <w:szCs w:val="16"/>
                <w:lang w:eastAsia="zh-CN"/>
              </w:rPr>
              <w:br/>
              <w:t>(b) a completed Severe Allergic Asthma PBS Authority Application and Supporting Information Form which includes details of:</w:t>
            </w:r>
            <w:r w:rsidRPr="006D52A9">
              <w:rPr>
                <w:rFonts w:ascii="Arial" w:eastAsia="SimSun" w:hAnsi="Arial" w:cs="Arial"/>
                <w:sz w:val="16"/>
                <w:szCs w:val="16"/>
                <w:lang w:eastAsia="zh-CN"/>
              </w:rPr>
              <w:br/>
              <w:t>(i) maintenance oral corticosteroid dose; or</w:t>
            </w:r>
            <w:r w:rsidRPr="006D52A9">
              <w:rPr>
                <w:rFonts w:ascii="Arial" w:eastAsia="SimSun" w:hAnsi="Arial" w:cs="Arial"/>
                <w:sz w:val="16"/>
                <w:szCs w:val="16"/>
                <w:lang w:eastAsia="zh-CN"/>
              </w:rPr>
              <w:br/>
              <w:t>(ii)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including the date of assessment of the patient’s symptoms; or</w:t>
            </w:r>
            <w:r w:rsidRPr="006D52A9">
              <w:rPr>
                <w:rFonts w:ascii="Arial" w:eastAsia="SimSun" w:hAnsi="Arial" w:cs="Arial"/>
                <w:sz w:val="16"/>
                <w:szCs w:val="16"/>
                <w:lang w:eastAsia="zh-CN"/>
              </w:rPr>
              <w:br/>
              <w:t>(iii) for patients transitioned from the paediatric to the adolescent/adult restrictions, confirmation that the exacerbation rate has reduced.</w:t>
            </w:r>
          </w:p>
        </w:tc>
        <w:tc>
          <w:tcPr>
            <w:tcW w:w="929" w:type="pct"/>
            <w:tcMar>
              <w:top w:w="28" w:type="dxa"/>
              <w:left w:w="28" w:type="dxa"/>
              <w:right w:w="57" w:type="dxa"/>
            </w:tcMar>
          </w:tcPr>
          <w:p w14:paraId="1135962B"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BF453B" w14:paraId="4E27237F" w14:textId="77777777" w:rsidTr="00FB6D2D">
        <w:tc>
          <w:tcPr>
            <w:tcW w:w="647" w:type="pct"/>
            <w:tcMar>
              <w:top w:w="28" w:type="dxa"/>
              <w:left w:w="28" w:type="dxa"/>
            </w:tcMar>
          </w:tcPr>
          <w:p w14:paraId="477E8ECB"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D38E56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C10299</w:t>
            </w:r>
          </w:p>
        </w:tc>
        <w:tc>
          <w:tcPr>
            <w:tcW w:w="274" w:type="pct"/>
            <w:tcMar>
              <w:top w:w="28" w:type="dxa"/>
              <w:left w:w="28" w:type="dxa"/>
            </w:tcMar>
          </w:tcPr>
          <w:p w14:paraId="6AC56A38"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288E35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Uncontrolled severe allergic asthma</w:t>
            </w:r>
            <w:r w:rsidRPr="006D52A9">
              <w:rPr>
                <w:rFonts w:ascii="Arial" w:eastAsia="SimSun" w:hAnsi="Arial" w:cs="Arial"/>
                <w:sz w:val="16"/>
                <w:szCs w:val="16"/>
                <w:lang w:eastAsia="zh-CN"/>
              </w:rPr>
              <w:br/>
              <w:t xml:space="preserve">Initial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1 (New patients; or Recommencement of treatment in a new treatment cycle following a break in PBS subsidised biological medicine therapy)</w:t>
            </w:r>
            <w:r w:rsidRPr="006D52A9">
              <w:rPr>
                <w:rFonts w:ascii="Arial" w:eastAsia="SimSun" w:hAnsi="Arial" w:cs="Arial"/>
                <w:sz w:val="16"/>
                <w:szCs w:val="16"/>
                <w:lang w:eastAsia="zh-CN"/>
              </w:rPr>
              <w:br/>
              <w:t>Must be treated by a respiratory physician, clinical immunologist, allergist or general physician experienced in the management of patients with severe asthma.</w:t>
            </w:r>
            <w:r w:rsidRPr="006D52A9">
              <w:rPr>
                <w:rFonts w:ascii="Arial" w:eastAsia="SimSun" w:hAnsi="Arial" w:cs="Arial"/>
                <w:sz w:val="16"/>
                <w:szCs w:val="16"/>
                <w:lang w:eastAsia="zh-CN"/>
              </w:rPr>
              <w:br/>
              <w:t>Patient must be under the care of the same physician for at least 6 months; OR</w:t>
            </w:r>
            <w:r w:rsidRPr="006D52A9">
              <w:rPr>
                <w:rFonts w:ascii="Arial" w:eastAsia="SimSun" w:hAnsi="Arial" w:cs="Arial"/>
                <w:sz w:val="16"/>
                <w:szCs w:val="16"/>
                <w:lang w:eastAsia="zh-CN"/>
              </w:rPr>
              <w:br/>
              <w:t>Patient must have been diagnosed by a multidisciplinary severe asthma clinic team; AND</w:t>
            </w:r>
            <w:r w:rsidRPr="006D52A9">
              <w:rPr>
                <w:rFonts w:ascii="Arial" w:eastAsia="SimSun" w:hAnsi="Arial" w:cs="Arial"/>
                <w:sz w:val="16"/>
                <w:szCs w:val="16"/>
                <w:lang w:eastAsia="zh-CN"/>
              </w:rPr>
              <w:br/>
              <w:t>Patient must not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biological medicine for severe asthma; OR</w:t>
            </w:r>
            <w:r w:rsidRPr="006D52A9">
              <w:rPr>
                <w:rFonts w:ascii="Arial" w:eastAsia="SimSun" w:hAnsi="Arial" w:cs="Arial"/>
                <w:sz w:val="16"/>
                <w:szCs w:val="16"/>
                <w:lang w:eastAsia="zh-CN"/>
              </w:rPr>
              <w:br/>
              <w:t>Patient must have had a break in treatment from the most recently approved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for severe asthma; AND</w:t>
            </w:r>
            <w:r w:rsidRPr="006D52A9">
              <w:rPr>
                <w:rFonts w:ascii="Arial" w:eastAsia="SimSun" w:hAnsi="Arial" w:cs="Arial"/>
                <w:sz w:val="16"/>
                <w:szCs w:val="16"/>
                <w:lang w:eastAsia="zh-CN"/>
              </w:rPr>
              <w:b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r w:rsidRPr="006D52A9">
              <w:rPr>
                <w:rFonts w:ascii="Arial" w:eastAsia="SimSun" w:hAnsi="Arial" w:cs="Arial"/>
                <w:sz w:val="16"/>
                <w:szCs w:val="16"/>
                <w:lang w:eastAsia="zh-CN"/>
              </w:rPr>
              <w:br/>
              <w:t>Patient must have a diagnosis of asthma from at least two physicians experienced in the management of patients with severe asthma; AND</w:t>
            </w:r>
            <w:r w:rsidRPr="006D52A9">
              <w:rPr>
                <w:rFonts w:ascii="Arial" w:eastAsia="SimSun" w:hAnsi="Arial" w:cs="Arial"/>
                <w:sz w:val="16"/>
                <w:szCs w:val="16"/>
                <w:lang w:eastAsia="zh-CN"/>
              </w:rPr>
              <w:br/>
              <w:t>Patient must have a duration of asthma of at least 1 year; AND</w:t>
            </w:r>
            <w:r w:rsidRPr="006D52A9">
              <w:rPr>
                <w:rFonts w:ascii="Arial" w:eastAsia="SimSun" w:hAnsi="Arial" w:cs="Arial"/>
                <w:sz w:val="16"/>
                <w:szCs w:val="16"/>
                <w:lang w:eastAsia="zh-CN"/>
              </w:rPr>
              <w:br/>
              <w:t>Patient must have past or current evidence of atopy, documented by skin prick testing or an in vitro measure of specific IgE, that is no more than 1 year old; AND</w:t>
            </w:r>
            <w:r w:rsidRPr="006D52A9">
              <w:rPr>
                <w:rFonts w:ascii="Arial" w:eastAsia="SimSun" w:hAnsi="Arial" w:cs="Arial"/>
                <w:sz w:val="16"/>
                <w:szCs w:val="16"/>
                <w:lang w:eastAsia="zh-CN"/>
              </w:rPr>
              <w:br/>
              <w:t>Patient must have total serum human immunoglobulin E greater than or equal to 30 IU/mL; AND</w:t>
            </w:r>
            <w:r w:rsidRPr="006D52A9">
              <w:rPr>
                <w:rFonts w:ascii="Arial" w:eastAsia="SimSun" w:hAnsi="Arial" w:cs="Arial"/>
                <w:sz w:val="16"/>
                <w:szCs w:val="16"/>
                <w:lang w:eastAsia="zh-CN"/>
              </w:rPr>
              <w:br/>
              <w:t>Patient must have failed to achieve adequate control with optimised asthma therapy, despite formal assessment of and adherence to correct inhaler technique, which has been documented; AND</w:t>
            </w:r>
            <w:r w:rsidRPr="006D52A9">
              <w:rPr>
                <w:rFonts w:ascii="Arial" w:eastAsia="SimSun" w:hAnsi="Arial" w:cs="Arial"/>
                <w:sz w:val="16"/>
                <w:szCs w:val="16"/>
                <w:lang w:eastAsia="zh-CN"/>
              </w:rPr>
              <w:br/>
              <w:t>Patient must not receive more than 32 weeks of treatment under this restriction; AND</w:t>
            </w:r>
            <w:r w:rsidRPr="006D52A9">
              <w:rPr>
                <w:rFonts w:ascii="Arial" w:eastAsia="SimSun" w:hAnsi="Arial" w:cs="Arial"/>
                <w:sz w:val="16"/>
                <w:szCs w:val="16"/>
                <w:lang w:eastAsia="zh-CN"/>
              </w:rPr>
              <w:br/>
              <w:t>The treatment must not be used in combination with and within 4 weeks of another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prescribed for severe asthma.</w:t>
            </w:r>
            <w:r w:rsidRPr="006D52A9">
              <w:rPr>
                <w:rFonts w:ascii="Arial" w:eastAsia="SimSun" w:hAnsi="Arial" w:cs="Arial"/>
                <w:sz w:val="16"/>
                <w:szCs w:val="16"/>
                <w:lang w:eastAsia="zh-CN"/>
              </w:rPr>
              <w:br/>
              <w:t>Patient must be aged 12 years or older.</w:t>
            </w:r>
            <w:r w:rsidRPr="006D52A9">
              <w:rPr>
                <w:rFonts w:ascii="Arial" w:eastAsia="SimSun" w:hAnsi="Arial" w:cs="Arial"/>
                <w:sz w:val="16"/>
                <w:szCs w:val="16"/>
                <w:lang w:eastAsia="zh-CN"/>
              </w:rPr>
              <w:br/>
              <w:t>Optimised asthma therapy includes:</w:t>
            </w:r>
            <w:r w:rsidRPr="006D52A9">
              <w:rPr>
                <w:rFonts w:ascii="Arial" w:eastAsia="SimSun" w:hAnsi="Arial" w:cs="Arial"/>
                <w:sz w:val="16"/>
                <w:szCs w:val="16"/>
                <w:lang w:eastAsia="zh-CN"/>
              </w:rPr>
              <w:br/>
              <w:t>(i) Adherence to maximal inhaled therapy, including high dose inhaled corticosteroid (ICS) plus long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acting beta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 agonist (LABA) therapy for at least 12 months, unless contraindicated or not tolerated;</w:t>
            </w:r>
            <w:r w:rsidRPr="006D52A9">
              <w:rPr>
                <w:rFonts w:ascii="Arial" w:eastAsia="SimSun" w:hAnsi="Arial" w:cs="Arial"/>
                <w:sz w:val="16"/>
                <w:szCs w:val="16"/>
                <w:lang w:eastAsia="zh-CN"/>
              </w:rPr>
              <w:br/>
              <w:t>AND</w:t>
            </w:r>
            <w:r w:rsidRPr="006D52A9">
              <w:rPr>
                <w:rFonts w:ascii="Arial" w:eastAsia="SimSun" w:hAnsi="Arial" w:cs="Arial"/>
                <w:sz w:val="16"/>
                <w:szCs w:val="16"/>
                <w:lang w:eastAsia="zh-CN"/>
              </w:rPr>
              <w:br/>
              <w:t>(ii) treatment with oral corticosteroids, either daily oral corticosteroids for at least 6 weeks, OR a cumulative dose of oral corticosteroids of at least 500 mg prednisolone equivalent in the previous 12 months, unless contraindicated or not tolerated.</w:t>
            </w:r>
            <w:r w:rsidRPr="006D52A9">
              <w:rPr>
                <w:rFonts w:ascii="Arial" w:eastAsia="SimSun" w:hAnsi="Arial" w:cs="Arial"/>
                <w:sz w:val="16"/>
                <w:szCs w:val="16"/>
                <w:lang w:eastAsia="zh-CN"/>
              </w:rPr>
              <w:br/>
              <w:t>If the requirement for treatment with optimised asthma therapy cannot be met because of contraindications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approved Product Information and/or intolerances of a severity necessitating permanent treatment withdrawal, details of the contraindication and/or intolerance </w:t>
            </w:r>
            <w:r w:rsidRPr="006D52A9">
              <w:rPr>
                <w:rFonts w:ascii="Arial" w:eastAsia="SimSun" w:hAnsi="Arial" w:cs="Arial"/>
                <w:sz w:val="16"/>
                <w:szCs w:val="16"/>
                <w:lang w:eastAsia="zh-CN"/>
              </w:rPr>
              <w:lastRenderedPageBreak/>
              <w:t>must be provided in the Authority application.</w:t>
            </w:r>
            <w:r w:rsidRPr="006D52A9">
              <w:rPr>
                <w:rFonts w:ascii="Arial" w:eastAsia="SimSun" w:hAnsi="Arial" w:cs="Arial"/>
                <w:sz w:val="16"/>
                <w:szCs w:val="16"/>
                <w:lang w:eastAsia="zh-CN"/>
              </w:rPr>
              <w:br/>
              <w:t>The initial IgE assessment must be no more than 12 months old at the time of application.</w:t>
            </w:r>
            <w:r w:rsidRPr="006D52A9">
              <w:rPr>
                <w:rFonts w:ascii="Arial" w:eastAsia="SimSun" w:hAnsi="Arial" w:cs="Arial"/>
                <w:sz w:val="16"/>
                <w:szCs w:val="16"/>
                <w:lang w:eastAsia="zh-CN"/>
              </w:rPr>
              <w:br/>
              <w:t>The following initiation criteria indicate failure to achieve adequate control and must be demonstrated in all patients at the time of the application:</w:t>
            </w:r>
            <w:r w:rsidRPr="006D52A9">
              <w:rPr>
                <w:rFonts w:ascii="Arial" w:eastAsia="SimSun" w:hAnsi="Arial" w:cs="Arial"/>
                <w:sz w:val="16"/>
                <w:szCs w:val="16"/>
                <w:lang w:eastAsia="zh-CN"/>
              </w:rPr>
              <w:br/>
              <w:t>(a) an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 of at least 2.0, as assessed in the previous month, AND</w:t>
            </w:r>
            <w:r w:rsidRPr="006D52A9">
              <w:rPr>
                <w:rFonts w:ascii="Arial" w:eastAsia="SimSun" w:hAnsi="Arial" w:cs="Arial"/>
                <w:sz w:val="16"/>
                <w:szCs w:val="16"/>
                <w:lang w:eastAsia="zh-CN"/>
              </w:rPr>
              <w:b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r w:rsidRPr="006D52A9">
              <w:rPr>
                <w:rFonts w:ascii="Arial" w:eastAsia="SimSun" w:hAnsi="Arial" w:cs="Arial"/>
                <w:sz w:val="16"/>
                <w:szCs w:val="16"/>
                <w:lang w:eastAsia="zh-CN"/>
              </w:rPr>
              <w:br/>
              <w:t>The Asthma Control Questionnaire (5 item version) assessment of the patient’s response to this initial course of treatment, and the assessment of oral corticosteroid dose, should be made at around 28 weeks after the first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dose of this drug under this restriction so that there is adequate time for a response to be demonstrated and for the application for the first continuing therapy to be processed.</w:t>
            </w:r>
            <w:r w:rsidRPr="006D52A9">
              <w:rPr>
                <w:rFonts w:ascii="Arial" w:eastAsia="SimSun" w:hAnsi="Arial" w:cs="Arial"/>
                <w:sz w:val="16"/>
                <w:szCs w:val="16"/>
                <w:lang w:eastAsia="zh-CN"/>
              </w:rPr>
              <w:b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r w:rsidRPr="006D52A9">
              <w:rPr>
                <w:rFonts w:ascii="Arial" w:eastAsia="SimSun" w:hAnsi="Arial" w:cs="Arial"/>
                <w:sz w:val="16"/>
                <w:szCs w:val="16"/>
                <w:lang w:eastAsia="zh-CN"/>
              </w:rPr>
              <w:br/>
              <w:t>If a patient fails to demonstrate a response to treatment with this drug they will not be eligible to receive further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severe asthma within the same treatment cycle.</w:t>
            </w:r>
            <w:r w:rsidRPr="006D52A9">
              <w:rPr>
                <w:rFonts w:ascii="Arial" w:eastAsia="SimSun" w:hAnsi="Arial" w:cs="Arial"/>
                <w:sz w:val="16"/>
                <w:szCs w:val="16"/>
                <w:lang w:eastAsia="zh-CN"/>
              </w:rPr>
              <w:br/>
              <w:t>A treatment break in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therapy of at least 12 months must be observed in a patient who has either failed to achieve or sustain a response to treatment with 3 biological medicines for severe asthma within the same treatment cycle.</w:t>
            </w:r>
            <w:r w:rsidRPr="006D52A9">
              <w:rPr>
                <w:rFonts w:ascii="Arial" w:eastAsia="SimSun" w:hAnsi="Arial" w:cs="Arial"/>
                <w:sz w:val="16"/>
                <w:szCs w:val="16"/>
                <w:lang w:eastAsia="zh-CN"/>
              </w:rPr>
              <w:br/>
              <w:t>A treatment break in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omalizumab therapy of at least 6 months must be observed in a patient with uncontrolled severe allergic asthma, in whom omalizumab is the only appropriate treatment option, and who has either failed to achieve or sustain a response to the most recent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omalizumab therapy.</w:t>
            </w:r>
            <w:r w:rsidRPr="006D52A9">
              <w:rPr>
                <w:rFonts w:ascii="Arial" w:eastAsia="SimSun" w:hAnsi="Arial" w:cs="Arial"/>
                <w:sz w:val="16"/>
                <w:szCs w:val="16"/>
                <w:lang w:eastAsia="zh-CN"/>
              </w:rPr>
              <w:br/>
              <w:t>The length of the break in therapy is measured from the date the most recent treatment with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biological medicine was administered until the date of the first application for recommencement of treatment with a biological medicine under the new treatment cycle.</w:t>
            </w:r>
            <w:r w:rsidRPr="006D52A9">
              <w:rPr>
                <w:rFonts w:ascii="Arial" w:eastAsia="SimSun" w:hAnsi="Arial" w:cs="Arial"/>
                <w:sz w:val="16"/>
                <w:szCs w:val="16"/>
                <w:lang w:eastAsia="zh-CN"/>
              </w:rPr>
              <w:br/>
              <w:t>There is no limit to the number of treatment cycles that a patient may undertake in their lifetime.</w:t>
            </w:r>
            <w:r w:rsidRPr="006D52A9">
              <w:rPr>
                <w:rFonts w:ascii="Arial" w:eastAsia="SimSun" w:hAnsi="Arial" w:cs="Arial"/>
                <w:sz w:val="16"/>
                <w:szCs w:val="16"/>
                <w:lang w:eastAsia="zh-CN"/>
              </w:rPr>
              <w:br/>
              <w:t>At the time of the authority application, medical practitioners should request the appropriate maximum quantity and number of repeats to provide for an initial course of omalizumab consisting of the recommended number of doses for the baseline IgE level and body weight of the patient (refer to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to be administered every 2 or 4 weeks.</w:t>
            </w:r>
            <w:r w:rsidRPr="006D52A9">
              <w:rPr>
                <w:rFonts w:ascii="Arial" w:eastAsia="SimSun" w:hAnsi="Arial" w:cs="Arial"/>
                <w:sz w:val="16"/>
                <w:szCs w:val="16"/>
                <w:lang w:eastAsia="zh-CN"/>
              </w:rPr>
              <w:br/>
              <w:t>A multidisciplinary severe asthma clinic team comprises of:</w:t>
            </w:r>
            <w:r w:rsidRPr="006D52A9">
              <w:rPr>
                <w:rFonts w:ascii="Arial" w:eastAsia="SimSun" w:hAnsi="Arial" w:cs="Arial"/>
                <w:sz w:val="16"/>
                <w:szCs w:val="16"/>
                <w:lang w:eastAsia="zh-CN"/>
              </w:rPr>
              <w:br/>
              <w:t>A respiratory physician; and</w:t>
            </w:r>
            <w:r w:rsidRPr="006D52A9">
              <w:rPr>
                <w:rFonts w:ascii="Arial" w:eastAsia="SimSun" w:hAnsi="Arial" w:cs="Arial"/>
                <w:sz w:val="16"/>
                <w:szCs w:val="16"/>
                <w:lang w:eastAsia="zh-CN"/>
              </w:rPr>
              <w:br/>
              <w:t>A pharmacist, nurse or asthma educator.</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 xml:space="preserve">(b) a completed Severe Allergic Asthma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w:t>
            </w:r>
            <w:r w:rsidRPr="006D52A9">
              <w:rPr>
                <w:rFonts w:ascii="Arial" w:eastAsia="SimSun" w:hAnsi="Arial" w:cs="Arial"/>
                <w:sz w:val="16"/>
                <w:szCs w:val="16"/>
                <w:lang w:eastAsia="zh-CN"/>
              </w:rPr>
              <w:br/>
              <w:t>which includes the following:</w:t>
            </w:r>
            <w:r w:rsidRPr="006D52A9">
              <w:rPr>
                <w:rFonts w:ascii="Arial" w:eastAsia="SimSun" w:hAnsi="Arial" w:cs="Arial"/>
                <w:sz w:val="16"/>
                <w:szCs w:val="16"/>
                <w:lang w:eastAsia="zh-CN"/>
              </w:rPr>
              <w:br/>
              <w:t>(i) details of prior optimised asthma drug therapy (date of commencement and duration of therapy); and</w:t>
            </w:r>
            <w:r w:rsidRPr="006D52A9">
              <w:rPr>
                <w:rFonts w:ascii="Arial" w:eastAsia="SimSun" w:hAnsi="Arial" w:cs="Arial"/>
                <w:sz w:val="16"/>
                <w:szCs w:val="16"/>
                <w:lang w:eastAsia="zh-CN"/>
              </w:rPr>
              <w:br/>
              <w:t>(ii) details of severe exacerbation/s experienced in the past 12 months while receiving optimised asthma therapy (date and treatment); and</w:t>
            </w:r>
            <w:r w:rsidRPr="006D52A9">
              <w:rPr>
                <w:rFonts w:ascii="Arial" w:eastAsia="SimSun" w:hAnsi="Arial" w:cs="Arial"/>
                <w:sz w:val="16"/>
                <w:szCs w:val="16"/>
                <w:lang w:eastAsia="zh-CN"/>
              </w:rPr>
              <w:br/>
              <w:t>(iii) the IgE result; and</w:t>
            </w:r>
            <w:r w:rsidRPr="006D52A9">
              <w:rPr>
                <w:rFonts w:ascii="Arial" w:eastAsia="SimSun" w:hAnsi="Arial" w:cs="Arial"/>
                <w:sz w:val="16"/>
                <w:szCs w:val="16"/>
                <w:lang w:eastAsia="zh-CN"/>
              </w:rPr>
              <w:br/>
              <w:t>(iv) Asthma Control Questionnaire (ACQ</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score.</w:t>
            </w:r>
          </w:p>
        </w:tc>
        <w:tc>
          <w:tcPr>
            <w:tcW w:w="929" w:type="pct"/>
            <w:tcMar>
              <w:top w:w="28" w:type="dxa"/>
              <w:left w:w="28" w:type="dxa"/>
              <w:right w:w="57" w:type="dxa"/>
            </w:tcMar>
          </w:tcPr>
          <w:p w14:paraId="4885C018"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BF453B" w14:paraId="1AF2BA0F" w14:textId="77777777" w:rsidTr="00FB6D2D">
        <w:tc>
          <w:tcPr>
            <w:tcW w:w="647" w:type="pct"/>
            <w:tcMar>
              <w:top w:w="28" w:type="dxa"/>
              <w:left w:w="28" w:type="dxa"/>
            </w:tcMar>
          </w:tcPr>
          <w:p w14:paraId="4E89A39D" w14:textId="77777777" w:rsidR="008F47B8" w:rsidRPr="006D52A9" w:rsidDel="00BF453B" w:rsidRDefault="008F47B8" w:rsidP="00FB6D2D">
            <w:pPr>
              <w:spacing w:line="240" w:lineRule="auto"/>
              <w:rPr>
                <w:rFonts w:ascii="Arial" w:eastAsia="SimSun" w:hAnsi="Arial" w:cs="Arial"/>
                <w:sz w:val="16"/>
                <w:szCs w:val="16"/>
                <w:lang w:eastAsia="zh-CN"/>
              </w:rPr>
            </w:pPr>
            <w:bookmarkStart w:id="191" w:name="CU_417687284"/>
            <w:bookmarkEnd w:id="191"/>
            <w:r w:rsidRPr="006D52A9">
              <w:rPr>
                <w:rFonts w:ascii="Arial" w:eastAsia="SimSun" w:hAnsi="Arial" w:cs="Arial"/>
                <w:sz w:val="16"/>
                <w:szCs w:val="16"/>
                <w:lang w:eastAsia="zh-CN"/>
              </w:rPr>
              <w:lastRenderedPageBreak/>
              <w:t>Pamidronic Acid</w:t>
            </w:r>
          </w:p>
        </w:tc>
        <w:tc>
          <w:tcPr>
            <w:tcW w:w="283" w:type="pct"/>
            <w:tcMar>
              <w:top w:w="28" w:type="dxa"/>
              <w:left w:w="28" w:type="dxa"/>
            </w:tcMar>
          </w:tcPr>
          <w:p w14:paraId="1156AE2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C4433</w:t>
            </w:r>
          </w:p>
        </w:tc>
        <w:tc>
          <w:tcPr>
            <w:tcW w:w="274" w:type="pct"/>
            <w:tcMar>
              <w:top w:w="28" w:type="dxa"/>
              <w:left w:w="28" w:type="dxa"/>
            </w:tcMar>
          </w:tcPr>
          <w:p w14:paraId="4562F7A3"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0C3054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Hypercalcaemia of malignancy</w:t>
            </w:r>
          </w:p>
          <w:p w14:paraId="54AE3F3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a malignancy refractory to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neoplastic therapy</w:t>
            </w:r>
          </w:p>
        </w:tc>
        <w:tc>
          <w:tcPr>
            <w:tcW w:w="929" w:type="pct"/>
            <w:tcMar>
              <w:top w:w="28" w:type="dxa"/>
              <w:left w:w="28" w:type="dxa"/>
              <w:right w:w="57" w:type="dxa"/>
            </w:tcMar>
          </w:tcPr>
          <w:p w14:paraId="3BBB492B"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 – Streamlined Authority Code 4433</w:t>
            </w:r>
          </w:p>
        </w:tc>
      </w:tr>
      <w:tr w:rsidR="008F47B8" w:rsidRPr="006D52A9" w:rsidDel="00BF453B" w14:paraId="31937611" w14:textId="77777777" w:rsidTr="00FB6D2D">
        <w:tc>
          <w:tcPr>
            <w:tcW w:w="647" w:type="pct"/>
            <w:tcMar>
              <w:top w:w="28" w:type="dxa"/>
              <w:left w:w="28" w:type="dxa"/>
            </w:tcMar>
          </w:tcPr>
          <w:p w14:paraId="6CD89734"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C2DAA3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C5218</w:t>
            </w:r>
          </w:p>
        </w:tc>
        <w:tc>
          <w:tcPr>
            <w:tcW w:w="274" w:type="pct"/>
            <w:tcMar>
              <w:top w:w="28" w:type="dxa"/>
              <w:left w:w="28" w:type="dxa"/>
            </w:tcMar>
          </w:tcPr>
          <w:p w14:paraId="0EE7D16E"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E5A2D7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Multiple Myeloma</w:t>
            </w:r>
          </w:p>
        </w:tc>
        <w:tc>
          <w:tcPr>
            <w:tcW w:w="929" w:type="pct"/>
            <w:tcMar>
              <w:top w:w="28" w:type="dxa"/>
              <w:left w:w="28" w:type="dxa"/>
              <w:right w:w="57" w:type="dxa"/>
            </w:tcMar>
          </w:tcPr>
          <w:p w14:paraId="148E4901"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5218</w:t>
            </w:r>
          </w:p>
        </w:tc>
      </w:tr>
      <w:tr w:rsidR="008F47B8" w:rsidRPr="006D52A9" w:rsidDel="00BF453B" w14:paraId="5F075B64" w14:textId="77777777" w:rsidTr="00FB6D2D">
        <w:tc>
          <w:tcPr>
            <w:tcW w:w="647" w:type="pct"/>
            <w:tcMar>
              <w:top w:w="28" w:type="dxa"/>
              <w:left w:w="28" w:type="dxa"/>
            </w:tcMar>
          </w:tcPr>
          <w:p w14:paraId="012547B1"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E3BF8C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C5291</w:t>
            </w:r>
          </w:p>
        </w:tc>
        <w:tc>
          <w:tcPr>
            <w:tcW w:w="274" w:type="pct"/>
            <w:tcMar>
              <w:top w:w="28" w:type="dxa"/>
              <w:left w:w="28" w:type="dxa"/>
            </w:tcMar>
          </w:tcPr>
          <w:p w14:paraId="2DC42CA9"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9F2151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Bone metastases</w:t>
            </w:r>
          </w:p>
          <w:p w14:paraId="3720E73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condition must be due to breast cancer.</w:t>
            </w:r>
          </w:p>
        </w:tc>
        <w:tc>
          <w:tcPr>
            <w:tcW w:w="929" w:type="pct"/>
            <w:tcMar>
              <w:top w:w="28" w:type="dxa"/>
              <w:left w:w="28" w:type="dxa"/>
              <w:right w:w="57" w:type="dxa"/>
            </w:tcMar>
          </w:tcPr>
          <w:p w14:paraId="0452294F"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5291</w:t>
            </w:r>
          </w:p>
        </w:tc>
      </w:tr>
      <w:tr w:rsidR="008F47B8" w:rsidRPr="006D52A9" w:rsidDel="00BF453B" w14:paraId="2EDC4ADD" w14:textId="77777777" w:rsidTr="00FB6D2D">
        <w:tc>
          <w:tcPr>
            <w:tcW w:w="647" w:type="pct"/>
            <w:tcMar>
              <w:top w:w="28" w:type="dxa"/>
              <w:left w:w="28" w:type="dxa"/>
            </w:tcMar>
          </w:tcPr>
          <w:p w14:paraId="384A052A"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AB4DD1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C9234</w:t>
            </w:r>
          </w:p>
        </w:tc>
        <w:tc>
          <w:tcPr>
            <w:tcW w:w="274" w:type="pct"/>
            <w:tcMar>
              <w:top w:w="28" w:type="dxa"/>
              <w:left w:w="28" w:type="dxa"/>
            </w:tcMar>
          </w:tcPr>
          <w:p w14:paraId="5791D9F3"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163140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Hypercalcaemia of malignancy</w:t>
            </w:r>
            <w:r w:rsidRPr="006D52A9">
              <w:rPr>
                <w:szCs w:val="16"/>
              </w:rPr>
              <w:br/>
            </w:r>
            <w:r w:rsidRPr="006D52A9">
              <w:rPr>
                <w:rFonts w:ascii="Arial" w:hAnsi="Arial" w:cs="Arial"/>
                <w:sz w:val="16"/>
                <w:szCs w:val="16"/>
              </w:rPr>
              <w:t>Patient must have a malignancy refractory to anti</w:t>
            </w:r>
            <w:r w:rsidR="0026100E">
              <w:rPr>
                <w:rFonts w:ascii="Arial" w:hAnsi="Arial" w:cs="Arial"/>
                <w:sz w:val="16"/>
                <w:szCs w:val="16"/>
              </w:rPr>
              <w:noBreakHyphen/>
            </w:r>
            <w:r w:rsidRPr="006D52A9">
              <w:rPr>
                <w:rFonts w:ascii="Arial" w:hAnsi="Arial" w:cs="Arial"/>
                <w:sz w:val="16"/>
                <w:szCs w:val="16"/>
              </w:rPr>
              <w:t>neoplastic therapy.</w:t>
            </w:r>
          </w:p>
        </w:tc>
        <w:tc>
          <w:tcPr>
            <w:tcW w:w="929" w:type="pct"/>
            <w:tcMar>
              <w:top w:w="28" w:type="dxa"/>
              <w:left w:w="28" w:type="dxa"/>
              <w:right w:w="57" w:type="dxa"/>
            </w:tcMar>
          </w:tcPr>
          <w:p w14:paraId="2103EE5E"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9234</w:t>
            </w:r>
          </w:p>
        </w:tc>
      </w:tr>
      <w:tr w:rsidR="008F47B8" w:rsidRPr="006D52A9" w:rsidDel="00BF453B" w14:paraId="3BDCA9D2" w14:textId="77777777" w:rsidTr="00FB6D2D">
        <w:tc>
          <w:tcPr>
            <w:tcW w:w="647" w:type="pct"/>
            <w:tcMar>
              <w:top w:w="28" w:type="dxa"/>
              <w:left w:w="28" w:type="dxa"/>
            </w:tcMar>
          </w:tcPr>
          <w:p w14:paraId="5430DB66"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15DAD1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C9315</w:t>
            </w:r>
          </w:p>
        </w:tc>
        <w:tc>
          <w:tcPr>
            <w:tcW w:w="274" w:type="pct"/>
            <w:tcMar>
              <w:top w:w="28" w:type="dxa"/>
              <w:left w:w="28" w:type="dxa"/>
            </w:tcMar>
          </w:tcPr>
          <w:p w14:paraId="31C67824"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5FBD1D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Bone metastases</w:t>
            </w:r>
            <w:r w:rsidRPr="006D52A9">
              <w:rPr>
                <w:szCs w:val="16"/>
              </w:rPr>
              <w:br/>
            </w:r>
            <w:r w:rsidRPr="006D52A9">
              <w:rPr>
                <w:rFonts w:ascii="Arial" w:hAnsi="Arial" w:cs="Arial"/>
                <w:sz w:val="16"/>
                <w:szCs w:val="16"/>
              </w:rPr>
              <w:t>The condition must be due to breast cancer.</w:t>
            </w:r>
          </w:p>
        </w:tc>
        <w:tc>
          <w:tcPr>
            <w:tcW w:w="929" w:type="pct"/>
            <w:tcMar>
              <w:top w:w="28" w:type="dxa"/>
              <w:left w:w="28" w:type="dxa"/>
              <w:right w:w="57" w:type="dxa"/>
            </w:tcMar>
          </w:tcPr>
          <w:p w14:paraId="48AD4FD6"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9315</w:t>
            </w:r>
          </w:p>
        </w:tc>
      </w:tr>
      <w:tr w:rsidR="008F47B8" w:rsidRPr="006D52A9" w:rsidDel="00BF453B" w14:paraId="02CC0BD7" w14:textId="77777777" w:rsidTr="00FB6D2D">
        <w:tc>
          <w:tcPr>
            <w:tcW w:w="647" w:type="pct"/>
            <w:tcMar>
              <w:top w:w="28" w:type="dxa"/>
              <w:left w:w="28" w:type="dxa"/>
            </w:tcMar>
          </w:tcPr>
          <w:p w14:paraId="1B6BB868"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E8E1C7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C9335</w:t>
            </w:r>
          </w:p>
        </w:tc>
        <w:tc>
          <w:tcPr>
            <w:tcW w:w="274" w:type="pct"/>
            <w:tcMar>
              <w:top w:w="28" w:type="dxa"/>
              <w:left w:w="28" w:type="dxa"/>
            </w:tcMar>
          </w:tcPr>
          <w:p w14:paraId="7CE6BAEC" w14:textId="77777777" w:rsidR="008F47B8" w:rsidRPr="006D52A9" w:rsidDel="00BF453B"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A9DEAB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Multiple myeloma</w:t>
            </w:r>
          </w:p>
        </w:tc>
        <w:tc>
          <w:tcPr>
            <w:tcW w:w="929" w:type="pct"/>
            <w:tcMar>
              <w:top w:w="28" w:type="dxa"/>
              <w:left w:w="28" w:type="dxa"/>
              <w:right w:w="57" w:type="dxa"/>
            </w:tcMar>
          </w:tcPr>
          <w:p w14:paraId="574164F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9335</w:t>
            </w:r>
          </w:p>
        </w:tc>
      </w:tr>
      <w:tr w:rsidR="008F47B8" w:rsidRPr="006D52A9" w:rsidDel="004B1F90" w14:paraId="1E6E2FB0" w14:textId="77777777" w:rsidTr="00FB6D2D">
        <w:tc>
          <w:tcPr>
            <w:tcW w:w="647" w:type="pct"/>
            <w:tcMar>
              <w:top w:w="28" w:type="dxa"/>
              <w:left w:w="28" w:type="dxa"/>
            </w:tcMar>
          </w:tcPr>
          <w:p w14:paraId="68EEE6FC" w14:textId="77777777" w:rsidR="008F47B8" w:rsidRPr="006D52A9" w:rsidDel="004B1F9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Pasireotide</w:t>
            </w:r>
          </w:p>
        </w:tc>
        <w:tc>
          <w:tcPr>
            <w:tcW w:w="283" w:type="pct"/>
            <w:tcMar>
              <w:top w:w="28" w:type="dxa"/>
              <w:left w:w="28" w:type="dxa"/>
            </w:tcMar>
          </w:tcPr>
          <w:p w14:paraId="30202E03" w14:textId="77777777" w:rsidR="008F47B8" w:rsidRPr="006D52A9" w:rsidDel="004B1F9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C9088</w:t>
            </w:r>
          </w:p>
        </w:tc>
        <w:tc>
          <w:tcPr>
            <w:tcW w:w="274" w:type="pct"/>
            <w:tcMar>
              <w:top w:w="28" w:type="dxa"/>
              <w:left w:w="28" w:type="dxa"/>
            </w:tcMar>
          </w:tcPr>
          <w:p w14:paraId="5D91F91D" w14:textId="77777777" w:rsidR="008F47B8" w:rsidRPr="006D52A9" w:rsidDel="004B1F9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40EA713" w14:textId="77777777" w:rsidR="008F47B8" w:rsidRPr="006D52A9" w:rsidDel="004B1F9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Acromegaly</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t>Patient must not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Patient must have a mean growth hormone (GH) level greater than 1 microgram per litre or 3 mlU/L; OR</w:t>
            </w:r>
            <w:r w:rsidRPr="006D52A9">
              <w:rPr>
                <w:rFonts w:ascii="Arial" w:eastAsia="SimSun" w:hAnsi="Arial" w:cs="Arial"/>
                <w:sz w:val="16"/>
                <w:szCs w:val="16"/>
                <w:lang w:eastAsia="zh-CN"/>
              </w:rPr>
              <w:br/>
              <w:t>Patient must have an age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and sex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adjusted insulin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like growth factor 1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concentration greater than the upper limit of normal (ULN); AND</w:t>
            </w:r>
            <w:r w:rsidRPr="006D52A9">
              <w:rPr>
                <w:rFonts w:ascii="Arial" w:eastAsia="SimSun" w:hAnsi="Arial" w:cs="Arial"/>
                <w:sz w:val="16"/>
                <w:szCs w:val="16"/>
                <w:lang w:eastAsia="zh-CN"/>
              </w:rPr>
              <w:br/>
              <w:t xml:space="preserve">The treatment must be after failure to achieve biochemical control with a maximum indicated dose of </w:t>
            </w:r>
            <w:r w:rsidRPr="006D52A9">
              <w:rPr>
                <w:rFonts w:ascii="Arial" w:eastAsia="SimSun" w:hAnsi="Arial" w:cs="Arial"/>
                <w:sz w:val="16"/>
                <w:szCs w:val="16"/>
                <w:lang w:eastAsia="zh-CN"/>
              </w:rPr>
              <w:lastRenderedPageBreak/>
              <w:t>either 30 mg octreotide LAR or 120 mg lanreotide ATG every 28 days for 24 weeks; unless contraindicated or not tolerated according to the TGA approved Product Information; AND</w:t>
            </w:r>
            <w:r w:rsidRPr="006D52A9">
              <w:rPr>
                <w:rFonts w:ascii="Arial" w:eastAsia="SimSun" w:hAnsi="Arial" w:cs="Arial"/>
                <w:sz w:val="16"/>
                <w:szCs w:val="16"/>
                <w:lang w:eastAsia="zh-CN"/>
              </w:rPr>
              <w:br/>
              <w:t>The treatment must not be given concomitantly with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pegvisomant.</w:t>
            </w:r>
            <w:r w:rsidRPr="006D52A9">
              <w:rPr>
                <w:rFonts w:ascii="Arial" w:eastAsia="SimSun" w:hAnsi="Arial" w:cs="Arial"/>
                <w:sz w:val="16"/>
                <w:szCs w:val="16"/>
                <w:lang w:eastAsia="zh-CN"/>
              </w:rPr>
              <w:br/>
              <w:t>Patient must be aged 18 years or older.</w:t>
            </w:r>
            <w:r w:rsidRPr="006D52A9">
              <w:rPr>
                <w:rFonts w:ascii="Arial" w:eastAsia="SimSun" w:hAnsi="Arial" w:cs="Arial"/>
                <w:sz w:val="16"/>
                <w:szCs w:val="16"/>
                <w:lang w:eastAsia="zh-CN"/>
              </w:rPr>
              <w:br/>
              <w:t>If treatment with either octreotide or lanreotide is contraindicated according to the relevant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 the application must provide details of contraindication.</w:t>
            </w:r>
            <w:r w:rsidRPr="006D52A9">
              <w:rPr>
                <w:rFonts w:ascii="Arial" w:eastAsia="SimSun" w:hAnsi="Arial" w:cs="Arial"/>
                <w:sz w:val="16"/>
                <w:szCs w:val="16"/>
                <w:lang w:eastAsia="zh-CN"/>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6D52A9">
              <w:rPr>
                <w:rFonts w:ascii="Arial" w:eastAsia="SimSun" w:hAnsi="Arial" w:cs="Arial"/>
                <w:sz w:val="16"/>
                <w:szCs w:val="16"/>
                <w:lang w:eastAsia="zh-CN"/>
              </w:rPr>
              <w:br/>
              <w:t>Failure to achieve biochemical control after completion of a prior therapy with either octreotide or lanreotide is defined as:</w:t>
            </w:r>
            <w:r w:rsidRPr="006D52A9">
              <w:rPr>
                <w:rFonts w:ascii="Arial" w:eastAsia="SimSun" w:hAnsi="Arial" w:cs="Arial"/>
                <w:sz w:val="16"/>
                <w:szCs w:val="16"/>
                <w:lang w:eastAsia="zh-CN"/>
              </w:rPr>
              <w:br/>
              <w:t>1) Growth hormone level greater than 1 mcg/L or 3 mIU/L; OR</w:t>
            </w:r>
            <w:r w:rsidRPr="006D52A9">
              <w:rPr>
                <w:rFonts w:ascii="Arial" w:eastAsia="SimSun" w:hAnsi="Arial" w:cs="Arial"/>
                <w:sz w:val="16"/>
                <w:szCs w:val="16"/>
                <w:lang w:eastAsia="zh-CN"/>
              </w:rPr>
              <w:br/>
              <w:t>2)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level is greater than the age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and sex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adjusted ULN.</w:t>
            </w:r>
            <w:r w:rsidRPr="006D52A9">
              <w:rPr>
                <w:rFonts w:ascii="Arial" w:eastAsia="SimSun" w:hAnsi="Arial" w:cs="Arial"/>
                <w:sz w:val="16"/>
                <w:szCs w:val="16"/>
                <w:lang w:eastAsia="zh-CN"/>
              </w:rPr>
              <w:br/>
              <w:t>In a patient treated with radiotherapy, pasireotide should be withdrawn every 2 years in the 10 years after completion of radiotherapy for assessment of remission. Pasireotide should be withdrawn at least 8 weeks prior to the assessment of remission.</w:t>
            </w:r>
            <w:r w:rsidRPr="006D52A9">
              <w:rPr>
                <w:rFonts w:ascii="Arial" w:eastAsia="SimSun" w:hAnsi="Arial" w:cs="Arial"/>
                <w:sz w:val="16"/>
                <w:szCs w:val="16"/>
                <w:lang w:eastAsia="zh-CN"/>
              </w:rPr>
              <w:br/>
              <w:t>Biochemical evidence of remission is defined as:</w:t>
            </w:r>
            <w:r w:rsidRPr="006D52A9">
              <w:rPr>
                <w:rFonts w:ascii="Arial" w:eastAsia="SimSun" w:hAnsi="Arial" w:cs="Arial"/>
                <w:sz w:val="16"/>
                <w:szCs w:val="16"/>
                <w:lang w:eastAsia="zh-CN"/>
              </w:rPr>
              <w:br/>
              <w:t>1) Growth hormone (GH) levels of less than 1 mcg/L or 3 mlU/L; OR</w:t>
            </w:r>
            <w:r w:rsidRPr="006D52A9">
              <w:rPr>
                <w:rFonts w:ascii="Arial" w:eastAsia="SimSun" w:hAnsi="Arial" w:cs="Arial"/>
                <w:sz w:val="16"/>
                <w:szCs w:val="16"/>
                <w:lang w:eastAsia="zh-CN"/>
              </w:rPr>
              <w:br/>
              <w:t>2) normalisation of sex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and age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adjusted insulin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like growth factor 1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a) a completed authority prescription form; and</w:t>
            </w:r>
            <w:r w:rsidRPr="006D52A9">
              <w:rPr>
                <w:rFonts w:ascii="Arial" w:eastAsia="SimSun" w:hAnsi="Arial" w:cs="Arial"/>
                <w:sz w:val="16"/>
                <w:szCs w:val="16"/>
                <w:lang w:eastAsia="zh-CN"/>
              </w:rPr>
              <w:br/>
              <w:t xml:space="preserve">b) a completed Acromegaly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and</w:t>
            </w:r>
            <w:r w:rsidRPr="006D52A9">
              <w:rPr>
                <w:rFonts w:ascii="Arial" w:eastAsia="SimSun" w:hAnsi="Arial" w:cs="Arial"/>
                <w:sz w:val="16"/>
                <w:szCs w:val="16"/>
                <w:lang w:eastAsia="zh-CN"/>
              </w:rPr>
              <w:br/>
              <w:t>c) in a patient who has been previously treated with radiotherapy for this condition, the date of completion of radiotherapy must be provided; the date and result of GH or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levels taken at the most recent two yearly assessment in the 10 years after completion of radiotherapy must be provided; and</w:t>
            </w:r>
            <w:r w:rsidRPr="006D52A9">
              <w:rPr>
                <w:rFonts w:ascii="Arial" w:eastAsia="SimSun" w:hAnsi="Arial" w:cs="Arial"/>
                <w:sz w:val="16"/>
                <w:szCs w:val="16"/>
                <w:lang w:eastAsia="zh-CN"/>
              </w:rPr>
              <w:br/>
              <w:t>d) a recent result of GH or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levels must be provided.</w:t>
            </w:r>
          </w:p>
        </w:tc>
        <w:tc>
          <w:tcPr>
            <w:tcW w:w="929" w:type="pct"/>
            <w:tcMar>
              <w:top w:w="28" w:type="dxa"/>
              <w:left w:w="28" w:type="dxa"/>
              <w:right w:w="57" w:type="dxa"/>
            </w:tcMar>
          </w:tcPr>
          <w:p w14:paraId="012C6011" w14:textId="77777777" w:rsidR="008F47B8" w:rsidRPr="006D52A9" w:rsidDel="004B1F90"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054366" w14:paraId="00D893B7" w14:textId="77777777" w:rsidTr="00FB6D2D">
        <w:tc>
          <w:tcPr>
            <w:tcW w:w="647" w:type="pct"/>
            <w:tcMar>
              <w:top w:w="28" w:type="dxa"/>
              <w:left w:w="28" w:type="dxa"/>
            </w:tcMar>
          </w:tcPr>
          <w:p w14:paraId="04283FAB" w14:textId="77777777" w:rsidR="008F47B8" w:rsidRPr="006D52A9" w:rsidDel="0005436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71F421A" w14:textId="77777777" w:rsidR="008F47B8" w:rsidRPr="006D52A9" w:rsidDel="00054366" w:rsidRDefault="008F47B8" w:rsidP="00FB6D2D">
            <w:pPr>
              <w:spacing w:line="240" w:lineRule="auto"/>
              <w:rPr>
                <w:rFonts w:ascii="Arial" w:hAnsi="Arial" w:cs="Arial"/>
                <w:sz w:val="16"/>
                <w:szCs w:val="16"/>
              </w:rPr>
            </w:pPr>
            <w:r w:rsidRPr="006D52A9">
              <w:rPr>
                <w:rFonts w:ascii="Arial" w:hAnsi="Arial" w:cs="Arial"/>
                <w:sz w:val="16"/>
                <w:szCs w:val="16"/>
              </w:rPr>
              <w:t>C9089</w:t>
            </w:r>
          </w:p>
        </w:tc>
        <w:tc>
          <w:tcPr>
            <w:tcW w:w="274" w:type="pct"/>
            <w:tcMar>
              <w:top w:w="28" w:type="dxa"/>
              <w:left w:w="28" w:type="dxa"/>
            </w:tcMar>
          </w:tcPr>
          <w:p w14:paraId="25379968" w14:textId="77777777" w:rsidR="008F47B8" w:rsidRPr="006D52A9" w:rsidDel="00054366"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104DE38" w14:textId="77777777" w:rsidR="008F47B8" w:rsidRPr="006D52A9" w:rsidDel="00054366" w:rsidRDefault="008F47B8" w:rsidP="00FB6D2D">
            <w:pPr>
              <w:pStyle w:val="mps3-data"/>
              <w:spacing w:before="0" w:after="0"/>
              <w:rPr>
                <w:szCs w:val="16"/>
              </w:rPr>
            </w:pPr>
            <w:r w:rsidRPr="006D52A9">
              <w:rPr>
                <w:szCs w:val="16"/>
              </w:rPr>
              <w:t>Acromegaly</w:t>
            </w:r>
            <w:r w:rsidRPr="006D52A9">
              <w:rPr>
                <w:szCs w:val="16"/>
              </w:rPr>
              <w:br/>
              <w:t>Continuing treatment</w:t>
            </w:r>
            <w:r w:rsidRPr="006D52A9">
              <w:rPr>
                <w:szCs w:val="16"/>
              </w:rPr>
              <w:br/>
              <w:t>Patient must have previously received PBS</w:t>
            </w:r>
            <w:r w:rsidR="0026100E">
              <w:rPr>
                <w:szCs w:val="16"/>
              </w:rPr>
              <w:noBreakHyphen/>
            </w:r>
            <w:r w:rsidRPr="006D52A9">
              <w:rPr>
                <w:szCs w:val="16"/>
              </w:rPr>
              <w:t>subsidised treatment with this drug for this condition; AND</w:t>
            </w:r>
            <w:r w:rsidRPr="006D52A9">
              <w:rPr>
                <w:szCs w:val="16"/>
              </w:rPr>
              <w:br/>
              <w:t>The treatment must not be given concomitantly with PBS</w:t>
            </w:r>
            <w:r w:rsidR="0026100E">
              <w:rPr>
                <w:szCs w:val="16"/>
              </w:rPr>
              <w:noBreakHyphen/>
            </w:r>
            <w:r w:rsidRPr="006D52A9">
              <w:rPr>
                <w:szCs w:val="16"/>
              </w:rPr>
              <w:t>subsidised pegvisomant.</w:t>
            </w:r>
            <w:r w:rsidRPr="006D52A9">
              <w:rPr>
                <w:szCs w:val="16"/>
              </w:rPr>
              <w:br/>
              <w:t>Patient must be aged 18 years or older.</w:t>
            </w:r>
            <w:r w:rsidRPr="006D52A9">
              <w:rPr>
                <w:szCs w:val="16"/>
              </w:rPr>
              <w:br/>
              <w:t>In a patient treated with radiotherapy, pasireotide should be withdrawn every 2 years in the 10 years after completion of radiotherapy for assessment of remission. Pasireotide should be withdrawn at least 8 weeks prior to the assessment of remission.</w:t>
            </w:r>
            <w:r w:rsidRPr="006D52A9">
              <w:rPr>
                <w:szCs w:val="16"/>
              </w:rPr>
              <w:br/>
              <w:t>Biochemical evidence of remission is defined as:</w:t>
            </w:r>
            <w:r w:rsidRPr="006D52A9">
              <w:rPr>
                <w:szCs w:val="16"/>
              </w:rPr>
              <w:br/>
              <w:t>1) Growth hormone (GH) levels of less than 1 mcg/L or 3 mlU/L; OR</w:t>
            </w:r>
            <w:r w:rsidRPr="006D52A9">
              <w:rPr>
                <w:szCs w:val="16"/>
              </w:rPr>
              <w:br/>
              <w:t>2) normalisation of sex</w:t>
            </w:r>
            <w:r w:rsidR="0026100E">
              <w:rPr>
                <w:szCs w:val="16"/>
              </w:rPr>
              <w:noBreakHyphen/>
            </w:r>
            <w:r w:rsidRPr="006D52A9">
              <w:rPr>
                <w:szCs w:val="16"/>
              </w:rPr>
              <w:t xml:space="preserve"> and age</w:t>
            </w:r>
            <w:r w:rsidR="0026100E">
              <w:rPr>
                <w:szCs w:val="16"/>
              </w:rPr>
              <w:noBreakHyphen/>
            </w:r>
            <w:r w:rsidRPr="006D52A9">
              <w:rPr>
                <w:szCs w:val="16"/>
              </w:rPr>
              <w:t xml:space="preserve"> adjusted insulin</w:t>
            </w:r>
            <w:r w:rsidR="0026100E">
              <w:rPr>
                <w:szCs w:val="16"/>
              </w:rPr>
              <w:noBreakHyphen/>
            </w:r>
            <w:r w:rsidRPr="006D52A9">
              <w:rPr>
                <w:szCs w:val="16"/>
              </w:rPr>
              <w:t>like growth factor 1 (IGF</w:t>
            </w:r>
            <w:r w:rsidR="0026100E">
              <w:rPr>
                <w:szCs w:val="16"/>
              </w:rPr>
              <w:noBreakHyphen/>
            </w:r>
            <w:r w:rsidRPr="006D52A9">
              <w:rPr>
                <w:szCs w:val="16"/>
              </w:rPr>
              <w:t>1)</w:t>
            </w:r>
            <w:r w:rsidRPr="006D52A9">
              <w:rPr>
                <w:szCs w:val="16"/>
              </w:rPr>
              <w:br/>
              <w:t>In a patient who has been previously treated with radiotherapy for this condition, the date of completion of radiotherapy and the GH and IGF</w:t>
            </w:r>
            <w:r w:rsidR="0026100E">
              <w:rPr>
                <w:szCs w:val="16"/>
              </w:rPr>
              <w:noBreakHyphen/>
            </w:r>
            <w:r w:rsidRPr="006D52A9">
              <w:rPr>
                <w:szCs w:val="16"/>
              </w:rPr>
              <w:t>1 levels taken at the most recent two yearly assessment in the 10 years after completion of radiotherapy must be provided at the time of approval.</w:t>
            </w:r>
          </w:p>
        </w:tc>
        <w:tc>
          <w:tcPr>
            <w:tcW w:w="929" w:type="pct"/>
            <w:tcMar>
              <w:top w:w="28" w:type="dxa"/>
              <w:left w:w="28" w:type="dxa"/>
              <w:right w:w="57" w:type="dxa"/>
            </w:tcMar>
          </w:tcPr>
          <w:p w14:paraId="12CDEBB7" w14:textId="77777777" w:rsidR="008F47B8" w:rsidRPr="006D52A9" w:rsidDel="00054366" w:rsidRDefault="008F47B8" w:rsidP="00FB6D2D">
            <w:pPr>
              <w:keepNext/>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4B1F90" w14:paraId="23CBC127" w14:textId="77777777" w:rsidTr="00FB6D2D">
        <w:tc>
          <w:tcPr>
            <w:tcW w:w="647" w:type="pct"/>
            <w:tcMar>
              <w:top w:w="28" w:type="dxa"/>
              <w:left w:w="28" w:type="dxa"/>
            </w:tcMar>
          </w:tcPr>
          <w:p w14:paraId="0FA78ADB" w14:textId="77777777" w:rsidR="008F47B8" w:rsidRPr="006D52A9" w:rsidDel="004B1F90"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Pegfilgrastim</w:t>
            </w:r>
          </w:p>
        </w:tc>
        <w:tc>
          <w:tcPr>
            <w:tcW w:w="283" w:type="pct"/>
            <w:tcMar>
              <w:top w:w="28" w:type="dxa"/>
              <w:left w:w="28" w:type="dxa"/>
            </w:tcMar>
          </w:tcPr>
          <w:p w14:paraId="2986AFF4"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C7822</w:t>
            </w:r>
          </w:p>
        </w:tc>
        <w:tc>
          <w:tcPr>
            <w:tcW w:w="274" w:type="pct"/>
            <w:tcMar>
              <w:top w:w="28" w:type="dxa"/>
              <w:left w:w="28" w:type="dxa"/>
            </w:tcMar>
          </w:tcPr>
          <w:p w14:paraId="2F18F20E" w14:textId="77777777" w:rsidR="008F47B8" w:rsidRPr="006D52A9" w:rsidDel="004B1F9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B0ACD13"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Chemotherapy</w:t>
            </w:r>
            <w:r w:rsidR="0026100E">
              <w:rPr>
                <w:rFonts w:ascii="Arial" w:eastAsia="Times New Roman" w:hAnsi="Arial" w:cs="Arial"/>
                <w:sz w:val="16"/>
                <w:szCs w:val="16"/>
              </w:rPr>
              <w:noBreakHyphen/>
            </w:r>
            <w:r w:rsidRPr="006D52A9">
              <w:rPr>
                <w:rFonts w:ascii="Arial" w:eastAsia="Times New Roman" w:hAnsi="Arial" w:cs="Arial"/>
                <w:sz w:val="16"/>
                <w:szCs w:val="16"/>
              </w:rPr>
              <w:t>induced neutropenia</w:t>
            </w:r>
          </w:p>
          <w:p w14:paraId="186A4D20" w14:textId="77777777" w:rsidR="008F47B8" w:rsidRPr="006D52A9" w:rsidRDefault="008F47B8" w:rsidP="00FB6D2D">
            <w:pPr>
              <w:pStyle w:val="mps3-data"/>
              <w:spacing w:before="0" w:after="0"/>
              <w:rPr>
                <w:szCs w:val="16"/>
              </w:rPr>
            </w:pPr>
            <w:r w:rsidRPr="006D52A9">
              <w:rPr>
                <w:rFonts w:eastAsia="Times New Roman"/>
                <w:szCs w:val="16"/>
                <w:lang w:eastAsia="en-US"/>
              </w:rPr>
              <w:lastRenderedPageBreak/>
              <w:t>Patient must be receiving chemotherapy with the intention of achieving a cure or a substantial remission; AND</w:t>
            </w:r>
            <w:r w:rsidRPr="006D52A9">
              <w:rPr>
                <w:rFonts w:eastAsia="Times New Roman"/>
                <w:szCs w:val="16"/>
                <w:lang w:eastAsia="en-US"/>
              </w:rPr>
              <w:br/>
              <w:t>Patient must be at greater than 20% risk of developing febrile neutropenia; OR</w:t>
            </w:r>
            <w:r w:rsidRPr="006D52A9">
              <w:rPr>
                <w:rFonts w:eastAsia="Times New Roman"/>
                <w:szCs w:val="16"/>
                <w:lang w:eastAsia="en-US"/>
              </w:rPr>
              <w:br/>
              <w:t>Patient must be at substantial risk (greater than 20%) of prolonged severe neutropenia for more than or equal to seven days.</w:t>
            </w:r>
          </w:p>
        </w:tc>
        <w:tc>
          <w:tcPr>
            <w:tcW w:w="929" w:type="pct"/>
            <w:tcMar>
              <w:top w:w="28" w:type="dxa"/>
              <w:left w:w="28" w:type="dxa"/>
              <w:right w:w="57" w:type="dxa"/>
            </w:tcMar>
          </w:tcPr>
          <w:p w14:paraId="411D8031"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 xml:space="preserve">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7822</w:t>
            </w:r>
          </w:p>
        </w:tc>
      </w:tr>
      <w:tr w:rsidR="008F47B8" w:rsidRPr="006D52A9" w:rsidDel="004B1F90" w14:paraId="49B102B9" w14:textId="77777777" w:rsidTr="00FB6D2D">
        <w:tc>
          <w:tcPr>
            <w:tcW w:w="647" w:type="pct"/>
            <w:tcMar>
              <w:top w:w="28" w:type="dxa"/>
              <w:left w:w="28" w:type="dxa"/>
            </w:tcMar>
          </w:tcPr>
          <w:p w14:paraId="5ABDB77A" w14:textId="77777777" w:rsidR="008F47B8" w:rsidRPr="006D52A9" w:rsidDel="004B1F9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B34BA0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C7843</w:t>
            </w:r>
          </w:p>
        </w:tc>
        <w:tc>
          <w:tcPr>
            <w:tcW w:w="274" w:type="pct"/>
            <w:tcMar>
              <w:top w:w="28" w:type="dxa"/>
              <w:left w:w="28" w:type="dxa"/>
            </w:tcMar>
          </w:tcPr>
          <w:p w14:paraId="70D0ADC6" w14:textId="77777777" w:rsidR="008F47B8" w:rsidRPr="006D52A9" w:rsidDel="004B1F9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0A776F9" w14:textId="77777777" w:rsidR="008F47B8" w:rsidRPr="006D52A9" w:rsidRDefault="008F47B8" w:rsidP="00FB6D2D">
            <w:pPr>
              <w:spacing w:after="60" w:line="240" w:lineRule="auto"/>
              <w:rPr>
                <w:rFonts w:ascii="Arial" w:eastAsia="Times New Roman" w:hAnsi="Arial" w:cs="Arial"/>
                <w:sz w:val="16"/>
                <w:szCs w:val="16"/>
              </w:rPr>
            </w:pPr>
            <w:r w:rsidRPr="006D52A9">
              <w:rPr>
                <w:rFonts w:ascii="Arial" w:eastAsia="Times New Roman" w:hAnsi="Arial" w:cs="Arial"/>
                <w:sz w:val="16"/>
                <w:szCs w:val="16"/>
              </w:rPr>
              <w:t>Chemotherapy</w:t>
            </w:r>
            <w:r w:rsidR="0026100E">
              <w:rPr>
                <w:rFonts w:ascii="Arial" w:eastAsia="Times New Roman" w:hAnsi="Arial" w:cs="Arial"/>
                <w:sz w:val="16"/>
                <w:szCs w:val="16"/>
              </w:rPr>
              <w:noBreakHyphen/>
            </w:r>
            <w:r w:rsidRPr="006D52A9">
              <w:rPr>
                <w:rFonts w:ascii="Arial" w:eastAsia="Times New Roman" w:hAnsi="Arial" w:cs="Arial"/>
                <w:sz w:val="16"/>
                <w:szCs w:val="16"/>
              </w:rPr>
              <w:t>induced neutropenia</w:t>
            </w:r>
          </w:p>
          <w:p w14:paraId="038BF39F" w14:textId="77777777" w:rsidR="008F47B8" w:rsidRPr="006D52A9" w:rsidRDefault="008F47B8" w:rsidP="00FB6D2D">
            <w:pPr>
              <w:pStyle w:val="mps3-data"/>
              <w:spacing w:before="0" w:after="0"/>
              <w:rPr>
                <w:szCs w:val="16"/>
              </w:rPr>
            </w:pPr>
            <w:r w:rsidRPr="006D52A9">
              <w:rPr>
                <w:rFonts w:eastAsia="Times New Roman"/>
                <w:szCs w:val="16"/>
                <w:lang w:eastAsia="en-US"/>
              </w:rPr>
              <w:t>Patient must be receiving chemotherapy with the intention of achieving a cure or a substantial remission; AND</w:t>
            </w:r>
            <w:r w:rsidRPr="006D52A9">
              <w:rPr>
                <w:rFonts w:eastAsia="Times New Roman"/>
                <w:szCs w:val="16"/>
                <w:lang w:eastAsia="en-US"/>
              </w:rPr>
              <w:br/>
              <w:t>Patient must have had a prior episode of febrile neutropenia; OR</w:t>
            </w:r>
            <w:r w:rsidRPr="006D52A9">
              <w:rPr>
                <w:rFonts w:eastAsia="Times New Roman"/>
                <w:szCs w:val="16"/>
                <w:lang w:eastAsia="en-US"/>
              </w:rPr>
              <w:br/>
              <w:t>Patient must have had a prior episode of prolonged severe neutropenia for more than or equal to seven days.</w:t>
            </w:r>
          </w:p>
        </w:tc>
        <w:tc>
          <w:tcPr>
            <w:tcW w:w="929" w:type="pct"/>
            <w:tcMar>
              <w:top w:w="28" w:type="dxa"/>
              <w:left w:w="28" w:type="dxa"/>
              <w:right w:w="57" w:type="dxa"/>
            </w:tcMar>
          </w:tcPr>
          <w:p w14:paraId="2B0DC0FA" w14:textId="77777777" w:rsidR="008F47B8" w:rsidRPr="006D52A9"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7843</w:t>
            </w:r>
          </w:p>
        </w:tc>
      </w:tr>
      <w:tr w:rsidR="008F47B8" w:rsidRPr="006D52A9" w:rsidDel="00B91391" w14:paraId="22605C06" w14:textId="77777777" w:rsidTr="00FB6D2D">
        <w:tc>
          <w:tcPr>
            <w:tcW w:w="647" w:type="pct"/>
            <w:tcMar>
              <w:top w:w="28" w:type="dxa"/>
              <w:left w:w="28" w:type="dxa"/>
            </w:tcMar>
          </w:tcPr>
          <w:p w14:paraId="26C24D1F" w14:textId="77777777" w:rsidR="008F47B8" w:rsidRPr="006D52A9" w:rsidDel="00B91391"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71576E8" w14:textId="77777777" w:rsidR="008F47B8" w:rsidRPr="006D52A9" w:rsidDel="00B91391" w:rsidRDefault="008F47B8" w:rsidP="00FB6D2D">
            <w:pPr>
              <w:spacing w:line="240" w:lineRule="auto"/>
              <w:rPr>
                <w:rFonts w:ascii="Arial" w:hAnsi="Arial" w:cs="Arial"/>
                <w:sz w:val="16"/>
                <w:szCs w:val="16"/>
              </w:rPr>
            </w:pPr>
            <w:r w:rsidRPr="006D52A9">
              <w:rPr>
                <w:rFonts w:ascii="Arial" w:hAnsi="Arial" w:cs="Arial"/>
                <w:sz w:val="16"/>
                <w:szCs w:val="16"/>
              </w:rPr>
              <w:t>C9235</w:t>
            </w:r>
          </w:p>
        </w:tc>
        <w:tc>
          <w:tcPr>
            <w:tcW w:w="274" w:type="pct"/>
            <w:tcMar>
              <w:top w:w="28" w:type="dxa"/>
              <w:left w:w="28" w:type="dxa"/>
            </w:tcMar>
          </w:tcPr>
          <w:p w14:paraId="5D7F512F" w14:textId="77777777" w:rsidR="008F47B8" w:rsidRPr="006D52A9" w:rsidDel="00B91391"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85A6D09" w14:textId="77777777" w:rsidR="008F47B8" w:rsidRPr="006D52A9" w:rsidDel="00B91391" w:rsidRDefault="008F47B8" w:rsidP="00FB6D2D">
            <w:pPr>
              <w:spacing w:after="60" w:line="240" w:lineRule="auto"/>
              <w:rPr>
                <w:rFonts w:ascii="Arial" w:eastAsia="Times New Roman"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szCs w:val="16"/>
              </w:rPr>
              <w:br/>
            </w:r>
            <w:r w:rsidRPr="006D52A9">
              <w:rPr>
                <w:rFonts w:ascii="Arial" w:hAnsi="Arial" w:cs="Arial"/>
                <w:sz w:val="16"/>
                <w:szCs w:val="16"/>
              </w:rPr>
              <w:t>Patient must be receiving chemotherapy with the intention of achieving a cure or a substantial remission; AND</w:t>
            </w:r>
            <w:r w:rsidRPr="006D52A9">
              <w:rPr>
                <w:szCs w:val="16"/>
              </w:rPr>
              <w:br/>
            </w:r>
            <w:r w:rsidRPr="006D52A9">
              <w:rPr>
                <w:rFonts w:ascii="Arial" w:hAnsi="Arial" w:cs="Arial"/>
                <w:sz w:val="16"/>
                <w:szCs w:val="16"/>
              </w:rPr>
              <w:t>Patient must be at greater than 20% risk of developing febrile neutropenia; OR</w:t>
            </w:r>
            <w:r w:rsidRPr="006D52A9">
              <w:rPr>
                <w:szCs w:val="16"/>
              </w:rPr>
              <w:br/>
            </w:r>
            <w:r w:rsidRPr="006D52A9">
              <w:rPr>
                <w:rFonts w:ascii="Arial" w:hAnsi="Arial" w:cs="Arial"/>
                <w:sz w:val="16"/>
                <w:szCs w:val="16"/>
              </w:rPr>
              <w:t>Patient must be at substantial risk (greater than 20%) of prolonged severe neutropenia for more than or equal to seven days.</w:t>
            </w:r>
          </w:p>
        </w:tc>
        <w:tc>
          <w:tcPr>
            <w:tcW w:w="929" w:type="pct"/>
            <w:tcMar>
              <w:top w:w="28" w:type="dxa"/>
              <w:left w:w="28" w:type="dxa"/>
              <w:right w:w="57" w:type="dxa"/>
            </w:tcMar>
          </w:tcPr>
          <w:p w14:paraId="4015E0DD" w14:textId="77777777" w:rsidR="008F47B8" w:rsidRPr="006D52A9" w:rsidDel="00B91391"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9235</w:t>
            </w:r>
          </w:p>
        </w:tc>
      </w:tr>
      <w:tr w:rsidR="008F47B8" w:rsidRPr="006D52A9" w:rsidDel="00B91391" w14:paraId="17ACAB68" w14:textId="77777777" w:rsidTr="00FB6D2D">
        <w:tc>
          <w:tcPr>
            <w:tcW w:w="647" w:type="pct"/>
            <w:tcMar>
              <w:top w:w="28" w:type="dxa"/>
              <w:left w:w="28" w:type="dxa"/>
            </w:tcMar>
          </w:tcPr>
          <w:p w14:paraId="65B70E92" w14:textId="77777777" w:rsidR="008F47B8" w:rsidRPr="006D52A9" w:rsidDel="00B91391"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AB6E050" w14:textId="77777777" w:rsidR="008F47B8" w:rsidRPr="006D52A9" w:rsidDel="00B91391" w:rsidRDefault="008F47B8" w:rsidP="00FB6D2D">
            <w:pPr>
              <w:spacing w:line="240" w:lineRule="auto"/>
              <w:rPr>
                <w:rFonts w:ascii="Arial" w:hAnsi="Arial" w:cs="Arial"/>
                <w:sz w:val="16"/>
                <w:szCs w:val="16"/>
              </w:rPr>
            </w:pPr>
            <w:r w:rsidRPr="006D52A9">
              <w:rPr>
                <w:rFonts w:ascii="Arial" w:hAnsi="Arial" w:cs="Arial"/>
                <w:sz w:val="16"/>
                <w:szCs w:val="16"/>
              </w:rPr>
              <w:t>C9303</w:t>
            </w:r>
          </w:p>
        </w:tc>
        <w:tc>
          <w:tcPr>
            <w:tcW w:w="274" w:type="pct"/>
            <w:tcMar>
              <w:top w:w="28" w:type="dxa"/>
              <w:left w:w="28" w:type="dxa"/>
            </w:tcMar>
          </w:tcPr>
          <w:p w14:paraId="14C83EC6" w14:textId="77777777" w:rsidR="008F47B8" w:rsidRPr="006D52A9" w:rsidDel="00B91391"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11CE002" w14:textId="77777777" w:rsidR="008F47B8" w:rsidRPr="006D52A9" w:rsidDel="00B91391" w:rsidRDefault="008F47B8" w:rsidP="00FB6D2D">
            <w:pPr>
              <w:spacing w:after="60" w:line="240" w:lineRule="auto"/>
              <w:rPr>
                <w:rFonts w:ascii="Arial" w:eastAsia="Times New Roman" w:hAnsi="Arial" w:cs="Arial"/>
                <w:sz w:val="16"/>
                <w:szCs w:val="16"/>
              </w:rPr>
            </w:pPr>
            <w:r w:rsidRPr="006D52A9">
              <w:rPr>
                <w:rFonts w:ascii="Arial" w:hAnsi="Arial" w:cs="Arial"/>
                <w:sz w:val="16"/>
                <w:szCs w:val="16"/>
              </w:rPr>
              <w:t>Chemotherapy</w:t>
            </w:r>
            <w:r w:rsidR="0026100E">
              <w:rPr>
                <w:rFonts w:ascii="Arial" w:hAnsi="Arial" w:cs="Arial"/>
                <w:sz w:val="16"/>
                <w:szCs w:val="16"/>
              </w:rPr>
              <w:noBreakHyphen/>
            </w:r>
            <w:r w:rsidRPr="006D52A9">
              <w:rPr>
                <w:rFonts w:ascii="Arial" w:hAnsi="Arial" w:cs="Arial"/>
                <w:sz w:val="16"/>
                <w:szCs w:val="16"/>
              </w:rPr>
              <w:t>induced neutropenia</w:t>
            </w:r>
            <w:r w:rsidRPr="006D52A9">
              <w:rPr>
                <w:szCs w:val="16"/>
              </w:rPr>
              <w:br/>
            </w:r>
            <w:r w:rsidRPr="006D52A9">
              <w:rPr>
                <w:rFonts w:ascii="Arial" w:hAnsi="Arial" w:cs="Arial"/>
                <w:sz w:val="16"/>
                <w:szCs w:val="16"/>
              </w:rPr>
              <w:t>Patient must be receiving chemotherapy with the intention of achieving a cure or a substantial remission; AND</w:t>
            </w:r>
            <w:r w:rsidRPr="006D52A9">
              <w:rPr>
                <w:szCs w:val="16"/>
              </w:rPr>
              <w:br/>
            </w:r>
            <w:r w:rsidRPr="006D52A9">
              <w:rPr>
                <w:rFonts w:ascii="Arial" w:hAnsi="Arial" w:cs="Arial"/>
                <w:sz w:val="16"/>
                <w:szCs w:val="16"/>
              </w:rPr>
              <w:t>Patient must have had a prior episode of febrile neutropenia; OR</w:t>
            </w:r>
            <w:r w:rsidRPr="006D52A9">
              <w:rPr>
                <w:szCs w:val="16"/>
              </w:rPr>
              <w:br/>
            </w:r>
            <w:r w:rsidRPr="006D52A9">
              <w:rPr>
                <w:rFonts w:ascii="Arial" w:hAnsi="Arial" w:cs="Arial"/>
                <w:sz w:val="16"/>
                <w:szCs w:val="16"/>
              </w:rPr>
              <w:t>Patient must have had a prior episode of prolonged severe neutropenia for more than or equal to seven days.</w:t>
            </w:r>
          </w:p>
        </w:tc>
        <w:tc>
          <w:tcPr>
            <w:tcW w:w="929" w:type="pct"/>
            <w:tcMar>
              <w:top w:w="28" w:type="dxa"/>
              <w:left w:w="28" w:type="dxa"/>
              <w:right w:w="57" w:type="dxa"/>
            </w:tcMar>
          </w:tcPr>
          <w:p w14:paraId="2BCAA1C4" w14:textId="77777777" w:rsidR="008F47B8" w:rsidRPr="006D52A9" w:rsidDel="00B91391" w:rsidRDefault="008F47B8" w:rsidP="00FB6D2D">
            <w:pPr>
              <w:keepNext/>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9303</w:t>
            </w:r>
          </w:p>
        </w:tc>
      </w:tr>
      <w:tr w:rsidR="008F47B8" w:rsidRPr="006D52A9" w14:paraId="61D10941" w14:textId="77777777" w:rsidTr="00FB6D2D">
        <w:tblPrEx>
          <w:tblLook w:val="01E0" w:firstRow="1" w:lastRow="1" w:firstColumn="1" w:lastColumn="1" w:noHBand="0" w:noVBand="0"/>
        </w:tblPrEx>
        <w:tc>
          <w:tcPr>
            <w:tcW w:w="647" w:type="pct"/>
            <w:tcMar>
              <w:top w:w="28" w:type="dxa"/>
              <w:left w:w="28" w:type="dxa"/>
            </w:tcMar>
          </w:tcPr>
          <w:p w14:paraId="56386808" w14:textId="77777777" w:rsidR="008F47B8" w:rsidRPr="006D52A9" w:rsidRDefault="008F47B8" w:rsidP="00FB6D2D">
            <w:pPr>
              <w:spacing w:line="240" w:lineRule="auto"/>
              <w:rPr>
                <w:rFonts w:ascii="Arial" w:eastAsia="SimSun" w:hAnsi="Arial" w:cs="Arial"/>
                <w:sz w:val="16"/>
                <w:szCs w:val="16"/>
                <w:lang w:eastAsia="zh-CN"/>
              </w:rPr>
            </w:pPr>
            <w:bookmarkStart w:id="192" w:name="CU_425690122"/>
            <w:bookmarkStart w:id="193" w:name="CU_433692579"/>
            <w:bookmarkStart w:id="194" w:name="CU_439696226"/>
            <w:bookmarkStart w:id="195" w:name="CU_446699235"/>
            <w:bookmarkStart w:id="196" w:name="CU_451700951"/>
            <w:bookmarkStart w:id="197" w:name="CU_455704412"/>
            <w:bookmarkEnd w:id="192"/>
            <w:bookmarkEnd w:id="193"/>
            <w:bookmarkEnd w:id="194"/>
            <w:bookmarkEnd w:id="195"/>
            <w:bookmarkEnd w:id="196"/>
            <w:bookmarkEnd w:id="197"/>
            <w:r w:rsidRPr="006D52A9">
              <w:rPr>
                <w:rFonts w:ascii="Arial" w:eastAsia="SimSun" w:hAnsi="Arial" w:cs="Arial"/>
                <w:sz w:val="16"/>
                <w:szCs w:val="16"/>
                <w:lang w:eastAsia="zh-CN"/>
              </w:rPr>
              <w:t xml:space="preserve">Peginterferon </w:t>
            </w:r>
            <w:r w:rsidRPr="006D52A9">
              <w:rPr>
                <w:rFonts w:ascii="Arial" w:eastAsia="SimSun" w:hAnsi="Arial" w:cs="Arial"/>
                <w:sz w:val="16"/>
                <w:szCs w:val="16"/>
                <w:lang w:eastAsia="zh-CN"/>
              </w:rPr>
              <w:br/>
              <w:t>alfa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2a</w:t>
            </w:r>
          </w:p>
        </w:tc>
        <w:tc>
          <w:tcPr>
            <w:tcW w:w="283" w:type="pct"/>
            <w:tcMar>
              <w:top w:w="28" w:type="dxa"/>
              <w:left w:w="28" w:type="dxa"/>
            </w:tcMar>
          </w:tcPr>
          <w:p w14:paraId="4CFBDE0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C5004</w:t>
            </w:r>
          </w:p>
        </w:tc>
        <w:tc>
          <w:tcPr>
            <w:tcW w:w="274" w:type="pct"/>
            <w:tcMar>
              <w:top w:w="28" w:type="dxa"/>
              <w:left w:w="28" w:type="dxa"/>
            </w:tcMar>
          </w:tcPr>
          <w:p w14:paraId="7581E505" w14:textId="77777777" w:rsidR="008F47B8" w:rsidRPr="006D52A9" w:rsidRDefault="008F47B8" w:rsidP="00FB6D2D">
            <w:pPr>
              <w:spacing w:line="240" w:lineRule="auto"/>
              <w:rPr>
                <w:rFonts w:ascii="Arial" w:hAnsi="Arial" w:cs="Arial"/>
                <w:sz w:val="16"/>
                <w:szCs w:val="16"/>
              </w:rPr>
            </w:pPr>
          </w:p>
        </w:tc>
        <w:tc>
          <w:tcPr>
            <w:tcW w:w="2867" w:type="pct"/>
            <w:tcMar>
              <w:top w:w="28" w:type="dxa"/>
              <w:left w:w="28" w:type="dxa"/>
            </w:tcMar>
          </w:tcPr>
          <w:p w14:paraId="133BE44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Chronic hepatitis C infection</w:t>
            </w:r>
            <w:r w:rsidRPr="006D52A9">
              <w:rPr>
                <w:rFonts w:ascii="Arial" w:hAnsi="Arial" w:cs="Arial"/>
                <w:sz w:val="16"/>
                <w:szCs w:val="16"/>
              </w:rPr>
              <w:br/>
              <w:t>Must be treated in an accredited treatment centre.</w:t>
            </w:r>
            <w:r w:rsidRPr="006D52A9">
              <w:rPr>
                <w:rFonts w:ascii="Arial" w:hAnsi="Arial" w:cs="Arial"/>
                <w:sz w:val="16"/>
                <w:szCs w:val="16"/>
              </w:rPr>
              <w:br/>
              <w:t>Patient must be aged 18 years or older; AND</w:t>
            </w:r>
            <w:r w:rsidRPr="006D52A9">
              <w:rPr>
                <w:rFonts w:ascii="Arial" w:hAnsi="Arial" w:cs="Arial"/>
                <w:sz w:val="16"/>
                <w:szCs w:val="16"/>
              </w:rPr>
              <w:br/>
              <w:t>Patient must not be pregnant or breastfeeding, and must be using an effective form of contraception if female and of child</w:t>
            </w:r>
            <w:r w:rsidR="0026100E">
              <w:rPr>
                <w:rFonts w:ascii="Arial" w:hAnsi="Arial" w:cs="Arial"/>
                <w:sz w:val="16"/>
                <w:szCs w:val="16"/>
              </w:rPr>
              <w:noBreakHyphen/>
            </w:r>
            <w:r w:rsidRPr="006D52A9">
              <w:rPr>
                <w:rFonts w:ascii="Arial" w:hAnsi="Arial" w:cs="Arial"/>
                <w:sz w:val="16"/>
                <w:szCs w:val="16"/>
              </w:rPr>
              <w:t>bearing age.</w:t>
            </w:r>
            <w:r w:rsidRPr="006D52A9">
              <w:rPr>
                <w:rFonts w:ascii="Arial" w:hAnsi="Arial" w:cs="Arial"/>
                <w:sz w:val="16"/>
                <w:szCs w:val="16"/>
              </w:rPr>
              <w:br/>
              <w:t>Patient must have compensated liver disease; AND</w:t>
            </w:r>
            <w:r w:rsidRPr="006D52A9">
              <w:rPr>
                <w:rFonts w:ascii="Arial" w:hAnsi="Arial" w:cs="Arial"/>
                <w:sz w:val="16"/>
                <w:szCs w:val="16"/>
              </w:rPr>
              <w:br/>
              <w:t>Patient must not have received prior interferon alfa or peginterferon alfa treatment for hepatitis C; AND</w:t>
            </w:r>
            <w:r w:rsidRPr="006D52A9">
              <w:rPr>
                <w:rFonts w:ascii="Arial" w:hAnsi="Arial" w:cs="Arial"/>
                <w:sz w:val="16"/>
                <w:szCs w:val="16"/>
              </w:rPr>
              <w:br/>
              <w:t>Patient must have a contraindication to ribavirin; AND</w:t>
            </w:r>
            <w:r w:rsidRPr="006D52A9">
              <w:rPr>
                <w:rFonts w:ascii="Arial" w:hAnsi="Arial" w:cs="Arial"/>
                <w:sz w:val="16"/>
                <w:szCs w:val="16"/>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6D52A9">
              <w:rPr>
                <w:rFonts w:ascii="Arial" w:hAnsi="Arial" w:cs="Arial"/>
                <w:sz w:val="16"/>
                <w:szCs w:val="16"/>
              </w:rPr>
              <w:br/>
              <w:t>The treatment must be limited to a maximum duration of 48 weeks.</w:t>
            </w:r>
            <w:r w:rsidRPr="006D52A9">
              <w:rPr>
                <w:rFonts w:ascii="Arial" w:hAnsi="Arial" w:cs="Arial"/>
                <w:sz w:val="16"/>
                <w:szCs w:val="16"/>
              </w:rPr>
              <w:br/>
              <w:t>Evidence of chronic hepatitis C infection (repeatedly anti</w:t>
            </w:r>
            <w:r w:rsidR="0026100E">
              <w:rPr>
                <w:rFonts w:ascii="Arial" w:hAnsi="Arial" w:cs="Arial"/>
                <w:sz w:val="16"/>
                <w:szCs w:val="16"/>
              </w:rPr>
              <w:noBreakHyphen/>
            </w:r>
            <w:r w:rsidRPr="006D52A9">
              <w:rPr>
                <w:rFonts w:ascii="Arial" w:hAnsi="Arial" w:cs="Arial"/>
                <w:sz w:val="16"/>
                <w:szCs w:val="16"/>
              </w:rPr>
              <w:t>HCV positive and HCV RNA positive) must be documented in the patient’s medical records.</w:t>
            </w:r>
          </w:p>
        </w:tc>
        <w:tc>
          <w:tcPr>
            <w:tcW w:w="929" w:type="pct"/>
            <w:tcMar>
              <w:top w:w="28" w:type="dxa"/>
              <w:left w:w="28" w:type="dxa"/>
              <w:right w:w="57" w:type="dxa"/>
            </w:tcMar>
          </w:tcPr>
          <w:p w14:paraId="7BB1748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5004</w:t>
            </w:r>
          </w:p>
        </w:tc>
      </w:tr>
      <w:tr w:rsidR="008F47B8" w:rsidRPr="006D52A9" w:rsidDel="00407C96" w14:paraId="1D35A3DD" w14:textId="77777777" w:rsidTr="00FB6D2D">
        <w:tc>
          <w:tcPr>
            <w:tcW w:w="647" w:type="pct"/>
            <w:tcMar>
              <w:top w:w="28" w:type="dxa"/>
              <w:left w:w="28" w:type="dxa"/>
            </w:tcMar>
          </w:tcPr>
          <w:p w14:paraId="2B5D001F" w14:textId="77777777" w:rsidR="008F47B8" w:rsidRPr="006D52A9" w:rsidDel="00407C9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9DA624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C9603</w:t>
            </w:r>
          </w:p>
        </w:tc>
        <w:tc>
          <w:tcPr>
            <w:tcW w:w="274" w:type="pct"/>
            <w:tcMar>
              <w:top w:w="28" w:type="dxa"/>
              <w:left w:w="28" w:type="dxa"/>
            </w:tcMar>
          </w:tcPr>
          <w:p w14:paraId="39F82BE9"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0B94A6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Must be treated in an accredited treatment centre.</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be aged 18 years or older; AND</w:t>
            </w:r>
            <w:r w:rsidRPr="006D52A9">
              <w:rPr>
                <w:rFonts w:ascii="Arial" w:eastAsia="SimSun" w:hAnsi="Arial" w:cs="Arial"/>
                <w:sz w:val="16"/>
                <w:szCs w:val="16"/>
                <w:lang w:eastAsia="zh-CN"/>
              </w:rPr>
              <w:br/>
              <w:t>Patient must not be pregnant or breastfeeding, and must be using an effective form of contraception if female and of child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bearing age.</w:t>
            </w:r>
            <w:r w:rsidRPr="006D52A9">
              <w:rPr>
                <w:rFonts w:ascii="Arial" w:eastAsia="SimSun" w:hAnsi="Arial" w:cs="Arial"/>
                <w:sz w:val="16"/>
                <w:szCs w:val="16"/>
                <w:lang w:eastAsia="zh-CN"/>
              </w:rPr>
              <w:br/>
              <w:t>Patient must have compensated liver disease; AND</w:t>
            </w:r>
            <w:r w:rsidRPr="006D52A9">
              <w:rPr>
                <w:rFonts w:ascii="Arial" w:eastAsia="SimSun" w:hAnsi="Arial" w:cs="Arial"/>
                <w:sz w:val="16"/>
                <w:szCs w:val="16"/>
                <w:lang w:eastAsia="zh-CN"/>
              </w:rPr>
              <w:br/>
              <w:t>Patient must not have received prior interferon alfa or peginterferon alfa treatment for hepatitis C; AND</w:t>
            </w:r>
            <w:r w:rsidRPr="006D52A9">
              <w:rPr>
                <w:rFonts w:ascii="Arial" w:eastAsia="SimSun" w:hAnsi="Arial" w:cs="Arial"/>
                <w:sz w:val="16"/>
                <w:szCs w:val="16"/>
                <w:lang w:eastAsia="zh-CN"/>
              </w:rPr>
              <w:br/>
              <w:t>Patient must have a contraindication to ribavirin; AND</w:t>
            </w:r>
            <w:r w:rsidRPr="006D52A9">
              <w:rPr>
                <w:rFonts w:ascii="Arial" w:eastAsia="SimSun" w:hAnsi="Arial" w:cs="Arial"/>
                <w:sz w:val="16"/>
                <w:szCs w:val="16"/>
                <w:lang w:eastAsia="zh-CN"/>
              </w:rPr>
              <w:br/>
              <w:t>The treatment must cease unless the results of an HCV RNA quantitative assay at week 12 (performed at the same laboratory using the same test) show that plasma HCV RNA has become undetectable or the viral load has decreased by at least a 2 log drop; AND</w:t>
            </w:r>
            <w:r w:rsidRPr="006D52A9">
              <w:rPr>
                <w:rFonts w:ascii="Arial" w:eastAsia="SimSun" w:hAnsi="Arial" w:cs="Arial"/>
                <w:sz w:val="16"/>
                <w:szCs w:val="16"/>
                <w:lang w:eastAsia="zh-CN"/>
              </w:rPr>
              <w:br/>
              <w:t>The treatment must be limited to a maximum duration of 48 weeks.</w:t>
            </w:r>
            <w:r w:rsidRPr="006D52A9">
              <w:rPr>
                <w:rFonts w:ascii="Arial" w:eastAsia="SimSun" w:hAnsi="Arial" w:cs="Arial"/>
                <w:sz w:val="16"/>
                <w:szCs w:val="16"/>
                <w:lang w:eastAsia="zh-CN"/>
              </w:rPr>
              <w:br/>
              <w:t>Evidence of chronic hepatitis C infection (repeatedly anti</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HCV positive and HCV RNA positive) must be documented in the patient’s medical records.</w:t>
            </w:r>
          </w:p>
        </w:tc>
        <w:tc>
          <w:tcPr>
            <w:tcW w:w="929" w:type="pct"/>
            <w:tcMar>
              <w:top w:w="28" w:type="dxa"/>
              <w:left w:w="28" w:type="dxa"/>
              <w:right w:w="57" w:type="dxa"/>
            </w:tcMar>
          </w:tcPr>
          <w:p w14:paraId="5F67690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w:t>
            </w:r>
            <w:r w:rsidRPr="006D52A9">
              <w:rPr>
                <w:rFonts w:ascii="Arial" w:eastAsia="SimSun" w:hAnsi="Arial" w:cs="Arial"/>
                <w:sz w:val="16"/>
                <w:szCs w:val="16"/>
                <w:lang w:eastAsia="zh-CN"/>
              </w:rPr>
              <w:lastRenderedPageBreak/>
              <w:t xml:space="preserve">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9603</w:t>
            </w:r>
          </w:p>
        </w:tc>
      </w:tr>
      <w:tr w:rsidR="008F47B8" w:rsidRPr="006D52A9" w:rsidDel="00407C96" w14:paraId="7F116AE8" w14:textId="77777777" w:rsidTr="00FB6D2D">
        <w:tc>
          <w:tcPr>
            <w:tcW w:w="647" w:type="pct"/>
            <w:tcMar>
              <w:top w:w="28" w:type="dxa"/>
              <w:left w:w="28" w:type="dxa"/>
            </w:tcMar>
          </w:tcPr>
          <w:p w14:paraId="2DDC249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Pegvisomant</w:t>
            </w:r>
          </w:p>
        </w:tc>
        <w:tc>
          <w:tcPr>
            <w:tcW w:w="283" w:type="pct"/>
            <w:tcMar>
              <w:top w:w="28" w:type="dxa"/>
              <w:left w:w="28" w:type="dxa"/>
            </w:tcMar>
          </w:tcPr>
          <w:p w14:paraId="7173628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C7087</w:t>
            </w:r>
          </w:p>
        </w:tc>
        <w:tc>
          <w:tcPr>
            <w:tcW w:w="274" w:type="pct"/>
            <w:tcMar>
              <w:top w:w="28" w:type="dxa"/>
              <w:left w:w="28" w:type="dxa"/>
            </w:tcMar>
          </w:tcPr>
          <w:p w14:paraId="7297DA6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6A2FAA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Acromegaly</w:t>
            </w:r>
          </w:p>
          <w:p w14:paraId="757608D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Continuing treatment</w:t>
            </w:r>
          </w:p>
          <w:p w14:paraId="4C3F1BB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p>
          <w:p w14:paraId="2C1636A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not be given concomitantly with a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somatostatin analogue; AND</w:t>
            </w:r>
          </w:p>
          <w:p w14:paraId="6B3ABCD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cease if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is not lower after 3 months of pegvisomant treatment at the maximum tolerated dose.</w:t>
            </w:r>
          </w:p>
          <w:p w14:paraId="476A813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Somatostatin analogues include octreotide, lanreotide and pasireotide</w:t>
            </w:r>
          </w:p>
          <w:p w14:paraId="5BEB9BA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In a patient treated with radiotherapy, pegvisomant should be withdrawn every 2 years in the 10 years after completion of radiotherapy for assessment of remission. Pegvisomant should be withdrawn at least 8 weeks prior to the assessment of remission.</w:t>
            </w:r>
          </w:p>
          <w:p w14:paraId="78BF47D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Biochemical evidence of remission is defined as normalisation of sex</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and age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adjusted insulin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like growth factor 1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w:t>
            </w:r>
          </w:p>
          <w:p w14:paraId="5D3495DE"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In a patient who has been previously treated with radiotherapy for this condition, the date of completion of radiotherapy must be provided; and a copy of IGF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1 level taken at the most recent two yearly assessment in the 10 years after completion of radiotherapy must be provided at the time of application.</w:t>
            </w:r>
          </w:p>
        </w:tc>
        <w:tc>
          <w:tcPr>
            <w:tcW w:w="929" w:type="pct"/>
            <w:tcMar>
              <w:top w:w="28" w:type="dxa"/>
              <w:left w:w="28" w:type="dxa"/>
              <w:right w:w="57" w:type="dxa"/>
            </w:tcMar>
          </w:tcPr>
          <w:p w14:paraId="4566427C"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407C96" w14:paraId="1D7ED1F5" w14:textId="77777777" w:rsidTr="00FB6D2D">
        <w:tc>
          <w:tcPr>
            <w:tcW w:w="647" w:type="pct"/>
            <w:tcMar>
              <w:top w:w="28" w:type="dxa"/>
              <w:left w:w="28" w:type="dxa"/>
            </w:tcMar>
          </w:tcPr>
          <w:p w14:paraId="5A3F3AA5"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6B9A93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C9041</w:t>
            </w:r>
          </w:p>
        </w:tc>
        <w:tc>
          <w:tcPr>
            <w:tcW w:w="274" w:type="pct"/>
            <w:tcMar>
              <w:top w:w="28" w:type="dxa"/>
              <w:left w:w="28" w:type="dxa"/>
            </w:tcMar>
          </w:tcPr>
          <w:p w14:paraId="5B9DF561"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5DB65E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Acromegaly</w:t>
            </w:r>
            <w:r w:rsidRPr="006D52A9">
              <w:rPr>
                <w:rFonts w:ascii="Arial" w:hAnsi="Arial" w:cs="Arial"/>
                <w:sz w:val="16"/>
                <w:szCs w:val="16"/>
              </w:rPr>
              <w:br/>
              <w:t>Initial treatment</w:t>
            </w:r>
            <w:r w:rsidRPr="006D52A9">
              <w:rPr>
                <w:rFonts w:ascii="Arial" w:hAnsi="Arial" w:cs="Arial"/>
                <w:sz w:val="16"/>
                <w:szCs w:val="16"/>
              </w:rPr>
              <w:br/>
              <w:t>Patient must not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have an age</w:t>
            </w:r>
            <w:r w:rsidR="0026100E">
              <w:rPr>
                <w:rFonts w:ascii="Arial" w:hAnsi="Arial" w:cs="Arial"/>
                <w:sz w:val="16"/>
                <w:szCs w:val="16"/>
              </w:rPr>
              <w:noBreakHyphen/>
            </w:r>
            <w:r w:rsidRPr="006D52A9">
              <w:rPr>
                <w:rFonts w:ascii="Arial" w:hAnsi="Arial" w:cs="Arial"/>
                <w:sz w:val="16"/>
                <w:szCs w:val="16"/>
              </w:rPr>
              <w:t xml:space="preserve"> and sex</w:t>
            </w:r>
            <w:r w:rsidR="0026100E">
              <w:rPr>
                <w:rFonts w:ascii="Arial" w:hAnsi="Arial" w:cs="Arial"/>
                <w:sz w:val="16"/>
                <w:szCs w:val="16"/>
              </w:rPr>
              <w:noBreakHyphen/>
            </w:r>
            <w:r w:rsidRPr="006D52A9">
              <w:rPr>
                <w:rFonts w:ascii="Arial" w:hAnsi="Arial" w:cs="Arial"/>
                <w:sz w:val="16"/>
                <w:szCs w:val="16"/>
              </w:rPr>
              <w:t>adjusted insulin</w:t>
            </w:r>
            <w:r w:rsidR="0026100E">
              <w:rPr>
                <w:rFonts w:ascii="Arial" w:hAnsi="Arial" w:cs="Arial"/>
                <w:sz w:val="16"/>
                <w:szCs w:val="16"/>
              </w:rPr>
              <w:noBreakHyphen/>
            </w:r>
            <w:r w:rsidRPr="006D52A9">
              <w:rPr>
                <w:rFonts w:ascii="Arial" w:hAnsi="Arial" w:cs="Arial"/>
                <w:sz w:val="16"/>
                <w:szCs w:val="16"/>
              </w:rPr>
              <w:t>like growth factor 1 (IGF</w:t>
            </w:r>
            <w:r w:rsidR="0026100E">
              <w:rPr>
                <w:rFonts w:ascii="Arial" w:hAnsi="Arial" w:cs="Arial"/>
                <w:sz w:val="16"/>
                <w:szCs w:val="16"/>
              </w:rPr>
              <w:noBreakHyphen/>
            </w:r>
            <w:r w:rsidRPr="006D52A9">
              <w:rPr>
                <w:rFonts w:ascii="Arial" w:hAnsi="Arial" w:cs="Arial"/>
                <w:sz w:val="16"/>
                <w:szCs w:val="16"/>
              </w:rPr>
              <w:t>1) concentration greater than the upper limit of normal (ULN); AND</w:t>
            </w:r>
            <w:r w:rsidRPr="006D52A9">
              <w:rPr>
                <w:rFonts w:ascii="Arial" w:hAnsi="Arial" w:cs="Arial"/>
                <w:sz w:val="16"/>
                <w:szCs w:val="16"/>
              </w:rPr>
              <w:br/>
              <w:t>The treatment must be after failure to achieve biochemical control with a maximum indicated dose of either 30 mg octreotide LAR or 120 mg lanreotide ATG every 28 days for 24 weeks; unless contraindicated or not tolerated according to the TGA approved Product Information; AND</w:t>
            </w:r>
            <w:r w:rsidRPr="006D52A9">
              <w:rPr>
                <w:rFonts w:ascii="Arial" w:hAnsi="Arial" w:cs="Arial"/>
                <w:sz w:val="16"/>
                <w:szCs w:val="16"/>
              </w:rPr>
              <w:br/>
              <w:t>The treatment must not be given concomitantly with a PBS</w:t>
            </w:r>
            <w:r w:rsidR="0026100E">
              <w:rPr>
                <w:rFonts w:ascii="Arial" w:hAnsi="Arial" w:cs="Arial"/>
                <w:sz w:val="16"/>
                <w:szCs w:val="16"/>
              </w:rPr>
              <w:noBreakHyphen/>
            </w:r>
            <w:r w:rsidRPr="006D52A9">
              <w:rPr>
                <w:rFonts w:ascii="Arial" w:hAnsi="Arial" w:cs="Arial"/>
                <w:sz w:val="16"/>
                <w:szCs w:val="16"/>
              </w:rPr>
              <w:t>subsidised somatostatin analogue.</w:t>
            </w:r>
            <w:r w:rsidRPr="006D52A9">
              <w:rPr>
                <w:rFonts w:ascii="Arial" w:hAnsi="Arial" w:cs="Arial"/>
                <w:sz w:val="16"/>
                <w:szCs w:val="16"/>
              </w:rPr>
              <w:br/>
              <w:t>Somatostatin analogues include octreotide, lanreotide and pasireotide</w:t>
            </w:r>
            <w:r w:rsidRPr="006D52A9">
              <w:rPr>
                <w:rFonts w:ascii="Arial" w:hAnsi="Arial" w:cs="Arial"/>
                <w:sz w:val="16"/>
                <w:szCs w:val="16"/>
              </w:rPr>
              <w:br/>
              <w:t>Failure to achieve biochemical control after completion of a prior therapy with either octreotide or lanreotide is defined as:</w:t>
            </w:r>
            <w:r w:rsidRPr="006D52A9">
              <w:rPr>
                <w:rFonts w:ascii="Arial" w:hAnsi="Arial" w:cs="Arial"/>
                <w:sz w:val="16"/>
                <w:szCs w:val="16"/>
              </w:rPr>
              <w:br/>
              <w:t>1) Growth hormone level greater than 1 mcg/L or 3 mIU/L; OR</w:t>
            </w:r>
            <w:r w:rsidRPr="006D52A9">
              <w:rPr>
                <w:rFonts w:ascii="Arial" w:hAnsi="Arial" w:cs="Arial"/>
                <w:sz w:val="16"/>
                <w:szCs w:val="16"/>
              </w:rPr>
              <w:br/>
            </w:r>
            <w:r w:rsidRPr="006D52A9">
              <w:rPr>
                <w:rFonts w:ascii="Arial" w:hAnsi="Arial" w:cs="Arial"/>
                <w:sz w:val="16"/>
                <w:szCs w:val="16"/>
              </w:rPr>
              <w:lastRenderedPageBreak/>
              <w:t>2) IGF</w:t>
            </w:r>
            <w:r w:rsidR="0026100E">
              <w:rPr>
                <w:rFonts w:ascii="Arial" w:hAnsi="Arial" w:cs="Arial"/>
                <w:sz w:val="16"/>
                <w:szCs w:val="16"/>
              </w:rPr>
              <w:noBreakHyphen/>
            </w:r>
            <w:r w:rsidRPr="006D52A9">
              <w:rPr>
                <w:rFonts w:ascii="Arial" w:hAnsi="Arial" w:cs="Arial"/>
                <w:sz w:val="16"/>
                <w:szCs w:val="16"/>
              </w:rPr>
              <w:t>1 level is greater than the age</w:t>
            </w:r>
            <w:r w:rsidR="0026100E">
              <w:rPr>
                <w:rFonts w:ascii="Arial" w:hAnsi="Arial" w:cs="Arial"/>
                <w:sz w:val="16"/>
                <w:szCs w:val="16"/>
              </w:rPr>
              <w:noBreakHyphen/>
            </w:r>
            <w:r w:rsidRPr="006D52A9">
              <w:rPr>
                <w:rFonts w:ascii="Arial" w:hAnsi="Arial" w:cs="Arial"/>
                <w:sz w:val="16"/>
                <w:szCs w:val="16"/>
              </w:rPr>
              <w:t xml:space="preserve"> and sex</w:t>
            </w:r>
            <w:r w:rsidR="0026100E">
              <w:rPr>
                <w:rFonts w:ascii="Arial" w:hAnsi="Arial" w:cs="Arial"/>
                <w:sz w:val="16"/>
                <w:szCs w:val="16"/>
              </w:rPr>
              <w:noBreakHyphen/>
            </w:r>
            <w:r w:rsidRPr="006D52A9">
              <w:rPr>
                <w:rFonts w:ascii="Arial" w:hAnsi="Arial" w:cs="Arial"/>
                <w:sz w:val="16"/>
                <w:szCs w:val="16"/>
              </w:rPr>
              <w:t>adjusted ULN.</w:t>
            </w:r>
            <w:r w:rsidRPr="006D52A9">
              <w:rPr>
                <w:rFonts w:ascii="Arial" w:hAnsi="Arial" w:cs="Arial"/>
                <w:sz w:val="16"/>
                <w:szCs w:val="16"/>
              </w:rPr>
              <w:br/>
              <w:t>If treatment with either octreotide or lanreotide is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the application must provide details of contraindication.</w:t>
            </w:r>
            <w:r w:rsidRPr="006D52A9">
              <w:rPr>
                <w:rFonts w:ascii="Arial" w:hAnsi="Arial" w:cs="Arial"/>
                <w:sz w:val="16"/>
                <w:szCs w:val="16"/>
              </w:rPr>
              <w:br/>
              <w:t>If intolerance to either octreotide or lanreotide treatment developed during the relevant period of use which is of a severity to necessitate withdrawal of the treatment, the application must provide details of the nature and severity of this intolerance.</w:t>
            </w:r>
            <w:r w:rsidRPr="006D52A9">
              <w:rPr>
                <w:rFonts w:ascii="Arial" w:hAnsi="Arial" w:cs="Arial"/>
                <w:sz w:val="16"/>
                <w:szCs w:val="16"/>
              </w:rPr>
              <w:br/>
              <w:t>In a patient treated with radiotherapy, pegvisomant should be withdrawn every 2 years in the 10 years after completion of radiotherapy for assessment of remission. Pegvisomant should be withdrawn at least 8 weeks prior to the assessment of remission.</w:t>
            </w:r>
            <w:r w:rsidRPr="006D52A9">
              <w:rPr>
                <w:rFonts w:ascii="Arial" w:hAnsi="Arial" w:cs="Arial"/>
                <w:sz w:val="16"/>
                <w:szCs w:val="16"/>
              </w:rPr>
              <w:br/>
              <w:t>Biochemical evidence of remission is defined as normalisation of sex</w:t>
            </w:r>
            <w:r w:rsidR="0026100E">
              <w:rPr>
                <w:rFonts w:ascii="Arial" w:hAnsi="Arial" w:cs="Arial"/>
                <w:sz w:val="16"/>
                <w:szCs w:val="16"/>
              </w:rPr>
              <w:noBreakHyphen/>
            </w:r>
            <w:r w:rsidRPr="006D52A9">
              <w:rPr>
                <w:rFonts w:ascii="Arial" w:hAnsi="Arial" w:cs="Arial"/>
                <w:sz w:val="16"/>
                <w:szCs w:val="16"/>
              </w:rPr>
              <w:t xml:space="preserve"> and age</w:t>
            </w:r>
            <w:r w:rsidR="0026100E">
              <w:rPr>
                <w:rFonts w:ascii="Arial" w:hAnsi="Arial" w:cs="Arial"/>
                <w:sz w:val="16"/>
                <w:szCs w:val="16"/>
              </w:rPr>
              <w:noBreakHyphen/>
            </w:r>
            <w:r w:rsidRPr="006D52A9">
              <w:rPr>
                <w:rFonts w:ascii="Arial" w:hAnsi="Arial" w:cs="Arial"/>
                <w:sz w:val="16"/>
                <w:szCs w:val="16"/>
              </w:rPr>
              <w:t xml:space="preserve"> adjusted insulin</w:t>
            </w:r>
            <w:r w:rsidR="0026100E">
              <w:rPr>
                <w:rFonts w:ascii="Arial" w:hAnsi="Arial" w:cs="Arial"/>
                <w:sz w:val="16"/>
                <w:szCs w:val="16"/>
              </w:rPr>
              <w:noBreakHyphen/>
            </w:r>
            <w:r w:rsidRPr="006D52A9">
              <w:rPr>
                <w:rFonts w:ascii="Arial" w:hAnsi="Arial" w:cs="Arial"/>
                <w:sz w:val="16"/>
                <w:szCs w:val="16"/>
              </w:rPr>
              <w:t>like growth factor 1 (IGF</w:t>
            </w:r>
            <w:r w:rsidR="0026100E">
              <w:rPr>
                <w:rFonts w:ascii="Arial" w:hAnsi="Arial" w:cs="Arial"/>
                <w:sz w:val="16"/>
                <w:szCs w:val="16"/>
              </w:rPr>
              <w:noBreakHyphen/>
            </w:r>
            <w:r w:rsidRPr="006D52A9">
              <w:rPr>
                <w:rFonts w:ascii="Arial" w:hAnsi="Arial" w:cs="Arial"/>
                <w:sz w:val="16"/>
                <w:szCs w:val="16"/>
              </w:rPr>
              <w:t>1).</w:t>
            </w:r>
            <w:r w:rsidRPr="006D52A9">
              <w:rPr>
                <w:rFonts w:ascii="Arial" w:hAnsi="Arial" w:cs="Arial"/>
                <w:sz w:val="16"/>
                <w:szCs w:val="16"/>
              </w:rPr>
              <w:br/>
              <w:t>Two completed authority prescriptions should be submitted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w:t>
            </w:r>
            <w:r w:rsidR="0026100E">
              <w:rPr>
                <w:rFonts w:ascii="Arial" w:hAnsi="Arial" w:cs="Arial"/>
                <w:sz w:val="16"/>
                <w:szCs w:val="16"/>
              </w:rPr>
              <w:noBreakHyphen/>
            </w:r>
            <w:r w:rsidRPr="006D52A9">
              <w:rPr>
                <w:rFonts w:ascii="Arial" w:hAnsi="Arial" w:cs="Arial"/>
                <w:sz w:val="16"/>
                <w:szCs w:val="16"/>
              </w:rPr>
              <w:t>1 levels measured every 4 to 6 weeks in order to maintain the serum IGF</w:t>
            </w:r>
            <w:r w:rsidR="0026100E">
              <w:rPr>
                <w:rFonts w:ascii="Arial" w:hAnsi="Arial" w:cs="Arial"/>
                <w:sz w:val="16"/>
                <w:szCs w:val="16"/>
              </w:rPr>
              <w:noBreakHyphen/>
            </w:r>
            <w:r w:rsidRPr="006D52A9">
              <w:rPr>
                <w:rFonts w:ascii="Arial" w:hAnsi="Arial" w:cs="Arial"/>
                <w:sz w:val="16"/>
                <w:szCs w:val="16"/>
              </w:rPr>
              <w:t>1 level within the age</w:t>
            </w:r>
            <w:r w:rsidR="0026100E">
              <w:rPr>
                <w:rFonts w:ascii="Arial" w:hAnsi="Arial" w:cs="Arial"/>
                <w:sz w:val="16"/>
                <w:szCs w:val="16"/>
              </w:rPr>
              <w:noBreakHyphen/>
            </w:r>
            <w:r w:rsidRPr="006D52A9">
              <w:rPr>
                <w:rFonts w:ascii="Arial" w:hAnsi="Arial" w:cs="Arial"/>
                <w:sz w:val="16"/>
                <w:szCs w:val="16"/>
              </w:rPr>
              <w:t>adjusted normal range based on the dosage recommendations in the TGA</w:t>
            </w:r>
            <w:r w:rsidR="0026100E">
              <w:rPr>
                <w:rFonts w:ascii="Arial" w:hAnsi="Arial" w:cs="Arial"/>
                <w:sz w:val="16"/>
                <w:szCs w:val="16"/>
              </w:rPr>
              <w:noBreakHyphen/>
            </w:r>
            <w:r w:rsidRPr="006D52A9">
              <w:rPr>
                <w:rFonts w:ascii="Arial" w:hAnsi="Arial" w:cs="Arial"/>
                <w:sz w:val="16"/>
                <w:szCs w:val="16"/>
              </w:rPr>
              <w:t>approved Product Information.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a) two completed authority prescription forms ; and</w:t>
            </w:r>
            <w:r w:rsidRPr="006D52A9">
              <w:rPr>
                <w:rFonts w:ascii="Arial" w:hAnsi="Arial" w:cs="Arial"/>
                <w:sz w:val="16"/>
                <w:szCs w:val="16"/>
              </w:rPr>
              <w:br/>
              <w:t xml:space="preserve">b) a completed Acromegaly Pegvisomant initial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and</w:t>
            </w:r>
            <w:r w:rsidRPr="006D52A9">
              <w:rPr>
                <w:rFonts w:ascii="Arial" w:hAnsi="Arial" w:cs="Arial"/>
                <w:sz w:val="16"/>
                <w:szCs w:val="16"/>
              </w:rPr>
              <w:br/>
              <w:t>c) in a patient who has been previously treated with radiotherapy for this condition, the date of completion of radiotherapy, the date and result of IGF</w:t>
            </w:r>
            <w:r w:rsidR="0026100E">
              <w:rPr>
                <w:rFonts w:ascii="Arial" w:hAnsi="Arial" w:cs="Arial"/>
                <w:sz w:val="16"/>
                <w:szCs w:val="16"/>
              </w:rPr>
              <w:noBreakHyphen/>
            </w:r>
            <w:r w:rsidRPr="006D52A9">
              <w:rPr>
                <w:rFonts w:ascii="Arial" w:hAnsi="Arial" w:cs="Arial"/>
                <w:sz w:val="16"/>
                <w:szCs w:val="16"/>
              </w:rPr>
              <w:t>1 levels taken at the most recent two yearly assessment in the 10 years after completion of radiotherapy; and</w:t>
            </w:r>
            <w:r w:rsidRPr="006D52A9">
              <w:rPr>
                <w:rFonts w:ascii="Arial" w:hAnsi="Arial" w:cs="Arial"/>
                <w:sz w:val="16"/>
                <w:szCs w:val="16"/>
              </w:rPr>
              <w:br/>
              <w:t>d) a recent result of the IGF</w:t>
            </w:r>
            <w:r w:rsidR="0026100E">
              <w:rPr>
                <w:rFonts w:ascii="Arial" w:hAnsi="Arial" w:cs="Arial"/>
                <w:sz w:val="16"/>
                <w:szCs w:val="16"/>
              </w:rPr>
              <w:noBreakHyphen/>
            </w:r>
            <w:r w:rsidRPr="006D52A9">
              <w:rPr>
                <w:rFonts w:ascii="Arial" w:hAnsi="Arial" w:cs="Arial"/>
                <w:sz w:val="16"/>
                <w:szCs w:val="16"/>
              </w:rPr>
              <w:t>1 level and the date of assessment ; and</w:t>
            </w:r>
            <w:r w:rsidRPr="006D52A9">
              <w:rPr>
                <w:rFonts w:ascii="Arial" w:hAnsi="Arial" w:cs="Arial"/>
                <w:sz w:val="16"/>
                <w:szCs w:val="16"/>
              </w:rPr>
              <w:br/>
              <w:t>e) demonstration of failure to achieve biochemical control after completion of a prior therapy with either octreotide or lanreotide</w:t>
            </w:r>
            <w:r w:rsidRPr="006D52A9">
              <w:rPr>
                <w:rFonts w:ascii="Arial" w:hAnsi="Arial" w:cs="Arial"/>
                <w:sz w:val="16"/>
                <w:szCs w:val="16"/>
              </w:rPr>
              <w:br/>
              <w:t>No increase in the maximum quantity or number of units may be authorised for the loading dose.</w:t>
            </w:r>
          </w:p>
        </w:tc>
        <w:tc>
          <w:tcPr>
            <w:tcW w:w="929" w:type="pct"/>
            <w:tcMar>
              <w:top w:w="28" w:type="dxa"/>
              <w:left w:w="28" w:type="dxa"/>
              <w:right w:w="57" w:type="dxa"/>
            </w:tcMar>
          </w:tcPr>
          <w:p w14:paraId="5CE021D5" w14:textId="77777777" w:rsidR="008F47B8" w:rsidRPr="006D52A9" w:rsidRDefault="008F47B8" w:rsidP="00FB6D2D">
            <w:pPr>
              <w:keepNext/>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CF0675" w14:paraId="091F2027" w14:textId="77777777" w:rsidTr="00FB6D2D">
        <w:tc>
          <w:tcPr>
            <w:tcW w:w="647" w:type="pct"/>
            <w:tcBorders>
              <w:bottom w:val="single" w:sz="4" w:space="0" w:color="auto"/>
            </w:tcBorders>
            <w:tcMar>
              <w:top w:w="28" w:type="dxa"/>
              <w:left w:w="28" w:type="dxa"/>
            </w:tcMar>
          </w:tcPr>
          <w:p w14:paraId="254954DC" w14:textId="77777777" w:rsidR="008F47B8" w:rsidRPr="006D52A9" w:rsidDel="00CF0675"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Plerixafor</w:t>
            </w:r>
          </w:p>
        </w:tc>
        <w:tc>
          <w:tcPr>
            <w:tcW w:w="283" w:type="pct"/>
            <w:tcBorders>
              <w:bottom w:val="single" w:sz="4" w:space="0" w:color="auto"/>
            </w:tcBorders>
            <w:tcMar>
              <w:top w:w="28" w:type="dxa"/>
              <w:left w:w="28" w:type="dxa"/>
            </w:tcMar>
          </w:tcPr>
          <w:p w14:paraId="09493FE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C4549</w:t>
            </w:r>
          </w:p>
        </w:tc>
        <w:tc>
          <w:tcPr>
            <w:tcW w:w="274" w:type="pct"/>
            <w:tcBorders>
              <w:bottom w:val="single" w:sz="4" w:space="0" w:color="auto"/>
            </w:tcBorders>
            <w:tcMar>
              <w:top w:w="28" w:type="dxa"/>
              <w:left w:w="28" w:type="dxa"/>
            </w:tcMar>
          </w:tcPr>
          <w:p w14:paraId="5A249146" w14:textId="77777777" w:rsidR="008F47B8" w:rsidRPr="006D52A9" w:rsidDel="00CF0675"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tcMar>
              <w:top w:w="28" w:type="dxa"/>
              <w:left w:w="28" w:type="dxa"/>
            </w:tcMar>
          </w:tcPr>
          <w:p w14:paraId="47E611E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Mobilisation of haematopoietic stem cells</w:t>
            </w:r>
            <w:r w:rsidRPr="006D52A9">
              <w:rPr>
                <w:rFonts w:ascii="Arial" w:eastAsia="SimSun" w:hAnsi="Arial" w:cs="Arial"/>
                <w:sz w:val="16"/>
                <w:szCs w:val="16"/>
                <w:lang w:eastAsia="zh-CN"/>
              </w:rPr>
              <w:br/>
              <w:t>The treatment must be in combination with granulocyte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colony stimulating factor (G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CSF); AND</w:t>
            </w:r>
            <w:r w:rsidRPr="006D52A9">
              <w:rPr>
                <w:rFonts w:ascii="Arial" w:eastAsia="SimSun" w:hAnsi="Arial" w:cs="Arial"/>
                <w:sz w:val="16"/>
                <w:szCs w:val="16"/>
                <w:lang w:eastAsia="zh-CN"/>
              </w:rPr>
              <w:br/>
              <w:t>Patient must have lymphoma; OR</w:t>
            </w:r>
            <w:r w:rsidRPr="006D52A9">
              <w:rPr>
                <w:rFonts w:ascii="Arial" w:eastAsia="SimSun" w:hAnsi="Arial" w:cs="Arial"/>
                <w:sz w:val="16"/>
                <w:szCs w:val="16"/>
                <w:lang w:eastAsia="zh-CN"/>
              </w:rPr>
              <w:br/>
              <w:t>Patient must have multiple myeloma; AND</w:t>
            </w:r>
            <w:r w:rsidRPr="006D52A9">
              <w:rPr>
                <w:rFonts w:ascii="Arial" w:eastAsia="SimSun" w:hAnsi="Arial" w:cs="Arial"/>
                <w:sz w:val="16"/>
                <w:szCs w:val="16"/>
                <w:lang w:eastAsia="zh-CN"/>
              </w:rPr>
              <w:br/>
              <w:t>Patient must require autologous stem cell transplantation; AND</w:t>
            </w:r>
            <w:r w:rsidRPr="006D52A9">
              <w:rPr>
                <w:rFonts w:ascii="Arial" w:eastAsia="SimSun" w:hAnsi="Arial" w:cs="Arial"/>
                <w:sz w:val="16"/>
                <w:szCs w:val="16"/>
                <w:lang w:eastAsia="zh-CN"/>
              </w:rPr>
              <w:br/>
              <w:t>Patient must have failed previous stem cell collection; OR</w:t>
            </w:r>
            <w:r w:rsidRPr="006D52A9">
              <w:rPr>
                <w:rFonts w:ascii="Arial" w:eastAsia="SimSun" w:hAnsi="Arial" w:cs="Arial"/>
                <w:sz w:val="16"/>
                <w:szCs w:val="16"/>
                <w:lang w:eastAsia="zh-CN"/>
              </w:rPr>
              <w:br/>
              <w:t>Patient must be undergoing chemotherapy plus 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CSF mobilisation and their peripheral blood CD34+ count is less than 10,000 per millilitre or less than 10 million per litre on the day of planned collection; OR</w:t>
            </w:r>
            <w:r w:rsidRPr="006D52A9">
              <w:rPr>
                <w:rFonts w:ascii="Arial" w:eastAsia="SimSun" w:hAnsi="Arial" w:cs="Arial"/>
                <w:sz w:val="16"/>
                <w:szCs w:val="16"/>
                <w:lang w:eastAsia="zh-CN"/>
              </w:rPr>
              <w:br/>
              <w:t>Patient must be undergoing chemotherapy plus 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CSF mobilisation and the first apheresis has yielded less than 1 million CD34+ cells/kg.</w:t>
            </w:r>
            <w:r w:rsidRPr="006D52A9">
              <w:rPr>
                <w:rFonts w:ascii="Arial" w:eastAsia="SimSun" w:hAnsi="Arial" w:cs="Arial"/>
                <w:sz w:val="16"/>
                <w:szCs w:val="16"/>
                <w:lang w:eastAsia="zh-CN"/>
              </w:rPr>
              <w:br/>
              <w:t>Evidence that the patient meets the PBS restriction criteria must be recorded in the patient’s medical records</w:t>
            </w:r>
          </w:p>
        </w:tc>
        <w:tc>
          <w:tcPr>
            <w:tcW w:w="929" w:type="pct"/>
            <w:tcBorders>
              <w:bottom w:val="single" w:sz="4" w:space="0" w:color="auto"/>
            </w:tcBorders>
            <w:tcMar>
              <w:top w:w="28" w:type="dxa"/>
              <w:left w:w="28" w:type="dxa"/>
              <w:right w:w="57" w:type="dxa"/>
            </w:tcMar>
          </w:tcPr>
          <w:p w14:paraId="6049C53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4549</w:t>
            </w:r>
          </w:p>
        </w:tc>
      </w:tr>
      <w:tr w:rsidR="008F47B8" w:rsidRPr="006D52A9" w:rsidDel="00B91391" w14:paraId="62560B06" w14:textId="77777777" w:rsidTr="00FB6D2D">
        <w:tc>
          <w:tcPr>
            <w:tcW w:w="647" w:type="pct"/>
            <w:shd w:val="clear" w:color="auto" w:fill="auto"/>
            <w:tcMar>
              <w:top w:w="28" w:type="dxa"/>
              <w:left w:w="28" w:type="dxa"/>
            </w:tcMar>
          </w:tcPr>
          <w:p w14:paraId="0A213DDB" w14:textId="77777777" w:rsidR="008F47B8" w:rsidRPr="006D52A9" w:rsidDel="00B91391" w:rsidRDefault="008F47B8" w:rsidP="00FB6D2D">
            <w:pPr>
              <w:spacing w:line="240" w:lineRule="auto"/>
              <w:rPr>
                <w:rFonts w:ascii="Arial" w:eastAsia="SimSun" w:hAnsi="Arial" w:cs="Arial"/>
                <w:sz w:val="16"/>
                <w:szCs w:val="16"/>
                <w:lang w:eastAsia="zh-CN"/>
              </w:rPr>
            </w:pPr>
            <w:bookmarkStart w:id="198" w:name="CU_458706765"/>
            <w:bookmarkEnd w:id="198"/>
          </w:p>
        </w:tc>
        <w:tc>
          <w:tcPr>
            <w:tcW w:w="283" w:type="pct"/>
            <w:shd w:val="clear" w:color="auto" w:fill="auto"/>
            <w:tcMar>
              <w:top w:w="28" w:type="dxa"/>
              <w:left w:w="28" w:type="dxa"/>
            </w:tcMar>
          </w:tcPr>
          <w:p w14:paraId="384EAB30" w14:textId="77777777" w:rsidR="008F47B8" w:rsidRPr="006D52A9" w:rsidDel="00B91391"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C9329</w:t>
            </w:r>
          </w:p>
        </w:tc>
        <w:tc>
          <w:tcPr>
            <w:tcW w:w="274" w:type="pct"/>
            <w:shd w:val="clear" w:color="auto" w:fill="auto"/>
            <w:tcMar>
              <w:top w:w="28" w:type="dxa"/>
              <w:left w:w="28" w:type="dxa"/>
            </w:tcMar>
          </w:tcPr>
          <w:p w14:paraId="3D0A25DB" w14:textId="77777777" w:rsidR="008F47B8" w:rsidRPr="006D52A9" w:rsidDel="00B91391"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495B1F18" w14:textId="77777777" w:rsidR="008F47B8" w:rsidRPr="006D52A9" w:rsidDel="00B91391"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Mobilisation of haematopoietic stem cells</w:t>
            </w:r>
            <w:r w:rsidRPr="006D52A9">
              <w:rPr>
                <w:szCs w:val="16"/>
              </w:rPr>
              <w:br/>
            </w:r>
            <w:r w:rsidRPr="006D52A9">
              <w:rPr>
                <w:rFonts w:ascii="Arial" w:hAnsi="Arial" w:cs="Arial"/>
                <w:sz w:val="16"/>
                <w:szCs w:val="16"/>
              </w:rPr>
              <w:t>The treatment must be in combination with granulocyte</w:t>
            </w:r>
            <w:r w:rsidR="0026100E">
              <w:rPr>
                <w:rFonts w:ascii="Arial" w:hAnsi="Arial" w:cs="Arial"/>
                <w:sz w:val="16"/>
                <w:szCs w:val="16"/>
              </w:rPr>
              <w:noBreakHyphen/>
            </w:r>
            <w:r w:rsidRPr="006D52A9">
              <w:rPr>
                <w:rFonts w:ascii="Arial" w:hAnsi="Arial" w:cs="Arial"/>
                <w:sz w:val="16"/>
                <w:szCs w:val="16"/>
              </w:rPr>
              <w:t>colony stimulating factor (G</w:t>
            </w:r>
            <w:r w:rsidR="0026100E">
              <w:rPr>
                <w:rFonts w:ascii="Arial" w:hAnsi="Arial" w:cs="Arial"/>
                <w:sz w:val="16"/>
                <w:szCs w:val="16"/>
              </w:rPr>
              <w:noBreakHyphen/>
            </w:r>
            <w:r w:rsidRPr="006D52A9">
              <w:rPr>
                <w:rFonts w:ascii="Arial" w:hAnsi="Arial" w:cs="Arial"/>
                <w:sz w:val="16"/>
                <w:szCs w:val="16"/>
              </w:rPr>
              <w:t>CSF); AND</w:t>
            </w:r>
            <w:r w:rsidRPr="006D52A9">
              <w:rPr>
                <w:szCs w:val="16"/>
              </w:rPr>
              <w:br/>
            </w:r>
            <w:r w:rsidRPr="006D52A9">
              <w:rPr>
                <w:rFonts w:ascii="Arial" w:hAnsi="Arial" w:cs="Arial"/>
                <w:sz w:val="16"/>
                <w:szCs w:val="16"/>
              </w:rPr>
              <w:t>Patient must have lymphoma; OR</w:t>
            </w:r>
            <w:r w:rsidRPr="006D52A9">
              <w:rPr>
                <w:szCs w:val="16"/>
              </w:rPr>
              <w:br/>
            </w:r>
            <w:r w:rsidRPr="006D52A9">
              <w:rPr>
                <w:rFonts w:ascii="Arial" w:hAnsi="Arial" w:cs="Arial"/>
                <w:sz w:val="16"/>
                <w:szCs w:val="16"/>
              </w:rPr>
              <w:t>Patient must have multiple myeloma; AND</w:t>
            </w:r>
            <w:r w:rsidRPr="006D52A9">
              <w:rPr>
                <w:szCs w:val="16"/>
              </w:rPr>
              <w:br/>
            </w:r>
            <w:r w:rsidRPr="006D52A9">
              <w:rPr>
                <w:rFonts w:ascii="Arial" w:hAnsi="Arial" w:cs="Arial"/>
                <w:sz w:val="16"/>
                <w:szCs w:val="16"/>
              </w:rPr>
              <w:t>Patient must require autologous stem cell transplantation; AND</w:t>
            </w:r>
            <w:r w:rsidRPr="006D52A9">
              <w:rPr>
                <w:szCs w:val="16"/>
              </w:rPr>
              <w:br/>
            </w:r>
            <w:r w:rsidRPr="006D52A9">
              <w:rPr>
                <w:rFonts w:ascii="Arial" w:hAnsi="Arial" w:cs="Arial"/>
                <w:sz w:val="16"/>
                <w:szCs w:val="16"/>
              </w:rPr>
              <w:t>Patient must have failed previous stem cell collection; OR</w:t>
            </w:r>
            <w:r w:rsidRPr="006D52A9">
              <w:rPr>
                <w:szCs w:val="16"/>
              </w:rPr>
              <w:br/>
            </w:r>
            <w:r w:rsidRPr="006D52A9">
              <w:rPr>
                <w:rFonts w:ascii="Arial" w:hAnsi="Arial" w:cs="Arial"/>
                <w:sz w:val="16"/>
                <w:szCs w:val="16"/>
              </w:rPr>
              <w:t>Patient must be undergoing chemotherapy plus G</w:t>
            </w:r>
            <w:r w:rsidR="0026100E">
              <w:rPr>
                <w:rFonts w:ascii="Arial" w:hAnsi="Arial" w:cs="Arial"/>
                <w:sz w:val="16"/>
                <w:szCs w:val="16"/>
              </w:rPr>
              <w:noBreakHyphen/>
            </w:r>
            <w:r w:rsidRPr="006D52A9">
              <w:rPr>
                <w:rFonts w:ascii="Arial" w:hAnsi="Arial" w:cs="Arial"/>
                <w:sz w:val="16"/>
                <w:szCs w:val="16"/>
              </w:rPr>
              <w:t>CSF mobilisation and their peripheral blood CD34+ count is less than 10,000 per millilitre or less than 10 million per litre on the day of planned collection; OR</w:t>
            </w:r>
            <w:r w:rsidRPr="006D52A9">
              <w:rPr>
                <w:szCs w:val="16"/>
              </w:rPr>
              <w:br/>
            </w:r>
            <w:r w:rsidRPr="006D52A9">
              <w:rPr>
                <w:rFonts w:ascii="Arial" w:hAnsi="Arial" w:cs="Arial"/>
                <w:sz w:val="16"/>
                <w:szCs w:val="16"/>
              </w:rPr>
              <w:t>Patient must be undergoing chemotherapy plus G</w:t>
            </w:r>
            <w:r w:rsidR="0026100E">
              <w:rPr>
                <w:rFonts w:ascii="Arial" w:hAnsi="Arial" w:cs="Arial"/>
                <w:sz w:val="16"/>
                <w:szCs w:val="16"/>
              </w:rPr>
              <w:noBreakHyphen/>
            </w:r>
            <w:r w:rsidRPr="006D52A9">
              <w:rPr>
                <w:rFonts w:ascii="Arial" w:hAnsi="Arial" w:cs="Arial"/>
                <w:sz w:val="16"/>
                <w:szCs w:val="16"/>
              </w:rPr>
              <w:t>CSF mobilisation and the first apheresis has yielded less than 1 million CD34+ cells/kg.</w:t>
            </w:r>
            <w:r w:rsidRPr="006D52A9">
              <w:rPr>
                <w:szCs w:val="16"/>
              </w:rPr>
              <w:br/>
            </w:r>
            <w:r w:rsidRPr="006D52A9">
              <w:rPr>
                <w:rFonts w:ascii="Arial" w:hAnsi="Arial" w:cs="Arial"/>
                <w:sz w:val="16"/>
                <w:szCs w:val="16"/>
              </w:rPr>
              <w:t>Evidence that the patient meets the PBS restriction criteria must be recorded in the patient’s medical records.</w:t>
            </w:r>
          </w:p>
        </w:tc>
        <w:tc>
          <w:tcPr>
            <w:tcW w:w="929" w:type="pct"/>
            <w:shd w:val="clear" w:color="auto" w:fill="auto"/>
            <w:tcMar>
              <w:top w:w="28" w:type="dxa"/>
              <w:left w:w="28" w:type="dxa"/>
              <w:right w:w="57" w:type="dxa"/>
            </w:tcMar>
          </w:tcPr>
          <w:p w14:paraId="47C4C212" w14:textId="77777777" w:rsidR="008F47B8" w:rsidRPr="006D52A9" w:rsidDel="00B91391"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9329</w:t>
            </w:r>
          </w:p>
        </w:tc>
      </w:tr>
      <w:tr w:rsidR="008F47B8" w:rsidRPr="006D52A9" w:rsidDel="009248F0" w14:paraId="16D4014C" w14:textId="77777777" w:rsidTr="00FB6D2D">
        <w:tc>
          <w:tcPr>
            <w:tcW w:w="647" w:type="pct"/>
            <w:shd w:val="clear" w:color="auto" w:fill="auto"/>
            <w:tcMar>
              <w:top w:w="28" w:type="dxa"/>
              <w:left w:w="28" w:type="dxa"/>
            </w:tcMar>
          </w:tcPr>
          <w:p w14:paraId="19F1C0E5" w14:textId="77777777" w:rsidR="008F47B8" w:rsidRPr="006D52A9" w:rsidDel="009248F0"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Pomalidomide</w:t>
            </w:r>
          </w:p>
        </w:tc>
        <w:tc>
          <w:tcPr>
            <w:tcW w:w="283" w:type="pct"/>
            <w:shd w:val="clear" w:color="auto" w:fill="auto"/>
            <w:tcMar>
              <w:top w:w="28" w:type="dxa"/>
              <w:left w:w="28" w:type="dxa"/>
            </w:tcMar>
          </w:tcPr>
          <w:p w14:paraId="6A81D14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C7791</w:t>
            </w:r>
          </w:p>
        </w:tc>
        <w:tc>
          <w:tcPr>
            <w:tcW w:w="274" w:type="pct"/>
            <w:shd w:val="clear" w:color="auto" w:fill="auto"/>
            <w:tcMar>
              <w:top w:w="28" w:type="dxa"/>
              <w:left w:w="28" w:type="dxa"/>
            </w:tcMar>
          </w:tcPr>
          <w:p w14:paraId="11459012" w14:textId="77777777" w:rsidR="008F47B8" w:rsidRPr="006D52A9" w:rsidDel="009248F0"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34B4B3C5"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Continuing treatment</w:t>
            </w:r>
            <w:r w:rsidRPr="006D52A9">
              <w:rPr>
                <w:rFonts w:ascii="Arial" w:hAnsi="Arial" w:cs="Arial"/>
                <w:sz w:val="16"/>
                <w:szCs w:val="16"/>
              </w:rPr>
              <w:br/>
              <w:t>Patient must have previously been issued with an authority prescription for this drug; AND</w:t>
            </w:r>
            <w:r w:rsidRPr="006D52A9">
              <w:rPr>
                <w:rFonts w:ascii="Arial" w:hAnsi="Arial" w:cs="Arial"/>
                <w:sz w:val="16"/>
                <w:szCs w:val="16"/>
              </w:rPr>
              <w:br/>
              <w:t>Patient must not have progressive disease; AND</w:t>
            </w:r>
            <w:r w:rsidRPr="006D52A9">
              <w:rPr>
                <w:rFonts w:ascii="Arial" w:hAnsi="Arial" w:cs="Arial"/>
                <w:sz w:val="16"/>
                <w:szCs w:val="16"/>
              </w:rPr>
              <w:br/>
              <w:t>The treatment must be in combination with dexamethasone;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carfilzomib or thalidomide or its analogues.</w:t>
            </w:r>
            <w:r w:rsidRPr="006D52A9">
              <w:rPr>
                <w:rFonts w:ascii="Arial" w:hAnsi="Arial" w:cs="Arial"/>
                <w:sz w:val="16"/>
                <w:szCs w:val="16"/>
              </w:rPr>
              <w:br/>
              <w:t>Progressive disease is defined as at least 1 of the following:</w:t>
            </w:r>
            <w:r w:rsidRPr="006D52A9">
              <w:rPr>
                <w:rFonts w:ascii="Arial" w:hAnsi="Arial" w:cs="Arial"/>
                <w:sz w:val="16"/>
                <w:szCs w:val="16"/>
              </w:rPr>
              <w:br/>
              <w:t>(a) at least a 25% increase and an absolute increase of at least 5 g per L in serum M protein (monoclonal protein); or</w:t>
            </w:r>
            <w:r w:rsidRPr="006D52A9">
              <w:rPr>
                <w:rFonts w:ascii="Arial" w:hAnsi="Arial" w:cs="Arial"/>
                <w:sz w:val="16"/>
                <w:szCs w:val="16"/>
              </w:rPr>
              <w:br/>
              <w:t>(b) at least a 25% increase in 24</w:t>
            </w:r>
            <w:r w:rsidR="0026100E">
              <w:rPr>
                <w:rFonts w:ascii="Arial" w:hAnsi="Arial" w:cs="Arial"/>
                <w:sz w:val="16"/>
                <w:szCs w:val="16"/>
              </w:rPr>
              <w:noBreakHyphen/>
            </w:r>
            <w:r w:rsidRPr="006D52A9">
              <w:rPr>
                <w:rFonts w:ascii="Arial" w:hAnsi="Arial" w:cs="Arial"/>
                <w:sz w:val="16"/>
                <w:szCs w:val="16"/>
              </w:rPr>
              <w:t>hour urinary light chain M protein excretion, and an absolute increase of at least 200 mg per 24 hours; or</w:t>
            </w:r>
            <w:r w:rsidRPr="006D52A9">
              <w:rPr>
                <w:rFonts w:ascii="Arial" w:hAnsi="Arial" w:cs="Arial"/>
                <w:sz w:val="16"/>
                <w:szCs w:val="16"/>
              </w:rPr>
              <w:br/>
              <w:t>(c) in 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myeloma patients only, at least a 50% increase in the difference between involved free light chain and uninvolved free light chain; or</w:t>
            </w:r>
            <w:r w:rsidRPr="006D52A9">
              <w:rPr>
                <w:rFonts w:ascii="Arial" w:hAnsi="Arial" w:cs="Arial"/>
                <w:sz w:val="16"/>
                <w:szCs w:val="16"/>
              </w:rPr>
              <w:br/>
              <w:t>(d) at least a 25% relative increase and at least a 10% absolute increase in plasma cells in a bone marrow aspirate or on biopsy; or</w:t>
            </w:r>
            <w:r w:rsidRPr="006D52A9">
              <w:rPr>
                <w:rFonts w:ascii="Arial" w:hAnsi="Arial" w:cs="Arial"/>
                <w:sz w:val="16"/>
                <w:szCs w:val="16"/>
              </w:rPr>
              <w:br/>
              <w:t>(e) an increase in the size or number of lytic bone lesions (not including compression fractures); or</w:t>
            </w:r>
            <w:r w:rsidRPr="006D52A9">
              <w:rPr>
                <w:rFonts w:ascii="Arial" w:hAnsi="Arial" w:cs="Arial"/>
                <w:sz w:val="16"/>
                <w:szCs w:val="16"/>
              </w:rPr>
              <w:br/>
              <w:t>(f) at least a 25% increase in the size of an existing or the development of a new soft tissue plasmacytoma (determined by clinical examination or diagnostic imaging); or</w:t>
            </w:r>
            <w:r w:rsidRPr="006D52A9">
              <w:rPr>
                <w:rFonts w:ascii="Arial" w:hAnsi="Arial" w:cs="Arial"/>
                <w:sz w:val="16"/>
                <w:szCs w:val="16"/>
              </w:rPr>
              <w:br/>
              <w:t>(g) development of hypercalcaemia (corrected serum calcium greater than 2.65 mmol per L not attributable to any other cause).</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shd w:val="clear" w:color="auto" w:fill="auto"/>
            <w:tcMar>
              <w:top w:w="28" w:type="dxa"/>
              <w:left w:w="28" w:type="dxa"/>
              <w:right w:w="57" w:type="dxa"/>
            </w:tcMar>
          </w:tcPr>
          <w:p w14:paraId="13614D0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9248F0" w14:paraId="75C5AF27" w14:textId="77777777" w:rsidTr="00FB6D2D">
        <w:tc>
          <w:tcPr>
            <w:tcW w:w="647" w:type="pct"/>
            <w:shd w:val="clear" w:color="auto" w:fill="auto"/>
            <w:tcMar>
              <w:top w:w="28" w:type="dxa"/>
              <w:left w:w="28" w:type="dxa"/>
            </w:tcMar>
          </w:tcPr>
          <w:p w14:paraId="5E428398" w14:textId="77777777" w:rsidR="008F47B8" w:rsidRPr="006D52A9" w:rsidDel="009248F0"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38BF46E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C7952</w:t>
            </w:r>
          </w:p>
        </w:tc>
        <w:tc>
          <w:tcPr>
            <w:tcW w:w="274" w:type="pct"/>
            <w:shd w:val="clear" w:color="auto" w:fill="auto"/>
            <w:tcMar>
              <w:top w:w="28" w:type="dxa"/>
              <w:left w:w="28" w:type="dxa"/>
            </w:tcMar>
          </w:tcPr>
          <w:p w14:paraId="1D0F8F84" w14:textId="77777777" w:rsidR="008F47B8" w:rsidRPr="006D52A9" w:rsidDel="009248F0"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9018A00" w14:textId="77777777" w:rsidR="008F47B8" w:rsidRPr="006D52A9" w:rsidRDefault="008F47B8" w:rsidP="00FB6D2D">
            <w:pPr>
              <w:spacing w:after="60"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t>Initial treatment</w:t>
            </w:r>
            <w:r w:rsidRPr="006D52A9">
              <w:rPr>
                <w:rFonts w:ascii="Arial" w:hAnsi="Arial" w:cs="Arial"/>
                <w:sz w:val="16"/>
                <w:szCs w:val="16"/>
              </w:rPr>
              <w:br/>
              <w:t>The treatment must be in combination with dexamethasone; AND</w:t>
            </w:r>
            <w:r w:rsidRPr="006D52A9">
              <w:rPr>
                <w:rFonts w:ascii="Arial" w:hAnsi="Arial" w:cs="Arial"/>
                <w:sz w:val="16"/>
                <w:szCs w:val="16"/>
              </w:rPr>
              <w:br/>
              <w:t>Patient must have undergone or be ineligible for a primary stem cell transplant; AND</w:t>
            </w:r>
            <w:r w:rsidRPr="006D52A9">
              <w:rPr>
                <w:rFonts w:ascii="Arial" w:hAnsi="Arial" w:cs="Arial"/>
                <w:sz w:val="16"/>
                <w:szCs w:val="16"/>
              </w:rPr>
              <w:br/>
              <w:t xml:space="preserve">Patient must have experienced treatment failure with lenalidomide, unless contraindicated or not </w:t>
            </w:r>
            <w:r w:rsidRPr="006D52A9">
              <w:rPr>
                <w:rFonts w:ascii="Arial" w:hAnsi="Arial" w:cs="Arial"/>
                <w:sz w:val="16"/>
                <w:szCs w:val="16"/>
              </w:rPr>
              <w:lastRenderedPageBreak/>
              <w:t>tolerated according to the Therapeutic Goods Administration (TGA) approved Product Information; AND</w:t>
            </w:r>
            <w:r w:rsidRPr="006D52A9">
              <w:rPr>
                <w:rFonts w:ascii="Arial" w:hAnsi="Arial" w:cs="Arial"/>
                <w:sz w:val="16"/>
                <w:szCs w:val="16"/>
              </w:rPr>
              <w:br/>
              <w:t>Patient must have experienced treatment failure with bortezomib, unless contraindicated or not tolerated according to the Therapeutic Goods Administration (TGA) approved Product Information; AND</w:t>
            </w:r>
            <w:r w:rsidRPr="006D52A9">
              <w:rPr>
                <w:rFonts w:ascii="Arial" w:hAnsi="Arial" w:cs="Arial"/>
                <w:sz w:val="16"/>
                <w:szCs w:val="16"/>
              </w:rPr>
              <w:br/>
              <w:t>Patient must not be receiving concomitant PBS</w:t>
            </w:r>
            <w:r w:rsidR="0026100E">
              <w:rPr>
                <w:rFonts w:ascii="Arial" w:hAnsi="Arial" w:cs="Arial"/>
                <w:sz w:val="16"/>
                <w:szCs w:val="16"/>
              </w:rPr>
              <w:noBreakHyphen/>
            </w:r>
            <w:r w:rsidRPr="006D52A9">
              <w:rPr>
                <w:rFonts w:ascii="Arial" w:hAnsi="Arial" w:cs="Arial"/>
                <w:sz w:val="16"/>
                <w:szCs w:val="16"/>
              </w:rPr>
              <w:t>subsidised bortezomib, carfilzomib or thalidomide or its analogues.</w:t>
            </w:r>
            <w:r w:rsidRPr="006D52A9">
              <w:rPr>
                <w:rFonts w:ascii="Arial" w:hAnsi="Arial" w:cs="Arial"/>
                <w:sz w:val="16"/>
                <w:szCs w:val="16"/>
              </w:rPr>
              <w:br/>
              <w:t>Bortezomib treatment failure is the absence of achieving at least a partial response or as progressive disease during treatment or within 6 months of discontinuing treatment with bortezomib. Lenalidomide treatment failure is progressive disease during treatment or within 6 months of discontinuing treatment with lenalidomide.</w:t>
            </w:r>
            <w:r w:rsidRPr="006D52A9">
              <w:rPr>
                <w:rFonts w:ascii="Arial" w:hAnsi="Arial" w:cs="Arial"/>
                <w:sz w:val="16"/>
                <w:szCs w:val="16"/>
              </w:rPr>
              <w:br/>
              <w:t>If treatment with either bortezomib or lenalidomide is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the application must provide details of the contraindication.</w:t>
            </w:r>
            <w:r w:rsidRPr="006D52A9">
              <w:rPr>
                <w:rFonts w:ascii="Arial" w:hAnsi="Arial" w:cs="Arial"/>
                <w:sz w:val="16"/>
                <w:szCs w:val="16"/>
              </w:rPr>
              <w:br/>
              <w:t>If intolerance to either bortezomib or lenolidomide treatment develops during the relevant period of use which is of a severity to necessitate withdrawal of the treatment, the application must provide details of the nature and severity of this intolerance.</w:t>
            </w:r>
            <w:r w:rsidRPr="006D52A9">
              <w:rPr>
                <w:rFonts w:ascii="Arial" w:hAnsi="Arial" w:cs="Arial"/>
                <w:sz w:val="16"/>
                <w:szCs w:val="16"/>
              </w:rPr>
              <w:br/>
              <w:t>Progressive disease is defined as at least 1 of the following:</w:t>
            </w:r>
            <w:r w:rsidRPr="006D52A9">
              <w:rPr>
                <w:rFonts w:ascii="Arial" w:hAnsi="Arial" w:cs="Arial"/>
                <w:sz w:val="16"/>
                <w:szCs w:val="16"/>
              </w:rPr>
              <w:br/>
              <w:t>(a) at least a 25% increase and an absolute increase of at least 5 g per L in serum M protein (monoclonal protein); or</w:t>
            </w:r>
            <w:r w:rsidRPr="006D52A9">
              <w:rPr>
                <w:rFonts w:ascii="Arial" w:hAnsi="Arial" w:cs="Arial"/>
                <w:sz w:val="16"/>
                <w:szCs w:val="16"/>
              </w:rPr>
              <w:br/>
              <w:t>(b) at least a 25% increase in 24</w:t>
            </w:r>
            <w:r w:rsidR="0026100E">
              <w:rPr>
                <w:rFonts w:ascii="Arial" w:hAnsi="Arial" w:cs="Arial"/>
                <w:sz w:val="16"/>
                <w:szCs w:val="16"/>
              </w:rPr>
              <w:noBreakHyphen/>
            </w:r>
            <w:r w:rsidRPr="006D52A9">
              <w:rPr>
                <w:rFonts w:ascii="Arial" w:hAnsi="Arial" w:cs="Arial"/>
                <w:sz w:val="16"/>
                <w:szCs w:val="16"/>
              </w:rPr>
              <w:t>hour urinary light chain M protein excretion, and an absolute increase of at least 200 mg per 24 hours; or</w:t>
            </w:r>
            <w:r w:rsidRPr="006D52A9">
              <w:rPr>
                <w:rFonts w:ascii="Arial" w:hAnsi="Arial" w:cs="Arial"/>
                <w:sz w:val="16"/>
                <w:szCs w:val="16"/>
              </w:rPr>
              <w:br/>
              <w:t>(c) in 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myeloma patients only, at least a 50% increase in the difference between involved free light chain and uninvolved free light chain; or</w:t>
            </w:r>
            <w:r w:rsidRPr="006D52A9">
              <w:rPr>
                <w:rFonts w:ascii="Arial" w:hAnsi="Arial" w:cs="Arial"/>
                <w:sz w:val="16"/>
                <w:szCs w:val="16"/>
              </w:rPr>
              <w:br/>
              <w:t>(d) at least a 25% relative increase and at least a 10% absolute increase in plasma cells in a bone marrow aspirate or on biopsy; or</w:t>
            </w:r>
            <w:r w:rsidRPr="006D52A9">
              <w:rPr>
                <w:rFonts w:ascii="Arial" w:hAnsi="Arial" w:cs="Arial"/>
                <w:sz w:val="16"/>
                <w:szCs w:val="16"/>
              </w:rPr>
              <w:br/>
              <w:t>(e) an increase in the size or number of lytic bone lesions (not including compression fractures); or</w:t>
            </w:r>
            <w:r w:rsidRPr="006D52A9">
              <w:rPr>
                <w:rFonts w:ascii="Arial" w:hAnsi="Arial" w:cs="Arial"/>
                <w:sz w:val="16"/>
                <w:szCs w:val="16"/>
              </w:rPr>
              <w:br/>
              <w:t>(f) at least a 25% increase in the size of an existing or the development of a new soft tissue plasmacytoma (determined by clinical examination or diagnostic imaging); or</w:t>
            </w:r>
            <w:r w:rsidRPr="006D52A9">
              <w:rPr>
                <w:rFonts w:ascii="Arial" w:hAnsi="Arial" w:cs="Arial"/>
                <w:sz w:val="16"/>
                <w:szCs w:val="16"/>
              </w:rPr>
              <w:br/>
              <w:t>(g) development of hypercalcaemia (corrected serum calcium greater than 2.65 mmol per L not attributable to any other cause).</w:t>
            </w:r>
            <w:r w:rsidRPr="006D52A9">
              <w:rPr>
                <w:rFonts w:ascii="Arial" w:hAnsi="Arial" w:cs="Arial"/>
                <w:sz w:val="16"/>
                <w:szCs w:val="16"/>
              </w:rPr>
              <w:br/>
              <w:t>Oligo</w:t>
            </w:r>
            <w:r w:rsidR="0026100E">
              <w:rPr>
                <w:rFonts w:ascii="Arial" w:hAnsi="Arial" w:cs="Arial"/>
                <w:sz w:val="16"/>
                <w:szCs w:val="16"/>
              </w:rPr>
              <w:noBreakHyphen/>
            </w:r>
            <w:r w:rsidRPr="006D52A9">
              <w:rPr>
                <w:rFonts w:ascii="Arial" w:hAnsi="Arial" w:cs="Arial"/>
                <w:sz w:val="16"/>
                <w:szCs w:val="16"/>
              </w:rPr>
              <w:t>secretory and non</w:t>
            </w:r>
            <w:r w:rsidR="0026100E">
              <w:rPr>
                <w:rFonts w:ascii="Arial" w:hAnsi="Arial" w:cs="Arial"/>
                <w:sz w:val="16"/>
                <w:szCs w:val="16"/>
              </w:rPr>
              <w:noBreakHyphen/>
            </w:r>
            <w:r w:rsidRPr="006D52A9">
              <w:rPr>
                <w:rFonts w:ascii="Arial" w:hAnsi="Arial" w:cs="Arial"/>
                <w:sz w:val="16"/>
                <w:szCs w:val="16"/>
              </w:rPr>
              <w:t>secretory patients are defined as having active disease with less than 10 g per L serum M protein.</w:t>
            </w:r>
            <w:r w:rsidRPr="006D52A9">
              <w:rPr>
                <w:rFonts w:ascii="Arial" w:hAnsi="Arial" w:cs="Arial"/>
                <w:sz w:val="16"/>
                <w:szCs w:val="16"/>
              </w:rPr>
              <w:br/>
              <w:t>The authority application must be made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Multiple Myeloma pomalidomide Authority Application Supporting Information form; and</w:t>
            </w:r>
            <w:r w:rsidRPr="006D52A9">
              <w:rPr>
                <w:rFonts w:ascii="Arial" w:hAnsi="Arial" w:cs="Arial"/>
                <w:sz w:val="16"/>
                <w:szCs w:val="16"/>
              </w:rPr>
              <w:br/>
              <w:t>(3) reports demonstrating the patient has failed treatment with, providing details of the contraindication to or details of the nature and severity of the intolerance to lenalidomide; and</w:t>
            </w:r>
            <w:r w:rsidRPr="006D52A9">
              <w:rPr>
                <w:rFonts w:ascii="Arial" w:hAnsi="Arial" w:cs="Arial"/>
                <w:sz w:val="16"/>
                <w:szCs w:val="16"/>
              </w:rPr>
              <w:br/>
              <w:t>(4) reports demonstrating the patient has failed treatment with, providing details of the contraindication to or details of the nature and severity of the intolerance to bortezomib.</w:t>
            </w:r>
            <w:r w:rsidRPr="006D52A9">
              <w:rPr>
                <w:rFonts w:ascii="Arial" w:hAnsi="Arial" w:cs="Arial"/>
                <w:sz w:val="16"/>
                <w:szCs w:val="16"/>
              </w:rPr>
              <w:br/>
              <w:t>Patients receiving this drug under the PBS listing must be registered in the i</w:t>
            </w:r>
            <w:r w:rsidR="0026100E">
              <w:rPr>
                <w:rFonts w:ascii="Arial" w:hAnsi="Arial" w:cs="Arial"/>
                <w:sz w:val="16"/>
                <w:szCs w:val="16"/>
              </w:rPr>
              <w:noBreakHyphen/>
            </w:r>
            <w:r w:rsidRPr="006D52A9">
              <w:rPr>
                <w:rFonts w:ascii="Arial" w:hAnsi="Arial" w:cs="Arial"/>
                <w:sz w:val="16"/>
                <w:szCs w:val="16"/>
              </w:rPr>
              <w:t>access risk management program.</w:t>
            </w:r>
          </w:p>
        </w:tc>
        <w:tc>
          <w:tcPr>
            <w:tcW w:w="929" w:type="pct"/>
            <w:shd w:val="clear" w:color="auto" w:fill="auto"/>
            <w:tcMar>
              <w:top w:w="28" w:type="dxa"/>
              <w:left w:w="28" w:type="dxa"/>
              <w:right w:w="57" w:type="dxa"/>
            </w:tcMar>
          </w:tcPr>
          <w:p w14:paraId="4B18140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B139BA" w14:paraId="7C518C40" w14:textId="77777777" w:rsidTr="00FB6D2D">
        <w:tc>
          <w:tcPr>
            <w:tcW w:w="647" w:type="pct"/>
            <w:tcBorders>
              <w:bottom w:val="single" w:sz="4" w:space="0" w:color="auto"/>
            </w:tcBorders>
            <w:shd w:val="clear" w:color="auto" w:fill="auto"/>
            <w:tcMar>
              <w:top w:w="28" w:type="dxa"/>
              <w:left w:w="28" w:type="dxa"/>
            </w:tcMar>
          </w:tcPr>
          <w:p w14:paraId="3BDD5E1C" w14:textId="77777777" w:rsidR="008F47B8" w:rsidRPr="006D52A9" w:rsidRDefault="008F47B8" w:rsidP="00FB6D2D">
            <w:pPr>
              <w:spacing w:line="240" w:lineRule="auto"/>
              <w:rPr>
                <w:rFonts w:ascii="Arial" w:eastAsia="SimSun" w:hAnsi="Arial" w:cs="Arial"/>
                <w:sz w:val="16"/>
                <w:szCs w:val="16"/>
                <w:lang w:eastAsia="zh-CN"/>
              </w:rPr>
            </w:pPr>
            <w:bookmarkStart w:id="199" w:name="CU_462709293"/>
            <w:bookmarkStart w:id="200" w:name="CU_466710830"/>
            <w:bookmarkEnd w:id="199"/>
            <w:bookmarkEnd w:id="200"/>
            <w:r w:rsidRPr="006D52A9">
              <w:rPr>
                <w:rFonts w:ascii="Arial" w:eastAsia="SimSun" w:hAnsi="Arial" w:cs="Arial"/>
                <w:sz w:val="16"/>
                <w:szCs w:val="16"/>
                <w:lang w:eastAsia="zh-CN"/>
              </w:rPr>
              <w:t>Raltegravir</w:t>
            </w:r>
          </w:p>
        </w:tc>
        <w:tc>
          <w:tcPr>
            <w:tcW w:w="283" w:type="pct"/>
            <w:tcBorders>
              <w:bottom w:val="single" w:sz="4" w:space="0" w:color="auto"/>
            </w:tcBorders>
            <w:shd w:val="clear" w:color="auto" w:fill="auto"/>
            <w:tcMar>
              <w:top w:w="28" w:type="dxa"/>
              <w:left w:w="28" w:type="dxa"/>
            </w:tcMar>
          </w:tcPr>
          <w:p w14:paraId="3670243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C4274</w:t>
            </w:r>
          </w:p>
        </w:tc>
        <w:tc>
          <w:tcPr>
            <w:tcW w:w="274" w:type="pct"/>
            <w:tcBorders>
              <w:bottom w:val="single" w:sz="4" w:space="0" w:color="auto"/>
            </w:tcBorders>
            <w:shd w:val="clear" w:color="auto" w:fill="auto"/>
            <w:tcMar>
              <w:top w:w="28" w:type="dxa"/>
              <w:left w:w="28" w:type="dxa"/>
            </w:tcMar>
          </w:tcPr>
          <w:p w14:paraId="072A8690"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578EC5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HIV infection</w:t>
            </w:r>
            <w:r w:rsidRPr="006D52A9">
              <w:rPr>
                <w:rFonts w:ascii="Arial" w:hAnsi="Arial" w:cs="Arial"/>
                <w:sz w:val="16"/>
                <w:szCs w:val="16"/>
              </w:rPr>
              <w:br/>
              <w:t>Continuing</w:t>
            </w:r>
            <w:r w:rsidRPr="006D52A9">
              <w:rPr>
                <w:rFonts w:ascii="Arial" w:hAnsi="Arial" w:cs="Arial"/>
                <w:sz w:val="16"/>
                <w:szCs w:val="16"/>
              </w:rPr>
              <w:br/>
            </w:r>
            <w:r w:rsidRPr="006D52A9">
              <w:rPr>
                <w:rFonts w:ascii="Arial" w:hAnsi="Arial" w:cs="Arial"/>
                <w:sz w:val="16"/>
                <w:szCs w:val="16"/>
              </w:rPr>
              <w:lastRenderedPageBreak/>
              <w:t>The treatment must be in combination with other antiretroviral agents; AND</w:t>
            </w:r>
            <w:r w:rsidRPr="006D52A9">
              <w:rPr>
                <w:rFonts w:ascii="Arial" w:hAnsi="Arial" w:cs="Arial"/>
                <w:sz w:val="16"/>
                <w:szCs w:val="16"/>
              </w:rPr>
              <w:br/>
              <w:t>Patient must be antiretroviral experienced with at least 6 months therapy with 2 alternate classes of anti</w:t>
            </w:r>
            <w:r w:rsidR="0026100E">
              <w:rPr>
                <w:rFonts w:ascii="Arial" w:hAnsi="Arial" w:cs="Arial"/>
                <w:sz w:val="16"/>
                <w:szCs w:val="16"/>
              </w:rPr>
              <w:noBreakHyphen/>
            </w:r>
            <w:r w:rsidRPr="006D52A9">
              <w:rPr>
                <w:rFonts w:ascii="Arial" w:hAnsi="Arial" w:cs="Arial"/>
                <w:sz w:val="16"/>
                <w:szCs w:val="16"/>
              </w:rPr>
              <w:t>retroviral therapy; AND</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w:t>
            </w:r>
            <w:r w:rsidRPr="006D52A9">
              <w:rPr>
                <w:rFonts w:ascii="Arial" w:hAnsi="Arial" w:cs="Arial"/>
                <w:sz w:val="16"/>
                <w:szCs w:val="16"/>
              </w:rPr>
              <w:br/>
              <w:t>Patient must be aged 2 years or older.</w:t>
            </w:r>
          </w:p>
        </w:tc>
        <w:tc>
          <w:tcPr>
            <w:tcW w:w="929" w:type="pct"/>
            <w:tcBorders>
              <w:bottom w:val="single" w:sz="4" w:space="0" w:color="auto"/>
            </w:tcBorders>
            <w:shd w:val="clear" w:color="auto" w:fill="auto"/>
            <w:tcMar>
              <w:top w:w="28" w:type="dxa"/>
              <w:left w:w="28" w:type="dxa"/>
              <w:right w:w="57" w:type="dxa"/>
            </w:tcMar>
          </w:tcPr>
          <w:p w14:paraId="0B0FE85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Required </w:t>
            </w:r>
            <w:r w:rsidRPr="006D52A9">
              <w:rPr>
                <w:rFonts w:ascii="Arial" w:hAnsi="Arial" w:cs="Arial"/>
                <w:sz w:val="16"/>
                <w:szCs w:val="16"/>
              </w:rPr>
              <w:lastRenderedPageBreak/>
              <w:t xml:space="preserve">procedures </w:t>
            </w:r>
            <w:r w:rsidR="0026100E">
              <w:rPr>
                <w:rFonts w:ascii="Arial" w:hAnsi="Arial" w:cs="Arial"/>
                <w:sz w:val="16"/>
                <w:szCs w:val="16"/>
              </w:rPr>
              <w:noBreakHyphen/>
            </w:r>
            <w:r w:rsidRPr="006D52A9">
              <w:rPr>
                <w:rFonts w:ascii="Arial" w:hAnsi="Arial" w:cs="Arial"/>
                <w:sz w:val="16"/>
                <w:szCs w:val="16"/>
              </w:rPr>
              <w:t xml:space="preserve"> Streamlined Authority Code 4274</w:t>
            </w:r>
          </w:p>
        </w:tc>
      </w:tr>
      <w:tr w:rsidR="008F47B8" w:rsidRPr="006D52A9" w:rsidDel="00B139BA" w14:paraId="67453C9E" w14:textId="77777777" w:rsidTr="00FB6D2D">
        <w:tc>
          <w:tcPr>
            <w:tcW w:w="647" w:type="pct"/>
            <w:tcBorders>
              <w:bottom w:val="single" w:sz="4" w:space="0" w:color="auto"/>
            </w:tcBorders>
            <w:shd w:val="clear" w:color="auto" w:fill="auto"/>
            <w:tcMar>
              <w:top w:w="28" w:type="dxa"/>
              <w:left w:w="28" w:type="dxa"/>
            </w:tcMar>
          </w:tcPr>
          <w:p w14:paraId="5F7E5EF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E0F3E46"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C4275</w:t>
            </w:r>
          </w:p>
        </w:tc>
        <w:tc>
          <w:tcPr>
            <w:tcW w:w="274" w:type="pct"/>
            <w:tcBorders>
              <w:bottom w:val="single" w:sz="4" w:space="0" w:color="auto"/>
            </w:tcBorders>
            <w:shd w:val="clear" w:color="auto" w:fill="auto"/>
            <w:tcMar>
              <w:top w:w="28" w:type="dxa"/>
              <w:left w:w="28" w:type="dxa"/>
            </w:tcMar>
          </w:tcPr>
          <w:p w14:paraId="79D4AA8A"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E9F694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r w:rsidRPr="006D52A9">
              <w:rPr>
                <w:rFonts w:ascii="Arial" w:hAnsi="Arial" w:cs="Arial"/>
                <w:sz w:val="16"/>
                <w:szCs w:val="16"/>
              </w:rPr>
              <w:br/>
              <w:t>The treatment must be in combination with other antiretroviral agents; AND</w:t>
            </w:r>
            <w:r w:rsidRPr="006D52A9">
              <w:rPr>
                <w:rFonts w:ascii="Arial" w:hAnsi="Arial" w:cs="Arial"/>
                <w:sz w:val="16"/>
                <w:szCs w:val="16"/>
              </w:rPr>
              <w:br/>
              <w:t>Patient must be antiretroviral experienced with at least 6 months therapy with 2 alternate classes of anti</w:t>
            </w:r>
            <w:r w:rsidR="0026100E">
              <w:rPr>
                <w:rFonts w:ascii="Arial" w:hAnsi="Arial" w:cs="Arial"/>
                <w:sz w:val="16"/>
                <w:szCs w:val="16"/>
              </w:rPr>
              <w:noBreakHyphen/>
            </w:r>
            <w:r w:rsidRPr="006D52A9">
              <w:rPr>
                <w:rFonts w:ascii="Arial" w:hAnsi="Arial" w:cs="Arial"/>
                <w:sz w:val="16"/>
                <w:szCs w:val="16"/>
              </w:rPr>
              <w:t>retroviral therapy; AND</w:t>
            </w:r>
            <w:r w:rsidRPr="006D52A9">
              <w:rPr>
                <w:rFonts w:ascii="Arial" w:hAnsi="Arial" w:cs="Arial"/>
                <w:sz w:val="16"/>
                <w:szCs w:val="16"/>
              </w:rPr>
              <w:br/>
              <w:t>Patient must have a CD4 count of less than 500 per cubic millimetre; OR</w:t>
            </w:r>
            <w:r w:rsidRPr="006D52A9">
              <w:rPr>
                <w:rFonts w:ascii="Arial" w:hAnsi="Arial" w:cs="Arial"/>
                <w:sz w:val="16"/>
                <w:szCs w:val="16"/>
              </w:rPr>
              <w:br/>
              <w:t>Patient must have symptomatic HIV disease.</w:t>
            </w:r>
            <w:r w:rsidRPr="006D52A9">
              <w:rPr>
                <w:rFonts w:ascii="Arial" w:hAnsi="Arial" w:cs="Arial"/>
                <w:sz w:val="16"/>
                <w:szCs w:val="16"/>
              </w:rPr>
              <w:br/>
              <w:t>Patient must be aged 2 years or older.</w:t>
            </w:r>
          </w:p>
        </w:tc>
        <w:tc>
          <w:tcPr>
            <w:tcW w:w="929" w:type="pct"/>
            <w:tcBorders>
              <w:bottom w:val="single" w:sz="4" w:space="0" w:color="auto"/>
            </w:tcBorders>
            <w:shd w:val="clear" w:color="auto" w:fill="auto"/>
            <w:tcMar>
              <w:top w:w="28" w:type="dxa"/>
              <w:left w:w="28" w:type="dxa"/>
              <w:right w:w="57" w:type="dxa"/>
            </w:tcMar>
          </w:tcPr>
          <w:p w14:paraId="7497312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4275</w:t>
            </w:r>
          </w:p>
        </w:tc>
      </w:tr>
      <w:tr w:rsidR="008F47B8" w:rsidRPr="006D52A9" w:rsidDel="00B139BA" w14:paraId="273650A3" w14:textId="77777777" w:rsidTr="00FB6D2D">
        <w:trPr>
          <w:cantSplit/>
        </w:trPr>
        <w:tc>
          <w:tcPr>
            <w:tcW w:w="647" w:type="pct"/>
            <w:tcBorders>
              <w:bottom w:val="single" w:sz="4" w:space="0" w:color="auto"/>
            </w:tcBorders>
            <w:shd w:val="clear" w:color="auto" w:fill="auto"/>
            <w:tcMar>
              <w:top w:w="28" w:type="dxa"/>
              <w:left w:w="28" w:type="dxa"/>
            </w:tcMar>
          </w:tcPr>
          <w:p w14:paraId="6633740E"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5EF82430"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Borders>
              <w:bottom w:val="single" w:sz="4" w:space="0" w:color="auto"/>
            </w:tcBorders>
            <w:shd w:val="clear" w:color="auto" w:fill="auto"/>
            <w:tcMar>
              <w:top w:w="28" w:type="dxa"/>
              <w:left w:w="28" w:type="dxa"/>
            </w:tcMar>
          </w:tcPr>
          <w:p w14:paraId="70911CE0"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A0DBC9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4C094A45"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1B73093E"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B139BA" w14:paraId="2D359C6A" w14:textId="77777777" w:rsidTr="00FB6D2D">
        <w:trPr>
          <w:cantSplit/>
        </w:trPr>
        <w:tc>
          <w:tcPr>
            <w:tcW w:w="647" w:type="pct"/>
            <w:tcBorders>
              <w:bottom w:val="single" w:sz="4" w:space="0" w:color="auto"/>
            </w:tcBorders>
            <w:shd w:val="clear" w:color="auto" w:fill="auto"/>
            <w:tcMar>
              <w:top w:w="28" w:type="dxa"/>
              <w:left w:w="28" w:type="dxa"/>
            </w:tcMar>
          </w:tcPr>
          <w:p w14:paraId="69C05122"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11F56FFA"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Borders>
              <w:bottom w:val="single" w:sz="4" w:space="0" w:color="auto"/>
            </w:tcBorders>
            <w:shd w:val="clear" w:color="auto" w:fill="auto"/>
            <w:tcMar>
              <w:top w:w="28" w:type="dxa"/>
              <w:left w:w="28" w:type="dxa"/>
            </w:tcMar>
          </w:tcPr>
          <w:p w14:paraId="0FD58F82"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EEF1ED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067F8CFB"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66502F5B"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rsidDel="00B139BA" w14:paraId="70004F80" w14:textId="77777777" w:rsidTr="00FB6D2D">
        <w:trPr>
          <w:cantSplit/>
        </w:trPr>
        <w:tc>
          <w:tcPr>
            <w:tcW w:w="647" w:type="pct"/>
            <w:tcBorders>
              <w:bottom w:val="single" w:sz="4" w:space="0" w:color="auto"/>
            </w:tcBorders>
            <w:shd w:val="clear" w:color="auto" w:fill="auto"/>
            <w:tcMar>
              <w:top w:w="28" w:type="dxa"/>
              <w:left w:w="28" w:type="dxa"/>
            </w:tcMar>
          </w:tcPr>
          <w:p w14:paraId="7CBE46A0"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Ribavirin</w:t>
            </w:r>
          </w:p>
        </w:tc>
        <w:tc>
          <w:tcPr>
            <w:tcW w:w="283" w:type="pct"/>
            <w:tcBorders>
              <w:bottom w:val="single" w:sz="4" w:space="0" w:color="auto"/>
            </w:tcBorders>
            <w:shd w:val="clear" w:color="auto" w:fill="auto"/>
            <w:tcMar>
              <w:top w:w="28" w:type="dxa"/>
              <w:left w:w="28" w:type="dxa"/>
            </w:tcMar>
          </w:tcPr>
          <w:p w14:paraId="2AA86A3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C5957</w:t>
            </w:r>
          </w:p>
        </w:tc>
        <w:tc>
          <w:tcPr>
            <w:tcW w:w="274" w:type="pct"/>
            <w:tcBorders>
              <w:bottom w:val="single" w:sz="4" w:space="0" w:color="auto"/>
            </w:tcBorders>
            <w:shd w:val="clear" w:color="auto" w:fill="auto"/>
            <w:tcMar>
              <w:top w:w="28" w:type="dxa"/>
              <w:left w:w="28" w:type="dxa"/>
            </w:tcMar>
          </w:tcPr>
          <w:p w14:paraId="19FF0CF5"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P5957</w:t>
            </w:r>
          </w:p>
        </w:tc>
        <w:tc>
          <w:tcPr>
            <w:tcW w:w="2867" w:type="pct"/>
            <w:tcBorders>
              <w:bottom w:val="single" w:sz="4" w:space="0" w:color="auto"/>
            </w:tcBorders>
            <w:shd w:val="clear" w:color="auto" w:fill="auto"/>
            <w:tcMar>
              <w:top w:w="28" w:type="dxa"/>
              <w:left w:w="28" w:type="dxa"/>
            </w:tcMar>
          </w:tcPr>
          <w:p w14:paraId="68A0D21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Patient must meet the criteria set out in the General Statement for Drugs for the Treatment of Hepatitis C; AND</w:t>
            </w:r>
            <w:r w:rsidRPr="006D52A9">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SimSun" w:hAnsi="Arial" w:cs="Arial"/>
                <w:sz w:val="16"/>
                <w:szCs w:val="16"/>
                <w:lang w:eastAsia="zh-CN"/>
              </w:rPr>
              <w:br/>
              <w:t>The treatment must be limited to a maximum duration of 12 weeks.</w:t>
            </w:r>
            <w:r w:rsidRPr="006D52A9">
              <w:rPr>
                <w:rFonts w:ascii="Arial" w:eastAsia="SimSun" w:hAnsi="Arial" w:cs="Arial"/>
                <w:sz w:val="16"/>
                <w:szCs w:val="16"/>
                <w:lang w:eastAsia="zh-CN"/>
              </w:rPr>
              <w:br/>
              <w:t>Patient must not be pregnant or breastfeeding. Female partners of male patients must not be pregnant. Patients and their partners must each be using an effective form of contraception if of child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bearing age.</w:t>
            </w:r>
          </w:p>
        </w:tc>
        <w:tc>
          <w:tcPr>
            <w:tcW w:w="929" w:type="pct"/>
            <w:tcBorders>
              <w:bottom w:val="single" w:sz="4" w:space="0" w:color="auto"/>
            </w:tcBorders>
            <w:shd w:val="clear" w:color="auto" w:fill="auto"/>
            <w:tcMar>
              <w:top w:w="28" w:type="dxa"/>
              <w:left w:w="28" w:type="dxa"/>
              <w:right w:w="57" w:type="dxa"/>
            </w:tcMar>
          </w:tcPr>
          <w:p w14:paraId="7CA8BA4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B139BA" w14:paraId="0F4259D1" w14:textId="77777777" w:rsidTr="00FB6D2D">
        <w:tc>
          <w:tcPr>
            <w:tcW w:w="647" w:type="pct"/>
            <w:tcBorders>
              <w:bottom w:val="single" w:sz="4" w:space="0" w:color="auto"/>
            </w:tcBorders>
            <w:shd w:val="clear" w:color="auto" w:fill="auto"/>
            <w:tcMar>
              <w:top w:w="28" w:type="dxa"/>
              <w:left w:w="28" w:type="dxa"/>
            </w:tcMar>
          </w:tcPr>
          <w:p w14:paraId="56F6C36E" w14:textId="77777777" w:rsidR="008F47B8" w:rsidRPr="006D52A9" w:rsidDel="00B139BA"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53B43C6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C5958</w:t>
            </w:r>
          </w:p>
        </w:tc>
        <w:tc>
          <w:tcPr>
            <w:tcW w:w="274" w:type="pct"/>
            <w:tcBorders>
              <w:bottom w:val="single" w:sz="4" w:space="0" w:color="auto"/>
            </w:tcBorders>
            <w:shd w:val="clear" w:color="auto" w:fill="auto"/>
            <w:tcMar>
              <w:top w:w="28" w:type="dxa"/>
              <w:left w:w="28" w:type="dxa"/>
            </w:tcMar>
          </w:tcPr>
          <w:p w14:paraId="447D6B3F" w14:textId="77777777" w:rsidR="008F47B8" w:rsidRPr="006D52A9" w:rsidDel="00B139B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P5958</w:t>
            </w:r>
          </w:p>
        </w:tc>
        <w:tc>
          <w:tcPr>
            <w:tcW w:w="2867" w:type="pct"/>
            <w:tcBorders>
              <w:bottom w:val="single" w:sz="4" w:space="0" w:color="auto"/>
            </w:tcBorders>
            <w:shd w:val="clear" w:color="auto" w:fill="auto"/>
            <w:tcMar>
              <w:top w:w="28" w:type="dxa"/>
              <w:left w:w="28" w:type="dxa"/>
            </w:tcMar>
          </w:tcPr>
          <w:p w14:paraId="1A881C1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Chronic hepatitis C infection</w:t>
            </w:r>
            <w:r w:rsidRPr="006D52A9">
              <w:rPr>
                <w:rFonts w:ascii="Arial" w:eastAsia="SimSun" w:hAnsi="Arial" w:cs="Arial"/>
                <w:sz w:val="16"/>
                <w:szCs w:val="16"/>
                <w:lang w:eastAsia="zh-CN"/>
              </w:rPr>
              <w:br/>
              <w:t>Patient must meet the criteria set out in the General Statement for Drugs for the Treatment of Hepatitis C; AND</w:t>
            </w:r>
            <w:r w:rsidRPr="006D52A9">
              <w:rPr>
                <w:rFonts w:ascii="Arial" w:eastAsia="SimSun" w:hAnsi="Arial" w:cs="Arial"/>
                <w:sz w:val="16"/>
                <w:szCs w:val="16"/>
                <w:lang w:eastAsia="zh-CN"/>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eastAsia="SimSun" w:hAnsi="Arial" w:cs="Arial"/>
                <w:sz w:val="16"/>
                <w:szCs w:val="16"/>
                <w:lang w:eastAsia="zh-CN"/>
              </w:rPr>
              <w:br/>
              <w:t>The treatment must be limited to a maximum duration of 24 weeks.</w:t>
            </w:r>
            <w:r w:rsidRPr="006D52A9">
              <w:rPr>
                <w:rFonts w:ascii="Arial" w:eastAsia="SimSun" w:hAnsi="Arial" w:cs="Arial"/>
                <w:sz w:val="16"/>
                <w:szCs w:val="16"/>
                <w:lang w:eastAsia="zh-CN"/>
              </w:rPr>
              <w:br/>
              <w:t>Patient must not be pregnant or breastfeeding. Female partners of male patients must not be pregnant. Patients and their partners must each be using an effective form of contraception if of child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bearing age.</w:t>
            </w:r>
          </w:p>
        </w:tc>
        <w:tc>
          <w:tcPr>
            <w:tcW w:w="929" w:type="pct"/>
            <w:tcBorders>
              <w:bottom w:val="single" w:sz="4" w:space="0" w:color="auto"/>
            </w:tcBorders>
            <w:shd w:val="clear" w:color="auto" w:fill="auto"/>
            <w:tcMar>
              <w:top w:w="28" w:type="dxa"/>
              <w:left w:w="28" w:type="dxa"/>
              <w:right w:w="57" w:type="dxa"/>
            </w:tcMar>
          </w:tcPr>
          <w:p w14:paraId="72AA6DC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70572" w14:paraId="627F08A5" w14:textId="77777777" w:rsidTr="00FB6D2D">
        <w:trPr>
          <w:cantSplit/>
        </w:trPr>
        <w:tc>
          <w:tcPr>
            <w:tcW w:w="647" w:type="pct"/>
            <w:tcMar>
              <w:top w:w="28" w:type="dxa"/>
              <w:left w:w="28" w:type="dxa"/>
            </w:tcMar>
          </w:tcPr>
          <w:p w14:paraId="7F7C5767" w14:textId="77777777" w:rsidR="008F47B8" w:rsidRPr="006D52A9" w:rsidDel="00E70572" w:rsidRDefault="008F47B8" w:rsidP="00FB6D2D">
            <w:pPr>
              <w:spacing w:line="240" w:lineRule="auto"/>
              <w:rPr>
                <w:rFonts w:ascii="Arial" w:eastAsia="SimSun" w:hAnsi="Arial" w:cs="Arial"/>
                <w:sz w:val="16"/>
                <w:szCs w:val="16"/>
                <w:lang w:eastAsia="zh-CN"/>
              </w:rPr>
            </w:pPr>
            <w:bookmarkStart w:id="201" w:name="CU_467711163"/>
            <w:bookmarkStart w:id="202" w:name="CU_468716631"/>
            <w:bookmarkStart w:id="203" w:name="CU_469721293"/>
            <w:bookmarkStart w:id="204" w:name="CU_470723626"/>
            <w:bookmarkStart w:id="205" w:name="CU_471729026"/>
            <w:bookmarkStart w:id="206" w:name="CU_472730245"/>
            <w:bookmarkStart w:id="207" w:name="CU_474736191"/>
            <w:bookmarkStart w:id="208" w:name="CU_475738489"/>
            <w:bookmarkStart w:id="209" w:name="CU_476743958"/>
            <w:bookmarkStart w:id="210" w:name="CU_477748620"/>
            <w:bookmarkStart w:id="211" w:name="CU_479756352"/>
            <w:bookmarkStart w:id="212" w:name="CU_481759871"/>
            <w:bookmarkStart w:id="213" w:name="CU_483765783"/>
            <w:bookmarkStart w:id="214" w:name="CU_486769501"/>
            <w:bookmarkStart w:id="215" w:name="CU_487770780"/>
            <w:bookmarkStart w:id="216" w:name="CU_48977432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6D52A9">
              <w:rPr>
                <w:rFonts w:ascii="Arial" w:eastAsia="SimSun" w:hAnsi="Arial" w:cs="Arial"/>
                <w:sz w:val="16"/>
                <w:szCs w:val="16"/>
                <w:lang w:eastAsia="zh-CN"/>
              </w:rPr>
              <w:lastRenderedPageBreak/>
              <w:t>Rifabutin</w:t>
            </w:r>
          </w:p>
        </w:tc>
        <w:tc>
          <w:tcPr>
            <w:tcW w:w="283" w:type="pct"/>
            <w:tcMar>
              <w:top w:w="28" w:type="dxa"/>
              <w:left w:w="28" w:type="dxa"/>
            </w:tcMar>
          </w:tcPr>
          <w:p w14:paraId="6031F843"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C6350</w:t>
            </w:r>
          </w:p>
        </w:tc>
        <w:tc>
          <w:tcPr>
            <w:tcW w:w="274" w:type="pct"/>
            <w:tcMar>
              <w:top w:w="28" w:type="dxa"/>
              <w:left w:w="28" w:type="dxa"/>
            </w:tcMar>
          </w:tcPr>
          <w:p w14:paraId="780E0744" w14:textId="77777777" w:rsidR="008F47B8" w:rsidRPr="006D52A9" w:rsidDel="00E70572"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D39AF3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Mycobacterium avium complex infection</w:t>
            </w:r>
          </w:p>
          <w:p w14:paraId="3904BAF6"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human immunodeficiency virus (HIV) positive.</w:t>
            </w:r>
          </w:p>
        </w:tc>
        <w:tc>
          <w:tcPr>
            <w:tcW w:w="929" w:type="pct"/>
            <w:tcMar>
              <w:top w:w="28" w:type="dxa"/>
              <w:left w:w="28" w:type="dxa"/>
              <w:right w:w="57" w:type="dxa"/>
            </w:tcMar>
          </w:tcPr>
          <w:p w14:paraId="05853641"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6350</w:t>
            </w:r>
          </w:p>
        </w:tc>
      </w:tr>
      <w:tr w:rsidR="008F47B8" w:rsidRPr="006D52A9" w:rsidDel="00E70572" w14:paraId="48258164" w14:textId="77777777" w:rsidTr="00FB6D2D">
        <w:trPr>
          <w:cantSplit/>
        </w:trPr>
        <w:tc>
          <w:tcPr>
            <w:tcW w:w="647" w:type="pct"/>
            <w:tcMar>
              <w:top w:w="28" w:type="dxa"/>
              <w:left w:w="28" w:type="dxa"/>
            </w:tcMar>
          </w:tcPr>
          <w:p w14:paraId="3E7B8226" w14:textId="77777777" w:rsidR="008F47B8" w:rsidRPr="006D52A9" w:rsidDel="00E70572"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33CCE56"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C6356</w:t>
            </w:r>
          </w:p>
        </w:tc>
        <w:tc>
          <w:tcPr>
            <w:tcW w:w="274" w:type="pct"/>
            <w:tcMar>
              <w:top w:w="28" w:type="dxa"/>
              <w:left w:w="28" w:type="dxa"/>
            </w:tcMar>
          </w:tcPr>
          <w:p w14:paraId="6EC48D9C" w14:textId="77777777" w:rsidR="008F47B8" w:rsidRPr="006D52A9" w:rsidDel="00E70572"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57987B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Mycobacterium avium complex infection</w:t>
            </w:r>
          </w:p>
          <w:p w14:paraId="2259576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for prophylaxis; AND</w:t>
            </w:r>
          </w:p>
          <w:p w14:paraId="587B841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human immunodeficiency virus (HIV) positive; AND</w:t>
            </w:r>
          </w:p>
          <w:p w14:paraId="1586D5CD"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CD4 cell counts of less than 75 per cubic millimetre.</w:t>
            </w:r>
          </w:p>
        </w:tc>
        <w:tc>
          <w:tcPr>
            <w:tcW w:w="929" w:type="pct"/>
            <w:tcMar>
              <w:top w:w="28" w:type="dxa"/>
              <w:left w:w="28" w:type="dxa"/>
              <w:right w:w="57" w:type="dxa"/>
            </w:tcMar>
          </w:tcPr>
          <w:p w14:paraId="70C4C77A" w14:textId="77777777" w:rsidR="008F47B8" w:rsidRPr="006D52A9" w:rsidDel="00E7057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6356</w:t>
            </w:r>
          </w:p>
        </w:tc>
      </w:tr>
      <w:tr w:rsidR="008F47B8" w:rsidRPr="006D52A9" w:rsidDel="00286C68" w14:paraId="1AC1EDDD" w14:textId="77777777" w:rsidTr="00FB6D2D">
        <w:trPr>
          <w:cantSplit/>
        </w:trPr>
        <w:tc>
          <w:tcPr>
            <w:tcW w:w="647" w:type="pct"/>
            <w:tcMar>
              <w:top w:w="28" w:type="dxa"/>
              <w:left w:w="28" w:type="dxa"/>
            </w:tcMar>
          </w:tcPr>
          <w:p w14:paraId="61E1ACB9" w14:textId="77777777" w:rsidR="008F47B8" w:rsidRPr="006D52A9" w:rsidDel="00286C68"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9AC156B"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C9560</w:t>
            </w:r>
          </w:p>
        </w:tc>
        <w:tc>
          <w:tcPr>
            <w:tcW w:w="274" w:type="pct"/>
            <w:tcMar>
              <w:top w:w="28" w:type="dxa"/>
              <w:left w:w="28" w:type="dxa"/>
            </w:tcMar>
          </w:tcPr>
          <w:p w14:paraId="49BE660A" w14:textId="77777777" w:rsidR="008F47B8" w:rsidRPr="006D52A9" w:rsidDel="00286C68"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85D6201"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Mycobacterium avium complex infection</w:t>
            </w:r>
            <w:r w:rsidRPr="006D52A9">
              <w:rPr>
                <w:rFonts w:ascii="Arial" w:eastAsia="SimSun" w:hAnsi="Arial" w:cs="Arial"/>
                <w:sz w:val="16"/>
                <w:szCs w:val="16"/>
                <w:lang w:eastAsia="zh-CN"/>
              </w:rPr>
              <w:br/>
              <w:t>Patient must be human immunodeficiency virus (HIV) positive.</w:t>
            </w:r>
          </w:p>
        </w:tc>
        <w:tc>
          <w:tcPr>
            <w:tcW w:w="929" w:type="pct"/>
            <w:tcMar>
              <w:top w:w="28" w:type="dxa"/>
              <w:left w:w="28" w:type="dxa"/>
              <w:right w:w="57" w:type="dxa"/>
            </w:tcMar>
          </w:tcPr>
          <w:p w14:paraId="21858812"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9560</w:t>
            </w:r>
          </w:p>
        </w:tc>
      </w:tr>
      <w:tr w:rsidR="008F47B8" w:rsidRPr="006D52A9" w:rsidDel="00286C68" w14:paraId="4DAA6848" w14:textId="77777777" w:rsidTr="00FB6D2D">
        <w:trPr>
          <w:cantSplit/>
        </w:trPr>
        <w:tc>
          <w:tcPr>
            <w:tcW w:w="647" w:type="pct"/>
            <w:tcMar>
              <w:top w:w="28" w:type="dxa"/>
              <w:left w:w="28" w:type="dxa"/>
            </w:tcMar>
          </w:tcPr>
          <w:p w14:paraId="1CCEEA2A" w14:textId="77777777" w:rsidR="008F47B8" w:rsidRPr="006D52A9" w:rsidDel="00286C68"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8FA0D8C"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C9622</w:t>
            </w:r>
          </w:p>
        </w:tc>
        <w:tc>
          <w:tcPr>
            <w:tcW w:w="274" w:type="pct"/>
            <w:tcMar>
              <w:top w:w="28" w:type="dxa"/>
              <w:left w:w="28" w:type="dxa"/>
            </w:tcMar>
          </w:tcPr>
          <w:p w14:paraId="3BE687DB" w14:textId="77777777" w:rsidR="008F47B8" w:rsidRPr="006D52A9" w:rsidDel="00286C68"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5F6A7CA"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Mycobacterium avium complex infection</w:t>
            </w:r>
            <w:r w:rsidRPr="006D52A9">
              <w:rPr>
                <w:rFonts w:ascii="Arial" w:eastAsia="SimSun" w:hAnsi="Arial" w:cs="Arial"/>
                <w:sz w:val="16"/>
                <w:szCs w:val="16"/>
                <w:lang w:eastAsia="zh-CN"/>
              </w:rPr>
              <w:br/>
              <w:t>The treatment must be for prophylaxis; AND</w:t>
            </w:r>
            <w:r w:rsidRPr="006D52A9">
              <w:rPr>
                <w:rFonts w:ascii="Arial" w:eastAsia="SimSun" w:hAnsi="Arial" w:cs="Arial"/>
                <w:sz w:val="16"/>
                <w:szCs w:val="16"/>
                <w:lang w:eastAsia="zh-CN"/>
              </w:rPr>
              <w:br/>
              <w:t>Patient must be human immunodeficiency virus (HIV) positive; AND</w:t>
            </w:r>
            <w:r w:rsidRPr="006D52A9">
              <w:rPr>
                <w:rFonts w:ascii="Arial" w:eastAsia="SimSun" w:hAnsi="Arial" w:cs="Arial"/>
                <w:sz w:val="16"/>
                <w:szCs w:val="16"/>
                <w:lang w:eastAsia="zh-CN"/>
              </w:rPr>
              <w:br/>
              <w:t>Patient must have CD4 cell counts of less than 75 per cubic millimetre.</w:t>
            </w:r>
          </w:p>
        </w:tc>
        <w:tc>
          <w:tcPr>
            <w:tcW w:w="929" w:type="pct"/>
            <w:tcMar>
              <w:top w:w="28" w:type="dxa"/>
              <w:left w:w="28" w:type="dxa"/>
              <w:right w:w="57" w:type="dxa"/>
            </w:tcMar>
          </w:tcPr>
          <w:p w14:paraId="328FB1F2" w14:textId="77777777" w:rsidR="008F47B8" w:rsidRPr="006D52A9" w:rsidDel="00286C68"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9622</w:t>
            </w:r>
          </w:p>
        </w:tc>
      </w:tr>
      <w:tr w:rsidR="008F47B8" w:rsidRPr="006D52A9" w:rsidDel="00A12BDA" w14:paraId="6C5733C6" w14:textId="77777777" w:rsidTr="00FB6D2D">
        <w:tc>
          <w:tcPr>
            <w:tcW w:w="647" w:type="pct"/>
            <w:tcMar>
              <w:top w:w="28" w:type="dxa"/>
              <w:left w:w="28" w:type="dxa"/>
            </w:tcMar>
          </w:tcPr>
          <w:p w14:paraId="1D6F640E" w14:textId="77777777" w:rsidR="008F47B8" w:rsidRPr="006D52A9" w:rsidDel="00A12BDA" w:rsidRDefault="008F47B8" w:rsidP="00FB6D2D">
            <w:pPr>
              <w:spacing w:line="240" w:lineRule="auto"/>
              <w:rPr>
                <w:rFonts w:ascii="Arial" w:eastAsia="SimSun" w:hAnsi="Arial" w:cs="Arial"/>
                <w:sz w:val="16"/>
                <w:szCs w:val="16"/>
                <w:lang w:eastAsia="zh-CN"/>
              </w:rPr>
            </w:pPr>
            <w:bookmarkStart w:id="217" w:name="CU_495779025"/>
            <w:bookmarkEnd w:id="217"/>
            <w:r w:rsidRPr="006D52A9">
              <w:rPr>
                <w:rFonts w:ascii="Arial" w:eastAsia="SimSun" w:hAnsi="Arial" w:cs="Arial"/>
                <w:sz w:val="16"/>
                <w:szCs w:val="16"/>
                <w:lang w:eastAsia="zh-CN"/>
              </w:rPr>
              <w:t>Rilpivirine</w:t>
            </w:r>
          </w:p>
        </w:tc>
        <w:tc>
          <w:tcPr>
            <w:tcW w:w="283" w:type="pct"/>
            <w:tcMar>
              <w:top w:w="28" w:type="dxa"/>
              <w:left w:w="28" w:type="dxa"/>
            </w:tcMar>
          </w:tcPr>
          <w:p w14:paraId="555E3504"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Mar>
              <w:top w:w="28" w:type="dxa"/>
              <w:left w:w="28" w:type="dxa"/>
            </w:tcMar>
          </w:tcPr>
          <w:p w14:paraId="1A24C2AE"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F4D5A1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2585E5C5"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Mar>
              <w:top w:w="28" w:type="dxa"/>
              <w:left w:w="28" w:type="dxa"/>
              <w:right w:w="57" w:type="dxa"/>
            </w:tcMar>
          </w:tcPr>
          <w:p w14:paraId="1CCC8000" w14:textId="77777777" w:rsidR="008F47B8" w:rsidRPr="006D52A9" w:rsidDel="00A12BDA" w:rsidRDefault="008F47B8" w:rsidP="00FB6D2D">
            <w:pPr>
              <w:keepNext/>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A12BDA" w14:paraId="2A0545EC" w14:textId="77777777" w:rsidTr="00FB6D2D">
        <w:trPr>
          <w:cantSplit/>
        </w:trPr>
        <w:tc>
          <w:tcPr>
            <w:tcW w:w="647" w:type="pct"/>
            <w:tcMar>
              <w:top w:w="28" w:type="dxa"/>
              <w:left w:w="28" w:type="dxa"/>
            </w:tcMar>
          </w:tcPr>
          <w:p w14:paraId="686A2079"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A6CB160"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Mar>
              <w:top w:w="28" w:type="dxa"/>
              <w:left w:w="28" w:type="dxa"/>
            </w:tcMar>
          </w:tcPr>
          <w:p w14:paraId="46DD8D89"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C8B9C8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5301E0FB"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tcMar>
              <w:top w:w="28" w:type="dxa"/>
              <w:left w:w="28" w:type="dxa"/>
              <w:right w:w="57" w:type="dxa"/>
            </w:tcMar>
          </w:tcPr>
          <w:p w14:paraId="0A20DE85"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rsidDel="00A12BDA" w14:paraId="0A62A11A" w14:textId="77777777" w:rsidTr="00FB6D2D">
        <w:tc>
          <w:tcPr>
            <w:tcW w:w="647" w:type="pct"/>
            <w:tcMar>
              <w:top w:w="28" w:type="dxa"/>
              <w:left w:w="28" w:type="dxa"/>
            </w:tcMar>
          </w:tcPr>
          <w:p w14:paraId="27582BA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Riociguat</w:t>
            </w:r>
          </w:p>
        </w:tc>
        <w:tc>
          <w:tcPr>
            <w:tcW w:w="283" w:type="pct"/>
            <w:tcMar>
              <w:top w:w="28" w:type="dxa"/>
              <w:left w:w="28" w:type="dxa"/>
            </w:tcMar>
          </w:tcPr>
          <w:p w14:paraId="7C8F72F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C6645</w:t>
            </w:r>
          </w:p>
        </w:tc>
        <w:tc>
          <w:tcPr>
            <w:tcW w:w="274" w:type="pct"/>
            <w:tcMar>
              <w:top w:w="28" w:type="dxa"/>
              <w:left w:w="28" w:type="dxa"/>
            </w:tcMar>
          </w:tcPr>
          <w:p w14:paraId="263B657F"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FB19047" w14:textId="77777777" w:rsidR="008F47B8" w:rsidRPr="006D52A9" w:rsidRDefault="008F47B8" w:rsidP="00FB6D2D">
            <w:pPr>
              <w:pStyle w:val="mps3-data"/>
              <w:spacing w:before="0"/>
              <w:rPr>
                <w:rFonts w:eastAsia="SimSun"/>
                <w:szCs w:val="16"/>
              </w:rPr>
            </w:pPr>
            <w:r w:rsidRPr="006D52A9">
              <w:rPr>
                <w:szCs w:val="16"/>
              </w:rPr>
              <w:t>Chronic thromboembolic pulmonary hypertension (CTEPH)</w:t>
            </w:r>
            <w:r w:rsidRPr="006D52A9">
              <w:rPr>
                <w:szCs w:val="16"/>
              </w:rPr>
              <w:br/>
              <w:t>Continuing treatment</w:t>
            </w:r>
            <w:r w:rsidRPr="006D52A9">
              <w:rPr>
                <w:szCs w:val="16"/>
              </w:rPr>
              <w:br/>
              <w:t>Patient must have previously received PBS</w:t>
            </w:r>
            <w:r w:rsidR="0026100E">
              <w:rPr>
                <w:szCs w:val="16"/>
              </w:rPr>
              <w:noBreakHyphen/>
            </w:r>
            <w:r w:rsidRPr="006D52A9">
              <w:rPr>
                <w:szCs w:val="16"/>
              </w:rPr>
              <w:t>subsidised treatment with this drug for this condition; AND</w:t>
            </w:r>
            <w:r w:rsidRPr="006D52A9">
              <w:rPr>
                <w:szCs w:val="16"/>
              </w:rPr>
              <w:br/>
              <w:t>Patient must demonstrate stable or responding disease; AND</w:t>
            </w:r>
            <w:r w:rsidRPr="006D52A9">
              <w:rPr>
                <w:szCs w:val="16"/>
              </w:rPr>
              <w:br/>
              <w:t>The treatment must be the sole PBS</w:t>
            </w:r>
            <w:r w:rsidR="0026100E">
              <w:rPr>
                <w:szCs w:val="16"/>
              </w:rPr>
              <w:noBreakHyphen/>
            </w:r>
            <w:r w:rsidRPr="006D52A9">
              <w:rPr>
                <w:szCs w:val="16"/>
              </w:rPr>
              <w:t>subsidised therapy for this condition.</w:t>
            </w:r>
            <w:r w:rsidRPr="006D52A9">
              <w:rPr>
                <w:szCs w:val="16"/>
              </w:rPr>
              <w:br/>
              <w:t>Must be treated in a centre with expertise in the management of CTEPH.</w:t>
            </w:r>
            <w:r w:rsidRPr="006D52A9">
              <w:rPr>
                <w:szCs w:val="16"/>
              </w:rPr>
              <w:br/>
              <w:t>Patient must be aged 18 years or older.</w:t>
            </w:r>
            <w:r w:rsidRPr="006D52A9">
              <w:rPr>
                <w:szCs w:val="16"/>
              </w:rPr>
              <w:br/>
              <w:t xml:space="preserve">Applications for authorisation must be in writing and must include: (1) a completed authority prescription form; and (2) a completed CTEPH PBS Continuing Authority Application </w:t>
            </w:r>
            <w:r w:rsidR="0026100E">
              <w:rPr>
                <w:szCs w:val="16"/>
              </w:rPr>
              <w:noBreakHyphen/>
            </w:r>
            <w:r w:rsidRPr="006D52A9">
              <w:rPr>
                <w:szCs w:val="16"/>
              </w:rPr>
              <w:t xml:space="preserve"> Supporting Information form which includes results from the three tests below, where available: (i) RHC composite assessment; and (ii) ECHO composite assessment; and (iii) 6 Minute Walk Test (6MWT).</w:t>
            </w:r>
            <w:r w:rsidRPr="006D52A9">
              <w:rPr>
                <w:szCs w:val="16"/>
              </w:rPr>
              <w:br/>
              <w:t>Test requirements to establish response to treatment for continuation of treatment are as follows:</w:t>
            </w:r>
            <w:r w:rsidRPr="006D52A9">
              <w:rPr>
                <w:szCs w:val="16"/>
              </w:rPr>
              <w:br/>
              <w:t>The following list outlines the preferred test combination, in descending order, for the purposes of continuation of PBS</w:t>
            </w:r>
            <w:r w:rsidR="0026100E">
              <w:rPr>
                <w:szCs w:val="16"/>
              </w:rPr>
              <w:noBreakHyphen/>
            </w:r>
            <w:r w:rsidRPr="006D52A9">
              <w:rPr>
                <w:szCs w:val="16"/>
              </w:rPr>
              <w:t>subsidised treatment:</w:t>
            </w:r>
            <w:r w:rsidRPr="006D52A9">
              <w:rPr>
                <w:szCs w:val="16"/>
              </w:rPr>
              <w:br/>
              <w:t>(1) RHC plus ECHO composite assessments plus 6MWT;</w:t>
            </w:r>
            <w:r w:rsidRPr="006D52A9">
              <w:rPr>
                <w:szCs w:val="16"/>
              </w:rPr>
              <w:br/>
            </w:r>
            <w:r w:rsidRPr="006D52A9">
              <w:rPr>
                <w:szCs w:val="16"/>
              </w:rPr>
              <w:lastRenderedPageBreak/>
              <w:t>(2) RHC plus ECHO composite assessments;</w:t>
            </w:r>
            <w:r w:rsidRPr="006D52A9">
              <w:rPr>
                <w:szCs w:val="16"/>
              </w:rPr>
              <w:br/>
              <w:t>(3) RHC composite assessment plus 6MWT;</w:t>
            </w:r>
            <w:r w:rsidRPr="006D52A9">
              <w:rPr>
                <w:szCs w:val="16"/>
              </w:rPr>
              <w:br/>
              <w:t>(4) ECHO composite assessment plus 6MWT;</w:t>
            </w:r>
            <w:r w:rsidRPr="006D52A9">
              <w:rPr>
                <w:szCs w:val="16"/>
              </w:rPr>
              <w:br/>
              <w:t>(5) RHC composite assessment only;</w:t>
            </w:r>
            <w:r w:rsidRPr="006D52A9">
              <w:rPr>
                <w:szCs w:val="16"/>
              </w:rPr>
              <w:br/>
              <w:t>(6) ECHO composite assessment only.</w:t>
            </w:r>
            <w:r w:rsidRPr="006D52A9">
              <w:rPr>
                <w:szCs w:val="16"/>
              </w:rPr>
              <w:br/>
              <w:t>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Pr="006D52A9">
              <w:rPr>
                <w:szCs w:val="16"/>
              </w:rPr>
              <w:br/>
              <w:t>The test results provided with the application for continuing treatment must be no more than 2 months old at the time of application.</w:t>
            </w:r>
            <w:r w:rsidRPr="006D52A9">
              <w:rPr>
                <w:szCs w:val="16"/>
              </w:rPr>
              <w:br/>
              <w:t>Response to this drug is defined as follows:</w:t>
            </w:r>
            <w:r w:rsidRPr="006D52A9">
              <w:rPr>
                <w:szCs w:val="16"/>
              </w:rPr>
              <w:br/>
              <w:t>For patients with two or more baseline tests, response to treatment is defined as two or more tests demonstrating stability or improvement of disease.</w:t>
            </w:r>
            <w:r w:rsidRPr="006D52A9">
              <w:rPr>
                <w:szCs w:val="16"/>
              </w:rPr>
              <w:br/>
              <w:t>For patients with a RHC composite assessment alone at baseline, response to treatment is defined as a RHC result demonstrating stability or improvement of disease.</w:t>
            </w:r>
            <w:r w:rsidRPr="006D52A9">
              <w:rPr>
                <w:szCs w:val="16"/>
              </w:rPr>
              <w:br/>
              <w:t>For patients with an ECHO composite assessment alone at baseline, response to treatment is defined as an ECHO result demonstrating stability or improvement of disease.</w:t>
            </w:r>
            <w:r w:rsidRPr="006D52A9">
              <w:rPr>
                <w:szCs w:val="16"/>
              </w:rPr>
              <w:br/>
              <w:t>The assessment of the patient’s response to the continuing 6 month courses of treatment should be made following the preceding 5 months of treatment, in order to allow sufficient time for a response to be demonstrated.</w:t>
            </w:r>
            <w:r w:rsidRPr="006D52A9">
              <w:rPr>
                <w:szCs w:val="16"/>
              </w:rPr>
              <w:br/>
              <w:t>The maximum quantity per prescription must be based on the dosage recommendations in the TGA</w:t>
            </w:r>
            <w:r w:rsidR="0026100E">
              <w:rPr>
                <w:szCs w:val="16"/>
              </w:rPr>
              <w:noBreakHyphen/>
            </w:r>
            <w:r w:rsidRPr="006D52A9">
              <w:rPr>
                <w:szCs w:val="16"/>
              </w:rPr>
              <w:t>approved Product Information and be limited to provide sufficient supply for 1 month of treatment.</w:t>
            </w:r>
            <w:r w:rsidRPr="006D52A9">
              <w:rPr>
                <w:szCs w:val="16"/>
              </w:rPr>
              <w:br/>
              <w:t>A maximum of 5 repeats will be authorised.</w:t>
            </w:r>
            <w:r w:rsidRPr="006D52A9">
              <w:rPr>
                <w:szCs w:val="16"/>
              </w:rPr>
              <w:br/>
              <w:t>Applications for continuing treatment with this drug should be made two weeks prior to the completion of the 6</w:t>
            </w:r>
            <w:r w:rsidR="0026100E">
              <w:rPr>
                <w:szCs w:val="16"/>
              </w:rPr>
              <w:noBreakHyphen/>
            </w:r>
            <w:r w:rsidRPr="006D52A9">
              <w:rPr>
                <w:szCs w:val="16"/>
              </w:rPr>
              <w:t>month treatment course to ensure continuity for those patients who respond to treatment, as assessed by the treating physician.</w:t>
            </w:r>
            <w:r w:rsidRPr="006D52A9">
              <w:rPr>
                <w:szCs w:val="16"/>
              </w:rPr>
              <w:br/>
              <w:t>Patients who fail to demonstrate disease stability or improvement to PBS</w:t>
            </w:r>
            <w:r w:rsidR="0026100E">
              <w:rPr>
                <w:szCs w:val="16"/>
              </w:rPr>
              <w:noBreakHyphen/>
            </w:r>
            <w:r w:rsidRPr="006D52A9">
              <w:rPr>
                <w:szCs w:val="16"/>
              </w:rPr>
              <w:t>subsidised treatment with this agent at the time where an assessment is required must cease PBS</w:t>
            </w:r>
            <w:r w:rsidR="0026100E">
              <w:rPr>
                <w:szCs w:val="16"/>
              </w:rPr>
              <w:noBreakHyphen/>
            </w:r>
            <w:r w:rsidRPr="006D52A9">
              <w:rPr>
                <w:szCs w:val="16"/>
              </w:rPr>
              <w:t>subsidised therapy with this agent.</w:t>
            </w:r>
          </w:p>
        </w:tc>
        <w:tc>
          <w:tcPr>
            <w:tcW w:w="929" w:type="pct"/>
            <w:tcMar>
              <w:top w:w="28" w:type="dxa"/>
              <w:left w:w="28" w:type="dxa"/>
              <w:right w:w="57" w:type="dxa"/>
            </w:tcMar>
          </w:tcPr>
          <w:p w14:paraId="69F8D72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Compliance with Written Authority Required procedures</w:t>
            </w:r>
          </w:p>
        </w:tc>
      </w:tr>
      <w:tr w:rsidR="008F47B8" w:rsidRPr="006D52A9" w:rsidDel="00A12BDA" w14:paraId="549FFB64" w14:textId="77777777" w:rsidTr="00FB6D2D">
        <w:tc>
          <w:tcPr>
            <w:tcW w:w="647" w:type="pct"/>
            <w:tcMar>
              <w:top w:w="28" w:type="dxa"/>
              <w:left w:w="28" w:type="dxa"/>
            </w:tcMar>
          </w:tcPr>
          <w:p w14:paraId="04CB2330" w14:textId="77777777" w:rsidR="008F47B8" w:rsidRPr="006D52A9" w:rsidRDefault="008F47B8" w:rsidP="00FB6D2D">
            <w:pPr>
              <w:pStyle w:val="mps3-data"/>
              <w:rPr>
                <w:rFonts w:eastAsia="SimSun"/>
                <w:szCs w:val="16"/>
              </w:rPr>
            </w:pPr>
          </w:p>
        </w:tc>
        <w:tc>
          <w:tcPr>
            <w:tcW w:w="283" w:type="pct"/>
            <w:tcMar>
              <w:top w:w="28" w:type="dxa"/>
              <w:left w:w="28" w:type="dxa"/>
            </w:tcMar>
          </w:tcPr>
          <w:p w14:paraId="00119985" w14:textId="77777777" w:rsidR="008F47B8" w:rsidRPr="006D52A9" w:rsidRDefault="008F47B8" w:rsidP="00FB6D2D">
            <w:pPr>
              <w:pStyle w:val="mps3-data"/>
              <w:rPr>
                <w:rFonts w:eastAsia="SimSun"/>
                <w:szCs w:val="16"/>
              </w:rPr>
            </w:pPr>
            <w:r w:rsidRPr="006D52A9">
              <w:rPr>
                <w:rFonts w:eastAsia="SimSun"/>
                <w:szCs w:val="16"/>
              </w:rPr>
              <w:t>C6664</w:t>
            </w:r>
          </w:p>
        </w:tc>
        <w:tc>
          <w:tcPr>
            <w:tcW w:w="274" w:type="pct"/>
            <w:tcMar>
              <w:top w:w="28" w:type="dxa"/>
              <w:left w:w="28" w:type="dxa"/>
            </w:tcMar>
          </w:tcPr>
          <w:p w14:paraId="3E3B35D2" w14:textId="77777777" w:rsidR="008F47B8" w:rsidRPr="006D52A9" w:rsidDel="00E03489" w:rsidRDefault="008F47B8" w:rsidP="00FB6D2D">
            <w:pPr>
              <w:spacing w:before="60" w:after="60"/>
              <w:rPr>
                <w:rFonts w:ascii="Arial" w:hAnsi="Arial" w:cs="Arial"/>
                <w:sz w:val="16"/>
                <w:szCs w:val="16"/>
                <w:lang w:eastAsia="en-AU"/>
              </w:rPr>
            </w:pPr>
          </w:p>
        </w:tc>
        <w:tc>
          <w:tcPr>
            <w:tcW w:w="2867" w:type="pct"/>
            <w:tcMar>
              <w:top w:w="28" w:type="dxa"/>
              <w:left w:w="28" w:type="dxa"/>
            </w:tcMar>
          </w:tcPr>
          <w:p w14:paraId="008C7D1B" w14:textId="77777777" w:rsidR="008F47B8" w:rsidRPr="006D52A9" w:rsidRDefault="008F47B8" w:rsidP="00FB6D2D">
            <w:pPr>
              <w:pStyle w:val="mps3-data"/>
              <w:rPr>
                <w:szCs w:val="16"/>
              </w:rPr>
            </w:pPr>
            <w:r w:rsidRPr="006D52A9">
              <w:rPr>
                <w:rFonts w:eastAsia="SimSun"/>
                <w:szCs w:val="16"/>
              </w:rPr>
              <w:t>Chronic thromboembolic pulmonary hypertension (CTEPH)</w:t>
            </w:r>
            <w:r w:rsidRPr="006D52A9">
              <w:rPr>
                <w:rFonts w:eastAsia="SimSun"/>
                <w:szCs w:val="16"/>
              </w:rPr>
              <w:br/>
              <w:t>Initial treatment</w:t>
            </w:r>
            <w:r w:rsidRPr="006D52A9">
              <w:rPr>
                <w:rFonts w:eastAsia="SimSun"/>
                <w:szCs w:val="16"/>
              </w:rPr>
              <w:br/>
              <w:t>Patient must have WHO Functional Class II, III or IV CTEPH; AND</w:t>
            </w:r>
            <w:r w:rsidRPr="006D52A9">
              <w:rPr>
                <w:rFonts w:eastAsia="SimSun"/>
                <w:szCs w:val="16"/>
              </w:rPr>
              <w:br/>
              <w:t>The condition must be inoperable by pulmonary endarterectomy; OR</w:t>
            </w:r>
            <w:r w:rsidRPr="006D52A9">
              <w:rPr>
                <w:rFonts w:eastAsia="SimSun"/>
                <w:szCs w:val="16"/>
              </w:rPr>
              <w:br/>
              <w:t>The condition must be recurrent or persistent following pulmonary endarterectomy;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therapy for this condition.</w:t>
            </w:r>
            <w:r w:rsidRPr="006D52A9">
              <w:rPr>
                <w:rFonts w:eastAsia="SimSun"/>
                <w:szCs w:val="16"/>
              </w:rPr>
              <w:br/>
              <w:t>Must be treated in a centre with expertise in the management of CTEPH.</w:t>
            </w:r>
            <w:r w:rsidRPr="006D52A9">
              <w:rPr>
                <w:rFonts w:eastAsia="SimSun"/>
                <w:szCs w:val="16"/>
              </w:rPr>
              <w:br/>
              <w:t>Patient must be aged 18 years or older.</w:t>
            </w:r>
            <w:r w:rsidRPr="006D52A9">
              <w:rPr>
                <w:rFonts w:eastAsia="SimSun"/>
                <w:szCs w:val="16"/>
              </w:rPr>
              <w:br/>
              <w:t>CTEPH that is inoperable by pulmonary endarterectomy is defined as follows:</w:t>
            </w:r>
            <w:r w:rsidRPr="006D52A9">
              <w:rPr>
                <w:rFonts w:eastAsia="SimSun"/>
                <w:szCs w:val="16"/>
              </w:rPr>
              <w:br/>
              <w:t xml:space="preserve">Right heart catheterisation (RHC) demonstrating pulmonary vascular resistance (PVR) of greater than </w:t>
            </w:r>
            <w:r w:rsidRPr="006D52A9">
              <w:rPr>
                <w:rFonts w:eastAsia="SimSun"/>
                <w:szCs w:val="16"/>
              </w:rPr>
              <w:lastRenderedPageBreak/>
              <w:t>300 dyn</w:t>
            </w:r>
            <w:r w:rsidR="0026100E" w:rsidRPr="0026100E">
              <w:rPr>
                <w:rFonts w:eastAsia="SimSun"/>
                <w:position w:val="6"/>
                <w:szCs w:val="16"/>
              </w:rPr>
              <w:t>*</w:t>
            </w:r>
            <w:r w:rsidRPr="006D52A9">
              <w:rPr>
                <w:rFonts w:eastAsia="SimSun"/>
                <w:szCs w:val="16"/>
              </w:rPr>
              <w:t>sec</w:t>
            </w:r>
            <w:r w:rsidR="0026100E" w:rsidRPr="0026100E">
              <w:rPr>
                <w:rFonts w:eastAsia="SimSun"/>
                <w:position w:val="6"/>
                <w:szCs w:val="16"/>
              </w:rPr>
              <w:t>*</w:t>
            </w:r>
            <w:r w:rsidRPr="006D52A9">
              <w:rPr>
                <w:rFonts w:eastAsia="SimSun"/>
                <w:szCs w:val="16"/>
              </w:rPr>
              <w:t>cm</w:t>
            </w:r>
            <w:r w:rsidR="0026100E">
              <w:rPr>
                <w:rFonts w:eastAsia="SimSun"/>
                <w:szCs w:val="16"/>
              </w:rPr>
              <w:noBreakHyphen/>
            </w:r>
            <w:r w:rsidRPr="006D52A9">
              <w:rPr>
                <w:rFonts w:eastAsia="SimSun"/>
                <w:szCs w:val="16"/>
              </w:rPr>
              <w:t>5measured at least 90 days after start of full anticoagulation; and</w:t>
            </w:r>
            <w:r w:rsidRPr="006D52A9">
              <w:rPr>
                <w:rFonts w:eastAsia="SimSun"/>
                <w:szCs w:val="16"/>
              </w:rPr>
              <w:br/>
              <w:t>A mean pulmonary artery pressure (PAPmean) of greater than 25 mmHg at least 90 days after start of full anticoagulation.</w:t>
            </w:r>
            <w:r w:rsidRPr="006D52A9">
              <w:rPr>
                <w:rFonts w:eastAsia="SimSun"/>
                <w:szCs w:val="16"/>
              </w:rPr>
              <w:br/>
              <w:t>CTEPH that is recurrent or persistent subsequent to pulmonary endarterectomy is defined as follows:</w:t>
            </w:r>
            <w:r w:rsidRPr="006D52A9">
              <w:rPr>
                <w:rFonts w:eastAsia="SimSun"/>
                <w:szCs w:val="16"/>
              </w:rPr>
              <w:br/>
              <w:t>RHC demonstrating a PVR of greater than 300 dyn</w:t>
            </w:r>
            <w:r w:rsidR="0026100E" w:rsidRPr="0026100E">
              <w:rPr>
                <w:rFonts w:eastAsia="SimSun"/>
                <w:position w:val="6"/>
                <w:szCs w:val="16"/>
              </w:rPr>
              <w:t>*</w:t>
            </w:r>
            <w:r w:rsidRPr="006D52A9">
              <w:rPr>
                <w:rFonts w:eastAsia="SimSun"/>
                <w:szCs w:val="16"/>
              </w:rPr>
              <w:t>sec</w:t>
            </w:r>
            <w:r w:rsidR="0026100E" w:rsidRPr="0026100E">
              <w:rPr>
                <w:rFonts w:eastAsia="SimSun"/>
                <w:position w:val="6"/>
                <w:szCs w:val="16"/>
              </w:rPr>
              <w:t>*</w:t>
            </w:r>
            <w:r w:rsidRPr="006D52A9">
              <w:rPr>
                <w:rFonts w:eastAsia="SimSun"/>
                <w:szCs w:val="16"/>
              </w:rPr>
              <w:t>cm</w:t>
            </w:r>
            <w:r w:rsidR="0026100E">
              <w:rPr>
                <w:rFonts w:eastAsia="SimSun"/>
                <w:szCs w:val="16"/>
              </w:rPr>
              <w:noBreakHyphen/>
            </w:r>
            <w:r w:rsidRPr="006D52A9">
              <w:rPr>
                <w:rFonts w:eastAsia="SimSun"/>
                <w:szCs w:val="16"/>
              </w:rPr>
              <w:t>5measured at least 180 days following pulmonary endarterectomy.</w:t>
            </w:r>
            <w:r w:rsidRPr="006D52A9">
              <w:rPr>
                <w:rFonts w:eastAsia="SimSun"/>
                <w:szCs w:val="16"/>
              </w:rPr>
              <w:br/>
              <w:t>Where a RHC cannot be performed due to right ventricular dysfunction, an echocardiogram demonstrating the dysfunction must be provided at the time of application.</w:t>
            </w:r>
            <w:r w:rsidRPr="006D52A9">
              <w:rPr>
                <w:rFonts w:eastAsia="SimSun"/>
                <w:szCs w:val="16"/>
              </w:rPr>
              <w:br/>
              <w:t xml:space="preserve">Applications for authorisation must be in writing and must include:(1) completed authority prescription forms sufficient for dose titration; and(2) a completed CTEPH PBS Initial Authority Application </w:t>
            </w:r>
            <w:r w:rsidR="0026100E">
              <w:rPr>
                <w:rFonts w:eastAsia="SimSun"/>
                <w:szCs w:val="16"/>
              </w:rPr>
              <w:noBreakHyphen/>
            </w:r>
            <w:r w:rsidRPr="006D52A9">
              <w:rPr>
                <w:rFonts w:eastAsia="SimSun"/>
                <w:szCs w:val="16"/>
              </w:rPr>
              <w:t xml:space="preserve"> Supporting Information form which includes results from the 3 tests below, to establish baseline measurements, where available:(i) RHC composite assessment, and(ii) ECHO composite assessment, and(iii) 6 Minute Walk Test (6MWT); and(3) a signed patient acknowledgment form; and(4) confirmation of evidence of inoperable CTEPH including results of a pulmonary vascular resistance (PVR), a mean pulmonary artery pressure (PAPmean) and the starting date of full anticoagulation; or(5) confirmation of evidence of recurrent or persistent CTEPH including result of PVR and the date that pulmonary endarterectomy was performed; or(6) confirmation of an echocardiogram demonstrating right ventricular dysfunction.</w:t>
            </w:r>
            <w:r w:rsidRPr="006D52A9">
              <w:rPr>
                <w:rFonts w:eastAsia="SimSun"/>
                <w:szCs w:val="16"/>
              </w:rPr>
              <w:br/>
              <w:t>Where it is not possible to perform all 3 tests above on clinical grounds, applications may be submitted for consideration based on the results of the following test combinations, which are listed in descending order of preference:(1) RHC plus ECHO composite assessments;(2) RHC composite assessment plus 6MWT;(3) RHC composite assessment only.</w:t>
            </w:r>
            <w:r w:rsidRPr="006D52A9">
              <w:rPr>
                <w:rFonts w:eastAsia="SimSun"/>
                <w:szCs w:val="16"/>
              </w:rPr>
              <w:br/>
              <w:t>In circumstance where a RHC cannot be performed on clinical grounds, applications may be submitted for consideration based on the results of the following test combinations, which are listed in descending order of preference:(1) ECHO composite assessment plus 6MWT;(2) ECHO composite assessment only.</w:t>
            </w:r>
            <w:r w:rsidRPr="006D52A9">
              <w:rPr>
                <w:rFonts w:eastAsia="SimSun"/>
                <w:szCs w:val="16"/>
              </w:rPr>
              <w:br/>
              <w:t>Where fewer than 3 tests are able to be performed on clinical grounds, a patient specific reason outlining why the particular test(s) could not be conducted must be provided with the authority application.</w:t>
            </w:r>
            <w:r w:rsidRPr="006D52A9">
              <w:rPr>
                <w:rFonts w:eastAsia="SimSun"/>
                <w:szCs w:val="16"/>
              </w:rPr>
              <w:br/>
              <w:t>The test results provided must not be more than 2 months old at the time of application.</w:t>
            </w:r>
            <w:r w:rsidRPr="006D52A9">
              <w:rPr>
                <w:rFonts w:eastAsia="SimSun"/>
                <w:szCs w:val="16"/>
              </w:rPr>
              <w:br/>
              <w:t>Prescriptions for dose titration must provide sufficient quantity for dose titrations by 0.5 mg increments at 2</w:t>
            </w:r>
            <w:r w:rsidR="0026100E">
              <w:rPr>
                <w:rFonts w:eastAsia="SimSun"/>
                <w:szCs w:val="16"/>
              </w:rPr>
              <w:noBreakHyphen/>
            </w:r>
            <w:r w:rsidRPr="006D52A9">
              <w:rPr>
                <w:rFonts w:eastAsia="SimSun"/>
                <w:szCs w:val="16"/>
              </w:rPr>
              <w:t>week intervals to achieve up to a maximum of 2.5 mg three times daily based on the dosage recommendations for initiation of treatment in the TGA</w:t>
            </w:r>
            <w:r w:rsidR="0026100E">
              <w:rPr>
                <w:rFonts w:eastAsia="SimSun"/>
                <w:szCs w:val="16"/>
              </w:rPr>
              <w:noBreakHyphen/>
            </w:r>
            <w:r w:rsidRPr="006D52A9">
              <w:rPr>
                <w:rFonts w:eastAsia="SimSun"/>
                <w:szCs w:val="16"/>
              </w:rPr>
              <w:t>approved Product Information. No repeats will be authorised for these prescriptions.</w:t>
            </w:r>
            <w:r w:rsidRPr="006D52A9">
              <w:rPr>
                <w:rFonts w:eastAsia="SimSun"/>
                <w:szCs w:val="16"/>
              </w:rPr>
              <w:br/>
              <w:t>Approvals for subsequent authority prescription will be limited to 1 month of treatment, the quantity approved must be based on the dosage recommendations in the TGA</w:t>
            </w:r>
            <w:r w:rsidR="0026100E">
              <w:rPr>
                <w:rFonts w:eastAsia="SimSun"/>
                <w:szCs w:val="16"/>
              </w:rPr>
              <w:noBreakHyphen/>
            </w:r>
            <w:r w:rsidRPr="006D52A9">
              <w:rPr>
                <w:rFonts w:eastAsia="SimSun"/>
                <w:szCs w:val="16"/>
              </w:rPr>
              <w:t>approved Product Information, and a maximum of 3 repeats.</w:t>
            </w:r>
            <w:r w:rsidRPr="006D52A9">
              <w:rPr>
                <w:rFonts w:eastAsia="SimSun"/>
                <w:szCs w:val="16"/>
              </w:rPr>
              <w:br/>
              <w:t>The assessment of the patient's response to the initial 20</w:t>
            </w:r>
            <w:r w:rsidR="0026100E">
              <w:rPr>
                <w:rFonts w:eastAsia="SimSun"/>
                <w:szCs w:val="16"/>
              </w:rPr>
              <w:noBreakHyphen/>
            </w:r>
            <w:r w:rsidRPr="006D52A9">
              <w:rPr>
                <w:rFonts w:eastAsia="SimSun"/>
                <w:szCs w:val="16"/>
              </w:rPr>
              <w:t>week course of treatment should be made following the preceding 16 weeks of treatment, in order to allow sufficient time for a response to be demonstrated.</w:t>
            </w:r>
            <w:r w:rsidRPr="006D52A9">
              <w:rPr>
                <w:rFonts w:eastAsia="SimSun"/>
                <w:szCs w:val="16"/>
              </w:rPr>
              <w:br/>
              <w:t>Patients who fail to demonstrate a response to PBS</w:t>
            </w:r>
            <w:r w:rsidR="0026100E">
              <w:rPr>
                <w:rFonts w:eastAsia="SimSun"/>
                <w:szCs w:val="16"/>
              </w:rPr>
              <w:noBreakHyphen/>
            </w:r>
            <w:r w:rsidRPr="006D52A9">
              <w:rPr>
                <w:rFonts w:eastAsia="SimSun"/>
                <w:szCs w:val="16"/>
              </w:rPr>
              <w:t>subsidised treatment with this agent at the time where an assessment is required must cease PBS</w:t>
            </w:r>
            <w:r w:rsidR="0026100E">
              <w:rPr>
                <w:rFonts w:eastAsia="SimSun"/>
                <w:szCs w:val="16"/>
              </w:rPr>
              <w:noBreakHyphen/>
            </w:r>
            <w:r w:rsidRPr="006D52A9">
              <w:rPr>
                <w:rFonts w:eastAsia="SimSun"/>
                <w:szCs w:val="16"/>
              </w:rPr>
              <w:t>subsidised therapy with this agent.</w:t>
            </w:r>
          </w:p>
        </w:tc>
        <w:tc>
          <w:tcPr>
            <w:tcW w:w="929" w:type="pct"/>
            <w:tcMar>
              <w:top w:w="28" w:type="dxa"/>
              <w:left w:w="28" w:type="dxa"/>
              <w:right w:w="57" w:type="dxa"/>
            </w:tcMar>
          </w:tcPr>
          <w:p w14:paraId="28A81E52" w14:textId="77777777" w:rsidR="008F47B8" w:rsidRPr="006D52A9" w:rsidRDefault="008F47B8" w:rsidP="00FB6D2D">
            <w:pPr>
              <w:pStyle w:val="mps3-data"/>
              <w:rPr>
                <w:rFonts w:eastAsia="SimSun"/>
                <w:szCs w:val="16"/>
              </w:rPr>
            </w:pPr>
            <w:r w:rsidRPr="006D52A9">
              <w:rPr>
                <w:rFonts w:eastAsia="SimSun"/>
                <w:szCs w:val="16"/>
              </w:rPr>
              <w:lastRenderedPageBreak/>
              <w:t>Compliance with Written Authority Required procedures</w:t>
            </w:r>
          </w:p>
        </w:tc>
      </w:tr>
      <w:tr w:rsidR="008F47B8" w:rsidRPr="006D52A9" w:rsidDel="0027417B" w14:paraId="7CD3C413" w14:textId="77777777" w:rsidTr="00FB6D2D">
        <w:tc>
          <w:tcPr>
            <w:tcW w:w="647" w:type="pct"/>
            <w:tcBorders>
              <w:bottom w:val="single" w:sz="4" w:space="0" w:color="auto"/>
            </w:tcBorders>
            <w:shd w:val="clear" w:color="auto" w:fill="auto"/>
            <w:tcMar>
              <w:top w:w="28" w:type="dxa"/>
              <w:left w:w="28" w:type="dxa"/>
            </w:tcMar>
          </w:tcPr>
          <w:p w14:paraId="187C1B3C"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C2D9E2B" w14:textId="77777777" w:rsidR="008F47B8" w:rsidRPr="006D52A9" w:rsidDel="0027417B"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C7629</w:t>
            </w:r>
          </w:p>
        </w:tc>
        <w:tc>
          <w:tcPr>
            <w:tcW w:w="274" w:type="pct"/>
            <w:tcBorders>
              <w:bottom w:val="single" w:sz="4" w:space="0" w:color="auto"/>
            </w:tcBorders>
            <w:shd w:val="clear" w:color="auto" w:fill="auto"/>
            <w:tcMar>
              <w:top w:w="28" w:type="dxa"/>
              <w:left w:w="28" w:type="dxa"/>
            </w:tcMar>
          </w:tcPr>
          <w:p w14:paraId="2D19BB81"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F3AFC49" w14:textId="77777777" w:rsidR="008F47B8" w:rsidRPr="006D52A9" w:rsidRDefault="008F47B8" w:rsidP="00FB6D2D">
            <w:pPr>
              <w:pStyle w:val="mps3-data"/>
              <w:spacing w:before="0"/>
              <w:rPr>
                <w:szCs w:val="16"/>
              </w:rPr>
            </w:pPr>
            <w:r w:rsidRPr="006D52A9">
              <w:rPr>
                <w:szCs w:val="16"/>
              </w:rPr>
              <w:t xml:space="preserve">Chronic thromboembolic pulmonary </w:t>
            </w:r>
            <w:r w:rsidRPr="006D52A9">
              <w:rPr>
                <w:rFonts w:eastAsia="SimSun"/>
                <w:szCs w:val="16"/>
              </w:rPr>
              <w:t>hypertension</w:t>
            </w:r>
            <w:r w:rsidRPr="006D52A9">
              <w:rPr>
                <w:szCs w:val="16"/>
              </w:rPr>
              <w:t xml:space="preserve"> (CTEPH)</w:t>
            </w:r>
          </w:p>
          <w:p w14:paraId="24ED4DBE" w14:textId="77777777" w:rsidR="008F47B8" w:rsidRPr="006D52A9" w:rsidRDefault="008F47B8" w:rsidP="00FB6D2D">
            <w:pPr>
              <w:pStyle w:val="mps3-data"/>
              <w:rPr>
                <w:szCs w:val="16"/>
              </w:rPr>
            </w:pPr>
            <w:r w:rsidRPr="006D52A9">
              <w:rPr>
                <w:szCs w:val="16"/>
              </w:rPr>
              <w:t xml:space="preserve">Balance of </w:t>
            </w:r>
            <w:r w:rsidRPr="006D52A9">
              <w:rPr>
                <w:rFonts w:eastAsia="SimSun"/>
                <w:szCs w:val="16"/>
              </w:rPr>
              <w:t>supply</w:t>
            </w:r>
          </w:p>
          <w:p w14:paraId="3ECC47F7" w14:textId="77777777" w:rsidR="008F47B8" w:rsidRPr="006D52A9" w:rsidDel="0027417B"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Patient must have received insufficient therapy with this drug under the Initial treatment restriction to complete a maximum of 20 weeks of treatment; OR</w:t>
            </w:r>
            <w:r w:rsidRPr="006D52A9">
              <w:rPr>
                <w:rFonts w:ascii="Arial" w:hAnsi="Arial" w:cs="Arial"/>
                <w:sz w:val="16"/>
                <w:szCs w:val="16"/>
              </w:rPr>
              <w:br/>
              <w:t>Patient must have received insufficient therapy with this drug under the Continuing treatment restriction to complete a maximum of 24 weeks of treatment; AND</w:t>
            </w:r>
            <w:r w:rsidRPr="006D52A9">
              <w:rPr>
                <w:rFonts w:ascii="Arial" w:hAnsi="Arial" w:cs="Arial"/>
                <w:sz w:val="16"/>
                <w:szCs w:val="16"/>
              </w:rPr>
              <w:br/>
              <w:t>The treatment must provide no more than the balance of up to 20 or 24 weeks of treatment available under the above respective restriction;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 xml:space="preserve">subsidised agent for this condition. </w:t>
            </w:r>
            <w:r w:rsidRPr="006D52A9">
              <w:rPr>
                <w:rFonts w:ascii="Arial" w:hAnsi="Arial" w:cs="Arial"/>
                <w:sz w:val="16"/>
                <w:szCs w:val="16"/>
              </w:rPr>
              <w:br/>
              <w:t xml:space="preserve">Must be treated in a centre with expertise in the management of CTEPH. </w:t>
            </w:r>
            <w:r w:rsidRPr="006D52A9">
              <w:rPr>
                <w:rFonts w:ascii="Arial" w:hAnsi="Arial" w:cs="Arial"/>
                <w:sz w:val="16"/>
                <w:szCs w:val="16"/>
              </w:rPr>
              <w:br/>
              <w:t>Patient must be aged 18 years or older.</w:t>
            </w:r>
          </w:p>
        </w:tc>
        <w:tc>
          <w:tcPr>
            <w:tcW w:w="929" w:type="pct"/>
            <w:tcBorders>
              <w:bottom w:val="single" w:sz="4" w:space="0" w:color="auto"/>
            </w:tcBorders>
            <w:shd w:val="clear" w:color="auto" w:fill="auto"/>
            <w:tcMar>
              <w:top w:w="28" w:type="dxa"/>
              <w:left w:w="28" w:type="dxa"/>
              <w:right w:w="57" w:type="dxa"/>
            </w:tcMar>
          </w:tcPr>
          <w:p w14:paraId="3DF1B5AF" w14:textId="77777777" w:rsidR="008F47B8" w:rsidRPr="006D52A9" w:rsidDel="0027417B"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Compliance with Authority Required procedures</w:t>
            </w:r>
          </w:p>
        </w:tc>
      </w:tr>
      <w:tr w:rsidR="008F47B8" w:rsidRPr="006D52A9" w:rsidDel="0027417B" w14:paraId="7C7F5063" w14:textId="77777777" w:rsidTr="00FB6D2D">
        <w:tc>
          <w:tcPr>
            <w:tcW w:w="647" w:type="pct"/>
            <w:tcBorders>
              <w:bottom w:val="single" w:sz="4" w:space="0" w:color="auto"/>
            </w:tcBorders>
            <w:shd w:val="clear" w:color="auto" w:fill="auto"/>
            <w:tcMar>
              <w:top w:w="28" w:type="dxa"/>
              <w:left w:w="28" w:type="dxa"/>
            </w:tcMar>
          </w:tcPr>
          <w:p w14:paraId="6316145F"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11869EF"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C10231</w:t>
            </w:r>
          </w:p>
        </w:tc>
        <w:tc>
          <w:tcPr>
            <w:tcW w:w="274" w:type="pct"/>
            <w:tcBorders>
              <w:bottom w:val="single" w:sz="4" w:space="0" w:color="auto"/>
            </w:tcBorders>
            <w:shd w:val="clear" w:color="auto" w:fill="auto"/>
            <w:tcMar>
              <w:top w:w="28" w:type="dxa"/>
              <w:left w:w="28" w:type="dxa"/>
            </w:tcMar>
          </w:tcPr>
          <w:p w14:paraId="00A4E579"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5103F8CC" w14:textId="77777777" w:rsidR="008F47B8" w:rsidRPr="006D52A9" w:rsidRDefault="008F47B8" w:rsidP="00FB6D2D">
            <w:pPr>
              <w:pStyle w:val="mps3-data"/>
              <w:spacing w:before="0"/>
              <w:rPr>
                <w:szCs w:val="16"/>
              </w:rPr>
            </w:pPr>
            <w:r w:rsidRPr="006D52A9">
              <w:rPr>
                <w:rFonts w:eastAsia="SimSun"/>
                <w:szCs w:val="16"/>
              </w:rPr>
              <w:t>Pulmonary arterial hypertension (PAH)</w:t>
            </w:r>
            <w:r w:rsidRPr="006D52A9">
              <w:rPr>
                <w:rFonts w:eastAsia="SimSun"/>
                <w:szCs w:val="16"/>
              </w:rPr>
              <w:br/>
              <w:t>Continuing treatment</w:t>
            </w:r>
            <w:r w:rsidRPr="006D52A9">
              <w:rPr>
                <w:rFonts w:eastAsia="SimSun"/>
                <w:szCs w:val="16"/>
              </w:rPr>
              <w:br/>
              <w:t>Patient must have received their most recent course of PBS</w:t>
            </w:r>
            <w:r w:rsidR="0026100E">
              <w:rPr>
                <w:rFonts w:eastAsia="SimSun"/>
                <w:szCs w:val="16"/>
              </w:rPr>
              <w:noBreakHyphen/>
            </w:r>
            <w:r w:rsidRPr="006D52A9">
              <w:rPr>
                <w:rFonts w:eastAsia="SimSun"/>
                <w:szCs w:val="16"/>
              </w:rPr>
              <w:t>subsidised treatment with this PAH agent for this condition;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PAH agent for this condition.</w:t>
            </w:r>
            <w:r w:rsidRPr="006D52A9">
              <w:rPr>
                <w:rFonts w:eastAsia="SimSun"/>
                <w:szCs w:val="16"/>
              </w:rPr>
              <w:br/>
              <w:t>The term ‘PAH agents’ refers to bosentan monohydrate, iloprost trometamol, epoprostenol sodium, sildenafil citrate, ambrisentan, tadalafil, macitentan, and riociguat.</w:t>
            </w:r>
            <w:r w:rsidRPr="006D52A9">
              <w:rPr>
                <w:rFonts w:eastAsia="SimSun"/>
                <w:szCs w:val="16"/>
              </w:rPr>
              <w:br/>
              <w:t>PAH agents are not PBS</w:t>
            </w:r>
            <w:r w:rsidR="0026100E">
              <w:rPr>
                <w:rFonts w:eastAsia="SimSun"/>
                <w:szCs w:val="16"/>
              </w:rPr>
              <w:noBreakHyphen/>
            </w:r>
            <w:r w:rsidRPr="006D52A9">
              <w:rPr>
                <w:rFonts w:eastAsia="SimSun"/>
                <w:szCs w:val="16"/>
              </w:rPr>
              <w:t>subsidised for patients with pulmonary hypertension secondary to interstitial lung disease associated with connective tissue disease, where the total lung capacity is less than 70% of predicted.</w:t>
            </w:r>
            <w:r w:rsidRPr="006D52A9">
              <w:rPr>
                <w:rFonts w:eastAsia="SimSun"/>
                <w:szCs w:val="16"/>
              </w:rPr>
              <w:br/>
              <w:t>The maximum quantity authorised will be limited to provide sufficient supply for 1 month of treatment, based on the dosage recommendations in the TGA</w:t>
            </w:r>
            <w:r w:rsidR="0026100E">
              <w:rPr>
                <w:rFonts w:eastAsia="SimSun"/>
                <w:szCs w:val="16"/>
              </w:rPr>
              <w:noBreakHyphen/>
            </w:r>
            <w:r w:rsidRPr="006D52A9">
              <w:rPr>
                <w:rFonts w:eastAsia="SimSun"/>
                <w:szCs w:val="16"/>
              </w:rPr>
              <w:t>approved Product Information.</w:t>
            </w:r>
            <w:r w:rsidRPr="006D52A9">
              <w:rPr>
                <w:rFonts w:eastAsia="SimSun"/>
                <w:szCs w:val="16"/>
              </w:rPr>
              <w:br/>
              <w:t>A maximum of 5 repeats may be requested.</w:t>
            </w:r>
          </w:p>
        </w:tc>
        <w:tc>
          <w:tcPr>
            <w:tcW w:w="929" w:type="pct"/>
            <w:tcBorders>
              <w:bottom w:val="single" w:sz="4" w:space="0" w:color="auto"/>
            </w:tcBorders>
            <w:shd w:val="clear" w:color="auto" w:fill="auto"/>
            <w:tcMar>
              <w:top w:w="28" w:type="dxa"/>
              <w:left w:w="28" w:type="dxa"/>
              <w:right w:w="57" w:type="dxa"/>
            </w:tcMar>
          </w:tcPr>
          <w:p w14:paraId="206C7989"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Compliance with Authority Required procedures</w:t>
            </w:r>
          </w:p>
        </w:tc>
      </w:tr>
      <w:tr w:rsidR="008F47B8" w:rsidRPr="006D52A9" w:rsidDel="0027417B" w14:paraId="3C064054" w14:textId="77777777" w:rsidTr="00FB6D2D">
        <w:tc>
          <w:tcPr>
            <w:tcW w:w="647" w:type="pct"/>
            <w:tcBorders>
              <w:bottom w:val="single" w:sz="4" w:space="0" w:color="auto"/>
            </w:tcBorders>
            <w:shd w:val="clear" w:color="auto" w:fill="auto"/>
            <w:tcMar>
              <w:top w:w="28" w:type="dxa"/>
              <w:left w:w="28" w:type="dxa"/>
            </w:tcMar>
          </w:tcPr>
          <w:p w14:paraId="3B3BDB14"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2506483"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C10243</w:t>
            </w:r>
          </w:p>
        </w:tc>
        <w:tc>
          <w:tcPr>
            <w:tcW w:w="274" w:type="pct"/>
            <w:tcBorders>
              <w:bottom w:val="single" w:sz="4" w:space="0" w:color="auto"/>
            </w:tcBorders>
            <w:shd w:val="clear" w:color="auto" w:fill="auto"/>
            <w:tcMar>
              <w:top w:w="28" w:type="dxa"/>
              <w:left w:w="28" w:type="dxa"/>
            </w:tcMar>
          </w:tcPr>
          <w:p w14:paraId="612CABB0"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9C35E54" w14:textId="77777777" w:rsidR="008F47B8" w:rsidRPr="006D52A9" w:rsidRDefault="008F47B8" w:rsidP="00FB6D2D">
            <w:pPr>
              <w:pStyle w:val="mps3-data"/>
              <w:spacing w:before="0"/>
              <w:rPr>
                <w:szCs w:val="16"/>
              </w:rPr>
            </w:pPr>
            <w:r w:rsidRPr="006D52A9">
              <w:rPr>
                <w:rFonts w:eastAsia="SimSun"/>
                <w:szCs w:val="16"/>
              </w:rPr>
              <w:t>Pulmonary arterial hypertension (PAH)</w:t>
            </w:r>
            <w:r w:rsidRPr="006D52A9">
              <w:rPr>
                <w:rFonts w:eastAsia="SimSun"/>
                <w:szCs w:val="16"/>
              </w:rPr>
              <w:br/>
              <w:t>Initial 2 (change)</w:t>
            </w:r>
            <w:r w:rsidRPr="006D52A9">
              <w:rPr>
                <w:rFonts w:eastAsia="SimSun"/>
                <w:szCs w:val="16"/>
              </w:rPr>
              <w:br/>
              <w:t>Patient must have documented WHO Functional Class III PAH or WHO Functional Class IV PAH; AND</w:t>
            </w:r>
            <w:r w:rsidRPr="006D52A9">
              <w:rPr>
                <w:rFonts w:eastAsia="SimSun"/>
                <w:szCs w:val="16"/>
              </w:rPr>
              <w:br/>
              <w:t>Patient must have had their most recent course of PBS</w:t>
            </w:r>
            <w:r w:rsidR="0026100E">
              <w:rPr>
                <w:rFonts w:eastAsia="SimSun"/>
                <w:szCs w:val="16"/>
              </w:rPr>
              <w:noBreakHyphen/>
            </w:r>
            <w:r w:rsidRPr="006D52A9">
              <w:rPr>
                <w:rFonts w:eastAsia="SimSun"/>
                <w:szCs w:val="16"/>
              </w:rPr>
              <w:t>subsidised treatment for this condition with a PAH agent other than this agent;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PAH agent for this condition.</w:t>
            </w:r>
            <w:r w:rsidRPr="006D52A9">
              <w:rPr>
                <w:rFonts w:eastAsia="SimSun"/>
                <w:szCs w:val="16"/>
              </w:rPr>
              <w:br/>
              <w:t>The term ‘PAH agents’ refers to bosentan monohydrate, iloprost trometamol, epoprostenol sodium, sildenafil citrate, ambrisentan, tadalafil, macitentan, and riociguat.</w:t>
            </w:r>
            <w:r w:rsidRPr="006D52A9">
              <w:rPr>
                <w:rFonts w:eastAsia="SimSun"/>
                <w:szCs w:val="16"/>
              </w:rPr>
              <w:br/>
              <w:t>PAH agents are not PBS</w:t>
            </w:r>
            <w:r w:rsidR="0026100E">
              <w:rPr>
                <w:rFonts w:eastAsia="SimSun"/>
                <w:szCs w:val="16"/>
              </w:rPr>
              <w:noBreakHyphen/>
            </w:r>
            <w:r w:rsidRPr="006D52A9">
              <w:rPr>
                <w:rFonts w:eastAsia="SimSun"/>
                <w:szCs w:val="16"/>
              </w:rPr>
              <w:t>subsidised for patients with pulmonary hypertension secondary to interstitial lung disease associated with connective tissue disease, where the total lung capacity is less than 70% of predicted.</w:t>
            </w:r>
            <w:r w:rsidRPr="006D52A9">
              <w:rPr>
                <w:rFonts w:eastAsia="SimSun"/>
                <w:szCs w:val="16"/>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eastAsia="SimSun"/>
                <w:szCs w:val="16"/>
              </w:rPr>
              <w:noBreakHyphen/>
            </w:r>
            <w:r w:rsidRPr="006D52A9">
              <w:rPr>
                <w:rFonts w:eastAsia="SimSun"/>
                <w:szCs w:val="16"/>
              </w:rPr>
              <w:t xml:space="preserve">qualify for treatment with the alternate agent. This means that patients may commence treatment with the alternate agent, subject to that agent’s restriction, irrespective of the severity of their disease at the time the application to swap </w:t>
            </w:r>
            <w:r w:rsidRPr="006D52A9">
              <w:rPr>
                <w:rFonts w:eastAsia="SimSun"/>
                <w:szCs w:val="16"/>
              </w:rPr>
              <w:lastRenderedPageBreak/>
              <w:t>therapy is submitted.</w:t>
            </w:r>
            <w:r w:rsidRPr="006D52A9">
              <w:rPr>
                <w:rFonts w:eastAsia="SimSun"/>
                <w:szCs w:val="16"/>
              </w:rPr>
              <w:br/>
              <w:t>Applications to swap between the 8 PAH agents must be made under the relevant initial treatment (monotherapy) restriction.</w:t>
            </w:r>
            <w:r w:rsidRPr="006D52A9">
              <w:rPr>
                <w:rFonts w:eastAsia="SimSun"/>
                <w:szCs w:val="16"/>
              </w:rPr>
              <w:br/>
              <w:t>Approvals for prescriptions for dose titration will provide sufficient quantity for dose titrations by 0.5 mg increments at 2</w:t>
            </w:r>
            <w:r w:rsidR="0026100E">
              <w:rPr>
                <w:rFonts w:eastAsia="SimSun"/>
                <w:szCs w:val="16"/>
              </w:rPr>
              <w:noBreakHyphen/>
            </w:r>
            <w:r w:rsidRPr="006D52A9">
              <w:rPr>
                <w:rFonts w:eastAsia="SimSun"/>
                <w:szCs w:val="16"/>
              </w:rPr>
              <w:t>week intervals to achieve up to a maximum of 2.5 mg three times daily based on the dosage recommendations for initiation of treatment in the TGA</w:t>
            </w:r>
            <w:r w:rsidR="0026100E">
              <w:rPr>
                <w:rFonts w:eastAsia="SimSun"/>
                <w:szCs w:val="16"/>
              </w:rPr>
              <w:noBreakHyphen/>
            </w:r>
            <w:r w:rsidRPr="006D52A9">
              <w:rPr>
                <w:rFonts w:eastAsia="SimSun"/>
                <w:szCs w:val="16"/>
              </w:rPr>
              <w:t>approved Product Information. No repeats will be authorised for these prescriptions.</w:t>
            </w:r>
            <w:r w:rsidRPr="006D52A9">
              <w:rPr>
                <w:rFonts w:eastAsia="SimSun"/>
                <w:szCs w:val="16"/>
              </w:rPr>
              <w:br/>
              <w:t>Approvals for subsequent authority prescription will be limited to 1 month of treatment, with the quantity approved based on the dosage recommendations in the TGA</w:t>
            </w:r>
            <w:r w:rsidR="0026100E">
              <w:rPr>
                <w:rFonts w:eastAsia="SimSun"/>
                <w:szCs w:val="16"/>
              </w:rPr>
              <w:noBreakHyphen/>
            </w:r>
            <w:r w:rsidRPr="006D52A9">
              <w:rPr>
                <w:rFonts w:eastAsia="SimSun"/>
                <w:szCs w:val="16"/>
              </w:rPr>
              <w:t>approved Product Information, and a maximum of 4 repeats.</w:t>
            </w:r>
          </w:p>
        </w:tc>
        <w:tc>
          <w:tcPr>
            <w:tcW w:w="929" w:type="pct"/>
            <w:tcBorders>
              <w:bottom w:val="single" w:sz="4" w:space="0" w:color="auto"/>
            </w:tcBorders>
            <w:shd w:val="clear" w:color="auto" w:fill="auto"/>
            <w:tcMar>
              <w:top w:w="28" w:type="dxa"/>
              <w:left w:w="28" w:type="dxa"/>
              <w:right w:w="57" w:type="dxa"/>
            </w:tcMar>
          </w:tcPr>
          <w:p w14:paraId="27066966"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Compliance with Authority Required procedures</w:t>
            </w:r>
          </w:p>
        </w:tc>
      </w:tr>
      <w:tr w:rsidR="008F47B8" w:rsidRPr="006D52A9" w:rsidDel="0027417B" w14:paraId="69A34E15" w14:textId="77777777" w:rsidTr="00FB6D2D">
        <w:tc>
          <w:tcPr>
            <w:tcW w:w="647" w:type="pct"/>
            <w:tcBorders>
              <w:bottom w:val="single" w:sz="4" w:space="0" w:color="auto"/>
            </w:tcBorders>
            <w:shd w:val="clear" w:color="auto" w:fill="auto"/>
            <w:tcMar>
              <w:top w:w="28" w:type="dxa"/>
              <w:left w:w="28" w:type="dxa"/>
            </w:tcMar>
          </w:tcPr>
          <w:p w14:paraId="56DE9AED"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34EA49B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C10245</w:t>
            </w:r>
          </w:p>
        </w:tc>
        <w:tc>
          <w:tcPr>
            <w:tcW w:w="274" w:type="pct"/>
            <w:tcBorders>
              <w:bottom w:val="single" w:sz="4" w:space="0" w:color="auto"/>
            </w:tcBorders>
            <w:shd w:val="clear" w:color="auto" w:fill="auto"/>
            <w:tcMar>
              <w:top w:w="28" w:type="dxa"/>
              <w:left w:w="28" w:type="dxa"/>
            </w:tcMar>
          </w:tcPr>
          <w:p w14:paraId="1B1AE699" w14:textId="77777777" w:rsidR="008F47B8" w:rsidRPr="006D52A9" w:rsidDel="0027417B"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720D2B62" w14:textId="77777777" w:rsidR="008F47B8" w:rsidRPr="006D52A9" w:rsidRDefault="008F47B8" w:rsidP="00FB6D2D">
            <w:pPr>
              <w:pStyle w:val="mps3-data"/>
              <w:spacing w:before="0"/>
              <w:rPr>
                <w:rFonts w:eastAsia="SimSun"/>
                <w:szCs w:val="16"/>
              </w:rPr>
            </w:pPr>
            <w:r w:rsidRPr="006D52A9">
              <w:rPr>
                <w:rFonts w:eastAsia="SimSun"/>
                <w:szCs w:val="16"/>
              </w:rPr>
              <w:t>Pulmonary arterial hypertension (PAH)</w:t>
            </w:r>
            <w:r w:rsidRPr="006D52A9">
              <w:rPr>
                <w:rFonts w:eastAsia="SimSun"/>
                <w:szCs w:val="16"/>
              </w:rPr>
              <w:br/>
              <w:t>Initial 1 (new patients)</w:t>
            </w:r>
            <w:r w:rsidRPr="006D52A9">
              <w:rPr>
                <w:rFonts w:eastAsia="SimSun"/>
                <w:szCs w:val="16"/>
              </w:rPr>
              <w:br/>
              <w:t>Patient must not have received prior PBS</w:t>
            </w:r>
            <w:r w:rsidR="0026100E">
              <w:rPr>
                <w:rFonts w:eastAsia="SimSun"/>
                <w:szCs w:val="16"/>
              </w:rPr>
              <w:noBreakHyphen/>
            </w:r>
            <w:r w:rsidRPr="006D52A9">
              <w:rPr>
                <w:rFonts w:eastAsia="SimSun"/>
                <w:szCs w:val="16"/>
              </w:rPr>
              <w:t>subsidised treatment with a pulmonary arterial hypertension (PAH) agent; AND</w:t>
            </w:r>
            <w:r w:rsidRPr="006D52A9">
              <w:rPr>
                <w:rFonts w:eastAsia="SimSun"/>
                <w:szCs w:val="16"/>
              </w:rPr>
              <w:br/>
              <w:t>Patient must have been assessed by a physician with expertise in the management of PAH; AND</w:t>
            </w:r>
            <w:r w:rsidRPr="006D52A9">
              <w:rPr>
                <w:rFonts w:eastAsia="SimSun"/>
                <w:szCs w:val="16"/>
              </w:rPr>
              <w:br/>
              <w:t>Patient must have WHO Functional Class III PAH or WHO Functional Class IV PAH;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PAH agent for this condition.</w:t>
            </w:r>
            <w:r w:rsidRPr="006D52A9">
              <w:rPr>
                <w:rFonts w:eastAsia="SimSun"/>
                <w:szCs w:val="16"/>
              </w:rPr>
              <w:br/>
              <w:t>The term ‘PAH agents’ refers to bosentan monohydrate, iloprost trometamol, epoprostenol sodium, sildenafil citrate, ambrisentan, tadalafil, macitentan, and riociguat.</w:t>
            </w:r>
            <w:r w:rsidRPr="006D52A9">
              <w:rPr>
                <w:rFonts w:eastAsia="SimSun"/>
                <w:szCs w:val="16"/>
              </w:rPr>
              <w:br/>
              <w:t>PAH agents are not PBS</w:t>
            </w:r>
            <w:r w:rsidR="0026100E">
              <w:rPr>
                <w:rFonts w:eastAsia="SimSun"/>
                <w:szCs w:val="16"/>
              </w:rPr>
              <w:noBreakHyphen/>
            </w:r>
            <w:r w:rsidRPr="006D52A9">
              <w:rPr>
                <w:rFonts w:eastAsia="SimSun"/>
                <w:szCs w:val="16"/>
              </w:rPr>
              <w:t>subsidised for patients with pulmonary hypertension secondary to interstitial lung disease associated with connective tissue disease, where the total lung capacity is less than 70% of predicted.</w:t>
            </w:r>
            <w:r w:rsidRPr="006D52A9">
              <w:rPr>
                <w:rFonts w:eastAsia="SimSun"/>
                <w:szCs w:val="16"/>
              </w:rPr>
              <w:br/>
              <w:t>PAH (WHO Group 1 pulmonary hypertension) is defined as follows:</w:t>
            </w:r>
            <w:r w:rsidRPr="006D52A9">
              <w:rPr>
                <w:rFonts w:eastAsia="SimSun"/>
                <w:szCs w:val="16"/>
              </w:rPr>
              <w:br/>
              <w:t>(i) mean pulmonary artery pressure (mPAP) greater than or equal to 25 mmHg at rest and pulmonary artery wedge pressure (PAWP) less than or equal to 15 mmHg; or</w:t>
            </w:r>
            <w:r w:rsidRPr="006D52A9">
              <w:rPr>
                <w:rFonts w:eastAsia="SimSun"/>
                <w:szCs w:val="16"/>
              </w:rPr>
              <w:br/>
              <w:t>(ii) where a right heart catheter (RHC) cannot be performed on clinical grounds, right ventricular systolic pressure (RVSP), assessed by echocardiography (ECHO), greater than 40 mmHg, with normal left ventricular function.</w:t>
            </w:r>
            <w:r w:rsidRPr="006D52A9">
              <w:rPr>
                <w:rFonts w:eastAsia="SimSun"/>
                <w:szCs w:val="16"/>
              </w:rPr>
              <w:br/>
              <w:t>Applications for authorisation must be in writing and must include:</w:t>
            </w:r>
            <w:r w:rsidRPr="006D52A9">
              <w:rPr>
                <w:rFonts w:eastAsia="SimSun"/>
                <w:szCs w:val="16"/>
              </w:rPr>
              <w:br/>
              <w:t>(1) a completed authority prescription form; and</w:t>
            </w:r>
            <w:r w:rsidRPr="006D52A9">
              <w:rPr>
                <w:rFonts w:eastAsia="SimSun"/>
                <w:szCs w:val="16"/>
              </w:rPr>
              <w:br/>
              <w:t xml:space="preserve">(2) a completed Pulmonary Arterial Hypertension PBS Authority Application </w:t>
            </w:r>
            <w:r w:rsidR="0026100E">
              <w:rPr>
                <w:rFonts w:eastAsia="SimSun"/>
                <w:szCs w:val="16"/>
              </w:rPr>
              <w:noBreakHyphen/>
            </w:r>
            <w:r w:rsidRPr="006D52A9">
              <w:rPr>
                <w:rFonts w:eastAsia="SimSun"/>
                <w:szCs w:val="16"/>
              </w:rPr>
              <w:t xml:space="preserve"> Supporting Information form which includes results from the three tests below, where available:</w:t>
            </w:r>
            <w:r w:rsidRPr="006D52A9">
              <w:rPr>
                <w:rFonts w:eastAsia="SimSun"/>
                <w:szCs w:val="16"/>
              </w:rPr>
              <w:br/>
              <w:t>(i) RHC composite assessment; and</w:t>
            </w:r>
            <w:r w:rsidRPr="006D52A9">
              <w:rPr>
                <w:rFonts w:eastAsia="SimSun"/>
                <w:szCs w:val="16"/>
              </w:rPr>
              <w:br/>
              <w:t>(ii) ECHO composite assessment; and</w:t>
            </w:r>
            <w:r w:rsidRPr="006D52A9">
              <w:rPr>
                <w:rFonts w:eastAsia="SimSun"/>
                <w:szCs w:val="16"/>
              </w:rPr>
              <w:br/>
              <w:t>(iii) 6 Minute Walk Test (6MWT).</w:t>
            </w:r>
            <w:r w:rsidRPr="006D52A9">
              <w:rPr>
                <w:rFonts w:eastAsia="SimSun"/>
                <w:szCs w:val="16"/>
              </w:rPr>
              <w:br/>
              <w:t>Where it is not possible to perform all 3 tests on clinical grounds, the following list outlines the preferred test combination, in descending order, for the purposes of initiation of PBS</w:t>
            </w:r>
            <w:r w:rsidR="0026100E">
              <w:rPr>
                <w:rFonts w:eastAsia="SimSun"/>
                <w:szCs w:val="16"/>
              </w:rPr>
              <w:noBreakHyphen/>
            </w:r>
            <w:r w:rsidRPr="006D52A9">
              <w:rPr>
                <w:rFonts w:eastAsia="SimSun"/>
                <w:szCs w:val="16"/>
              </w:rPr>
              <w:t>subsidised treatment:</w:t>
            </w:r>
            <w:r w:rsidRPr="006D52A9">
              <w:rPr>
                <w:rFonts w:eastAsia="SimSun"/>
                <w:szCs w:val="16"/>
              </w:rPr>
              <w:br/>
              <w:t>(1) RHC plus ECHO composite assessments;</w:t>
            </w:r>
            <w:r w:rsidRPr="006D52A9">
              <w:rPr>
                <w:rFonts w:eastAsia="SimSun"/>
                <w:szCs w:val="16"/>
              </w:rPr>
              <w:br/>
              <w:t>(2) RHC composite assessment plus 6MWT;</w:t>
            </w:r>
            <w:r w:rsidRPr="006D52A9">
              <w:rPr>
                <w:rFonts w:eastAsia="SimSun"/>
                <w:szCs w:val="16"/>
              </w:rPr>
              <w:br/>
              <w:t>(3) RHC composite assessment only.</w:t>
            </w:r>
            <w:r w:rsidRPr="006D52A9">
              <w:rPr>
                <w:rFonts w:eastAsia="SimSun"/>
                <w:szCs w:val="16"/>
              </w:rPr>
              <w:br/>
              <w:t xml:space="preserve">In circumstances where a RHC cannot be performed on clinical grounds, applications may be submitted </w:t>
            </w:r>
            <w:r w:rsidRPr="006D52A9">
              <w:rPr>
                <w:rFonts w:eastAsia="SimSun"/>
                <w:szCs w:val="16"/>
              </w:rPr>
              <w:lastRenderedPageBreak/>
              <w:t>for consideration based on the results of the following test combinations, which are listed in descending order of preference:</w:t>
            </w:r>
            <w:r w:rsidRPr="006D52A9">
              <w:rPr>
                <w:rFonts w:eastAsia="SimSun"/>
                <w:szCs w:val="16"/>
              </w:rPr>
              <w:br/>
              <w:t>(1) ECHO composite assessment plus 6MWT;</w:t>
            </w:r>
            <w:r w:rsidRPr="006D52A9">
              <w:rPr>
                <w:rFonts w:eastAsia="SimSun"/>
                <w:szCs w:val="16"/>
              </w:rPr>
              <w:br/>
              <w:t>(2) ECHO composite assessment only.</w:t>
            </w:r>
            <w:r w:rsidRPr="006D52A9">
              <w:rPr>
                <w:rFonts w:eastAsia="SimSun"/>
                <w:szCs w:val="16"/>
              </w:rPr>
              <w:br/>
              <w:t>Where fewer than 3 tests are able to be performed on clinical grounds, a patient specific reason outlining why the particular test(s) could not be conducted must be provided with the authority application.</w:t>
            </w:r>
            <w:r w:rsidRPr="006D52A9">
              <w:rPr>
                <w:rFonts w:eastAsia="SimSun"/>
                <w:szCs w:val="16"/>
              </w:rPr>
              <w:br/>
              <w:t>Where a RHC cannot be performed on clinical grounds, confirmation of the reason(s) must be provided with the authority application by a second PAH physician or cardiologist with expertise in the management of PAH.</w:t>
            </w:r>
            <w:r w:rsidRPr="006D52A9">
              <w:rPr>
                <w:rFonts w:eastAsia="SimSun"/>
                <w:szCs w:val="16"/>
              </w:rPr>
              <w:br/>
              <w:t>The test results provided must not be more than 2 months old at the time of application.</w:t>
            </w:r>
            <w:r w:rsidRPr="006D52A9">
              <w:rPr>
                <w:rFonts w:eastAsia="SimSun"/>
                <w:szCs w:val="16"/>
              </w:rPr>
              <w:br/>
              <w:t>Approvals for prescriptions for dose titration will provide sufficient quantity for dose titrations by 0.5 mg increments at 2</w:t>
            </w:r>
            <w:r w:rsidR="0026100E">
              <w:rPr>
                <w:rFonts w:eastAsia="SimSun"/>
                <w:szCs w:val="16"/>
              </w:rPr>
              <w:noBreakHyphen/>
            </w:r>
            <w:r w:rsidRPr="006D52A9">
              <w:rPr>
                <w:rFonts w:eastAsia="SimSun"/>
                <w:szCs w:val="16"/>
              </w:rPr>
              <w:t>week intervals to achieve up to a maximum of 2.5 mg three times daily based on the dosage recommendations for initiation of treatment in the TGA</w:t>
            </w:r>
            <w:r w:rsidR="0026100E">
              <w:rPr>
                <w:rFonts w:eastAsia="SimSun"/>
                <w:szCs w:val="16"/>
              </w:rPr>
              <w:noBreakHyphen/>
            </w:r>
            <w:r w:rsidRPr="006D52A9">
              <w:rPr>
                <w:rFonts w:eastAsia="SimSun"/>
                <w:szCs w:val="16"/>
              </w:rPr>
              <w:t>approved Product Information. No repeats will be authorised for these prescriptions.</w:t>
            </w:r>
            <w:r w:rsidRPr="006D52A9">
              <w:rPr>
                <w:rFonts w:eastAsia="SimSun"/>
                <w:szCs w:val="16"/>
              </w:rPr>
              <w:br/>
              <w:t>Approvals for subsequent authority prescription will be limited to 1 month of treatment, with the quantity approved based on the dosage recommendations in the TGA</w:t>
            </w:r>
            <w:r w:rsidR="0026100E">
              <w:rPr>
                <w:rFonts w:eastAsia="SimSun"/>
                <w:szCs w:val="16"/>
              </w:rPr>
              <w:noBreakHyphen/>
            </w:r>
            <w:r w:rsidRPr="006D52A9">
              <w:rPr>
                <w:rFonts w:eastAsia="SimSun"/>
                <w:szCs w:val="16"/>
              </w:rPr>
              <w:t>approved Product Information, and a maximum of 4 repeats.</w:t>
            </w:r>
          </w:p>
        </w:tc>
        <w:tc>
          <w:tcPr>
            <w:tcW w:w="929" w:type="pct"/>
            <w:tcBorders>
              <w:bottom w:val="single" w:sz="4" w:space="0" w:color="auto"/>
            </w:tcBorders>
            <w:shd w:val="clear" w:color="auto" w:fill="auto"/>
            <w:tcMar>
              <w:top w:w="28" w:type="dxa"/>
              <w:left w:w="28" w:type="dxa"/>
              <w:right w:w="57" w:type="dxa"/>
            </w:tcMar>
          </w:tcPr>
          <w:p w14:paraId="7E464A7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A12BDA" w14:paraId="46E8F914" w14:textId="77777777" w:rsidTr="00FB6D2D">
        <w:tc>
          <w:tcPr>
            <w:tcW w:w="647" w:type="pct"/>
            <w:tcBorders>
              <w:bottom w:val="single" w:sz="4" w:space="0" w:color="auto"/>
            </w:tcBorders>
            <w:shd w:val="clear" w:color="auto" w:fill="auto"/>
            <w:tcMar>
              <w:top w:w="28" w:type="dxa"/>
              <w:left w:w="28" w:type="dxa"/>
            </w:tcMar>
          </w:tcPr>
          <w:p w14:paraId="38F764E7" w14:textId="77777777" w:rsidR="008F47B8" w:rsidRPr="006D52A9" w:rsidDel="00A12BDA" w:rsidRDefault="008F47B8" w:rsidP="00FB6D2D">
            <w:pPr>
              <w:spacing w:line="240" w:lineRule="auto"/>
              <w:rPr>
                <w:rFonts w:ascii="Arial" w:eastAsia="SimSun" w:hAnsi="Arial" w:cs="Arial"/>
                <w:sz w:val="16"/>
                <w:szCs w:val="16"/>
                <w:lang w:eastAsia="zh-CN"/>
              </w:rPr>
            </w:pPr>
            <w:bookmarkStart w:id="218" w:name="CU_501781055"/>
            <w:bookmarkStart w:id="219" w:name="CU_502781392"/>
            <w:bookmarkEnd w:id="218"/>
            <w:bookmarkEnd w:id="219"/>
            <w:r w:rsidRPr="006D52A9">
              <w:rPr>
                <w:rFonts w:ascii="Arial" w:eastAsia="SimSun" w:hAnsi="Arial" w:cs="Arial"/>
                <w:sz w:val="16"/>
                <w:szCs w:val="16"/>
                <w:lang w:eastAsia="zh-CN"/>
              </w:rPr>
              <w:t>Ritonavir</w:t>
            </w:r>
          </w:p>
        </w:tc>
        <w:tc>
          <w:tcPr>
            <w:tcW w:w="283" w:type="pct"/>
            <w:tcBorders>
              <w:bottom w:val="single" w:sz="4" w:space="0" w:color="auto"/>
            </w:tcBorders>
            <w:shd w:val="clear" w:color="auto" w:fill="auto"/>
            <w:tcMar>
              <w:top w:w="28" w:type="dxa"/>
              <w:left w:w="28" w:type="dxa"/>
            </w:tcMar>
          </w:tcPr>
          <w:p w14:paraId="05E6D3A1"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Borders>
              <w:bottom w:val="single" w:sz="4" w:space="0" w:color="auto"/>
            </w:tcBorders>
            <w:shd w:val="clear" w:color="auto" w:fill="auto"/>
            <w:tcMar>
              <w:top w:w="28" w:type="dxa"/>
              <w:left w:w="28" w:type="dxa"/>
            </w:tcMar>
          </w:tcPr>
          <w:p w14:paraId="03517593"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71830B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2611ABAF"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0EF422D5"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A12BDA" w14:paraId="71873323" w14:textId="77777777" w:rsidTr="00FB6D2D">
        <w:tc>
          <w:tcPr>
            <w:tcW w:w="647" w:type="pct"/>
            <w:tcBorders>
              <w:bottom w:val="single" w:sz="4" w:space="0" w:color="auto"/>
            </w:tcBorders>
            <w:shd w:val="clear" w:color="auto" w:fill="auto"/>
            <w:tcMar>
              <w:top w:w="28" w:type="dxa"/>
              <w:left w:w="28" w:type="dxa"/>
            </w:tcMar>
          </w:tcPr>
          <w:p w14:paraId="72A85AD7"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3FB1DD7F"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Borders>
              <w:bottom w:val="single" w:sz="4" w:space="0" w:color="auto"/>
            </w:tcBorders>
            <w:shd w:val="clear" w:color="auto" w:fill="auto"/>
            <w:tcMar>
              <w:top w:w="28" w:type="dxa"/>
              <w:left w:w="28" w:type="dxa"/>
            </w:tcMar>
          </w:tcPr>
          <w:p w14:paraId="258B207D" w14:textId="77777777" w:rsidR="008F47B8" w:rsidRPr="006D52A9" w:rsidDel="00A12BDA"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56A1C9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32D7F479"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tcBorders>
              <w:bottom w:val="single" w:sz="4" w:space="0" w:color="auto"/>
            </w:tcBorders>
            <w:shd w:val="clear" w:color="auto" w:fill="auto"/>
            <w:tcMar>
              <w:top w:w="28" w:type="dxa"/>
              <w:left w:w="28" w:type="dxa"/>
              <w:right w:w="57" w:type="dxa"/>
            </w:tcMar>
          </w:tcPr>
          <w:p w14:paraId="21CA8619" w14:textId="77777777" w:rsidR="008F47B8" w:rsidRPr="006D52A9" w:rsidDel="00A12BDA"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rsidDel="002B0452" w14:paraId="34203B41" w14:textId="77777777" w:rsidTr="00FB6D2D">
        <w:tc>
          <w:tcPr>
            <w:tcW w:w="647" w:type="pct"/>
            <w:tcBorders>
              <w:bottom w:val="single" w:sz="4" w:space="0" w:color="auto"/>
            </w:tcBorders>
            <w:shd w:val="clear" w:color="auto" w:fill="auto"/>
            <w:tcMar>
              <w:top w:w="28" w:type="dxa"/>
              <w:left w:w="28" w:type="dxa"/>
            </w:tcMar>
          </w:tcPr>
          <w:p w14:paraId="6AC1BF8C" w14:textId="77777777" w:rsidR="008F47B8" w:rsidRPr="006D52A9" w:rsidDel="002B0452"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Rituximab</w:t>
            </w:r>
          </w:p>
        </w:tc>
        <w:tc>
          <w:tcPr>
            <w:tcW w:w="283" w:type="pct"/>
            <w:tcBorders>
              <w:bottom w:val="single" w:sz="4" w:space="0" w:color="auto"/>
            </w:tcBorders>
            <w:shd w:val="clear" w:color="auto" w:fill="auto"/>
            <w:tcMar>
              <w:top w:w="28" w:type="dxa"/>
              <w:left w:w="28" w:type="dxa"/>
            </w:tcMar>
          </w:tcPr>
          <w:p w14:paraId="25DE453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C7021</w:t>
            </w:r>
          </w:p>
        </w:tc>
        <w:tc>
          <w:tcPr>
            <w:tcW w:w="274" w:type="pct"/>
            <w:tcBorders>
              <w:bottom w:val="single" w:sz="4" w:space="0" w:color="auto"/>
            </w:tcBorders>
            <w:shd w:val="clear" w:color="auto" w:fill="auto"/>
            <w:tcMar>
              <w:top w:w="28" w:type="dxa"/>
              <w:left w:w="28" w:type="dxa"/>
            </w:tcMar>
          </w:tcPr>
          <w:p w14:paraId="5B11086B"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377CE3BD" w14:textId="77777777" w:rsidR="008F47B8" w:rsidRPr="006D52A9" w:rsidRDefault="008F47B8" w:rsidP="00FB6D2D">
            <w:pPr>
              <w:pStyle w:val="mps3-data"/>
              <w:spacing w:before="0" w:after="0"/>
              <w:rPr>
                <w:szCs w:val="16"/>
              </w:rPr>
            </w:pPr>
            <w:r w:rsidRPr="006D52A9">
              <w:t>Severe active granulomatosis with polyangiitis (Wegeners granulomatosis)</w:t>
            </w:r>
            <w:r w:rsidRPr="006D52A9">
              <w:br/>
              <w:t>Re</w:t>
            </w:r>
            <w:r w:rsidR="0026100E">
              <w:noBreakHyphen/>
            </w:r>
            <w:r w:rsidRPr="006D52A9">
              <w:t>induction of remission</w:t>
            </w:r>
            <w:r w:rsidRPr="006D52A9">
              <w:br/>
              <w:t>The treatment must be for the re</w:t>
            </w:r>
            <w:r w:rsidR="0026100E">
              <w:noBreakHyphen/>
            </w:r>
            <w:r w:rsidRPr="006D52A9">
              <w:t>induction of remission; AND</w:t>
            </w:r>
            <w:r w:rsidRPr="006D52A9">
              <w:br/>
              <w:t>Patient must have previously received and responded to this drug for this condition; AND</w:t>
            </w:r>
            <w:r w:rsidRPr="006D52A9">
              <w:br/>
              <w:t>The treatment must in combination with glucocorticoids; AND</w:t>
            </w:r>
            <w:r w:rsidRPr="006D52A9">
              <w:br/>
              <w:t>Patient must be at risk of end</w:t>
            </w:r>
            <w:r w:rsidR="0026100E">
              <w:noBreakHyphen/>
            </w:r>
            <w:r w:rsidRPr="006D52A9">
              <w:t>organ damage or mortality; AND</w:t>
            </w:r>
            <w:r w:rsidRPr="006D52A9">
              <w:br/>
              <w:t>Patient must be contraindicated, refractory or unable to tolerate cyclophosphamide.</w:t>
            </w:r>
            <w:r w:rsidRPr="006D52A9">
              <w:br/>
              <w:t>Diagnosis should be made according to the Chapel Hill Consensus Conference Nomenclature of the Vasculitides with anti</w:t>
            </w:r>
            <w:r w:rsidR="0026100E">
              <w:noBreakHyphen/>
            </w:r>
            <w:r w:rsidRPr="006D52A9">
              <w:t>neutrophil cytoplasmic antibody (ANCA) positive serology.</w:t>
            </w:r>
            <w:r w:rsidRPr="006D52A9">
              <w:br/>
              <w:t>This drug is not PBS</w:t>
            </w:r>
            <w:r w:rsidR="0026100E">
              <w:noBreakHyphen/>
            </w:r>
            <w:r w:rsidRPr="006D52A9">
              <w:t>subsidised for maintenance of remission</w:t>
            </w:r>
            <w:r w:rsidRPr="006D52A9">
              <w:br/>
              <w:t>The authority application must be made in writing</w:t>
            </w:r>
          </w:p>
        </w:tc>
        <w:tc>
          <w:tcPr>
            <w:tcW w:w="929" w:type="pct"/>
            <w:tcBorders>
              <w:bottom w:val="single" w:sz="4" w:space="0" w:color="auto"/>
            </w:tcBorders>
            <w:shd w:val="clear" w:color="auto" w:fill="auto"/>
            <w:tcMar>
              <w:top w:w="28" w:type="dxa"/>
              <w:left w:w="28" w:type="dxa"/>
              <w:right w:w="57" w:type="dxa"/>
            </w:tcMar>
          </w:tcPr>
          <w:p w14:paraId="4D398E9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Written Authority Required procedures</w:t>
            </w:r>
          </w:p>
        </w:tc>
      </w:tr>
      <w:tr w:rsidR="008F47B8" w:rsidRPr="006D52A9" w:rsidDel="002B0452" w14:paraId="6B09A15C" w14:textId="77777777" w:rsidTr="00FB6D2D">
        <w:tc>
          <w:tcPr>
            <w:tcW w:w="647" w:type="pct"/>
            <w:tcBorders>
              <w:bottom w:val="single" w:sz="4" w:space="0" w:color="auto"/>
            </w:tcBorders>
            <w:shd w:val="clear" w:color="auto" w:fill="auto"/>
            <w:tcMar>
              <w:top w:w="28" w:type="dxa"/>
              <w:left w:w="28" w:type="dxa"/>
            </w:tcMar>
          </w:tcPr>
          <w:p w14:paraId="538E04E1"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A5E04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C7022</w:t>
            </w:r>
          </w:p>
        </w:tc>
        <w:tc>
          <w:tcPr>
            <w:tcW w:w="274" w:type="pct"/>
            <w:tcBorders>
              <w:bottom w:val="single" w:sz="4" w:space="0" w:color="auto"/>
            </w:tcBorders>
            <w:shd w:val="clear" w:color="auto" w:fill="auto"/>
            <w:tcMar>
              <w:top w:w="28" w:type="dxa"/>
              <w:left w:w="28" w:type="dxa"/>
            </w:tcMar>
          </w:tcPr>
          <w:p w14:paraId="53E0923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957679B" w14:textId="77777777" w:rsidR="008F47B8" w:rsidRPr="006D52A9" w:rsidRDefault="008F47B8" w:rsidP="00FB6D2D">
            <w:pPr>
              <w:pStyle w:val="mps3-data"/>
              <w:spacing w:before="0" w:after="0"/>
              <w:rPr>
                <w:szCs w:val="16"/>
              </w:rPr>
            </w:pPr>
            <w:r w:rsidRPr="006D52A9">
              <w:t>Severe active microscopic polyangiitis</w:t>
            </w:r>
            <w:r w:rsidRPr="006D52A9">
              <w:br/>
              <w:t>Re</w:t>
            </w:r>
            <w:r w:rsidR="0026100E">
              <w:noBreakHyphen/>
            </w:r>
            <w:r w:rsidRPr="006D52A9">
              <w:t>induction of remission</w:t>
            </w:r>
            <w:r w:rsidRPr="006D52A9">
              <w:br/>
              <w:t>The treatment must be for the re</w:t>
            </w:r>
            <w:r w:rsidR="0026100E">
              <w:noBreakHyphen/>
            </w:r>
            <w:r w:rsidRPr="006D52A9">
              <w:t>induction of remission; AND</w:t>
            </w:r>
            <w:r w:rsidRPr="006D52A9">
              <w:br/>
              <w:t>Patient must have previously received and responded to this drug for this condition; AND</w:t>
            </w:r>
            <w:r w:rsidRPr="006D52A9">
              <w:br/>
            </w:r>
            <w:r w:rsidRPr="006D52A9">
              <w:lastRenderedPageBreak/>
              <w:t>The treatment must in combination with glucocorticoids; AND</w:t>
            </w:r>
            <w:r w:rsidRPr="006D52A9">
              <w:br/>
              <w:t>Patient must be at risk of end</w:t>
            </w:r>
            <w:r w:rsidR="0026100E">
              <w:noBreakHyphen/>
            </w:r>
            <w:r w:rsidRPr="006D52A9">
              <w:t>organ damage or mortality; AND</w:t>
            </w:r>
            <w:r w:rsidRPr="006D52A9">
              <w:br/>
              <w:t>Patient must be contraindicated, refractory or unable to tolerate cyclophosphamide.</w:t>
            </w:r>
            <w:r w:rsidRPr="006D52A9">
              <w:br/>
              <w:t>Diagnosis should be made according to the Chapel Hill Consensus Conference Nomenclature of the Vasculitides with anti</w:t>
            </w:r>
            <w:r w:rsidR="0026100E">
              <w:noBreakHyphen/>
            </w:r>
            <w:r w:rsidRPr="006D52A9">
              <w:t>neutrophil cytoplasmic antibody (ANCA) positive serology.</w:t>
            </w:r>
            <w:r w:rsidRPr="006D52A9">
              <w:br/>
              <w:t>This drug is not PBS</w:t>
            </w:r>
            <w:r w:rsidR="0026100E">
              <w:noBreakHyphen/>
            </w:r>
            <w:r w:rsidRPr="006D52A9">
              <w:t>subsidised for maintenance therapy.</w:t>
            </w:r>
            <w:r w:rsidRPr="006D52A9">
              <w:br/>
              <w:t>The authority application must be made in writing</w:t>
            </w:r>
          </w:p>
        </w:tc>
        <w:tc>
          <w:tcPr>
            <w:tcW w:w="929" w:type="pct"/>
            <w:tcBorders>
              <w:bottom w:val="single" w:sz="4" w:space="0" w:color="auto"/>
            </w:tcBorders>
            <w:shd w:val="clear" w:color="auto" w:fill="auto"/>
            <w:tcMar>
              <w:top w:w="28" w:type="dxa"/>
              <w:left w:w="28" w:type="dxa"/>
              <w:right w:w="57" w:type="dxa"/>
            </w:tcMar>
          </w:tcPr>
          <w:p w14:paraId="592E94A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56DC82A8" w14:textId="77777777" w:rsidTr="00FB6D2D">
        <w:tc>
          <w:tcPr>
            <w:tcW w:w="647" w:type="pct"/>
            <w:tcBorders>
              <w:bottom w:val="single" w:sz="4" w:space="0" w:color="auto"/>
            </w:tcBorders>
            <w:shd w:val="clear" w:color="auto" w:fill="auto"/>
            <w:tcMar>
              <w:top w:w="28" w:type="dxa"/>
              <w:left w:w="28" w:type="dxa"/>
            </w:tcMar>
          </w:tcPr>
          <w:p w14:paraId="6B802654"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2E4B518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C9336</w:t>
            </w:r>
          </w:p>
        </w:tc>
        <w:tc>
          <w:tcPr>
            <w:tcW w:w="274" w:type="pct"/>
            <w:tcBorders>
              <w:bottom w:val="single" w:sz="4" w:space="0" w:color="auto"/>
            </w:tcBorders>
            <w:shd w:val="clear" w:color="auto" w:fill="auto"/>
            <w:tcMar>
              <w:top w:w="28" w:type="dxa"/>
              <w:left w:w="28" w:type="dxa"/>
            </w:tcMar>
          </w:tcPr>
          <w:p w14:paraId="1A83D9B3"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F437534" w14:textId="77777777" w:rsidR="008F47B8" w:rsidRPr="006D52A9" w:rsidRDefault="008F47B8" w:rsidP="00FB6D2D">
            <w:pPr>
              <w:pStyle w:val="mps3-data"/>
              <w:spacing w:before="0" w:after="0"/>
              <w:rPr>
                <w:szCs w:val="16"/>
              </w:rPr>
            </w:pPr>
            <w:r w:rsidRPr="006D52A9">
              <w:rPr>
                <w:rFonts w:eastAsia="SimSun"/>
                <w:szCs w:val="16"/>
              </w:rPr>
              <w:t>Severe active granulomatosis with polyangiitis (Wegeners granulomatosis)</w:t>
            </w:r>
            <w:r w:rsidRPr="006D52A9">
              <w:rPr>
                <w:rFonts w:eastAsia="SimSun"/>
                <w:szCs w:val="16"/>
              </w:rPr>
              <w:br/>
              <w:t>Re</w:t>
            </w:r>
            <w:r w:rsidR="0026100E">
              <w:rPr>
                <w:rFonts w:eastAsia="SimSun"/>
                <w:szCs w:val="16"/>
              </w:rPr>
              <w:noBreakHyphen/>
            </w:r>
            <w:r w:rsidRPr="006D52A9">
              <w:rPr>
                <w:rFonts w:eastAsia="SimSun"/>
                <w:szCs w:val="16"/>
              </w:rPr>
              <w:t>induction of remission</w:t>
            </w:r>
            <w:r w:rsidRPr="006D52A9">
              <w:rPr>
                <w:rFonts w:eastAsia="SimSun"/>
                <w:szCs w:val="16"/>
              </w:rPr>
              <w:br/>
              <w:t>The treatment must be for the re</w:t>
            </w:r>
            <w:r w:rsidR="0026100E">
              <w:rPr>
                <w:rFonts w:eastAsia="SimSun"/>
                <w:szCs w:val="16"/>
              </w:rPr>
              <w:noBreakHyphen/>
            </w:r>
            <w:r w:rsidRPr="006D52A9">
              <w:rPr>
                <w:rFonts w:eastAsia="SimSun"/>
                <w:szCs w:val="16"/>
              </w:rPr>
              <w:t>induction of remission; AND</w:t>
            </w:r>
            <w:r w:rsidRPr="006D52A9">
              <w:rPr>
                <w:rFonts w:eastAsia="SimSun"/>
                <w:szCs w:val="16"/>
              </w:rPr>
              <w:br/>
              <w:t>Patient must have previously received and responded to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of remission</w:t>
            </w:r>
          </w:p>
        </w:tc>
        <w:tc>
          <w:tcPr>
            <w:tcW w:w="929" w:type="pct"/>
            <w:tcBorders>
              <w:bottom w:val="single" w:sz="4" w:space="0" w:color="auto"/>
            </w:tcBorders>
            <w:shd w:val="clear" w:color="auto" w:fill="auto"/>
            <w:tcMar>
              <w:top w:w="28" w:type="dxa"/>
              <w:left w:w="28" w:type="dxa"/>
              <w:right w:w="57" w:type="dxa"/>
            </w:tcMar>
          </w:tcPr>
          <w:p w14:paraId="69F4292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9336</w:t>
            </w:r>
          </w:p>
        </w:tc>
      </w:tr>
      <w:tr w:rsidR="008F47B8" w:rsidRPr="006D52A9" w:rsidDel="002B0452" w14:paraId="2FED0D36" w14:textId="77777777" w:rsidTr="00FB6D2D">
        <w:tc>
          <w:tcPr>
            <w:tcW w:w="647" w:type="pct"/>
            <w:tcBorders>
              <w:bottom w:val="single" w:sz="4" w:space="0" w:color="auto"/>
            </w:tcBorders>
            <w:shd w:val="clear" w:color="auto" w:fill="auto"/>
            <w:tcMar>
              <w:top w:w="28" w:type="dxa"/>
              <w:left w:w="28" w:type="dxa"/>
            </w:tcMar>
          </w:tcPr>
          <w:p w14:paraId="648D42AB"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1A437995"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C9340</w:t>
            </w:r>
          </w:p>
        </w:tc>
        <w:tc>
          <w:tcPr>
            <w:tcW w:w="274" w:type="pct"/>
            <w:tcBorders>
              <w:bottom w:val="single" w:sz="4" w:space="0" w:color="auto"/>
            </w:tcBorders>
            <w:shd w:val="clear" w:color="auto" w:fill="auto"/>
            <w:tcMar>
              <w:top w:w="28" w:type="dxa"/>
              <w:left w:w="28" w:type="dxa"/>
            </w:tcMar>
          </w:tcPr>
          <w:p w14:paraId="299C0C57"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62923CD2"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Subsequent continuing treatment</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treatment with this drug for this condition under the First continuing treatment restriction; AND</w:t>
            </w:r>
            <w:r w:rsidRPr="006D52A9">
              <w:rPr>
                <w:rFonts w:eastAsia="SimSun"/>
                <w:szCs w:val="16"/>
              </w:rPr>
              <w:br/>
              <w:t>Patient must have demonstrated an adequate response to treatment with this drug;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An adequate response to treatment is defined as:</w:t>
            </w:r>
            <w:r w:rsidRPr="006D52A9">
              <w:rPr>
                <w:rFonts w:eastAsia="SimSun"/>
                <w:szCs w:val="16"/>
              </w:rPr>
              <w:br/>
              <w:t>an ESR no greater than 25 mm per hour or a CRP level no greater than 15 mg per L or either marker reduced by at least 20% from baseline;</w:t>
            </w:r>
            <w:r w:rsidRPr="006D52A9">
              <w:rPr>
                <w:rFonts w:eastAsia="SimSun"/>
                <w:szCs w:val="16"/>
              </w:rPr>
              <w:br/>
              <w:t>AND either of the following:</w:t>
            </w:r>
            <w:r w:rsidRPr="006D52A9">
              <w:rPr>
                <w:rFonts w:eastAsia="SimSun"/>
                <w:szCs w:val="16"/>
              </w:rPr>
              <w:br/>
              <w:t>(a) a reduction in the total active (swollen and tender) joint count by at least 50% from baseline, where baseline is at least 20 active joints; or</w:t>
            </w:r>
            <w:r w:rsidRPr="006D52A9">
              <w:rPr>
                <w:rFonts w:eastAsia="SimSun"/>
                <w:szCs w:val="16"/>
              </w:rPr>
              <w:br/>
              <w:t>(b) a reduction in the number of the following active joints, from at least 4, by at least 50%:</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w:t>
            </w:r>
            <w:r w:rsidRPr="006D52A9">
              <w:rPr>
                <w:rFonts w:eastAsia="SimSun"/>
                <w:szCs w:val="16"/>
              </w:rPr>
              <w:lastRenderedPageBreak/>
              <w:t>marker will be used to determine response.</w:t>
            </w:r>
            <w:r w:rsidRPr="006D52A9">
              <w:rPr>
                <w:rFonts w:eastAsia="SimSun"/>
                <w:szCs w:val="16"/>
              </w:rPr>
              <w:br/>
              <w:t>The authority application must be made in writing and must include:</w:t>
            </w:r>
            <w:r w:rsidRPr="006D52A9">
              <w:rPr>
                <w:rFonts w:eastAsia="SimSun"/>
                <w:szCs w:val="16"/>
              </w:rPr>
              <w:br/>
              <w:t>(1) a completed authority prescription form(s); and</w:t>
            </w:r>
            <w:r w:rsidRPr="006D52A9">
              <w:rPr>
                <w:rFonts w:eastAsia="SimSun"/>
                <w:szCs w:val="16"/>
              </w:rPr>
              <w:br/>
              <w:t xml:space="preserve">(2) a completed Rheumatoid Arthritis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6D52A9">
              <w:rPr>
                <w:rFonts w:eastAsia="SimSun"/>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eastAsia="SimSun"/>
                <w:szCs w:val="16"/>
              </w:rPr>
              <w:br/>
              <w:t>If a patient has either failed or ceased to respond to a PBS</w:t>
            </w:r>
            <w:r w:rsidR="0026100E">
              <w:rPr>
                <w:rFonts w:eastAsia="SimSun"/>
                <w:szCs w:val="16"/>
              </w:rPr>
              <w:noBreakHyphen/>
            </w:r>
            <w:r w:rsidRPr="006D52A9">
              <w:rPr>
                <w:rFonts w:eastAsia="SimSun"/>
                <w:szCs w:val="16"/>
              </w:rPr>
              <w:t>subsidised biological medicine for this condition 5 times, they will not be eligible to receive further PBS</w:t>
            </w:r>
            <w:r w:rsidR="0026100E">
              <w:rPr>
                <w:rFonts w:eastAsia="SimSun"/>
                <w:szCs w:val="16"/>
              </w:rPr>
              <w:noBreakHyphen/>
            </w:r>
            <w:r w:rsidRPr="006D52A9">
              <w:rPr>
                <w:rFonts w:eastAsia="SimSun"/>
                <w:szCs w:val="16"/>
              </w:rPr>
              <w:t>subsidised treatment with a biological medicine for this condition.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p>
        </w:tc>
        <w:tc>
          <w:tcPr>
            <w:tcW w:w="929" w:type="pct"/>
            <w:tcBorders>
              <w:bottom w:val="single" w:sz="4" w:space="0" w:color="auto"/>
            </w:tcBorders>
            <w:shd w:val="clear" w:color="auto" w:fill="auto"/>
            <w:tcMar>
              <w:top w:w="28" w:type="dxa"/>
              <w:left w:w="28" w:type="dxa"/>
              <w:right w:w="57" w:type="dxa"/>
            </w:tcMar>
          </w:tcPr>
          <w:p w14:paraId="1F342E9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597B7032" w14:textId="77777777" w:rsidTr="00FB6D2D">
        <w:tc>
          <w:tcPr>
            <w:tcW w:w="647" w:type="pct"/>
            <w:tcBorders>
              <w:bottom w:val="single" w:sz="4" w:space="0" w:color="auto"/>
            </w:tcBorders>
            <w:shd w:val="clear" w:color="auto" w:fill="auto"/>
            <w:tcMar>
              <w:top w:w="28" w:type="dxa"/>
              <w:left w:w="28" w:type="dxa"/>
            </w:tcMar>
          </w:tcPr>
          <w:p w14:paraId="342091BB"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08386DA"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C9344</w:t>
            </w:r>
          </w:p>
        </w:tc>
        <w:tc>
          <w:tcPr>
            <w:tcW w:w="274" w:type="pct"/>
            <w:tcBorders>
              <w:bottom w:val="single" w:sz="4" w:space="0" w:color="auto"/>
            </w:tcBorders>
            <w:shd w:val="clear" w:color="auto" w:fill="auto"/>
            <w:tcMar>
              <w:top w:w="28" w:type="dxa"/>
              <w:left w:w="28" w:type="dxa"/>
            </w:tcMar>
          </w:tcPr>
          <w:p w14:paraId="30D943D2"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1A0B94FA" w14:textId="77777777" w:rsidR="008F47B8" w:rsidRPr="006D52A9" w:rsidRDefault="008F47B8" w:rsidP="00FB6D2D">
            <w:pPr>
              <w:pStyle w:val="mps3-data"/>
              <w:spacing w:before="0" w:after="0"/>
              <w:rPr>
                <w:szCs w:val="16"/>
              </w:rPr>
            </w:pPr>
            <w:r w:rsidRPr="006D52A9">
              <w:rPr>
                <w:rFonts w:eastAsia="SimSun"/>
                <w:szCs w:val="16"/>
              </w:rPr>
              <w:t>Severe active granulomatosis with polyangiitis (Wegeners granulomatosis)</w:t>
            </w:r>
            <w:r w:rsidRPr="006D52A9">
              <w:rPr>
                <w:rFonts w:eastAsia="SimSun"/>
                <w:szCs w:val="16"/>
              </w:rPr>
              <w:br/>
              <w:t>Induction of remission</w:t>
            </w:r>
            <w:r w:rsidRPr="006D52A9">
              <w:rPr>
                <w:rFonts w:eastAsia="SimSun"/>
                <w:szCs w:val="16"/>
              </w:rPr>
              <w:br/>
              <w:t>The treatment must be for the induction of remission; AND</w:t>
            </w:r>
            <w:r w:rsidRPr="006D52A9">
              <w:rPr>
                <w:rFonts w:eastAsia="SimSun"/>
                <w:szCs w:val="16"/>
              </w:rPr>
              <w:br/>
              <w:t>Patient must not have previously received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of remission</w:t>
            </w:r>
            <w:r w:rsidRPr="006D52A9">
              <w:rPr>
                <w:rFonts w:eastAsia="SimSun"/>
                <w:szCs w:val="16"/>
              </w:rPr>
              <w:br/>
              <w:t>The authority application must be made in writing</w:t>
            </w:r>
          </w:p>
        </w:tc>
        <w:tc>
          <w:tcPr>
            <w:tcW w:w="929" w:type="pct"/>
            <w:tcBorders>
              <w:bottom w:val="single" w:sz="4" w:space="0" w:color="auto"/>
            </w:tcBorders>
            <w:shd w:val="clear" w:color="auto" w:fill="auto"/>
            <w:tcMar>
              <w:top w:w="28" w:type="dxa"/>
              <w:left w:w="28" w:type="dxa"/>
              <w:right w:w="57" w:type="dxa"/>
            </w:tcMar>
          </w:tcPr>
          <w:p w14:paraId="495EEB73"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Compliance with Written Authority Required procedures</w:t>
            </w:r>
          </w:p>
        </w:tc>
      </w:tr>
      <w:tr w:rsidR="008F47B8" w:rsidRPr="006D52A9" w:rsidDel="002B0452" w14:paraId="5E8822F7" w14:textId="77777777" w:rsidTr="00FB6D2D">
        <w:tc>
          <w:tcPr>
            <w:tcW w:w="647" w:type="pct"/>
            <w:tcBorders>
              <w:bottom w:val="single" w:sz="4" w:space="0" w:color="auto"/>
            </w:tcBorders>
            <w:shd w:val="clear" w:color="auto" w:fill="auto"/>
            <w:tcMar>
              <w:top w:w="28" w:type="dxa"/>
              <w:left w:w="28" w:type="dxa"/>
            </w:tcMar>
          </w:tcPr>
          <w:p w14:paraId="6F8C0AB3"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A835B6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C9446</w:t>
            </w:r>
          </w:p>
        </w:tc>
        <w:tc>
          <w:tcPr>
            <w:tcW w:w="274" w:type="pct"/>
            <w:tcBorders>
              <w:bottom w:val="single" w:sz="4" w:space="0" w:color="auto"/>
            </w:tcBorders>
            <w:shd w:val="clear" w:color="auto" w:fill="auto"/>
            <w:tcMar>
              <w:top w:w="28" w:type="dxa"/>
              <w:left w:w="28" w:type="dxa"/>
            </w:tcMar>
          </w:tcPr>
          <w:p w14:paraId="4C5576D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5BE32AA"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Subsequent continuing treatment</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treatment with this drug for this condition under the First continuing treatment restriction; AND</w:t>
            </w:r>
            <w:r w:rsidRPr="006D52A9">
              <w:rPr>
                <w:rFonts w:eastAsia="SimSun"/>
                <w:szCs w:val="16"/>
              </w:rPr>
              <w:br/>
              <w:t>Patient must have demonstrated an adequate response to treatment with this drug;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An adequate response to treatment is defined as:</w:t>
            </w:r>
            <w:r w:rsidRPr="006D52A9">
              <w:rPr>
                <w:rFonts w:eastAsia="SimSun"/>
                <w:szCs w:val="16"/>
              </w:rPr>
              <w:br/>
            </w:r>
            <w:r w:rsidRPr="006D52A9">
              <w:rPr>
                <w:rFonts w:eastAsia="SimSun"/>
                <w:szCs w:val="16"/>
              </w:rPr>
              <w:lastRenderedPageBreak/>
              <w:t>an ESR no greater than 25 mm per hour or a CRP level no greater than 15 mg per L or either marker reduced by at least 20% from baseline;</w:t>
            </w:r>
            <w:r w:rsidRPr="006D52A9">
              <w:rPr>
                <w:rFonts w:eastAsia="SimSun"/>
                <w:szCs w:val="16"/>
              </w:rPr>
              <w:br/>
              <w:t>AND either of the following:</w:t>
            </w:r>
            <w:r w:rsidRPr="006D52A9">
              <w:rPr>
                <w:rFonts w:eastAsia="SimSun"/>
                <w:szCs w:val="16"/>
              </w:rPr>
              <w:br/>
              <w:t>(a) a reduction in the total active (swollen and tender) joint count by at least 50% from baseline, where baseline is at least 20 active joints; or</w:t>
            </w:r>
            <w:r w:rsidRPr="006D52A9">
              <w:rPr>
                <w:rFonts w:eastAsia="SimSun"/>
                <w:szCs w:val="16"/>
              </w:rPr>
              <w:br/>
              <w:t>(b) a reduction in the number of the following active joints, from at least 4, by at least 50%:</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SimSun"/>
                <w:szCs w:val="16"/>
              </w:rPr>
              <w:br/>
              <w:t>The measurement of response to the prior course of therapy must be documented in the patient’s medical notes.</w:t>
            </w:r>
            <w:r w:rsidRPr="006D52A9">
              <w:rPr>
                <w:rFonts w:eastAsia="SimSun"/>
                <w:szCs w:val="16"/>
              </w:rPr>
              <w:br/>
              <w:t>If a patient has either failed or ceased to respond to a PBS</w:t>
            </w:r>
            <w:r w:rsidR="0026100E">
              <w:rPr>
                <w:rFonts w:eastAsia="SimSun"/>
                <w:szCs w:val="16"/>
              </w:rPr>
              <w:noBreakHyphen/>
            </w:r>
            <w:r w:rsidRPr="006D52A9">
              <w:rPr>
                <w:rFonts w:eastAsia="SimSun"/>
                <w:szCs w:val="16"/>
              </w:rPr>
              <w:t>subsidised biological medicine for this condition 5 times, they will not be eligible to receive further PBS</w:t>
            </w:r>
            <w:r w:rsidR="0026100E">
              <w:rPr>
                <w:rFonts w:eastAsia="SimSun"/>
                <w:szCs w:val="16"/>
              </w:rPr>
              <w:noBreakHyphen/>
            </w:r>
            <w:r w:rsidRPr="006D52A9">
              <w:rPr>
                <w:rFonts w:eastAsia="SimSun"/>
                <w:szCs w:val="16"/>
              </w:rPr>
              <w:t>subsidised treatment with a biological medicine for this condition.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p>
        </w:tc>
        <w:tc>
          <w:tcPr>
            <w:tcW w:w="929" w:type="pct"/>
            <w:tcBorders>
              <w:bottom w:val="single" w:sz="4" w:space="0" w:color="auto"/>
            </w:tcBorders>
            <w:shd w:val="clear" w:color="auto" w:fill="auto"/>
            <w:tcMar>
              <w:top w:w="28" w:type="dxa"/>
              <w:left w:w="28" w:type="dxa"/>
              <w:right w:w="57" w:type="dxa"/>
            </w:tcMar>
          </w:tcPr>
          <w:p w14:paraId="6CAA5B94"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9446</w:t>
            </w:r>
          </w:p>
        </w:tc>
      </w:tr>
      <w:tr w:rsidR="008F47B8" w:rsidRPr="006D52A9" w:rsidDel="002B0452" w14:paraId="7EA870C1" w14:textId="77777777" w:rsidTr="00FB6D2D">
        <w:tc>
          <w:tcPr>
            <w:tcW w:w="647" w:type="pct"/>
            <w:tcBorders>
              <w:bottom w:val="single" w:sz="4" w:space="0" w:color="auto"/>
            </w:tcBorders>
            <w:shd w:val="clear" w:color="auto" w:fill="auto"/>
            <w:tcMar>
              <w:top w:w="28" w:type="dxa"/>
              <w:left w:w="28" w:type="dxa"/>
            </w:tcMar>
          </w:tcPr>
          <w:p w14:paraId="27B254A5"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7F65FB87"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C9448</w:t>
            </w:r>
          </w:p>
        </w:tc>
        <w:tc>
          <w:tcPr>
            <w:tcW w:w="274" w:type="pct"/>
            <w:tcBorders>
              <w:bottom w:val="single" w:sz="4" w:space="0" w:color="auto"/>
            </w:tcBorders>
            <w:shd w:val="clear" w:color="auto" w:fill="auto"/>
            <w:tcMar>
              <w:top w:w="28" w:type="dxa"/>
              <w:left w:w="28" w:type="dxa"/>
            </w:tcMar>
          </w:tcPr>
          <w:p w14:paraId="066F7616"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7D11F032"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 xml:space="preserve">Initial treatment </w:t>
            </w:r>
            <w:r w:rsidR="0026100E">
              <w:rPr>
                <w:rFonts w:eastAsia="SimSun"/>
                <w:szCs w:val="16"/>
              </w:rPr>
              <w:noBreakHyphen/>
            </w:r>
            <w:r w:rsidRPr="006D52A9">
              <w:rPr>
                <w:rFonts w:eastAsia="SimSun"/>
                <w:szCs w:val="16"/>
              </w:rPr>
              <w:t xml:space="preserve"> Initial 2 (change or recommencement of treatment after a break in biological medicine of less than 24 months)</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received prior PBS</w:t>
            </w:r>
            <w:r w:rsidR="0026100E">
              <w:rPr>
                <w:rFonts w:eastAsia="SimSun"/>
                <w:szCs w:val="16"/>
              </w:rPr>
              <w:noBreakHyphen/>
            </w:r>
            <w:r w:rsidRPr="006D52A9">
              <w:rPr>
                <w:rFonts w:eastAsia="SimSun"/>
                <w:szCs w:val="16"/>
              </w:rPr>
              <w:t>subsidised treatment with a biological medicine for this condition; AND</w:t>
            </w:r>
            <w:r w:rsidRPr="006D52A9">
              <w:rPr>
                <w:rFonts w:eastAsia="SimSun"/>
                <w:szCs w:val="16"/>
              </w:rPr>
              <w:br/>
              <w:t>Patient must have failed to respond to at least 1 PBS</w:t>
            </w:r>
            <w:r w:rsidR="0026100E">
              <w:rPr>
                <w:rFonts w:eastAsia="SimSun"/>
                <w:szCs w:val="16"/>
              </w:rPr>
              <w:noBreakHyphen/>
            </w:r>
            <w:r w:rsidRPr="006D52A9">
              <w:rPr>
                <w:rFonts w:eastAsia="SimSun"/>
                <w:szCs w:val="16"/>
              </w:rPr>
              <w:t>subsidised tumour necrosis factor (TNF) alfa antagonist for this condition; AND</w:t>
            </w:r>
            <w:r w:rsidRPr="006D52A9">
              <w:rPr>
                <w:rFonts w:eastAsia="SimSun"/>
                <w:szCs w:val="16"/>
              </w:rPr>
              <w:br/>
              <w:t>Patient must not have failed to respond to previous PBS</w:t>
            </w:r>
            <w:r w:rsidR="0026100E">
              <w:rPr>
                <w:rFonts w:eastAsia="SimSun"/>
                <w:szCs w:val="16"/>
              </w:rPr>
              <w:noBreakHyphen/>
            </w:r>
            <w:r w:rsidRPr="006D52A9">
              <w:rPr>
                <w:rFonts w:eastAsia="SimSun"/>
                <w:szCs w:val="16"/>
              </w:rPr>
              <w:t>subsidised treatment with this drug for this condition; AND</w:t>
            </w:r>
            <w:r w:rsidRPr="006D52A9">
              <w:rPr>
                <w:rFonts w:eastAsia="SimSun"/>
                <w:szCs w:val="16"/>
              </w:rPr>
              <w:br/>
              <w:t>Patient must not have already failed , or ceased to respond to, PBS</w:t>
            </w:r>
            <w:r w:rsidR="0026100E">
              <w:rPr>
                <w:rFonts w:eastAsia="SimSun"/>
                <w:szCs w:val="16"/>
              </w:rPr>
              <w:noBreakHyphen/>
            </w:r>
            <w:r w:rsidRPr="006D52A9">
              <w:rPr>
                <w:rFonts w:eastAsia="SimSun"/>
                <w:szCs w:val="16"/>
              </w:rPr>
              <w:t>subsidised biological medicine treatment for this condition 5 times; AND</w:t>
            </w:r>
            <w:r w:rsidRPr="006D52A9">
              <w:rPr>
                <w:rFonts w:eastAsia="SimSun"/>
                <w:szCs w:val="16"/>
              </w:rPr>
              <w:br/>
              <w:t>Patient must not receive more than 2 infusions of this drug under this restriction;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An adequate response to treatment is defined as:</w:t>
            </w:r>
            <w:r w:rsidRPr="006D52A9">
              <w:rPr>
                <w:rFonts w:eastAsia="SimSun"/>
                <w:szCs w:val="16"/>
              </w:rPr>
              <w:br/>
              <w:t>an ESR no greater than 25 mm per hour or a CRP level no greater than 15 mg per L or either marker reduced by at least 20% from baseline;</w:t>
            </w:r>
            <w:r w:rsidRPr="006D52A9">
              <w:rPr>
                <w:rFonts w:eastAsia="SimSun"/>
                <w:szCs w:val="16"/>
              </w:rPr>
              <w:br/>
            </w:r>
            <w:r w:rsidRPr="006D52A9">
              <w:rPr>
                <w:rFonts w:eastAsia="SimSun"/>
                <w:szCs w:val="16"/>
              </w:rPr>
              <w:lastRenderedPageBreak/>
              <w:t>AND either of the following:</w:t>
            </w:r>
            <w:r w:rsidRPr="006D52A9">
              <w:rPr>
                <w:rFonts w:eastAsia="SimSun"/>
                <w:szCs w:val="16"/>
              </w:rPr>
              <w:br/>
              <w:t>(a) a reduction in the total active (swollen and tender) joint count by at least 50% from baseline, where baseline is at least 20 active joints; or</w:t>
            </w:r>
            <w:r w:rsidRPr="006D52A9">
              <w:rPr>
                <w:rFonts w:eastAsia="SimSun"/>
                <w:szCs w:val="16"/>
              </w:rPr>
              <w:br/>
              <w:t>(b) a reduction in the number of the following active joints, from at least 4, by at least 50%:</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An application for a patient who has received PBS</w:t>
            </w:r>
            <w:r w:rsidR="0026100E">
              <w:rPr>
                <w:rFonts w:eastAsia="SimSun"/>
                <w:szCs w:val="16"/>
              </w:rPr>
              <w:noBreakHyphen/>
            </w:r>
            <w:r w:rsidRPr="006D52A9">
              <w:rPr>
                <w:rFonts w:eastAsia="SimSun"/>
                <w:szCs w:val="16"/>
              </w:rPr>
              <w:t>subsidised treatment with this drug and who wishes to re</w:t>
            </w:r>
            <w:r w:rsidR="0026100E">
              <w:rPr>
                <w:rFonts w:eastAsia="SimSun"/>
                <w:szCs w:val="16"/>
              </w:rPr>
              <w:noBreakHyphen/>
            </w:r>
            <w:r w:rsidRPr="006D52A9">
              <w:rPr>
                <w:rFonts w:eastAsia="SimSun"/>
                <w:szCs w:val="16"/>
              </w:rPr>
              <w:t>commence therapy with this drug, must be accompanied by evidence of a response to the patient’s most recent course of PBS</w:t>
            </w:r>
            <w:r w:rsidR="0026100E">
              <w:rPr>
                <w:rFonts w:eastAsia="SimSun"/>
                <w:szCs w:val="16"/>
              </w:rPr>
              <w:noBreakHyphen/>
            </w:r>
            <w:r w:rsidRPr="006D52A9">
              <w:rPr>
                <w:rFonts w:eastAsia="SimSun"/>
                <w:szCs w:val="16"/>
              </w:rPr>
              <w:t>subsidised treatment with this drug, within the timeframes specified below.</w:t>
            </w:r>
            <w:r w:rsidRPr="006D52A9">
              <w:rPr>
                <w:rFonts w:eastAsia="SimSun"/>
                <w:szCs w:val="16"/>
              </w:rPr>
              <w:br/>
              <w:t>Where the most recent course of PBS</w:t>
            </w:r>
            <w:r w:rsidR="0026100E">
              <w:rPr>
                <w:rFonts w:eastAsia="SimSun"/>
                <w:szCs w:val="16"/>
              </w:rPr>
              <w:noBreakHyphen/>
            </w:r>
            <w:r w:rsidRPr="006D52A9">
              <w:rPr>
                <w:rFonts w:eastAsia="SimSun"/>
                <w:szCs w:val="16"/>
              </w:rPr>
              <w:t>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r w:rsidRPr="006D52A9">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6D52A9">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SimSun"/>
                <w:szCs w:val="16"/>
              </w:rPr>
              <w:br/>
              <w:t>A patient whose most recent course of PBS</w:t>
            </w:r>
            <w:r w:rsidR="0026100E">
              <w:rPr>
                <w:rFonts w:eastAsia="SimSun"/>
                <w:szCs w:val="16"/>
              </w:rPr>
              <w:noBreakHyphen/>
            </w:r>
            <w:r w:rsidRPr="006D52A9">
              <w:rPr>
                <w:rFonts w:eastAsia="SimSun"/>
                <w:szCs w:val="16"/>
              </w:rPr>
              <w:t>subsidised therapy was with this drug and whose response to this treatment is demonstrated at 12 weeks, may apply for a further course of this drug under the First continuing treatment restriction.</w:t>
            </w:r>
            <w:r w:rsidRPr="006D52A9">
              <w:rPr>
                <w:rFonts w:eastAsia="SimSun"/>
                <w:szCs w:val="16"/>
              </w:rPr>
              <w:br/>
              <w:t>The authority application must be made in writing and must include:</w:t>
            </w:r>
            <w:r w:rsidRPr="006D52A9">
              <w:rPr>
                <w:rFonts w:eastAsia="SimSun"/>
                <w:szCs w:val="16"/>
              </w:rPr>
              <w:br/>
              <w:t>(1) a completed authority prescription form(s); and</w:t>
            </w:r>
            <w:r w:rsidRPr="006D52A9">
              <w:rPr>
                <w:rFonts w:eastAsia="SimSun"/>
                <w:szCs w:val="16"/>
              </w:rPr>
              <w:br/>
              <w:t xml:space="preserve">(2) a completed Rheumatoid Arthritis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sidR="0026100E">
              <w:rPr>
                <w:rFonts w:eastAsia="SimSun"/>
                <w:szCs w:val="16"/>
              </w:rPr>
              <w:noBreakHyphen/>
            </w:r>
            <w:r w:rsidRPr="006D52A9">
              <w:rPr>
                <w:rFonts w:eastAsia="SimSun"/>
                <w:szCs w:val="16"/>
              </w:rPr>
              <w:t>free period.</w:t>
            </w:r>
          </w:p>
        </w:tc>
        <w:tc>
          <w:tcPr>
            <w:tcW w:w="929" w:type="pct"/>
            <w:tcBorders>
              <w:bottom w:val="single" w:sz="4" w:space="0" w:color="auto"/>
            </w:tcBorders>
            <w:shd w:val="clear" w:color="auto" w:fill="auto"/>
            <w:tcMar>
              <w:top w:w="28" w:type="dxa"/>
              <w:left w:w="28" w:type="dxa"/>
              <w:right w:w="57" w:type="dxa"/>
            </w:tcMar>
          </w:tcPr>
          <w:p w14:paraId="3438B5EF"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07D944F6" w14:textId="77777777" w:rsidTr="00FB6D2D">
        <w:tc>
          <w:tcPr>
            <w:tcW w:w="647" w:type="pct"/>
            <w:tcBorders>
              <w:bottom w:val="single" w:sz="4" w:space="0" w:color="auto"/>
            </w:tcBorders>
            <w:shd w:val="clear" w:color="auto" w:fill="auto"/>
            <w:tcMar>
              <w:top w:w="28" w:type="dxa"/>
              <w:left w:w="28" w:type="dxa"/>
            </w:tcMar>
          </w:tcPr>
          <w:p w14:paraId="1EFAA1A3"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1017B81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C9449</w:t>
            </w:r>
          </w:p>
        </w:tc>
        <w:tc>
          <w:tcPr>
            <w:tcW w:w="274" w:type="pct"/>
            <w:tcBorders>
              <w:bottom w:val="single" w:sz="4" w:space="0" w:color="auto"/>
            </w:tcBorders>
            <w:shd w:val="clear" w:color="auto" w:fill="auto"/>
            <w:tcMar>
              <w:top w:w="28" w:type="dxa"/>
              <w:left w:w="28" w:type="dxa"/>
            </w:tcMar>
          </w:tcPr>
          <w:p w14:paraId="78FD3372"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24ABA35D"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 xml:space="preserve">Initial treatment </w:t>
            </w:r>
            <w:r w:rsidR="0026100E">
              <w:rPr>
                <w:rFonts w:eastAsia="SimSun"/>
                <w:szCs w:val="16"/>
              </w:rPr>
              <w:noBreakHyphen/>
            </w:r>
            <w:r w:rsidRPr="006D52A9">
              <w:rPr>
                <w:rFonts w:eastAsia="SimSun"/>
                <w:szCs w:val="16"/>
              </w:rPr>
              <w:t xml:space="preserve"> Initial 3 (recommencement of treatment after a break in biological medicine of more </w:t>
            </w:r>
            <w:r w:rsidRPr="006D52A9">
              <w:rPr>
                <w:rFonts w:eastAsia="SimSun"/>
                <w:szCs w:val="16"/>
              </w:rPr>
              <w:lastRenderedPageBreak/>
              <w:t>than 24 months)</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treatment with a biological medicine for this condition; AND</w:t>
            </w:r>
            <w:r w:rsidRPr="006D52A9">
              <w:rPr>
                <w:rFonts w:eastAsia="SimSun"/>
                <w:szCs w:val="16"/>
              </w:rPr>
              <w:br/>
              <w:t>Patient must have a break in treatment of 24 months or more from the most recent PBS</w:t>
            </w:r>
            <w:r w:rsidR="0026100E">
              <w:rPr>
                <w:rFonts w:eastAsia="SimSun"/>
                <w:szCs w:val="16"/>
              </w:rPr>
              <w:noBreakHyphen/>
            </w:r>
            <w:r w:rsidRPr="006D52A9">
              <w:rPr>
                <w:rFonts w:eastAsia="SimSun"/>
                <w:szCs w:val="16"/>
              </w:rPr>
              <w:t>subsidised biological medicine for this condition; AND</w:t>
            </w:r>
            <w:r w:rsidRPr="006D52A9">
              <w:rPr>
                <w:rFonts w:eastAsia="SimSun"/>
                <w:szCs w:val="16"/>
              </w:rPr>
              <w:br/>
              <w:t>Patient must have failed to respond to at least 1 PBS</w:t>
            </w:r>
            <w:r w:rsidR="0026100E">
              <w:rPr>
                <w:rFonts w:eastAsia="SimSun"/>
                <w:szCs w:val="16"/>
              </w:rPr>
              <w:noBreakHyphen/>
            </w:r>
            <w:r w:rsidRPr="006D52A9">
              <w:rPr>
                <w:rFonts w:eastAsia="SimSun"/>
                <w:szCs w:val="16"/>
              </w:rPr>
              <w:t>subsidised tumour necrosis factor (TNF) alfa antagonist for this condition; AND</w:t>
            </w:r>
            <w:r w:rsidRPr="006D52A9">
              <w:rPr>
                <w:rFonts w:eastAsia="SimSun"/>
                <w:szCs w:val="16"/>
              </w:rPr>
              <w:br/>
              <w:t>Patient must not have failed to respond to previous PBS</w:t>
            </w:r>
            <w:r w:rsidR="0026100E">
              <w:rPr>
                <w:rFonts w:eastAsia="SimSun"/>
                <w:szCs w:val="16"/>
              </w:rPr>
              <w:noBreakHyphen/>
            </w:r>
            <w:r w:rsidRPr="006D52A9">
              <w:rPr>
                <w:rFonts w:eastAsia="SimSun"/>
                <w:szCs w:val="16"/>
              </w:rPr>
              <w:t>subsidised treatment with this drug for this condition; AND</w:t>
            </w:r>
            <w:r w:rsidRPr="006D52A9">
              <w:rPr>
                <w:rFonts w:eastAsia="SimSun"/>
                <w:szCs w:val="16"/>
              </w:rPr>
              <w:br/>
              <w:t>Patient must not have already failed , or ceased to respond to, PBS</w:t>
            </w:r>
            <w:r w:rsidR="0026100E">
              <w:rPr>
                <w:rFonts w:eastAsia="SimSun"/>
                <w:szCs w:val="16"/>
              </w:rPr>
              <w:noBreakHyphen/>
            </w:r>
            <w:r w:rsidRPr="006D52A9">
              <w:rPr>
                <w:rFonts w:eastAsia="SimSun"/>
                <w:szCs w:val="16"/>
              </w:rPr>
              <w:t>subsidised biological medicine treatment for this condition 5 times; AND</w:t>
            </w:r>
            <w:r w:rsidRPr="006D52A9">
              <w:rPr>
                <w:rFonts w:eastAsia="SimSun"/>
                <w:szCs w:val="16"/>
              </w:rPr>
              <w:br/>
              <w:t>The condition must have an elevated erythrocyte sedimentation rate (ESR) greater than 25 mm per hour; OR</w:t>
            </w:r>
            <w:r w:rsidRPr="006D52A9">
              <w:rPr>
                <w:rFonts w:eastAsia="SimSun"/>
                <w:szCs w:val="16"/>
              </w:rPr>
              <w:br/>
              <w:t>The condition must have a C</w:t>
            </w:r>
            <w:r w:rsidR="0026100E">
              <w:rPr>
                <w:rFonts w:eastAsia="SimSun"/>
                <w:szCs w:val="16"/>
              </w:rPr>
              <w:noBreakHyphen/>
            </w:r>
            <w:r w:rsidRPr="006D52A9">
              <w:rPr>
                <w:rFonts w:eastAsia="SimSun"/>
                <w:szCs w:val="16"/>
              </w:rPr>
              <w:t>reactive protein (CRP) level greater than 15 mg per L; AND</w:t>
            </w:r>
            <w:r w:rsidRPr="006D52A9">
              <w:rPr>
                <w:rFonts w:eastAsia="SimSun"/>
                <w:szCs w:val="16"/>
              </w:rPr>
              <w:br/>
              <w:t>The condition must have either (a) a total active joint count of at least 20 active (swollen and tender) joints; or (b) at least 4 active major joints; AND</w:t>
            </w:r>
            <w:r w:rsidRPr="006D52A9">
              <w:rPr>
                <w:rFonts w:eastAsia="SimSun"/>
                <w:szCs w:val="16"/>
              </w:rPr>
              <w:br/>
              <w:t>Patient must not receive more than 2 infusions of this drug under this restriction;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All measures of joint count and ESR and/or CRP must be no more than one month old at the time of initial application.</w:t>
            </w:r>
            <w:r w:rsidRPr="006D52A9">
              <w:rPr>
                <w:rFonts w:eastAsia="SimSun"/>
                <w:szCs w:val="16"/>
              </w:rPr>
              <w:br/>
              <w:t>If the above requirement to demonstrate an elevated ESR or CRP cannot be met, the application must state the reasons why this criterion cannot be satisfied.</w:t>
            </w:r>
            <w:r w:rsidRPr="006D52A9">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SimSun"/>
                <w:szCs w:val="16"/>
              </w:rPr>
              <w:br/>
              <w:t>The authority application must be made in writing and must include:</w:t>
            </w:r>
            <w:r w:rsidRPr="006D52A9">
              <w:rPr>
                <w:rFonts w:eastAsia="SimSun"/>
                <w:szCs w:val="16"/>
              </w:rPr>
              <w:br/>
              <w:t>(1) a completed authority prescription form(s); and</w:t>
            </w:r>
            <w:r w:rsidRPr="006D52A9">
              <w:rPr>
                <w:rFonts w:eastAsia="SimSun"/>
                <w:szCs w:val="16"/>
              </w:rPr>
              <w:br/>
              <w:t xml:space="preserve">(2) a completed Rheumatoid Arthritis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It is recommended that an assessment of a patient’s response is conducted following a minimum of 12 weeks of therapy and no later than 4 weeks from the completion of the most recent course of treatment.</w:t>
            </w:r>
            <w:r w:rsidRPr="006D52A9">
              <w:rPr>
                <w:rFonts w:eastAsia="SimSun"/>
                <w:szCs w:val="16"/>
              </w:rPr>
              <w:br/>
              <w:t xml:space="preserve">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w:t>
            </w:r>
            <w:r w:rsidRPr="006D52A9">
              <w:rPr>
                <w:rFonts w:eastAsia="SimSun"/>
                <w:szCs w:val="16"/>
              </w:rPr>
              <w:lastRenderedPageBreak/>
              <w:t>Department of Human Services no later than 1 month from the date of completion of the most recent course of treatment. This is to ensure continuity of treatment for those who meet the continuing restriction for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SimSun"/>
                <w:szCs w:val="16"/>
              </w:rPr>
              <w:br/>
              <w:t>A patient whose most recent course of PBS</w:t>
            </w:r>
            <w:r w:rsidR="0026100E">
              <w:rPr>
                <w:rFonts w:eastAsia="SimSun"/>
                <w:szCs w:val="16"/>
              </w:rPr>
              <w:noBreakHyphen/>
            </w:r>
            <w:r w:rsidRPr="006D52A9">
              <w:rPr>
                <w:rFonts w:eastAsia="SimSun"/>
                <w:szCs w:val="16"/>
              </w:rPr>
              <w:t>subsidised therapy was with this drug and whose response to this treatment is demonstrated at 12 weeks, may apply for a further course of this drug under the First continuing treatment restriction.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sidR="0026100E">
              <w:rPr>
                <w:rFonts w:eastAsia="SimSun"/>
                <w:szCs w:val="16"/>
              </w:rPr>
              <w:noBreakHyphen/>
            </w:r>
            <w:r w:rsidRPr="006D52A9">
              <w:rPr>
                <w:rFonts w:eastAsia="SimSun"/>
                <w:szCs w:val="16"/>
              </w:rPr>
              <w:t>free period.</w:t>
            </w:r>
          </w:p>
        </w:tc>
        <w:tc>
          <w:tcPr>
            <w:tcW w:w="929" w:type="pct"/>
            <w:tcBorders>
              <w:bottom w:val="single" w:sz="4" w:space="0" w:color="auto"/>
            </w:tcBorders>
            <w:shd w:val="clear" w:color="auto" w:fill="auto"/>
            <w:tcMar>
              <w:top w:w="28" w:type="dxa"/>
              <w:left w:w="28" w:type="dxa"/>
              <w:right w:w="57" w:type="dxa"/>
            </w:tcMar>
          </w:tcPr>
          <w:p w14:paraId="67A6DF81"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3AC40A85" w14:textId="77777777" w:rsidTr="00FB6D2D">
        <w:tc>
          <w:tcPr>
            <w:tcW w:w="647" w:type="pct"/>
            <w:tcBorders>
              <w:bottom w:val="single" w:sz="4" w:space="0" w:color="auto"/>
            </w:tcBorders>
            <w:shd w:val="clear" w:color="auto" w:fill="auto"/>
            <w:tcMar>
              <w:top w:w="28" w:type="dxa"/>
              <w:left w:w="28" w:type="dxa"/>
            </w:tcMar>
          </w:tcPr>
          <w:p w14:paraId="353756D4"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270AC51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C9450</w:t>
            </w:r>
          </w:p>
        </w:tc>
        <w:tc>
          <w:tcPr>
            <w:tcW w:w="274" w:type="pct"/>
            <w:tcBorders>
              <w:bottom w:val="single" w:sz="4" w:space="0" w:color="auto"/>
            </w:tcBorders>
            <w:shd w:val="clear" w:color="auto" w:fill="auto"/>
            <w:tcMar>
              <w:top w:w="28" w:type="dxa"/>
              <w:left w:w="28" w:type="dxa"/>
            </w:tcMar>
          </w:tcPr>
          <w:p w14:paraId="6338583A"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039D847D"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First continuing treatment</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received this drug as their most recent course of PBS</w:t>
            </w:r>
            <w:r w:rsidR="0026100E">
              <w:rPr>
                <w:rFonts w:eastAsia="SimSun"/>
                <w:szCs w:val="16"/>
              </w:rPr>
              <w:noBreakHyphen/>
            </w:r>
            <w:r w:rsidRPr="006D52A9">
              <w:rPr>
                <w:rFonts w:eastAsia="SimSun"/>
                <w:szCs w:val="16"/>
              </w:rPr>
              <w:t>subsidised biological medicine treatment for this condition; AND</w:t>
            </w:r>
            <w:r w:rsidRPr="006D52A9">
              <w:rPr>
                <w:rFonts w:eastAsia="SimSun"/>
                <w:szCs w:val="16"/>
              </w:rPr>
              <w:br/>
              <w:t>Patient must have demonstrated an adequate response to treatment with this drug; AND</w:t>
            </w:r>
            <w:r w:rsidRPr="006D52A9">
              <w:rPr>
                <w:rFonts w:eastAsia="SimSun"/>
                <w:szCs w:val="16"/>
              </w:rPr>
              <w:br/>
              <w:t>Patient must not receive more than 2 infusions of this drug under this restriction;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An adequate response to treatment is defined as:</w:t>
            </w:r>
            <w:r w:rsidRPr="006D52A9">
              <w:rPr>
                <w:rFonts w:eastAsia="SimSun"/>
                <w:szCs w:val="16"/>
              </w:rPr>
              <w:br/>
              <w:t>an ESR no greater than 25 mm per hour or a CRP level no greater than 15 mg per L or either marker reduced by at least 20% from baseline;</w:t>
            </w:r>
            <w:r w:rsidRPr="006D52A9">
              <w:rPr>
                <w:rFonts w:eastAsia="SimSun"/>
                <w:szCs w:val="16"/>
              </w:rPr>
              <w:br/>
              <w:t>AND either of the following:</w:t>
            </w:r>
            <w:r w:rsidRPr="006D52A9">
              <w:rPr>
                <w:rFonts w:eastAsia="SimSun"/>
                <w:szCs w:val="16"/>
              </w:rPr>
              <w:br/>
              <w:t>(a) a reduction in the total active (swollen and tender) joint count by at least 50% from baseline, where baseline is at least 20 active joints; or</w:t>
            </w:r>
            <w:r w:rsidRPr="006D52A9">
              <w:rPr>
                <w:rFonts w:eastAsia="SimSun"/>
                <w:szCs w:val="16"/>
              </w:rPr>
              <w:br/>
              <w:t>(b) a reduction in the number of the following active joints, from at least 4, by at least 50%:</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SimSun"/>
                <w:szCs w:val="16"/>
              </w:rPr>
              <w:br/>
              <w:t>The authority application must be made in writing and must include:</w:t>
            </w:r>
            <w:r w:rsidRPr="006D52A9">
              <w:rPr>
                <w:rFonts w:eastAsia="SimSun"/>
                <w:szCs w:val="16"/>
              </w:rPr>
              <w:br/>
            </w:r>
            <w:r w:rsidRPr="006D52A9">
              <w:rPr>
                <w:rFonts w:eastAsia="SimSun"/>
                <w:szCs w:val="16"/>
              </w:rPr>
              <w:lastRenderedPageBreak/>
              <w:t>(1) a completed authority prescription form(s); and</w:t>
            </w:r>
            <w:r w:rsidRPr="006D52A9">
              <w:rPr>
                <w:rFonts w:eastAsia="SimSun"/>
                <w:szCs w:val="16"/>
              </w:rPr>
              <w:br/>
              <w:t xml:space="preserve">(2) a completed Rheumatoid Arthritis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A patient may qualify to receive a further course of treatment (every 24 weeks) with this drug provided they have demonstrated an adequate response to treatment following a minimum of 12 weeks after the first infusion of their most recent treatment with this drug. The demonstration of response must be submitted within 4 weeks of assessment.</w:t>
            </w:r>
            <w:r w:rsidRPr="006D52A9">
              <w:rPr>
                <w:rFonts w:eastAsia="SimSun"/>
                <w:szCs w:val="16"/>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eastAsia="SimSun"/>
                <w:szCs w:val="16"/>
              </w:rPr>
              <w:br/>
              <w:t>If a patient has either failed or ceased to respond to a PBS</w:t>
            </w:r>
            <w:r w:rsidR="0026100E">
              <w:rPr>
                <w:rFonts w:eastAsia="SimSun"/>
                <w:szCs w:val="16"/>
              </w:rPr>
              <w:noBreakHyphen/>
            </w:r>
            <w:r w:rsidRPr="006D52A9">
              <w:rPr>
                <w:rFonts w:eastAsia="SimSun"/>
                <w:szCs w:val="16"/>
              </w:rPr>
              <w:t>subsidised biological medicine for this condition 5 times, they will not be eligible to receive further PBS</w:t>
            </w:r>
            <w:r w:rsidR="0026100E">
              <w:rPr>
                <w:rFonts w:eastAsia="SimSun"/>
                <w:szCs w:val="16"/>
              </w:rPr>
              <w:noBreakHyphen/>
            </w:r>
            <w:r w:rsidRPr="006D52A9">
              <w:rPr>
                <w:rFonts w:eastAsia="SimSun"/>
                <w:szCs w:val="16"/>
              </w:rPr>
              <w:t>subsidised treatment with a biological medicine for this condition.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p>
        </w:tc>
        <w:tc>
          <w:tcPr>
            <w:tcW w:w="929" w:type="pct"/>
            <w:tcBorders>
              <w:bottom w:val="single" w:sz="4" w:space="0" w:color="auto"/>
            </w:tcBorders>
            <w:shd w:val="clear" w:color="auto" w:fill="auto"/>
            <w:tcMar>
              <w:top w:w="28" w:type="dxa"/>
              <w:left w:w="28" w:type="dxa"/>
              <w:right w:w="57" w:type="dxa"/>
            </w:tcMar>
          </w:tcPr>
          <w:p w14:paraId="4CF0539A"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54344A74" w14:textId="77777777" w:rsidTr="00FB6D2D">
        <w:tc>
          <w:tcPr>
            <w:tcW w:w="647" w:type="pct"/>
            <w:tcBorders>
              <w:bottom w:val="single" w:sz="4" w:space="0" w:color="auto"/>
            </w:tcBorders>
            <w:shd w:val="clear" w:color="auto" w:fill="auto"/>
            <w:tcMar>
              <w:top w:w="28" w:type="dxa"/>
              <w:left w:w="28" w:type="dxa"/>
            </w:tcMar>
          </w:tcPr>
          <w:p w14:paraId="0DD4666A"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286998A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C9511</w:t>
            </w:r>
          </w:p>
        </w:tc>
        <w:tc>
          <w:tcPr>
            <w:tcW w:w="274" w:type="pct"/>
            <w:tcBorders>
              <w:bottom w:val="single" w:sz="4" w:space="0" w:color="auto"/>
            </w:tcBorders>
            <w:shd w:val="clear" w:color="auto" w:fill="auto"/>
            <w:tcMar>
              <w:top w:w="28" w:type="dxa"/>
              <w:left w:w="28" w:type="dxa"/>
            </w:tcMar>
          </w:tcPr>
          <w:p w14:paraId="7612BFBE"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852E43E" w14:textId="77777777" w:rsidR="008F47B8" w:rsidRPr="006D52A9" w:rsidRDefault="008F47B8" w:rsidP="00FB6D2D">
            <w:pPr>
              <w:pStyle w:val="mps3-data"/>
              <w:spacing w:before="0" w:after="0"/>
              <w:rPr>
                <w:szCs w:val="16"/>
              </w:rPr>
            </w:pPr>
            <w:r w:rsidRPr="006D52A9">
              <w:rPr>
                <w:rFonts w:eastAsia="SimSun"/>
                <w:szCs w:val="16"/>
              </w:rPr>
              <w:t>Severe active microscopic polyangiitis</w:t>
            </w:r>
            <w:r w:rsidRPr="006D52A9">
              <w:rPr>
                <w:rFonts w:eastAsia="SimSun"/>
                <w:szCs w:val="16"/>
              </w:rPr>
              <w:br/>
              <w:t>Induction of remission</w:t>
            </w:r>
            <w:r w:rsidRPr="006D52A9">
              <w:rPr>
                <w:rFonts w:eastAsia="SimSun"/>
                <w:szCs w:val="16"/>
              </w:rPr>
              <w:br/>
              <w:t>The treatment must be for the induction of remission; AND</w:t>
            </w:r>
            <w:r w:rsidRPr="006D52A9">
              <w:rPr>
                <w:rFonts w:eastAsia="SimSun"/>
                <w:szCs w:val="16"/>
              </w:rPr>
              <w:br/>
              <w:t>Patient must not have previously received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therapy.</w:t>
            </w:r>
            <w:r w:rsidRPr="006D52A9">
              <w:rPr>
                <w:rFonts w:eastAsia="SimSun"/>
                <w:szCs w:val="16"/>
              </w:rPr>
              <w:br/>
              <w:t>The authority application must be made in writing</w:t>
            </w:r>
          </w:p>
        </w:tc>
        <w:tc>
          <w:tcPr>
            <w:tcW w:w="929" w:type="pct"/>
            <w:tcBorders>
              <w:bottom w:val="single" w:sz="4" w:space="0" w:color="auto"/>
            </w:tcBorders>
            <w:shd w:val="clear" w:color="auto" w:fill="auto"/>
            <w:tcMar>
              <w:top w:w="28" w:type="dxa"/>
              <w:left w:w="28" w:type="dxa"/>
              <w:right w:w="57" w:type="dxa"/>
            </w:tcMar>
          </w:tcPr>
          <w:p w14:paraId="2F0B010E"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Compliance with Written Authority Required procedures</w:t>
            </w:r>
          </w:p>
        </w:tc>
      </w:tr>
      <w:tr w:rsidR="008F47B8" w:rsidRPr="006D52A9" w:rsidDel="002B0452" w14:paraId="2F159B1E" w14:textId="77777777" w:rsidTr="00FB6D2D">
        <w:tc>
          <w:tcPr>
            <w:tcW w:w="647" w:type="pct"/>
            <w:tcBorders>
              <w:bottom w:val="single" w:sz="4" w:space="0" w:color="auto"/>
            </w:tcBorders>
            <w:shd w:val="clear" w:color="auto" w:fill="auto"/>
            <w:tcMar>
              <w:top w:w="28" w:type="dxa"/>
              <w:left w:w="28" w:type="dxa"/>
            </w:tcMar>
          </w:tcPr>
          <w:p w14:paraId="75193235"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62A814F0"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C9512</w:t>
            </w:r>
          </w:p>
        </w:tc>
        <w:tc>
          <w:tcPr>
            <w:tcW w:w="274" w:type="pct"/>
            <w:tcBorders>
              <w:bottom w:val="single" w:sz="4" w:space="0" w:color="auto"/>
            </w:tcBorders>
            <w:shd w:val="clear" w:color="auto" w:fill="auto"/>
            <w:tcMar>
              <w:top w:w="28" w:type="dxa"/>
              <w:left w:w="28" w:type="dxa"/>
            </w:tcMar>
          </w:tcPr>
          <w:p w14:paraId="6538146D"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33748040"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t xml:space="preserve">Initial treatment </w:t>
            </w:r>
            <w:r w:rsidR="0026100E">
              <w:rPr>
                <w:rFonts w:eastAsia="SimSun"/>
                <w:szCs w:val="16"/>
              </w:rPr>
              <w:noBreakHyphen/>
            </w:r>
            <w:r w:rsidRPr="006D52A9">
              <w:rPr>
                <w:rFonts w:eastAsia="SimSun"/>
                <w:szCs w:val="16"/>
              </w:rPr>
              <w:t xml:space="preserve"> Initial 1 (new patient)</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failed to respond to at least 1 PBS</w:t>
            </w:r>
            <w:r w:rsidR="0026100E">
              <w:rPr>
                <w:rFonts w:eastAsia="SimSun"/>
                <w:szCs w:val="16"/>
              </w:rPr>
              <w:noBreakHyphen/>
            </w:r>
            <w:r w:rsidRPr="006D52A9">
              <w:rPr>
                <w:rFonts w:eastAsia="SimSun"/>
                <w:szCs w:val="16"/>
              </w:rPr>
              <w:t>subsidised tumour necrosis factor (TNF) alfa antagonist for this condition; AND</w:t>
            </w:r>
            <w:r w:rsidRPr="006D52A9">
              <w:rPr>
                <w:rFonts w:eastAsia="SimSun"/>
                <w:szCs w:val="16"/>
              </w:rPr>
              <w:br/>
              <w:t>Patient must have failed, in the 24 months immediately prior to the date of the application, to achieve an adequate response to a trial of at least 6 months of intensive treatment with disease modifying anti</w:t>
            </w:r>
            <w:r w:rsidR="0026100E">
              <w:rPr>
                <w:rFonts w:eastAsia="SimSun"/>
                <w:szCs w:val="16"/>
              </w:rPr>
              <w:noBreakHyphen/>
            </w:r>
            <w:r w:rsidRPr="006D52A9">
              <w:rPr>
                <w:rFonts w:eastAsia="SimSun"/>
                <w:szCs w:val="16"/>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D52A9">
              <w:rPr>
                <w:rFonts w:eastAsia="SimSun"/>
                <w:szCs w:val="16"/>
              </w:rPr>
              <w:br/>
            </w:r>
            <w:r w:rsidRPr="006D52A9">
              <w:rPr>
                <w:rFonts w:eastAsia="SimSun"/>
                <w:szCs w:val="16"/>
              </w:rPr>
              <w:lastRenderedPageBreak/>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26100E">
              <w:rPr>
                <w:rFonts w:eastAsia="SimSun"/>
                <w:szCs w:val="16"/>
              </w:rPr>
              <w:noBreakHyphen/>
            </w:r>
            <w:r w:rsidRPr="006D52A9">
              <w:rPr>
                <w:rFonts w:eastAsia="SimSun"/>
                <w:szCs w:val="16"/>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6D52A9">
              <w:rPr>
                <w:rFonts w:eastAsia="SimSun"/>
                <w:szCs w:val="16"/>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26100E">
              <w:rPr>
                <w:rFonts w:eastAsia="SimSun"/>
                <w:szCs w:val="16"/>
              </w:rPr>
              <w:noBreakHyphen/>
            </w:r>
            <w:r w:rsidRPr="006D52A9">
              <w:rPr>
                <w:rFonts w:eastAsia="SimSun"/>
                <w:szCs w:val="16"/>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6D52A9">
              <w:rPr>
                <w:rFonts w:eastAsia="SimSun"/>
                <w:szCs w:val="16"/>
              </w:rPr>
              <w:br/>
              <w:t>Patient must not receive more than 2 infusions of this drug under this restriction;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If methotrexate is contraindicated according to the TGA</w:t>
            </w:r>
            <w:r w:rsidR="0026100E">
              <w:rPr>
                <w:rFonts w:eastAsia="SimSun"/>
                <w:szCs w:val="16"/>
              </w:rPr>
              <w:noBreakHyphen/>
            </w:r>
            <w:r w:rsidRPr="006D52A9">
              <w:rPr>
                <w:rFonts w:eastAsia="SimSun"/>
                <w:szCs w:val="16"/>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6D52A9">
              <w:rPr>
                <w:rFonts w:eastAsia="SimSun"/>
                <w:szCs w:val="16"/>
              </w:rPr>
              <w:br/>
              <w:t>The application must include details of the DMARDs trialled, their doses and duration of treatment, and all relevant contraindications and/or intolerances including severity.</w:t>
            </w:r>
            <w:r w:rsidRPr="006D52A9">
              <w:rPr>
                <w:rFonts w:eastAsia="SimSun"/>
                <w:szCs w:val="16"/>
              </w:rPr>
              <w:br/>
              <w:t>The requirement to trial at least 2 DMARDs for periods of at least 3 months each can be met using single agents sequentially or by using one or more combinations of DMARDs.</w:t>
            </w:r>
            <w:r w:rsidRPr="006D52A9">
              <w:rPr>
                <w:rFonts w:eastAsia="SimSun"/>
                <w:szCs w:val="16"/>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D52A9">
              <w:rPr>
                <w:rFonts w:eastAsia="SimSun"/>
                <w:szCs w:val="16"/>
              </w:rPr>
              <w:br/>
              <w:t>The following criteria indicate failure to achieve an adequate response and must be demonstrated in all patients at the time of the initial application:</w:t>
            </w:r>
            <w:r w:rsidRPr="006D52A9">
              <w:rPr>
                <w:rFonts w:eastAsia="SimSun"/>
                <w:szCs w:val="16"/>
              </w:rPr>
              <w:br/>
              <w:t>an elevated erythrocyte sedimentation rate (ESR) greater than 25 mm per hour or a C</w:t>
            </w:r>
            <w:r w:rsidR="0026100E">
              <w:rPr>
                <w:rFonts w:eastAsia="SimSun"/>
                <w:szCs w:val="16"/>
              </w:rPr>
              <w:noBreakHyphen/>
            </w:r>
            <w:r w:rsidRPr="006D52A9">
              <w:rPr>
                <w:rFonts w:eastAsia="SimSun"/>
                <w:szCs w:val="16"/>
              </w:rPr>
              <w:t>reactive protein (CRP) level greater than 15 mg per L; AND either</w:t>
            </w:r>
            <w:r w:rsidRPr="006D52A9">
              <w:rPr>
                <w:rFonts w:eastAsia="SimSun"/>
                <w:szCs w:val="16"/>
              </w:rPr>
              <w:br/>
              <w:t>(a) a total active joint count of at least 20 active (swollen and tender) joints; or</w:t>
            </w:r>
            <w:r w:rsidRPr="006D52A9">
              <w:rPr>
                <w:rFonts w:eastAsia="SimSun"/>
                <w:szCs w:val="16"/>
              </w:rPr>
              <w:br/>
              <w:t>(b) at least 4 active joints from the following list of major joints:</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 xml:space="preserve">The joint count and ESR and/or CRP must be determined at the completion of the 6 month intensive DMARD trial, but prior to ceasing DMARD therapy. All measures must be no more than one month old at </w:t>
            </w:r>
            <w:r w:rsidRPr="006D52A9">
              <w:rPr>
                <w:rFonts w:eastAsia="SimSun"/>
                <w:szCs w:val="16"/>
              </w:rPr>
              <w:lastRenderedPageBreak/>
              <w:t>the time of initial application.</w:t>
            </w:r>
            <w:r w:rsidRPr="006D52A9">
              <w:rPr>
                <w:rFonts w:eastAsia="SimSun"/>
                <w:szCs w:val="16"/>
              </w:rPr>
              <w:br/>
              <w:t>If the above requirement to demonstrate an elevated ESR or CRP cannot be met, the application must state the reasons why this criterion cannot be satisfied.</w:t>
            </w:r>
            <w:r w:rsidRPr="006D52A9">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SimSun"/>
                <w:szCs w:val="16"/>
              </w:rPr>
              <w:br/>
              <w:t>The authority application must be made in writing and must include:</w:t>
            </w:r>
            <w:r w:rsidRPr="006D52A9">
              <w:rPr>
                <w:rFonts w:eastAsia="SimSun"/>
                <w:szCs w:val="16"/>
              </w:rPr>
              <w:br/>
              <w:t>(1) a completed authority prescription form(s); and</w:t>
            </w:r>
            <w:r w:rsidRPr="006D52A9">
              <w:rPr>
                <w:rFonts w:eastAsia="SimSun"/>
                <w:szCs w:val="16"/>
              </w:rPr>
              <w:br/>
              <w:t xml:space="preserve">(2) a completed Rheumatoid Arthritis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It is recommended that an assessment of a patient’s response is conducted following a minimum of 12 weeks of therapy and no later than 4 weeks from the completion of the most recent course of treatment.</w:t>
            </w:r>
            <w:r w:rsidRPr="006D52A9">
              <w:rPr>
                <w:rFonts w:eastAsia="SimSun"/>
                <w:szCs w:val="16"/>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SimSun"/>
                <w:szCs w:val="16"/>
              </w:rPr>
              <w:br/>
              <w:t>A patient whose most recent course of PBS</w:t>
            </w:r>
            <w:r w:rsidR="0026100E">
              <w:rPr>
                <w:rFonts w:eastAsia="SimSun"/>
                <w:szCs w:val="16"/>
              </w:rPr>
              <w:noBreakHyphen/>
            </w:r>
            <w:r w:rsidRPr="006D52A9">
              <w:rPr>
                <w:rFonts w:eastAsia="SimSun"/>
                <w:szCs w:val="16"/>
              </w:rPr>
              <w:t>subsidised therapy was with this drug and whose response to this treatment is demonstrated at 12 weeks, may apply for a further course of this drug under the First continuing treatment restriction.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r w:rsidRPr="006D52A9">
              <w:rPr>
                <w:rFonts w:eastAsia="SimSun"/>
                <w:szCs w:val="16"/>
              </w:rPr>
              <w:br/>
              <w:t>If a patient fails to demonstrate a response to this drug and who qualifies to trial an alternate biological medicine according to the interchangeability arrangements for biological medicines for the treatment of severe rheumatoid arthritis, may do so without having to have a 22 week treatment</w:t>
            </w:r>
            <w:r w:rsidR="0026100E">
              <w:rPr>
                <w:rFonts w:eastAsia="SimSun"/>
                <w:szCs w:val="16"/>
              </w:rPr>
              <w:noBreakHyphen/>
            </w:r>
            <w:r w:rsidRPr="006D52A9">
              <w:rPr>
                <w:rFonts w:eastAsia="SimSun"/>
                <w:szCs w:val="16"/>
              </w:rPr>
              <w:t>free period.</w:t>
            </w:r>
          </w:p>
        </w:tc>
        <w:tc>
          <w:tcPr>
            <w:tcW w:w="929" w:type="pct"/>
            <w:tcBorders>
              <w:bottom w:val="single" w:sz="4" w:space="0" w:color="auto"/>
            </w:tcBorders>
            <w:shd w:val="clear" w:color="auto" w:fill="auto"/>
            <w:tcMar>
              <w:top w:w="28" w:type="dxa"/>
              <w:left w:w="28" w:type="dxa"/>
              <w:right w:w="57" w:type="dxa"/>
            </w:tcMar>
          </w:tcPr>
          <w:p w14:paraId="1768EB3F"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2B0452" w14:paraId="0A43FDB3" w14:textId="77777777" w:rsidTr="00FB6D2D">
        <w:tc>
          <w:tcPr>
            <w:tcW w:w="647" w:type="pct"/>
            <w:tcBorders>
              <w:bottom w:val="single" w:sz="4" w:space="0" w:color="auto"/>
            </w:tcBorders>
            <w:shd w:val="clear" w:color="auto" w:fill="auto"/>
            <w:tcMar>
              <w:top w:w="28" w:type="dxa"/>
              <w:left w:w="28" w:type="dxa"/>
            </w:tcMar>
          </w:tcPr>
          <w:p w14:paraId="6AEC8F75"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1048793D"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C9539</w:t>
            </w:r>
          </w:p>
        </w:tc>
        <w:tc>
          <w:tcPr>
            <w:tcW w:w="274" w:type="pct"/>
            <w:tcBorders>
              <w:bottom w:val="single" w:sz="4" w:space="0" w:color="auto"/>
            </w:tcBorders>
            <w:shd w:val="clear" w:color="auto" w:fill="auto"/>
            <w:tcMar>
              <w:top w:w="28" w:type="dxa"/>
              <w:left w:w="28" w:type="dxa"/>
            </w:tcMar>
          </w:tcPr>
          <w:p w14:paraId="475FC4D8"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00F6856" w14:textId="77777777" w:rsidR="008F47B8" w:rsidRPr="006D52A9" w:rsidRDefault="008F47B8" w:rsidP="00FB6D2D">
            <w:pPr>
              <w:pStyle w:val="mps3-data"/>
              <w:spacing w:before="0" w:after="0"/>
              <w:rPr>
                <w:szCs w:val="16"/>
              </w:rPr>
            </w:pPr>
            <w:r w:rsidRPr="006D52A9">
              <w:rPr>
                <w:rFonts w:eastAsia="SimSun"/>
                <w:szCs w:val="16"/>
              </w:rPr>
              <w:t>Severe active microscopic polyangiitis</w:t>
            </w:r>
            <w:r w:rsidRPr="006D52A9">
              <w:rPr>
                <w:rFonts w:eastAsia="SimSun"/>
                <w:szCs w:val="16"/>
              </w:rPr>
              <w:br/>
              <w:t>Re</w:t>
            </w:r>
            <w:r w:rsidR="0026100E">
              <w:rPr>
                <w:rFonts w:eastAsia="SimSun"/>
                <w:szCs w:val="16"/>
              </w:rPr>
              <w:noBreakHyphen/>
            </w:r>
            <w:r w:rsidRPr="006D52A9">
              <w:rPr>
                <w:rFonts w:eastAsia="SimSun"/>
                <w:szCs w:val="16"/>
              </w:rPr>
              <w:t>induction of remission</w:t>
            </w:r>
            <w:r w:rsidRPr="006D52A9">
              <w:rPr>
                <w:rFonts w:eastAsia="SimSun"/>
                <w:szCs w:val="16"/>
              </w:rPr>
              <w:br/>
              <w:t>The treatment must be for the re</w:t>
            </w:r>
            <w:r w:rsidR="0026100E">
              <w:rPr>
                <w:rFonts w:eastAsia="SimSun"/>
                <w:szCs w:val="16"/>
              </w:rPr>
              <w:noBreakHyphen/>
            </w:r>
            <w:r w:rsidRPr="006D52A9">
              <w:rPr>
                <w:rFonts w:eastAsia="SimSun"/>
                <w:szCs w:val="16"/>
              </w:rPr>
              <w:t>induction of remission; AND</w:t>
            </w:r>
            <w:r w:rsidRPr="006D52A9">
              <w:rPr>
                <w:rFonts w:eastAsia="SimSun"/>
                <w:szCs w:val="16"/>
              </w:rPr>
              <w:br/>
              <w:t>Patient must have previously received and responded to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therapy.</w:t>
            </w:r>
          </w:p>
        </w:tc>
        <w:tc>
          <w:tcPr>
            <w:tcW w:w="929" w:type="pct"/>
            <w:tcBorders>
              <w:bottom w:val="single" w:sz="4" w:space="0" w:color="auto"/>
            </w:tcBorders>
            <w:shd w:val="clear" w:color="auto" w:fill="auto"/>
            <w:tcMar>
              <w:top w:w="28" w:type="dxa"/>
              <w:left w:w="28" w:type="dxa"/>
              <w:right w:w="57" w:type="dxa"/>
            </w:tcMar>
          </w:tcPr>
          <w:p w14:paraId="2A228B3A"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9539</w:t>
            </w:r>
          </w:p>
        </w:tc>
      </w:tr>
      <w:tr w:rsidR="008F47B8" w:rsidRPr="006D52A9" w:rsidDel="002B0452" w14:paraId="6EF4973A" w14:textId="77777777" w:rsidTr="00FB6D2D">
        <w:tc>
          <w:tcPr>
            <w:tcW w:w="647" w:type="pct"/>
            <w:tcBorders>
              <w:bottom w:val="single" w:sz="4" w:space="0" w:color="auto"/>
            </w:tcBorders>
            <w:shd w:val="clear" w:color="auto" w:fill="auto"/>
            <w:tcMar>
              <w:top w:w="28" w:type="dxa"/>
              <w:left w:w="28" w:type="dxa"/>
            </w:tcMar>
          </w:tcPr>
          <w:p w14:paraId="6D687665"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5B92EDA3"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C9611</w:t>
            </w:r>
          </w:p>
        </w:tc>
        <w:tc>
          <w:tcPr>
            <w:tcW w:w="274" w:type="pct"/>
            <w:tcBorders>
              <w:bottom w:val="single" w:sz="4" w:space="0" w:color="auto"/>
            </w:tcBorders>
            <w:shd w:val="clear" w:color="auto" w:fill="auto"/>
            <w:tcMar>
              <w:top w:w="28" w:type="dxa"/>
              <w:left w:w="28" w:type="dxa"/>
            </w:tcMar>
          </w:tcPr>
          <w:p w14:paraId="2EB36440"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3319C384" w14:textId="77777777" w:rsidR="008F47B8" w:rsidRPr="006D52A9" w:rsidRDefault="008F47B8" w:rsidP="00FB6D2D">
            <w:pPr>
              <w:pStyle w:val="mps3-data"/>
              <w:spacing w:before="0" w:after="0"/>
              <w:rPr>
                <w:szCs w:val="16"/>
              </w:rPr>
            </w:pPr>
            <w:r w:rsidRPr="006D52A9">
              <w:rPr>
                <w:rFonts w:eastAsia="SimSun"/>
                <w:szCs w:val="16"/>
              </w:rPr>
              <w:t>Severe active rheumatoid arthritis</w:t>
            </w:r>
            <w:r w:rsidRPr="006D52A9">
              <w:rPr>
                <w:rFonts w:eastAsia="SimSun"/>
                <w:szCs w:val="16"/>
              </w:rPr>
              <w:br/>
            </w:r>
            <w:r w:rsidRPr="006D52A9">
              <w:rPr>
                <w:rFonts w:eastAsia="SimSun"/>
                <w:szCs w:val="16"/>
              </w:rPr>
              <w:lastRenderedPageBreak/>
              <w:t>Subsequent continuing treatment</w:t>
            </w:r>
            <w:r w:rsidRPr="006D52A9">
              <w:rPr>
                <w:rFonts w:eastAsia="SimSun"/>
                <w:szCs w:val="16"/>
              </w:rPr>
              <w:br/>
              <w:t>Must be treated by a rheumatologist; OR</w:t>
            </w:r>
            <w:r w:rsidRPr="006D52A9">
              <w:rPr>
                <w:rFonts w:eastAsia="SimSun"/>
                <w:szCs w:val="16"/>
              </w:rPr>
              <w:br/>
              <w:t>Must be treated by a clinical immunologist with expertise in the management of rheumatoid arthritis.</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treatment with this drug for this condition under the First continuing treatment restriction; AND</w:t>
            </w:r>
            <w:r w:rsidRPr="006D52A9">
              <w:rPr>
                <w:rFonts w:eastAsia="SimSun"/>
                <w:szCs w:val="16"/>
              </w:rPr>
              <w:br/>
              <w:t>Patient must have demonstrated an adequate response to treatment with this drug; AND</w:t>
            </w:r>
            <w:r w:rsidRPr="006D52A9">
              <w:rPr>
                <w:rFonts w:eastAsia="SimSun"/>
                <w:szCs w:val="16"/>
              </w:rPr>
              <w:br/>
              <w:t>The treatment must be given concomitantly with methotrexate at a dose of at least 7.5 mg weekly.</w:t>
            </w:r>
            <w:r w:rsidRPr="006D52A9">
              <w:rPr>
                <w:rFonts w:eastAsia="SimSun"/>
                <w:szCs w:val="16"/>
              </w:rPr>
              <w:br/>
              <w:t>Patient must be aged 18 years or older.</w:t>
            </w:r>
            <w:r w:rsidRPr="006D52A9">
              <w:rPr>
                <w:rFonts w:eastAsia="SimSun"/>
                <w:szCs w:val="16"/>
              </w:rPr>
              <w:br/>
              <w:t>An adequate response to treatment is defined as:</w:t>
            </w:r>
            <w:r w:rsidRPr="006D52A9">
              <w:rPr>
                <w:rFonts w:eastAsia="SimSun"/>
                <w:szCs w:val="16"/>
              </w:rPr>
              <w:br/>
              <w:t>an ESR no greater than 25 mm per hour or a CRP level no greater than 15 mg per L or either marker reduced by at least 20% from baseline;</w:t>
            </w:r>
            <w:r w:rsidRPr="006D52A9">
              <w:rPr>
                <w:rFonts w:eastAsia="SimSun"/>
                <w:szCs w:val="16"/>
              </w:rPr>
              <w:br/>
              <w:t>AND either of the following:</w:t>
            </w:r>
            <w:r w:rsidRPr="006D52A9">
              <w:rPr>
                <w:rFonts w:eastAsia="SimSun"/>
                <w:szCs w:val="16"/>
              </w:rPr>
              <w:br/>
              <w:t>(a) a reduction in the total active (swollen and tender) joint count by at least 50% from baseline, where baseline is at least 20 active joints; or</w:t>
            </w:r>
            <w:r w:rsidRPr="006D52A9">
              <w:rPr>
                <w:rFonts w:eastAsia="SimSun"/>
                <w:szCs w:val="16"/>
              </w:rPr>
              <w:br/>
              <w:t>(b) a reduction in the number of the following active joints, from at least 4, by at least 50%:</w:t>
            </w:r>
            <w:r w:rsidRPr="006D52A9">
              <w:rPr>
                <w:rFonts w:eastAsia="SimSun"/>
                <w:szCs w:val="16"/>
              </w:rPr>
              <w:br/>
              <w:t>(i) elbow, wrist, knee and/or ankle (assessed as swollen and tender); and/or</w:t>
            </w:r>
            <w:r w:rsidRPr="006D52A9">
              <w:rPr>
                <w:rFonts w:eastAsia="SimSun"/>
                <w:szCs w:val="16"/>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SimSun"/>
                <w:szCs w:val="16"/>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SimSun"/>
                <w:szCs w:val="16"/>
              </w:rPr>
              <w:br/>
              <w:t>The measurement of response to the prior course of therapy must be documented in the patient’s medical notes.</w:t>
            </w:r>
            <w:r w:rsidRPr="006D52A9">
              <w:rPr>
                <w:rFonts w:eastAsia="SimSun"/>
                <w:szCs w:val="16"/>
              </w:rPr>
              <w:br/>
              <w:t>If a patient has either failed or ceased to respond to a PBS</w:t>
            </w:r>
            <w:r w:rsidR="0026100E">
              <w:rPr>
                <w:rFonts w:eastAsia="SimSun"/>
                <w:szCs w:val="16"/>
              </w:rPr>
              <w:noBreakHyphen/>
            </w:r>
            <w:r w:rsidRPr="006D52A9">
              <w:rPr>
                <w:rFonts w:eastAsia="SimSun"/>
                <w:szCs w:val="16"/>
              </w:rPr>
              <w:t>subsidised biological medicine for this condition 5 times, they will not be eligible to receive further PBS</w:t>
            </w:r>
            <w:r w:rsidR="0026100E">
              <w:rPr>
                <w:rFonts w:eastAsia="SimSun"/>
                <w:szCs w:val="16"/>
              </w:rPr>
              <w:noBreakHyphen/>
            </w:r>
            <w:r w:rsidRPr="006D52A9">
              <w:rPr>
                <w:rFonts w:eastAsia="SimSun"/>
                <w:szCs w:val="16"/>
              </w:rPr>
              <w:t>subsidised treatment with a biological medicine for this condition.</w:t>
            </w:r>
            <w:r w:rsidRPr="006D52A9">
              <w:rPr>
                <w:rFonts w:eastAsia="SimSun"/>
                <w:szCs w:val="16"/>
              </w:rPr>
              <w:br/>
              <w:t>If a patient fails to demonstrate a response to treatment with this drug under this restriction they will not be eligible to receive further PBS</w:t>
            </w:r>
            <w:r w:rsidR="0026100E">
              <w:rPr>
                <w:rFonts w:eastAsia="SimSun"/>
                <w:szCs w:val="16"/>
              </w:rPr>
              <w:noBreakHyphen/>
            </w:r>
            <w:r w:rsidRPr="006D52A9">
              <w:rPr>
                <w:rFonts w:eastAsia="SimSun"/>
                <w:szCs w:val="16"/>
              </w:rPr>
              <w:t>subsidised treatment with this drug for this condition.</w:t>
            </w:r>
          </w:p>
        </w:tc>
        <w:tc>
          <w:tcPr>
            <w:tcW w:w="929" w:type="pct"/>
            <w:tcBorders>
              <w:bottom w:val="single" w:sz="4" w:space="0" w:color="auto"/>
            </w:tcBorders>
            <w:shd w:val="clear" w:color="auto" w:fill="auto"/>
            <w:tcMar>
              <w:top w:w="28" w:type="dxa"/>
              <w:left w:w="28" w:type="dxa"/>
              <w:right w:w="57" w:type="dxa"/>
            </w:tcMar>
          </w:tcPr>
          <w:p w14:paraId="7E6E77BD"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lastRenderedPageBreak/>
              <w:t xml:space="preserve">Compliance with Authority </w:t>
            </w:r>
            <w:r w:rsidRPr="006D52A9">
              <w:rPr>
                <w:rFonts w:ascii="Arial" w:eastAsia="SimSun" w:hAnsi="Arial" w:cs="Arial"/>
                <w:sz w:val="16"/>
                <w:szCs w:val="16"/>
                <w:lang w:eastAsia="zh-CN"/>
              </w:rPr>
              <w:lastRenderedPageBreak/>
              <w:t xml:space="preserve">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9611</w:t>
            </w:r>
          </w:p>
        </w:tc>
      </w:tr>
      <w:tr w:rsidR="008F47B8" w:rsidRPr="006D52A9" w:rsidDel="002B0452" w14:paraId="27FE95CD" w14:textId="77777777" w:rsidTr="00FB6D2D">
        <w:tc>
          <w:tcPr>
            <w:tcW w:w="647" w:type="pct"/>
            <w:tcBorders>
              <w:bottom w:val="single" w:sz="4" w:space="0" w:color="auto"/>
            </w:tcBorders>
            <w:shd w:val="clear" w:color="auto" w:fill="auto"/>
            <w:tcMar>
              <w:top w:w="28" w:type="dxa"/>
              <w:left w:w="28" w:type="dxa"/>
            </w:tcMar>
          </w:tcPr>
          <w:p w14:paraId="385A78CB"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01D8CCCE"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C9640</w:t>
            </w:r>
          </w:p>
        </w:tc>
        <w:tc>
          <w:tcPr>
            <w:tcW w:w="274" w:type="pct"/>
            <w:tcBorders>
              <w:bottom w:val="single" w:sz="4" w:space="0" w:color="auto"/>
            </w:tcBorders>
            <w:shd w:val="clear" w:color="auto" w:fill="auto"/>
            <w:tcMar>
              <w:top w:w="28" w:type="dxa"/>
              <w:left w:w="28" w:type="dxa"/>
            </w:tcMar>
          </w:tcPr>
          <w:p w14:paraId="7535B221"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27FF9E25" w14:textId="77777777" w:rsidR="008F47B8" w:rsidRPr="006D52A9" w:rsidRDefault="008F47B8" w:rsidP="00FB6D2D">
            <w:pPr>
              <w:pStyle w:val="mps3-data"/>
              <w:spacing w:before="0" w:after="0"/>
              <w:rPr>
                <w:szCs w:val="16"/>
              </w:rPr>
            </w:pPr>
            <w:r w:rsidRPr="006D52A9">
              <w:rPr>
                <w:rFonts w:eastAsia="SimSun"/>
                <w:szCs w:val="16"/>
              </w:rPr>
              <w:t>Severe active granulomatosis with polyangiitis (Wegeners granulomatosis)</w:t>
            </w:r>
            <w:r w:rsidRPr="006D52A9">
              <w:rPr>
                <w:rFonts w:eastAsia="SimSun"/>
                <w:szCs w:val="16"/>
              </w:rPr>
              <w:br/>
              <w:t>Re</w:t>
            </w:r>
            <w:r w:rsidR="0026100E">
              <w:rPr>
                <w:rFonts w:eastAsia="SimSun"/>
                <w:szCs w:val="16"/>
              </w:rPr>
              <w:noBreakHyphen/>
            </w:r>
            <w:r w:rsidRPr="006D52A9">
              <w:rPr>
                <w:rFonts w:eastAsia="SimSun"/>
                <w:szCs w:val="16"/>
              </w:rPr>
              <w:t>induction of remission</w:t>
            </w:r>
            <w:r w:rsidRPr="006D52A9">
              <w:rPr>
                <w:rFonts w:eastAsia="SimSun"/>
                <w:szCs w:val="16"/>
              </w:rPr>
              <w:br/>
              <w:t>The treatment must be for the re</w:t>
            </w:r>
            <w:r w:rsidR="0026100E">
              <w:rPr>
                <w:rFonts w:eastAsia="SimSun"/>
                <w:szCs w:val="16"/>
              </w:rPr>
              <w:noBreakHyphen/>
            </w:r>
            <w:r w:rsidRPr="006D52A9">
              <w:rPr>
                <w:rFonts w:eastAsia="SimSun"/>
                <w:szCs w:val="16"/>
              </w:rPr>
              <w:t>induction of remission; AND</w:t>
            </w:r>
            <w:r w:rsidRPr="006D52A9">
              <w:rPr>
                <w:rFonts w:eastAsia="SimSun"/>
                <w:szCs w:val="16"/>
              </w:rPr>
              <w:br/>
              <w:t>Patient must have previously received and responded to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of remission</w:t>
            </w:r>
          </w:p>
        </w:tc>
        <w:tc>
          <w:tcPr>
            <w:tcW w:w="929" w:type="pct"/>
            <w:tcBorders>
              <w:bottom w:val="single" w:sz="4" w:space="0" w:color="auto"/>
            </w:tcBorders>
            <w:shd w:val="clear" w:color="auto" w:fill="auto"/>
            <w:tcMar>
              <w:top w:w="28" w:type="dxa"/>
              <w:left w:w="28" w:type="dxa"/>
              <w:right w:w="57" w:type="dxa"/>
            </w:tcMar>
          </w:tcPr>
          <w:p w14:paraId="1462A91E"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9640</w:t>
            </w:r>
          </w:p>
        </w:tc>
      </w:tr>
      <w:tr w:rsidR="008F47B8" w:rsidRPr="006D52A9" w:rsidDel="002B0452" w14:paraId="69208E45" w14:textId="77777777" w:rsidTr="00FB6D2D">
        <w:tc>
          <w:tcPr>
            <w:tcW w:w="647" w:type="pct"/>
            <w:tcBorders>
              <w:bottom w:val="single" w:sz="4" w:space="0" w:color="auto"/>
            </w:tcBorders>
            <w:shd w:val="clear" w:color="auto" w:fill="auto"/>
            <w:tcMar>
              <w:top w:w="28" w:type="dxa"/>
              <w:left w:w="28" w:type="dxa"/>
            </w:tcMar>
          </w:tcPr>
          <w:p w14:paraId="6CC5B243" w14:textId="77777777" w:rsidR="008F47B8" w:rsidRPr="006D52A9" w:rsidDel="002B0452" w:rsidRDefault="008F47B8" w:rsidP="00FB6D2D">
            <w:pPr>
              <w:spacing w:line="240" w:lineRule="auto"/>
              <w:rPr>
                <w:rFonts w:ascii="Arial" w:eastAsia="SimSun" w:hAnsi="Arial" w:cs="Arial"/>
                <w:sz w:val="16"/>
                <w:szCs w:val="16"/>
                <w:lang w:eastAsia="zh-CN"/>
              </w:rPr>
            </w:pPr>
          </w:p>
        </w:tc>
        <w:tc>
          <w:tcPr>
            <w:tcW w:w="283" w:type="pct"/>
            <w:tcBorders>
              <w:bottom w:val="single" w:sz="4" w:space="0" w:color="auto"/>
            </w:tcBorders>
            <w:shd w:val="clear" w:color="auto" w:fill="auto"/>
            <w:tcMar>
              <w:top w:w="28" w:type="dxa"/>
              <w:left w:w="28" w:type="dxa"/>
            </w:tcMar>
          </w:tcPr>
          <w:p w14:paraId="7754978B"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C9641</w:t>
            </w:r>
          </w:p>
        </w:tc>
        <w:tc>
          <w:tcPr>
            <w:tcW w:w="274" w:type="pct"/>
            <w:tcBorders>
              <w:bottom w:val="single" w:sz="4" w:space="0" w:color="auto"/>
            </w:tcBorders>
            <w:shd w:val="clear" w:color="auto" w:fill="auto"/>
            <w:tcMar>
              <w:top w:w="28" w:type="dxa"/>
              <w:left w:w="28" w:type="dxa"/>
            </w:tcMar>
          </w:tcPr>
          <w:p w14:paraId="03469C39"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6E3D966" w14:textId="77777777" w:rsidR="008F47B8" w:rsidRPr="006D52A9" w:rsidRDefault="008F47B8" w:rsidP="00FB6D2D">
            <w:pPr>
              <w:pStyle w:val="mps3-data"/>
              <w:spacing w:before="0" w:after="0"/>
              <w:rPr>
                <w:szCs w:val="16"/>
              </w:rPr>
            </w:pPr>
            <w:r w:rsidRPr="006D52A9">
              <w:rPr>
                <w:rFonts w:eastAsia="SimSun"/>
                <w:szCs w:val="16"/>
              </w:rPr>
              <w:t>Severe active microscopic polyangiitis</w:t>
            </w:r>
            <w:r w:rsidRPr="006D52A9">
              <w:rPr>
                <w:rFonts w:eastAsia="SimSun"/>
                <w:szCs w:val="16"/>
              </w:rPr>
              <w:br/>
              <w:t>Re</w:t>
            </w:r>
            <w:r w:rsidR="0026100E">
              <w:rPr>
                <w:rFonts w:eastAsia="SimSun"/>
                <w:szCs w:val="16"/>
              </w:rPr>
              <w:noBreakHyphen/>
            </w:r>
            <w:r w:rsidRPr="006D52A9">
              <w:rPr>
                <w:rFonts w:eastAsia="SimSun"/>
                <w:szCs w:val="16"/>
              </w:rPr>
              <w:t>induction of remission</w:t>
            </w:r>
            <w:r w:rsidRPr="006D52A9">
              <w:rPr>
                <w:rFonts w:eastAsia="SimSun"/>
                <w:szCs w:val="16"/>
              </w:rPr>
              <w:br/>
              <w:t>The treatment must be for the re</w:t>
            </w:r>
            <w:r w:rsidR="0026100E">
              <w:rPr>
                <w:rFonts w:eastAsia="SimSun"/>
                <w:szCs w:val="16"/>
              </w:rPr>
              <w:noBreakHyphen/>
            </w:r>
            <w:r w:rsidRPr="006D52A9">
              <w:rPr>
                <w:rFonts w:eastAsia="SimSun"/>
                <w:szCs w:val="16"/>
              </w:rPr>
              <w:t>induction of remission; AND</w:t>
            </w:r>
            <w:r w:rsidRPr="006D52A9">
              <w:rPr>
                <w:rFonts w:eastAsia="SimSun"/>
                <w:szCs w:val="16"/>
              </w:rPr>
              <w:br/>
              <w:t>Patient must have previously received and responded to this drug for this condition; AND</w:t>
            </w:r>
            <w:r w:rsidRPr="006D52A9">
              <w:rPr>
                <w:rFonts w:eastAsia="SimSun"/>
                <w:szCs w:val="16"/>
              </w:rPr>
              <w:br/>
              <w:t>The treatment must in combination with glucocorticoids; AND</w:t>
            </w:r>
            <w:r w:rsidRPr="006D52A9">
              <w:rPr>
                <w:rFonts w:eastAsia="SimSun"/>
                <w:szCs w:val="16"/>
              </w:rPr>
              <w:br/>
              <w:t>Patient must be at risk of end</w:t>
            </w:r>
            <w:r w:rsidR="0026100E">
              <w:rPr>
                <w:rFonts w:eastAsia="SimSun"/>
                <w:szCs w:val="16"/>
              </w:rPr>
              <w:noBreakHyphen/>
            </w:r>
            <w:r w:rsidRPr="006D52A9">
              <w:rPr>
                <w:rFonts w:eastAsia="SimSun"/>
                <w:szCs w:val="16"/>
              </w:rPr>
              <w:t>organ damage or mortality; AND</w:t>
            </w:r>
            <w:r w:rsidRPr="006D52A9">
              <w:rPr>
                <w:rFonts w:eastAsia="SimSun"/>
                <w:szCs w:val="16"/>
              </w:rPr>
              <w:br/>
              <w:t>Patient must be contraindicated, refractory or unable to tolerate cyclophosphamide.</w:t>
            </w:r>
            <w:r w:rsidRPr="006D52A9">
              <w:rPr>
                <w:rFonts w:eastAsia="SimSun"/>
                <w:szCs w:val="16"/>
              </w:rPr>
              <w:br/>
              <w:t>Diagnosis should be made according to the Chapel Hill Consensus Conference Nomenclature of the Vasculitides with anti</w:t>
            </w:r>
            <w:r w:rsidR="0026100E">
              <w:rPr>
                <w:rFonts w:eastAsia="SimSun"/>
                <w:szCs w:val="16"/>
              </w:rPr>
              <w:noBreakHyphen/>
            </w:r>
            <w:r w:rsidRPr="006D52A9">
              <w:rPr>
                <w:rFonts w:eastAsia="SimSun"/>
                <w:szCs w:val="16"/>
              </w:rPr>
              <w:t>neutrophil cytoplasmic antibody (ANCA) positive serology.</w:t>
            </w:r>
            <w:r w:rsidRPr="006D52A9">
              <w:rPr>
                <w:rFonts w:eastAsia="SimSun"/>
                <w:szCs w:val="16"/>
              </w:rPr>
              <w:br/>
              <w:t>This drug is not PBS</w:t>
            </w:r>
            <w:r w:rsidR="0026100E">
              <w:rPr>
                <w:rFonts w:eastAsia="SimSun"/>
                <w:szCs w:val="16"/>
              </w:rPr>
              <w:noBreakHyphen/>
            </w:r>
            <w:r w:rsidRPr="006D52A9">
              <w:rPr>
                <w:rFonts w:eastAsia="SimSun"/>
                <w:szCs w:val="16"/>
              </w:rPr>
              <w:t>subsidised for maintenance therapy.</w:t>
            </w:r>
          </w:p>
        </w:tc>
        <w:tc>
          <w:tcPr>
            <w:tcW w:w="929" w:type="pct"/>
            <w:tcBorders>
              <w:bottom w:val="single" w:sz="4" w:space="0" w:color="auto"/>
            </w:tcBorders>
            <w:shd w:val="clear" w:color="auto" w:fill="auto"/>
            <w:tcMar>
              <w:top w:w="28" w:type="dxa"/>
              <w:left w:w="28" w:type="dxa"/>
              <w:right w:w="57" w:type="dxa"/>
            </w:tcMar>
          </w:tcPr>
          <w:p w14:paraId="2E17FBB8" w14:textId="77777777" w:rsidR="008F47B8" w:rsidRPr="006D52A9" w:rsidRDefault="008F47B8" w:rsidP="00FB6D2D">
            <w:pPr>
              <w:spacing w:line="240" w:lineRule="auto"/>
              <w:rPr>
                <w:rFonts w:ascii="Arial" w:hAnsi="Arial" w:cs="Arial"/>
                <w:sz w:val="16"/>
                <w:szCs w:val="16"/>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9641</w:t>
            </w:r>
          </w:p>
        </w:tc>
      </w:tr>
      <w:tr w:rsidR="008F47B8" w:rsidRPr="006D52A9" w:rsidDel="002B0452" w14:paraId="34E910B0" w14:textId="77777777" w:rsidTr="00FB6D2D">
        <w:tc>
          <w:tcPr>
            <w:tcW w:w="647" w:type="pct"/>
            <w:tcBorders>
              <w:bottom w:val="single" w:sz="4" w:space="0" w:color="auto"/>
            </w:tcBorders>
            <w:shd w:val="clear" w:color="auto" w:fill="auto"/>
            <w:tcMar>
              <w:top w:w="28" w:type="dxa"/>
              <w:left w:w="28" w:type="dxa"/>
            </w:tcMar>
          </w:tcPr>
          <w:p w14:paraId="20FED166" w14:textId="77777777" w:rsidR="008F47B8" w:rsidRPr="006D52A9" w:rsidDel="002B0452" w:rsidRDefault="008F47B8" w:rsidP="00FB6D2D">
            <w:pPr>
              <w:pStyle w:val="mps3-data"/>
              <w:spacing w:before="0" w:after="0"/>
              <w:rPr>
                <w:rFonts w:eastAsia="SimSun"/>
                <w:szCs w:val="16"/>
              </w:rPr>
            </w:pPr>
            <w:r w:rsidRPr="006D52A9">
              <w:rPr>
                <w:rFonts w:eastAsia="SimSun"/>
                <w:szCs w:val="16"/>
              </w:rPr>
              <w:t>Romiplostim</w:t>
            </w:r>
          </w:p>
        </w:tc>
        <w:tc>
          <w:tcPr>
            <w:tcW w:w="283" w:type="pct"/>
            <w:tcBorders>
              <w:bottom w:val="single" w:sz="4" w:space="0" w:color="auto"/>
            </w:tcBorders>
            <w:shd w:val="clear" w:color="auto" w:fill="auto"/>
            <w:tcMar>
              <w:top w:w="28" w:type="dxa"/>
              <w:left w:w="28" w:type="dxa"/>
            </w:tcMar>
          </w:tcPr>
          <w:p w14:paraId="6AB3F1D8" w14:textId="77777777" w:rsidR="008F47B8" w:rsidRPr="006D52A9" w:rsidRDefault="008F47B8" w:rsidP="00FB6D2D">
            <w:pPr>
              <w:pStyle w:val="mps3-data"/>
              <w:spacing w:before="0" w:after="0"/>
              <w:rPr>
                <w:rFonts w:eastAsia="SimSun"/>
                <w:szCs w:val="16"/>
              </w:rPr>
            </w:pPr>
            <w:r w:rsidRPr="006D52A9">
              <w:rPr>
                <w:rFonts w:eastAsia="SimSun"/>
                <w:szCs w:val="16"/>
              </w:rPr>
              <w:t xml:space="preserve">C11205 </w:t>
            </w:r>
          </w:p>
        </w:tc>
        <w:tc>
          <w:tcPr>
            <w:tcW w:w="274" w:type="pct"/>
            <w:tcBorders>
              <w:bottom w:val="single" w:sz="4" w:space="0" w:color="auto"/>
            </w:tcBorders>
            <w:shd w:val="clear" w:color="auto" w:fill="auto"/>
            <w:tcMar>
              <w:top w:w="28" w:type="dxa"/>
              <w:left w:w="28" w:type="dxa"/>
            </w:tcMar>
          </w:tcPr>
          <w:p w14:paraId="1451E9BA" w14:textId="77777777" w:rsidR="008F47B8" w:rsidRPr="006D52A9" w:rsidRDefault="008F47B8" w:rsidP="00FB6D2D">
            <w:pPr>
              <w:pStyle w:val="mps3-data"/>
              <w:spacing w:before="0" w:after="0"/>
              <w:rPr>
                <w:rFonts w:eastAsia="SimSun"/>
                <w:szCs w:val="16"/>
              </w:rPr>
            </w:pPr>
          </w:p>
        </w:tc>
        <w:tc>
          <w:tcPr>
            <w:tcW w:w="2867" w:type="pct"/>
            <w:tcBorders>
              <w:bottom w:val="single" w:sz="4" w:space="0" w:color="auto"/>
            </w:tcBorders>
            <w:shd w:val="clear" w:color="auto" w:fill="auto"/>
            <w:tcMar>
              <w:top w:w="28" w:type="dxa"/>
              <w:left w:w="28" w:type="dxa"/>
            </w:tcMar>
          </w:tcPr>
          <w:p w14:paraId="25803A85" w14:textId="77777777" w:rsidR="008F47B8" w:rsidRPr="006D52A9" w:rsidRDefault="008F47B8" w:rsidP="00FB6D2D">
            <w:pPr>
              <w:pStyle w:val="mps3-data"/>
              <w:spacing w:before="0" w:after="0"/>
              <w:rPr>
                <w:rFonts w:eastAsia="SimSun"/>
                <w:szCs w:val="16"/>
              </w:rPr>
            </w:pPr>
            <w:r w:rsidRPr="006D52A9">
              <w:rPr>
                <w:rFonts w:eastAsia="SimSun"/>
                <w:szCs w:val="16"/>
              </w:rPr>
              <w:t>Severe thrombocytopenia</w:t>
            </w:r>
            <w:r w:rsidRPr="006D52A9">
              <w:rPr>
                <w:rFonts w:eastAsia="SimSun"/>
                <w:szCs w:val="16"/>
              </w:rPr>
              <w:br/>
              <w:t xml:space="preserve">Initial treatment 2 </w:t>
            </w:r>
            <w:r w:rsidR="0026100E">
              <w:rPr>
                <w:rFonts w:eastAsia="SimSun"/>
                <w:szCs w:val="16"/>
              </w:rPr>
              <w:noBreakHyphen/>
            </w:r>
            <w:r w:rsidRPr="006D52A9">
              <w:rPr>
                <w:rFonts w:eastAsia="SimSun"/>
                <w:szCs w:val="16"/>
              </w:rPr>
              <w:t xml:space="preserve"> New patient</w:t>
            </w:r>
            <w:r w:rsidRPr="006D52A9">
              <w:rPr>
                <w:rFonts w:eastAsia="SimSun"/>
                <w:szCs w:val="16"/>
              </w:rPr>
              <w:br/>
              <w:t>The condition must be severe chronic immune (idiopathic) thrombocytopenic purpura (ITP); AND</w:t>
            </w:r>
            <w:r w:rsidRPr="006D52A9">
              <w:rPr>
                <w:rFonts w:eastAsia="SimSun"/>
                <w:szCs w:val="16"/>
              </w:rPr>
              <w:br/>
              <w:t>Patient must not have had a splenectomy; AND</w:t>
            </w:r>
            <w:r w:rsidRPr="006D52A9">
              <w:rPr>
                <w:rFonts w:eastAsia="SimSun"/>
                <w:szCs w:val="16"/>
              </w:rPr>
              <w:br/>
              <w:t>Patient must have failed to achieve an adequate response to, or be intolerant to, corticosteroid therapy at a dose equivalent to 0.5</w:t>
            </w:r>
            <w:r w:rsidR="0026100E">
              <w:rPr>
                <w:rFonts w:eastAsia="SimSun"/>
                <w:szCs w:val="16"/>
              </w:rPr>
              <w:noBreakHyphen/>
            </w:r>
            <w:r w:rsidRPr="006D52A9">
              <w:rPr>
                <w:rFonts w:eastAsia="SimSun"/>
                <w:szCs w:val="16"/>
              </w:rPr>
              <w:t>2 mg/kg/day of prednisone for at least 4</w:t>
            </w:r>
            <w:r w:rsidR="0026100E">
              <w:rPr>
                <w:rFonts w:eastAsia="SimSun"/>
                <w:szCs w:val="16"/>
              </w:rPr>
              <w:noBreakHyphen/>
            </w:r>
            <w:r w:rsidRPr="006D52A9">
              <w:rPr>
                <w:rFonts w:eastAsia="SimSun"/>
                <w:szCs w:val="16"/>
              </w:rPr>
              <w:t>6 weeks; AND</w:t>
            </w:r>
            <w:r w:rsidRPr="006D52A9">
              <w:rPr>
                <w:rFonts w:eastAsia="SimSun"/>
                <w:szCs w:val="16"/>
              </w:rPr>
              <w:br/>
              <w:t>Patient must have failed to achieve an adequate response to, or be intolerant to, immunoglobulin therapy; AND</w:t>
            </w:r>
            <w:r w:rsidRPr="006D52A9">
              <w:rPr>
                <w:rFonts w:eastAsia="SimSun"/>
                <w:szCs w:val="16"/>
              </w:rPr>
              <w:br/>
              <w:t>Patient must be unsuitable for splenectomy due to medical reasons;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thrombopoietin receptor agonist (TRA) for this condition.</w:t>
            </w:r>
            <w:r w:rsidRPr="006D52A9">
              <w:rPr>
                <w:rFonts w:eastAsia="SimSun"/>
                <w:szCs w:val="16"/>
              </w:rPr>
              <w:br/>
              <w:t>Patient must be aged 18 years or older.</w:t>
            </w:r>
            <w:r w:rsidRPr="006D52A9">
              <w:rPr>
                <w:rFonts w:eastAsia="SimSun"/>
                <w:szCs w:val="16"/>
              </w:rPr>
              <w:br/>
              <w:t>The following criteria indicate failure to achieve an adequate response and must be demonstrated at the time of initial application;</w:t>
            </w:r>
            <w:r w:rsidRPr="006D52A9">
              <w:rPr>
                <w:rFonts w:eastAsia="SimSun"/>
                <w:szCs w:val="16"/>
              </w:rPr>
              <w:br/>
              <w:t>(a) a platelet count of less than or equal to 20,000 million per L; OR</w:t>
            </w:r>
            <w:r w:rsidRPr="006D52A9">
              <w:rPr>
                <w:rFonts w:eastAsia="SimSun"/>
                <w:szCs w:val="16"/>
              </w:rPr>
              <w:br/>
              <w:t>(b) a platelet count of 20,000 million to 30,000 million per L, where the patient is experiencing significant bleeding or has a history of significant bleeding in this platelet range.</w:t>
            </w:r>
            <w:r w:rsidRPr="006D52A9">
              <w:rPr>
                <w:rFonts w:eastAsia="SimSun"/>
                <w:szCs w:val="16"/>
              </w:rPr>
              <w:br/>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Pr="006D52A9">
              <w:rPr>
                <w:rFonts w:eastAsia="SimSun"/>
                <w:szCs w:val="16"/>
              </w:rPr>
              <w:br/>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r w:rsidRPr="006D52A9">
              <w:rPr>
                <w:rFonts w:eastAsia="SimSun"/>
                <w:szCs w:val="16"/>
              </w:rPr>
              <w:br/>
              <w:t>Subsequently during the initial period of dose titration, authority applications for a single dose and up to 1 repeat may be requested by telephone. The dose (microgram/kg/week) must be provided at the time of application.</w:t>
            </w:r>
            <w:r w:rsidRPr="006D52A9">
              <w:rPr>
                <w:rFonts w:eastAsia="SimSun"/>
                <w:szCs w:val="16"/>
              </w:rPr>
              <w:br/>
              <w:t>Once a patient's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r w:rsidRPr="006D52A9">
              <w:rPr>
                <w:rFonts w:eastAsia="SimSun"/>
                <w:szCs w:val="16"/>
              </w:rPr>
              <w:br/>
              <w:t>Authority approval will not be given for doses higher than 10 micrograms/kg/week</w:t>
            </w:r>
            <w:r w:rsidRPr="006D52A9">
              <w:rPr>
                <w:rFonts w:eastAsia="SimSun"/>
                <w:szCs w:val="16"/>
              </w:rPr>
              <w:br/>
            </w:r>
            <w:r w:rsidRPr="006D52A9">
              <w:rPr>
                <w:rFonts w:eastAsia="SimSun"/>
                <w:szCs w:val="16"/>
              </w:rPr>
              <w:lastRenderedPageBreak/>
              <w:t>The authority application must be made in writing and must include:</w:t>
            </w:r>
            <w:r w:rsidRPr="006D52A9">
              <w:rPr>
                <w:rFonts w:eastAsia="SimSun"/>
                <w:szCs w:val="16"/>
              </w:rPr>
              <w:br/>
              <w:t>(1) a completed authority prescription form,</w:t>
            </w:r>
            <w:r w:rsidRPr="006D52A9">
              <w:rPr>
                <w:rFonts w:eastAsia="SimSun"/>
                <w:szCs w:val="16"/>
              </w:rPr>
              <w:br/>
              <w:t xml:space="preserve">(2) a completed Idiopathic Thrombocytopenic Purpura Initial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(3) details of a platelet count supporting the diagnosis of ITP, and</w:t>
            </w:r>
            <w:r w:rsidRPr="006D52A9">
              <w:rPr>
                <w:rFonts w:eastAsia="SimSun"/>
                <w:szCs w:val="16"/>
              </w:rPr>
              <w:br/>
              <w:t>(4) details of the reason of medical contraindication for surgery and date of assessment.</w:t>
            </w:r>
            <w:r w:rsidRPr="006D52A9">
              <w:rPr>
                <w:rFonts w:eastAsia="SimSun"/>
                <w:szCs w:val="16"/>
              </w:rPr>
              <w:br/>
              <w:t>The platelet count must be no more than 4 weeks old at the time of application.</w:t>
            </w:r>
            <w:r w:rsidRPr="006D52A9">
              <w:rPr>
                <w:rFonts w:eastAsia="SimSun"/>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eastAsia="SimSun"/>
                <w:szCs w:val="16"/>
              </w:rPr>
              <w:noBreakHyphen/>
            </w:r>
            <w:r w:rsidRPr="006D52A9">
              <w:rPr>
                <w:rFonts w:eastAsia="SimSun"/>
                <w:szCs w:val="16"/>
              </w:rPr>
              <w:t>subsidised treatment with either of these drugs.</w:t>
            </w:r>
          </w:p>
        </w:tc>
        <w:tc>
          <w:tcPr>
            <w:tcW w:w="929" w:type="pct"/>
            <w:tcBorders>
              <w:bottom w:val="single" w:sz="4" w:space="0" w:color="auto"/>
            </w:tcBorders>
            <w:shd w:val="clear" w:color="auto" w:fill="auto"/>
            <w:tcMar>
              <w:top w:w="28" w:type="dxa"/>
              <w:left w:w="28" w:type="dxa"/>
              <w:right w:w="57" w:type="dxa"/>
            </w:tcMar>
          </w:tcPr>
          <w:p w14:paraId="4351D1C3"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r w:rsidRPr="006D52A9">
              <w:rPr>
                <w:rFonts w:eastAsia="SimSun"/>
                <w:szCs w:val="16"/>
              </w:rPr>
              <w:br/>
            </w:r>
          </w:p>
        </w:tc>
      </w:tr>
      <w:tr w:rsidR="008F47B8" w:rsidRPr="006D52A9" w:rsidDel="002B0452" w14:paraId="471DC34D" w14:textId="77777777" w:rsidTr="00FB6D2D">
        <w:tc>
          <w:tcPr>
            <w:tcW w:w="647" w:type="pct"/>
            <w:tcBorders>
              <w:bottom w:val="single" w:sz="4" w:space="0" w:color="auto"/>
            </w:tcBorders>
            <w:shd w:val="clear" w:color="auto" w:fill="auto"/>
            <w:tcMar>
              <w:top w:w="28" w:type="dxa"/>
              <w:left w:w="28" w:type="dxa"/>
            </w:tcMar>
          </w:tcPr>
          <w:p w14:paraId="6C320A86" w14:textId="77777777" w:rsidR="008F47B8" w:rsidRPr="006D52A9" w:rsidDel="002B0452" w:rsidRDefault="008F47B8" w:rsidP="00FB6D2D">
            <w:pPr>
              <w:pStyle w:val="mps3-data"/>
              <w:spacing w:before="0" w:after="0"/>
              <w:rPr>
                <w:rFonts w:eastAsia="SimSun"/>
                <w:szCs w:val="16"/>
              </w:rPr>
            </w:pPr>
          </w:p>
        </w:tc>
        <w:tc>
          <w:tcPr>
            <w:tcW w:w="283" w:type="pct"/>
            <w:tcBorders>
              <w:bottom w:val="single" w:sz="4" w:space="0" w:color="auto"/>
            </w:tcBorders>
            <w:shd w:val="clear" w:color="auto" w:fill="auto"/>
            <w:tcMar>
              <w:top w:w="28" w:type="dxa"/>
              <w:left w:w="28" w:type="dxa"/>
            </w:tcMar>
          </w:tcPr>
          <w:p w14:paraId="56CAA7AC" w14:textId="77777777" w:rsidR="008F47B8" w:rsidRPr="006D52A9" w:rsidRDefault="008F47B8" w:rsidP="00FB6D2D">
            <w:pPr>
              <w:pStyle w:val="mps3-data"/>
              <w:spacing w:before="0" w:after="0"/>
              <w:rPr>
                <w:rFonts w:eastAsia="SimSun"/>
                <w:szCs w:val="16"/>
              </w:rPr>
            </w:pPr>
            <w:r w:rsidRPr="006D52A9">
              <w:rPr>
                <w:rFonts w:eastAsia="SimSun"/>
                <w:szCs w:val="16"/>
              </w:rPr>
              <w:t>C11246</w:t>
            </w:r>
          </w:p>
        </w:tc>
        <w:tc>
          <w:tcPr>
            <w:tcW w:w="274" w:type="pct"/>
            <w:tcBorders>
              <w:bottom w:val="single" w:sz="4" w:space="0" w:color="auto"/>
            </w:tcBorders>
            <w:shd w:val="clear" w:color="auto" w:fill="auto"/>
            <w:tcMar>
              <w:top w:w="28" w:type="dxa"/>
              <w:left w:w="28" w:type="dxa"/>
            </w:tcMar>
          </w:tcPr>
          <w:p w14:paraId="378F4807" w14:textId="77777777" w:rsidR="008F47B8" w:rsidRPr="006D52A9" w:rsidRDefault="008F47B8" w:rsidP="00FB6D2D">
            <w:pPr>
              <w:pStyle w:val="mps3-data"/>
              <w:spacing w:before="0" w:after="0"/>
              <w:rPr>
                <w:rFonts w:eastAsia="SimSun"/>
                <w:szCs w:val="16"/>
              </w:rPr>
            </w:pPr>
          </w:p>
        </w:tc>
        <w:tc>
          <w:tcPr>
            <w:tcW w:w="2867" w:type="pct"/>
            <w:tcBorders>
              <w:bottom w:val="single" w:sz="4" w:space="0" w:color="auto"/>
            </w:tcBorders>
            <w:shd w:val="clear" w:color="auto" w:fill="auto"/>
            <w:tcMar>
              <w:top w:w="28" w:type="dxa"/>
              <w:left w:w="28" w:type="dxa"/>
            </w:tcMar>
          </w:tcPr>
          <w:p w14:paraId="0ECB0685" w14:textId="77777777" w:rsidR="008F47B8" w:rsidRPr="006D52A9" w:rsidRDefault="008F47B8" w:rsidP="00FB6D2D">
            <w:pPr>
              <w:pStyle w:val="mps3-data"/>
              <w:spacing w:before="0" w:after="0"/>
              <w:rPr>
                <w:rFonts w:eastAsia="SimSun"/>
                <w:szCs w:val="16"/>
              </w:rPr>
            </w:pPr>
            <w:r w:rsidRPr="006D52A9">
              <w:rPr>
                <w:rFonts w:eastAsia="SimSun"/>
                <w:szCs w:val="16"/>
              </w:rPr>
              <w:t>Severe thrombocytopenia</w:t>
            </w:r>
            <w:r w:rsidRPr="006D52A9">
              <w:rPr>
                <w:rFonts w:eastAsia="SimSun"/>
                <w:szCs w:val="16"/>
              </w:rPr>
              <w:br/>
              <w:t>Balance of supply or change of therapy within 24 weeks initial treatment</w:t>
            </w:r>
            <w:r w:rsidRPr="006D52A9">
              <w:rPr>
                <w:rFonts w:eastAsia="SimSun"/>
                <w:szCs w:val="16"/>
              </w:rPr>
              <w:br/>
              <w:t>The condition must be severe chronic immune (idiopathic) thrombocytopenic purpura (ITP);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thrombopoietin receptor agonist (TRA) for this condition; AND</w:t>
            </w:r>
            <w:r w:rsidRPr="006D52A9">
              <w:rPr>
                <w:rFonts w:eastAsia="SimSun"/>
                <w:szCs w:val="16"/>
              </w:rPr>
              <w:br/>
              <w:t>Patient must have received insufficient therapy with this drug for this condition under the Initial 1 restriction to complete 24 weeks treatment; OR</w:t>
            </w:r>
            <w:r w:rsidRPr="006D52A9">
              <w:rPr>
                <w:rFonts w:eastAsia="SimSun"/>
                <w:szCs w:val="16"/>
              </w:rPr>
              <w:br/>
              <w:t>Patient must have received insufficient therapy with this drug for this condition under the Initial 2 restriction to complete 24 weeks treatment; OR</w:t>
            </w:r>
            <w:r w:rsidRPr="006D52A9">
              <w:rPr>
                <w:rFonts w:eastAsia="SimSun"/>
                <w:szCs w:val="16"/>
              </w:rPr>
              <w:br/>
              <w:t>Patient must be swapping therapy from eltrombopag to this drug for this condition within the initial 24 weeks of treatment; OR</w:t>
            </w:r>
            <w:r w:rsidRPr="006D52A9">
              <w:rPr>
                <w:rFonts w:eastAsia="SimSun"/>
                <w:szCs w:val="16"/>
              </w:rPr>
              <w:br/>
              <w:t>Patient must have received insufficient therapy with this drug for this condition under the First Continuing treatment or Re</w:t>
            </w:r>
            <w:r w:rsidR="0026100E">
              <w:rPr>
                <w:rFonts w:eastAsia="SimSun"/>
                <w:szCs w:val="16"/>
              </w:rPr>
              <w:noBreakHyphen/>
            </w:r>
            <w:r w:rsidRPr="006D52A9">
              <w:rPr>
                <w:rFonts w:eastAsia="SimSun"/>
                <w:szCs w:val="16"/>
              </w:rPr>
              <w:t>initiation of interrupted continuing treatment restriction to complete 24 weeks treatment; OR</w:t>
            </w:r>
            <w:r w:rsidRPr="006D52A9">
              <w:rPr>
                <w:rFonts w:eastAsia="SimSun"/>
                <w:szCs w:val="16"/>
              </w:rPr>
              <w:br/>
              <w:t>Patient must have received insufficient therapy with this drug for this condition under the Second and subsequent Continuing treatment restriction to complete 24 weeks treatment; AND</w:t>
            </w:r>
            <w:r w:rsidRPr="006D52A9">
              <w:rPr>
                <w:rFonts w:eastAsia="SimSun"/>
                <w:szCs w:val="16"/>
              </w:rPr>
              <w:br/>
              <w:t>The treatment must provide no more than the balance of up to 24 weeks treatment available under the above restriction.</w:t>
            </w:r>
            <w:r w:rsidRPr="006D52A9">
              <w:rPr>
                <w:rFonts w:eastAsia="SimSun"/>
                <w:szCs w:val="16"/>
              </w:rPr>
              <w:br/>
              <w:t>Patient must be aged 18 years or older.</w:t>
            </w:r>
            <w:r w:rsidRPr="006D52A9">
              <w:rPr>
                <w:rFonts w:eastAsia="SimSun"/>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eastAsia="SimSun"/>
                <w:szCs w:val="16"/>
              </w:rPr>
              <w:noBreakHyphen/>
            </w:r>
            <w:r w:rsidRPr="006D52A9">
              <w:rPr>
                <w:rFonts w:eastAsia="SimSun"/>
                <w:szCs w:val="16"/>
              </w:rPr>
              <w:t>subsidised treatment with either of these drugs.</w:t>
            </w:r>
          </w:p>
        </w:tc>
        <w:tc>
          <w:tcPr>
            <w:tcW w:w="929" w:type="pct"/>
            <w:tcBorders>
              <w:bottom w:val="single" w:sz="4" w:space="0" w:color="auto"/>
            </w:tcBorders>
            <w:shd w:val="clear" w:color="auto" w:fill="auto"/>
            <w:tcMar>
              <w:top w:w="28" w:type="dxa"/>
              <w:left w:w="28" w:type="dxa"/>
              <w:right w:w="57" w:type="dxa"/>
            </w:tcMar>
          </w:tcPr>
          <w:p w14:paraId="1DC5C4DB" w14:textId="77777777" w:rsidR="008F47B8" w:rsidRPr="006D52A9" w:rsidRDefault="008F47B8" w:rsidP="00FB6D2D">
            <w:pPr>
              <w:pStyle w:val="mps3-data"/>
              <w:spacing w:before="0" w:after="0"/>
              <w:rPr>
                <w:rFonts w:eastAsia="SimSun"/>
                <w:szCs w:val="16"/>
              </w:rPr>
            </w:pPr>
            <w:r w:rsidRPr="006D52A9">
              <w:rPr>
                <w:rFonts w:eastAsia="SimSun"/>
                <w:szCs w:val="16"/>
              </w:rPr>
              <w:t>Compliance with Authority Required procedures</w:t>
            </w:r>
            <w:r w:rsidRPr="006D52A9">
              <w:rPr>
                <w:rFonts w:eastAsia="SimSun"/>
                <w:szCs w:val="16"/>
              </w:rPr>
              <w:br/>
            </w:r>
          </w:p>
        </w:tc>
      </w:tr>
      <w:tr w:rsidR="008F47B8" w:rsidRPr="006D52A9" w:rsidDel="002B0452" w14:paraId="6FD93F48" w14:textId="77777777" w:rsidTr="00FB6D2D">
        <w:tc>
          <w:tcPr>
            <w:tcW w:w="647" w:type="pct"/>
            <w:tcBorders>
              <w:bottom w:val="single" w:sz="4" w:space="0" w:color="auto"/>
            </w:tcBorders>
            <w:shd w:val="clear" w:color="auto" w:fill="auto"/>
            <w:tcMar>
              <w:top w:w="28" w:type="dxa"/>
              <w:left w:w="28" w:type="dxa"/>
            </w:tcMar>
          </w:tcPr>
          <w:p w14:paraId="5BDA2E39" w14:textId="77777777" w:rsidR="008F47B8" w:rsidRPr="006D52A9" w:rsidDel="002B0452" w:rsidRDefault="008F47B8" w:rsidP="00FB6D2D">
            <w:pPr>
              <w:pStyle w:val="mps3-data"/>
              <w:spacing w:before="0" w:after="0"/>
              <w:rPr>
                <w:rFonts w:eastAsia="SimSun"/>
                <w:szCs w:val="16"/>
              </w:rPr>
            </w:pPr>
          </w:p>
        </w:tc>
        <w:tc>
          <w:tcPr>
            <w:tcW w:w="283" w:type="pct"/>
            <w:tcBorders>
              <w:bottom w:val="single" w:sz="4" w:space="0" w:color="auto"/>
            </w:tcBorders>
            <w:shd w:val="clear" w:color="auto" w:fill="auto"/>
            <w:tcMar>
              <w:top w:w="28" w:type="dxa"/>
              <w:left w:w="28" w:type="dxa"/>
            </w:tcMar>
          </w:tcPr>
          <w:p w14:paraId="5C2C24F6" w14:textId="77777777" w:rsidR="008F47B8" w:rsidRPr="006D52A9" w:rsidRDefault="008F47B8" w:rsidP="00FB6D2D">
            <w:pPr>
              <w:pStyle w:val="mps3-data"/>
              <w:spacing w:before="0" w:after="0"/>
              <w:rPr>
                <w:rFonts w:eastAsia="SimSun"/>
                <w:szCs w:val="16"/>
              </w:rPr>
            </w:pPr>
            <w:r w:rsidRPr="006D52A9">
              <w:rPr>
                <w:rFonts w:eastAsia="SimSun"/>
                <w:szCs w:val="16"/>
              </w:rPr>
              <w:t>C11266</w:t>
            </w:r>
          </w:p>
        </w:tc>
        <w:tc>
          <w:tcPr>
            <w:tcW w:w="274" w:type="pct"/>
            <w:tcBorders>
              <w:bottom w:val="single" w:sz="4" w:space="0" w:color="auto"/>
            </w:tcBorders>
            <w:shd w:val="clear" w:color="auto" w:fill="auto"/>
            <w:tcMar>
              <w:top w:w="28" w:type="dxa"/>
              <w:left w:w="28" w:type="dxa"/>
            </w:tcMar>
          </w:tcPr>
          <w:p w14:paraId="2492CC8F" w14:textId="77777777" w:rsidR="008F47B8" w:rsidRPr="006D52A9" w:rsidRDefault="008F47B8" w:rsidP="00FB6D2D">
            <w:pPr>
              <w:pStyle w:val="mps3-data"/>
              <w:spacing w:before="0" w:after="0"/>
              <w:rPr>
                <w:rFonts w:eastAsia="SimSun"/>
                <w:szCs w:val="16"/>
              </w:rPr>
            </w:pPr>
          </w:p>
        </w:tc>
        <w:tc>
          <w:tcPr>
            <w:tcW w:w="2867" w:type="pct"/>
            <w:tcBorders>
              <w:bottom w:val="single" w:sz="4" w:space="0" w:color="auto"/>
            </w:tcBorders>
            <w:shd w:val="clear" w:color="auto" w:fill="auto"/>
            <w:tcMar>
              <w:top w:w="28" w:type="dxa"/>
              <w:left w:w="28" w:type="dxa"/>
            </w:tcMar>
          </w:tcPr>
          <w:p w14:paraId="2EBE3F99" w14:textId="77777777" w:rsidR="008F47B8" w:rsidRPr="006D52A9" w:rsidRDefault="008F47B8" w:rsidP="00FB6D2D">
            <w:pPr>
              <w:pStyle w:val="mps3-data"/>
              <w:spacing w:before="0" w:after="0"/>
              <w:rPr>
                <w:rFonts w:eastAsia="SimSun"/>
                <w:szCs w:val="16"/>
              </w:rPr>
            </w:pPr>
            <w:r w:rsidRPr="006D52A9">
              <w:rPr>
                <w:rFonts w:eastAsia="SimSun"/>
                <w:szCs w:val="16"/>
              </w:rPr>
              <w:t>Severe thrombocytopenia</w:t>
            </w:r>
            <w:r w:rsidRPr="006D52A9">
              <w:rPr>
                <w:rFonts w:eastAsia="SimSun"/>
                <w:szCs w:val="16"/>
              </w:rPr>
              <w:br/>
              <w:t xml:space="preserve">Initial treatment 1 </w:t>
            </w:r>
            <w:r w:rsidR="0026100E">
              <w:rPr>
                <w:rFonts w:eastAsia="SimSun"/>
                <w:szCs w:val="16"/>
              </w:rPr>
              <w:noBreakHyphen/>
            </w:r>
            <w:r w:rsidRPr="006D52A9">
              <w:rPr>
                <w:rFonts w:eastAsia="SimSun"/>
                <w:szCs w:val="16"/>
              </w:rPr>
              <w:t xml:space="preserve"> New patient</w:t>
            </w:r>
            <w:r w:rsidRPr="006D52A9">
              <w:rPr>
                <w:rFonts w:eastAsia="SimSun"/>
                <w:szCs w:val="16"/>
              </w:rPr>
              <w:br/>
              <w:t>The condition must be severe chronic immune (idiopathic) thrombocytopenic purpura (ITP); AND</w:t>
            </w:r>
            <w:r w:rsidRPr="006D52A9">
              <w:rPr>
                <w:rFonts w:eastAsia="SimSun"/>
                <w:szCs w:val="16"/>
              </w:rPr>
              <w:br/>
            </w:r>
            <w:r w:rsidRPr="006D52A9">
              <w:rPr>
                <w:rFonts w:eastAsia="SimSun"/>
                <w:szCs w:val="16"/>
              </w:rPr>
              <w:lastRenderedPageBreak/>
              <w:t>Patient must have had a splenectomy; AND</w:t>
            </w:r>
            <w:r w:rsidRPr="006D52A9">
              <w:rPr>
                <w:rFonts w:eastAsia="SimSun"/>
                <w:szCs w:val="16"/>
              </w:rPr>
              <w:br/>
              <w:t>Patient must have failed to achieve an adequate response to, or be intolerant to, corticosteroid therapy following the splenectomy; AND</w:t>
            </w:r>
            <w:r w:rsidRPr="006D52A9">
              <w:rPr>
                <w:rFonts w:eastAsia="SimSun"/>
                <w:szCs w:val="16"/>
              </w:rPr>
              <w:br/>
              <w:t>Patient must have failed to achieve an adequate response to, or be intolerant to, immunoglobulin therapy following the splenectomy;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thrombopoietin receptor agonist (TRA) for this condition.</w:t>
            </w:r>
            <w:r w:rsidRPr="006D52A9">
              <w:rPr>
                <w:rFonts w:eastAsia="SimSun"/>
                <w:szCs w:val="16"/>
              </w:rPr>
              <w:br/>
              <w:t>Patient must be aged 18 years or older.</w:t>
            </w:r>
            <w:r w:rsidRPr="006D52A9">
              <w:rPr>
                <w:rFonts w:eastAsia="SimSun"/>
                <w:szCs w:val="16"/>
              </w:rPr>
              <w:br/>
              <w:t>The following criteria indicate failure to achieve an adequate response and must be demonstrated at the time of initial application;</w:t>
            </w:r>
            <w:r w:rsidRPr="006D52A9">
              <w:rPr>
                <w:rFonts w:eastAsia="SimSun"/>
                <w:szCs w:val="16"/>
              </w:rPr>
              <w:br/>
              <w:t>(a) a platelet count of less than or equal to 20,000 million per L; OR</w:t>
            </w:r>
            <w:r w:rsidRPr="006D52A9">
              <w:rPr>
                <w:rFonts w:eastAsia="SimSun"/>
                <w:szCs w:val="16"/>
              </w:rPr>
              <w:br/>
              <w:t>(b) a platelet count of 20,000 million to 30,000 million per L, where the patient is experiencing significant bleeding or has a history of significant bleeding in this platelet range.</w:t>
            </w:r>
            <w:r w:rsidRPr="006D52A9">
              <w:rPr>
                <w:rFonts w:eastAsia="SimSun"/>
                <w:szCs w:val="16"/>
              </w:rPr>
              <w:br/>
              <w:t>Where intolerance to treatment with corticosteroid and immunoglobulin therapy developed during the relevant period of use, which was of a severity to necessitate permanent treatment withdrawal, details of the degree of this toxicity must be provided at the time of application.</w:t>
            </w:r>
            <w:r w:rsidRPr="006D52A9">
              <w:rPr>
                <w:rFonts w:eastAsia="SimSun"/>
                <w:szCs w:val="16"/>
              </w:rPr>
              <w:br/>
              <w:t>At the time of the written authority application, medical practitioners should request the appropriate quantity of vials of appropriate strength to provide sufficient drug for a single treatment at a dose of 1 microgram/kg. Up to 1 repeat may be requested with the initial written application.</w:t>
            </w:r>
            <w:r w:rsidRPr="006D52A9">
              <w:rPr>
                <w:rFonts w:eastAsia="SimSun"/>
                <w:szCs w:val="16"/>
              </w:rPr>
              <w:br/>
              <w:t>Subsequently during the initial period of dose titration, authority applications for a single dose and up to 1 repeat may be requested by telephone. The dose (microgram/kg/week) must be provided at the time of application.</w:t>
            </w:r>
            <w:r w:rsidRPr="006D52A9">
              <w:rPr>
                <w:rFonts w:eastAsia="SimSun"/>
                <w:szCs w:val="16"/>
              </w:rPr>
              <w:br/>
              <w:t>Once a patient's dose has been stable for a period of 4 weeks, authority approvals for sufficient vials of appropriate strength based on the weight of the patient and dose (microgram/kg/week) for up to 4 weeks of treatment and up to 4 repeats may be granted, as long as the total period of treatment authorised under this restriction does not exceed 24 weeks.</w:t>
            </w:r>
            <w:r w:rsidRPr="006D52A9">
              <w:rPr>
                <w:rFonts w:eastAsia="SimSun"/>
                <w:szCs w:val="16"/>
              </w:rPr>
              <w:br/>
              <w:t>Authority approval will not be given for doses higher than 10 micrograms/kg/week</w:t>
            </w:r>
            <w:r w:rsidRPr="006D52A9">
              <w:rPr>
                <w:rFonts w:eastAsia="SimSun"/>
                <w:szCs w:val="16"/>
              </w:rPr>
              <w:br/>
              <w:t>The authority application must be made in writing and must include:</w:t>
            </w:r>
            <w:r w:rsidRPr="006D52A9">
              <w:rPr>
                <w:rFonts w:eastAsia="SimSun"/>
                <w:szCs w:val="16"/>
              </w:rPr>
              <w:br/>
              <w:t>(1) a completed authority prescription form,</w:t>
            </w:r>
            <w:r w:rsidRPr="006D52A9">
              <w:rPr>
                <w:rFonts w:eastAsia="SimSun"/>
                <w:szCs w:val="16"/>
              </w:rPr>
              <w:br/>
              <w:t xml:space="preserve">(2) a completed Idiopathic Thrombocytopenic Purpura Initial PBS Authority Application </w:t>
            </w:r>
            <w:r w:rsidR="0026100E">
              <w:rPr>
                <w:rFonts w:eastAsia="SimSun"/>
                <w:szCs w:val="16"/>
              </w:rPr>
              <w:noBreakHyphen/>
            </w:r>
            <w:r w:rsidRPr="006D52A9">
              <w:rPr>
                <w:rFonts w:eastAsia="SimSun"/>
                <w:szCs w:val="16"/>
              </w:rPr>
              <w:t xml:space="preserve"> Supporting Information Form,</w:t>
            </w:r>
            <w:r w:rsidRPr="006D52A9">
              <w:rPr>
                <w:rFonts w:eastAsia="SimSun"/>
                <w:szCs w:val="16"/>
              </w:rPr>
              <w:br/>
              <w:t>(3) details of a platelet count supporting the diagnosis of ITP.</w:t>
            </w:r>
            <w:r w:rsidRPr="006D52A9">
              <w:rPr>
                <w:rFonts w:eastAsia="SimSun"/>
                <w:szCs w:val="16"/>
              </w:rPr>
              <w:br/>
              <w:t>The platelet count must be no more than 4 weeks old at the time of application.</w:t>
            </w:r>
            <w:r w:rsidRPr="006D52A9">
              <w:rPr>
                <w:rFonts w:eastAsia="SimSun"/>
                <w:szCs w:val="16"/>
              </w:rPr>
              <w:br/>
              <w:t>Patients will be able to trial either eltrombopag or romiplostim within the initial 24 weeks treatment period. Where a patient has started initial treatment with one of the two agents, change of therapy to the alternative agent may be authorised under the Balance of supply or change of therapy restriction to complete up to 24 weeks initial treatment. Patients who fail to demonstrate a response to treatment with eltrombopag and/or romiplostim after completion of 24 weeks initial therapy will not be eligible to receive further PBS</w:t>
            </w:r>
            <w:r w:rsidR="0026100E">
              <w:rPr>
                <w:rFonts w:eastAsia="SimSun"/>
                <w:szCs w:val="16"/>
              </w:rPr>
              <w:noBreakHyphen/>
            </w:r>
            <w:r w:rsidRPr="006D52A9">
              <w:rPr>
                <w:rFonts w:eastAsia="SimSun"/>
                <w:szCs w:val="16"/>
              </w:rPr>
              <w:t>subsidised treatment with either of these drugs.</w:t>
            </w:r>
          </w:p>
        </w:tc>
        <w:tc>
          <w:tcPr>
            <w:tcW w:w="929" w:type="pct"/>
            <w:tcBorders>
              <w:bottom w:val="single" w:sz="4" w:space="0" w:color="auto"/>
            </w:tcBorders>
            <w:shd w:val="clear" w:color="auto" w:fill="auto"/>
            <w:tcMar>
              <w:top w:w="28" w:type="dxa"/>
              <w:left w:w="28" w:type="dxa"/>
              <w:right w:w="57" w:type="dxa"/>
            </w:tcMar>
          </w:tcPr>
          <w:p w14:paraId="539AAC85"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r w:rsidRPr="006D52A9">
              <w:rPr>
                <w:rFonts w:eastAsia="SimSun"/>
                <w:szCs w:val="16"/>
              </w:rPr>
              <w:br/>
            </w:r>
          </w:p>
        </w:tc>
      </w:tr>
      <w:tr w:rsidR="008F47B8" w:rsidRPr="006D52A9" w:rsidDel="002B0452" w14:paraId="31DB8DC3" w14:textId="77777777" w:rsidTr="00FB6D2D">
        <w:tc>
          <w:tcPr>
            <w:tcW w:w="647" w:type="pct"/>
            <w:tcBorders>
              <w:bottom w:val="single" w:sz="4" w:space="0" w:color="auto"/>
            </w:tcBorders>
            <w:shd w:val="clear" w:color="auto" w:fill="auto"/>
            <w:tcMar>
              <w:top w:w="28" w:type="dxa"/>
              <w:left w:w="28" w:type="dxa"/>
            </w:tcMar>
          </w:tcPr>
          <w:p w14:paraId="7C5DAC9B" w14:textId="77777777" w:rsidR="008F47B8" w:rsidRPr="006D52A9" w:rsidDel="002B0452" w:rsidRDefault="008F47B8" w:rsidP="00FB6D2D">
            <w:pPr>
              <w:pStyle w:val="mps3-data"/>
              <w:spacing w:before="0" w:after="0"/>
              <w:rPr>
                <w:rFonts w:eastAsia="SimSun"/>
                <w:szCs w:val="16"/>
              </w:rPr>
            </w:pPr>
          </w:p>
        </w:tc>
        <w:tc>
          <w:tcPr>
            <w:tcW w:w="283" w:type="pct"/>
            <w:tcBorders>
              <w:bottom w:val="single" w:sz="4" w:space="0" w:color="auto"/>
            </w:tcBorders>
            <w:shd w:val="clear" w:color="auto" w:fill="auto"/>
            <w:tcMar>
              <w:top w:w="28" w:type="dxa"/>
              <w:left w:w="28" w:type="dxa"/>
            </w:tcMar>
          </w:tcPr>
          <w:p w14:paraId="30B3B577" w14:textId="77777777" w:rsidR="008F47B8" w:rsidRPr="006D52A9" w:rsidRDefault="008F47B8" w:rsidP="00FB6D2D">
            <w:pPr>
              <w:pStyle w:val="mps3-data"/>
              <w:spacing w:before="0" w:after="0"/>
              <w:rPr>
                <w:rFonts w:eastAsia="SimSun"/>
                <w:szCs w:val="16"/>
              </w:rPr>
            </w:pPr>
            <w:r w:rsidRPr="006D52A9">
              <w:rPr>
                <w:rFonts w:eastAsia="SimSun"/>
                <w:szCs w:val="16"/>
              </w:rPr>
              <w:t>C11267</w:t>
            </w:r>
          </w:p>
        </w:tc>
        <w:tc>
          <w:tcPr>
            <w:tcW w:w="274" w:type="pct"/>
            <w:tcBorders>
              <w:bottom w:val="single" w:sz="4" w:space="0" w:color="auto"/>
            </w:tcBorders>
            <w:shd w:val="clear" w:color="auto" w:fill="auto"/>
            <w:tcMar>
              <w:top w:w="28" w:type="dxa"/>
              <w:left w:w="28" w:type="dxa"/>
            </w:tcMar>
          </w:tcPr>
          <w:p w14:paraId="79455325" w14:textId="77777777" w:rsidR="008F47B8" w:rsidRPr="006D52A9" w:rsidRDefault="008F47B8" w:rsidP="00FB6D2D">
            <w:pPr>
              <w:pStyle w:val="mps3-data"/>
              <w:spacing w:before="0" w:after="0"/>
              <w:rPr>
                <w:rFonts w:eastAsia="SimSun"/>
                <w:szCs w:val="16"/>
              </w:rPr>
            </w:pPr>
          </w:p>
        </w:tc>
        <w:tc>
          <w:tcPr>
            <w:tcW w:w="2867" w:type="pct"/>
            <w:tcBorders>
              <w:bottom w:val="single" w:sz="4" w:space="0" w:color="auto"/>
            </w:tcBorders>
            <w:shd w:val="clear" w:color="auto" w:fill="auto"/>
            <w:tcMar>
              <w:top w:w="28" w:type="dxa"/>
              <w:left w:w="28" w:type="dxa"/>
            </w:tcMar>
          </w:tcPr>
          <w:p w14:paraId="7393A621" w14:textId="77777777" w:rsidR="008F47B8" w:rsidRPr="006D52A9" w:rsidRDefault="008F47B8" w:rsidP="00FB6D2D">
            <w:pPr>
              <w:pStyle w:val="mps3-data"/>
              <w:spacing w:before="0" w:after="0"/>
              <w:rPr>
                <w:rFonts w:eastAsia="SimSun"/>
                <w:szCs w:val="16"/>
              </w:rPr>
            </w:pPr>
            <w:r w:rsidRPr="006D52A9">
              <w:rPr>
                <w:rFonts w:eastAsia="SimSun"/>
                <w:szCs w:val="16"/>
              </w:rPr>
              <w:t>Severe thrombocytopenia</w:t>
            </w:r>
            <w:r w:rsidRPr="006D52A9">
              <w:rPr>
                <w:rFonts w:eastAsia="SimSun"/>
                <w:szCs w:val="16"/>
              </w:rPr>
              <w:br/>
              <w:t>First Continuing treatment or Re</w:t>
            </w:r>
            <w:r w:rsidR="0026100E">
              <w:rPr>
                <w:rFonts w:eastAsia="SimSun"/>
                <w:szCs w:val="16"/>
              </w:rPr>
              <w:noBreakHyphen/>
            </w:r>
            <w:r w:rsidRPr="006D52A9">
              <w:rPr>
                <w:rFonts w:eastAsia="SimSun"/>
                <w:szCs w:val="16"/>
              </w:rPr>
              <w:t>initiation of interrupted continuing treatment</w:t>
            </w:r>
            <w:r w:rsidRPr="006D52A9">
              <w:rPr>
                <w:rFonts w:eastAsia="SimSun"/>
                <w:szCs w:val="16"/>
              </w:rPr>
              <w:br/>
            </w:r>
            <w:r w:rsidRPr="006D52A9">
              <w:rPr>
                <w:rFonts w:eastAsia="SimSun"/>
                <w:szCs w:val="16"/>
              </w:rPr>
              <w:lastRenderedPageBreak/>
              <w:t>The condition must be severe chronic immune (idiopathic) thrombocytopenic purpura (ITP); AND</w:t>
            </w:r>
            <w:r w:rsidRPr="006D52A9">
              <w:rPr>
                <w:rFonts w:eastAsia="SimSun"/>
                <w:szCs w:val="16"/>
              </w:rPr>
              <w:br/>
              <w:t>Patient must have demonstrated a sustained platelet response to PBS</w:t>
            </w:r>
            <w:r w:rsidR="0026100E">
              <w:rPr>
                <w:rFonts w:eastAsia="SimSun"/>
                <w:szCs w:val="16"/>
              </w:rPr>
              <w:noBreakHyphen/>
            </w:r>
            <w:r w:rsidRPr="006D52A9">
              <w:rPr>
                <w:rFonts w:eastAsia="SimSun"/>
                <w:szCs w:val="16"/>
              </w:rPr>
              <w:t>subsidised treatment with this drug for this condition under the Initial treatment restriction if the patient has not had a treatment break; OR</w:t>
            </w:r>
            <w:r w:rsidRPr="006D52A9">
              <w:rPr>
                <w:rFonts w:eastAsia="SimSun"/>
                <w:szCs w:val="16"/>
              </w:rPr>
              <w:br/>
              <w:t>Patient must have demonstrated a sustained platelet response to the most recent PBS</w:t>
            </w:r>
            <w:r w:rsidR="0026100E">
              <w:rPr>
                <w:rFonts w:eastAsia="SimSun"/>
                <w:szCs w:val="16"/>
              </w:rPr>
              <w:noBreakHyphen/>
            </w:r>
            <w:r w:rsidRPr="006D52A9">
              <w:rPr>
                <w:rFonts w:eastAsia="SimSun"/>
                <w:szCs w:val="16"/>
              </w:rPr>
              <w:t>subsidised treatment with this drug for this condition prior to interrupted treatment; AND</w:t>
            </w:r>
            <w:r w:rsidRPr="006D52A9">
              <w:rPr>
                <w:rFonts w:eastAsia="SimSun"/>
                <w:szCs w:val="16"/>
              </w:rPr>
              <w:br/>
              <w:t>Patient must not have previously received PBS</w:t>
            </w:r>
            <w:r w:rsidR="0026100E">
              <w:rPr>
                <w:rFonts w:eastAsia="SimSun"/>
                <w:szCs w:val="16"/>
              </w:rPr>
              <w:noBreakHyphen/>
            </w:r>
            <w:r w:rsidRPr="006D52A9">
              <w:rPr>
                <w:rFonts w:eastAsia="SimSun"/>
                <w:szCs w:val="16"/>
              </w:rPr>
              <w:t>subsidised continuing treatment with eltrombopag for this condition;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thrombopoietin receptor agonist (TRA) for this condition.</w:t>
            </w:r>
            <w:r w:rsidRPr="006D52A9">
              <w:rPr>
                <w:rFonts w:eastAsia="SimSun"/>
                <w:szCs w:val="16"/>
              </w:rPr>
              <w:br/>
              <w:t>Patient must be aged 18 years or older.</w:t>
            </w:r>
            <w:r w:rsidRPr="006D52A9">
              <w:rPr>
                <w:rFonts w:eastAsia="SimSun"/>
                <w:szCs w:val="16"/>
              </w:rPr>
              <w:br/>
              <w:t>For the purposes of this restriction, a sustained platelet response is defined as:</w:t>
            </w:r>
            <w:r w:rsidRPr="006D52A9">
              <w:rPr>
                <w:rFonts w:eastAsia="SimSun"/>
                <w:szCs w:val="16"/>
              </w:rPr>
              <w:br/>
              <w:t>(a) use of rescue medication (corticosteroids or immunoglobulins) on no more than one occasion during the initial period of PBS</w:t>
            </w:r>
            <w:r w:rsidR="0026100E">
              <w:rPr>
                <w:rFonts w:eastAsia="SimSun"/>
                <w:szCs w:val="16"/>
              </w:rPr>
              <w:noBreakHyphen/>
            </w:r>
            <w:r w:rsidRPr="006D52A9">
              <w:rPr>
                <w:rFonts w:eastAsia="SimSun"/>
                <w:szCs w:val="16"/>
              </w:rPr>
              <w:t>subsidised treatment with this drug,</w:t>
            </w:r>
            <w:r w:rsidRPr="006D52A9">
              <w:rPr>
                <w:rFonts w:eastAsia="SimSun"/>
                <w:szCs w:val="16"/>
              </w:rPr>
              <w:br/>
              <w:t>AND either of the following:</w:t>
            </w:r>
            <w:r w:rsidRPr="006D52A9">
              <w:rPr>
                <w:rFonts w:eastAsia="SimSun"/>
                <w:szCs w:val="16"/>
              </w:rPr>
              <w:br/>
              <w:t>(b) a platelet count greater than or equal to 50,000 million per L on at least four (4) occasions, each at least one week apart;</w:t>
            </w:r>
            <w:r w:rsidRPr="006D52A9">
              <w:rPr>
                <w:rFonts w:eastAsia="SimSun"/>
                <w:szCs w:val="16"/>
              </w:rPr>
              <w:br/>
              <w:t>OR</w:t>
            </w:r>
            <w:r w:rsidRPr="006D52A9">
              <w:rPr>
                <w:rFonts w:eastAsia="SimSun"/>
                <w:szCs w:val="16"/>
              </w:rPr>
              <w:br/>
              <w:t>(c) a platelet count greater than 30,000 million per L and which is double the baseline (pre</w:t>
            </w:r>
            <w:r w:rsidR="0026100E">
              <w:rPr>
                <w:rFonts w:eastAsia="SimSun"/>
                <w:szCs w:val="16"/>
              </w:rPr>
              <w:noBreakHyphen/>
            </w:r>
            <w:r w:rsidRPr="006D52A9">
              <w:rPr>
                <w:rFonts w:eastAsia="SimSun"/>
                <w:szCs w:val="16"/>
              </w:rPr>
              <w:t>treatment) platelet count on at least four (4) occasions, each at least one week apart.</w:t>
            </w:r>
            <w:r w:rsidRPr="006D52A9">
              <w:rPr>
                <w:rFonts w:eastAsia="SimSun"/>
                <w:szCs w:val="16"/>
              </w:rPr>
              <w:br/>
              <w:t>The medical practitioner should request sufficient number of vials of appropriate strength based on the weight of the patient and dose (microgram/kg/week) to provide 4 weeks of treatment. Up to a maximum of 5 repeats may be authorised.</w:t>
            </w:r>
            <w:r w:rsidRPr="006D52A9">
              <w:rPr>
                <w:rFonts w:eastAsia="SimSun"/>
                <w:szCs w:val="16"/>
              </w:rPr>
              <w:br/>
              <w:t>Authority approval will not be given for doses higher than 10 micrograms/kg/week</w:t>
            </w:r>
            <w:r w:rsidRPr="006D52A9">
              <w:rPr>
                <w:rFonts w:eastAsia="SimSun"/>
                <w:szCs w:val="16"/>
              </w:rPr>
              <w:br/>
              <w:t>Applications for the First continuing PBS</w:t>
            </w:r>
            <w:r w:rsidR="0026100E">
              <w:rPr>
                <w:rFonts w:eastAsia="SimSun"/>
                <w:szCs w:val="16"/>
              </w:rPr>
              <w:noBreakHyphen/>
            </w:r>
            <w:r w:rsidRPr="006D52A9">
              <w:rPr>
                <w:rFonts w:eastAsia="SimSun"/>
                <w:szCs w:val="16"/>
              </w:rPr>
              <w:t>subsidised treatment or Re</w:t>
            </w:r>
            <w:r w:rsidR="0026100E">
              <w:rPr>
                <w:rFonts w:eastAsia="SimSun"/>
                <w:szCs w:val="16"/>
              </w:rPr>
              <w:noBreakHyphen/>
            </w:r>
            <w:r w:rsidRPr="006D52A9">
              <w:rPr>
                <w:rFonts w:eastAsia="SimSun"/>
                <w:szCs w:val="16"/>
              </w:rPr>
              <w:t>initiation of interrupted PBS</w:t>
            </w:r>
            <w:r w:rsidR="0026100E">
              <w:rPr>
                <w:rFonts w:eastAsia="SimSun"/>
                <w:szCs w:val="16"/>
              </w:rPr>
              <w:noBreakHyphen/>
            </w:r>
            <w:r w:rsidRPr="006D52A9">
              <w:rPr>
                <w:rFonts w:eastAsia="SimSun"/>
                <w:szCs w:val="16"/>
              </w:rPr>
              <w:t>subsidised continuing treatment must be made in writing and must include:</w:t>
            </w:r>
            <w:r w:rsidRPr="006D52A9">
              <w:rPr>
                <w:rFonts w:eastAsia="SimSun"/>
                <w:szCs w:val="16"/>
              </w:rPr>
              <w:br/>
              <w:t>(1) a completed authority prescription form, and</w:t>
            </w:r>
            <w:r w:rsidRPr="006D52A9">
              <w:rPr>
                <w:rFonts w:eastAsia="SimSun"/>
                <w:szCs w:val="16"/>
              </w:rPr>
              <w:br/>
              <w:t xml:space="preserve">(2) a completed Idiopathic Thrombocytopenic Purpura Continuing PBS Authority Application </w:t>
            </w:r>
            <w:r w:rsidR="0026100E">
              <w:rPr>
                <w:rFonts w:eastAsia="SimSun"/>
                <w:szCs w:val="16"/>
              </w:rPr>
              <w:noBreakHyphen/>
            </w:r>
            <w:r w:rsidRPr="006D52A9">
              <w:rPr>
                <w:rFonts w:eastAsia="SimSun"/>
                <w:szCs w:val="16"/>
              </w:rPr>
              <w:t xml:space="preserve"> Supporting Information Form, and</w:t>
            </w:r>
            <w:r w:rsidRPr="006D52A9">
              <w:rPr>
                <w:rFonts w:eastAsia="SimSun"/>
                <w:szCs w:val="16"/>
              </w:rPr>
              <w:br/>
              <w:t>(3) the most recent platelet count.</w:t>
            </w:r>
            <w:r w:rsidRPr="006D52A9">
              <w:rPr>
                <w:rFonts w:eastAsia="SimSun"/>
                <w:szCs w:val="16"/>
              </w:rPr>
              <w:br/>
              <w:t>The platelet count must be conducted no later than 4 weeks from the date of completion of the most recent PBS</w:t>
            </w:r>
            <w:r w:rsidR="0026100E">
              <w:rPr>
                <w:rFonts w:eastAsia="SimSun"/>
                <w:szCs w:val="16"/>
              </w:rPr>
              <w:noBreakHyphen/>
            </w:r>
            <w:r w:rsidRPr="006D52A9">
              <w:rPr>
                <w:rFonts w:eastAsia="SimSun"/>
                <w:szCs w:val="16"/>
              </w:rPr>
              <w:t>subsidised course of treatment with this drug.</w:t>
            </w:r>
          </w:p>
        </w:tc>
        <w:tc>
          <w:tcPr>
            <w:tcW w:w="929" w:type="pct"/>
            <w:tcBorders>
              <w:bottom w:val="single" w:sz="4" w:space="0" w:color="auto"/>
            </w:tcBorders>
            <w:shd w:val="clear" w:color="auto" w:fill="auto"/>
            <w:tcMar>
              <w:top w:w="28" w:type="dxa"/>
              <w:left w:w="28" w:type="dxa"/>
              <w:right w:w="57" w:type="dxa"/>
            </w:tcMar>
          </w:tcPr>
          <w:p w14:paraId="02592B37"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r w:rsidRPr="006D52A9">
              <w:rPr>
                <w:rFonts w:eastAsia="SimSun"/>
                <w:szCs w:val="16"/>
              </w:rPr>
              <w:br/>
            </w:r>
          </w:p>
        </w:tc>
      </w:tr>
      <w:tr w:rsidR="008F47B8" w:rsidRPr="006D52A9" w:rsidDel="002B0452" w14:paraId="5C693422" w14:textId="77777777" w:rsidTr="00FB6D2D">
        <w:tc>
          <w:tcPr>
            <w:tcW w:w="647" w:type="pct"/>
            <w:tcBorders>
              <w:bottom w:val="single" w:sz="4" w:space="0" w:color="auto"/>
            </w:tcBorders>
            <w:shd w:val="clear" w:color="auto" w:fill="auto"/>
            <w:tcMar>
              <w:top w:w="28" w:type="dxa"/>
              <w:left w:w="28" w:type="dxa"/>
            </w:tcMar>
          </w:tcPr>
          <w:p w14:paraId="4EDA2ED5" w14:textId="77777777" w:rsidR="008F47B8" w:rsidRPr="006D52A9" w:rsidDel="002B0452" w:rsidRDefault="008F47B8" w:rsidP="00FB6D2D">
            <w:pPr>
              <w:pStyle w:val="mps3-data"/>
              <w:spacing w:before="0" w:after="0"/>
              <w:rPr>
                <w:rFonts w:eastAsia="SimSun"/>
                <w:szCs w:val="16"/>
              </w:rPr>
            </w:pPr>
          </w:p>
        </w:tc>
        <w:tc>
          <w:tcPr>
            <w:tcW w:w="283" w:type="pct"/>
            <w:tcBorders>
              <w:bottom w:val="single" w:sz="4" w:space="0" w:color="auto"/>
            </w:tcBorders>
            <w:shd w:val="clear" w:color="auto" w:fill="auto"/>
            <w:tcMar>
              <w:top w:w="28" w:type="dxa"/>
              <w:left w:w="28" w:type="dxa"/>
            </w:tcMar>
          </w:tcPr>
          <w:p w14:paraId="23438CAE" w14:textId="77777777" w:rsidR="008F47B8" w:rsidRPr="006D52A9" w:rsidRDefault="008F47B8" w:rsidP="00FB6D2D">
            <w:pPr>
              <w:pStyle w:val="mps3-data"/>
              <w:spacing w:before="0" w:after="0"/>
              <w:rPr>
                <w:rFonts w:eastAsia="SimSun"/>
                <w:szCs w:val="16"/>
              </w:rPr>
            </w:pPr>
            <w:r w:rsidRPr="006D52A9">
              <w:rPr>
                <w:rFonts w:eastAsia="SimSun"/>
                <w:szCs w:val="16"/>
              </w:rPr>
              <w:t>C11289</w:t>
            </w:r>
          </w:p>
        </w:tc>
        <w:tc>
          <w:tcPr>
            <w:tcW w:w="274" w:type="pct"/>
            <w:tcBorders>
              <w:bottom w:val="single" w:sz="4" w:space="0" w:color="auto"/>
            </w:tcBorders>
            <w:shd w:val="clear" w:color="auto" w:fill="auto"/>
            <w:tcMar>
              <w:top w:w="28" w:type="dxa"/>
              <w:left w:w="28" w:type="dxa"/>
            </w:tcMar>
          </w:tcPr>
          <w:p w14:paraId="7178A6E1" w14:textId="77777777" w:rsidR="008F47B8" w:rsidRPr="006D52A9" w:rsidRDefault="008F47B8" w:rsidP="00FB6D2D">
            <w:pPr>
              <w:pStyle w:val="mps3-data"/>
              <w:spacing w:before="0" w:after="0"/>
              <w:rPr>
                <w:rFonts w:eastAsia="SimSun"/>
                <w:szCs w:val="16"/>
              </w:rPr>
            </w:pPr>
          </w:p>
        </w:tc>
        <w:tc>
          <w:tcPr>
            <w:tcW w:w="2867" w:type="pct"/>
            <w:tcBorders>
              <w:bottom w:val="single" w:sz="4" w:space="0" w:color="auto"/>
            </w:tcBorders>
            <w:shd w:val="clear" w:color="auto" w:fill="auto"/>
            <w:tcMar>
              <w:top w:w="28" w:type="dxa"/>
              <w:left w:w="28" w:type="dxa"/>
            </w:tcMar>
          </w:tcPr>
          <w:p w14:paraId="3CA7045E" w14:textId="77777777" w:rsidR="008F47B8" w:rsidRPr="006D52A9" w:rsidRDefault="008F47B8" w:rsidP="00FB6D2D">
            <w:pPr>
              <w:pStyle w:val="mps3-data"/>
              <w:spacing w:before="0" w:after="0"/>
              <w:rPr>
                <w:rFonts w:eastAsia="SimSun"/>
                <w:szCs w:val="16"/>
              </w:rPr>
            </w:pPr>
            <w:r w:rsidRPr="006D52A9">
              <w:rPr>
                <w:rFonts w:eastAsia="SimSun"/>
                <w:szCs w:val="16"/>
              </w:rPr>
              <w:t>Severe thrombocytopenia</w:t>
            </w:r>
            <w:r w:rsidRPr="006D52A9">
              <w:rPr>
                <w:rFonts w:eastAsia="SimSun"/>
                <w:szCs w:val="16"/>
              </w:rPr>
              <w:br/>
              <w:t>Second or Subsequent Continuing treatment</w:t>
            </w:r>
            <w:r w:rsidRPr="006D52A9">
              <w:rPr>
                <w:rFonts w:eastAsia="SimSun"/>
                <w:szCs w:val="16"/>
              </w:rPr>
              <w:br/>
              <w:t>The condition must be severe chronic immune (idiopathic) thrombocytopenic purpura (ITP); AND</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treatment with this drug for this condition under first continuing or re</w:t>
            </w:r>
            <w:r w:rsidR="0026100E">
              <w:rPr>
                <w:rFonts w:eastAsia="SimSun"/>
                <w:szCs w:val="16"/>
              </w:rPr>
              <w:noBreakHyphen/>
            </w:r>
            <w:r w:rsidRPr="006D52A9">
              <w:rPr>
                <w:rFonts w:eastAsia="SimSun"/>
                <w:szCs w:val="16"/>
              </w:rPr>
              <w:t>initiation of interrupted continuing treatment restriction; AND</w:t>
            </w:r>
            <w:r w:rsidRPr="006D52A9">
              <w:rPr>
                <w:rFonts w:eastAsia="SimSun"/>
                <w:szCs w:val="16"/>
              </w:rPr>
              <w:br/>
              <w:t>Patient must have demonstrated a continuing response to PBS</w:t>
            </w:r>
            <w:r w:rsidR="0026100E">
              <w:rPr>
                <w:rFonts w:eastAsia="SimSun"/>
                <w:szCs w:val="16"/>
              </w:rPr>
              <w:noBreakHyphen/>
            </w:r>
            <w:r w:rsidRPr="006D52A9">
              <w:rPr>
                <w:rFonts w:eastAsia="SimSun"/>
                <w:szCs w:val="16"/>
              </w:rPr>
              <w:t>subsidised treatment with this drug; AND</w:t>
            </w:r>
            <w:r w:rsidRPr="006D52A9">
              <w:rPr>
                <w:rFonts w:eastAsia="SimSun"/>
                <w:szCs w:val="16"/>
              </w:rPr>
              <w:br/>
              <w:t>The treatment must be the sole PBS</w:t>
            </w:r>
            <w:r w:rsidR="0026100E">
              <w:rPr>
                <w:rFonts w:eastAsia="SimSun"/>
                <w:szCs w:val="16"/>
              </w:rPr>
              <w:noBreakHyphen/>
            </w:r>
            <w:r w:rsidRPr="006D52A9">
              <w:rPr>
                <w:rFonts w:eastAsia="SimSun"/>
                <w:szCs w:val="16"/>
              </w:rPr>
              <w:t>subsidised thrombopoietin receptor agonist (TRA) for this condition.</w:t>
            </w:r>
            <w:r w:rsidRPr="006D52A9">
              <w:rPr>
                <w:rFonts w:eastAsia="SimSun"/>
                <w:szCs w:val="16"/>
              </w:rPr>
              <w:br/>
              <w:t>Patient must be aged 18 years or older.</w:t>
            </w:r>
            <w:r w:rsidRPr="006D52A9">
              <w:rPr>
                <w:rFonts w:eastAsia="SimSun"/>
                <w:szCs w:val="16"/>
              </w:rPr>
              <w:br/>
            </w:r>
            <w:r w:rsidRPr="006D52A9">
              <w:rPr>
                <w:rFonts w:eastAsia="SimSun"/>
                <w:szCs w:val="16"/>
              </w:rPr>
              <w:lastRenderedPageBreak/>
              <w:t>For the purpose of this restriction, a continuing response to treatment with drug is defined as:</w:t>
            </w:r>
            <w:r w:rsidRPr="006D52A9">
              <w:rPr>
                <w:rFonts w:eastAsia="SimSun"/>
                <w:szCs w:val="16"/>
              </w:rPr>
              <w:br/>
              <w:t>(a) use of rescue medication (corticosteroids or immunoglobulins) on no more than one occasion during the most recent 24 week period of PBS</w:t>
            </w:r>
            <w:r w:rsidR="0026100E">
              <w:rPr>
                <w:rFonts w:eastAsia="SimSun"/>
                <w:szCs w:val="16"/>
              </w:rPr>
              <w:noBreakHyphen/>
            </w:r>
            <w:r w:rsidRPr="006D52A9">
              <w:rPr>
                <w:rFonts w:eastAsia="SimSun"/>
                <w:szCs w:val="16"/>
              </w:rPr>
              <w:t>subsidised treatment with this drug</w:t>
            </w:r>
            <w:r w:rsidRPr="006D52A9">
              <w:rPr>
                <w:rFonts w:eastAsia="SimSun"/>
                <w:szCs w:val="16"/>
              </w:rPr>
              <w:br/>
              <w:t>AND either of the following:</w:t>
            </w:r>
            <w:r w:rsidRPr="006D52A9">
              <w:rPr>
                <w:rFonts w:eastAsia="SimSun"/>
                <w:szCs w:val="16"/>
              </w:rPr>
              <w:br/>
              <w:t>(b) a platelet count greater than or equal to 50,000 million per L</w:t>
            </w:r>
            <w:r w:rsidRPr="006D52A9">
              <w:rPr>
                <w:rFonts w:eastAsia="SimSun"/>
                <w:szCs w:val="16"/>
              </w:rPr>
              <w:br/>
              <w:t>OR</w:t>
            </w:r>
            <w:r w:rsidRPr="006D52A9">
              <w:rPr>
                <w:rFonts w:eastAsia="SimSun"/>
                <w:szCs w:val="16"/>
              </w:rPr>
              <w:br/>
              <w:t>(c) a platelet count greater than 30,000 million per L and which is double the baseline platelet count.</w:t>
            </w:r>
            <w:r w:rsidRPr="006D52A9">
              <w:rPr>
                <w:rFonts w:eastAsia="SimSun"/>
                <w:szCs w:val="16"/>
              </w:rPr>
              <w:br/>
              <w:t>The platelet count must be no more than 4 weeks old at the time of application.</w:t>
            </w:r>
            <w:r w:rsidRPr="006D52A9">
              <w:rPr>
                <w:rFonts w:eastAsia="SimSun"/>
                <w:szCs w:val="16"/>
              </w:rPr>
              <w:br/>
              <w:t>The medical practitioner should request sufficient number of vials of appropriate strength based on the weight of the patient and dose (microgram/kg/week) to provide 4 weeks of treatment. Up to a maximum of 5 repeats may be authorised.</w:t>
            </w:r>
            <w:r w:rsidRPr="006D52A9">
              <w:rPr>
                <w:rFonts w:eastAsia="SimSun"/>
                <w:szCs w:val="16"/>
              </w:rPr>
              <w:br/>
              <w:t>Authority approval will not be given for doses higher than 10 micrograms/kg/week</w:t>
            </w:r>
          </w:p>
        </w:tc>
        <w:tc>
          <w:tcPr>
            <w:tcW w:w="929" w:type="pct"/>
            <w:tcBorders>
              <w:bottom w:val="single" w:sz="4" w:space="0" w:color="auto"/>
            </w:tcBorders>
            <w:shd w:val="clear" w:color="auto" w:fill="auto"/>
            <w:tcMar>
              <w:top w:w="28" w:type="dxa"/>
              <w:left w:w="28" w:type="dxa"/>
              <w:right w:w="57" w:type="dxa"/>
            </w:tcMar>
          </w:tcPr>
          <w:p w14:paraId="6E5F6316"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Authority Required procedures</w:t>
            </w:r>
            <w:r w:rsidRPr="006D52A9">
              <w:rPr>
                <w:rFonts w:eastAsia="SimSun"/>
                <w:szCs w:val="16"/>
              </w:rPr>
              <w:br/>
            </w:r>
          </w:p>
        </w:tc>
      </w:tr>
      <w:tr w:rsidR="008F47B8" w:rsidRPr="006D52A9" w:rsidDel="00E97A10" w14:paraId="0C2CB926" w14:textId="77777777" w:rsidTr="00FB6D2D">
        <w:trPr>
          <w:cantSplit/>
        </w:trPr>
        <w:tc>
          <w:tcPr>
            <w:tcW w:w="647" w:type="pct"/>
            <w:tcMar>
              <w:top w:w="28" w:type="dxa"/>
              <w:left w:w="28" w:type="dxa"/>
            </w:tcMar>
          </w:tcPr>
          <w:p w14:paraId="4B01E0FB" w14:textId="77777777" w:rsidR="008F47B8" w:rsidRPr="006D52A9" w:rsidDel="00E97A10" w:rsidRDefault="008F47B8" w:rsidP="00FB6D2D">
            <w:pPr>
              <w:spacing w:line="240" w:lineRule="auto"/>
              <w:rPr>
                <w:rFonts w:ascii="Arial" w:eastAsia="SimSun" w:hAnsi="Arial" w:cs="Arial"/>
                <w:sz w:val="16"/>
                <w:szCs w:val="16"/>
                <w:lang w:eastAsia="zh-CN"/>
              </w:rPr>
            </w:pPr>
            <w:bookmarkStart w:id="220" w:name="CU_503781723"/>
            <w:bookmarkStart w:id="221" w:name="CU_504789509"/>
            <w:bookmarkStart w:id="222" w:name="CU_505792506"/>
            <w:bookmarkStart w:id="223" w:name="CU_506796685"/>
            <w:bookmarkStart w:id="224" w:name="CU_507799764"/>
            <w:bookmarkStart w:id="225" w:name="CU_509804555"/>
            <w:bookmarkEnd w:id="220"/>
            <w:bookmarkEnd w:id="221"/>
            <w:bookmarkEnd w:id="222"/>
            <w:bookmarkEnd w:id="223"/>
            <w:bookmarkEnd w:id="224"/>
            <w:bookmarkEnd w:id="225"/>
            <w:r w:rsidRPr="006D52A9">
              <w:rPr>
                <w:rFonts w:ascii="Arial" w:eastAsia="SimSun" w:hAnsi="Arial" w:cs="Arial"/>
                <w:sz w:val="16"/>
                <w:szCs w:val="16"/>
                <w:lang w:eastAsia="zh-CN"/>
              </w:rPr>
              <w:t>Saquinavir</w:t>
            </w:r>
          </w:p>
        </w:tc>
        <w:tc>
          <w:tcPr>
            <w:tcW w:w="283" w:type="pct"/>
            <w:tcMar>
              <w:top w:w="28" w:type="dxa"/>
              <w:left w:w="28" w:type="dxa"/>
            </w:tcMar>
          </w:tcPr>
          <w:p w14:paraId="2220D4DA"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C4454</w:t>
            </w:r>
          </w:p>
        </w:tc>
        <w:tc>
          <w:tcPr>
            <w:tcW w:w="274" w:type="pct"/>
            <w:tcMar>
              <w:top w:w="28" w:type="dxa"/>
              <w:left w:w="28" w:type="dxa"/>
            </w:tcMar>
          </w:tcPr>
          <w:p w14:paraId="6092769A"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DDCCFC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4B1B08D6"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 AND</w:t>
            </w:r>
            <w:r w:rsidRPr="006D52A9">
              <w:rPr>
                <w:rFonts w:ascii="Arial" w:eastAsia="SimSun" w:hAnsi="Arial" w:cs="Arial"/>
                <w:sz w:val="16"/>
                <w:szCs w:val="16"/>
                <w:lang w:eastAsia="zh-CN"/>
              </w:rPr>
              <w:br/>
              <w:t>The treatment must be in combination with other antiretroviral agents</w:t>
            </w:r>
          </w:p>
        </w:tc>
        <w:tc>
          <w:tcPr>
            <w:tcW w:w="929" w:type="pct"/>
            <w:tcMar>
              <w:top w:w="28" w:type="dxa"/>
              <w:left w:w="28" w:type="dxa"/>
              <w:right w:w="57" w:type="dxa"/>
            </w:tcMar>
          </w:tcPr>
          <w:p w14:paraId="672EDEF8"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4454</w:t>
            </w:r>
          </w:p>
        </w:tc>
      </w:tr>
      <w:tr w:rsidR="008F47B8" w:rsidRPr="006D52A9" w:rsidDel="00E97A10" w14:paraId="65F8FE66" w14:textId="77777777" w:rsidTr="00FB6D2D">
        <w:trPr>
          <w:cantSplit/>
        </w:trPr>
        <w:tc>
          <w:tcPr>
            <w:tcW w:w="647" w:type="pct"/>
            <w:tcMar>
              <w:top w:w="28" w:type="dxa"/>
              <w:left w:w="28" w:type="dxa"/>
            </w:tcMar>
          </w:tcPr>
          <w:p w14:paraId="2AC78D3F"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4826455"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C4512</w:t>
            </w:r>
          </w:p>
        </w:tc>
        <w:tc>
          <w:tcPr>
            <w:tcW w:w="274" w:type="pct"/>
            <w:tcMar>
              <w:top w:w="28" w:type="dxa"/>
              <w:left w:w="28" w:type="dxa"/>
            </w:tcMar>
          </w:tcPr>
          <w:p w14:paraId="594FDE6E"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814FBB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0809D947"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 AND</w:t>
            </w:r>
            <w:r w:rsidRPr="006D52A9">
              <w:rPr>
                <w:rFonts w:ascii="Arial" w:eastAsia="SimSun" w:hAnsi="Arial" w:cs="Arial"/>
                <w:sz w:val="16"/>
                <w:szCs w:val="16"/>
                <w:lang w:eastAsia="zh-CN"/>
              </w:rPr>
              <w:br/>
              <w:t>The treatment must be in combination with other antiretroviral agents</w:t>
            </w:r>
          </w:p>
        </w:tc>
        <w:tc>
          <w:tcPr>
            <w:tcW w:w="929" w:type="pct"/>
            <w:tcMar>
              <w:top w:w="28" w:type="dxa"/>
              <w:left w:w="28" w:type="dxa"/>
              <w:right w:w="57" w:type="dxa"/>
            </w:tcMar>
          </w:tcPr>
          <w:p w14:paraId="7CE12FF0"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4512</w:t>
            </w:r>
          </w:p>
        </w:tc>
      </w:tr>
      <w:tr w:rsidR="008F47B8" w:rsidRPr="006D52A9" w:rsidDel="00E97A10" w14:paraId="6AF88D35" w14:textId="77777777" w:rsidTr="00FB6D2D">
        <w:tc>
          <w:tcPr>
            <w:tcW w:w="647" w:type="pct"/>
            <w:tcMar>
              <w:top w:w="28" w:type="dxa"/>
              <w:left w:w="28" w:type="dxa"/>
            </w:tcMar>
          </w:tcPr>
          <w:p w14:paraId="1C4484C5" w14:textId="77777777" w:rsidR="008F47B8" w:rsidRPr="006D52A9" w:rsidDel="00E97A10" w:rsidRDefault="008F47B8" w:rsidP="00FB6D2D">
            <w:pPr>
              <w:spacing w:line="240" w:lineRule="auto"/>
              <w:rPr>
                <w:rFonts w:ascii="Arial" w:hAnsi="Arial" w:cs="Arial"/>
                <w:sz w:val="16"/>
                <w:szCs w:val="16"/>
              </w:rPr>
            </w:pPr>
            <w:r w:rsidRPr="006D52A9">
              <w:rPr>
                <w:rFonts w:ascii="Arial" w:hAnsi="Arial" w:cs="Arial"/>
                <w:sz w:val="16"/>
                <w:szCs w:val="16"/>
              </w:rPr>
              <w:t>Selexipag</w:t>
            </w:r>
          </w:p>
        </w:tc>
        <w:tc>
          <w:tcPr>
            <w:tcW w:w="283" w:type="pct"/>
            <w:tcMar>
              <w:top w:w="28" w:type="dxa"/>
              <w:left w:w="28" w:type="dxa"/>
            </w:tcMar>
          </w:tcPr>
          <w:p w14:paraId="0BA63AC2"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C11193 </w:t>
            </w:r>
          </w:p>
        </w:tc>
        <w:tc>
          <w:tcPr>
            <w:tcW w:w="274" w:type="pct"/>
            <w:tcMar>
              <w:top w:w="28" w:type="dxa"/>
              <w:left w:w="28" w:type="dxa"/>
            </w:tcMar>
          </w:tcPr>
          <w:p w14:paraId="0328D901" w14:textId="77777777" w:rsidR="008F47B8" w:rsidRPr="006D52A9" w:rsidDel="00E97A10" w:rsidRDefault="008F47B8" w:rsidP="00FB6D2D">
            <w:pPr>
              <w:spacing w:line="240" w:lineRule="auto"/>
              <w:rPr>
                <w:rFonts w:ascii="Arial" w:hAnsi="Arial" w:cs="Arial"/>
                <w:sz w:val="16"/>
                <w:szCs w:val="16"/>
              </w:rPr>
            </w:pPr>
            <w:r w:rsidRPr="006D52A9">
              <w:rPr>
                <w:rFonts w:ascii="Arial" w:hAnsi="Arial" w:cs="Arial"/>
                <w:sz w:val="16"/>
                <w:szCs w:val="16"/>
              </w:rPr>
              <w:t>P11193</w:t>
            </w:r>
          </w:p>
        </w:tc>
        <w:tc>
          <w:tcPr>
            <w:tcW w:w="2867" w:type="pct"/>
            <w:tcMar>
              <w:top w:w="28" w:type="dxa"/>
              <w:left w:w="28" w:type="dxa"/>
            </w:tcMar>
          </w:tcPr>
          <w:p w14:paraId="5119BB8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Continuing treatment</w:t>
            </w:r>
            <w:r w:rsidRPr="006D52A9">
              <w:rPr>
                <w:rFonts w:ascii="Arial" w:hAnsi="Arial" w:cs="Arial"/>
                <w:sz w:val="16"/>
                <w:szCs w:val="16"/>
              </w:rPr>
              <w:br/>
              <w:t>Patient must have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not have developed disease progression while receiving treatment with this drug for this condition; AND</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selexipag (referred to as 'triple therapy'); OR</w:t>
            </w:r>
            <w:r w:rsidRPr="006D52A9">
              <w:rPr>
                <w:rFonts w:ascii="Arial" w:hAnsi="Arial" w:cs="Arial"/>
                <w:sz w:val="16"/>
                <w:szCs w:val="16"/>
              </w:rPr>
              <w:br/>
              <w:t>The treatment must form part of dual combination therapy consisting of either: (i) selexipag with one endothelin receptor antagonist, (ii)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 AND</w:t>
            </w:r>
            <w:r w:rsidRPr="006D52A9">
              <w:rPr>
                <w:rFonts w:ascii="Arial" w:hAnsi="Arial" w:cs="Arial"/>
                <w:sz w:val="16"/>
                <w:szCs w:val="16"/>
              </w:rPr>
              <w:br/>
              <w:t>The treatment must not be as monotherapy.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For the purposes of administering this restriction, disease progression has developed if at least one of the following has occurred:</w:t>
            </w:r>
            <w:r w:rsidRPr="006D52A9">
              <w:rPr>
                <w:rFonts w:ascii="Arial" w:hAnsi="Arial" w:cs="Arial"/>
                <w:sz w:val="16"/>
                <w:szCs w:val="16"/>
              </w:rPr>
              <w:br/>
              <w:t>(i) Hospitalisation due to worsening PAH;</w:t>
            </w:r>
            <w:r w:rsidRPr="006D52A9">
              <w:rPr>
                <w:rFonts w:ascii="Arial" w:hAnsi="Arial" w:cs="Arial"/>
                <w:sz w:val="16"/>
                <w:szCs w:val="16"/>
              </w:rPr>
              <w:br/>
              <w:t>(ii) Deterioration of aerobic capacity/endurance, consisting of at least a 15% decrease in 6</w:t>
            </w:r>
            <w:r w:rsidR="0026100E">
              <w:rPr>
                <w:rFonts w:ascii="Arial" w:hAnsi="Arial" w:cs="Arial"/>
                <w:sz w:val="16"/>
                <w:szCs w:val="16"/>
              </w:rPr>
              <w:noBreakHyphen/>
            </w:r>
            <w:r w:rsidRPr="006D52A9">
              <w:rPr>
                <w:rFonts w:ascii="Arial" w:hAnsi="Arial" w:cs="Arial"/>
                <w:sz w:val="16"/>
                <w:szCs w:val="16"/>
              </w:rPr>
              <w:t xml:space="preserve">Minute Walk </w:t>
            </w:r>
            <w:r w:rsidRPr="006D52A9">
              <w:rPr>
                <w:rFonts w:ascii="Arial" w:hAnsi="Arial" w:cs="Arial"/>
                <w:sz w:val="16"/>
                <w:szCs w:val="16"/>
              </w:rPr>
              <w:lastRenderedPageBreak/>
              <w:t>Distance from baseline, combined with worsening of WHO functional class status;</w:t>
            </w:r>
            <w:r w:rsidRPr="006D52A9">
              <w:rPr>
                <w:rFonts w:ascii="Arial" w:hAnsi="Arial" w:cs="Arial"/>
                <w:sz w:val="16"/>
                <w:szCs w:val="16"/>
              </w:rPr>
              <w:br/>
              <w:t>(iii) Deterioration of aerobic capacity/endurance, consisting of at least a 15% decrease in 6</w:t>
            </w:r>
            <w:r w:rsidR="0026100E">
              <w:rPr>
                <w:rFonts w:ascii="Arial" w:hAnsi="Arial" w:cs="Arial"/>
                <w:sz w:val="16"/>
                <w:szCs w:val="16"/>
              </w:rPr>
              <w:noBreakHyphen/>
            </w:r>
            <w:r w:rsidRPr="006D52A9">
              <w:rPr>
                <w:rFonts w:ascii="Arial" w:hAnsi="Arial" w:cs="Arial"/>
                <w:sz w:val="16"/>
                <w:szCs w:val="16"/>
              </w:rPr>
              <w:t>Minute Walk Distance from baseline, combined with the need for additional PAH</w:t>
            </w:r>
            <w:r w:rsidR="0026100E">
              <w:rPr>
                <w:rFonts w:ascii="Arial" w:hAnsi="Arial" w:cs="Arial"/>
                <w:sz w:val="16"/>
                <w:szCs w:val="16"/>
              </w:rPr>
              <w:noBreakHyphen/>
            </w:r>
            <w:r w:rsidRPr="006D52A9">
              <w:rPr>
                <w:rFonts w:ascii="Arial" w:hAnsi="Arial" w:cs="Arial"/>
                <w:sz w:val="16"/>
                <w:szCs w:val="16"/>
              </w:rPr>
              <w:t>specific therapy;</w:t>
            </w:r>
            <w:r w:rsidRPr="006D52A9">
              <w:rPr>
                <w:rFonts w:ascii="Arial" w:hAnsi="Arial" w:cs="Arial"/>
                <w:sz w:val="16"/>
                <w:szCs w:val="16"/>
              </w:rPr>
              <w:br/>
              <w:t>(iv) Initiation of parenteral prostanoid therapy or long</w:t>
            </w:r>
            <w:r w:rsidR="0026100E">
              <w:rPr>
                <w:rFonts w:ascii="Arial" w:hAnsi="Arial" w:cs="Arial"/>
                <w:sz w:val="16"/>
                <w:szCs w:val="16"/>
              </w:rPr>
              <w:noBreakHyphen/>
            </w:r>
            <w:r w:rsidRPr="006D52A9">
              <w:rPr>
                <w:rFonts w:ascii="Arial" w:hAnsi="Arial" w:cs="Arial"/>
                <w:sz w:val="16"/>
                <w:szCs w:val="16"/>
              </w:rPr>
              <w:t>term oxygen therapy for worsening of PAH;</w:t>
            </w:r>
            <w:r w:rsidRPr="006D52A9">
              <w:rPr>
                <w:rFonts w:ascii="Arial" w:hAnsi="Arial" w:cs="Arial"/>
                <w:sz w:val="16"/>
                <w:szCs w:val="16"/>
              </w:rPr>
              <w:br/>
              <w:t>(v) Need for lung transplantation or balloon atrial septostomy for worsening of PAH.</w:t>
            </w:r>
          </w:p>
        </w:tc>
        <w:tc>
          <w:tcPr>
            <w:tcW w:w="929" w:type="pct"/>
            <w:tcMar>
              <w:top w:w="28" w:type="dxa"/>
              <w:left w:w="28" w:type="dxa"/>
              <w:right w:w="57" w:type="dxa"/>
            </w:tcMar>
          </w:tcPr>
          <w:p w14:paraId="633B09E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896FCC" w14:paraId="1BAF24C4" w14:textId="77777777" w:rsidTr="00FB6D2D">
        <w:tc>
          <w:tcPr>
            <w:tcW w:w="647" w:type="pct"/>
            <w:tcMar>
              <w:top w:w="28" w:type="dxa"/>
              <w:left w:w="28" w:type="dxa"/>
            </w:tcMar>
          </w:tcPr>
          <w:p w14:paraId="5C4E085D" w14:textId="77777777" w:rsidR="008F47B8" w:rsidRPr="006D52A9" w:rsidDel="00896FCC" w:rsidRDefault="008F47B8" w:rsidP="00FB6D2D">
            <w:pPr>
              <w:spacing w:line="240" w:lineRule="auto"/>
              <w:rPr>
                <w:rFonts w:ascii="Arial" w:hAnsi="Arial" w:cs="Arial"/>
                <w:sz w:val="16"/>
                <w:szCs w:val="16"/>
              </w:rPr>
            </w:pPr>
          </w:p>
        </w:tc>
        <w:tc>
          <w:tcPr>
            <w:tcW w:w="283" w:type="pct"/>
            <w:tcMar>
              <w:top w:w="28" w:type="dxa"/>
              <w:left w:w="28" w:type="dxa"/>
            </w:tcMar>
          </w:tcPr>
          <w:p w14:paraId="38A3B705"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C11195</w:t>
            </w:r>
          </w:p>
        </w:tc>
        <w:tc>
          <w:tcPr>
            <w:tcW w:w="274" w:type="pct"/>
            <w:tcMar>
              <w:top w:w="28" w:type="dxa"/>
              <w:left w:w="28" w:type="dxa"/>
            </w:tcMar>
          </w:tcPr>
          <w:p w14:paraId="7BB10F7B"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P11195</w:t>
            </w:r>
          </w:p>
        </w:tc>
        <w:tc>
          <w:tcPr>
            <w:tcW w:w="2867" w:type="pct"/>
            <w:tcMar>
              <w:top w:w="28" w:type="dxa"/>
              <w:left w:w="28" w:type="dxa"/>
            </w:tcMar>
          </w:tcPr>
          <w:p w14:paraId="52ABEBA0"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Initial treatment following dose titration</w:t>
            </w:r>
            <w:r w:rsidRPr="006D52A9">
              <w:rPr>
                <w:rFonts w:ascii="Arial" w:hAnsi="Arial" w:cs="Arial"/>
                <w:sz w:val="16"/>
                <w:szCs w:val="16"/>
              </w:rPr>
              <w:br/>
              <w:t>Patient must have WHO Functional Class III PAH at treatment initiation with this drug; OR</w:t>
            </w:r>
            <w:r w:rsidRPr="006D52A9">
              <w:rPr>
                <w:rFonts w:ascii="Arial" w:hAnsi="Arial" w:cs="Arial"/>
                <w:sz w:val="16"/>
                <w:szCs w:val="16"/>
              </w:rPr>
              <w:br/>
              <w:t>Patient must have WHO Functional Class IV PAH at treatment initiation with this drug; AND</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selexipag (referred to as 'triple therapy'); OR</w:t>
            </w:r>
            <w:r w:rsidRPr="006D52A9">
              <w:rPr>
                <w:rFonts w:ascii="Arial" w:hAnsi="Arial" w:cs="Arial"/>
                <w:sz w:val="16"/>
                <w:szCs w:val="16"/>
              </w:rPr>
              <w:br/>
              <w:t>The treatment must form part of dual combination therapy consisting of either: (i) selexipag with one endothelin receptor antagonist, (ii)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 AND</w:t>
            </w:r>
            <w:r w:rsidRPr="006D52A9">
              <w:rPr>
                <w:rFonts w:ascii="Arial" w:hAnsi="Arial" w:cs="Arial"/>
                <w:sz w:val="16"/>
                <w:szCs w:val="16"/>
              </w:rPr>
              <w:br/>
              <w:t>Patient must have completed the dose titration phase; AND</w:t>
            </w:r>
            <w:r w:rsidRPr="006D52A9">
              <w:rPr>
                <w:rFonts w:ascii="Arial" w:hAnsi="Arial" w:cs="Arial"/>
                <w:sz w:val="16"/>
                <w:szCs w:val="16"/>
              </w:rPr>
              <w:br/>
              <w:t>The treatment must not be as monotherapy.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Patient must have had at least one PBS</w:t>
            </w:r>
            <w:r w:rsidR="0026100E">
              <w:rPr>
                <w:rFonts w:ascii="Arial" w:hAnsi="Arial" w:cs="Arial"/>
                <w:sz w:val="16"/>
                <w:szCs w:val="16"/>
              </w:rPr>
              <w:noBreakHyphen/>
            </w:r>
            <w:r w:rsidRPr="006D52A9">
              <w:rPr>
                <w:rFonts w:ascii="Arial" w:hAnsi="Arial" w:cs="Arial"/>
                <w:sz w:val="16"/>
                <w:szCs w:val="16"/>
              </w:rPr>
              <w:t>subsidised PAH agent prior to this authority application.</w:t>
            </w:r>
            <w:r w:rsidRPr="006D52A9">
              <w:rPr>
                <w:rFonts w:ascii="Arial" w:hAnsi="Arial" w:cs="Arial"/>
                <w:sz w:val="16"/>
                <w:szCs w:val="16"/>
              </w:rPr>
              <w:br/>
              <w:t xml:space="preserve">Select one appropriate strength (determined under the 'Initial treatment </w:t>
            </w:r>
            <w:r w:rsidR="0026100E">
              <w:rPr>
                <w:rFonts w:ascii="Arial" w:hAnsi="Arial" w:cs="Arial"/>
                <w:sz w:val="16"/>
                <w:szCs w:val="16"/>
              </w:rPr>
              <w:noBreakHyphen/>
            </w:r>
            <w:r w:rsidRPr="006D52A9">
              <w:rPr>
                <w:rFonts w:ascii="Arial" w:hAnsi="Arial" w:cs="Arial"/>
                <w:sz w:val="16"/>
                <w:szCs w:val="16"/>
              </w:rPr>
              <w:t xml:space="preserve"> dose titration' phase) and apply under this treatment phase (Initial treatment following dose titration) once only. Should future dose adjustments be required, apply under the 'Continuing treatment' restriction.</w:t>
            </w:r>
            <w:r w:rsidRPr="006D52A9">
              <w:rPr>
                <w:rFonts w:ascii="Arial" w:hAnsi="Arial" w:cs="Arial"/>
                <w:sz w:val="16"/>
                <w:szCs w:val="16"/>
              </w:rPr>
              <w:br/>
              <w:t>A prior PAH agent is any of: ambrisentan, bosentan, macitentan, sildenafil, tadalafil, epoprostenol, iloprost, riociguat.</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p>
        </w:tc>
        <w:tc>
          <w:tcPr>
            <w:tcW w:w="929" w:type="pct"/>
            <w:tcMar>
              <w:top w:w="28" w:type="dxa"/>
              <w:left w:w="28" w:type="dxa"/>
              <w:right w:w="57" w:type="dxa"/>
            </w:tcMar>
          </w:tcPr>
          <w:p w14:paraId="287B4267"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896FCC" w14:paraId="21E2BAE7" w14:textId="77777777" w:rsidTr="00FB6D2D">
        <w:tc>
          <w:tcPr>
            <w:tcW w:w="647" w:type="pct"/>
            <w:tcMar>
              <w:top w:w="28" w:type="dxa"/>
              <w:left w:w="28" w:type="dxa"/>
            </w:tcMar>
          </w:tcPr>
          <w:p w14:paraId="29222149" w14:textId="77777777" w:rsidR="008F47B8" w:rsidRPr="006D52A9" w:rsidDel="00896FCC" w:rsidRDefault="008F47B8" w:rsidP="00FB6D2D">
            <w:pPr>
              <w:spacing w:line="240" w:lineRule="auto"/>
              <w:rPr>
                <w:rFonts w:ascii="Arial" w:hAnsi="Arial" w:cs="Arial"/>
                <w:sz w:val="16"/>
                <w:szCs w:val="16"/>
              </w:rPr>
            </w:pPr>
          </w:p>
        </w:tc>
        <w:tc>
          <w:tcPr>
            <w:tcW w:w="283" w:type="pct"/>
            <w:tcMar>
              <w:top w:w="28" w:type="dxa"/>
              <w:left w:w="28" w:type="dxa"/>
            </w:tcMar>
          </w:tcPr>
          <w:p w14:paraId="1D63BC32"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C11241</w:t>
            </w:r>
          </w:p>
        </w:tc>
        <w:tc>
          <w:tcPr>
            <w:tcW w:w="274" w:type="pct"/>
            <w:tcMar>
              <w:top w:w="28" w:type="dxa"/>
              <w:left w:w="28" w:type="dxa"/>
            </w:tcMar>
          </w:tcPr>
          <w:p w14:paraId="1637995E"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P11241</w:t>
            </w:r>
          </w:p>
        </w:tc>
        <w:tc>
          <w:tcPr>
            <w:tcW w:w="2867" w:type="pct"/>
            <w:tcMar>
              <w:top w:w="28" w:type="dxa"/>
              <w:left w:w="28" w:type="dxa"/>
            </w:tcMar>
          </w:tcPr>
          <w:p w14:paraId="6E035E66"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Transitioning from non</w:t>
            </w:r>
            <w:r w:rsidR="0026100E">
              <w:rPr>
                <w:rFonts w:ascii="Arial" w:hAnsi="Arial" w:cs="Arial"/>
                <w:sz w:val="16"/>
                <w:szCs w:val="16"/>
              </w:rPr>
              <w:noBreakHyphen/>
            </w:r>
            <w:r w:rsidRPr="006D52A9">
              <w:rPr>
                <w:rFonts w:ascii="Arial" w:hAnsi="Arial" w:cs="Arial"/>
                <w:sz w:val="16"/>
                <w:szCs w:val="16"/>
              </w:rPr>
              <w:t>PBS subsidised to PBS</w:t>
            </w:r>
            <w:r w:rsidR="0026100E">
              <w:rPr>
                <w:rFonts w:ascii="Arial" w:hAnsi="Arial" w:cs="Arial"/>
                <w:sz w:val="16"/>
                <w:szCs w:val="16"/>
              </w:rPr>
              <w:noBreakHyphen/>
            </w:r>
            <w:r w:rsidRPr="006D52A9">
              <w:rPr>
                <w:rFonts w:ascii="Arial" w:hAnsi="Arial" w:cs="Arial"/>
                <w:sz w:val="16"/>
                <w:szCs w:val="16"/>
              </w:rPr>
              <w:t xml:space="preserve">subsidised supply </w:t>
            </w:r>
            <w:r w:rsidR="0026100E">
              <w:rPr>
                <w:rFonts w:ascii="Arial" w:hAnsi="Arial" w:cs="Arial"/>
                <w:sz w:val="16"/>
                <w:szCs w:val="16"/>
              </w:rPr>
              <w:noBreakHyphen/>
            </w:r>
            <w:r w:rsidRPr="006D52A9">
              <w:rPr>
                <w:rFonts w:ascii="Arial" w:hAnsi="Arial" w:cs="Arial"/>
                <w:sz w:val="16"/>
                <w:szCs w:val="16"/>
              </w:rPr>
              <w:t xml:space="preserve"> 'Grandfather' treatment</w:t>
            </w:r>
            <w:r w:rsidRPr="006D52A9">
              <w:rPr>
                <w:rFonts w:ascii="Arial" w:hAnsi="Arial" w:cs="Arial"/>
                <w:sz w:val="16"/>
                <w:szCs w:val="16"/>
              </w:rPr>
              <w:br/>
              <w:t>Patient must have received non</w:t>
            </w:r>
            <w:r w:rsidR="0026100E">
              <w:rPr>
                <w:rFonts w:ascii="Arial" w:hAnsi="Arial" w:cs="Arial"/>
                <w:sz w:val="16"/>
                <w:szCs w:val="16"/>
              </w:rPr>
              <w:noBreakHyphen/>
            </w:r>
            <w:r w:rsidRPr="006D52A9">
              <w:rPr>
                <w:rFonts w:ascii="Arial" w:hAnsi="Arial" w:cs="Arial"/>
                <w:sz w:val="16"/>
                <w:szCs w:val="16"/>
              </w:rPr>
              <w:t xml:space="preserve">PBS subsidised treatment with this drug prior to </w:t>
            </w:r>
            <w:r w:rsidR="003E082A" w:rsidRPr="006D52A9">
              <w:rPr>
                <w:rFonts w:ascii="Arial" w:hAnsi="Arial" w:cs="Arial"/>
                <w:sz w:val="16"/>
                <w:szCs w:val="16"/>
              </w:rPr>
              <w:t>1 February</w:t>
            </w:r>
            <w:r w:rsidRPr="006D52A9">
              <w:rPr>
                <w:rFonts w:ascii="Arial" w:hAnsi="Arial" w:cs="Arial"/>
                <w:sz w:val="16"/>
                <w:szCs w:val="16"/>
              </w:rPr>
              <w:t xml:space="preserve"> 2021; AND</w:t>
            </w:r>
            <w:r w:rsidRPr="006D52A9">
              <w:rPr>
                <w:rFonts w:ascii="Arial" w:hAnsi="Arial" w:cs="Arial"/>
                <w:sz w:val="16"/>
                <w:szCs w:val="16"/>
              </w:rPr>
              <w:br/>
              <w:t>Patient must have failed to achieve/maintain a WHO Functional Class II status with PAH agents (other than this agent) given as dual therapy, prior to treatment initiation with this drug; AND</w:t>
            </w:r>
            <w:r w:rsidRPr="006D52A9">
              <w:rPr>
                <w:rFonts w:ascii="Arial" w:hAnsi="Arial" w:cs="Arial"/>
                <w:sz w:val="16"/>
                <w:szCs w:val="16"/>
              </w:rPr>
              <w:br/>
            </w:r>
            <w:r w:rsidRPr="006D52A9">
              <w:rPr>
                <w:rFonts w:ascii="Arial" w:hAnsi="Arial" w:cs="Arial"/>
                <w:sz w:val="16"/>
                <w:szCs w:val="16"/>
              </w:rPr>
              <w:lastRenderedPageBreak/>
              <w:t>Patient must have had WHO Functional Class III PAH at treatment initiation with this drug; OR</w:t>
            </w:r>
            <w:r w:rsidRPr="006D52A9">
              <w:rPr>
                <w:rFonts w:ascii="Arial" w:hAnsi="Arial" w:cs="Arial"/>
                <w:sz w:val="16"/>
                <w:szCs w:val="16"/>
              </w:rPr>
              <w:br/>
              <w:t>Patient must have had WHO Functional Class IV PAH at treatment initiation with this drug; AND</w:t>
            </w:r>
            <w:r w:rsidRPr="006D52A9">
              <w:rPr>
                <w:rFonts w:ascii="Arial" w:hAnsi="Arial" w:cs="Arial"/>
                <w:sz w:val="16"/>
                <w:szCs w:val="16"/>
              </w:rPr>
              <w:br/>
              <w:t>Patient must not have developed disease progression while receiving treatment with this drug for this condition; AND</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selexipag (referred to as 'triple therapy'); OR</w:t>
            </w:r>
            <w:r w:rsidRPr="006D52A9">
              <w:rPr>
                <w:rFonts w:ascii="Arial" w:hAnsi="Arial" w:cs="Arial"/>
                <w:sz w:val="16"/>
                <w:szCs w:val="16"/>
              </w:rPr>
              <w:br/>
              <w:t>The treatment must form part of dual combination therapy consisting of either: (i) selexipag with one endothelin receptor antagonist, (ii)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 AND</w:t>
            </w:r>
            <w:r w:rsidRPr="006D52A9">
              <w:rPr>
                <w:rFonts w:ascii="Arial" w:hAnsi="Arial" w:cs="Arial"/>
                <w:sz w:val="16"/>
                <w:szCs w:val="16"/>
              </w:rPr>
              <w:br/>
              <w:t>The treatment must not be as monotherapy.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Patient must have had at least one PBS</w:t>
            </w:r>
            <w:r w:rsidR="0026100E">
              <w:rPr>
                <w:rFonts w:ascii="Arial" w:hAnsi="Arial" w:cs="Arial"/>
                <w:sz w:val="16"/>
                <w:szCs w:val="16"/>
              </w:rPr>
              <w:noBreakHyphen/>
            </w:r>
            <w:r w:rsidRPr="006D52A9">
              <w:rPr>
                <w:rFonts w:ascii="Arial" w:hAnsi="Arial" w:cs="Arial"/>
                <w:sz w:val="16"/>
                <w:szCs w:val="16"/>
              </w:rPr>
              <w:t>subsidised PAH agent prior to this authority application.</w:t>
            </w:r>
            <w:r w:rsidRPr="006D52A9">
              <w:rPr>
                <w:rFonts w:ascii="Arial" w:hAnsi="Arial" w:cs="Arial"/>
                <w:sz w:val="16"/>
                <w:szCs w:val="16"/>
              </w:rPr>
              <w:br/>
              <w:t>A prior PAH agent is any of: ambrisentan, bosentan, macitentan, sildenafil, tadalafil, epoprostenol, iloprost, riociguat.</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For the purposes of administering this restriction, disease progression has developed if at least one of the following has occurred:</w:t>
            </w:r>
            <w:r w:rsidRPr="006D52A9">
              <w:rPr>
                <w:rFonts w:ascii="Arial" w:hAnsi="Arial" w:cs="Arial"/>
                <w:sz w:val="16"/>
                <w:szCs w:val="16"/>
              </w:rPr>
              <w:br/>
              <w:t>(i) Hospitalisation due to worsening PAH;</w:t>
            </w:r>
            <w:r w:rsidRPr="006D52A9">
              <w:rPr>
                <w:rFonts w:ascii="Arial" w:hAnsi="Arial" w:cs="Arial"/>
                <w:sz w:val="16"/>
                <w:szCs w:val="16"/>
              </w:rPr>
              <w:br/>
              <w:t>(ii) Deterioration of aerobic capacity/endurance, consisting of at least a 15% decrease in 6</w:t>
            </w:r>
            <w:r w:rsidR="0026100E">
              <w:rPr>
                <w:rFonts w:ascii="Arial" w:hAnsi="Arial" w:cs="Arial"/>
                <w:sz w:val="16"/>
                <w:szCs w:val="16"/>
              </w:rPr>
              <w:noBreakHyphen/>
            </w:r>
            <w:r w:rsidRPr="006D52A9">
              <w:rPr>
                <w:rFonts w:ascii="Arial" w:hAnsi="Arial" w:cs="Arial"/>
                <w:sz w:val="16"/>
                <w:szCs w:val="16"/>
              </w:rPr>
              <w:t>Minute Walk Distance from baseline, combined with worsening of WHO functional class status;</w:t>
            </w:r>
            <w:r w:rsidRPr="006D52A9">
              <w:rPr>
                <w:rFonts w:ascii="Arial" w:hAnsi="Arial" w:cs="Arial"/>
                <w:sz w:val="16"/>
                <w:szCs w:val="16"/>
              </w:rPr>
              <w:br/>
              <w:t>(iii) Deterioration of aerobic capacity/endurance, consisting of at least a 15% decrease in 6</w:t>
            </w:r>
            <w:r w:rsidR="0026100E">
              <w:rPr>
                <w:rFonts w:ascii="Arial" w:hAnsi="Arial" w:cs="Arial"/>
                <w:sz w:val="16"/>
                <w:szCs w:val="16"/>
              </w:rPr>
              <w:noBreakHyphen/>
            </w:r>
            <w:r w:rsidRPr="006D52A9">
              <w:rPr>
                <w:rFonts w:ascii="Arial" w:hAnsi="Arial" w:cs="Arial"/>
                <w:sz w:val="16"/>
                <w:szCs w:val="16"/>
              </w:rPr>
              <w:t>Minute Walk Distance from baseline, combined with the need for additional PAH</w:t>
            </w:r>
            <w:r w:rsidR="0026100E">
              <w:rPr>
                <w:rFonts w:ascii="Arial" w:hAnsi="Arial" w:cs="Arial"/>
                <w:sz w:val="16"/>
                <w:szCs w:val="16"/>
              </w:rPr>
              <w:noBreakHyphen/>
            </w:r>
            <w:r w:rsidRPr="006D52A9">
              <w:rPr>
                <w:rFonts w:ascii="Arial" w:hAnsi="Arial" w:cs="Arial"/>
                <w:sz w:val="16"/>
                <w:szCs w:val="16"/>
              </w:rPr>
              <w:t>specific therapy;</w:t>
            </w:r>
            <w:r w:rsidRPr="006D52A9">
              <w:rPr>
                <w:rFonts w:ascii="Arial" w:hAnsi="Arial" w:cs="Arial"/>
                <w:sz w:val="16"/>
                <w:szCs w:val="16"/>
              </w:rPr>
              <w:br/>
              <w:t>(iv) Initiation of parenteral prostanoid therapy or long</w:t>
            </w:r>
            <w:r w:rsidR="0026100E">
              <w:rPr>
                <w:rFonts w:ascii="Arial" w:hAnsi="Arial" w:cs="Arial"/>
                <w:sz w:val="16"/>
                <w:szCs w:val="16"/>
              </w:rPr>
              <w:noBreakHyphen/>
            </w:r>
            <w:r w:rsidRPr="006D52A9">
              <w:rPr>
                <w:rFonts w:ascii="Arial" w:hAnsi="Arial" w:cs="Arial"/>
                <w:sz w:val="16"/>
                <w:szCs w:val="16"/>
              </w:rPr>
              <w:t>term oxygen therapy for worsening of PAH;</w:t>
            </w:r>
            <w:r w:rsidRPr="006D52A9">
              <w:rPr>
                <w:rFonts w:ascii="Arial" w:hAnsi="Arial" w:cs="Arial"/>
                <w:sz w:val="16"/>
                <w:szCs w:val="16"/>
              </w:rPr>
              <w:br/>
              <w:t>(v) Need for lung transplantation or balloon atrial septostomy for worsening of PAH.</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p>
        </w:tc>
        <w:tc>
          <w:tcPr>
            <w:tcW w:w="929" w:type="pct"/>
            <w:tcMar>
              <w:top w:w="28" w:type="dxa"/>
              <w:left w:w="28" w:type="dxa"/>
              <w:right w:w="57" w:type="dxa"/>
            </w:tcMar>
          </w:tcPr>
          <w:p w14:paraId="12495230"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896FCC" w14:paraId="6D9E55CF" w14:textId="77777777" w:rsidTr="00FB6D2D">
        <w:tc>
          <w:tcPr>
            <w:tcW w:w="647" w:type="pct"/>
            <w:tcMar>
              <w:top w:w="28" w:type="dxa"/>
              <w:left w:w="28" w:type="dxa"/>
            </w:tcMar>
          </w:tcPr>
          <w:p w14:paraId="122903FE" w14:textId="77777777" w:rsidR="008F47B8" w:rsidRPr="006D52A9" w:rsidDel="00896FCC" w:rsidRDefault="008F47B8" w:rsidP="00FB6D2D">
            <w:pPr>
              <w:spacing w:line="240" w:lineRule="auto"/>
              <w:rPr>
                <w:rFonts w:ascii="Arial" w:hAnsi="Arial" w:cs="Arial"/>
                <w:sz w:val="16"/>
                <w:szCs w:val="16"/>
              </w:rPr>
            </w:pPr>
          </w:p>
        </w:tc>
        <w:tc>
          <w:tcPr>
            <w:tcW w:w="283" w:type="pct"/>
            <w:tcMar>
              <w:top w:w="28" w:type="dxa"/>
              <w:left w:w="28" w:type="dxa"/>
            </w:tcMar>
          </w:tcPr>
          <w:p w14:paraId="4A8AD31B"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C11261</w:t>
            </w:r>
          </w:p>
        </w:tc>
        <w:tc>
          <w:tcPr>
            <w:tcW w:w="274" w:type="pct"/>
            <w:tcMar>
              <w:top w:w="28" w:type="dxa"/>
              <w:left w:w="28" w:type="dxa"/>
            </w:tcMar>
          </w:tcPr>
          <w:p w14:paraId="4AD1969D"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P11261</w:t>
            </w:r>
          </w:p>
        </w:tc>
        <w:tc>
          <w:tcPr>
            <w:tcW w:w="2867" w:type="pct"/>
            <w:tcMar>
              <w:top w:w="28" w:type="dxa"/>
              <w:left w:w="28" w:type="dxa"/>
            </w:tcMar>
          </w:tcPr>
          <w:p w14:paraId="658BDCC6"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t>Pulmonary arterial hypertension (PAH)</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dose titration</w:t>
            </w:r>
            <w:r w:rsidRPr="006D52A9">
              <w:rPr>
                <w:rFonts w:ascii="Arial" w:hAnsi="Arial" w:cs="Arial"/>
                <w:sz w:val="16"/>
                <w:szCs w:val="16"/>
              </w:rPr>
              <w:br/>
              <w:t>Patient must have failed to achieve/maintain a WHO Functional Class II status with PAH agents (other than this agent) given as dual therapy; AND</w:t>
            </w:r>
            <w:r w:rsidRPr="006D52A9">
              <w:rPr>
                <w:rFonts w:ascii="Arial" w:hAnsi="Arial" w:cs="Arial"/>
                <w:sz w:val="16"/>
                <w:szCs w:val="16"/>
              </w:rPr>
              <w:br/>
              <w:t>Patient must have WHO Functional Class III PAH at treatment initiation with this drug; OR</w:t>
            </w:r>
            <w:r w:rsidRPr="006D52A9">
              <w:rPr>
                <w:rFonts w:ascii="Arial" w:hAnsi="Arial" w:cs="Arial"/>
                <w:sz w:val="16"/>
                <w:szCs w:val="16"/>
              </w:rPr>
              <w:br/>
            </w:r>
            <w:r w:rsidRPr="006D52A9">
              <w:rPr>
                <w:rFonts w:ascii="Arial" w:hAnsi="Arial" w:cs="Arial"/>
                <w:sz w:val="16"/>
                <w:szCs w:val="16"/>
              </w:rPr>
              <w:lastRenderedPageBreak/>
              <w:t>Patient must have WHO Functional Class IV PAH at treatment initiation with this drug; AND</w:t>
            </w:r>
            <w:r w:rsidRPr="006D52A9">
              <w:rPr>
                <w:rFonts w:ascii="Arial" w:hAnsi="Arial" w:cs="Arial"/>
                <w:sz w:val="16"/>
                <w:szCs w:val="16"/>
              </w:rPr>
              <w:br/>
              <w:t>The treatment must be for dose titration purposes with the intent of completing the titration within 12 weeks; AND</w:t>
            </w:r>
            <w:r w:rsidRPr="006D52A9">
              <w:rPr>
                <w:rFonts w:ascii="Arial" w:hAnsi="Arial" w:cs="Arial"/>
                <w:sz w:val="16"/>
                <w:szCs w:val="16"/>
              </w:rPr>
              <w:br/>
              <w:t>The treatment must form part of triple combination therapy consisting of: (i) one endothelin receptor antagonist, (ii) one phosphodiesterase</w:t>
            </w:r>
            <w:r w:rsidR="0026100E">
              <w:rPr>
                <w:rFonts w:ascii="Arial" w:hAnsi="Arial" w:cs="Arial"/>
                <w:sz w:val="16"/>
                <w:szCs w:val="16"/>
              </w:rPr>
              <w:noBreakHyphen/>
            </w:r>
            <w:r w:rsidRPr="006D52A9">
              <w:rPr>
                <w:rFonts w:ascii="Arial" w:hAnsi="Arial" w:cs="Arial"/>
                <w:sz w:val="16"/>
                <w:szCs w:val="16"/>
              </w:rPr>
              <w:t>5 inhibitor, (iii) selexipag (referred to as 'triple therapy'); OR</w:t>
            </w:r>
            <w:r w:rsidRPr="006D52A9">
              <w:rPr>
                <w:rFonts w:ascii="Arial" w:hAnsi="Arial" w:cs="Arial"/>
                <w:sz w:val="16"/>
                <w:szCs w:val="16"/>
              </w:rPr>
              <w:br/>
              <w:t>The treatment must form part of dual combination therapy consisting of either: (i) selexipag with one endothelin receptor antagonist, (ii) selexipag with one phosphodiesterase</w:t>
            </w:r>
            <w:r w:rsidR="0026100E">
              <w:rPr>
                <w:rFonts w:ascii="Arial" w:hAnsi="Arial" w:cs="Arial"/>
                <w:sz w:val="16"/>
                <w:szCs w:val="16"/>
              </w:rPr>
              <w:noBreakHyphen/>
            </w:r>
            <w:r w:rsidRPr="006D52A9">
              <w:rPr>
                <w:rFonts w:ascii="Arial" w:hAnsi="Arial" w:cs="Arial"/>
                <w:sz w:val="16"/>
                <w:szCs w:val="16"/>
              </w:rPr>
              <w:t>5 inhibitor, as triple combination therapy with selexipag</w:t>
            </w:r>
            <w:r w:rsidR="0026100E">
              <w:rPr>
                <w:rFonts w:ascii="Arial" w:hAnsi="Arial" w:cs="Arial"/>
                <w:sz w:val="16"/>
                <w:szCs w:val="16"/>
              </w:rPr>
              <w:noBreakHyphen/>
            </w:r>
            <w:r w:rsidRPr="006D52A9">
              <w:rPr>
                <w:rFonts w:ascii="Arial" w:hAnsi="Arial" w:cs="Arial"/>
                <w:sz w:val="16"/>
                <w:szCs w:val="16"/>
              </w:rPr>
              <w:t>an endothelin receptor antagonist</w:t>
            </w:r>
            <w:r w:rsidR="0026100E">
              <w:rPr>
                <w:rFonts w:ascii="Arial" w:hAnsi="Arial" w:cs="Arial"/>
                <w:sz w:val="16"/>
                <w:szCs w:val="16"/>
              </w:rPr>
              <w:noBreakHyphen/>
            </w:r>
            <w:r w:rsidRPr="006D52A9">
              <w:rPr>
                <w:rFonts w:ascii="Arial" w:hAnsi="Arial" w:cs="Arial"/>
                <w:sz w:val="16"/>
                <w:szCs w:val="16"/>
              </w:rPr>
              <w:t>a phoshodiesterase</w:t>
            </w:r>
            <w:r w:rsidR="0026100E">
              <w:rPr>
                <w:rFonts w:ascii="Arial" w:hAnsi="Arial" w:cs="Arial"/>
                <w:sz w:val="16"/>
                <w:szCs w:val="16"/>
              </w:rPr>
              <w:noBreakHyphen/>
            </w:r>
            <w:r w:rsidRPr="006D52A9">
              <w:rPr>
                <w:rFonts w:ascii="Arial" w:hAnsi="Arial" w:cs="Arial"/>
                <w:sz w:val="16"/>
                <w:szCs w:val="16"/>
              </w:rPr>
              <w:t>5 inhibitor is not possible due to an intolerance/contraindication to the endothelin receptor antagonist class/phosphodiesterase</w:t>
            </w:r>
            <w:r w:rsidR="0026100E">
              <w:rPr>
                <w:rFonts w:ascii="Arial" w:hAnsi="Arial" w:cs="Arial"/>
                <w:sz w:val="16"/>
                <w:szCs w:val="16"/>
              </w:rPr>
              <w:noBreakHyphen/>
            </w:r>
            <w:r w:rsidRPr="006D52A9">
              <w:rPr>
                <w:rFonts w:ascii="Arial" w:hAnsi="Arial" w:cs="Arial"/>
                <w:sz w:val="16"/>
                <w:szCs w:val="16"/>
              </w:rPr>
              <w:t>5 inhibitor class (referred to as 'dual therapy in lieu of triple therapy'); AND</w:t>
            </w:r>
            <w:r w:rsidRPr="006D52A9">
              <w:rPr>
                <w:rFonts w:ascii="Arial" w:hAnsi="Arial" w:cs="Arial"/>
                <w:sz w:val="16"/>
                <w:szCs w:val="16"/>
              </w:rPr>
              <w:br/>
              <w:t>The treatment must not be as monotherapy.</w:t>
            </w:r>
            <w:r w:rsidRPr="006D52A9">
              <w:rPr>
                <w:rFonts w:ascii="Arial" w:hAnsi="Arial" w:cs="Arial"/>
                <w:sz w:val="16"/>
                <w:szCs w:val="16"/>
              </w:rPr>
              <w:br/>
              <w:t>Must be treated by a physician with expertise in the management of PAH, with this authority application to be completed by the physician with expertise in PAH.</w:t>
            </w:r>
            <w:r w:rsidRPr="006D52A9">
              <w:rPr>
                <w:rFonts w:ascii="Arial" w:hAnsi="Arial" w:cs="Arial"/>
                <w:sz w:val="16"/>
                <w:szCs w:val="16"/>
              </w:rPr>
              <w:br/>
              <w:t>Patient must have had at least one PBS</w:t>
            </w:r>
            <w:r w:rsidR="0026100E">
              <w:rPr>
                <w:rFonts w:ascii="Arial" w:hAnsi="Arial" w:cs="Arial"/>
                <w:sz w:val="16"/>
                <w:szCs w:val="16"/>
              </w:rPr>
              <w:noBreakHyphen/>
            </w:r>
            <w:r w:rsidRPr="006D52A9">
              <w:rPr>
                <w:rFonts w:ascii="Arial" w:hAnsi="Arial" w:cs="Arial"/>
                <w:sz w:val="16"/>
                <w:szCs w:val="16"/>
              </w:rPr>
              <w:t>subsidised PAH agent prior to this authority application.</w:t>
            </w:r>
            <w:r w:rsidRPr="006D52A9">
              <w:rPr>
                <w:rFonts w:ascii="Arial" w:hAnsi="Arial" w:cs="Arial"/>
                <w:sz w:val="16"/>
                <w:szCs w:val="16"/>
              </w:rPr>
              <w:br/>
              <w:t>A prior PAH agent is any of: ambrisentan, bosentan, macitentan, sildenafil, tadalafil, epoprostenol, iloprost, riociguat.</w:t>
            </w:r>
            <w:r w:rsidRPr="006D52A9">
              <w:rPr>
                <w:rFonts w:ascii="Arial" w:hAnsi="Arial" w:cs="Arial"/>
                <w:sz w:val="16"/>
                <w:szCs w:val="16"/>
              </w:rPr>
              <w:br/>
              <w:t>For the purposes of PBS subsidy, an endothelin receptor antagonist is one of: (a) ambrisentan, (b) bosentan, (c) macitentan; a phosphodiesterase</w:t>
            </w:r>
            <w:r w:rsidR="0026100E">
              <w:rPr>
                <w:rFonts w:ascii="Arial" w:hAnsi="Arial" w:cs="Arial"/>
                <w:sz w:val="16"/>
                <w:szCs w:val="16"/>
              </w:rPr>
              <w:noBreakHyphen/>
            </w:r>
            <w:r w:rsidRPr="006D52A9">
              <w:rPr>
                <w:rFonts w:ascii="Arial" w:hAnsi="Arial" w:cs="Arial"/>
                <w:sz w:val="16"/>
                <w:szCs w:val="16"/>
              </w:rPr>
              <w:t>5 inhibitor is one of: (d) sildenafil, (e) tadalafil.</w:t>
            </w:r>
            <w:r w:rsidRPr="006D52A9">
              <w:rPr>
                <w:rFonts w:ascii="Arial" w:hAnsi="Arial" w:cs="Arial"/>
                <w:sz w:val="16"/>
                <w:szCs w:val="16"/>
              </w:rPr>
              <w:br/>
              <w:t>PBS</w:t>
            </w:r>
            <w:r w:rsidR="0026100E">
              <w:rPr>
                <w:rFonts w:ascii="Arial" w:hAnsi="Arial" w:cs="Arial"/>
                <w:sz w:val="16"/>
                <w:szCs w:val="16"/>
              </w:rPr>
              <w:noBreakHyphen/>
            </w:r>
            <w:r w:rsidRPr="006D52A9">
              <w:rPr>
                <w:rFonts w:ascii="Arial" w:hAnsi="Arial" w:cs="Arial"/>
                <w:sz w:val="16"/>
                <w:szCs w:val="16"/>
              </w:rPr>
              <w:t>subsidy does not cover patients with pulmonary hypertension secondary to interstitial lung disease associated with connective tissue disease, where the total lung capacity is less than 70% of predicted.</w:t>
            </w:r>
            <w:r w:rsidRPr="006D52A9">
              <w:rPr>
                <w:rFonts w:ascii="Arial" w:hAnsi="Arial" w:cs="Arial"/>
                <w:sz w:val="16"/>
                <w:szCs w:val="16"/>
              </w:rPr>
              <w:br/>
              <w:t>PAH (WHO Group 1 pulmonary hypertension) is defined as follows:</w:t>
            </w:r>
            <w:r w:rsidRPr="006D52A9">
              <w:rPr>
                <w:rFonts w:ascii="Arial" w:hAnsi="Arial" w:cs="Arial"/>
                <w:sz w:val="16"/>
                <w:szCs w:val="16"/>
              </w:rPr>
              <w:br/>
              <w:t>(i) mean pulmonary artery pressure (mPAP) greater than or equal to 25 mmHg at rest and pulmonary artery wedge pressure (PAWP) less than or equal to 15 mmHg; or</w:t>
            </w:r>
            <w:r w:rsidRPr="006D52A9">
              <w:rPr>
                <w:rFonts w:ascii="Arial" w:hAnsi="Arial" w:cs="Arial"/>
                <w:sz w:val="16"/>
                <w:szCs w:val="16"/>
              </w:rPr>
              <w:br/>
              <w:t>(ii) where a right heart catheter (RHC) cannot be performed on clinical grounds, right ventricular systolic pressure (RVSP), assessed by echocardiography (ECHO), greater than 40 mmHg, with normal left ventricular function.</w:t>
            </w:r>
          </w:p>
        </w:tc>
        <w:tc>
          <w:tcPr>
            <w:tcW w:w="929" w:type="pct"/>
            <w:tcMar>
              <w:top w:w="28" w:type="dxa"/>
              <w:left w:w="28" w:type="dxa"/>
              <w:right w:w="57" w:type="dxa"/>
            </w:tcMar>
          </w:tcPr>
          <w:p w14:paraId="41A18CAB" w14:textId="77777777" w:rsidR="008F47B8" w:rsidRPr="006D52A9" w:rsidDel="00896FCC"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Authority Required procedures</w:t>
            </w:r>
          </w:p>
        </w:tc>
      </w:tr>
      <w:tr w:rsidR="008F47B8" w:rsidRPr="006D52A9" w:rsidDel="00E97A10" w14:paraId="44121D2A" w14:textId="77777777" w:rsidTr="00FB6D2D">
        <w:tc>
          <w:tcPr>
            <w:tcW w:w="647" w:type="pct"/>
            <w:tcMar>
              <w:top w:w="28" w:type="dxa"/>
              <w:left w:w="28" w:type="dxa"/>
            </w:tcMar>
          </w:tcPr>
          <w:p w14:paraId="6E4ED04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Sevelamer</w:t>
            </w:r>
          </w:p>
        </w:tc>
        <w:tc>
          <w:tcPr>
            <w:tcW w:w="283" w:type="pct"/>
            <w:tcMar>
              <w:top w:w="28" w:type="dxa"/>
              <w:left w:w="28" w:type="dxa"/>
            </w:tcMar>
          </w:tcPr>
          <w:p w14:paraId="6099D53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C5530</w:t>
            </w:r>
          </w:p>
        </w:tc>
        <w:tc>
          <w:tcPr>
            <w:tcW w:w="274" w:type="pct"/>
            <w:tcMar>
              <w:top w:w="28" w:type="dxa"/>
              <w:left w:w="28" w:type="dxa"/>
            </w:tcMar>
          </w:tcPr>
          <w:p w14:paraId="08967914"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FAFA7A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Hyperphosphataemia</w:t>
            </w:r>
            <w:r w:rsidRPr="006D52A9">
              <w:rPr>
                <w:rFonts w:ascii="Arial" w:hAnsi="Arial" w:cs="Arial"/>
                <w:sz w:val="16"/>
                <w:szCs w:val="16"/>
              </w:rPr>
              <w:br/>
              <w:t>Initiation and stabilisation</w:t>
            </w:r>
            <w:r w:rsidRPr="006D52A9">
              <w:rPr>
                <w:rFonts w:ascii="Arial" w:hAnsi="Arial" w:cs="Arial"/>
                <w:sz w:val="16"/>
                <w:szCs w:val="16"/>
              </w:rPr>
              <w:br/>
              <w:t>The condition must not be adequately controlled by calcium; AND</w:t>
            </w:r>
            <w:r w:rsidRPr="006D52A9">
              <w:rPr>
                <w:rFonts w:ascii="Arial" w:hAnsi="Arial" w:cs="Arial"/>
                <w:sz w:val="16"/>
                <w:szCs w:val="16"/>
              </w:rPr>
              <w:br/>
              <w:t>Patient must have a serum phosphate of greater than 1.6 mmol per L at the commencement of therapy; OR</w:t>
            </w:r>
            <w:r w:rsidRPr="006D52A9">
              <w:rPr>
                <w:rFonts w:ascii="Arial" w:hAnsi="Arial" w:cs="Arial"/>
                <w:sz w:val="16"/>
                <w:szCs w:val="16"/>
              </w:rPr>
              <w:br/>
              <w:t>The condition must be where a serum calcium times phosphate product is greater than 4 at the commencement of therapy; AND</w:t>
            </w:r>
            <w:r w:rsidRPr="006D52A9">
              <w:rPr>
                <w:rFonts w:ascii="Arial" w:hAnsi="Arial" w:cs="Arial"/>
                <w:sz w:val="16"/>
                <w:szCs w:val="16"/>
              </w:rPr>
              <w:br/>
              <w:t>The treatment must not be used in combination with any other non</w:t>
            </w:r>
            <w:r w:rsidR="0026100E">
              <w:rPr>
                <w:rFonts w:ascii="Arial" w:hAnsi="Arial" w:cs="Arial"/>
                <w:sz w:val="16"/>
                <w:szCs w:val="16"/>
              </w:rPr>
              <w:noBreakHyphen/>
            </w:r>
            <w:r w:rsidRPr="006D52A9">
              <w:rPr>
                <w:rFonts w:ascii="Arial" w:hAnsi="Arial" w:cs="Arial"/>
                <w:sz w:val="16"/>
                <w:szCs w:val="16"/>
              </w:rPr>
              <w:t>calcium phosphate binding agents.</w:t>
            </w:r>
            <w:r w:rsidRPr="006D52A9">
              <w:rPr>
                <w:rFonts w:ascii="Arial" w:hAnsi="Arial" w:cs="Arial"/>
                <w:sz w:val="16"/>
                <w:szCs w:val="16"/>
              </w:rPr>
              <w:br/>
              <w:t>Patient must be undergoing dialysis for chronic kidney disease.</w:t>
            </w:r>
          </w:p>
        </w:tc>
        <w:tc>
          <w:tcPr>
            <w:tcW w:w="929" w:type="pct"/>
            <w:tcMar>
              <w:top w:w="28" w:type="dxa"/>
              <w:left w:w="28" w:type="dxa"/>
              <w:right w:w="57" w:type="dxa"/>
            </w:tcMar>
          </w:tcPr>
          <w:p w14:paraId="60C015D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5530</w:t>
            </w:r>
          </w:p>
        </w:tc>
      </w:tr>
      <w:tr w:rsidR="008F47B8" w:rsidRPr="006D52A9" w:rsidDel="00E97A10" w14:paraId="3BBCAD32" w14:textId="77777777" w:rsidTr="00FB6D2D">
        <w:tc>
          <w:tcPr>
            <w:tcW w:w="647" w:type="pct"/>
            <w:tcMar>
              <w:top w:w="28" w:type="dxa"/>
              <w:left w:w="28" w:type="dxa"/>
            </w:tcMar>
          </w:tcPr>
          <w:p w14:paraId="05F5A21D"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B58DB7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C9762</w:t>
            </w:r>
          </w:p>
        </w:tc>
        <w:tc>
          <w:tcPr>
            <w:tcW w:w="274" w:type="pct"/>
            <w:tcMar>
              <w:top w:w="28" w:type="dxa"/>
              <w:left w:w="28" w:type="dxa"/>
            </w:tcMar>
          </w:tcPr>
          <w:p w14:paraId="5AE784FF"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EE609A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Hyperphosphataemia</w:t>
            </w:r>
            <w:r w:rsidRPr="006D52A9">
              <w:rPr>
                <w:rFonts w:ascii="Arial" w:eastAsia="SimSun" w:hAnsi="Arial" w:cs="Arial"/>
                <w:sz w:val="16"/>
                <w:szCs w:val="16"/>
                <w:lang w:eastAsia="zh-CN"/>
              </w:rPr>
              <w:br/>
              <w:t>Initiation and stabilisation</w:t>
            </w:r>
            <w:r w:rsidRPr="006D52A9">
              <w:rPr>
                <w:rFonts w:ascii="Arial" w:eastAsia="SimSun" w:hAnsi="Arial" w:cs="Arial"/>
                <w:sz w:val="16"/>
                <w:szCs w:val="16"/>
                <w:lang w:eastAsia="zh-CN"/>
              </w:rPr>
              <w:br/>
              <w:t>The condition must not be adequately controlled by calcium; AND</w:t>
            </w:r>
            <w:r w:rsidRPr="006D52A9">
              <w:rPr>
                <w:rFonts w:ascii="Arial" w:eastAsia="SimSun" w:hAnsi="Arial" w:cs="Arial"/>
                <w:sz w:val="16"/>
                <w:szCs w:val="16"/>
                <w:lang w:eastAsia="zh-CN"/>
              </w:rPr>
              <w:br/>
              <w:t>Patient must have a serum phosphate of greater than 1.6 mmol per L at the commencement of therapy; OR</w:t>
            </w:r>
            <w:r w:rsidRPr="006D52A9">
              <w:rPr>
                <w:rFonts w:ascii="Arial" w:eastAsia="SimSun" w:hAnsi="Arial" w:cs="Arial"/>
                <w:sz w:val="16"/>
                <w:szCs w:val="16"/>
                <w:lang w:eastAsia="zh-CN"/>
              </w:rPr>
              <w:br/>
              <w:t xml:space="preserve">The condition must be where a serum calcium times phosphate product is greater than 4 at the </w:t>
            </w:r>
            <w:r w:rsidRPr="006D52A9">
              <w:rPr>
                <w:rFonts w:ascii="Arial" w:eastAsia="SimSun" w:hAnsi="Arial" w:cs="Arial"/>
                <w:sz w:val="16"/>
                <w:szCs w:val="16"/>
                <w:lang w:eastAsia="zh-CN"/>
              </w:rPr>
              <w:lastRenderedPageBreak/>
              <w:t>commencement of therapy; AND</w:t>
            </w:r>
            <w:r w:rsidRPr="006D52A9">
              <w:rPr>
                <w:rFonts w:ascii="Arial" w:eastAsia="SimSun" w:hAnsi="Arial" w:cs="Arial"/>
                <w:sz w:val="16"/>
                <w:szCs w:val="16"/>
                <w:lang w:eastAsia="zh-CN"/>
              </w:rPr>
              <w:br/>
              <w:t>The treatment must not be used in combination with any other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calcium phosphate binding agents.</w:t>
            </w:r>
            <w:r w:rsidRPr="006D52A9">
              <w:rPr>
                <w:rFonts w:ascii="Arial" w:eastAsia="SimSun" w:hAnsi="Arial" w:cs="Arial"/>
                <w:sz w:val="16"/>
                <w:szCs w:val="16"/>
                <w:lang w:eastAsia="zh-CN"/>
              </w:rPr>
              <w:br/>
              <w:t>Patient must be undergoing dialysis for chronic kidney disease.</w:t>
            </w:r>
          </w:p>
        </w:tc>
        <w:tc>
          <w:tcPr>
            <w:tcW w:w="929" w:type="pct"/>
            <w:tcMar>
              <w:top w:w="28" w:type="dxa"/>
              <w:left w:w="28" w:type="dxa"/>
              <w:right w:w="57" w:type="dxa"/>
            </w:tcMar>
          </w:tcPr>
          <w:p w14:paraId="5A0CE51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9762</w:t>
            </w:r>
          </w:p>
        </w:tc>
      </w:tr>
      <w:tr w:rsidR="008F47B8" w:rsidRPr="006D52A9" w:rsidDel="00E97A10" w14:paraId="3103355B" w14:textId="77777777" w:rsidTr="00FB6D2D">
        <w:tc>
          <w:tcPr>
            <w:tcW w:w="647" w:type="pct"/>
            <w:tcMar>
              <w:top w:w="28" w:type="dxa"/>
              <w:left w:w="28" w:type="dxa"/>
            </w:tcMar>
          </w:tcPr>
          <w:p w14:paraId="504D1FD8"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Sildenafil</w:t>
            </w:r>
          </w:p>
        </w:tc>
        <w:tc>
          <w:tcPr>
            <w:tcW w:w="283" w:type="pct"/>
            <w:tcMar>
              <w:top w:w="28" w:type="dxa"/>
              <w:left w:w="28" w:type="dxa"/>
            </w:tcMar>
          </w:tcPr>
          <w:p w14:paraId="39CB82A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C10228</w:t>
            </w:r>
          </w:p>
        </w:tc>
        <w:tc>
          <w:tcPr>
            <w:tcW w:w="274" w:type="pct"/>
            <w:tcMar>
              <w:top w:w="28" w:type="dxa"/>
              <w:left w:w="28" w:type="dxa"/>
            </w:tcMar>
          </w:tcPr>
          <w:p w14:paraId="4F600AB2"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2873A3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received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PAH agent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08D01005"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97A10" w14:paraId="68B7CDB6" w14:textId="77777777" w:rsidTr="00FB6D2D">
        <w:tc>
          <w:tcPr>
            <w:tcW w:w="647" w:type="pct"/>
            <w:tcMar>
              <w:top w:w="28" w:type="dxa"/>
              <w:left w:w="28" w:type="dxa"/>
            </w:tcMar>
          </w:tcPr>
          <w:p w14:paraId="6322BDF9"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6DED21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C10234</w:t>
            </w:r>
          </w:p>
        </w:tc>
        <w:tc>
          <w:tcPr>
            <w:tcW w:w="274" w:type="pct"/>
            <w:tcMar>
              <w:top w:w="28" w:type="dxa"/>
              <w:left w:w="28" w:type="dxa"/>
            </w:tcMar>
          </w:tcPr>
          <w:p w14:paraId="6D2EDE59"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A14F14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2 (change)</w:t>
            </w:r>
            <w:r w:rsidRPr="006D52A9">
              <w:rPr>
                <w:rFonts w:ascii="Arial" w:eastAsia="SimSun" w:hAnsi="Arial" w:cs="Arial"/>
                <w:sz w:val="16"/>
                <w:szCs w:val="16"/>
                <w:lang w:eastAsia="zh-CN"/>
              </w:rPr>
              <w:br/>
              <w:t>Patient must have documented WHO Functional Class II PAH, or WHO Functional Class III PAH; AND</w:t>
            </w:r>
            <w:r w:rsidRPr="006D52A9">
              <w:rPr>
                <w:rFonts w:ascii="Arial" w:eastAsia="SimSun" w:hAnsi="Arial" w:cs="Arial"/>
                <w:sz w:val="16"/>
                <w:szCs w:val="16"/>
                <w:lang w:eastAsia="zh-CN"/>
              </w:rPr>
              <w:br/>
              <w:t>Patient must have had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for this condition with a PAH agent other than this agent;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eastAsia="SimSun" w:hAnsi="Arial" w:cs="Arial"/>
                <w:sz w:val="16"/>
                <w:szCs w:val="16"/>
                <w:lang w:eastAsia="zh-CN"/>
              </w:rPr>
              <w:br/>
              <w:t>Applications to swap between the 8 PAH agents must be made under the relevant initial treatment (monotherapy) restriction.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5079B8E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97A10" w14:paraId="182BD651" w14:textId="77777777" w:rsidTr="00FB6D2D">
        <w:tc>
          <w:tcPr>
            <w:tcW w:w="647" w:type="pct"/>
            <w:tcMar>
              <w:top w:w="28" w:type="dxa"/>
              <w:left w:w="28" w:type="dxa"/>
            </w:tcMar>
          </w:tcPr>
          <w:p w14:paraId="6E5B9DC0"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BBFB86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C10304</w:t>
            </w:r>
          </w:p>
        </w:tc>
        <w:tc>
          <w:tcPr>
            <w:tcW w:w="274" w:type="pct"/>
            <w:tcMar>
              <w:top w:w="28" w:type="dxa"/>
              <w:left w:w="28" w:type="dxa"/>
            </w:tcMar>
          </w:tcPr>
          <w:p w14:paraId="1511FF64"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E7F6D1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1 (new patients)</w:t>
            </w:r>
            <w:r w:rsidRPr="006D52A9">
              <w:rPr>
                <w:rFonts w:ascii="Arial" w:eastAsia="SimSun" w:hAnsi="Arial" w:cs="Arial"/>
                <w:sz w:val="16"/>
                <w:szCs w:val="16"/>
                <w:lang w:eastAsia="zh-CN"/>
              </w:rPr>
              <w:br/>
              <w:t>Patient must not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treatment with a pulmonary arterial hypertension </w:t>
            </w:r>
            <w:r w:rsidRPr="006D52A9">
              <w:rPr>
                <w:rFonts w:ascii="Arial" w:eastAsia="SimSun" w:hAnsi="Arial" w:cs="Arial"/>
                <w:sz w:val="16"/>
                <w:szCs w:val="16"/>
                <w:lang w:eastAsia="zh-CN"/>
              </w:rPr>
              <w:lastRenderedPageBreak/>
              <w:t>(PAH) agent; AND</w:t>
            </w:r>
            <w:r w:rsidRPr="006D52A9">
              <w:rPr>
                <w:rFonts w:ascii="Arial" w:eastAsia="SimSun" w:hAnsi="Arial" w:cs="Arial"/>
                <w:sz w:val="16"/>
                <w:szCs w:val="16"/>
                <w:lang w:eastAsia="zh-CN"/>
              </w:rPr>
              <w:br/>
              <w:t>Patient must have been assessed by a physician with expertise in the management of PAH; AND</w:t>
            </w:r>
            <w:r w:rsidRPr="006D52A9">
              <w:rPr>
                <w:rFonts w:ascii="Arial" w:eastAsia="SimSun" w:hAnsi="Arial" w:cs="Arial"/>
                <w:sz w:val="16"/>
                <w:szCs w:val="16"/>
                <w:lang w:eastAsia="zh-CN"/>
              </w:rPr>
              <w:br/>
              <w:t>Patient must have WHO Functional Class II PAH, or WHO Functional Class III PAH;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The test results provided must not be more than 2 months old at the time of application.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29896D1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077F94" w14:paraId="780D7B2B" w14:textId="77777777" w:rsidTr="00FB6D2D">
        <w:tc>
          <w:tcPr>
            <w:tcW w:w="647" w:type="pct"/>
            <w:tcMar>
              <w:top w:w="28" w:type="dxa"/>
              <w:left w:w="28" w:type="dxa"/>
            </w:tcMar>
          </w:tcPr>
          <w:p w14:paraId="64C9A0AA" w14:textId="77777777" w:rsidR="008F47B8" w:rsidRPr="006D52A9" w:rsidDel="00077F94"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6257F4A"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C11229 </w:t>
            </w:r>
          </w:p>
        </w:tc>
        <w:tc>
          <w:tcPr>
            <w:tcW w:w="274" w:type="pct"/>
            <w:tcMar>
              <w:top w:w="28" w:type="dxa"/>
              <w:left w:w="28" w:type="dxa"/>
            </w:tcMar>
          </w:tcPr>
          <w:p w14:paraId="0790F215" w14:textId="77777777" w:rsidR="008F47B8" w:rsidRPr="006D52A9" w:rsidDel="00077F94"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EA3CBF2"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Triple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D52A9">
              <w:rPr>
                <w:rFonts w:ascii="Arial" w:eastAsia="SimSun" w:hAnsi="Arial" w:cs="Arial"/>
                <w:sz w:val="16"/>
                <w:szCs w:val="16"/>
                <w:lang w:eastAsia="zh-CN"/>
              </w:rPr>
              <w:br/>
              <w:t>The treatment must form part of triple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(referred to as 'triple therapy'); OR</w:t>
            </w:r>
            <w:r w:rsidRPr="006D52A9">
              <w:rPr>
                <w:rFonts w:ascii="Arial" w:eastAsia="SimSun" w:hAnsi="Arial" w:cs="Arial"/>
                <w:sz w:val="16"/>
                <w:szCs w:val="16"/>
                <w:lang w:eastAsia="zh-CN"/>
              </w:rPr>
              <w:br/>
              <w:t>The treatment must form part of dual combination therapy consisting of either: (i)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endothelin receptor antagonist, (ii)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as triple combination therapy with selexipag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an endothelin receptor antagonist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 phoshodiesterase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not possible due to an intolerance/contraindication to the endothelin receptor antagonist class/phosphodiesterase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class (referred to as 'dual therapy in lieu of triple therapy').</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The authority application for selexipag must be approved prior to the authority application for this agent.</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4CD3E538"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896FCC" w14:paraId="011DDB4A" w14:textId="77777777" w:rsidTr="00FB6D2D">
        <w:tc>
          <w:tcPr>
            <w:tcW w:w="647" w:type="pct"/>
            <w:tcMar>
              <w:top w:w="28" w:type="dxa"/>
              <w:left w:w="28" w:type="dxa"/>
            </w:tcMar>
          </w:tcPr>
          <w:p w14:paraId="383B1B0E"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E89BA6E"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C11319</w:t>
            </w:r>
          </w:p>
        </w:tc>
        <w:tc>
          <w:tcPr>
            <w:tcW w:w="274" w:type="pct"/>
            <w:tcMar>
              <w:top w:w="28" w:type="dxa"/>
              <w:left w:w="28" w:type="dxa"/>
            </w:tcMar>
          </w:tcPr>
          <w:p w14:paraId="14C1FFB4"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17B6BE3"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1 (starting dual therapy in an untreated patient for the first time)</w:t>
            </w:r>
            <w:r w:rsidRPr="006D52A9">
              <w:rPr>
                <w:rFonts w:ascii="Arial" w:eastAsia="SimSun" w:hAnsi="Arial" w:cs="Arial"/>
                <w:sz w:val="16"/>
                <w:szCs w:val="16"/>
                <w:lang w:eastAsia="zh-CN"/>
              </w:rPr>
              <w:br/>
              <w:t>Patient must not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pulmonary arterial hypertension (PAH) agent; AND</w:t>
            </w:r>
            <w:r w:rsidRPr="006D52A9">
              <w:rPr>
                <w:rFonts w:ascii="Arial" w:eastAsia="SimSun" w:hAnsi="Arial" w:cs="Arial"/>
                <w:sz w:val="16"/>
                <w:szCs w:val="16"/>
                <w:lang w:eastAsia="zh-CN"/>
              </w:rPr>
              <w:br/>
              <w:t>Patient must currently have WHO Functional Class III PAH or WHO Functional Class IV PAH;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but only for WHO Functional Class IV PAH.</w:t>
            </w:r>
            <w:r w:rsidRPr="006D52A9">
              <w:rPr>
                <w:rFonts w:ascii="Arial" w:eastAsia="SimSun" w:hAnsi="Arial" w:cs="Arial"/>
                <w:sz w:val="16"/>
                <w:szCs w:val="16"/>
                <w:lang w:eastAsia="zh-CN"/>
              </w:rPr>
              <w:br/>
              <w:t xml:space="preserve">Must be treated by a physician with expertise in the management of PAH, with this authority application </w:t>
            </w:r>
            <w:r w:rsidRPr="006D52A9">
              <w:rPr>
                <w:rFonts w:ascii="Arial" w:eastAsia="SimSun" w:hAnsi="Arial" w:cs="Arial"/>
                <w:sz w:val="16"/>
                <w:szCs w:val="16"/>
                <w:lang w:eastAsia="zh-CN"/>
              </w:rPr>
              <w:lastRenderedPageBreak/>
              <w:t>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The test results provided must not be more than 2 months old at the time of application.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26E6D8F4"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896FCC" w14:paraId="151596DC" w14:textId="77777777" w:rsidTr="00FB6D2D">
        <w:tc>
          <w:tcPr>
            <w:tcW w:w="647" w:type="pct"/>
            <w:tcMar>
              <w:top w:w="28" w:type="dxa"/>
              <w:left w:w="28" w:type="dxa"/>
            </w:tcMar>
          </w:tcPr>
          <w:p w14:paraId="717266C5"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CDD78F2"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C11338</w:t>
            </w:r>
          </w:p>
        </w:tc>
        <w:tc>
          <w:tcPr>
            <w:tcW w:w="274" w:type="pct"/>
            <w:tcMar>
              <w:top w:w="28" w:type="dxa"/>
              <w:left w:w="28" w:type="dxa"/>
            </w:tcMar>
          </w:tcPr>
          <w:p w14:paraId="6775B826"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A267AA6"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2 (starting dual therapy in a treated patient for the first time)</w:t>
            </w:r>
            <w:r w:rsidRPr="006D52A9">
              <w:rPr>
                <w:rFonts w:ascii="Arial" w:eastAsia="SimSun" w:hAnsi="Arial" w:cs="Arial"/>
                <w:sz w:val="16"/>
                <w:szCs w:val="16"/>
                <w:lang w:eastAsia="zh-CN"/>
              </w:rPr>
              <w:br/>
              <w:t>The condition must be PAH of WHO Functional Class III severity at the time dual therapy is initiated;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condition must be PAH of WHO Functional Class IV severity at the time dual therapy is initiated; AND</w:t>
            </w:r>
            <w:r w:rsidRPr="006D52A9">
              <w:rPr>
                <w:rFonts w:ascii="Arial" w:eastAsia="SimSun" w:hAnsi="Arial" w:cs="Arial"/>
                <w:sz w:val="16"/>
                <w:szCs w:val="16"/>
                <w:lang w:eastAsia="zh-CN"/>
              </w:rPr>
              <w:br/>
              <w:t>Patient must have failed to achieve/maintain WHO Functional Class II status with at least one of the following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therapies: (i) endothelin receptor antagonist monotherapy, (ii)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monotherapy, (iii) prostanoid monotherapy;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213BFAEA"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896FCC" w14:paraId="319FDB89" w14:textId="77777777" w:rsidTr="00FB6D2D">
        <w:tc>
          <w:tcPr>
            <w:tcW w:w="647" w:type="pct"/>
            <w:tcMar>
              <w:top w:w="28" w:type="dxa"/>
              <w:left w:w="28" w:type="dxa"/>
            </w:tcMar>
          </w:tcPr>
          <w:p w14:paraId="78494412"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DC551B0"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C11340</w:t>
            </w:r>
          </w:p>
        </w:tc>
        <w:tc>
          <w:tcPr>
            <w:tcW w:w="274" w:type="pct"/>
            <w:tcMar>
              <w:top w:w="28" w:type="dxa"/>
              <w:left w:w="28" w:type="dxa"/>
            </w:tcMar>
          </w:tcPr>
          <w:p w14:paraId="05DB9D31"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52A0284"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'Grandfathered' patient (dual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transitioning from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where each PAH agent has been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w:t>
            </w:r>
            <w:r w:rsidRPr="006D52A9">
              <w:rPr>
                <w:rFonts w:ascii="Arial" w:eastAsia="SimSun" w:hAnsi="Arial" w:cs="Arial"/>
                <w:sz w:val="16"/>
                <w:szCs w:val="16"/>
                <w:lang w:eastAsia="zh-CN"/>
              </w:rPr>
              <w:br/>
              <w:t>Patient must have been receiving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dual therapy with PAH agents consisting of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combined with an endothelin receptor antagonist, where each agent was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PBS subsidised, prior to </w:t>
            </w:r>
            <w:r w:rsidR="003E082A" w:rsidRPr="006D52A9">
              <w:rPr>
                <w:rFonts w:ascii="Arial" w:eastAsia="SimSun" w:hAnsi="Arial" w:cs="Arial"/>
                <w:sz w:val="16"/>
                <w:szCs w:val="16"/>
                <w:lang w:eastAsia="zh-CN"/>
              </w:rPr>
              <w:t>1 October</w:t>
            </w:r>
            <w:r w:rsidRPr="006D52A9">
              <w:rPr>
                <w:rFonts w:ascii="Arial" w:eastAsia="SimSun" w:hAnsi="Arial" w:cs="Arial"/>
                <w:sz w:val="16"/>
                <w:szCs w:val="16"/>
                <w:lang w:eastAsia="zh-CN"/>
              </w:rPr>
              <w:t xml:space="preserve"> 2020; OR</w:t>
            </w:r>
            <w:r w:rsidRPr="006D52A9">
              <w:rPr>
                <w:rFonts w:ascii="Arial" w:eastAsia="SimSun" w:hAnsi="Arial" w:cs="Arial"/>
                <w:sz w:val="16"/>
                <w:szCs w:val="16"/>
                <w:lang w:eastAsia="zh-CN"/>
              </w:rPr>
              <w:br/>
              <w:t>Patient must have been receiving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with PAH agents consisting of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combined with a prostanoid, where each agent was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prior to </w:t>
            </w:r>
            <w:r w:rsidR="003E082A" w:rsidRPr="006D52A9">
              <w:rPr>
                <w:rFonts w:ascii="Arial" w:eastAsia="SimSun" w:hAnsi="Arial" w:cs="Arial"/>
                <w:sz w:val="16"/>
                <w:szCs w:val="16"/>
                <w:lang w:eastAsia="zh-CN"/>
              </w:rPr>
              <w:t>1 March</w:t>
            </w:r>
            <w:r w:rsidRPr="006D52A9">
              <w:rPr>
                <w:rFonts w:ascii="Arial" w:eastAsia="SimSun" w:hAnsi="Arial" w:cs="Arial"/>
                <w:sz w:val="16"/>
                <w:szCs w:val="16"/>
                <w:lang w:eastAsia="zh-CN"/>
              </w:rPr>
              <w:t xml:space="preserve"> 2021; AND</w:t>
            </w:r>
            <w:r w:rsidRPr="006D52A9">
              <w:rPr>
                <w:rFonts w:ascii="Arial" w:eastAsia="SimSun" w:hAnsi="Arial" w:cs="Arial"/>
                <w:sz w:val="16"/>
                <w:szCs w:val="16"/>
                <w:lang w:eastAsia="zh-CN"/>
              </w:rPr>
              <w:br/>
              <w:t>The condition must be PAH that was of WHO Functional Class III severity at the time dual therapy was initiated; OR</w:t>
            </w:r>
            <w:r w:rsidRPr="006D52A9">
              <w:rPr>
                <w:rFonts w:ascii="Arial" w:eastAsia="SimSun" w:hAnsi="Arial" w:cs="Arial"/>
                <w:sz w:val="16"/>
                <w:szCs w:val="16"/>
                <w:lang w:eastAsia="zh-CN"/>
              </w:rPr>
              <w:br/>
              <w:t>The condition must be PAH that was of WHO Functional Class IV severity at the time dual therapy was initiated;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failed to achieve/maintain WHO Functional Class II status with at least one of the following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therapies if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was initiated for WHO Functional Class III/IV PAH: (i) endothelin receptor antagonist monotherapy, (ii)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monotherapy, (iii) prostanoid monotherapy;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where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prostanoid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 dual therapy was initiated in an untreated patient with Class IV disease severity;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where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prostanoid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 dual therapy was initiated in a patient with Class III/IV disease severity that had been treated with at least endothelin receptor/phosphodiesterase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inhibitor/prostanoid monotherapy.</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lodged either electronically or via mail/postal service and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Pulmonary Arterial Hypertension Initial Grandfather dual therapy authority application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A patient may qualify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under this restriction once only. For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a Grandfathered patient must qualify under the Continuing treatment criteria for dual therapy for this condition.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47AF781D"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896FCC" w14:paraId="164BAEFE" w14:textId="77777777" w:rsidTr="00FB6D2D">
        <w:tc>
          <w:tcPr>
            <w:tcW w:w="647" w:type="pct"/>
            <w:tcMar>
              <w:top w:w="28" w:type="dxa"/>
              <w:left w:w="28" w:type="dxa"/>
            </w:tcMar>
          </w:tcPr>
          <w:p w14:paraId="5CB5D8EE"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7500B36"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C11350</w:t>
            </w:r>
          </w:p>
        </w:tc>
        <w:tc>
          <w:tcPr>
            <w:tcW w:w="274" w:type="pct"/>
            <w:tcMar>
              <w:top w:w="28" w:type="dxa"/>
              <w:left w:w="28" w:type="dxa"/>
            </w:tcMar>
          </w:tcPr>
          <w:p w14:paraId="64CAEDE8"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815CE92"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Continuing treatment (dual therapy)</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supply;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57A2A974"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896FCC" w14:paraId="5A910DA4" w14:textId="77777777" w:rsidTr="00FB6D2D">
        <w:tc>
          <w:tcPr>
            <w:tcW w:w="647" w:type="pct"/>
            <w:tcMar>
              <w:top w:w="28" w:type="dxa"/>
              <w:left w:w="28" w:type="dxa"/>
            </w:tcMar>
          </w:tcPr>
          <w:p w14:paraId="708516AB"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CC39A81"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C11352</w:t>
            </w:r>
          </w:p>
        </w:tc>
        <w:tc>
          <w:tcPr>
            <w:tcW w:w="274" w:type="pct"/>
            <w:tcMar>
              <w:top w:w="28" w:type="dxa"/>
              <w:left w:w="28" w:type="dxa"/>
            </w:tcMar>
          </w:tcPr>
          <w:p w14:paraId="370B0E6C" w14:textId="77777777" w:rsidR="008F47B8" w:rsidRPr="006D52A9" w:rsidDel="00896FC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E350A9E"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Initial 3 (dual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change)</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13E530E2" w14:textId="77777777" w:rsidR="008F47B8" w:rsidRPr="006D52A9" w:rsidDel="00896FC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E7459D" w14:paraId="6D7BB274" w14:textId="77777777" w:rsidTr="00FB6D2D">
        <w:tc>
          <w:tcPr>
            <w:tcW w:w="647" w:type="pct"/>
            <w:tcMar>
              <w:top w:w="28" w:type="dxa"/>
              <w:left w:w="28" w:type="dxa"/>
            </w:tcMar>
          </w:tcPr>
          <w:p w14:paraId="09C5279F" w14:textId="77777777" w:rsidR="008F47B8" w:rsidRPr="006D52A9" w:rsidDel="00E7459D" w:rsidRDefault="008F47B8" w:rsidP="00FB6D2D">
            <w:pPr>
              <w:spacing w:line="240" w:lineRule="auto"/>
              <w:rPr>
                <w:rFonts w:ascii="Arial" w:eastAsia="SimSun" w:hAnsi="Arial" w:cs="Arial"/>
                <w:sz w:val="16"/>
                <w:szCs w:val="16"/>
                <w:lang w:eastAsia="zh-CN"/>
              </w:rPr>
            </w:pPr>
            <w:bookmarkStart w:id="226" w:name="CU_515807894"/>
            <w:bookmarkStart w:id="227" w:name="CU_518809328"/>
            <w:bookmarkStart w:id="228" w:name="CU_519810645"/>
            <w:bookmarkStart w:id="229" w:name="CU_520815011"/>
            <w:bookmarkStart w:id="230" w:name="CU_521820887"/>
            <w:bookmarkStart w:id="231" w:name="CU_522825560"/>
            <w:bookmarkStart w:id="232" w:name="CU_523830365"/>
            <w:bookmarkStart w:id="233" w:name="CU_525833265"/>
            <w:bookmarkEnd w:id="226"/>
            <w:bookmarkEnd w:id="227"/>
            <w:bookmarkEnd w:id="228"/>
            <w:bookmarkEnd w:id="229"/>
            <w:bookmarkEnd w:id="230"/>
            <w:bookmarkEnd w:id="231"/>
            <w:bookmarkEnd w:id="232"/>
            <w:bookmarkEnd w:id="233"/>
            <w:r w:rsidRPr="006D52A9">
              <w:rPr>
                <w:rFonts w:ascii="Arial" w:eastAsia="SimSun" w:hAnsi="Arial" w:cs="Arial"/>
                <w:sz w:val="16"/>
                <w:szCs w:val="16"/>
                <w:lang w:eastAsia="zh-CN"/>
              </w:rPr>
              <w:t>Sirolimus</w:t>
            </w:r>
          </w:p>
        </w:tc>
        <w:tc>
          <w:tcPr>
            <w:tcW w:w="283" w:type="pct"/>
            <w:tcMar>
              <w:top w:w="28" w:type="dxa"/>
              <w:left w:w="28" w:type="dxa"/>
            </w:tcMar>
          </w:tcPr>
          <w:p w14:paraId="6B8DA679"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C5795</w:t>
            </w:r>
          </w:p>
        </w:tc>
        <w:tc>
          <w:tcPr>
            <w:tcW w:w="265" w:type="pct"/>
            <w:tcMar>
              <w:top w:w="28" w:type="dxa"/>
              <w:left w:w="28" w:type="dxa"/>
            </w:tcMar>
          </w:tcPr>
          <w:p w14:paraId="34385423" w14:textId="77777777" w:rsidR="008F47B8" w:rsidRPr="006D52A9" w:rsidDel="00E7459D"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70009702"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renal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renal allograft rejection, AND</w:t>
            </w:r>
            <w:r w:rsidRPr="006D52A9">
              <w:rPr>
                <w:rFonts w:ascii="Arial" w:eastAsia="SimSun" w:hAnsi="Arial" w:cs="Arial"/>
                <w:sz w:val="16"/>
                <w:szCs w:val="16"/>
                <w:lang w:eastAsia="zh-CN"/>
              </w:rPr>
              <w:br/>
              <w:t>The treatment must be under the supervision and direction of a transplant unit.</w:t>
            </w:r>
          </w:p>
        </w:tc>
        <w:tc>
          <w:tcPr>
            <w:tcW w:w="938" w:type="pct"/>
            <w:tcMar>
              <w:top w:w="28" w:type="dxa"/>
              <w:left w:w="28" w:type="dxa"/>
              <w:right w:w="57" w:type="dxa"/>
            </w:tcMar>
          </w:tcPr>
          <w:p w14:paraId="61AE0ED3"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5795</w:t>
            </w:r>
          </w:p>
        </w:tc>
      </w:tr>
      <w:tr w:rsidR="008F47B8" w:rsidRPr="006D52A9" w:rsidDel="00ED1AE1" w14:paraId="044A4B6E" w14:textId="77777777" w:rsidTr="00FB6D2D">
        <w:tc>
          <w:tcPr>
            <w:tcW w:w="647" w:type="pct"/>
            <w:tcMar>
              <w:top w:w="28" w:type="dxa"/>
              <w:left w:w="28" w:type="dxa"/>
            </w:tcMar>
          </w:tcPr>
          <w:p w14:paraId="3D7A0B5F" w14:textId="77777777" w:rsidR="008F47B8" w:rsidRPr="006D52A9" w:rsidDel="00ED1AE1"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E12FF7A" w14:textId="77777777" w:rsidR="008F47B8" w:rsidRPr="006D52A9" w:rsidDel="00ED1AE1"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C9914</w:t>
            </w:r>
          </w:p>
        </w:tc>
        <w:tc>
          <w:tcPr>
            <w:tcW w:w="265" w:type="pct"/>
            <w:tcMar>
              <w:top w:w="28" w:type="dxa"/>
              <w:left w:w="28" w:type="dxa"/>
            </w:tcMar>
          </w:tcPr>
          <w:p w14:paraId="09DF9522" w14:textId="77777777" w:rsidR="008F47B8" w:rsidRPr="006D52A9" w:rsidDel="00ED1AE1"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168FA76" w14:textId="77777777" w:rsidR="008F47B8" w:rsidRPr="006D52A9" w:rsidDel="00ED1AE1"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renal allograft rejection</w:t>
            </w:r>
            <w:r w:rsidRPr="006D52A9">
              <w:rPr>
                <w:rFonts w:ascii="Arial" w:eastAsia="SimSun" w:hAnsi="Arial" w:cs="Arial"/>
                <w:sz w:val="16"/>
                <w:szCs w:val="16"/>
                <w:lang w:eastAsia="zh-CN"/>
              </w:rPr>
              <w:br/>
              <w:t>Management (initiation, stabilisation and review of therapy)</w:t>
            </w:r>
            <w:r w:rsidRPr="006D52A9">
              <w:rPr>
                <w:rFonts w:ascii="Arial" w:eastAsia="SimSun" w:hAnsi="Arial" w:cs="Arial"/>
                <w:sz w:val="16"/>
                <w:szCs w:val="16"/>
                <w:lang w:eastAsia="zh-CN"/>
              </w:rPr>
              <w:br/>
              <w:t>Patient must be receiving this drug for prophylaxis of renal allograft rejection; AND</w:t>
            </w:r>
            <w:r w:rsidRPr="006D52A9">
              <w:rPr>
                <w:rFonts w:ascii="Arial" w:eastAsia="SimSun" w:hAnsi="Arial" w:cs="Arial"/>
                <w:sz w:val="16"/>
                <w:szCs w:val="16"/>
                <w:lang w:eastAsia="zh-CN"/>
              </w:rPr>
              <w:br/>
              <w:t>The treatment must be under the supervision and direction of a transplant unit.</w:t>
            </w:r>
          </w:p>
        </w:tc>
        <w:tc>
          <w:tcPr>
            <w:tcW w:w="938" w:type="pct"/>
            <w:tcMar>
              <w:top w:w="28" w:type="dxa"/>
              <w:left w:w="28" w:type="dxa"/>
              <w:right w:w="57" w:type="dxa"/>
            </w:tcMar>
          </w:tcPr>
          <w:p w14:paraId="135D7B27" w14:textId="77777777" w:rsidR="008F47B8" w:rsidRPr="006D52A9" w:rsidDel="00ED1AE1"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9914</w:t>
            </w:r>
          </w:p>
        </w:tc>
      </w:tr>
      <w:tr w:rsidR="008F47B8" w:rsidRPr="006D52A9" w:rsidDel="00E7459D" w14:paraId="659F439F" w14:textId="77777777" w:rsidTr="00FB6D2D">
        <w:tc>
          <w:tcPr>
            <w:tcW w:w="647" w:type="pct"/>
            <w:tcMar>
              <w:top w:w="28" w:type="dxa"/>
              <w:left w:w="28" w:type="dxa"/>
            </w:tcMar>
          </w:tcPr>
          <w:p w14:paraId="313C80A5"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Sofosbuvir with velpatasvir</w:t>
            </w:r>
          </w:p>
        </w:tc>
        <w:tc>
          <w:tcPr>
            <w:tcW w:w="283" w:type="pct"/>
            <w:tcMar>
              <w:top w:w="28" w:type="dxa"/>
              <w:left w:w="28" w:type="dxa"/>
            </w:tcMar>
          </w:tcPr>
          <w:p w14:paraId="792010E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C5969</w:t>
            </w:r>
          </w:p>
        </w:tc>
        <w:tc>
          <w:tcPr>
            <w:tcW w:w="265" w:type="pct"/>
            <w:tcMar>
              <w:top w:w="28" w:type="dxa"/>
              <w:left w:w="28" w:type="dxa"/>
            </w:tcMar>
          </w:tcPr>
          <w:p w14:paraId="5E36763E"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A63050F"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Chronic hepatitis C infection</w:t>
            </w:r>
          </w:p>
          <w:p w14:paraId="73C5F6CC"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meet the criteria set out in the General Statement for Drugs for the Treatment of Hepatitis C; AND</w:t>
            </w:r>
          </w:p>
          <w:p w14:paraId="0C99F4F6" w14:textId="77777777" w:rsidR="008F47B8" w:rsidRPr="006D52A9" w:rsidRDefault="008F47B8" w:rsidP="00FB6D2D">
            <w:pPr>
              <w:spacing w:line="240" w:lineRule="auto"/>
              <w:rPr>
                <w:rFonts w:eastAsia="SimSun"/>
                <w:szCs w:val="16"/>
              </w:rPr>
            </w:pPr>
            <w:r w:rsidRPr="006D52A9">
              <w:rPr>
                <w:rFonts w:ascii="Arial" w:eastAsia="SimSun" w:hAnsi="Arial" w:cs="Arial"/>
                <w:sz w:val="16"/>
                <w:szCs w:val="16"/>
                <w:lang w:eastAsia="zh-CN"/>
              </w:rPr>
              <w:t>Patient must be taking this drug as part of a regimen set out in the matrix in the General Statement for Drugs for the Treatment of Hepatitis C, based on the hepatitis C virus genotype, patient treatment history and cirrhotic status; AND</w:t>
            </w:r>
          </w:p>
          <w:p w14:paraId="095736C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limited to a maximum duration of 12 weeks.</w:t>
            </w:r>
          </w:p>
        </w:tc>
        <w:tc>
          <w:tcPr>
            <w:tcW w:w="938" w:type="pct"/>
            <w:tcMar>
              <w:top w:w="28" w:type="dxa"/>
              <w:left w:w="28" w:type="dxa"/>
              <w:right w:w="57" w:type="dxa"/>
            </w:tcMar>
          </w:tcPr>
          <w:p w14:paraId="71DDD0C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7459D" w14:paraId="2B66D9EB" w14:textId="77777777" w:rsidTr="00FB6D2D">
        <w:tc>
          <w:tcPr>
            <w:tcW w:w="647" w:type="pct"/>
            <w:tcMar>
              <w:top w:w="28" w:type="dxa"/>
              <w:left w:w="28" w:type="dxa"/>
            </w:tcMar>
          </w:tcPr>
          <w:p w14:paraId="29F2292B"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Sofosbuvir with velpatasvir and voxilaprevir</w:t>
            </w:r>
          </w:p>
        </w:tc>
        <w:tc>
          <w:tcPr>
            <w:tcW w:w="283" w:type="pct"/>
            <w:tcMar>
              <w:top w:w="28" w:type="dxa"/>
              <w:left w:w="28" w:type="dxa"/>
            </w:tcMar>
          </w:tcPr>
          <w:p w14:paraId="4A221A8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C10248</w:t>
            </w:r>
          </w:p>
        </w:tc>
        <w:tc>
          <w:tcPr>
            <w:tcW w:w="265" w:type="pct"/>
            <w:tcMar>
              <w:top w:w="28" w:type="dxa"/>
              <w:left w:w="28" w:type="dxa"/>
            </w:tcMar>
          </w:tcPr>
          <w:p w14:paraId="195FB66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7E6859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Chronic hepatitis C infection</w:t>
            </w:r>
            <w:r w:rsidRPr="006D52A9">
              <w:rPr>
                <w:rFonts w:ascii="Arial" w:hAnsi="Arial" w:cs="Arial"/>
                <w:sz w:val="16"/>
                <w:szCs w:val="16"/>
              </w:rPr>
              <w:br/>
              <w:t>Patient must meet the criteria set out in the General Statement for Drugs for the Treatment of Hepatitis C; AND</w:t>
            </w:r>
            <w:r w:rsidRPr="006D52A9">
              <w:rPr>
                <w:rFonts w:ascii="Arial" w:hAnsi="Arial" w:cs="Arial"/>
                <w:sz w:val="16"/>
                <w:szCs w:val="16"/>
              </w:rPr>
              <w:br/>
              <w:t>Patient must be taking this drug as part of a regimen set out in the matrix in the General Statement for Drugs for the Treatment of Hepatitis C, based on the hepatitis C virus genotype, patient treatment history and cirrhotic status; AND</w:t>
            </w:r>
            <w:r w:rsidRPr="006D52A9">
              <w:rPr>
                <w:rFonts w:ascii="Arial" w:hAnsi="Arial" w:cs="Arial"/>
                <w:sz w:val="16"/>
                <w:szCs w:val="16"/>
              </w:rPr>
              <w:br/>
              <w:t>The treatment must be limited to a maximum duration of 12 weeks.</w:t>
            </w:r>
            <w:r w:rsidRPr="006D52A9">
              <w:rPr>
                <w:rFonts w:ascii="Arial" w:hAnsi="Arial" w:cs="Arial"/>
                <w:sz w:val="16"/>
                <w:szCs w:val="16"/>
              </w:rPr>
              <w:br/>
              <w:t>The application must include details of the prior treatment regimen containing an NS5A inhibitor.</w:t>
            </w:r>
          </w:p>
        </w:tc>
        <w:tc>
          <w:tcPr>
            <w:tcW w:w="938" w:type="pct"/>
            <w:tcMar>
              <w:top w:w="28" w:type="dxa"/>
              <w:left w:w="28" w:type="dxa"/>
              <w:right w:w="57" w:type="dxa"/>
            </w:tcMar>
          </w:tcPr>
          <w:p w14:paraId="319E927F"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E97A10" w14:paraId="7AF44E6F" w14:textId="77777777" w:rsidTr="00FB6D2D">
        <w:tc>
          <w:tcPr>
            <w:tcW w:w="647" w:type="pct"/>
            <w:tcMar>
              <w:top w:w="28" w:type="dxa"/>
              <w:left w:w="28" w:type="dxa"/>
            </w:tcMar>
          </w:tcPr>
          <w:p w14:paraId="23C2E6A9" w14:textId="77777777" w:rsidR="008F47B8" w:rsidRPr="006D52A9" w:rsidRDefault="008F47B8" w:rsidP="00FB6D2D">
            <w:pPr>
              <w:spacing w:line="240" w:lineRule="auto"/>
              <w:rPr>
                <w:rFonts w:ascii="Arial" w:eastAsia="SimSun" w:hAnsi="Arial" w:cs="Arial"/>
                <w:sz w:val="16"/>
                <w:szCs w:val="16"/>
                <w:lang w:eastAsia="zh-CN"/>
              </w:rPr>
            </w:pPr>
            <w:bookmarkStart w:id="234" w:name="CU_531837725"/>
            <w:bookmarkEnd w:id="234"/>
            <w:r w:rsidRPr="006D52A9">
              <w:rPr>
                <w:rFonts w:ascii="Arial" w:eastAsia="SimSun" w:hAnsi="Arial" w:cs="Arial"/>
                <w:sz w:val="16"/>
                <w:szCs w:val="16"/>
                <w:lang w:eastAsia="zh-CN"/>
              </w:rPr>
              <w:t>Sucroferric oxyhydroxide</w:t>
            </w:r>
          </w:p>
        </w:tc>
        <w:tc>
          <w:tcPr>
            <w:tcW w:w="283" w:type="pct"/>
            <w:tcMar>
              <w:top w:w="28" w:type="dxa"/>
              <w:left w:w="28" w:type="dxa"/>
            </w:tcMar>
          </w:tcPr>
          <w:p w14:paraId="0717B68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C5530</w:t>
            </w:r>
          </w:p>
        </w:tc>
        <w:tc>
          <w:tcPr>
            <w:tcW w:w="265" w:type="pct"/>
            <w:tcMar>
              <w:top w:w="28" w:type="dxa"/>
              <w:left w:w="28" w:type="dxa"/>
            </w:tcMar>
          </w:tcPr>
          <w:p w14:paraId="33C1A69E"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721CBE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Hyperphosphataemia</w:t>
            </w:r>
            <w:r w:rsidRPr="006D52A9">
              <w:rPr>
                <w:rFonts w:ascii="Arial" w:hAnsi="Arial" w:cs="Arial"/>
                <w:sz w:val="16"/>
                <w:szCs w:val="16"/>
              </w:rPr>
              <w:br/>
              <w:t>Initiation and stabilisation</w:t>
            </w:r>
            <w:r w:rsidRPr="006D52A9">
              <w:rPr>
                <w:rFonts w:ascii="Arial" w:hAnsi="Arial" w:cs="Arial"/>
                <w:sz w:val="16"/>
                <w:szCs w:val="16"/>
              </w:rPr>
              <w:br/>
              <w:t>The condition must not be adequately controlled by calcium; AND</w:t>
            </w:r>
            <w:r w:rsidRPr="006D52A9">
              <w:rPr>
                <w:rFonts w:ascii="Arial" w:hAnsi="Arial" w:cs="Arial"/>
                <w:sz w:val="16"/>
                <w:szCs w:val="16"/>
              </w:rPr>
              <w:br/>
              <w:t>Patient must have a serum phosphate of greater than 1.6 mmol per L at the commencement of therapy; OR</w:t>
            </w:r>
            <w:r w:rsidRPr="006D52A9">
              <w:rPr>
                <w:rFonts w:ascii="Arial" w:hAnsi="Arial" w:cs="Arial"/>
                <w:sz w:val="16"/>
                <w:szCs w:val="16"/>
              </w:rPr>
              <w:br/>
              <w:t>The condition must be where a serum calcium times phosphate product is greater than 4 at the commencement of therapy; AND</w:t>
            </w:r>
            <w:r w:rsidRPr="006D52A9">
              <w:rPr>
                <w:rFonts w:ascii="Arial" w:hAnsi="Arial" w:cs="Arial"/>
                <w:sz w:val="16"/>
                <w:szCs w:val="16"/>
              </w:rPr>
              <w:br/>
            </w:r>
            <w:r w:rsidRPr="006D52A9">
              <w:rPr>
                <w:rFonts w:ascii="Arial" w:hAnsi="Arial" w:cs="Arial"/>
                <w:sz w:val="16"/>
                <w:szCs w:val="16"/>
              </w:rPr>
              <w:lastRenderedPageBreak/>
              <w:t>The treatment must not be used in combination with any other non</w:t>
            </w:r>
            <w:r w:rsidR="0026100E">
              <w:rPr>
                <w:rFonts w:ascii="Arial" w:hAnsi="Arial" w:cs="Arial"/>
                <w:sz w:val="16"/>
                <w:szCs w:val="16"/>
              </w:rPr>
              <w:noBreakHyphen/>
            </w:r>
            <w:r w:rsidRPr="006D52A9">
              <w:rPr>
                <w:rFonts w:ascii="Arial" w:hAnsi="Arial" w:cs="Arial"/>
                <w:sz w:val="16"/>
                <w:szCs w:val="16"/>
              </w:rPr>
              <w:t>calcium phosphate binding agents.</w:t>
            </w:r>
            <w:r w:rsidRPr="006D52A9">
              <w:rPr>
                <w:rFonts w:ascii="Arial" w:hAnsi="Arial" w:cs="Arial"/>
                <w:sz w:val="16"/>
                <w:szCs w:val="16"/>
              </w:rPr>
              <w:br/>
              <w:t>Patient must be undergoing dialysis for chronic kidney disease.</w:t>
            </w:r>
          </w:p>
        </w:tc>
        <w:tc>
          <w:tcPr>
            <w:tcW w:w="938" w:type="pct"/>
            <w:tcMar>
              <w:top w:w="28" w:type="dxa"/>
              <w:left w:w="28" w:type="dxa"/>
              <w:right w:w="57" w:type="dxa"/>
            </w:tcMar>
          </w:tcPr>
          <w:p w14:paraId="569706F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lastRenderedPageBreak/>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5530</w:t>
            </w:r>
          </w:p>
        </w:tc>
      </w:tr>
      <w:tr w:rsidR="008F47B8" w:rsidRPr="006D52A9" w:rsidDel="00E97A10" w14:paraId="1943E537" w14:textId="77777777" w:rsidTr="00FB6D2D">
        <w:tc>
          <w:tcPr>
            <w:tcW w:w="647" w:type="pct"/>
            <w:tcMar>
              <w:top w:w="28" w:type="dxa"/>
              <w:left w:w="28" w:type="dxa"/>
            </w:tcMar>
          </w:tcPr>
          <w:p w14:paraId="0971E473"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155C77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C9762</w:t>
            </w:r>
          </w:p>
        </w:tc>
        <w:tc>
          <w:tcPr>
            <w:tcW w:w="265" w:type="pct"/>
            <w:tcMar>
              <w:top w:w="28" w:type="dxa"/>
              <w:left w:w="28" w:type="dxa"/>
            </w:tcMar>
          </w:tcPr>
          <w:p w14:paraId="02D15F0C" w14:textId="77777777" w:rsidR="008F47B8" w:rsidRPr="006D52A9" w:rsidDel="00E97A10"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53801F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Hyperphosphataemia</w:t>
            </w:r>
            <w:r w:rsidRPr="006D52A9">
              <w:rPr>
                <w:rFonts w:ascii="Arial" w:eastAsia="SimSun" w:hAnsi="Arial" w:cs="Arial"/>
                <w:sz w:val="16"/>
                <w:szCs w:val="16"/>
                <w:lang w:eastAsia="zh-CN"/>
              </w:rPr>
              <w:br/>
              <w:t>Initiation and stabilisation</w:t>
            </w:r>
            <w:r w:rsidRPr="006D52A9">
              <w:rPr>
                <w:rFonts w:ascii="Arial" w:eastAsia="SimSun" w:hAnsi="Arial" w:cs="Arial"/>
                <w:sz w:val="16"/>
                <w:szCs w:val="16"/>
                <w:lang w:eastAsia="zh-CN"/>
              </w:rPr>
              <w:br/>
              <w:t>The condition must not be adequately controlled by calcium; AND</w:t>
            </w:r>
            <w:r w:rsidRPr="006D52A9">
              <w:rPr>
                <w:rFonts w:ascii="Arial" w:eastAsia="SimSun" w:hAnsi="Arial" w:cs="Arial"/>
                <w:sz w:val="16"/>
                <w:szCs w:val="16"/>
                <w:lang w:eastAsia="zh-CN"/>
              </w:rPr>
              <w:br/>
              <w:t>Patient must have a serum phosphate of greater than 1.6 mmol per L at the commencement of therapy; OR</w:t>
            </w:r>
            <w:r w:rsidRPr="006D52A9">
              <w:rPr>
                <w:rFonts w:ascii="Arial" w:eastAsia="SimSun" w:hAnsi="Arial" w:cs="Arial"/>
                <w:sz w:val="16"/>
                <w:szCs w:val="16"/>
                <w:lang w:eastAsia="zh-CN"/>
              </w:rPr>
              <w:br/>
              <w:t>The condition must be where a serum calcium times phosphate product is greater than 4 at the commencement of therapy; AND</w:t>
            </w:r>
            <w:r w:rsidRPr="006D52A9">
              <w:rPr>
                <w:rFonts w:ascii="Arial" w:eastAsia="SimSun" w:hAnsi="Arial" w:cs="Arial"/>
                <w:sz w:val="16"/>
                <w:szCs w:val="16"/>
                <w:lang w:eastAsia="zh-CN"/>
              </w:rPr>
              <w:br/>
              <w:t>The treatment must not be used in combination with any other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calcium phosphate binding agents.</w:t>
            </w:r>
            <w:r w:rsidRPr="006D52A9">
              <w:rPr>
                <w:rFonts w:ascii="Arial" w:eastAsia="SimSun" w:hAnsi="Arial" w:cs="Arial"/>
                <w:sz w:val="16"/>
                <w:szCs w:val="16"/>
                <w:lang w:eastAsia="zh-CN"/>
              </w:rPr>
              <w:br/>
              <w:t>Patient must be undergoing dialysis for chronic kidney disease.</w:t>
            </w:r>
          </w:p>
        </w:tc>
        <w:tc>
          <w:tcPr>
            <w:tcW w:w="938" w:type="pct"/>
            <w:tcMar>
              <w:top w:w="28" w:type="dxa"/>
              <w:left w:w="28" w:type="dxa"/>
              <w:right w:w="57" w:type="dxa"/>
            </w:tcMar>
          </w:tcPr>
          <w:p w14:paraId="40AF1EF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9762</w:t>
            </w:r>
          </w:p>
        </w:tc>
      </w:tr>
      <w:tr w:rsidR="008F47B8" w:rsidRPr="006D52A9" w:rsidDel="00E97A10" w14:paraId="0496C6DC" w14:textId="77777777" w:rsidTr="00FB6D2D">
        <w:trPr>
          <w:cantSplit/>
        </w:trPr>
        <w:tc>
          <w:tcPr>
            <w:tcW w:w="647" w:type="pct"/>
            <w:tcMar>
              <w:top w:w="28" w:type="dxa"/>
              <w:left w:w="28" w:type="dxa"/>
            </w:tcMar>
          </w:tcPr>
          <w:p w14:paraId="5CBD2FA4" w14:textId="77777777" w:rsidR="008F47B8" w:rsidRPr="006D52A9" w:rsidDel="00E97A10"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Tacrolimus</w:t>
            </w:r>
          </w:p>
        </w:tc>
        <w:tc>
          <w:tcPr>
            <w:tcW w:w="283" w:type="pct"/>
            <w:tcMar>
              <w:top w:w="28" w:type="dxa"/>
              <w:left w:w="28" w:type="dxa"/>
            </w:tcMar>
          </w:tcPr>
          <w:p w14:paraId="60D99D6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C5569</w:t>
            </w:r>
          </w:p>
        </w:tc>
        <w:tc>
          <w:tcPr>
            <w:tcW w:w="265" w:type="pct"/>
            <w:tcMar>
              <w:top w:w="28" w:type="dxa"/>
              <w:left w:w="28" w:type="dxa"/>
            </w:tcMar>
          </w:tcPr>
          <w:p w14:paraId="1778C87F" w14:textId="77777777" w:rsidR="008F47B8" w:rsidRPr="006D52A9"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FB0739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rejection in patients following organ or tissue transplantation</w:t>
            </w:r>
            <w:r w:rsidRPr="006D52A9">
              <w:rPr>
                <w:rFonts w:ascii="Arial" w:eastAsia="SimSun" w:hAnsi="Arial" w:cs="Arial"/>
                <w:sz w:val="16"/>
                <w:szCs w:val="16"/>
                <w:lang w:eastAsia="zh-CN"/>
              </w:rPr>
              <w:br/>
              <w:t>The treatment must be under the supervision and direction of a transplant unit, AND</w:t>
            </w:r>
            <w:r w:rsidRPr="006D52A9">
              <w:rPr>
                <w:rFonts w:ascii="Arial" w:eastAsia="SimSun" w:hAnsi="Arial" w:cs="Arial"/>
                <w:sz w:val="16"/>
                <w:szCs w:val="16"/>
                <w:lang w:eastAsia="zh-CN"/>
              </w:rPr>
              <w:br/>
              <w:t>The treatment must include initiation, stabilisation, and review of therapy as required.</w:t>
            </w:r>
          </w:p>
        </w:tc>
        <w:tc>
          <w:tcPr>
            <w:tcW w:w="938" w:type="pct"/>
            <w:tcMar>
              <w:top w:w="28" w:type="dxa"/>
              <w:left w:w="28" w:type="dxa"/>
              <w:right w:w="57" w:type="dxa"/>
            </w:tcMar>
          </w:tcPr>
          <w:p w14:paraId="7F4E942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5569</w:t>
            </w:r>
          </w:p>
        </w:tc>
      </w:tr>
      <w:tr w:rsidR="008F47B8" w:rsidRPr="006D52A9" w:rsidDel="00957246" w14:paraId="1AB29AEA" w14:textId="77777777" w:rsidTr="00FB6D2D">
        <w:trPr>
          <w:cantSplit/>
        </w:trPr>
        <w:tc>
          <w:tcPr>
            <w:tcW w:w="647" w:type="pct"/>
            <w:tcMar>
              <w:top w:w="28" w:type="dxa"/>
              <w:left w:w="28" w:type="dxa"/>
            </w:tcMar>
          </w:tcPr>
          <w:p w14:paraId="27579102"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6562BE36" w14:textId="77777777" w:rsidR="008F47B8" w:rsidRPr="006D52A9" w:rsidDel="009572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C9697</w:t>
            </w:r>
          </w:p>
        </w:tc>
        <w:tc>
          <w:tcPr>
            <w:tcW w:w="265" w:type="pct"/>
            <w:tcMar>
              <w:top w:w="28" w:type="dxa"/>
              <w:left w:w="28" w:type="dxa"/>
            </w:tcMar>
          </w:tcPr>
          <w:p w14:paraId="1827F835"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5069D3E2" w14:textId="77777777" w:rsidR="008F47B8" w:rsidRPr="006D52A9" w:rsidDel="009572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Management of rejection in patients following organ or tissue transplantation</w:t>
            </w:r>
            <w:r w:rsidRPr="006D52A9">
              <w:rPr>
                <w:rFonts w:ascii="Arial" w:eastAsia="SimSun" w:hAnsi="Arial" w:cs="Arial"/>
                <w:sz w:val="16"/>
                <w:szCs w:val="16"/>
                <w:lang w:eastAsia="zh-CN"/>
              </w:rPr>
              <w:br/>
              <w:t>The treatment must be under the supervision and direction of a transplant unit; AND</w:t>
            </w:r>
            <w:r w:rsidRPr="006D52A9">
              <w:rPr>
                <w:rFonts w:ascii="Arial" w:eastAsia="SimSun" w:hAnsi="Arial" w:cs="Arial"/>
                <w:sz w:val="16"/>
                <w:szCs w:val="16"/>
                <w:lang w:eastAsia="zh-CN"/>
              </w:rPr>
              <w:br/>
              <w:t>The treatment must include initiation, stabilisation, and review of therapy as required.</w:t>
            </w:r>
          </w:p>
        </w:tc>
        <w:tc>
          <w:tcPr>
            <w:tcW w:w="938" w:type="pct"/>
            <w:tcMar>
              <w:top w:w="28" w:type="dxa"/>
              <w:left w:w="28" w:type="dxa"/>
              <w:right w:w="57" w:type="dxa"/>
            </w:tcMar>
          </w:tcPr>
          <w:p w14:paraId="06F25BA6" w14:textId="77777777" w:rsidR="008F47B8" w:rsidRPr="006D52A9" w:rsidDel="009572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9697</w:t>
            </w:r>
          </w:p>
        </w:tc>
      </w:tr>
      <w:tr w:rsidR="008F47B8" w:rsidRPr="006D52A9" w:rsidDel="00957246" w14:paraId="61EC9D8F" w14:textId="77777777" w:rsidTr="00FB6D2D">
        <w:trPr>
          <w:cantSplit/>
        </w:trPr>
        <w:tc>
          <w:tcPr>
            <w:tcW w:w="647" w:type="pct"/>
            <w:tcMar>
              <w:top w:w="28" w:type="dxa"/>
              <w:left w:w="28" w:type="dxa"/>
            </w:tcMar>
          </w:tcPr>
          <w:p w14:paraId="50EDD1E8" w14:textId="77777777" w:rsidR="008F47B8" w:rsidRPr="006D52A9" w:rsidDel="009572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Tadalafil</w:t>
            </w:r>
          </w:p>
        </w:tc>
        <w:tc>
          <w:tcPr>
            <w:tcW w:w="283" w:type="pct"/>
            <w:tcMar>
              <w:top w:w="28" w:type="dxa"/>
              <w:left w:w="28" w:type="dxa"/>
            </w:tcMar>
          </w:tcPr>
          <w:p w14:paraId="4E9A9563"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22"/>
                <w:lang w:eastAsia="zh-CN"/>
              </w:rPr>
              <w:t>C10228</w:t>
            </w:r>
          </w:p>
        </w:tc>
        <w:tc>
          <w:tcPr>
            <w:tcW w:w="265" w:type="pct"/>
            <w:tcMar>
              <w:top w:w="28" w:type="dxa"/>
              <w:left w:w="28" w:type="dxa"/>
            </w:tcMar>
          </w:tcPr>
          <w:p w14:paraId="1B61C438"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0B1563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Patient must have received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PAH agent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14:paraId="7E4616F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957246" w14:paraId="09F76979" w14:textId="77777777" w:rsidTr="00FB6D2D">
        <w:tc>
          <w:tcPr>
            <w:tcW w:w="647" w:type="pct"/>
            <w:tcMar>
              <w:top w:w="28" w:type="dxa"/>
              <w:left w:w="28" w:type="dxa"/>
            </w:tcMar>
          </w:tcPr>
          <w:p w14:paraId="4D6552E3"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4329A36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22"/>
                <w:lang w:eastAsia="zh-CN"/>
              </w:rPr>
              <w:t>C10234</w:t>
            </w:r>
          </w:p>
        </w:tc>
        <w:tc>
          <w:tcPr>
            <w:tcW w:w="265" w:type="pct"/>
            <w:tcMar>
              <w:top w:w="28" w:type="dxa"/>
              <w:left w:w="28" w:type="dxa"/>
            </w:tcMar>
          </w:tcPr>
          <w:p w14:paraId="2F6FB26A"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B1C653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2 (change)</w:t>
            </w:r>
            <w:r w:rsidRPr="006D52A9">
              <w:rPr>
                <w:rFonts w:ascii="Arial" w:eastAsia="SimSun" w:hAnsi="Arial" w:cs="Arial"/>
                <w:sz w:val="16"/>
                <w:szCs w:val="16"/>
                <w:lang w:eastAsia="zh-CN"/>
              </w:rPr>
              <w:br/>
              <w:t>Patient must have documented WHO Functional Class II PAH, or WHO Functional Class III PAH; AND</w:t>
            </w:r>
            <w:r w:rsidRPr="006D52A9">
              <w:rPr>
                <w:rFonts w:ascii="Arial" w:eastAsia="SimSun" w:hAnsi="Arial" w:cs="Arial"/>
                <w:sz w:val="16"/>
                <w:szCs w:val="16"/>
                <w:lang w:eastAsia="zh-CN"/>
              </w:rPr>
              <w:br/>
              <w:t>Patient must have had their most recent course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for this condition with a PAH agent other than this agent;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Swapping between PAH agents: Patients can access PAH agents through the PBS according to the relevant restrictions. Once these patients are approved initial treatment (monotherapy) with 1 of these 8 drugs, they may swap between PAH agents at any time without having to re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qualify for treatment with the alternate agent. This means that patients may commence treatment with the alternate agent, subject to that agent’s restriction, irrespective of the severity of their disease at the time the application to swap therapy is submitted.</w:t>
            </w:r>
            <w:r w:rsidRPr="006D52A9">
              <w:rPr>
                <w:rFonts w:ascii="Arial" w:eastAsia="SimSun" w:hAnsi="Arial" w:cs="Arial"/>
                <w:sz w:val="16"/>
                <w:szCs w:val="16"/>
                <w:lang w:eastAsia="zh-CN"/>
              </w:rPr>
              <w:br/>
              <w:t>Applications to swap between the 8 PAH agents must be made under the relevant initial treatment (monotherapy) restriction.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14:paraId="3B6417F2"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957246" w14:paraId="2E22D3CA" w14:textId="77777777" w:rsidTr="00FB6D2D">
        <w:tc>
          <w:tcPr>
            <w:tcW w:w="647" w:type="pct"/>
            <w:tcMar>
              <w:top w:w="28" w:type="dxa"/>
              <w:left w:w="28" w:type="dxa"/>
            </w:tcMar>
          </w:tcPr>
          <w:p w14:paraId="7395F02A"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A2B77B6"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22"/>
                <w:lang w:eastAsia="zh-CN"/>
              </w:rPr>
              <w:t>C10304</w:t>
            </w:r>
          </w:p>
        </w:tc>
        <w:tc>
          <w:tcPr>
            <w:tcW w:w="265" w:type="pct"/>
            <w:tcMar>
              <w:top w:w="28" w:type="dxa"/>
              <w:left w:w="28" w:type="dxa"/>
            </w:tcMar>
          </w:tcPr>
          <w:p w14:paraId="509C7614" w14:textId="77777777" w:rsidR="008F47B8" w:rsidRPr="006D52A9" w:rsidDel="00957246"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D6ACBD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1 (new patients)</w:t>
            </w:r>
            <w:r w:rsidRPr="006D52A9">
              <w:rPr>
                <w:rFonts w:ascii="Arial" w:eastAsia="SimSun" w:hAnsi="Arial" w:cs="Arial"/>
                <w:sz w:val="16"/>
                <w:szCs w:val="16"/>
                <w:lang w:eastAsia="zh-CN"/>
              </w:rPr>
              <w:br/>
              <w:t>Patient must not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pulmonary arterial hypertension (PAH) agent; AND</w:t>
            </w:r>
            <w:r w:rsidRPr="006D52A9">
              <w:rPr>
                <w:rFonts w:ascii="Arial" w:eastAsia="SimSun" w:hAnsi="Arial" w:cs="Arial"/>
                <w:sz w:val="16"/>
                <w:szCs w:val="16"/>
                <w:lang w:eastAsia="zh-CN"/>
              </w:rPr>
              <w:br/>
              <w:t>Patient must have been assessed by a physician with expertise in the management of PAH; AND</w:t>
            </w:r>
            <w:r w:rsidRPr="006D52A9">
              <w:rPr>
                <w:rFonts w:ascii="Arial" w:eastAsia="SimSun" w:hAnsi="Arial" w:cs="Arial"/>
                <w:sz w:val="16"/>
                <w:szCs w:val="16"/>
                <w:lang w:eastAsia="zh-CN"/>
              </w:rPr>
              <w:br/>
              <w:t>Patient must have WHO Functional Class II PAH, or WHO Functional Class III PAH;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PAH agent for this condition.</w:t>
            </w:r>
            <w:r w:rsidRPr="006D52A9">
              <w:rPr>
                <w:rFonts w:ascii="Arial" w:eastAsia="SimSun" w:hAnsi="Arial" w:cs="Arial"/>
                <w:sz w:val="16"/>
                <w:szCs w:val="16"/>
                <w:lang w:eastAsia="zh-CN"/>
              </w:rPr>
              <w:br/>
              <w:t>The term ‘PAH agents’ refers to bosentan monohydrate, iloprost trometamol, epoprostenol sodium, sildenafil citrate, ambrisentan, tadalafil, macitentan, and riociguat.</w:t>
            </w:r>
            <w:r w:rsidRPr="006D52A9">
              <w:rPr>
                <w:rFonts w:ascii="Arial" w:eastAsia="SimSun" w:hAnsi="Arial" w:cs="Arial"/>
                <w:sz w:val="16"/>
                <w:szCs w:val="16"/>
                <w:lang w:eastAsia="zh-CN"/>
              </w:rPr>
              <w:br/>
              <w:t>PAH agents are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The test results provided must not be more than 2 months old at the time of application.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38" w:type="pct"/>
            <w:tcMar>
              <w:top w:w="28" w:type="dxa"/>
              <w:left w:w="28" w:type="dxa"/>
              <w:right w:w="57" w:type="dxa"/>
            </w:tcMar>
          </w:tcPr>
          <w:p w14:paraId="251B94A9"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077F94" w14:paraId="428E5A67" w14:textId="77777777" w:rsidTr="00FB6D2D">
        <w:tc>
          <w:tcPr>
            <w:tcW w:w="647" w:type="pct"/>
            <w:tcMar>
              <w:top w:w="28" w:type="dxa"/>
              <w:left w:w="28" w:type="dxa"/>
            </w:tcMar>
          </w:tcPr>
          <w:p w14:paraId="0923AF4C" w14:textId="77777777" w:rsidR="008F47B8" w:rsidRPr="006D52A9" w:rsidDel="00077F94"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908B1F4"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C11229 </w:t>
            </w:r>
          </w:p>
        </w:tc>
        <w:tc>
          <w:tcPr>
            <w:tcW w:w="274" w:type="pct"/>
            <w:tcMar>
              <w:top w:w="28" w:type="dxa"/>
              <w:left w:w="28" w:type="dxa"/>
            </w:tcMar>
          </w:tcPr>
          <w:p w14:paraId="1D9FB216" w14:textId="77777777" w:rsidR="008F47B8" w:rsidRPr="006D52A9" w:rsidDel="00077F94"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27FC4AC"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Triple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Initial treatment or continuing treatment of triple combination therapy (including dual therapy in lieu of triple therapy) that includes selexipag</w:t>
            </w:r>
            <w:r w:rsidRPr="006D52A9">
              <w:rPr>
                <w:rFonts w:ascii="Arial" w:eastAsia="SimSun" w:hAnsi="Arial" w:cs="Arial"/>
                <w:sz w:val="16"/>
                <w:szCs w:val="16"/>
                <w:lang w:eastAsia="zh-CN"/>
              </w:rPr>
              <w:br/>
              <w:t>The treatment must form part of triple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(referred to as 'triple therapy'); OR</w:t>
            </w:r>
            <w:r w:rsidRPr="006D52A9">
              <w:rPr>
                <w:rFonts w:ascii="Arial" w:eastAsia="SimSun" w:hAnsi="Arial" w:cs="Arial"/>
                <w:sz w:val="16"/>
                <w:szCs w:val="16"/>
                <w:lang w:eastAsia="zh-CN"/>
              </w:rPr>
              <w:br/>
              <w:t>The treatment must form part of dual combination therapy consisting of either: (i)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endothelin receptor antagonist, (ii)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selexipag with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as triple combination therapy with selexipag</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an endothelin receptor antagonist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 phoshodiesterase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not possible due to an intolerance/contraindication to the endothelin receptor antagonist class/phosphodiesterase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class (referred to as 'dual therapy in lieu of triple therapy').</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The authority application for selexipag must be approved prior to the authority application for this agent.</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 xml:space="preserve">(ii) where a right heart catheter (RHC) cannot be performed on clinical grounds, right ventricular systolic pressure (RVSP), assessed by echocardiography (ECHO), greater than 40 mmHg, with normal left </w:t>
            </w:r>
            <w:r w:rsidRPr="006D52A9">
              <w:rPr>
                <w:rFonts w:ascii="Arial" w:eastAsia="SimSun" w:hAnsi="Arial" w:cs="Arial"/>
                <w:sz w:val="16"/>
                <w:szCs w:val="16"/>
                <w:lang w:eastAsia="zh-CN"/>
              </w:rPr>
              <w:lastRenderedPageBreak/>
              <w:t>ventricular function.</w:t>
            </w:r>
            <w:r w:rsidRPr="006D52A9">
              <w:rPr>
                <w:rFonts w:ascii="Arial" w:eastAsia="SimSun" w:hAnsi="Arial" w:cs="Arial"/>
                <w:sz w:val="16"/>
                <w:szCs w:val="16"/>
                <w:lang w:eastAsia="zh-CN"/>
              </w:rPr>
              <w:br/>
              <w:t>The results and date of the RHC, ECHO and 6 MWT as applicable must be included in the patient's medical record. Where a RHC cannot be performed on clinical grounds, the written confirmation of the 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4AA8A352" w14:textId="77777777" w:rsidR="008F47B8" w:rsidRPr="006D52A9" w:rsidDel="00077F9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AF1B77" w14:paraId="45C37181" w14:textId="77777777" w:rsidTr="00FB6D2D">
        <w:tc>
          <w:tcPr>
            <w:tcW w:w="647" w:type="pct"/>
            <w:tcMar>
              <w:top w:w="28" w:type="dxa"/>
              <w:left w:w="28" w:type="dxa"/>
            </w:tcMar>
          </w:tcPr>
          <w:p w14:paraId="6A2F048C"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8CE549D"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C11319</w:t>
            </w:r>
          </w:p>
        </w:tc>
        <w:tc>
          <w:tcPr>
            <w:tcW w:w="274" w:type="pct"/>
            <w:tcMar>
              <w:top w:w="28" w:type="dxa"/>
              <w:left w:w="28" w:type="dxa"/>
            </w:tcMar>
          </w:tcPr>
          <w:p w14:paraId="0E90D824"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65C08D08"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1 (starting dual therapy in an untreated patient for the first time)</w:t>
            </w:r>
            <w:r w:rsidRPr="006D52A9">
              <w:rPr>
                <w:rFonts w:ascii="Arial" w:eastAsia="SimSun" w:hAnsi="Arial" w:cs="Arial"/>
                <w:sz w:val="16"/>
                <w:szCs w:val="16"/>
                <w:lang w:eastAsia="zh-CN"/>
              </w:rPr>
              <w:br/>
              <w:t>Patient must not have received prior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a pulmonary arterial hypertension (PAH) agent; AND</w:t>
            </w:r>
            <w:r w:rsidRPr="006D52A9">
              <w:rPr>
                <w:rFonts w:ascii="Arial" w:eastAsia="SimSun" w:hAnsi="Arial" w:cs="Arial"/>
                <w:sz w:val="16"/>
                <w:szCs w:val="16"/>
                <w:lang w:eastAsia="zh-CN"/>
              </w:rPr>
              <w:br/>
              <w:t>Patient must currently have WHO Functional Class III PAH or WHO Functional Class IV PAH;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but only for WHO Functional Class IV PAH.</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 xml:space="preserve">(2) a completed Pulmonary Arterial Hypertension PBS Authority Application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Supporting Information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is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In circumstances where a RHC cannot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are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cannot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The test results provided must not be more than 2 months old at the time of application.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26EF4F57"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AF1B77" w14:paraId="60730CF9" w14:textId="77777777" w:rsidTr="00FB6D2D">
        <w:tc>
          <w:tcPr>
            <w:tcW w:w="647" w:type="pct"/>
            <w:tcMar>
              <w:top w:w="28" w:type="dxa"/>
              <w:left w:w="28" w:type="dxa"/>
            </w:tcMar>
          </w:tcPr>
          <w:p w14:paraId="75E644D7"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DEBEA4A"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C11338</w:t>
            </w:r>
          </w:p>
        </w:tc>
        <w:tc>
          <w:tcPr>
            <w:tcW w:w="274" w:type="pct"/>
            <w:tcMar>
              <w:top w:w="28" w:type="dxa"/>
              <w:left w:w="28" w:type="dxa"/>
            </w:tcMar>
          </w:tcPr>
          <w:p w14:paraId="7E87C7DC"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3A0B3EDB"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Initial 2 (starting dual therapy in a treated patient for the first time)</w:t>
            </w:r>
            <w:r w:rsidRPr="006D52A9">
              <w:rPr>
                <w:rFonts w:ascii="Arial" w:eastAsia="SimSun" w:hAnsi="Arial" w:cs="Arial"/>
                <w:sz w:val="16"/>
                <w:szCs w:val="16"/>
                <w:lang w:eastAsia="zh-CN"/>
              </w:rPr>
              <w:br/>
              <w:t>The condition must be PAH of WHO Functional Class III severity at the time dual therapy is initiated; OR</w:t>
            </w:r>
            <w:r w:rsidRPr="006D52A9">
              <w:rPr>
                <w:rFonts w:ascii="Arial" w:eastAsia="SimSun" w:hAnsi="Arial" w:cs="Arial"/>
                <w:sz w:val="16"/>
                <w:szCs w:val="16"/>
                <w:lang w:eastAsia="zh-CN"/>
              </w:rPr>
              <w:br/>
              <w:t>The condition must be PAH of WHO Functional Class IV severity at the time dual therapy is initiated; AND</w:t>
            </w:r>
            <w:r w:rsidRPr="006D52A9">
              <w:rPr>
                <w:rFonts w:ascii="Arial" w:eastAsia="SimSun" w:hAnsi="Arial" w:cs="Arial"/>
                <w:sz w:val="16"/>
                <w:szCs w:val="16"/>
                <w:lang w:eastAsia="zh-CN"/>
              </w:rPr>
              <w:br/>
              <w:t>Patient must have failed to achieve/maintain WHO Functional Class II status with at least one of the following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therapies: (i) endothelin receptor antagonist monotherapy, (ii)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monotherapy, (iii) prostanoid monotherapy;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(ii) where a right heart catheter (RHC) cannot be performed on clinical grounds, right ventricular systolic pressure (RVSP), assessed by echocardiography (ECHO), greater than 40 mmHg, with normal left ventricular function.</w:t>
            </w:r>
            <w:r w:rsidRPr="006D52A9">
              <w:rPr>
                <w:rFonts w:ascii="Arial" w:eastAsia="SimSun" w:hAnsi="Arial" w:cs="Arial"/>
                <w:sz w:val="16"/>
                <w:szCs w:val="16"/>
                <w:lang w:eastAsia="zh-CN"/>
              </w:rPr>
              <w:br/>
              <w:t xml:space="preserve">The results and date of the RHC, ECHO and 6 MWT as applicable must be included in the patient's medical record. Where a RHC cannot be performed on clinical grounds, the written confirmation of the </w:t>
            </w:r>
            <w:r w:rsidRPr="006D52A9">
              <w:rPr>
                <w:rFonts w:ascii="Arial" w:eastAsia="SimSun" w:hAnsi="Arial" w:cs="Arial"/>
                <w:sz w:val="16"/>
                <w:szCs w:val="16"/>
                <w:lang w:eastAsia="zh-CN"/>
              </w:rPr>
              <w:lastRenderedPageBreak/>
              <w:t>reasons why must also be included in the patient's medical record.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5C771BD1"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AF1B77" w14:paraId="4F532AEB" w14:textId="77777777" w:rsidTr="00FB6D2D">
        <w:tc>
          <w:tcPr>
            <w:tcW w:w="647" w:type="pct"/>
            <w:tcMar>
              <w:top w:w="28" w:type="dxa"/>
              <w:left w:w="28" w:type="dxa"/>
            </w:tcMar>
          </w:tcPr>
          <w:p w14:paraId="38C58373"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C50A833"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C11340</w:t>
            </w:r>
          </w:p>
        </w:tc>
        <w:tc>
          <w:tcPr>
            <w:tcW w:w="274" w:type="pct"/>
            <w:tcMar>
              <w:top w:w="28" w:type="dxa"/>
              <w:left w:w="28" w:type="dxa"/>
            </w:tcMar>
          </w:tcPr>
          <w:p w14:paraId="0D5162B4"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6445362"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'Grandfathered' patient (dual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transitioning from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to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where each PAH agent has been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w:t>
            </w:r>
            <w:r w:rsidRPr="006D52A9">
              <w:rPr>
                <w:rFonts w:ascii="Arial" w:eastAsia="SimSun" w:hAnsi="Arial" w:cs="Arial"/>
                <w:sz w:val="16"/>
                <w:szCs w:val="16"/>
                <w:lang w:eastAsia="zh-CN"/>
              </w:rPr>
              <w:br/>
              <w:t>Patient must have been receiving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dual therapy with PAH agents consisting of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combined with an endothelin receptor antagonist, where each agent was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PBS subsidised, prior to </w:t>
            </w:r>
            <w:r w:rsidR="003E082A" w:rsidRPr="006D52A9">
              <w:rPr>
                <w:rFonts w:ascii="Arial" w:eastAsia="SimSun" w:hAnsi="Arial" w:cs="Arial"/>
                <w:sz w:val="16"/>
                <w:szCs w:val="16"/>
                <w:lang w:eastAsia="zh-CN"/>
              </w:rPr>
              <w:t>1 October</w:t>
            </w:r>
            <w:r w:rsidRPr="006D52A9">
              <w:rPr>
                <w:rFonts w:ascii="Arial" w:eastAsia="SimSun" w:hAnsi="Arial" w:cs="Arial"/>
                <w:sz w:val="16"/>
                <w:szCs w:val="16"/>
                <w:lang w:eastAsia="zh-CN"/>
              </w:rPr>
              <w:t xml:space="preserve"> 2020; OR</w:t>
            </w:r>
            <w:r w:rsidRPr="006D52A9">
              <w:rPr>
                <w:rFonts w:ascii="Arial" w:eastAsia="SimSun" w:hAnsi="Arial" w:cs="Arial"/>
                <w:sz w:val="16"/>
                <w:szCs w:val="16"/>
                <w:lang w:eastAsia="zh-CN"/>
              </w:rPr>
              <w:br/>
              <w:t>Patient must have been receiving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with PAH agents consisting of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combined with a prostanoid, where each agent was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subsidised, prior to </w:t>
            </w:r>
            <w:r w:rsidR="003E082A" w:rsidRPr="006D52A9">
              <w:rPr>
                <w:rFonts w:ascii="Arial" w:eastAsia="SimSun" w:hAnsi="Arial" w:cs="Arial"/>
                <w:sz w:val="16"/>
                <w:szCs w:val="16"/>
                <w:lang w:eastAsia="zh-CN"/>
              </w:rPr>
              <w:t>1 March</w:t>
            </w:r>
            <w:r w:rsidRPr="006D52A9">
              <w:rPr>
                <w:rFonts w:ascii="Arial" w:eastAsia="SimSun" w:hAnsi="Arial" w:cs="Arial"/>
                <w:sz w:val="16"/>
                <w:szCs w:val="16"/>
                <w:lang w:eastAsia="zh-CN"/>
              </w:rPr>
              <w:t xml:space="preserve"> 2021; AND</w:t>
            </w:r>
            <w:r w:rsidRPr="006D52A9">
              <w:rPr>
                <w:rFonts w:ascii="Arial" w:eastAsia="SimSun" w:hAnsi="Arial" w:cs="Arial"/>
                <w:sz w:val="16"/>
                <w:szCs w:val="16"/>
                <w:lang w:eastAsia="zh-CN"/>
              </w:rPr>
              <w:br/>
              <w:t>The condition must be PAH that was of WHO Functional Class III severity at the time dual therapy was initiated; OR</w:t>
            </w:r>
            <w:r w:rsidRPr="006D52A9">
              <w:rPr>
                <w:rFonts w:ascii="Arial" w:eastAsia="SimSun" w:hAnsi="Arial" w:cs="Arial"/>
                <w:sz w:val="16"/>
                <w:szCs w:val="16"/>
                <w:lang w:eastAsia="zh-CN"/>
              </w:rPr>
              <w:br/>
              <w:t>The condition must be PAH that was of WHO Functional Class IV severity at the time dual therapy was initiated; AND</w:t>
            </w:r>
            <w:r w:rsidRPr="006D52A9">
              <w:rPr>
                <w:rFonts w:ascii="Arial" w:eastAsia="SimSun" w:hAnsi="Arial" w:cs="Arial"/>
                <w:sz w:val="16"/>
                <w:szCs w:val="16"/>
                <w:lang w:eastAsia="zh-CN"/>
              </w:rPr>
              <w:br/>
              <w:t>Patient must have failed to achieve/maintain WHO Functional Class II status with at least one of the following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therapies if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was initiated for WHO Functional Class III/IV PAH: (i) endothelin receptor antagonist monotherapy, (ii)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monotherapy, (iii) prostanoid monotherapy;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where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prostanoid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 dual therapy was initiated in an untreated patient with Class IV disease severity;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where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prostanoid</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PDE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5i dual therapy was initiated in a patient with Class III/IV disease severity that had been treated with at least endothelin receptor/phosphodiesterase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inhibitor/prostanoid monotherapy.</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PAH (WHO Group 1 pulmonary hypertension) is defined as follows:</w:t>
            </w:r>
            <w:r w:rsidRPr="006D52A9">
              <w:rPr>
                <w:rFonts w:ascii="Arial" w:eastAsia="SimSun" w:hAnsi="Arial" w:cs="Arial"/>
                <w:sz w:val="16"/>
                <w:szCs w:val="16"/>
                <w:lang w:eastAsia="zh-CN"/>
              </w:rPr>
              <w:br/>
              <w:t>(i) mean pulmonary artery pressure (mPAP) greater than or equal to 25 mmHg at rest and pulmonary artery wedge pressure (PAWP) less than or equal to 15 mmHg; or</w:t>
            </w:r>
            <w:r w:rsidRPr="006D52A9">
              <w:rPr>
                <w:rFonts w:ascii="Arial" w:eastAsia="SimSun" w:hAnsi="Arial" w:cs="Arial"/>
                <w:sz w:val="16"/>
                <w:szCs w:val="16"/>
                <w:lang w:eastAsia="zh-CN"/>
              </w:rPr>
              <w:br/>
              <w:t xml:space="preserve">(ii) where a right heart catheter (RHC) cannot be performed on clinical grounds, right ventricular systolic </w:t>
            </w:r>
            <w:r w:rsidRPr="006D52A9">
              <w:rPr>
                <w:rFonts w:ascii="Arial" w:eastAsia="SimSun" w:hAnsi="Arial" w:cs="Arial"/>
                <w:sz w:val="16"/>
                <w:szCs w:val="16"/>
                <w:lang w:eastAsia="zh-CN"/>
              </w:rPr>
              <w:lastRenderedPageBreak/>
              <w:t>pressure (RVSP), assessed by echocardiography (ECHO), greater than 40 mmHg, with normal left ventricular function.</w:t>
            </w:r>
            <w:r w:rsidRPr="006D52A9">
              <w:rPr>
                <w:rFonts w:ascii="Arial" w:eastAsia="SimSun" w:hAnsi="Arial" w:cs="Arial"/>
                <w:sz w:val="16"/>
                <w:szCs w:val="16"/>
                <w:lang w:eastAsia="zh-CN"/>
              </w:rPr>
              <w:br/>
              <w:t>Applications for authorisation must be lodged either electronically or via mail/postal service and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Pulmonary Arterial Hypertension Initial Grandfather dual therapy authority application form which includes results from the three tests below, where available:</w:t>
            </w:r>
            <w:r w:rsidRPr="006D52A9">
              <w:rPr>
                <w:rFonts w:ascii="Arial" w:eastAsia="SimSun" w:hAnsi="Arial" w:cs="Arial"/>
                <w:sz w:val="16"/>
                <w:szCs w:val="16"/>
                <w:lang w:eastAsia="zh-CN"/>
              </w:rPr>
              <w:br/>
              <w:t>(i) RHC composite assessment; and</w:t>
            </w:r>
            <w:r w:rsidRPr="006D52A9">
              <w:rPr>
                <w:rFonts w:ascii="Arial" w:eastAsia="SimSun" w:hAnsi="Arial" w:cs="Arial"/>
                <w:sz w:val="16"/>
                <w:szCs w:val="16"/>
                <w:lang w:eastAsia="zh-CN"/>
              </w:rPr>
              <w:br/>
              <w:t>(ii) ECHO composite assessment; and</w:t>
            </w:r>
            <w:r w:rsidRPr="006D52A9">
              <w:rPr>
                <w:rFonts w:ascii="Arial" w:eastAsia="SimSun" w:hAnsi="Arial" w:cs="Arial"/>
                <w:sz w:val="16"/>
                <w:szCs w:val="16"/>
                <w:lang w:eastAsia="zh-CN"/>
              </w:rPr>
              <w:br/>
              <w:t>(iii) 6 Minute Walk Test (6MWT).</w:t>
            </w:r>
            <w:r w:rsidRPr="006D52A9">
              <w:rPr>
                <w:rFonts w:ascii="Arial" w:eastAsia="SimSun" w:hAnsi="Arial" w:cs="Arial"/>
                <w:sz w:val="16"/>
                <w:szCs w:val="16"/>
                <w:lang w:eastAsia="zh-CN"/>
              </w:rPr>
              <w:br/>
              <w:t>Where it was not possible to perform all 3 tests on clinical grounds, the following list outlines the preferred test combination, in descending order, for the purposes of initiation of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w:t>
            </w:r>
            <w:r w:rsidRPr="006D52A9">
              <w:rPr>
                <w:rFonts w:ascii="Arial" w:eastAsia="SimSun" w:hAnsi="Arial" w:cs="Arial"/>
                <w:sz w:val="16"/>
                <w:szCs w:val="16"/>
                <w:lang w:eastAsia="zh-CN"/>
              </w:rPr>
              <w:br/>
              <w:t>(1) RHC plus ECHO composite assessments;</w:t>
            </w:r>
            <w:r w:rsidRPr="006D52A9">
              <w:rPr>
                <w:rFonts w:ascii="Arial" w:eastAsia="SimSun" w:hAnsi="Arial" w:cs="Arial"/>
                <w:sz w:val="16"/>
                <w:szCs w:val="16"/>
                <w:lang w:eastAsia="zh-CN"/>
              </w:rPr>
              <w:br/>
              <w:t>(2) RHC composite assessment plus 6MWT;</w:t>
            </w:r>
            <w:r w:rsidRPr="006D52A9">
              <w:rPr>
                <w:rFonts w:ascii="Arial" w:eastAsia="SimSun" w:hAnsi="Arial" w:cs="Arial"/>
                <w:sz w:val="16"/>
                <w:szCs w:val="16"/>
                <w:lang w:eastAsia="zh-CN"/>
              </w:rPr>
              <w:br/>
              <w:t>(3) RHC composite assessment only.</w:t>
            </w:r>
            <w:r w:rsidRPr="006D52A9">
              <w:rPr>
                <w:rFonts w:ascii="Arial" w:eastAsia="SimSun" w:hAnsi="Arial" w:cs="Arial"/>
                <w:sz w:val="16"/>
                <w:szCs w:val="16"/>
                <w:lang w:eastAsia="zh-CN"/>
              </w:rPr>
              <w:br/>
              <w:t>In circumstances where a RHC could not be performed on clinical grounds, applications may be submitted for consideration based on the results of the following test combinations, which are listed in descending order of preference:</w:t>
            </w:r>
            <w:r w:rsidRPr="006D52A9">
              <w:rPr>
                <w:rFonts w:ascii="Arial" w:eastAsia="SimSun" w:hAnsi="Arial" w:cs="Arial"/>
                <w:sz w:val="16"/>
                <w:szCs w:val="16"/>
                <w:lang w:eastAsia="zh-CN"/>
              </w:rPr>
              <w:br/>
              <w:t>(1) ECHO composite assessment plus 6MWT;</w:t>
            </w:r>
            <w:r w:rsidRPr="006D52A9">
              <w:rPr>
                <w:rFonts w:ascii="Arial" w:eastAsia="SimSun" w:hAnsi="Arial" w:cs="Arial"/>
                <w:sz w:val="16"/>
                <w:szCs w:val="16"/>
                <w:lang w:eastAsia="zh-CN"/>
              </w:rPr>
              <w:br/>
              <w:t>(2) ECHO composite assessment only.</w:t>
            </w:r>
            <w:r w:rsidRPr="006D52A9">
              <w:rPr>
                <w:rFonts w:ascii="Arial" w:eastAsia="SimSun" w:hAnsi="Arial" w:cs="Arial"/>
                <w:sz w:val="16"/>
                <w:szCs w:val="16"/>
                <w:lang w:eastAsia="zh-CN"/>
              </w:rPr>
              <w:br/>
              <w:t>Where fewer than 3 tests were able to be performed on clinical grounds, a patient specific reason outlining why the particular test(s) could not be conducted must be provided with the authority application.</w:t>
            </w:r>
            <w:r w:rsidRPr="006D52A9">
              <w:rPr>
                <w:rFonts w:ascii="Arial" w:eastAsia="SimSun" w:hAnsi="Arial" w:cs="Arial"/>
                <w:sz w:val="16"/>
                <w:szCs w:val="16"/>
                <w:lang w:eastAsia="zh-CN"/>
              </w:rPr>
              <w:br/>
              <w:t>Where a RHC could not be performed on clinical grounds, confirmation of the reason(s) must be provided with the authority application by a second PAH physician or cardiologist with expertise in the management of PAH.</w:t>
            </w:r>
            <w:r w:rsidRPr="006D52A9">
              <w:rPr>
                <w:rFonts w:ascii="Arial" w:eastAsia="SimSun" w:hAnsi="Arial" w:cs="Arial"/>
                <w:sz w:val="16"/>
                <w:szCs w:val="16"/>
                <w:lang w:eastAsia="zh-CN"/>
              </w:rPr>
              <w:br/>
              <w:t>A patient may qualify for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under this restriction once only. For continuing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a Grandfathered patient must qualify under the Continuing treatment criteria for dual therapy for this condition.</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063F8EBA"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AF1B77" w14:paraId="648E8E47" w14:textId="77777777" w:rsidTr="00FB6D2D">
        <w:tc>
          <w:tcPr>
            <w:tcW w:w="647" w:type="pct"/>
            <w:tcMar>
              <w:top w:w="28" w:type="dxa"/>
              <w:left w:w="28" w:type="dxa"/>
            </w:tcMar>
          </w:tcPr>
          <w:p w14:paraId="44A25FCC"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441FA90"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C11350</w:t>
            </w:r>
          </w:p>
        </w:tc>
        <w:tc>
          <w:tcPr>
            <w:tcW w:w="274" w:type="pct"/>
            <w:tcMar>
              <w:top w:w="28" w:type="dxa"/>
              <w:left w:w="28" w:type="dxa"/>
            </w:tcMar>
          </w:tcPr>
          <w:p w14:paraId="12363DE8"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45F1ADB8"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Continuing treatment (dual therapy)</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therapy through one of the following treatment phase restrictions: (i) Initial 1 for dual therapy, (ii) Initial 2 for dual therapy (iii) 'Grandfathered' treatment for dual therapy, with this agent in the combination remaining unchanged from the most recent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supply;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 xml:space="preserve">The treatment must form part of dual combination therapy consisting of: (i) one prostanoid, (ii) one </w:t>
            </w:r>
            <w:r w:rsidRPr="006D52A9">
              <w:rPr>
                <w:rFonts w:ascii="Arial" w:eastAsia="SimSun" w:hAnsi="Arial" w:cs="Arial"/>
                <w:sz w:val="16"/>
                <w:szCs w:val="16"/>
                <w:lang w:eastAsia="zh-CN"/>
              </w:rPr>
              <w:lastRenderedPageBreak/>
              <w:t>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Must be treated by a physician with expertise in the management of PAH, with this authority application to be completed by the physician with expertise in PAH.</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63A24DC6"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Authority Required procedures</w:t>
            </w:r>
          </w:p>
        </w:tc>
      </w:tr>
      <w:tr w:rsidR="008F47B8" w:rsidRPr="006D52A9" w:rsidDel="00AF1B77" w14:paraId="22DDF076" w14:textId="77777777" w:rsidTr="00FB6D2D">
        <w:tc>
          <w:tcPr>
            <w:tcW w:w="647" w:type="pct"/>
            <w:tcMar>
              <w:top w:w="28" w:type="dxa"/>
              <w:left w:w="28" w:type="dxa"/>
            </w:tcMar>
          </w:tcPr>
          <w:p w14:paraId="4BF52278"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63825EB"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C11352</w:t>
            </w:r>
          </w:p>
        </w:tc>
        <w:tc>
          <w:tcPr>
            <w:tcW w:w="274" w:type="pct"/>
            <w:tcMar>
              <w:top w:w="28" w:type="dxa"/>
              <w:left w:w="28" w:type="dxa"/>
            </w:tcMar>
          </w:tcPr>
          <w:p w14:paraId="0313776D" w14:textId="77777777" w:rsidR="008F47B8" w:rsidRPr="006D52A9" w:rsidDel="00AF1B77"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CD935EA"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Pulmonary arterial hypertension (PAH)</w:t>
            </w:r>
            <w:r w:rsidRPr="006D52A9">
              <w:rPr>
                <w:rFonts w:ascii="Arial" w:eastAsia="SimSun" w:hAnsi="Arial" w:cs="Arial"/>
                <w:sz w:val="16"/>
                <w:szCs w:val="16"/>
                <w:lang w:eastAsia="zh-CN"/>
              </w:rPr>
              <w:br/>
              <w:t xml:space="preserve">Initial 3 (dual therapy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change)</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dual combination therapy through one of the following treatment phase restrictions: (i) Initial 1 for dual therapy, (ii) Initial 2 for dual therapy, (iii) 'Grandfather' treatment for dual therapy, with at least one agent in the combination changing; AND</w:t>
            </w:r>
            <w:r w:rsidRPr="006D52A9">
              <w:rPr>
                <w:rFonts w:ascii="Arial" w:eastAsia="SimSun" w:hAnsi="Arial" w:cs="Arial"/>
                <w:sz w:val="16"/>
                <w:szCs w:val="16"/>
                <w:lang w:eastAsia="zh-CN"/>
              </w:rPr>
              <w:br/>
              <w:t>The treatment must form part of dual combination therapy consisting of: (i) one endothelin receptor antagonist,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OR</w:t>
            </w:r>
            <w:r w:rsidRPr="006D52A9">
              <w:rPr>
                <w:rFonts w:ascii="Arial" w:eastAsia="SimSun" w:hAnsi="Arial" w:cs="Arial"/>
                <w:sz w:val="16"/>
                <w:szCs w:val="16"/>
                <w:lang w:eastAsia="zh-CN"/>
              </w:rPr>
              <w:br/>
              <w:t>The treatment must form part of dual combination therapy consisting of: (i) one prostanoid, (ii) one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w:t>
            </w:r>
            <w:r w:rsidRPr="006D52A9">
              <w:rPr>
                <w:rFonts w:ascii="Arial" w:eastAsia="SimSun" w:hAnsi="Arial" w:cs="Arial"/>
                <w:sz w:val="16"/>
                <w:szCs w:val="16"/>
                <w:lang w:eastAsia="zh-CN"/>
              </w:rPr>
              <w:br/>
              <w:t>For the purposes of PBS subsidy, an endothelin receptor antagonist is one of: (a) ambrisentan, (b) bosentan, (c) macitentan; a phosphodiesterase</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5 inhibitor is one of: (d) sildenafil, (e) tadalafil; a prostanoid is one of: (f) epoprostenol, (g) iloprost.</w:t>
            </w:r>
            <w:r w:rsidRPr="006D52A9">
              <w:rPr>
                <w:rFonts w:ascii="Arial" w:eastAsia="SimSun" w:hAnsi="Arial" w:cs="Arial"/>
                <w:sz w:val="16"/>
                <w:szCs w:val="16"/>
                <w:lang w:eastAsia="zh-CN"/>
              </w:rPr>
              <w:br/>
              <w:t>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subsidy does not cover patients with pulmonary hypertension secondary to interstitial lung disease associated with connective tissue disease, where the total lung capacity is less than 70% of predicted.</w:t>
            </w:r>
            <w:r w:rsidRPr="006D52A9">
              <w:rPr>
                <w:rFonts w:ascii="Arial" w:eastAsia="SimSun" w:hAnsi="Arial" w:cs="Arial"/>
                <w:sz w:val="16"/>
                <w:szCs w:val="16"/>
                <w:lang w:eastAsia="zh-CN"/>
              </w:rPr>
              <w:br/>
              <w:t>The maximum quantity authorised will be limited to provide sufficient supply for 1 month of treatment, based on the dosage recommendations in the TGA</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approved Product Information.</w:t>
            </w:r>
            <w:r w:rsidRPr="006D52A9">
              <w:rPr>
                <w:rFonts w:ascii="Arial" w:eastAsia="SimSun" w:hAnsi="Arial" w:cs="Arial"/>
                <w:sz w:val="16"/>
                <w:szCs w:val="16"/>
                <w:lang w:eastAsia="zh-CN"/>
              </w:rPr>
              <w:br/>
              <w:t>A maximum of 5 repeats may be requested.</w:t>
            </w:r>
          </w:p>
        </w:tc>
        <w:tc>
          <w:tcPr>
            <w:tcW w:w="929" w:type="pct"/>
            <w:tcMar>
              <w:top w:w="28" w:type="dxa"/>
              <w:left w:w="28" w:type="dxa"/>
              <w:right w:w="57" w:type="dxa"/>
            </w:tcMar>
          </w:tcPr>
          <w:p w14:paraId="53F61705" w14:textId="77777777" w:rsidR="008F47B8" w:rsidRPr="006D52A9" w:rsidDel="00AF1B77"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F799C" w14:paraId="79066400" w14:textId="77777777" w:rsidTr="00FB6D2D">
        <w:tc>
          <w:tcPr>
            <w:tcW w:w="647" w:type="pct"/>
            <w:tcMar>
              <w:top w:w="28" w:type="dxa"/>
              <w:left w:w="28" w:type="dxa"/>
            </w:tcMar>
          </w:tcPr>
          <w:p w14:paraId="375EA9F2" w14:textId="77777777" w:rsidR="008F47B8" w:rsidRPr="006D52A9" w:rsidRDefault="008F47B8" w:rsidP="00FB6D2D">
            <w:pPr>
              <w:spacing w:line="240" w:lineRule="auto"/>
              <w:rPr>
                <w:rFonts w:ascii="Arial" w:eastAsia="SimSun" w:hAnsi="Arial" w:cs="Arial"/>
                <w:sz w:val="16"/>
                <w:szCs w:val="16"/>
                <w:lang w:eastAsia="zh-CN"/>
              </w:rPr>
            </w:pPr>
            <w:bookmarkStart w:id="235" w:name="CU_535839170"/>
            <w:bookmarkStart w:id="236" w:name="CU_536840475"/>
            <w:bookmarkStart w:id="237" w:name="CU_537844843"/>
            <w:bookmarkStart w:id="238" w:name="CU_538850720"/>
            <w:bookmarkEnd w:id="235"/>
            <w:bookmarkEnd w:id="236"/>
            <w:bookmarkEnd w:id="237"/>
            <w:bookmarkEnd w:id="238"/>
            <w:r w:rsidRPr="006D52A9">
              <w:rPr>
                <w:rFonts w:ascii="Arial" w:eastAsia="Arial" w:hAnsi="Arial" w:cs="Arial"/>
                <w:sz w:val="16"/>
                <w:szCs w:val="22"/>
                <w:lang w:eastAsia="zh-CN"/>
              </w:rPr>
              <w:t>Teduglutide</w:t>
            </w:r>
          </w:p>
        </w:tc>
        <w:tc>
          <w:tcPr>
            <w:tcW w:w="283" w:type="pct"/>
            <w:tcMar>
              <w:top w:w="28" w:type="dxa"/>
              <w:left w:w="28" w:type="dxa"/>
            </w:tcMar>
          </w:tcPr>
          <w:p w14:paraId="45AA82E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22"/>
                <w:lang w:eastAsia="zh-CN"/>
              </w:rPr>
              <w:t>C9515</w:t>
            </w:r>
          </w:p>
        </w:tc>
        <w:tc>
          <w:tcPr>
            <w:tcW w:w="265" w:type="pct"/>
            <w:tcMar>
              <w:top w:w="28" w:type="dxa"/>
              <w:left w:w="28" w:type="dxa"/>
            </w:tcMar>
          </w:tcPr>
          <w:p w14:paraId="396CB787"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AC9873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Type III Short bowel syndrome with intestinal failure</w:t>
            </w:r>
            <w:r w:rsidRPr="006D52A9">
              <w:rPr>
                <w:rFonts w:ascii="Arial" w:eastAsia="SimSun" w:hAnsi="Arial" w:cs="Arial"/>
                <w:sz w:val="16"/>
                <w:szCs w:val="16"/>
                <w:lang w:eastAsia="zh-CN"/>
              </w:rPr>
              <w:br/>
              <w:t xml:space="preserve">Initial treatment or initial grandfather treatment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balance of supply</w:t>
            </w:r>
            <w:r w:rsidRPr="006D52A9">
              <w:rPr>
                <w:rFonts w:ascii="Arial" w:eastAsia="SimSun" w:hAnsi="Arial" w:cs="Arial"/>
                <w:sz w:val="16"/>
                <w:szCs w:val="16"/>
                <w:lang w:eastAsia="zh-CN"/>
              </w:rPr>
              <w:br/>
              <w:t>Must be treated by a gastroenterologist; OR</w:t>
            </w:r>
            <w:r w:rsidRPr="006D52A9">
              <w:rPr>
                <w:rFonts w:ascii="Arial" w:eastAsia="SimSun" w:hAnsi="Arial" w:cs="Arial"/>
                <w:sz w:val="16"/>
                <w:szCs w:val="16"/>
                <w:lang w:eastAsia="zh-CN"/>
              </w:rPr>
              <w:br/>
              <w:t>Must be treated by a specialist within a multidisciplinary intestinal rehabilitation unit.</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initial treatment with this drug for this condition; OR</w:t>
            </w:r>
            <w:r w:rsidRPr="006D52A9">
              <w:rPr>
                <w:rFonts w:ascii="Arial" w:eastAsia="SimSun" w:hAnsi="Arial" w:cs="Arial"/>
                <w:sz w:val="16"/>
                <w:szCs w:val="16"/>
                <w:lang w:eastAsia="zh-CN"/>
              </w:rPr>
              <w:br/>
              <w:t>Patient must have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as a grandfathered patient; AND</w:t>
            </w:r>
            <w:r w:rsidRPr="006D52A9">
              <w:rPr>
                <w:rFonts w:ascii="Arial" w:eastAsia="SimSun" w:hAnsi="Arial" w:cs="Arial"/>
                <w:sz w:val="16"/>
                <w:szCs w:val="16"/>
                <w:lang w:eastAsia="zh-CN"/>
              </w:rPr>
              <w:br/>
              <w:t>Patient must have received insufficient therapy with this drug under the initial or grandfather treatment restriction to complete the maximum duration of 12 months of initial treatment; AND</w:t>
            </w:r>
            <w:r w:rsidRPr="006D52A9">
              <w:rPr>
                <w:rFonts w:ascii="Arial" w:eastAsia="SimSun" w:hAnsi="Arial" w:cs="Arial"/>
                <w:sz w:val="16"/>
                <w:szCs w:val="16"/>
                <w:lang w:eastAsia="zh-CN"/>
              </w:rPr>
              <w:br/>
              <w:t>The treatment must provide no more than the balance of up to 12 months of treatment.</w:t>
            </w:r>
          </w:p>
        </w:tc>
        <w:tc>
          <w:tcPr>
            <w:tcW w:w="938" w:type="pct"/>
            <w:tcMar>
              <w:top w:w="28" w:type="dxa"/>
              <w:left w:w="28" w:type="dxa"/>
              <w:right w:w="57" w:type="dxa"/>
            </w:tcMar>
          </w:tcPr>
          <w:p w14:paraId="405431C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Compliance with Authority Required procedures</w:t>
            </w:r>
          </w:p>
        </w:tc>
      </w:tr>
      <w:tr w:rsidR="008F47B8" w:rsidRPr="006D52A9" w:rsidDel="00EF799C" w14:paraId="31AED103" w14:textId="77777777" w:rsidTr="00FB6D2D">
        <w:tc>
          <w:tcPr>
            <w:tcW w:w="647" w:type="pct"/>
            <w:tcMar>
              <w:top w:w="28" w:type="dxa"/>
              <w:left w:w="28" w:type="dxa"/>
            </w:tcMar>
          </w:tcPr>
          <w:p w14:paraId="0537437F" w14:textId="77777777" w:rsidR="008F47B8" w:rsidRPr="006D52A9"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34251D6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22"/>
                <w:lang w:eastAsia="zh-CN"/>
              </w:rPr>
              <w:t>C9569</w:t>
            </w:r>
          </w:p>
        </w:tc>
        <w:tc>
          <w:tcPr>
            <w:tcW w:w="265" w:type="pct"/>
            <w:tcMar>
              <w:top w:w="28" w:type="dxa"/>
              <w:left w:w="28" w:type="dxa"/>
            </w:tcMar>
          </w:tcPr>
          <w:p w14:paraId="0EE5D016"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16CA367"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Type III Short bowel syndrome with intestinal failure</w:t>
            </w:r>
            <w:r w:rsidRPr="006D52A9">
              <w:rPr>
                <w:rFonts w:ascii="Arial" w:eastAsia="SimSun" w:hAnsi="Arial" w:cs="Arial"/>
                <w:sz w:val="16"/>
                <w:szCs w:val="16"/>
                <w:lang w:eastAsia="zh-CN"/>
              </w:rPr>
              <w:br/>
              <w:t>Initial treatment</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Must be treated by a gastroenterologist; OR</w:t>
            </w:r>
            <w:r w:rsidRPr="006D52A9">
              <w:rPr>
                <w:rFonts w:ascii="Arial" w:eastAsia="SimSun" w:hAnsi="Arial" w:cs="Arial"/>
                <w:sz w:val="16"/>
                <w:szCs w:val="16"/>
                <w:lang w:eastAsia="zh-CN"/>
              </w:rPr>
              <w:br/>
              <w:t>Must be treated by a specialist within a multidisciplinary intestinal rehabilitation unit.</w:t>
            </w:r>
            <w:r w:rsidRPr="006D52A9">
              <w:rPr>
                <w:rFonts w:ascii="Arial" w:eastAsia="SimSun" w:hAnsi="Arial" w:cs="Arial"/>
                <w:sz w:val="16"/>
                <w:szCs w:val="16"/>
                <w:lang w:eastAsia="zh-CN"/>
              </w:rPr>
              <w:br/>
              <w:t>Patient must have short bowel syndrome with intestinal failure following major surgery; AND</w:t>
            </w:r>
            <w:r w:rsidRPr="006D52A9">
              <w:rPr>
                <w:rFonts w:ascii="Arial" w:eastAsia="SimSun" w:hAnsi="Arial" w:cs="Arial"/>
                <w:sz w:val="16"/>
                <w:szCs w:val="16"/>
                <w:lang w:eastAsia="zh-CN"/>
              </w:rPr>
              <w:br/>
              <w:t>Patient must have a history of dependence on parenteral support for at least 12 months; AND</w:t>
            </w:r>
            <w:r w:rsidRPr="006D52A9">
              <w:rPr>
                <w:rFonts w:ascii="Arial" w:eastAsia="SimSun" w:hAnsi="Arial" w:cs="Arial"/>
                <w:sz w:val="16"/>
                <w:szCs w:val="16"/>
                <w:lang w:eastAsia="zh-CN"/>
              </w:rPr>
              <w:br/>
              <w:t>Patient must have received a stable parenteral support regimen for at least 3 days per week in the previous 4 weeks; AND</w:t>
            </w:r>
            <w:r w:rsidRPr="006D52A9">
              <w:rPr>
                <w:rFonts w:ascii="Arial" w:eastAsia="SimSun" w:hAnsi="Arial" w:cs="Arial"/>
                <w:sz w:val="16"/>
                <w:szCs w:val="16"/>
                <w:lang w:eastAsia="zh-CN"/>
              </w:rPr>
              <w:br/>
              <w:t>Patient must not have active gastrointestinal malignancy or history of gastrointestinal malignancy within the last 5 years; AND</w:t>
            </w:r>
            <w:r w:rsidRPr="006D52A9">
              <w:rPr>
                <w:rFonts w:ascii="Arial" w:eastAsia="SimSun" w:hAnsi="Arial" w:cs="Arial"/>
                <w:sz w:val="16"/>
                <w:szCs w:val="16"/>
                <w:lang w:eastAsia="zh-CN"/>
              </w:rPr>
              <w:br/>
              <w:t>The treatment must not exceed 12 months under this restriction; AND</w:t>
            </w:r>
            <w:r w:rsidRPr="006D52A9">
              <w:rPr>
                <w:rFonts w:ascii="Arial" w:eastAsia="SimSun" w:hAnsi="Arial" w:cs="Arial"/>
                <w:sz w:val="16"/>
                <w:szCs w:val="16"/>
                <w:lang w:eastAsia="zh-CN"/>
              </w:rPr>
              <w:br/>
              <w:t>Patient must not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w:t>
            </w:r>
            <w:r w:rsidRPr="006D52A9">
              <w:rPr>
                <w:rFonts w:ascii="Arial" w:eastAsia="SimSun" w:hAnsi="Arial" w:cs="Arial"/>
                <w:sz w:val="16"/>
                <w:szCs w:val="16"/>
                <w:lang w:eastAsia="zh-CN"/>
              </w:rPr>
              <w:br/>
              <w:t>Baseline is the mean number of days of parenteral support per week over the four weeks immediately prior to initiating treatment with teduglutide under the PBS initial treatment restriction or four weeks immediately prior to initiating treatment with non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PBS subsidised teduglutide for grandfathered patients.</w:t>
            </w:r>
            <w:r w:rsidRPr="006D52A9">
              <w:rPr>
                <w:rFonts w:ascii="Arial" w:eastAsia="SimSun" w:hAnsi="Arial" w:cs="Arial"/>
                <w:sz w:val="16"/>
                <w:szCs w:val="16"/>
                <w:lang w:eastAsia="zh-CN"/>
              </w:rPr>
              <w:br/>
              <w:t>A stable parenteral support regimen is defined as a minimum of 3 days of parenteral support (parenteral nutrition with or without IV fluids) per week for 4 consecutive weeks to meet caloric, fluid or electrolyte needs.</w:t>
            </w:r>
            <w:r w:rsidRPr="006D52A9">
              <w:rPr>
                <w:rFonts w:ascii="Arial" w:eastAsia="SimSun" w:hAnsi="Arial" w:cs="Arial"/>
                <w:sz w:val="16"/>
                <w:szCs w:val="16"/>
                <w:lang w:eastAsia="zh-CN"/>
              </w:rPr>
              <w:br/>
              <w:t>Baseline number of days of parenteral support should be documented in the patient’s medical records.</w:t>
            </w:r>
            <w:r w:rsidRPr="006D52A9">
              <w:rPr>
                <w:rFonts w:ascii="Arial" w:eastAsia="SimSun" w:hAnsi="Arial" w:cs="Arial"/>
                <w:sz w:val="16"/>
                <w:szCs w:val="16"/>
                <w:lang w:eastAsia="zh-CN"/>
              </w:rPr>
              <w:br/>
              <w:t>The authority application must be made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Short bowel syndrome with intestinal failure form; and</w:t>
            </w:r>
            <w:r w:rsidRPr="006D52A9">
              <w:rPr>
                <w:rFonts w:ascii="Arial" w:eastAsia="SimSun" w:hAnsi="Arial" w:cs="Arial"/>
                <w:sz w:val="16"/>
                <w:szCs w:val="16"/>
                <w:lang w:eastAsia="zh-CN"/>
              </w:rPr>
              <w:br/>
              <w:t>(3) details of baseline mean number of days on parenteral support per week for 4 consecutive weeks immediately preceding this application; and</w:t>
            </w:r>
            <w:r w:rsidRPr="006D52A9">
              <w:rPr>
                <w:rFonts w:ascii="Arial" w:eastAsia="SimSun" w:hAnsi="Arial" w:cs="Arial"/>
                <w:sz w:val="16"/>
                <w:szCs w:val="16"/>
                <w:lang w:eastAsia="zh-CN"/>
              </w:rPr>
              <w:br/>
              <w:t>(4) documented duration in months of prior dependence on parenteral support.</w:t>
            </w:r>
          </w:p>
        </w:tc>
        <w:tc>
          <w:tcPr>
            <w:tcW w:w="938" w:type="pct"/>
            <w:tcMar>
              <w:top w:w="28" w:type="dxa"/>
              <w:left w:w="28" w:type="dxa"/>
              <w:right w:w="57" w:type="dxa"/>
            </w:tcMar>
          </w:tcPr>
          <w:p w14:paraId="5FC55DD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EF799C" w14:paraId="459D051E" w14:textId="77777777" w:rsidTr="00FB6D2D">
        <w:tc>
          <w:tcPr>
            <w:tcW w:w="647" w:type="pct"/>
            <w:tcMar>
              <w:top w:w="28" w:type="dxa"/>
              <w:left w:w="28" w:type="dxa"/>
            </w:tcMar>
          </w:tcPr>
          <w:p w14:paraId="1A951EE2" w14:textId="77777777" w:rsidR="008F47B8" w:rsidRPr="006D52A9" w:rsidRDefault="008F47B8" w:rsidP="00FB6D2D">
            <w:pPr>
              <w:pStyle w:val="mps3-data"/>
              <w:spacing w:before="0" w:after="0"/>
              <w:rPr>
                <w:rFonts w:eastAsia="SimSun"/>
                <w:szCs w:val="16"/>
              </w:rPr>
            </w:pPr>
          </w:p>
        </w:tc>
        <w:tc>
          <w:tcPr>
            <w:tcW w:w="283" w:type="pct"/>
            <w:tcMar>
              <w:top w:w="28" w:type="dxa"/>
              <w:left w:w="28" w:type="dxa"/>
            </w:tcMar>
          </w:tcPr>
          <w:p w14:paraId="65CE7FD1" w14:textId="77777777" w:rsidR="008F47B8" w:rsidRPr="006D52A9" w:rsidRDefault="008F47B8" w:rsidP="00FB6D2D">
            <w:pPr>
              <w:pStyle w:val="mps3-data"/>
              <w:spacing w:before="0" w:after="0"/>
              <w:rPr>
                <w:rFonts w:eastAsia="SimSun"/>
                <w:szCs w:val="16"/>
              </w:rPr>
            </w:pPr>
            <w:r w:rsidRPr="006D52A9">
              <w:rPr>
                <w:rFonts w:eastAsia="SimSun"/>
                <w:szCs w:val="16"/>
              </w:rPr>
              <w:t>C9687</w:t>
            </w:r>
          </w:p>
        </w:tc>
        <w:tc>
          <w:tcPr>
            <w:tcW w:w="265" w:type="pct"/>
            <w:tcMar>
              <w:top w:w="28" w:type="dxa"/>
              <w:left w:w="28" w:type="dxa"/>
            </w:tcMar>
          </w:tcPr>
          <w:p w14:paraId="3E0A6C36" w14:textId="77777777" w:rsidR="008F47B8" w:rsidRPr="006D52A9" w:rsidDel="005B77FE" w:rsidRDefault="008F47B8" w:rsidP="00FB6D2D">
            <w:pPr>
              <w:pStyle w:val="mps3-data"/>
              <w:spacing w:before="0" w:after="0"/>
              <w:rPr>
                <w:rFonts w:eastAsia="SimSun"/>
                <w:szCs w:val="16"/>
              </w:rPr>
            </w:pPr>
          </w:p>
        </w:tc>
        <w:tc>
          <w:tcPr>
            <w:tcW w:w="2867" w:type="pct"/>
            <w:tcMar>
              <w:top w:w="28" w:type="dxa"/>
              <w:left w:w="28" w:type="dxa"/>
            </w:tcMar>
          </w:tcPr>
          <w:p w14:paraId="30E6340D" w14:textId="77777777" w:rsidR="008F47B8" w:rsidRPr="006D52A9" w:rsidRDefault="008F47B8" w:rsidP="00FB6D2D">
            <w:pPr>
              <w:pStyle w:val="mps3-data"/>
              <w:spacing w:before="0" w:after="0"/>
              <w:rPr>
                <w:rFonts w:eastAsia="SimSun"/>
                <w:szCs w:val="16"/>
              </w:rPr>
            </w:pPr>
            <w:r w:rsidRPr="006D52A9">
              <w:rPr>
                <w:rFonts w:eastAsia="SimSun"/>
                <w:szCs w:val="16"/>
              </w:rPr>
              <w:t>Type III Short bowel syndrome with intestinal failure</w:t>
            </w:r>
            <w:r w:rsidRPr="006D52A9">
              <w:rPr>
                <w:rFonts w:eastAsia="SimSun"/>
                <w:szCs w:val="16"/>
              </w:rPr>
              <w:br/>
              <w:t xml:space="preserve">Initial treatment </w:t>
            </w:r>
            <w:r w:rsidR="0026100E">
              <w:rPr>
                <w:rFonts w:eastAsia="SimSun"/>
                <w:szCs w:val="16"/>
              </w:rPr>
              <w:noBreakHyphen/>
            </w:r>
            <w:r w:rsidRPr="006D52A9">
              <w:rPr>
                <w:rFonts w:eastAsia="SimSun"/>
                <w:szCs w:val="16"/>
              </w:rPr>
              <w:t xml:space="preserve"> Grandfathered patients</w:t>
            </w:r>
            <w:r w:rsidRPr="006D52A9">
              <w:rPr>
                <w:rFonts w:eastAsia="SimSun"/>
                <w:szCs w:val="16"/>
              </w:rPr>
              <w:br/>
              <w:t>Must be treated by a gastroenterologist; OR</w:t>
            </w:r>
            <w:r w:rsidRPr="006D52A9">
              <w:rPr>
                <w:rFonts w:eastAsia="SimSun"/>
                <w:szCs w:val="16"/>
              </w:rPr>
              <w:br/>
              <w:t>Must be treated by a specialist within a multidisciplinary intestinal rehabilitation unit.</w:t>
            </w:r>
            <w:r w:rsidRPr="006D52A9">
              <w:rPr>
                <w:rFonts w:eastAsia="SimSun"/>
                <w:szCs w:val="16"/>
              </w:rPr>
              <w:br/>
              <w:t>Patient must have previously received non</w:t>
            </w:r>
            <w:r w:rsidR="0026100E">
              <w:rPr>
                <w:rFonts w:eastAsia="SimSun"/>
                <w:szCs w:val="16"/>
              </w:rPr>
              <w:noBreakHyphen/>
            </w:r>
            <w:r w:rsidRPr="006D52A9">
              <w:rPr>
                <w:rFonts w:eastAsia="SimSun"/>
                <w:szCs w:val="16"/>
              </w:rPr>
              <w:t xml:space="preserve">PBS subsidised treatment with this drug for this condition prior to </w:t>
            </w:r>
            <w:r w:rsidR="003E082A" w:rsidRPr="006D52A9">
              <w:rPr>
                <w:rFonts w:eastAsia="SimSun"/>
                <w:szCs w:val="16"/>
              </w:rPr>
              <w:t>1 October</w:t>
            </w:r>
            <w:r w:rsidRPr="006D52A9">
              <w:rPr>
                <w:rFonts w:eastAsia="SimSun"/>
                <w:szCs w:val="16"/>
              </w:rPr>
              <w:t xml:space="preserve"> 2019; AND</w:t>
            </w:r>
            <w:r w:rsidRPr="006D52A9">
              <w:rPr>
                <w:rFonts w:eastAsia="SimSun"/>
                <w:szCs w:val="16"/>
              </w:rPr>
              <w:br/>
              <w:t>Patient must have short bowel syndrome with intestinal failure following major surgery; AND</w:t>
            </w:r>
            <w:r w:rsidRPr="006D52A9">
              <w:rPr>
                <w:rFonts w:eastAsia="SimSun"/>
                <w:szCs w:val="16"/>
              </w:rPr>
              <w:br/>
              <w:t>Patient must have had a history of dependence on parenteral support for at least 12 months prior to initiating non</w:t>
            </w:r>
            <w:r w:rsidR="0026100E">
              <w:rPr>
                <w:rFonts w:eastAsia="SimSun"/>
                <w:szCs w:val="16"/>
              </w:rPr>
              <w:noBreakHyphen/>
            </w:r>
            <w:r w:rsidRPr="006D52A9">
              <w:rPr>
                <w:rFonts w:eastAsia="SimSun"/>
                <w:szCs w:val="16"/>
              </w:rPr>
              <w:t>PBS subsidised treatment with this drug for this condition; AND</w:t>
            </w:r>
            <w:r w:rsidRPr="006D52A9">
              <w:rPr>
                <w:rFonts w:eastAsia="SimSun"/>
                <w:szCs w:val="16"/>
              </w:rPr>
              <w:br/>
              <w:t>Patient must have received a stable parenteral support regimen for at least 3 days per week in the 4 weeks prior to initiating non</w:t>
            </w:r>
            <w:r w:rsidR="0026100E">
              <w:rPr>
                <w:rFonts w:eastAsia="SimSun"/>
                <w:szCs w:val="16"/>
              </w:rPr>
              <w:noBreakHyphen/>
            </w:r>
            <w:r w:rsidRPr="006D52A9">
              <w:rPr>
                <w:rFonts w:eastAsia="SimSun"/>
                <w:szCs w:val="16"/>
              </w:rPr>
              <w:t>PBS subsidised treatment with this drug for this condition; AND</w:t>
            </w:r>
            <w:r w:rsidRPr="006D52A9">
              <w:rPr>
                <w:rFonts w:eastAsia="SimSun"/>
                <w:szCs w:val="16"/>
              </w:rPr>
              <w:br/>
              <w:t>Patient must not have active gastrointestinal malignancy or history of gastrointestinal malignancy within the last 5 years; AND</w:t>
            </w:r>
            <w:r w:rsidRPr="006D52A9">
              <w:rPr>
                <w:rFonts w:eastAsia="SimSun"/>
                <w:szCs w:val="16"/>
              </w:rPr>
              <w:br/>
              <w:t>Patient must have achieved a treatment response if the patient has been on non</w:t>
            </w:r>
            <w:r w:rsidR="0026100E">
              <w:rPr>
                <w:rFonts w:eastAsia="SimSun"/>
                <w:szCs w:val="16"/>
              </w:rPr>
              <w:noBreakHyphen/>
            </w:r>
            <w:r w:rsidRPr="006D52A9">
              <w:rPr>
                <w:rFonts w:eastAsia="SimSun"/>
                <w:szCs w:val="16"/>
              </w:rPr>
              <w:t>PBS subsidised therapy with this drug for more than 12 months.</w:t>
            </w:r>
            <w:r w:rsidRPr="006D52A9">
              <w:rPr>
                <w:rFonts w:eastAsia="SimSun"/>
                <w:szCs w:val="16"/>
              </w:rPr>
              <w:br/>
              <w:t>Baseline is the mean number of days of parenteral support per week over the 4 weeks immediately prior to initiating treatment with non</w:t>
            </w:r>
            <w:r w:rsidR="0026100E">
              <w:rPr>
                <w:rFonts w:eastAsia="SimSun"/>
                <w:szCs w:val="16"/>
              </w:rPr>
              <w:noBreakHyphen/>
            </w:r>
            <w:r w:rsidRPr="006D52A9">
              <w:rPr>
                <w:rFonts w:eastAsia="SimSun"/>
                <w:szCs w:val="16"/>
              </w:rPr>
              <w:t>PBS subsidised teduglutide for grandfathered patients.</w:t>
            </w:r>
            <w:r w:rsidRPr="006D52A9">
              <w:rPr>
                <w:rFonts w:eastAsia="SimSun"/>
                <w:szCs w:val="16"/>
              </w:rPr>
              <w:br/>
              <w:t xml:space="preserve">A stable parenteral support regimen is defined as a minimum of 3 days of parenteral support (parenteral </w:t>
            </w:r>
            <w:r w:rsidRPr="006D52A9">
              <w:rPr>
                <w:rFonts w:eastAsia="SimSun"/>
                <w:szCs w:val="16"/>
              </w:rPr>
              <w:lastRenderedPageBreak/>
              <w:t>nutrition with or without IV fluids) per week for 4 consecutive weeks to meet caloric, fluid or electrolyte needs.</w:t>
            </w:r>
            <w:r w:rsidRPr="006D52A9">
              <w:rPr>
                <w:rFonts w:eastAsia="SimSun"/>
                <w:szCs w:val="16"/>
              </w:rPr>
              <w:br/>
              <w:t>A patient has met the criteria for treatment response when there is a reduction in the mean number of days of parenteral support of at least 1 day per week since initiating non</w:t>
            </w:r>
            <w:r w:rsidR="0026100E">
              <w:rPr>
                <w:rFonts w:eastAsia="SimSun"/>
                <w:szCs w:val="16"/>
              </w:rPr>
              <w:noBreakHyphen/>
            </w:r>
            <w:r w:rsidRPr="006D52A9">
              <w:rPr>
                <w:rFonts w:eastAsia="SimSun"/>
                <w:szCs w:val="16"/>
              </w:rPr>
              <w:t>PBS subsidised treatment, or where a patient has completely ceased treatment with parenteral support for a period of at least 4 consecutive weeks prior to application for PBS</w:t>
            </w:r>
            <w:r w:rsidR="0026100E">
              <w:rPr>
                <w:rFonts w:eastAsia="SimSun"/>
                <w:szCs w:val="16"/>
              </w:rPr>
              <w:noBreakHyphen/>
            </w:r>
            <w:r w:rsidRPr="006D52A9">
              <w:rPr>
                <w:rFonts w:eastAsia="SimSun"/>
                <w:szCs w:val="16"/>
              </w:rPr>
              <w:t>subsidised treatment.</w:t>
            </w:r>
            <w:r w:rsidRPr="006D52A9">
              <w:rPr>
                <w:rFonts w:eastAsia="SimSun"/>
                <w:szCs w:val="16"/>
              </w:rPr>
              <w:br/>
              <w:t>The number of days of parenteral support is calculated as the mean number of days in which any parenteral support is required (parenteral nutrition with or without IV fluids) per week to meet caloric, fluid or electrolyte needs between commencement of non</w:t>
            </w:r>
            <w:r w:rsidR="0026100E">
              <w:rPr>
                <w:rFonts w:eastAsia="SimSun"/>
                <w:szCs w:val="16"/>
              </w:rPr>
              <w:noBreakHyphen/>
            </w:r>
            <w:r w:rsidRPr="006D52A9">
              <w:rPr>
                <w:rFonts w:eastAsia="SimSun"/>
                <w:szCs w:val="16"/>
              </w:rPr>
              <w:t>PBS subsidised teduglutide and application for PBS</w:t>
            </w:r>
            <w:r w:rsidR="0026100E">
              <w:rPr>
                <w:rFonts w:eastAsia="SimSun"/>
                <w:szCs w:val="16"/>
              </w:rPr>
              <w:noBreakHyphen/>
            </w:r>
            <w:r w:rsidRPr="006D52A9">
              <w:rPr>
                <w:rFonts w:eastAsia="SimSun"/>
                <w:szCs w:val="16"/>
              </w:rPr>
              <w:t>subsidised treatment.</w:t>
            </w:r>
            <w:r w:rsidRPr="006D52A9">
              <w:rPr>
                <w:rFonts w:eastAsia="SimSun"/>
                <w:szCs w:val="16"/>
              </w:rPr>
              <w:br/>
              <w:t>The authority application must be made in writing and must include:</w:t>
            </w:r>
            <w:r w:rsidRPr="006D52A9">
              <w:rPr>
                <w:rFonts w:eastAsia="SimSun"/>
                <w:szCs w:val="16"/>
              </w:rPr>
              <w:br/>
              <w:t>(1) a completed authority prescription form; and</w:t>
            </w:r>
            <w:r w:rsidRPr="006D52A9">
              <w:rPr>
                <w:rFonts w:eastAsia="SimSun"/>
                <w:szCs w:val="16"/>
              </w:rPr>
              <w:br/>
              <w:t xml:space="preserve">(2) a completed Short bowel syndrome with intestinal failure Grandfather PBS Authority Application </w:t>
            </w:r>
            <w:r w:rsidR="0026100E">
              <w:rPr>
                <w:rFonts w:eastAsia="SimSun"/>
                <w:szCs w:val="16"/>
              </w:rPr>
              <w:noBreakHyphen/>
            </w:r>
            <w:r w:rsidRPr="006D52A9">
              <w:rPr>
                <w:rFonts w:eastAsia="SimSun"/>
                <w:szCs w:val="16"/>
              </w:rPr>
              <w:t xml:space="preserve"> Supporting Information Form; and</w:t>
            </w:r>
            <w:r w:rsidRPr="006D52A9">
              <w:rPr>
                <w:rFonts w:eastAsia="SimSun"/>
                <w:szCs w:val="16"/>
              </w:rPr>
              <w:br/>
              <w:t>(3) details of non</w:t>
            </w:r>
            <w:r w:rsidR="0026100E">
              <w:rPr>
                <w:rFonts w:eastAsia="SimSun"/>
                <w:szCs w:val="16"/>
              </w:rPr>
              <w:noBreakHyphen/>
            </w:r>
            <w:r w:rsidRPr="006D52A9">
              <w:rPr>
                <w:rFonts w:eastAsia="SimSun"/>
                <w:szCs w:val="16"/>
              </w:rPr>
              <w:t>PBS subsidised teduglutide treatment start date; and</w:t>
            </w:r>
            <w:r w:rsidRPr="006D52A9">
              <w:rPr>
                <w:rFonts w:eastAsia="SimSun"/>
                <w:szCs w:val="16"/>
              </w:rPr>
              <w:br/>
              <w:t>(4) details of the mean number of days on parenteral support per week for 4 consecutive weeks prior to initiating non</w:t>
            </w:r>
            <w:r w:rsidR="0026100E">
              <w:rPr>
                <w:rFonts w:eastAsia="SimSun"/>
                <w:szCs w:val="16"/>
              </w:rPr>
              <w:noBreakHyphen/>
            </w:r>
            <w:r w:rsidRPr="006D52A9">
              <w:rPr>
                <w:rFonts w:eastAsia="SimSun"/>
                <w:szCs w:val="16"/>
              </w:rPr>
              <w:t>PBS subsidised therapy; and</w:t>
            </w:r>
            <w:r w:rsidRPr="006D52A9">
              <w:rPr>
                <w:rFonts w:eastAsia="SimSun"/>
                <w:szCs w:val="16"/>
              </w:rPr>
              <w:br/>
              <w:t>(5) documented duration in months of dependence on parenteral support prior to initiating non</w:t>
            </w:r>
            <w:r w:rsidR="0026100E">
              <w:rPr>
                <w:rFonts w:eastAsia="SimSun"/>
                <w:szCs w:val="16"/>
              </w:rPr>
              <w:noBreakHyphen/>
            </w:r>
            <w:r w:rsidRPr="006D52A9">
              <w:rPr>
                <w:rFonts w:eastAsia="SimSun"/>
                <w:szCs w:val="16"/>
              </w:rPr>
              <w:t>PBS subsidised treatment; and</w:t>
            </w:r>
            <w:r w:rsidRPr="006D52A9">
              <w:rPr>
                <w:rFonts w:eastAsia="SimSun"/>
                <w:szCs w:val="16"/>
              </w:rPr>
              <w:br/>
              <w:t>(6) details of response to teduglutide treatment if patient has received 12 or more months of non</w:t>
            </w:r>
            <w:r w:rsidR="0026100E">
              <w:rPr>
                <w:rFonts w:eastAsia="SimSun"/>
                <w:szCs w:val="16"/>
              </w:rPr>
              <w:noBreakHyphen/>
            </w:r>
            <w:r w:rsidRPr="006D52A9">
              <w:rPr>
                <w:rFonts w:eastAsia="SimSun"/>
                <w:szCs w:val="16"/>
              </w:rPr>
              <w:t>PBS subsidised treatment.</w:t>
            </w:r>
            <w:r w:rsidRPr="006D52A9">
              <w:rPr>
                <w:rFonts w:eastAsia="SimSun"/>
                <w:szCs w:val="16"/>
              </w:rPr>
              <w:br/>
              <w:t>A patient may qualify for PBS</w:t>
            </w:r>
            <w:r w:rsidR="0026100E">
              <w:rPr>
                <w:rFonts w:eastAsia="SimSun"/>
                <w:szCs w:val="16"/>
              </w:rPr>
              <w:noBreakHyphen/>
            </w:r>
            <w:r w:rsidRPr="006D52A9">
              <w:rPr>
                <w:rFonts w:eastAsia="SimSun"/>
                <w:szCs w:val="16"/>
              </w:rPr>
              <w:t>subsidised treatment under this restriction once only.</w:t>
            </w:r>
            <w:r w:rsidRPr="006D52A9">
              <w:rPr>
                <w:rFonts w:eastAsia="SimSun"/>
                <w:szCs w:val="16"/>
              </w:rPr>
              <w:br/>
              <w:t>For patients who have been on this drug for less than 12 months, the maximum number of repeats that will be approved will be for an amount equivalent to an initial 12 month supply of PBS and non</w:t>
            </w:r>
            <w:r w:rsidR="0026100E">
              <w:rPr>
                <w:rFonts w:eastAsia="SimSun"/>
                <w:szCs w:val="16"/>
              </w:rPr>
              <w:noBreakHyphen/>
            </w:r>
            <w:r w:rsidRPr="006D52A9">
              <w:rPr>
                <w:rFonts w:eastAsia="SimSun"/>
                <w:szCs w:val="16"/>
              </w:rPr>
              <w:t>PBS subsidised treatment.</w:t>
            </w:r>
            <w:r w:rsidRPr="006D52A9">
              <w:rPr>
                <w:rFonts w:eastAsia="SimSun"/>
                <w:szCs w:val="16"/>
              </w:rPr>
              <w:br/>
              <w:t>For patients who have been on this drug for more than 12 months, a maximum of 5 repeats will be approved.</w:t>
            </w:r>
            <w:r w:rsidRPr="006D52A9">
              <w:rPr>
                <w:rFonts w:eastAsia="SimSun"/>
                <w:szCs w:val="16"/>
              </w:rPr>
              <w:br/>
              <w:t>For continuing PBS</w:t>
            </w:r>
            <w:r w:rsidR="0026100E">
              <w:rPr>
                <w:rFonts w:eastAsia="SimSun"/>
                <w:szCs w:val="16"/>
              </w:rPr>
              <w:noBreakHyphen/>
            </w:r>
            <w:r w:rsidRPr="006D52A9">
              <w:rPr>
                <w:rFonts w:eastAsia="SimSun"/>
                <w:szCs w:val="16"/>
              </w:rPr>
              <w:t>subsidised treatment, a Grandfathered patient must qualify under the First continuing treatment criteria.</w:t>
            </w:r>
          </w:p>
        </w:tc>
        <w:tc>
          <w:tcPr>
            <w:tcW w:w="938" w:type="pct"/>
            <w:tcMar>
              <w:top w:w="28" w:type="dxa"/>
              <w:left w:w="28" w:type="dxa"/>
              <w:right w:w="57" w:type="dxa"/>
            </w:tcMar>
          </w:tcPr>
          <w:p w14:paraId="0A67A7CC"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p>
        </w:tc>
      </w:tr>
      <w:tr w:rsidR="008F47B8" w:rsidRPr="006D52A9" w:rsidDel="00EF799C" w14:paraId="3DC41137" w14:textId="77777777" w:rsidTr="00FB6D2D">
        <w:tc>
          <w:tcPr>
            <w:tcW w:w="647" w:type="pct"/>
            <w:tcMar>
              <w:top w:w="28" w:type="dxa"/>
              <w:left w:w="28" w:type="dxa"/>
            </w:tcMar>
          </w:tcPr>
          <w:p w14:paraId="33DA18BB" w14:textId="77777777" w:rsidR="008F47B8" w:rsidRPr="006D52A9" w:rsidRDefault="008F47B8" w:rsidP="00FB6D2D">
            <w:pPr>
              <w:pStyle w:val="mps3-data"/>
              <w:spacing w:before="0" w:after="0"/>
              <w:rPr>
                <w:rFonts w:eastAsia="SimSun"/>
                <w:szCs w:val="16"/>
              </w:rPr>
            </w:pPr>
          </w:p>
        </w:tc>
        <w:tc>
          <w:tcPr>
            <w:tcW w:w="283" w:type="pct"/>
            <w:tcMar>
              <w:top w:w="28" w:type="dxa"/>
              <w:left w:w="28" w:type="dxa"/>
            </w:tcMar>
          </w:tcPr>
          <w:p w14:paraId="50F386B0" w14:textId="77777777" w:rsidR="008F47B8" w:rsidRPr="006D52A9" w:rsidRDefault="008F47B8" w:rsidP="00FB6D2D">
            <w:pPr>
              <w:pStyle w:val="mps3-data"/>
              <w:spacing w:before="0" w:after="0"/>
              <w:rPr>
                <w:rFonts w:eastAsia="SimSun"/>
                <w:szCs w:val="16"/>
              </w:rPr>
            </w:pPr>
            <w:r w:rsidRPr="006D52A9">
              <w:rPr>
                <w:rFonts w:eastAsia="SimSun"/>
                <w:szCs w:val="16"/>
              </w:rPr>
              <w:t>C9740</w:t>
            </w:r>
          </w:p>
        </w:tc>
        <w:tc>
          <w:tcPr>
            <w:tcW w:w="265" w:type="pct"/>
            <w:tcMar>
              <w:top w:w="28" w:type="dxa"/>
              <w:left w:w="28" w:type="dxa"/>
            </w:tcMar>
          </w:tcPr>
          <w:p w14:paraId="2982F617" w14:textId="77777777" w:rsidR="008F47B8" w:rsidRPr="006D52A9" w:rsidDel="005B77FE" w:rsidRDefault="008F47B8" w:rsidP="00FB6D2D">
            <w:pPr>
              <w:pStyle w:val="mps3-data"/>
              <w:spacing w:before="0" w:after="0"/>
              <w:rPr>
                <w:rFonts w:eastAsia="SimSun"/>
                <w:szCs w:val="16"/>
              </w:rPr>
            </w:pPr>
          </w:p>
        </w:tc>
        <w:tc>
          <w:tcPr>
            <w:tcW w:w="2867" w:type="pct"/>
            <w:tcMar>
              <w:top w:w="28" w:type="dxa"/>
              <w:left w:w="28" w:type="dxa"/>
            </w:tcMar>
          </w:tcPr>
          <w:p w14:paraId="20279644" w14:textId="77777777" w:rsidR="008F47B8" w:rsidRPr="006D52A9" w:rsidRDefault="008F47B8" w:rsidP="00FB6D2D">
            <w:pPr>
              <w:pStyle w:val="mps3-data"/>
              <w:spacing w:before="0" w:after="0"/>
              <w:rPr>
                <w:rFonts w:eastAsia="SimSun"/>
                <w:szCs w:val="16"/>
              </w:rPr>
            </w:pPr>
            <w:r w:rsidRPr="006D52A9">
              <w:rPr>
                <w:rFonts w:eastAsia="SimSun"/>
                <w:szCs w:val="16"/>
              </w:rPr>
              <w:t>Type III Short bowel syndrome with intestinal failure</w:t>
            </w:r>
            <w:r w:rsidRPr="006D52A9">
              <w:rPr>
                <w:rFonts w:eastAsia="SimSun"/>
                <w:szCs w:val="16"/>
              </w:rPr>
              <w:br/>
              <w:t>Subsequent continuing treatment</w:t>
            </w:r>
            <w:r w:rsidRPr="006D52A9">
              <w:rPr>
                <w:rFonts w:eastAsia="SimSun"/>
                <w:szCs w:val="16"/>
              </w:rPr>
              <w:br/>
              <w:t>Must be treated by a gastroenterologist; OR</w:t>
            </w:r>
            <w:r w:rsidRPr="006D52A9">
              <w:rPr>
                <w:rFonts w:eastAsia="SimSun"/>
                <w:szCs w:val="16"/>
              </w:rPr>
              <w:br/>
              <w:t>Must be treated by a specialist within a multidisciplinary intestinal rehabilitation unit.</w:t>
            </w:r>
            <w:r w:rsidRPr="006D52A9">
              <w:rPr>
                <w:rFonts w:eastAsia="SimSun"/>
                <w:szCs w:val="16"/>
              </w:rPr>
              <w:br/>
              <w:t>Patient must have received PBS</w:t>
            </w:r>
            <w:r w:rsidR="0026100E">
              <w:rPr>
                <w:rFonts w:eastAsia="SimSun"/>
                <w:szCs w:val="16"/>
              </w:rPr>
              <w:noBreakHyphen/>
            </w:r>
            <w:r w:rsidRPr="006D52A9">
              <w:rPr>
                <w:rFonts w:eastAsia="SimSun"/>
                <w:szCs w:val="16"/>
              </w:rPr>
              <w:t>subsidised first</w:t>
            </w:r>
            <w:r w:rsidR="0026100E">
              <w:rPr>
                <w:rFonts w:eastAsia="SimSun"/>
                <w:szCs w:val="16"/>
              </w:rPr>
              <w:noBreakHyphen/>
            </w:r>
            <w:r w:rsidRPr="006D52A9">
              <w:rPr>
                <w:rFonts w:eastAsia="SimSun"/>
                <w:szCs w:val="16"/>
              </w:rPr>
              <w:t>continuing treatment with this drug for this condition and achieved a treatment response in the preceding treatment period; OR</w:t>
            </w:r>
            <w:r w:rsidRPr="006D52A9">
              <w:rPr>
                <w:rFonts w:eastAsia="SimSun"/>
                <w:szCs w:val="16"/>
              </w:rPr>
              <w:br/>
              <w:t>Patient must have received PBS</w:t>
            </w:r>
            <w:r w:rsidR="0026100E">
              <w:rPr>
                <w:rFonts w:eastAsia="SimSun"/>
                <w:szCs w:val="16"/>
              </w:rPr>
              <w:noBreakHyphen/>
            </w:r>
            <w:r w:rsidRPr="006D52A9">
              <w:rPr>
                <w:rFonts w:eastAsia="SimSun"/>
                <w:szCs w:val="16"/>
              </w:rPr>
              <w:t>subsidised recommencement of treatment following a trial cessation period and not have previously experienced a failure to respond to treatment with this drug for this condition.</w:t>
            </w:r>
            <w:r w:rsidRPr="006D52A9">
              <w:rPr>
                <w:rFonts w:eastAsia="SimSun"/>
                <w:szCs w:val="16"/>
              </w:rPr>
              <w:br/>
              <w:t>Treatment response</w:t>
            </w:r>
            <w:r w:rsidRPr="006D52A9">
              <w:rPr>
                <w:rFonts w:eastAsia="SimSun"/>
                <w:szCs w:val="16"/>
              </w:rPr>
              <w:br/>
              <w:t xml:space="preserve">For applications for subsequent continuing treatment, treatment response is when there was a reduction in the mean number of days of parenteral support of at least 1 day per week since the last assessment </w:t>
            </w:r>
            <w:r w:rsidRPr="006D52A9">
              <w:rPr>
                <w:rFonts w:eastAsia="SimSun"/>
                <w:szCs w:val="16"/>
              </w:rPr>
              <w:lastRenderedPageBreak/>
              <w:t>for PBS</w:t>
            </w:r>
            <w:r w:rsidR="0026100E">
              <w:rPr>
                <w:rFonts w:eastAsia="SimSun"/>
                <w:szCs w:val="16"/>
              </w:rPr>
              <w:noBreakHyphen/>
            </w:r>
            <w:r w:rsidRPr="006D52A9">
              <w:rPr>
                <w:rFonts w:eastAsia="SimSun"/>
                <w:szCs w:val="16"/>
              </w:rPr>
              <w:t>subsidised treatment,</w:t>
            </w:r>
            <w:r w:rsidRPr="006D52A9">
              <w:rPr>
                <w:rFonts w:eastAsia="SimSun"/>
                <w:szCs w:val="16"/>
              </w:rPr>
              <w:br/>
              <w:t>OR where a patient has completely ceased treatment with parenteral support for a period of at least 4 consecutive weeks.</w:t>
            </w:r>
            <w:r w:rsidRPr="006D52A9">
              <w:rPr>
                <w:rFonts w:eastAsia="SimSun"/>
                <w:szCs w:val="16"/>
              </w:rPr>
              <w:b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r w:rsidRPr="006D52A9">
              <w:rPr>
                <w:rFonts w:eastAsia="SimSun"/>
                <w:szCs w:val="16"/>
              </w:rPr>
              <w:br/>
              <w:t>Treatment failure</w:t>
            </w:r>
            <w:r w:rsidRPr="006D52A9">
              <w:rPr>
                <w:rFonts w:eastAsia="SimSun"/>
                <w:szCs w:val="16"/>
              </w:rPr>
              <w:br/>
              <w:t>For applications for subsequent continuing treatment, failure of treatment is defined as an increase in the mean number of days per week of parenteral support requirements of at least 1 day per week over the preceding 4 week period compared to the last assessment for PBS</w:t>
            </w:r>
            <w:r w:rsidR="0026100E">
              <w:rPr>
                <w:rFonts w:eastAsia="SimSun"/>
                <w:szCs w:val="16"/>
              </w:rPr>
              <w:noBreakHyphen/>
            </w:r>
            <w:r w:rsidRPr="006D52A9">
              <w:rPr>
                <w:rFonts w:eastAsia="SimSun"/>
                <w:szCs w:val="16"/>
              </w:rPr>
              <w:t>subsidised treatment of parenteral support (parenteral nutrition with or without IV fluids) to meet caloric, fluid or electrolyte needs.</w:t>
            </w:r>
            <w:r w:rsidRPr="006D52A9">
              <w:rPr>
                <w:rFonts w:eastAsia="SimSun"/>
                <w:szCs w:val="16"/>
              </w:rPr>
              <w:br/>
              <w:t>Patients who experience failure of treatment must permanently discontinue treatment.</w:t>
            </w:r>
            <w:r w:rsidRPr="006D52A9">
              <w:rPr>
                <w:rFonts w:eastAsia="SimSun"/>
                <w:szCs w:val="16"/>
              </w:rPr>
              <w:br/>
              <w:t>Treatment stability</w:t>
            </w:r>
            <w:r w:rsidRPr="006D52A9">
              <w:rPr>
                <w:rFonts w:eastAsia="SimSun"/>
                <w:szCs w:val="16"/>
              </w:rPr>
              <w:br/>
              <w:t>Patients who neither demonstrate a treatment response nor a treatment failure since the last assessment for PBS</w:t>
            </w:r>
            <w:r w:rsidR="0026100E">
              <w:rPr>
                <w:rFonts w:eastAsia="SimSun"/>
                <w:szCs w:val="16"/>
              </w:rPr>
              <w:noBreakHyphen/>
            </w:r>
            <w:r w:rsidRPr="006D52A9">
              <w:rPr>
                <w:rFonts w:eastAsia="SimSun"/>
                <w:szCs w:val="16"/>
              </w:rPr>
              <w:t>subsidised treatment are considered to have a stable parenteral support regimen, defined as the same mean number of days of parenteral support (parenteral nutrition with or without IV fluids) per week to meet caloric, fluid or electrolyte needs over the 4 weeks preceding treatment period, where the number of days is greater than zero and the mean number of days of parenteral support is less than baseline. Patients with a stable parenteral support regimen over 6 months must undertake a trial cessation period. Patients who have re</w:t>
            </w:r>
            <w:r w:rsidR="0026100E">
              <w:rPr>
                <w:rFonts w:eastAsia="SimSun"/>
                <w:szCs w:val="16"/>
              </w:rPr>
              <w:noBreakHyphen/>
            </w:r>
            <w:r w:rsidRPr="006D52A9">
              <w:rPr>
                <w:rFonts w:eastAsia="SimSun"/>
                <w:szCs w:val="16"/>
              </w:rPr>
              <w:t>commenced after a trial cessation period are exempt from further trial cessation.</w:t>
            </w:r>
            <w:r w:rsidRPr="006D52A9">
              <w:rPr>
                <w:rFonts w:eastAsia="SimSun"/>
                <w:szCs w:val="16"/>
              </w:rPr>
              <w:br/>
              <w:t>Trial cessation period</w:t>
            </w:r>
            <w:r w:rsidRPr="006D52A9">
              <w:rPr>
                <w:rFonts w:eastAsia="SimSun"/>
                <w:szCs w:val="16"/>
              </w:rPr>
              <w:br/>
              <w:t>Patients who demonstrate a stable frequency of mean days per week of parenteral support in a 6</w:t>
            </w:r>
            <w:r w:rsidR="0026100E">
              <w:rPr>
                <w:rFonts w:eastAsia="SimSun"/>
                <w:szCs w:val="16"/>
              </w:rPr>
              <w:noBreakHyphen/>
            </w:r>
            <w:r w:rsidRPr="006D52A9">
              <w:rPr>
                <w:rFonts w:eastAsia="SimSun"/>
                <w:szCs w:val="16"/>
              </w:rPr>
              <w:t>month period commencing after the initial 12 months of treatment with this drug for this condition are required to undertake a trial of treatment cessation. Patients who have re</w:t>
            </w:r>
            <w:r w:rsidR="0026100E">
              <w:rPr>
                <w:rFonts w:eastAsia="SimSun"/>
                <w:szCs w:val="16"/>
              </w:rPr>
              <w:noBreakHyphen/>
            </w:r>
            <w:r w:rsidRPr="006D52A9">
              <w:rPr>
                <w:rFonts w:eastAsia="SimSun"/>
                <w:szCs w:val="16"/>
              </w:rPr>
              <w:t>commenced after a trial cessation period are exempt from further trial cessation.</w:t>
            </w:r>
            <w:r w:rsidRPr="006D52A9">
              <w:rPr>
                <w:rFonts w:eastAsia="SimSun"/>
                <w:szCs w:val="16"/>
              </w:rPr>
              <w:br/>
              <w:t>The authority application must be made in writing and must include:</w:t>
            </w:r>
            <w:r w:rsidRPr="006D52A9">
              <w:rPr>
                <w:rFonts w:eastAsia="SimSun"/>
                <w:szCs w:val="16"/>
              </w:rPr>
              <w:br/>
              <w:t>(1) a completed authority prescription form; and</w:t>
            </w:r>
            <w:r w:rsidRPr="006D52A9">
              <w:rPr>
                <w:rFonts w:eastAsia="SimSun"/>
                <w:szCs w:val="16"/>
              </w:rPr>
              <w:br/>
              <w:t>(2) a completed Short bowel syndrome with intestinal failure Form; and</w:t>
            </w:r>
            <w:r w:rsidRPr="006D52A9">
              <w:rPr>
                <w:rFonts w:eastAsia="SimSun"/>
                <w:szCs w:val="16"/>
              </w:rPr>
              <w:br/>
              <w:t>(3) details of the mean number of days reduction of parenteral support (parenteral nutrition with or without IV fluids) per week to meet caloric, fluid or electrolyte needs over the preceding treatment period or confirmation the patient has had 4 consecutive weeks without parenteral support (if applicable); and</w:t>
            </w:r>
            <w:r w:rsidRPr="006D52A9">
              <w:rPr>
                <w:rFonts w:eastAsia="SimSun"/>
                <w:szCs w:val="16"/>
              </w:rPr>
              <w:br/>
              <w:t>(4) the current mean number of days per week of parenteral support over the preceding 4 week period.</w:t>
            </w:r>
          </w:p>
        </w:tc>
        <w:tc>
          <w:tcPr>
            <w:tcW w:w="938" w:type="pct"/>
            <w:tcMar>
              <w:top w:w="28" w:type="dxa"/>
              <w:left w:w="28" w:type="dxa"/>
              <w:right w:w="57" w:type="dxa"/>
            </w:tcMar>
          </w:tcPr>
          <w:p w14:paraId="29BC743D"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p>
        </w:tc>
      </w:tr>
      <w:tr w:rsidR="008F47B8" w:rsidRPr="006D52A9" w:rsidDel="00EF799C" w14:paraId="0AE4AFF3" w14:textId="77777777" w:rsidTr="00FB6D2D">
        <w:tc>
          <w:tcPr>
            <w:tcW w:w="647" w:type="pct"/>
            <w:tcMar>
              <w:top w:w="28" w:type="dxa"/>
              <w:left w:w="28" w:type="dxa"/>
            </w:tcMar>
          </w:tcPr>
          <w:p w14:paraId="25D548A5" w14:textId="77777777" w:rsidR="008F47B8" w:rsidRPr="006D52A9" w:rsidRDefault="008F47B8" w:rsidP="00FB6D2D">
            <w:pPr>
              <w:pStyle w:val="mps3-data"/>
              <w:spacing w:before="0" w:after="0"/>
              <w:rPr>
                <w:rFonts w:eastAsia="SimSun"/>
                <w:szCs w:val="16"/>
              </w:rPr>
            </w:pPr>
          </w:p>
        </w:tc>
        <w:tc>
          <w:tcPr>
            <w:tcW w:w="283" w:type="pct"/>
            <w:tcMar>
              <w:top w:w="28" w:type="dxa"/>
              <w:left w:w="28" w:type="dxa"/>
            </w:tcMar>
          </w:tcPr>
          <w:p w14:paraId="0250975F" w14:textId="77777777" w:rsidR="008F47B8" w:rsidRPr="006D52A9" w:rsidRDefault="008F47B8" w:rsidP="00FB6D2D">
            <w:pPr>
              <w:pStyle w:val="mps3-data"/>
              <w:spacing w:before="0" w:after="0"/>
              <w:rPr>
                <w:rFonts w:eastAsia="SimSun"/>
                <w:szCs w:val="16"/>
              </w:rPr>
            </w:pPr>
            <w:r w:rsidRPr="006D52A9">
              <w:rPr>
                <w:rFonts w:eastAsia="SimSun"/>
                <w:szCs w:val="16"/>
              </w:rPr>
              <w:t>C9793</w:t>
            </w:r>
          </w:p>
        </w:tc>
        <w:tc>
          <w:tcPr>
            <w:tcW w:w="265" w:type="pct"/>
            <w:tcMar>
              <w:top w:w="28" w:type="dxa"/>
              <w:left w:w="28" w:type="dxa"/>
            </w:tcMar>
          </w:tcPr>
          <w:p w14:paraId="68CBB82E" w14:textId="77777777" w:rsidR="008F47B8" w:rsidRPr="006D52A9" w:rsidDel="005B77FE" w:rsidRDefault="008F47B8" w:rsidP="00FB6D2D">
            <w:pPr>
              <w:pStyle w:val="mps3-data"/>
              <w:spacing w:before="0" w:after="0"/>
              <w:rPr>
                <w:rFonts w:eastAsia="SimSun"/>
                <w:szCs w:val="16"/>
              </w:rPr>
            </w:pPr>
          </w:p>
        </w:tc>
        <w:tc>
          <w:tcPr>
            <w:tcW w:w="2867" w:type="pct"/>
            <w:tcMar>
              <w:top w:w="28" w:type="dxa"/>
              <w:left w:w="28" w:type="dxa"/>
            </w:tcMar>
          </w:tcPr>
          <w:p w14:paraId="6A659E0B" w14:textId="77777777" w:rsidR="008F47B8" w:rsidRPr="006D52A9" w:rsidRDefault="008F47B8" w:rsidP="00FB6D2D">
            <w:pPr>
              <w:pStyle w:val="mps3-data"/>
              <w:spacing w:before="0" w:after="0"/>
              <w:rPr>
                <w:rFonts w:eastAsia="SimSun"/>
                <w:szCs w:val="16"/>
              </w:rPr>
            </w:pPr>
            <w:r w:rsidRPr="006D52A9">
              <w:rPr>
                <w:rFonts w:eastAsia="SimSun"/>
                <w:szCs w:val="16"/>
              </w:rPr>
              <w:t>Type III Short bowel syndrome with intestinal failure</w:t>
            </w:r>
            <w:r w:rsidRPr="006D52A9">
              <w:rPr>
                <w:rFonts w:eastAsia="SimSun"/>
                <w:szCs w:val="16"/>
              </w:rPr>
              <w:br/>
              <w:t>First continuing treatment</w:t>
            </w:r>
            <w:r w:rsidRPr="006D52A9">
              <w:rPr>
                <w:rFonts w:eastAsia="SimSun"/>
                <w:szCs w:val="16"/>
              </w:rPr>
              <w:br/>
              <w:t>Must be treated by a gastroenterologist; OR</w:t>
            </w:r>
            <w:r w:rsidRPr="006D52A9">
              <w:rPr>
                <w:rFonts w:eastAsia="SimSun"/>
                <w:szCs w:val="16"/>
              </w:rPr>
              <w:br/>
              <w:t>Must be treated by a specialist within a multidisciplinary intestinal rehabilitation unit.</w:t>
            </w:r>
            <w:r w:rsidRPr="006D52A9">
              <w:rPr>
                <w:rFonts w:eastAsia="SimSun"/>
                <w:szCs w:val="16"/>
              </w:rPr>
              <w:br/>
              <w:t>Patient must have previously received PBS</w:t>
            </w:r>
            <w:r w:rsidR="0026100E">
              <w:rPr>
                <w:rFonts w:eastAsia="SimSun"/>
                <w:szCs w:val="16"/>
              </w:rPr>
              <w:noBreakHyphen/>
            </w:r>
            <w:r w:rsidRPr="006D52A9">
              <w:rPr>
                <w:rFonts w:eastAsia="SimSun"/>
                <w:szCs w:val="16"/>
              </w:rPr>
              <w:t>subsidised initial treatment with this drug for this condition; OR</w:t>
            </w:r>
            <w:r w:rsidRPr="006D52A9">
              <w:rPr>
                <w:rFonts w:eastAsia="SimSun"/>
                <w:szCs w:val="16"/>
              </w:rPr>
              <w:br/>
              <w:t>Patient must have received PBS</w:t>
            </w:r>
            <w:r w:rsidR="0026100E">
              <w:rPr>
                <w:rFonts w:eastAsia="SimSun"/>
                <w:szCs w:val="16"/>
              </w:rPr>
              <w:noBreakHyphen/>
            </w:r>
            <w:r w:rsidRPr="006D52A9">
              <w:rPr>
                <w:rFonts w:eastAsia="SimSun"/>
                <w:szCs w:val="16"/>
              </w:rPr>
              <w:t>subsidised treatment with this drug for this condition as a grandfathered patient; AND</w:t>
            </w:r>
            <w:r w:rsidRPr="006D52A9">
              <w:rPr>
                <w:rFonts w:eastAsia="SimSun"/>
                <w:szCs w:val="16"/>
              </w:rPr>
              <w:br/>
            </w:r>
            <w:r w:rsidRPr="006D52A9">
              <w:rPr>
                <w:rFonts w:eastAsia="SimSun"/>
                <w:szCs w:val="16"/>
              </w:rPr>
              <w:lastRenderedPageBreak/>
              <w:t>Patient must have a reduction in parenteral support frequency of at least one day per week compared to the mean number of days per week at baseline.</w:t>
            </w:r>
            <w:r w:rsidRPr="006D52A9">
              <w:rPr>
                <w:rFonts w:eastAsia="SimSun"/>
                <w:szCs w:val="16"/>
              </w:rPr>
              <w:br/>
              <w:t>Baseline is the mean number of days of parenteral support per week over the four weeks immediately prior to initiating treatment with teduglutide under the PBS initial treatment restriction or four weeks immediately prior to initiating treatment with non</w:t>
            </w:r>
            <w:r w:rsidR="0026100E">
              <w:rPr>
                <w:rFonts w:eastAsia="SimSun"/>
                <w:szCs w:val="16"/>
              </w:rPr>
              <w:noBreakHyphen/>
            </w:r>
            <w:r w:rsidRPr="006D52A9">
              <w:rPr>
                <w:rFonts w:eastAsia="SimSun"/>
                <w:szCs w:val="16"/>
              </w:rPr>
              <w:t>PBS subsidised teduglutide for grandfathered patients.</w:t>
            </w:r>
            <w:r w:rsidRPr="006D52A9">
              <w:rPr>
                <w:rFonts w:eastAsia="SimSun"/>
                <w:szCs w:val="16"/>
              </w:rPr>
              <w:br/>
              <w:t>The current mean number of days of parenteral support is calculated as the mean number of days in which any parenteral support is required (parenteral nutrition with or without IV fluids) per week to meet caloric, fluid or electrolyte needs over the immediately preceding 4 week treatment period</w:t>
            </w:r>
            <w:r w:rsidRPr="006D52A9">
              <w:rPr>
                <w:rFonts w:eastAsia="SimSun"/>
                <w:szCs w:val="16"/>
              </w:rPr>
              <w:br/>
              <w:t>Treatment failure</w:t>
            </w:r>
            <w:r w:rsidRPr="006D52A9">
              <w:rPr>
                <w:rFonts w:eastAsia="SimSun"/>
                <w:szCs w:val="16"/>
              </w:rPr>
              <w:br/>
              <w:t>For applications for first continuing treatment, failure of treatment is defined as no change compared to baseline in the mean number of days per week in parenteral support (parenteral nutrition with or without IV fluids) to meet caloric, fluid or electrolyte needs.</w:t>
            </w:r>
            <w:r w:rsidRPr="006D52A9">
              <w:rPr>
                <w:rFonts w:eastAsia="SimSun"/>
                <w:szCs w:val="16"/>
              </w:rPr>
              <w:br/>
              <w:t>Patients who experience failure of treatment must permanently discontinue treatment.</w:t>
            </w:r>
            <w:r w:rsidRPr="006D52A9">
              <w:rPr>
                <w:rFonts w:eastAsia="SimSun"/>
                <w:szCs w:val="16"/>
              </w:rPr>
              <w:br/>
              <w:t>Current mean number of days of parenteral support should be documented in the patient’s medical records.</w:t>
            </w:r>
            <w:r w:rsidRPr="006D52A9">
              <w:rPr>
                <w:rFonts w:eastAsia="SimSun"/>
                <w:szCs w:val="16"/>
              </w:rPr>
              <w:br/>
              <w:t>The authority application must be made in writing and must include:</w:t>
            </w:r>
            <w:r w:rsidRPr="006D52A9">
              <w:rPr>
                <w:rFonts w:eastAsia="SimSun"/>
                <w:szCs w:val="16"/>
              </w:rPr>
              <w:br/>
              <w:t>(1) a completed authority prescription form; and</w:t>
            </w:r>
            <w:r w:rsidRPr="006D52A9">
              <w:rPr>
                <w:rFonts w:eastAsia="SimSun"/>
                <w:szCs w:val="16"/>
              </w:rPr>
              <w:br/>
              <w:t>(2) a completed Short bowel syndrome with intestinal failure Form; and</w:t>
            </w:r>
            <w:r w:rsidRPr="006D52A9">
              <w:rPr>
                <w:rFonts w:eastAsia="SimSun"/>
                <w:szCs w:val="16"/>
              </w:rPr>
              <w:br/>
              <w:t>(3) details of the mean number of days reduction of parenteral support (parenteral nutrition with or without IV fluids) per week to meet caloric, fluid or electrolyte needs from baseline; and</w:t>
            </w:r>
            <w:r w:rsidRPr="006D52A9">
              <w:rPr>
                <w:rFonts w:eastAsia="SimSun"/>
                <w:szCs w:val="16"/>
              </w:rPr>
              <w:br/>
              <w:t>(4) the current mean number of days per week of parenteral support over the preceding 4 week period.</w:t>
            </w:r>
          </w:p>
        </w:tc>
        <w:tc>
          <w:tcPr>
            <w:tcW w:w="938" w:type="pct"/>
            <w:tcMar>
              <w:top w:w="28" w:type="dxa"/>
              <w:left w:w="28" w:type="dxa"/>
              <w:right w:w="57" w:type="dxa"/>
            </w:tcMar>
          </w:tcPr>
          <w:p w14:paraId="576CFAF7"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Written Authority Required procedures</w:t>
            </w:r>
          </w:p>
        </w:tc>
      </w:tr>
      <w:tr w:rsidR="008F47B8" w:rsidRPr="006D52A9" w:rsidDel="00EF799C" w14:paraId="3F818AB6" w14:textId="77777777" w:rsidTr="00FB6D2D">
        <w:tc>
          <w:tcPr>
            <w:tcW w:w="647" w:type="pct"/>
            <w:tcMar>
              <w:top w:w="28" w:type="dxa"/>
              <w:left w:w="28" w:type="dxa"/>
            </w:tcMar>
          </w:tcPr>
          <w:p w14:paraId="023EA512" w14:textId="77777777" w:rsidR="008F47B8" w:rsidRPr="006D52A9" w:rsidRDefault="008F47B8" w:rsidP="00FB6D2D">
            <w:pPr>
              <w:pStyle w:val="mps3-data"/>
              <w:spacing w:before="0" w:after="0"/>
              <w:rPr>
                <w:rFonts w:eastAsia="SimSun"/>
                <w:szCs w:val="16"/>
              </w:rPr>
            </w:pPr>
          </w:p>
        </w:tc>
        <w:tc>
          <w:tcPr>
            <w:tcW w:w="283" w:type="pct"/>
            <w:tcMar>
              <w:top w:w="28" w:type="dxa"/>
              <w:left w:w="28" w:type="dxa"/>
            </w:tcMar>
          </w:tcPr>
          <w:p w14:paraId="384F41F6" w14:textId="77777777" w:rsidR="008F47B8" w:rsidRPr="006D52A9" w:rsidRDefault="008F47B8" w:rsidP="00FB6D2D">
            <w:pPr>
              <w:pStyle w:val="mps3-data"/>
              <w:spacing w:before="0" w:after="0"/>
              <w:rPr>
                <w:rFonts w:eastAsia="SimSun"/>
                <w:szCs w:val="16"/>
              </w:rPr>
            </w:pPr>
            <w:r w:rsidRPr="006D52A9">
              <w:rPr>
                <w:rFonts w:eastAsia="SimSun"/>
                <w:szCs w:val="16"/>
              </w:rPr>
              <w:t>C9829</w:t>
            </w:r>
          </w:p>
        </w:tc>
        <w:tc>
          <w:tcPr>
            <w:tcW w:w="265" w:type="pct"/>
            <w:tcMar>
              <w:top w:w="28" w:type="dxa"/>
              <w:left w:w="28" w:type="dxa"/>
            </w:tcMar>
          </w:tcPr>
          <w:p w14:paraId="53A24A78" w14:textId="77777777" w:rsidR="008F47B8" w:rsidRPr="006D52A9" w:rsidDel="005B77FE" w:rsidRDefault="008F47B8" w:rsidP="00FB6D2D">
            <w:pPr>
              <w:pStyle w:val="mps3-data"/>
              <w:spacing w:before="0" w:after="0"/>
              <w:rPr>
                <w:rFonts w:eastAsia="SimSun"/>
                <w:szCs w:val="16"/>
              </w:rPr>
            </w:pPr>
          </w:p>
        </w:tc>
        <w:tc>
          <w:tcPr>
            <w:tcW w:w="2867" w:type="pct"/>
            <w:tcMar>
              <w:top w:w="28" w:type="dxa"/>
              <w:left w:w="28" w:type="dxa"/>
            </w:tcMar>
          </w:tcPr>
          <w:p w14:paraId="140FAEBE" w14:textId="77777777" w:rsidR="008F47B8" w:rsidRPr="006D52A9" w:rsidRDefault="008F47B8" w:rsidP="00FB6D2D">
            <w:pPr>
              <w:pStyle w:val="mps3-data"/>
              <w:spacing w:before="0" w:after="0"/>
              <w:rPr>
                <w:rFonts w:eastAsia="SimSun"/>
                <w:szCs w:val="16"/>
              </w:rPr>
            </w:pPr>
            <w:r w:rsidRPr="006D52A9">
              <w:rPr>
                <w:rFonts w:eastAsia="SimSun"/>
                <w:szCs w:val="16"/>
              </w:rPr>
              <w:t>Type III Short bowel syndrome with intestinal failure</w:t>
            </w:r>
            <w:r w:rsidRPr="006D52A9">
              <w:rPr>
                <w:rFonts w:eastAsia="SimSun"/>
                <w:szCs w:val="16"/>
              </w:rPr>
              <w:br/>
              <w:t>Recommencement of treatment</w:t>
            </w:r>
            <w:r w:rsidRPr="006D52A9">
              <w:rPr>
                <w:rFonts w:eastAsia="SimSun"/>
                <w:szCs w:val="16"/>
              </w:rPr>
              <w:br/>
              <w:t>Must be treated by a gastroenterologist; OR</w:t>
            </w:r>
            <w:r w:rsidRPr="006D52A9">
              <w:rPr>
                <w:rFonts w:eastAsia="SimSun"/>
                <w:szCs w:val="16"/>
              </w:rPr>
              <w:br/>
              <w:t>Must be treated by a specialist within a multidisciplinary intestinal rehabilitation unit.</w:t>
            </w:r>
            <w:r w:rsidRPr="006D52A9">
              <w:rPr>
                <w:rFonts w:eastAsia="SimSun"/>
                <w:szCs w:val="16"/>
              </w:rPr>
              <w:br/>
              <w:t>Patient must have received PBS</w:t>
            </w:r>
            <w:r w:rsidR="0026100E">
              <w:rPr>
                <w:rFonts w:eastAsia="SimSun"/>
                <w:szCs w:val="16"/>
              </w:rPr>
              <w:noBreakHyphen/>
            </w:r>
            <w:r w:rsidRPr="006D52A9">
              <w:rPr>
                <w:rFonts w:eastAsia="SimSun"/>
                <w:szCs w:val="16"/>
              </w:rPr>
              <w:t>subsidised treatment with this drug for this condition; AND</w:t>
            </w:r>
            <w:r w:rsidRPr="006D52A9">
              <w:rPr>
                <w:rFonts w:eastAsia="SimSun"/>
                <w:szCs w:val="16"/>
              </w:rPr>
              <w:br/>
              <w:t>Patient must have undertaken a trial cessation period due to experiencing a stable parenteral support regimen in the first continuing or subsequent continuing treatment phase, and not due to a treatment failure; AND</w:t>
            </w:r>
            <w:r w:rsidRPr="006D52A9">
              <w:rPr>
                <w:rFonts w:eastAsia="SimSun"/>
                <w:szCs w:val="16"/>
              </w:rPr>
              <w:br/>
              <w:t>Patient must have experienced deterioration during a trial cessation period.</w:t>
            </w:r>
            <w:r w:rsidRPr="006D52A9">
              <w:rPr>
                <w:rFonts w:eastAsia="SimSun"/>
                <w:szCs w:val="16"/>
              </w:rPr>
              <w:br/>
              <w:t>Trial cessation period</w:t>
            </w:r>
            <w:r w:rsidRPr="006D52A9">
              <w:rPr>
                <w:rFonts w:eastAsia="SimSun"/>
                <w:szCs w:val="16"/>
              </w:rPr>
              <w:br/>
              <w:t>Patients who demonstrate a stable frequency of mean days per week of parenteral support in a 6</w:t>
            </w:r>
            <w:r w:rsidR="0026100E">
              <w:rPr>
                <w:rFonts w:eastAsia="SimSun"/>
                <w:szCs w:val="16"/>
              </w:rPr>
              <w:noBreakHyphen/>
            </w:r>
            <w:r w:rsidRPr="006D52A9">
              <w:rPr>
                <w:rFonts w:eastAsia="SimSun"/>
                <w:szCs w:val="16"/>
              </w:rPr>
              <w:t>month period commencing after the initial 12 months of treatment with this drug for this condition are required to undertake a trial of treatment cessation. Patients who have re</w:t>
            </w:r>
            <w:r w:rsidR="0026100E">
              <w:rPr>
                <w:rFonts w:eastAsia="SimSun"/>
                <w:szCs w:val="16"/>
              </w:rPr>
              <w:noBreakHyphen/>
            </w:r>
            <w:r w:rsidRPr="006D52A9">
              <w:rPr>
                <w:rFonts w:eastAsia="SimSun"/>
                <w:szCs w:val="16"/>
              </w:rPr>
              <w:t>commenced after a trial cessation period are exempt from further trial cessation.</w:t>
            </w:r>
            <w:r w:rsidRPr="006D52A9">
              <w:rPr>
                <w:rFonts w:eastAsia="SimSun"/>
                <w:szCs w:val="16"/>
              </w:rPr>
              <w:br/>
              <w:t>Deterioration during the trial cessation period includes an increase in parenteral support frequency of more than or equal to one day per week from the pre</w:t>
            </w:r>
            <w:r w:rsidR="0026100E">
              <w:rPr>
                <w:rFonts w:eastAsia="SimSun"/>
                <w:szCs w:val="16"/>
              </w:rPr>
              <w:noBreakHyphen/>
            </w:r>
            <w:r w:rsidRPr="006D52A9">
              <w:rPr>
                <w:rFonts w:eastAsia="SimSun"/>
                <w:szCs w:val="16"/>
              </w:rPr>
              <w:t>cessation level, or other clinical parameters suggestive of deterioration including changes in renal function or urinary sodium levels or changes in body weight.</w:t>
            </w:r>
            <w:r w:rsidRPr="006D52A9">
              <w:rPr>
                <w:rFonts w:eastAsia="SimSun"/>
                <w:szCs w:val="16"/>
              </w:rPr>
              <w:br/>
              <w:t>The authority application must be made in writing and must include:</w:t>
            </w:r>
            <w:r w:rsidRPr="006D52A9">
              <w:rPr>
                <w:rFonts w:eastAsia="SimSun"/>
                <w:szCs w:val="16"/>
              </w:rPr>
              <w:br/>
              <w:t>(1) a completed authority prescription form; and</w:t>
            </w:r>
            <w:r w:rsidRPr="006D52A9">
              <w:rPr>
                <w:rFonts w:eastAsia="SimSun"/>
                <w:szCs w:val="16"/>
              </w:rPr>
              <w:br/>
            </w:r>
            <w:r w:rsidRPr="006D52A9">
              <w:rPr>
                <w:rFonts w:eastAsia="SimSun"/>
                <w:szCs w:val="16"/>
              </w:rPr>
              <w:lastRenderedPageBreak/>
              <w:t>(2) a completed Short bowel syndrome with intestinal failure Form; and</w:t>
            </w:r>
            <w:r w:rsidRPr="006D52A9">
              <w:rPr>
                <w:rFonts w:eastAsia="SimSun"/>
                <w:szCs w:val="16"/>
              </w:rPr>
              <w:br/>
              <w:t>(3) details of the reason for recommencement after trial cessation; and</w:t>
            </w:r>
            <w:r w:rsidRPr="006D52A9">
              <w:rPr>
                <w:rFonts w:eastAsia="SimSun"/>
                <w:szCs w:val="16"/>
              </w:rPr>
              <w:br/>
              <w:t>(4) the current mean number of days per week of parenteral support over the preceding 4 week period</w:t>
            </w:r>
            <w:r w:rsidRPr="006D52A9">
              <w:rPr>
                <w:rFonts w:eastAsia="SimSun"/>
                <w:szCs w:val="16"/>
              </w:rPr>
              <w:br/>
              <w:t>(5) details of completion of the trial cessation period including the start and end date.</w:t>
            </w:r>
          </w:p>
        </w:tc>
        <w:tc>
          <w:tcPr>
            <w:tcW w:w="938" w:type="pct"/>
            <w:tcMar>
              <w:top w:w="28" w:type="dxa"/>
              <w:left w:w="28" w:type="dxa"/>
              <w:right w:w="57" w:type="dxa"/>
            </w:tcMar>
          </w:tcPr>
          <w:p w14:paraId="38AF7E00" w14:textId="77777777" w:rsidR="008F47B8" w:rsidRPr="006D52A9" w:rsidRDefault="008F47B8" w:rsidP="00FB6D2D">
            <w:pPr>
              <w:pStyle w:val="mps3-data"/>
              <w:spacing w:before="0" w:after="0"/>
              <w:rPr>
                <w:rFonts w:eastAsia="SimSun"/>
                <w:szCs w:val="16"/>
              </w:rPr>
            </w:pPr>
            <w:r w:rsidRPr="006D52A9">
              <w:rPr>
                <w:rFonts w:eastAsia="SimSun"/>
                <w:szCs w:val="16"/>
              </w:rPr>
              <w:lastRenderedPageBreak/>
              <w:t>Compliance with Authority Required procedures</w:t>
            </w:r>
          </w:p>
        </w:tc>
      </w:tr>
      <w:tr w:rsidR="008F47B8" w:rsidRPr="006D52A9" w:rsidDel="00AF5846" w14:paraId="3A1B165D" w14:textId="77777777" w:rsidTr="00FB6D2D">
        <w:tc>
          <w:tcPr>
            <w:tcW w:w="647" w:type="pct"/>
            <w:tcMar>
              <w:top w:w="28" w:type="dxa"/>
              <w:left w:w="28" w:type="dxa"/>
            </w:tcMar>
          </w:tcPr>
          <w:p w14:paraId="67B3313F" w14:textId="77777777" w:rsidR="008F47B8" w:rsidRPr="006D52A9" w:rsidDel="00AF5846" w:rsidRDefault="008F47B8" w:rsidP="00FB6D2D">
            <w:pPr>
              <w:spacing w:line="240" w:lineRule="auto"/>
              <w:rPr>
                <w:rFonts w:ascii="Arial" w:eastAsia="SimSun" w:hAnsi="Arial" w:cs="Arial"/>
                <w:sz w:val="16"/>
                <w:szCs w:val="16"/>
                <w:lang w:eastAsia="zh-CN"/>
              </w:rPr>
            </w:pPr>
            <w:bookmarkStart w:id="239" w:name="CU_540860199"/>
            <w:bookmarkStart w:id="240" w:name="CU_542863137"/>
            <w:bookmarkStart w:id="241" w:name="CU_547867909"/>
            <w:bookmarkStart w:id="242" w:name="CU_551869517"/>
            <w:bookmarkStart w:id="243" w:name="CU_554871734"/>
            <w:bookmarkStart w:id="244" w:name="CU_558874039"/>
            <w:bookmarkEnd w:id="239"/>
            <w:bookmarkEnd w:id="240"/>
            <w:bookmarkEnd w:id="241"/>
            <w:bookmarkEnd w:id="242"/>
            <w:bookmarkEnd w:id="243"/>
            <w:bookmarkEnd w:id="244"/>
            <w:r w:rsidRPr="006D52A9">
              <w:rPr>
                <w:rFonts w:ascii="Arial" w:eastAsia="SimSun" w:hAnsi="Arial" w:cs="Arial"/>
                <w:sz w:val="16"/>
                <w:szCs w:val="16"/>
                <w:lang w:eastAsia="zh-CN"/>
              </w:rPr>
              <w:t>Tenofovir</w:t>
            </w:r>
          </w:p>
        </w:tc>
        <w:tc>
          <w:tcPr>
            <w:tcW w:w="283" w:type="pct"/>
            <w:tcMar>
              <w:top w:w="28" w:type="dxa"/>
              <w:left w:w="28" w:type="dxa"/>
            </w:tcMar>
          </w:tcPr>
          <w:p w14:paraId="60752284"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C6980</w:t>
            </w:r>
          </w:p>
        </w:tc>
        <w:tc>
          <w:tcPr>
            <w:tcW w:w="265" w:type="pct"/>
            <w:tcMar>
              <w:top w:w="28" w:type="dxa"/>
              <w:left w:w="28" w:type="dxa"/>
            </w:tcMar>
          </w:tcPr>
          <w:p w14:paraId="08B9F99F"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P6980</w:t>
            </w:r>
          </w:p>
        </w:tc>
        <w:tc>
          <w:tcPr>
            <w:tcW w:w="2867" w:type="pct"/>
            <w:tcMar>
              <w:top w:w="28" w:type="dxa"/>
              <w:left w:w="28" w:type="dxa"/>
            </w:tcMar>
          </w:tcPr>
          <w:p w14:paraId="61AA102B" w14:textId="77777777" w:rsidR="008F47B8" w:rsidRPr="006D52A9" w:rsidRDefault="008F47B8" w:rsidP="00FB6D2D">
            <w:pPr>
              <w:pStyle w:val="mps3-data"/>
              <w:spacing w:before="0" w:after="0"/>
              <w:rPr>
                <w:rFonts w:eastAsia="SimSun"/>
                <w:szCs w:val="16"/>
              </w:rPr>
            </w:pPr>
            <w:r w:rsidRPr="006D52A9">
              <w:rPr>
                <w:rFonts w:eastAsia="SimSun"/>
                <w:szCs w:val="16"/>
              </w:rPr>
              <w:t>Chronic hepatitis B infection</w:t>
            </w:r>
          </w:p>
          <w:p w14:paraId="543B1F6E" w14:textId="77777777" w:rsidR="008F47B8" w:rsidRPr="006D52A9" w:rsidRDefault="008F47B8" w:rsidP="00FB6D2D">
            <w:pPr>
              <w:pStyle w:val="mps3-data"/>
              <w:spacing w:before="0" w:after="0"/>
              <w:rPr>
                <w:rFonts w:eastAsia="SimSun"/>
                <w:szCs w:val="16"/>
              </w:rPr>
            </w:pPr>
            <w:r w:rsidRPr="006D52A9">
              <w:rPr>
                <w:rFonts w:eastAsia="SimSun"/>
                <w:szCs w:val="16"/>
              </w:rPr>
              <w:t>Patient must have cirrhosis; AND</w:t>
            </w:r>
          </w:p>
          <w:p w14:paraId="7B31A8AE" w14:textId="77777777" w:rsidR="008F47B8" w:rsidRPr="006D52A9" w:rsidRDefault="008F47B8" w:rsidP="00FB6D2D">
            <w:pPr>
              <w:pStyle w:val="mps3-data"/>
              <w:spacing w:before="0" w:after="0"/>
              <w:rPr>
                <w:rFonts w:eastAsia="SimSun"/>
                <w:szCs w:val="16"/>
              </w:rPr>
            </w:pPr>
            <w:r w:rsidRPr="006D52A9">
              <w:rPr>
                <w:rFonts w:eastAsia="SimSun"/>
                <w:szCs w:val="16"/>
              </w:rPr>
              <w:t>Patient must be nucleoside analogue naive; AND</w:t>
            </w:r>
          </w:p>
          <w:p w14:paraId="3B2126BA" w14:textId="77777777" w:rsidR="008F47B8" w:rsidRPr="006D52A9" w:rsidRDefault="008F47B8" w:rsidP="00FB6D2D">
            <w:pPr>
              <w:pStyle w:val="mps3-data"/>
              <w:spacing w:before="0" w:after="0"/>
              <w:rPr>
                <w:rFonts w:eastAsia="SimSun"/>
                <w:szCs w:val="16"/>
              </w:rPr>
            </w:pPr>
            <w:r w:rsidRPr="006D52A9">
              <w:rPr>
                <w:rFonts w:eastAsia="SimSun"/>
                <w:szCs w:val="16"/>
              </w:rPr>
              <w:t>Patient must have detectable HBV DNA; AND</w:t>
            </w:r>
          </w:p>
          <w:p w14:paraId="01D78FCE" w14:textId="77777777" w:rsidR="008F47B8" w:rsidRPr="006D52A9" w:rsidRDefault="008F47B8" w:rsidP="00FB6D2D">
            <w:pPr>
              <w:pStyle w:val="mps3-data"/>
              <w:spacing w:before="0" w:after="0"/>
              <w:rPr>
                <w:rFonts w:eastAsia="SimSun"/>
                <w:szCs w:val="16"/>
              </w:rPr>
            </w:pPr>
            <w:r w:rsidRPr="006D52A9">
              <w:rPr>
                <w:rFonts w:eastAsia="SimSun"/>
                <w:szCs w:val="16"/>
              </w:rPr>
              <w:t>The treatment must be the sole PBS</w:t>
            </w:r>
            <w:r w:rsidR="0026100E">
              <w:rPr>
                <w:rFonts w:eastAsia="SimSun"/>
                <w:szCs w:val="16"/>
              </w:rPr>
              <w:noBreakHyphen/>
            </w:r>
            <w:r w:rsidRPr="006D52A9">
              <w:rPr>
                <w:rFonts w:eastAsia="SimSun"/>
                <w:szCs w:val="16"/>
              </w:rPr>
              <w:t>subsidised therapy for this condition.</w:t>
            </w:r>
          </w:p>
          <w:p w14:paraId="45B48A55"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14:paraId="3A2BB713"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6980</w:t>
            </w:r>
          </w:p>
        </w:tc>
      </w:tr>
      <w:tr w:rsidR="008F47B8" w:rsidRPr="006D52A9" w:rsidDel="00AF5846" w14:paraId="10554620" w14:textId="77777777" w:rsidTr="00FB6D2D">
        <w:tc>
          <w:tcPr>
            <w:tcW w:w="647" w:type="pct"/>
            <w:tcMar>
              <w:top w:w="28" w:type="dxa"/>
              <w:left w:w="28" w:type="dxa"/>
            </w:tcMar>
          </w:tcPr>
          <w:p w14:paraId="3C35CC0C"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6E1AF2A"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C6982</w:t>
            </w:r>
          </w:p>
        </w:tc>
        <w:tc>
          <w:tcPr>
            <w:tcW w:w="265" w:type="pct"/>
            <w:tcMar>
              <w:top w:w="28" w:type="dxa"/>
              <w:left w:w="28" w:type="dxa"/>
            </w:tcMar>
          </w:tcPr>
          <w:p w14:paraId="4B09D10C" w14:textId="77777777" w:rsidR="008F47B8" w:rsidRPr="006D52A9" w:rsidDel="00AF5846" w:rsidRDefault="008F47B8" w:rsidP="00FB6D2D">
            <w:pPr>
              <w:pStyle w:val="mps3-data"/>
              <w:spacing w:before="0" w:after="0"/>
              <w:rPr>
                <w:rFonts w:eastAsia="SimSun"/>
                <w:szCs w:val="16"/>
              </w:rPr>
            </w:pPr>
            <w:r w:rsidRPr="006D52A9">
              <w:rPr>
                <w:szCs w:val="16"/>
              </w:rPr>
              <w:t>P6982</w:t>
            </w:r>
          </w:p>
        </w:tc>
        <w:tc>
          <w:tcPr>
            <w:tcW w:w="2867" w:type="pct"/>
            <w:tcMar>
              <w:top w:w="28" w:type="dxa"/>
              <w:left w:w="28" w:type="dxa"/>
            </w:tcMar>
          </w:tcPr>
          <w:p w14:paraId="52A59DB0" w14:textId="77777777" w:rsidR="008F47B8" w:rsidRPr="006D52A9" w:rsidRDefault="008F47B8" w:rsidP="00FB6D2D">
            <w:pPr>
              <w:pStyle w:val="mps3-data"/>
              <w:spacing w:before="0" w:after="0"/>
              <w:rPr>
                <w:rFonts w:eastAsia="SimSun"/>
                <w:szCs w:val="16"/>
              </w:rPr>
            </w:pPr>
            <w:r w:rsidRPr="006D52A9">
              <w:rPr>
                <w:rFonts w:eastAsia="SimSun"/>
                <w:szCs w:val="16"/>
              </w:rPr>
              <w:t>HIV infection</w:t>
            </w:r>
          </w:p>
          <w:p w14:paraId="369F4B18" w14:textId="77777777" w:rsidR="008F47B8" w:rsidRPr="006D52A9" w:rsidRDefault="008F47B8" w:rsidP="00FB6D2D">
            <w:pPr>
              <w:pStyle w:val="mps3-data"/>
              <w:spacing w:before="0" w:after="0"/>
              <w:rPr>
                <w:rFonts w:eastAsia="SimSun"/>
                <w:szCs w:val="16"/>
              </w:rPr>
            </w:pPr>
            <w:r w:rsidRPr="006D52A9">
              <w:rPr>
                <w:rFonts w:eastAsia="SimSun"/>
                <w:szCs w:val="16"/>
              </w:rPr>
              <w:t>Continuing</w:t>
            </w:r>
          </w:p>
          <w:p w14:paraId="1810AF9D" w14:textId="77777777" w:rsidR="008F47B8" w:rsidRPr="006D52A9" w:rsidRDefault="008F47B8" w:rsidP="00FB6D2D">
            <w:pPr>
              <w:pStyle w:val="mps3-data"/>
              <w:spacing w:before="0" w:after="0"/>
              <w:rPr>
                <w:rFonts w:eastAsia="SimSun"/>
                <w:szCs w:val="16"/>
              </w:rPr>
            </w:pPr>
            <w:r w:rsidRPr="006D52A9">
              <w:rPr>
                <w:rFonts w:eastAsia="SimSun"/>
                <w:szCs w:val="16"/>
              </w:rPr>
              <w:t>Patient must have previously received PBS</w:t>
            </w:r>
            <w:r w:rsidR="0026100E">
              <w:rPr>
                <w:rFonts w:eastAsia="SimSun"/>
                <w:szCs w:val="16"/>
              </w:rPr>
              <w:noBreakHyphen/>
            </w:r>
            <w:r w:rsidRPr="006D52A9">
              <w:rPr>
                <w:rFonts w:eastAsia="SimSun"/>
                <w:szCs w:val="16"/>
              </w:rPr>
              <w:t>subsidised therapy for HIV infection; AND</w:t>
            </w:r>
          </w:p>
          <w:p w14:paraId="532DCFFC" w14:textId="77777777" w:rsidR="008F47B8" w:rsidRPr="006D52A9" w:rsidDel="00AF5846" w:rsidRDefault="008F47B8" w:rsidP="00FB6D2D">
            <w:pPr>
              <w:pStyle w:val="mps3-data"/>
              <w:spacing w:before="0" w:after="0"/>
              <w:rPr>
                <w:rFonts w:eastAsia="SimSun"/>
                <w:szCs w:val="16"/>
              </w:rPr>
            </w:pPr>
            <w:r w:rsidRPr="006D52A9">
              <w:rPr>
                <w:rFonts w:eastAsia="SimSun"/>
                <w:szCs w:val="16"/>
              </w:rPr>
              <w:t>The treatment must be in combination with other antiretroviral agents.</w:t>
            </w:r>
          </w:p>
        </w:tc>
        <w:tc>
          <w:tcPr>
            <w:tcW w:w="938" w:type="pct"/>
            <w:tcMar>
              <w:top w:w="28" w:type="dxa"/>
              <w:left w:w="28" w:type="dxa"/>
              <w:right w:w="57" w:type="dxa"/>
            </w:tcMar>
          </w:tcPr>
          <w:p w14:paraId="1F90C7FF"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6982</w:t>
            </w:r>
          </w:p>
        </w:tc>
      </w:tr>
      <w:tr w:rsidR="008F47B8" w:rsidRPr="006D52A9" w:rsidDel="00AF5846" w14:paraId="77C0871F" w14:textId="77777777" w:rsidTr="00FB6D2D">
        <w:tc>
          <w:tcPr>
            <w:tcW w:w="647" w:type="pct"/>
            <w:tcMar>
              <w:top w:w="28" w:type="dxa"/>
              <w:left w:w="28" w:type="dxa"/>
            </w:tcMar>
          </w:tcPr>
          <w:p w14:paraId="326FEDDA"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B048ED4"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C6983</w:t>
            </w:r>
          </w:p>
        </w:tc>
        <w:tc>
          <w:tcPr>
            <w:tcW w:w="265" w:type="pct"/>
            <w:tcMar>
              <w:top w:w="28" w:type="dxa"/>
              <w:left w:w="28" w:type="dxa"/>
            </w:tcMar>
          </w:tcPr>
          <w:p w14:paraId="48E80B32"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P6983</w:t>
            </w:r>
          </w:p>
        </w:tc>
        <w:tc>
          <w:tcPr>
            <w:tcW w:w="2867" w:type="pct"/>
            <w:tcMar>
              <w:top w:w="28" w:type="dxa"/>
              <w:left w:w="28" w:type="dxa"/>
            </w:tcMar>
          </w:tcPr>
          <w:p w14:paraId="09024F24" w14:textId="77777777" w:rsidR="008F47B8" w:rsidRPr="006D52A9" w:rsidRDefault="008F47B8" w:rsidP="00FB6D2D">
            <w:pPr>
              <w:pStyle w:val="mps3-data"/>
              <w:spacing w:before="0" w:after="0"/>
              <w:rPr>
                <w:rFonts w:eastAsia="SimSun"/>
                <w:szCs w:val="16"/>
              </w:rPr>
            </w:pPr>
            <w:r w:rsidRPr="006D52A9">
              <w:rPr>
                <w:rFonts w:eastAsia="SimSun"/>
                <w:szCs w:val="16"/>
              </w:rPr>
              <w:t>Chronic hepatitis B infection</w:t>
            </w:r>
          </w:p>
          <w:p w14:paraId="38A2C09D" w14:textId="77777777" w:rsidR="008F47B8" w:rsidRPr="006D52A9" w:rsidRDefault="008F47B8" w:rsidP="00FB6D2D">
            <w:pPr>
              <w:pStyle w:val="mps3-data"/>
              <w:spacing w:before="0" w:after="0"/>
              <w:rPr>
                <w:rFonts w:eastAsia="SimSun"/>
                <w:szCs w:val="16"/>
              </w:rPr>
            </w:pPr>
            <w:r w:rsidRPr="006D52A9">
              <w:rPr>
                <w:rFonts w:eastAsia="SimSun"/>
                <w:szCs w:val="16"/>
              </w:rPr>
              <w:t>Patient must have cirrhosis; AND</w:t>
            </w:r>
          </w:p>
          <w:p w14:paraId="56C42B23" w14:textId="77777777" w:rsidR="008F47B8" w:rsidRPr="006D52A9" w:rsidRDefault="008F47B8" w:rsidP="00FB6D2D">
            <w:pPr>
              <w:pStyle w:val="mps3-data"/>
              <w:spacing w:before="0" w:after="0"/>
              <w:rPr>
                <w:rFonts w:eastAsia="SimSun"/>
                <w:szCs w:val="16"/>
              </w:rPr>
            </w:pPr>
            <w:r w:rsidRPr="006D52A9">
              <w:rPr>
                <w:rFonts w:eastAsia="SimSun"/>
                <w:szCs w:val="16"/>
              </w:rPr>
              <w:t>Patient must have failed antihepadnaviral therapy; AND</w:t>
            </w:r>
          </w:p>
          <w:p w14:paraId="3EB7D154" w14:textId="77777777" w:rsidR="008F47B8" w:rsidRPr="006D52A9" w:rsidRDefault="008F47B8" w:rsidP="00FB6D2D">
            <w:pPr>
              <w:pStyle w:val="mps3-data"/>
              <w:spacing w:before="0" w:after="0"/>
              <w:rPr>
                <w:rFonts w:eastAsia="SimSun"/>
                <w:szCs w:val="16"/>
              </w:rPr>
            </w:pPr>
            <w:r w:rsidRPr="006D52A9">
              <w:rPr>
                <w:rFonts w:eastAsia="SimSun"/>
                <w:szCs w:val="16"/>
              </w:rPr>
              <w:t>Patient must have detectable HBV DNA.</w:t>
            </w:r>
          </w:p>
          <w:p w14:paraId="2CE667C5"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Patients with Child’s class B or C cirrhosis (ascites, variceal bleeding, encephalopathy, albumin less than 30 g per L, bilirubin greater than 30 micromoles per L) should have their treatment discussed with a transplant unit prior to initiating therapy.</w:t>
            </w:r>
          </w:p>
        </w:tc>
        <w:tc>
          <w:tcPr>
            <w:tcW w:w="938" w:type="pct"/>
            <w:tcMar>
              <w:top w:w="28" w:type="dxa"/>
              <w:left w:w="28" w:type="dxa"/>
              <w:right w:w="57" w:type="dxa"/>
            </w:tcMar>
          </w:tcPr>
          <w:p w14:paraId="1E27CBC2"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6983</w:t>
            </w:r>
          </w:p>
        </w:tc>
      </w:tr>
      <w:tr w:rsidR="008F47B8" w:rsidRPr="006D52A9" w:rsidDel="00AF5846" w14:paraId="17ABD44C" w14:textId="77777777" w:rsidTr="00FB6D2D">
        <w:tc>
          <w:tcPr>
            <w:tcW w:w="647" w:type="pct"/>
            <w:tcMar>
              <w:top w:w="28" w:type="dxa"/>
              <w:left w:w="28" w:type="dxa"/>
            </w:tcMar>
          </w:tcPr>
          <w:p w14:paraId="300CB290"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22B135A"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C6984</w:t>
            </w:r>
          </w:p>
        </w:tc>
        <w:tc>
          <w:tcPr>
            <w:tcW w:w="265" w:type="pct"/>
            <w:tcMar>
              <w:top w:w="28" w:type="dxa"/>
              <w:left w:w="28" w:type="dxa"/>
            </w:tcMar>
          </w:tcPr>
          <w:p w14:paraId="79926A1D"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P6984</w:t>
            </w:r>
          </w:p>
        </w:tc>
        <w:tc>
          <w:tcPr>
            <w:tcW w:w="2867" w:type="pct"/>
            <w:tcMar>
              <w:top w:w="28" w:type="dxa"/>
              <w:left w:w="28" w:type="dxa"/>
            </w:tcMar>
          </w:tcPr>
          <w:p w14:paraId="00FDD5A6" w14:textId="77777777" w:rsidR="008F47B8" w:rsidRPr="006D52A9" w:rsidRDefault="008F47B8" w:rsidP="00FB6D2D">
            <w:pPr>
              <w:pStyle w:val="mps3-data"/>
              <w:spacing w:before="0" w:after="0"/>
              <w:rPr>
                <w:rFonts w:eastAsia="SimSun"/>
                <w:szCs w:val="16"/>
              </w:rPr>
            </w:pPr>
            <w:r w:rsidRPr="006D52A9">
              <w:rPr>
                <w:rFonts w:eastAsia="SimSun"/>
                <w:szCs w:val="16"/>
              </w:rPr>
              <w:t>Chronic hepatitis B infection</w:t>
            </w:r>
          </w:p>
          <w:p w14:paraId="24F9DF34" w14:textId="77777777" w:rsidR="008F47B8" w:rsidRPr="006D52A9" w:rsidRDefault="008F47B8" w:rsidP="00FB6D2D">
            <w:pPr>
              <w:pStyle w:val="mps3-data"/>
              <w:spacing w:before="0" w:after="0"/>
              <w:rPr>
                <w:rFonts w:eastAsia="SimSun"/>
                <w:szCs w:val="16"/>
              </w:rPr>
            </w:pPr>
            <w:r w:rsidRPr="006D52A9">
              <w:rPr>
                <w:rFonts w:eastAsia="SimSun"/>
                <w:szCs w:val="16"/>
              </w:rPr>
              <w:t>Patient must not have cirrhosis; AND</w:t>
            </w:r>
          </w:p>
          <w:p w14:paraId="20F49394" w14:textId="77777777" w:rsidR="008F47B8" w:rsidRPr="006D52A9" w:rsidRDefault="008F47B8" w:rsidP="00FB6D2D">
            <w:pPr>
              <w:pStyle w:val="mps3-data"/>
              <w:spacing w:before="0" w:after="0"/>
              <w:rPr>
                <w:rFonts w:eastAsia="SimSun"/>
                <w:szCs w:val="16"/>
              </w:rPr>
            </w:pPr>
            <w:r w:rsidRPr="006D52A9">
              <w:rPr>
                <w:rFonts w:eastAsia="SimSun"/>
                <w:szCs w:val="16"/>
              </w:rPr>
              <w:t>Patient must have failed antihepadnaviral therapy; AND</w:t>
            </w:r>
          </w:p>
          <w:p w14:paraId="61CE50E5" w14:textId="77777777" w:rsidR="008F47B8" w:rsidRPr="006D52A9" w:rsidRDefault="008F47B8" w:rsidP="00FB6D2D">
            <w:pPr>
              <w:pStyle w:val="mps3-data"/>
              <w:spacing w:before="0" w:after="0"/>
              <w:rPr>
                <w:rFonts w:eastAsia="SimSun"/>
                <w:szCs w:val="16"/>
              </w:rPr>
            </w:pPr>
            <w:r w:rsidRPr="006D52A9">
              <w:rPr>
                <w:rFonts w:eastAsia="SimSun"/>
                <w:szCs w:val="16"/>
              </w:rPr>
              <w:t>Patient must have repeatedly elevated serum ALT levels while on concurrent antihepadnaviral therapy of greater than or equal to 6 months duration, in conjunction with documented chronic hepatitis B infection; OR</w:t>
            </w:r>
          </w:p>
          <w:p w14:paraId="43024542"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repeatedly elevated HBV DNA levels one log greater than the nadir value or failure to achieve a 1 log reduction in HBV DNA within 3 months whilst on previous antihepadnaviral therapy, except in patients with evidence of poor compliance.</w:t>
            </w:r>
          </w:p>
        </w:tc>
        <w:tc>
          <w:tcPr>
            <w:tcW w:w="938" w:type="pct"/>
            <w:tcMar>
              <w:top w:w="28" w:type="dxa"/>
              <w:left w:w="28" w:type="dxa"/>
              <w:right w:w="57" w:type="dxa"/>
            </w:tcMar>
          </w:tcPr>
          <w:p w14:paraId="4927D1E3"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6984</w:t>
            </w:r>
          </w:p>
        </w:tc>
      </w:tr>
      <w:tr w:rsidR="008F47B8" w:rsidRPr="006D52A9" w:rsidDel="00AF5846" w14:paraId="5150B965" w14:textId="77777777" w:rsidTr="00FB6D2D">
        <w:tc>
          <w:tcPr>
            <w:tcW w:w="647" w:type="pct"/>
            <w:tcMar>
              <w:top w:w="28" w:type="dxa"/>
              <w:left w:w="28" w:type="dxa"/>
            </w:tcMar>
          </w:tcPr>
          <w:p w14:paraId="35FC317D"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270365FF"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C6992</w:t>
            </w:r>
          </w:p>
        </w:tc>
        <w:tc>
          <w:tcPr>
            <w:tcW w:w="265" w:type="pct"/>
            <w:tcMar>
              <w:top w:w="28" w:type="dxa"/>
              <w:left w:w="28" w:type="dxa"/>
            </w:tcMar>
          </w:tcPr>
          <w:p w14:paraId="486CBC75"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P6992</w:t>
            </w:r>
          </w:p>
        </w:tc>
        <w:tc>
          <w:tcPr>
            <w:tcW w:w="2867" w:type="pct"/>
            <w:tcMar>
              <w:top w:w="28" w:type="dxa"/>
              <w:left w:w="28" w:type="dxa"/>
            </w:tcMar>
          </w:tcPr>
          <w:p w14:paraId="0E869FA9" w14:textId="77777777" w:rsidR="008F47B8" w:rsidRPr="006D52A9" w:rsidRDefault="008F47B8" w:rsidP="00FB6D2D">
            <w:pPr>
              <w:pStyle w:val="mps3-data"/>
              <w:spacing w:before="0" w:after="0"/>
              <w:rPr>
                <w:rFonts w:eastAsia="SimSun"/>
                <w:szCs w:val="16"/>
              </w:rPr>
            </w:pPr>
            <w:r w:rsidRPr="006D52A9">
              <w:rPr>
                <w:rFonts w:eastAsia="SimSun"/>
                <w:szCs w:val="16"/>
              </w:rPr>
              <w:t>Chronic hepatitis B infection</w:t>
            </w:r>
          </w:p>
          <w:p w14:paraId="5DA7D0FD" w14:textId="77777777" w:rsidR="008F47B8" w:rsidRPr="006D52A9" w:rsidRDefault="008F47B8" w:rsidP="00FB6D2D">
            <w:pPr>
              <w:pStyle w:val="mps3-data"/>
              <w:spacing w:before="0" w:after="0"/>
              <w:rPr>
                <w:rFonts w:eastAsia="SimSun"/>
                <w:szCs w:val="16"/>
              </w:rPr>
            </w:pPr>
            <w:r w:rsidRPr="006D52A9">
              <w:rPr>
                <w:rFonts w:eastAsia="SimSun"/>
                <w:szCs w:val="16"/>
              </w:rPr>
              <w:t>Patient must not have cirrhosis; AND</w:t>
            </w:r>
          </w:p>
          <w:p w14:paraId="0A095567" w14:textId="77777777" w:rsidR="008F47B8" w:rsidRPr="006D52A9" w:rsidRDefault="008F47B8" w:rsidP="00FB6D2D">
            <w:pPr>
              <w:pStyle w:val="mps3-data"/>
              <w:spacing w:before="0" w:after="0"/>
              <w:rPr>
                <w:rFonts w:eastAsia="SimSun"/>
                <w:szCs w:val="16"/>
              </w:rPr>
            </w:pPr>
            <w:r w:rsidRPr="006D52A9">
              <w:rPr>
                <w:rFonts w:eastAsia="SimSun"/>
                <w:szCs w:val="16"/>
              </w:rPr>
              <w:t>Patient must be nucleoside analogue naive; AND</w:t>
            </w:r>
          </w:p>
          <w:p w14:paraId="231DFB94" w14:textId="77777777" w:rsidR="008F47B8" w:rsidRPr="006D52A9" w:rsidRDefault="008F47B8" w:rsidP="00FB6D2D">
            <w:pPr>
              <w:pStyle w:val="mps3-data"/>
              <w:spacing w:before="0" w:after="0"/>
              <w:rPr>
                <w:rFonts w:eastAsia="SimSun"/>
                <w:szCs w:val="16"/>
              </w:rPr>
            </w:pPr>
            <w:r w:rsidRPr="006D52A9">
              <w:rPr>
                <w:rFonts w:eastAsia="SimSun"/>
                <w:szCs w:val="16"/>
              </w:rPr>
              <w:t>Patient must have elevated HBV DNA levels greater than 20,000 IU/mL (100,000 copies/mL) if HBeAg positive, in conjunction with documented hepatitis B infection; OR</w:t>
            </w:r>
          </w:p>
          <w:p w14:paraId="50492838" w14:textId="77777777" w:rsidR="008F47B8" w:rsidRPr="006D52A9" w:rsidRDefault="008F47B8" w:rsidP="00FB6D2D">
            <w:pPr>
              <w:pStyle w:val="mps3-data"/>
              <w:spacing w:before="0" w:after="0"/>
              <w:rPr>
                <w:rFonts w:eastAsia="SimSun"/>
                <w:szCs w:val="16"/>
              </w:rPr>
            </w:pPr>
            <w:r w:rsidRPr="006D52A9">
              <w:rPr>
                <w:rFonts w:eastAsia="SimSun"/>
                <w:szCs w:val="16"/>
              </w:rPr>
              <w:t>Patient must have elevated HBV DNA levels greater than 2,000 IU/mL (10,000 copies/mL) if HBeAg negative, in conjunction with documented hepatitis B infection; AND</w:t>
            </w:r>
          </w:p>
          <w:p w14:paraId="2198C2D0" w14:textId="77777777" w:rsidR="008F47B8" w:rsidRPr="006D52A9" w:rsidRDefault="008F47B8" w:rsidP="00FB6D2D">
            <w:pPr>
              <w:pStyle w:val="mps3-data"/>
              <w:spacing w:before="0" w:after="0"/>
              <w:rPr>
                <w:rFonts w:eastAsia="SimSun"/>
                <w:szCs w:val="16"/>
              </w:rPr>
            </w:pPr>
            <w:r w:rsidRPr="006D52A9">
              <w:rPr>
                <w:rFonts w:eastAsia="SimSun"/>
                <w:szCs w:val="16"/>
              </w:rPr>
              <w:t xml:space="preserve">Patient must have evidence of chronic liver injury determined by: (i) confirmed elevated serum ALT; or </w:t>
            </w:r>
            <w:r w:rsidRPr="006D52A9">
              <w:rPr>
                <w:rFonts w:eastAsia="SimSun"/>
                <w:szCs w:val="16"/>
              </w:rPr>
              <w:lastRenderedPageBreak/>
              <w:t>(ii) liver biopsy; AND</w:t>
            </w:r>
          </w:p>
          <w:p w14:paraId="7C767090"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this condition.</w:t>
            </w:r>
          </w:p>
        </w:tc>
        <w:tc>
          <w:tcPr>
            <w:tcW w:w="938" w:type="pct"/>
            <w:tcMar>
              <w:top w:w="28" w:type="dxa"/>
              <w:left w:w="28" w:type="dxa"/>
              <w:right w:w="57" w:type="dxa"/>
            </w:tcMar>
          </w:tcPr>
          <w:p w14:paraId="66C93DB2"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6992</w:t>
            </w:r>
          </w:p>
        </w:tc>
      </w:tr>
      <w:tr w:rsidR="008F47B8" w:rsidRPr="006D52A9" w:rsidDel="00AF5846" w14:paraId="2C590D6B" w14:textId="77777777" w:rsidTr="00FB6D2D">
        <w:tc>
          <w:tcPr>
            <w:tcW w:w="647" w:type="pct"/>
            <w:tcMar>
              <w:top w:w="28" w:type="dxa"/>
              <w:left w:w="28" w:type="dxa"/>
            </w:tcMar>
          </w:tcPr>
          <w:p w14:paraId="20E52877"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124E2FBB"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C6998</w:t>
            </w:r>
          </w:p>
        </w:tc>
        <w:tc>
          <w:tcPr>
            <w:tcW w:w="265" w:type="pct"/>
            <w:tcMar>
              <w:top w:w="28" w:type="dxa"/>
              <w:left w:w="28" w:type="dxa"/>
            </w:tcMar>
          </w:tcPr>
          <w:p w14:paraId="5C89CBE2"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P6998</w:t>
            </w:r>
          </w:p>
        </w:tc>
        <w:tc>
          <w:tcPr>
            <w:tcW w:w="2867" w:type="pct"/>
            <w:tcMar>
              <w:top w:w="28" w:type="dxa"/>
              <w:left w:w="28" w:type="dxa"/>
            </w:tcMar>
          </w:tcPr>
          <w:p w14:paraId="2D5F8AB9" w14:textId="77777777" w:rsidR="008F47B8" w:rsidRPr="006D52A9" w:rsidRDefault="008F47B8" w:rsidP="00FB6D2D">
            <w:pPr>
              <w:pStyle w:val="mps3-data"/>
              <w:spacing w:before="0" w:after="0"/>
              <w:rPr>
                <w:rFonts w:eastAsia="SimSun"/>
                <w:szCs w:val="16"/>
              </w:rPr>
            </w:pPr>
            <w:r w:rsidRPr="006D52A9">
              <w:rPr>
                <w:rFonts w:eastAsia="SimSun"/>
                <w:szCs w:val="16"/>
              </w:rPr>
              <w:t>HIV infection</w:t>
            </w:r>
          </w:p>
          <w:p w14:paraId="4559AB15" w14:textId="77777777" w:rsidR="008F47B8" w:rsidRPr="006D52A9" w:rsidRDefault="008F47B8" w:rsidP="00FB6D2D">
            <w:pPr>
              <w:pStyle w:val="mps3-data"/>
              <w:spacing w:before="0" w:after="0"/>
              <w:rPr>
                <w:rFonts w:eastAsia="SimSun"/>
                <w:szCs w:val="16"/>
              </w:rPr>
            </w:pPr>
            <w:r w:rsidRPr="006D52A9">
              <w:rPr>
                <w:rFonts w:eastAsia="SimSun"/>
                <w:szCs w:val="16"/>
              </w:rPr>
              <w:t>Initial</w:t>
            </w:r>
          </w:p>
          <w:p w14:paraId="1C05103C" w14:textId="77777777" w:rsidR="008F47B8" w:rsidRPr="006D52A9" w:rsidRDefault="008F47B8" w:rsidP="00FB6D2D">
            <w:pPr>
              <w:pStyle w:val="mps3-data"/>
              <w:spacing w:before="0" w:after="0"/>
              <w:rPr>
                <w:rFonts w:eastAsia="SimSun"/>
                <w:szCs w:val="16"/>
              </w:rPr>
            </w:pPr>
            <w:r w:rsidRPr="006D52A9">
              <w:rPr>
                <w:rFonts w:eastAsia="SimSun"/>
                <w:szCs w:val="16"/>
              </w:rPr>
              <w:t>Patient must be antiretroviral treatment naive; AND</w:t>
            </w:r>
          </w:p>
          <w:p w14:paraId="094C8BD7"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in combination with other antiretroviral agents.</w:t>
            </w:r>
          </w:p>
        </w:tc>
        <w:tc>
          <w:tcPr>
            <w:tcW w:w="938" w:type="pct"/>
            <w:tcMar>
              <w:top w:w="28" w:type="dxa"/>
              <w:left w:w="28" w:type="dxa"/>
              <w:right w:w="57" w:type="dxa"/>
            </w:tcMar>
          </w:tcPr>
          <w:p w14:paraId="589D79DE" w14:textId="77777777" w:rsidR="008F47B8" w:rsidRPr="006D52A9" w:rsidDel="00AF5846"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6998</w:t>
            </w:r>
          </w:p>
        </w:tc>
      </w:tr>
      <w:tr w:rsidR="008F47B8" w:rsidRPr="006D52A9" w:rsidDel="00AF5846" w14:paraId="3C3D9F53" w14:textId="77777777" w:rsidTr="00FB6D2D">
        <w:tc>
          <w:tcPr>
            <w:tcW w:w="647" w:type="pct"/>
            <w:tcMar>
              <w:top w:w="28" w:type="dxa"/>
              <w:left w:w="28" w:type="dxa"/>
            </w:tcMar>
          </w:tcPr>
          <w:p w14:paraId="6F649E8E" w14:textId="77777777" w:rsidR="008F47B8" w:rsidRPr="006D52A9" w:rsidDel="00AF5846"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0223A1E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hAnsi="Arial" w:cs="Arial"/>
                <w:sz w:val="16"/>
              </w:rPr>
              <w:t>C10362</w:t>
            </w:r>
          </w:p>
        </w:tc>
        <w:tc>
          <w:tcPr>
            <w:tcW w:w="265" w:type="pct"/>
            <w:tcMar>
              <w:top w:w="28" w:type="dxa"/>
              <w:left w:w="28" w:type="dxa"/>
            </w:tcMar>
          </w:tcPr>
          <w:p w14:paraId="2C05E49E"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rPr>
              <w:t>P10362</w:t>
            </w:r>
          </w:p>
        </w:tc>
        <w:tc>
          <w:tcPr>
            <w:tcW w:w="2867" w:type="pct"/>
            <w:tcMar>
              <w:top w:w="28" w:type="dxa"/>
              <w:left w:w="28" w:type="dxa"/>
            </w:tcMar>
          </w:tcPr>
          <w:p w14:paraId="79205DDC" w14:textId="77777777" w:rsidR="008F47B8" w:rsidRPr="006D52A9" w:rsidRDefault="008F47B8" w:rsidP="00FB6D2D">
            <w:pPr>
              <w:pStyle w:val="mps3-data"/>
              <w:spacing w:before="0" w:after="0"/>
              <w:rPr>
                <w:rFonts w:eastAsia="SimSun"/>
                <w:szCs w:val="16"/>
              </w:rPr>
            </w:pPr>
            <w:r w:rsidRPr="006D52A9">
              <w:rPr>
                <w:szCs w:val="16"/>
              </w:rPr>
              <w:t>Chronic hepatitis B infection</w:t>
            </w:r>
            <w:r w:rsidRPr="006D52A9">
              <w:rPr>
                <w:szCs w:val="16"/>
              </w:rPr>
              <w:br/>
              <w:t>Patient must be in the third trimester of pregnancy; AND</w:t>
            </w:r>
            <w:r w:rsidRPr="006D52A9">
              <w:rPr>
                <w:szCs w:val="16"/>
              </w:rPr>
              <w:br/>
              <w:t>Patient must have elevated HBV DNA levels greater than 200,000 IU/mL (1,000,000 copies/mL), in conjunction with documented hepatitis B infection.</w:t>
            </w:r>
          </w:p>
        </w:tc>
        <w:tc>
          <w:tcPr>
            <w:tcW w:w="938" w:type="pct"/>
            <w:tcMar>
              <w:top w:w="28" w:type="dxa"/>
              <w:left w:w="28" w:type="dxa"/>
              <w:right w:w="57" w:type="dxa"/>
            </w:tcMar>
          </w:tcPr>
          <w:p w14:paraId="69BDB74E" w14:textId="77777777" w:rsidR="008F47B8" w:rsidRPr="006D52A9" w:rsidRDefault="008F47B8" w:rsidP="00FB6D2D">
            <w:pPr>
              <w:spacing w:line="240" w:lineRule="auto"/>
              <w:rPr>
                <w:rFonts w:ascii="Arial" w:eastAsia="Arial" w:hAnsi="Arial" w:cs="Arial"/>
                <w:sz w:val="16"/>
                <w:szCs w:val="16"/>
                <w:lang w:eastAsia="zh-CN"/>
              </w:rPr>
            </w:pPr>
            <w:r w:rsidRPr="006D52A9">
              <w:rPr>
                <w:rFonts w:ascii="Arial" w:eastAsia="Arial" w:hAnsi="Arial" w:cs="Arial"/>
                <w:sz w:val="16"/>
                <w:szCs w:val="16"/>
                <w:lang w:eastAsia="zh-CN"/>
              </w:rPr>
              <w:t xml:space="preserve">Compliance with Authority Required </w:t>
            </w:r>
          </w:p>
          <w:p w14:paraId="2E2E2B3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Arial" w:hAnsi="Arial" w:cs="Arial"/>
                <w:sz w:val="16"/>
                <w:szCs w:val="16"/>
                <w:lang w:eastAsia="zh-CN"/>
              </w:rPr>
              <w:t xml:space="preserve">procedures </w:t>
            </w:r>
            <w:r w:rsidR="0026100E">
              <w:rPr>
                <w:rFonts w:ascii="Arial" w:eastAsia="SimSun" w:hAnsi="Arial" w:cs="Arial"/>
                <w:sz w:val="16"/>
                <w:szCs w:val="16"/>
                <w:lang w:eastAsia="zh-CN"/>
              </w:rPr>
              <w:noBreakHyphen/>
            </w:r>
            <w:r w:rsidRPr="006D52A9">
              <w:rPr>
                <w:rFonts w:ascii="Arial" w:eastAsia="Arial" w:hAnsi="Arial" w:cs="Arial"/>
                <w:sz w:val="16"/>
                <w:szCs w:val="16"/>
                <w:lang w:eastAsia="zh-CN"/>
              </w:rPr>
              <w:t xml:space="preserve"> Streamlined Authority Code 10362</w:t>
            </w:r>
          </w:p>
        </w:tc>
      </w:tr>
      <w:tr w:rsidR="008F47B8" w:rsidRPr="006D52A9" w:rsidDel="00EF799C" w14:paraId="15F061C7" w14:textId="77777777" w:rsidTr="00FB6D2D">
        <w:tc>
          <w:tcPr>
            <w:tcW w:w="647" w:type="pct"/>
            <w:tcMar>
              <w:top w:w="28" w:type="dxa"/>
              <w:left w:w="28" w:type="dxa"/>
            </w:tcMar>
          </w:tcPr>
          <w:p w14:paraId="2315F6AA"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Tenofovir alafenamide with emtricitabine, elvitegravir and cobicistat</w:t>
            </w:r>
          </w:p>
        </w:tc>
        <w:tc>
          <w:tcPr>
            <w:tcW w:w="283" w:type="pct"/>
            <w:tcMar>
              <w:top w:w="28" w:type="dxa"/>
              <w:left w:w="28" w:type="dxa"/>
            </w:tcMar>
          </w:tcPr>
          <w:p w14:paraId="1CA4A47D"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C4470</w:t>
            </w:r>
          </w:p>
        </w:tc>
        <w:tc>
          <w:tcPr>
            <w:tcW w:w="265" w:type="pct"/>
            <w:tcMar>
              <w:top w:w="28" w:type="dxa"/>
              <w:left w:w="28" w:type="dxa"/>
            </w:tcMar>
          </w:tcPr>
          <w:p w14:paraId="734702E2"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06469024"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w:t>
            </w:r>
          </w:p>
        </w:tc>
        <w:tc>
          <w:tcPr>
            <w:tcW w:w="938" w:type="pct"/>
            <w:tcMar>
              <w:top w:w="28" w:type="dxa"/>
              <w:left w:w="28" w:type="dxa"/>
              <w:right w:w="57" w:type="dxa"/>
            </w:tcMar>
          </w:tcPr>
          <w:p w14:paraId="5C146841"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4470</w:t>
            </w:r>
          </w:p>
        </w:tc>
      </w:tr>
      <w:tr w:rsidR="008F47B8" w:rsidRPr="006D52A9" w:rsidDel="00EF799C" w14:paraId="0CA1DF5E" w14:textId="77777777" w:rsidTr="00FB6D2D">
        <w:tc>
          <w:tcPr>
            <w:tcW w:w="647" w:type="pct"/>
            <w:tcMar>
              <w:top w:w="28" w:type="dxa"/>
              <w:left w:w="28" w:type="dxa"/>
            </w:tcMar>
          </w:tcPr>
          <w:p w14:paraId="41E3D2CE"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5C1AF59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C4522</w:t>
            </w:r>
          </w:p>
        </w:tc>
        <w:tc>
          <w:tcPr>
            <w:tcW w:w="265" w:type="pct"/>
            <w:tcMar>
              <w:top w:w="28" w:type="dxa"/>
              <w:left w:w="28" w:type="dxa"/>
            </w:tcMar>
          </w:tcPr>
          <w:p w14:paraId="114B6F28"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15F3FCD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r w:rsidRPr="006D52A9">
              <w:rPr>
                <w:rFonts w:ascii="Arial" w:eastAsia="SimSun" w:hAnsi="Arial" w:cs="Arial"/>
                <w:sz w:val="16"/>
                <w:szCs w:val="16"/>
                <w:lang w:eastAsia="zh-CN"/>
              </w:rPr>
              <w:br/>
              <w:t>Patient must be antiretroviral treatment naive.</w:t>
            </w:r>
          </w:p>
        </w:tc>
        <w:tc>
          <w:tcPr>
            <w:tcW w:w="938" w:type="pct"/>
            <w:tcMar>
              <w:top w:w="28" w:type="dxa"/>
              <w:left w:w="28" w:type="dxa"/>
              <w:right w:w="57" w:type="dxa"/>
            </w:tcMar>
          </w:tcPr>
          <w:p w14:paraId="4C379D7F"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4522</w:t>
            </w:r>
          </w:p>
        </w:tc>
      </w:tr>
      <w:tr w:rsidR="008F47B8" w:rsidRPr="006D52A9" w:rsidDel="00E80C54" w14:paraId="44DBB30F" w14:textId="77777777" w:rsidTr="00FB6D2D">
        <w:trPr>
          <w:cantSplit/>
        </w:trPr>
        <w:tc>
          <w:tcPr>
            <w:tcW w:w="647" w:type="pct"/>
            <w:shd w:val="clear" w:color="auto" w:fill="auto"/>
            <w:tcMar>
              <w:top w:w="28" w:type="dxa"/>
              <w:left w:w="28" w:type="dxa"/>
            </w:tcMar>
          </w:tcPr>
          <w:p w14:paraId="3902BE8A" w14:textId="77777777" w:rsidR="008F47B8" w:rsidRPr="006D52A9" w:rsidDel="00E80C54" w:rsidRDefault="008F47B8" w:rsidP="00FB6D2D">
            <w:pPr>
              <w:spacing w:line="240" w:lineRule="auto"/>
              <w:rPr>
                <w:rFonts w:ascii="Arial" w:eastAsia="SimSun" w:hAnsi="Arial" w:cs="Arial"/>
                <w:sz w:val="16"/>
                <w:szCs w:val="16"/>
                <w:lang w:eastAsia="zh-CN"/>
              </w:rPr>
            </w:pPr>
            <w:bookmarkStart w:id="245" w:name="CU_563876344"/>
            <w:bookmarkEnd w:id="245"/>
            <w:r w:rsidRPr="006D52A9">
              <w:rPr>
                <w:rFonts w:ascii="Arial" w:eastAsia="SimSun" w:hAnsi="Arial" w:cs="Arial"/>
                <w:sz w:val="16"/>
                <w:szCs w:val="16"/>
                <w:lang w:eastAsia="zh-CN"/>
              </w:rPr>
              <w:t>Tenofovir with emtricitabine</w:t>
            </w:r>
          </w:p>
        </w:tc>
        <w:tc>
          <w:tcPr>
            <w:tcW w:w="283" w:type="pct"/>
            <w:shd w:val="clear" w:color="auto" w:fill="auto"/>
            <w:tcMar>
              <w:top w:w="28" w:type="dxa"/>
              <w:left w:w="28" w:type="dxa"/>
            </w:tcMar>
          </w:tcPr>
          <w:p w14:paraId="3954801C"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C6985</w:t>
            </w:r>
          </w:p>
        </w:tc>
        <w:tc>
          <w:tcPr>
            <w:tcW w:w="265" w:type="pct"/>
            <w:shd w:val="clear" w:color="auto" w:fill="auto"/>
            <w:tcMar>
              <w:top w:w="28" w:type="dxa"/>
              <w:left w:w="28" w:type="dxa"/>
            </w:tcMar>
          </w:tcPr>
          <w:p w14:paraId="79C3930D" w14:textId="77777777" w:rsidR="008F47B8" w:rsidRPr="006D52A9" w:rsidDel="00E80C5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5EED549A" w14:textId="77777777" w:rsidR="008F47B8" w:rsidRPr="006D52A9" w:rsidRDefault="008F47B8" w:rsidP="00FB6D2D">
            <w:pPr>
              <w:pStyle w:val="mps3-data"/>
              <w:spacing w:before="0" w:after="0"/>
              <w:rPr>
                <w:rFonts w:eastAsia="SimSun"/>
                <w:szCs w:val="16"/>
              </w:rPr>
            </w:pPr>
            <w:r w:rsidRPr="006D52A9">
              <w:rPr>
                <w:rFonts w:eastAsia="SimSun"/>
                <w:szCs w:val="16"/>
              </w:rPr>
              <w:t>HIV infection</w:t>
            </w:r>
          </w:p>
          <w:p w14:paraId="51D393F3" w14:textId="77777777" w:rsidR="008F47B8" w:rsidRPr="006D52A9" w:rsidRDefault="008F47B8" w:rsidP="00FB6D2D">
            <w:pPr>
              <w:pStyle w:val="mps3-data"/>
              <w:spacing w:before="0" w:after="0"/>
              <w:rPr>
                <w:rFonts w:eastAsia="SimSun"/>
                <w:szCs w:val="16"/>
              </w:rPr>
            </w:pPr>
            <w:r w:rsidRPr="006D52A9">
              <w:rPr>
                <w:rFonts w:eastAsia="SimSun"/>
                <w:szCs w:val="16"/>
              </w:rPr>
              <w:t>Initial</w:t>
            </w:r>
          </w:p>
          <w:p w14:paraId="3CDFC2B8" w14:textId="77777777" w:rsidR="008F47B8" w:rsidRPr="006D52A9" w:rsidRDefault="008F47B8" w:rsidP="00FB6D2D">
            <w:pPr>
              <w:pStyle w:val="mps3-data"/>
              <w:spacing w:before="0" w:after="0"/>
              <w:rPr>
                <w:rFonts w:eastAsia="SimSun"/>
                <w:szCs w:val="16"/>
              </w:rPr>
            </w:pPr>
            <w:r w:rsidRPr="006D52A9">
              <w:rPr>
                <w:rFonts w:eastAsia="SimSun"/>
                <w:szCs w:val="16"/>
              </w:rPr>
              <w:t>Patient must be antiretroviral treatment naive; AND</w:t>
            </w:r>
          </w:p>
          <w:p w14:paraId="6F3DE6D4"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in combination with other antiretroviral agents.</w:t>
            </w:r>
          </w:p>
        </w:tc>
        <w:tc>
          <w:tcPr>
            <w:tcW w:w="938" w:type="pct"/>
            <w:shd w:val="clear" w:color="auto" w:fill="auto"/>
            <w:tcMar>
              <w:top w:w="28" w:type="dxa"/>
              <w:left w:w="28" w:type="dxa"/>
              <w:right w:w="57" w:type="dxa"/>
            </w:tcMar>
          </w:tcPr>
          <w:p w14:paraId="34CD58FD"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6985</w:t>
            </w:r>
          </w:p>
        </w:tc>
      </w:tr>
      <w:tr w:rsidR="008F47B8" w:rsidRPr="006D52A9" w:rsidDel="00E80C54" w14:paraId="268A5A5B" w14:textId="77777777" w:rsidTr="00FB6D2D">
        <w:trPr>
          <w:cantSplit/>
        </w:trPr>
        <w:tc>
          <w:tcPr>
            <w:tcW w:w="647" w:type="pct"/>
            <w:shd w:val="clear" w:color="auto" w:fill="auto"/>
            <w:tcMar>
              <w:top w:w="28" w:type="dxa"/>
              <w:left w:w="28" w:type="dxa"/>
            </w:tcMar>
          </w:tcPr>
          <w:p w14:paraId="3B71156D" w14:textId="77777777" w:rsidR="008F47B8" w:rsidRPr="006D52A9" w:rsidDel="00E80C54" w:rsidRDefault="008F47B8" w:rsidP="00FB6D2D">
            <w:pPr>
              <w:spacing w:line="240" w:lineRule="auto"/>
              <w:rPr>
                <w:rFonts w:ascii="Arial" w:eastAsia="SimSun" w:hAnsi="Arial" w:cs="Arial"/>
                <w:sz w:val="16"/>
                <w:szCs w:val="16"/>
                <w:lang w:eastAsia="zh-CN"/>
              </w:rPr>
            </w:pPr>
          </w:p>
        </w:tc>
        <w:tc>
          <w:tcPr>
            <w:tcW w:w="283" w:type="pct"/>
            <w:shd w:val="clear" w:color="auto" w:fill="auto"/>
            <w:tcMar>
              <w:top w:w="28" w:type="dxa"/>
              <w:left w:w="28" w:type="dxa"/>
            </w:tcMar>
          </w:tcPr>
          <w:p w14:paraId="7C4FBB4E"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C6986</w:t>
            </w:r>
          </w:p>
        </w:tc>
        <w:tc>
          <w:tcPr>
            <w:tcW w:w="265" w:type="pct"/>
            <w:shd w:val="clear" w:color="auto" w:fill="auto"/>
            <w:tcMar>
              <w:top w:w="28" w:type="dxa"/>
              <w:left w:w="28" w:type="dxa"/>
            </w:tcMar>
          </w:tcPr>
          <w:p w14:paraId="19D18ED5" w14:textId="77777777" w:rsidR="008F47B8" w:rsidRPr="006D52A9" w:rsidDel="00E80C54"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17613FA6" w14:textId="77777777" w:rsidR="008F47B8" w:rsidRPr="006D52A9" w:rsidRDefault="008F47B8" w:rsidP="00FB6D2D">
            <w:pPr>
              <w:pStyle w:val="mps3-data"/>
              <w:spacing w:before="0" w:after="0"/>
              <w:rPr>
                <w:rFonts w:eastAsia="SimSun"/>
                <w:szCs w:val="16"/>
              </w:rPr>
            </w:pPr>
            <w:r w:rsidRPr="006D52A9">
              <w:rPr>
                <w:rFonts w:eastAsia="SimSun"/>
                <w:szCs w:val="16"/>
              </w:rPr>
              <w:t>HIV infection</w:t>
            </w:r>
          </w:p>
          <w:p w14:paraId="08D3749C" w14:textId="77777777" w:rsidR="008F47B8" w:rsidRPr="006D52A9" w:rsidRDefault="008F47B8" w:rsidP="00FB6D2D">
            <w:pPr>
              <w:pStyle w:val="mps3-data"/>
              <w:spacing w:before="0" w:after="0"/>
              <w:rPr>
                <w:rFonts w:eastAsia="SimSun"/>
                <w:szCs w:val="16"/>
              </w:rPr>
            </w:pPr>
            <w:r w:rsidRPr="006D52A9">
              <w:rPr>
                <w:rFonts w:eastAsia="SimSun"/>
                <w:szCs w:val="16"/>
              </w:rPr>
              <w:t>Continuing</w:t>
            </w:r>
          </w:p>
          <w:p w14:paraId="332D4C14" w14:textId="77777777" w:rsidR="008F47B8" w:rsidRPr="006D52A9" w:rsidRDefault="008F47B8" w:rsidP="00FB6D2D">
            <w:pPr>
              <w:pStyle w:val="mps3-data"/>
              <w:spacing w:before="0" w:after="0"/>
              <w:rPr>
                <w:rFonts w:eastAsia="SimSun"/>
                <w:szCs w:val="16"/>
              </w:rPr>
            </w:pPr>
            <w:r w:rsidRPr="006D52A9">
              <w:rPr>
                <w:rFonts w:eastAsia="SimSun"/>
                <w:szCs w:val="16"/>
              </w:rPr>
              <w:t>Patient must have previously received PBS</w:t>
            </w:r>
            <w:r w:rsidR="0026100E">
              <w:rPr>
                <w:rFonts w:eastAsia="SimSun"/>
                <w:szCs w:val="16"/>
              </w:rPr>
              <w:noBreakHyphen/>
            </w:r>
            <w:r w:rsidRPr="006D52A9">
              <w:rPr>
                <w:rFonts w:eastAsia="SimSun"/>
                <w:szCs w:val="16"/>
              </w:rPr>
              <w:t>subsidised therapy for HIV infection; AND</w:t>
            </w:r>
          </w:p>
          <w:p w14:paraId="6BCC7913"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in combination with other antiretroviral agents.</w:t>
            </w:r>
          </w:p>
        </w:tc>
        <w:tc>
          <w:tcPr>
            <w:tcW w:w="938" w:type="pct"/>
            <w:shd w:val="clear" w:color="auto" w:fill="auto"/>
            <w:tcMar>
              <w:top w:w="28" w:type="dxa"/>
              <w:left w:w="28" w:type="dxa"/>
              <w:right w:w="57" w:type="dxa"/>
            </w:tcMar>
          </w:tcPr>
          <w:p w14:paraId="1E4DB7A1" w14:textId="77777777" w:rsidR="008F47B8" w:rsidRPr="006D52A9" w:rsidDel="00E80C54"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6986</w:t>
            </w:r>
          </w:p>
        </w:tc>
      </w:tr>
      <w:tr w:rsidR="008F47B8" w:rsidRPr="006D52A9" w:rsidDel="00EF799C" w14:paraId="4D758D0E" w14:textId="77777777" w:rsidTr="00FB6D2D">
        <w:tc>
          <w:tcPr>
            <w:tcW w:w="647" w:type="pct"/>
            <w:tcMar>
              <w:top w:w="28" w:type="dxa"/>
              <w:left w:w="28" w:type="dxa"/>
            </w:tcMar>
          </w:tcPr>
          <w:p w14:paraId="24B917BF"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Tenofovir with emtricitabine and efavirenz </w:t>
            </w:r>
          </w:p>
        </w:tc>
        <w:tc>
          <w:tcPr>
            <w:tcW w:w="283" w:type="pct"/>
            <w:tcMar>
              <w:top w:w="28" w:type="dxa"/>
              <w:left w:w="28" w:type="dxa"/>
            </w:tcMar>
          </w:tcPr>
          <w:p w14:paraId="6BD0C730"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C4470</w:t>
            </w:r>
          </w:p>
        </w:tc>
        <w:tc>
          <w:tcPr>
            <w:tcW w:w="265" w:type="pct"/>
            <w:tcMar>
              <w:top w:w="28" w:type="dxa"/>
              <w:left w:w="28" w:type="dxa"/>
            </w:tcMar>
          </w:tcPr>
          <w:p w14:paraId="43765D3F"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EE40770"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Continuing</w:t>
            </w:r>
          </w:p>
          <w:p w14:paraId="7CFE2D73"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therapy for HIV infection</w:t>
            </w:r>
          </w:p>
        </w:tc>
        <w:tc>
          <w:tcPr>
            <w:tcW w:w="938" w:type="pct"/>
            <w:tcMar>
              <w:top w:w="28" w:type="dxa"/>
              <w:left w:w="28" w:type="dxa"/>
              <w:right w:w="57" w:type="dxa"/>
            </w:tcMar>
          </w:tcPr>
          <w:p w14:paraId="3E2285D8"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4470</w:t>
            </w:r>
          </w:p>
        </w:tc>
      </w:tr>
      <w:tr w:rsidR="008F47B8" w:rsidRPr="006D52A9" w:rsidDel="00EF799C" w14:paraId="781C3872" w14:textId="77777777" w:rsidTr="00FB6D2D">
        <w:tc>
          <w:tcPr>
            <w:tcW w:w="647" w:type="pct"/>
            <w:tcMar>
              <w:top w:w="28" w:type="dxa"/>
              <w:left w:w="28" w:type="dxa"/>
            </w:tcMar>
          </w:tcPr>
          <w:p w14:paraId="31B126E8"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3" w:type="pct"/>
            <w:tcMar>
              <w:top w:w="28" w:type="dxa"/>
              <w:left w:w="28" w:type="dxa"/>
            </w:tcMar>
          </w:tcPr>
          <w:p w14:paraId="742E5D6E"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C4522</w:t>
            </w:r>
          </w:p>
        </w:tc>
        <w:tc>
          <w:tcPr>
            <w:tcW w:w="265" w:type="pct"/>
            <w:tcMar>
              <w:top w:w="28" w:type="dxa"/>
              <w:left w:w="28" w:type="dxa"/>
            </w:tcMar>
          </w:tcPr>
          <w:p w14:paraId="31C34C48"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C5241CC"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r w:rsidRPr="006D52A9">
              <w:rPr>
                <w:rFonts w:ascii="Arial" w:eastAsia="SimSun" w:hAnsi="Arial" w:cs="Arial"/>
                <w:sz w:val="16"/>
                <w:szCs w:val="16"/>
                <w:lang w:eastAsia="zh-CN"/>
              </w:rPr>
              <w:br/>
              <w:t>Initial</w:t>
            </w:r>
          </w:p>
          <w:p w14:paraId="6AB2E834"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Patient must be antiretroviral treatment naïve</w:t>
            </w:r>
          </w:p>
        </w:tc>
        <w:tc>
          <w:tcPr>
            <w:tcW w:w="938" w:type="pct"/>
            <w:tcMar>
              <w:top w:w="28" w:type="dxa"/>
              <w:left w:w="28" w:type="dxa"/>
              <w:right w:w="57" w:type="dxa"/>
            </w:tcMar>
          </w:tcPr>
          <w:p w14:paraId="6C82FC76" w14:textId="77777777" w:rsidR="008F47B8" w:rsidRPr="006D52A9" w:rsidDel="00EF799C"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4522</w:t>
            </w:r>
          </w:p>
        </w:tc>
      </w:tr>
      <w:tr w:rsidR="008F47B8" w:rsidRPr="006D52A9" w:rsidDel="00EF799C" w14:paraId="15044F2C" w14:textId="77777777" w:rsidTr="00FB6D2D">
        <w:tc>
          <w:tcPr>
            <w:tcW w:w="647" w:type="pct"/>
            <w:tcMar>
              <w:top w:w="28" w:type="dxa"/>
              <w:left w:w="28" w:type="dxa"/>
            </w:tcMar>
          </w:tcPr>
          <w:p w14:paraId="6DAE57BC" w14:textId="77777777" w:rsidR="008F47B8" w:rsidRPr="006D52A9" w:rsidRDefault="008F47B8" w:rsidP="00FB6D2D">
            <w:pPr>
              <w:spacing w:line="240" w:lineRule="auto"/>
              <w:rPr>
                <w:rFonts w:ascii="Arial" w:eastAsia="SimSun" w:hAnsi="Arial" w:cs="Arial"/>
                <w:sz w:val="16"/>
                <w:szCs w:val="16"/>
                <w:lang w:eastAsia="zh-CN"/>
              </w:rPr>
            </w:pPr>
            <w:bookmarkStart w:id="246" w:name="CU_570878365"/>
            <w:bookmarkEnd w:id="246"/>
            <w:r w:rsidRPr="006D52A9">
              <w:rPr>
                <w:rFonts w:ascii="Arial" w:eastAsia="SimSun" w:hAnsi="Arial" w:cs="Arial"/>
                <w:sz w:val="16"/>
                <w:szCs w:val="16"/>
                <w:lang w:eastAsia="zh-CN"/>
              </w:rPr>
              <w:t>Tezacaftor with ivacaftor and ivacaftor</w:t>
            </w:r>
          </w:p>
        </w:tc>
        <w:tc>
          <w:tcPr>
            <w:tcW w:w="283" w:type="pct"/>
            <w:tcMar>
              <w:top w:w="28" w:type="dxa"/>
              <w:left w:w="28" w:type="dxa"/>
            </w:tcMar>
          </w:tcPr>
          <w:p w14:paraId="5468BDE8"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C9880</w:t>
            </w:r>
          </w:p>
        </w:tc>
        <w:tc>
          <w:tcPr>
            <w:tcW w:w="265" w:type="pct"/>
            <w:tcMar>
              <w:top w:w="28" w:type="dxa"/>
              <w:left w:w="28" w:type="dxa"/>
            </w:tcMar>
          </w:tcPr>
          <w:p w14:paraId="514A5BCD" w14:textId="77777777" w:rsidR="008F47B8" w:rsidRPr="006D52A9" w:rsidDel="00EF799C" w:rsidRDefault="008F47B8" w:rsidP="00FB6D2D">
            <w:pPr>
              <w:spacing w:line="240" w:lineRule="auto"/>
              <w:rPr>
                <w:rFonts w:ascii="Arial" w:eastAsia="SimSun" w:hAnsi="Arial" w:cs="Arial"/>
                <w:sz w:val="16"/>
                <w:szCs w:val="16"/>
                <w:lang w:eastAsia="zh-CN"/>
              </w:rPr>
            </w:pPr>
          </w:p>
        </w:tc>
        <w:tc>
          <w:tcPr>
            <w:tcW w:w="2867" w:type="pct"/>
            <w:tcMar>
              <w:top w:w="28" w:type="dxa"/>
              <w:left w:w="28" w:type="dxa"/>
            </w:tcMar>
          </w:tcPr>
          <w:p w14:paraId="2CB09E3E"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 xml:space="preserve">Cystic fibrosis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homozygous for the F508del mutation</w:t>
            </w:r>
            <w:r w:rsidRPr="006D52A9">
              <w:rPr>
                <w:rFonts w:ascii="Arial" w:eastAsia="SimSun" w:hAnsi="Arial" w:cs="Arial"/>
                <w:sz w:val="16"/>
                <w:szCs w:val="16"/>
                <w:lang w:eastAsia="zh-CN"/>
              </w:rPr>
              <w:br/>
              <w:t>Continuing treatment</w:t>
            </w:r>
            <w:r w:rsidRPr="006D52A9">
              <w:rPr>
                <w:rFonts w:ascii="Arial" w:eastAsia="SimSun" w:hAnsi="Arial" w:cs="Arial"/>
                <w:sz w:val="16"/>
                <w:szCs w:val="16"/>
                <w:lang w:eastAsia="zh-CN"/>
              </w:rPr>
              <w:br/>
              <w:t xml:space="preserve">Must be treated by a specialist respiratory physician with expertise in cystic fibrosis or in consultation </w:t>
            </w:r>
            <w:r w:rsidRPr="006D52A9">
              <w:rPr>
                <w:rFonts w:ascii="Arial" w:eastAsia="SimSun" w:hAnsi="Arial" w:cs="Arial"/>
                <w:sz w:val="16"/>
                <w:szCs w:val="16"/>
                <w:lang w:eastAsia="zh-CN"/>
              </w:rPr>
              <w:lastRenderedPageBreak/>
              <w:t>with a specialist respiratory physician with expertise in cystic fibrosis if attendance is not possible due to geographic isolation; AND</w:t>
            </w:r>
            <w:r w:rsidRPr="006D52A9">
              <w:rPr>
                <w:rFonts w:ascii="Arial" w:eastAsia="SimSun" w:hAnsi="Arial" w:cs="Arial"/>
                <w:sz w:val="16"/>
                <w:szCs w:val="16"/>
                <w:lang w:eastAsia="zh-CN"/>
              </w:rPr>
              <w:br/>
              <w:t>Must be treated in a centre with expertise in cystic fibrosis or in consultation with a centre with expertise in cystic fibrosis if attendance is not possible due to geographic isolation.</w:t>
            </w:r>
            <w:r w:rsidRPr="006D52A9">
              <w:rPr>
                <w:rFonts w:ascii="Arial" w:eastAsia="SimSun" w:hAnsi="Arial" w:cs="Arial"/>
                <w:sz w:val="16"/>
                <w:szCs w:val="16"/>
                <w:lang w:eastAsia="zh-CN"/>
              </w:rPr>
              <w:br/>
              <w:t>Patient must have previously received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treatment with this drug for this condition; AND</w:t>
            </w:r>
            <w:r w:rsidRPr="006D52A9">
              <w:rPr>
                <w:rFonts w:ascii="Arial" w:eastAsia="SimSun" w:hAnsi="Arial" w:cs="Arial"/>
                <w:sz w:val="16"/>
                <w:szCs w:val="16"/>
                <w:lang w:eastAsia="zh-CN"/>
              </w:rPr>
              <w:br/>
              <w:t>The treatment must be the sole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cystic fibrosis transmembrane conductance regulator (CFTR) modulator therapy for this condition; AND</w:t>
            </w:r>
            <w:r w:rsidRPr="006D52A9">
              <w:rPr>
                <w:rFonts w:ascii="Arial" w:eastAsia="SimSun" w:hAnsi="Arial" w:cs="Arial"/>
                <w:sz w:val="16"/>
                <w:szCs w:val="16"/>
                <w:lang w:eastAsia="zh-CN"/>
              </w:rPr>
              <w:br/>
              <w:t>The treatment must be given concomitantly with standard therapy for this condition.</w:t>
            </w:r>
            <w:r w:rsidRPr="006D52A9">
              <w:rPr>
                <w:rFonts w:ascii="Arial" w:eastAsia="SimSun" w:hAnsi="Arial" w:cs="Arial"/>
                <w:sz w:val="16"/>
                <w:szCs w:val="16"/>
                <w:lang w:eastAsia="zh-CN"/>
              </w:rPr>
              <w:br/>
              <w:t>Patient must be 12 years of age or older.</w:t>
            </w:r>
            <w:r w:rsidRPr="006D52A9">
              <w:rPr>
                <w:rFonts w:ascii="Arial" w:eastAsia="SimSun" w:hAnsi="Arial" w:cs="Arial"/>
                <w:sz w:val="16"/>
                <w:szCs w:val="16"/>
                <w:lang w:eastAsia="zh-CN"/>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eastAsia="SimSun" w:hAnsi="Arial" w:cs="Arial"/>
                <w:sz w:val="16"/>
                <w:szCs w:val="16"/>
                <w:lang w:eastAsia="zh-CN"/>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eastAsia="SimSun" w:hAnsi="Arial" w:cs="Arial"/>
                <w:sz w:val="16"/>
                <w:szCs w:val="16"/>
                <w:lang w:eastAsia="zh-CN"/>
              </w:rPr>
              <w:br/>
              <w:t>For the purposes of this restriction, PBS subsidised ‘CFTR modulator’ means ivacaftor, lumacaftor/ivacaftor and tezacaftor/ivacaftor.</w:t>
            </w:r>
            <w:r w:rsidRPr="006D52A9">
              <w:rPr>
                <w:rFonts w:ascii="Arial" w:eastAsia="SimSun" w:hAnsi="Arial" w:cs="Arial"/>
                <w:sz w:val="16"/>
                <w:szCs w:val="16"/>
                <w:lang w:eastAsia="zh-CN"/>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D52A9">
              <w:rPr>
                <w:rFonts w:ascii="Arial" w:eastAsia="SimSun" w:hAnsi="Arial" w:cs="Arial"/>
                <w:sz w:val="16"/>
                <w:szCs w:val="16"/>
                <w:lang w:eastAsia="zh-CN"/>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D52A9">
              <w:rPr>
                <w:rFonts w:ascii="Arial" w:eastAsia="SimSun" w:hAnsi="Arial" w:cs="Arial"/>
                <w:sz w:val="16"/>
                <w:szCs w:val="16"/>
                <w:lang w:eastAsia="zh-CN"/>
              </w:rPr>
              <w:br/>
              <w:t>Tezacaftor with ivacaftor is not PBS</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subsidised for this condition in a patient who is currently receiving one of the following CYP3A4 inducers:</w:t>
            </w:r>
            <w:r w:rsidRPr="006D52A9">
              <w:rPr>
                <w:rFonts w:ascii="Arial" w:eastAsia="SimSun" w:hAnsi="Arial" w:cs="Arial"/>
                <w:sz w:val="16"/>
                <w:szCs w:val="16"/>
                <w:lang w:eastAsia="zh-CN"/>
              </w:rPr>
              <w:br/>
              <w:t>Strong CYP3A4 inducers: avasimibe, carbamazepine, phenobarbital, phenytoin, rifabutin, rifampicin, St. John’s wort;</w:t>
            </w:r>
            <w:r w:rsidRPr="006D52A9">
              <w:rPr>
                <w:rFonts w:ascii="Arial" w:eastAsia="SimSun" w:hAnsi="Arial" w:cs="Arial"/>
                <w:sz w:val="16"/>
                <w:szCs w:val="16"/>
                <w:lang w:eastAsia="zh-CN"/>
              </w:rPr>
              <w:br/>
              <w:t>Moderate CYP3A4 inducers: bosentan, efavirenz, etravirine, modafinil, nafcillin;</w:t>
            </w:r>
            <w:r w:rsidRPr="006D52A9">
              <w:rPr>
                <w:rFonts w:ascii="Arial" w:eastAsia="SimSun" w:hAnsi="Arial" w:cs="Arial"/>
                <w:sz w:val="16"/>
                <w:szCs w:val="16"/>
                <w:lang w:eastAsia="zh-CN"/>
              </w:rPr>
              <w:br/>
              <w:t>Weak CYP3A4 inducers: armodafinil, echinacea, pioglitazone, rufinamide.</w:t>
            </w:r>
            <w:r w:rsidRPr="006D52A9">
              <w:rPr>
                <w:rFonts w:ascii="Arial" w:eastAsia="SimSun" w:hAnsi="Arial" w:cs="Arial"/>
                <w:sz w:val="16"/>
                <w:szCs w:val="16"/>
                <w:lang w:eastAsia="zh-CN"/>
              </w:rPr>
              <w:br/>
              <w:t>The authority application must be in writing and must include:</w:t>
            </w:r>
            <w:r w:rsidRPr="006D52A9">
              <w:rPr>
                <w:rFonts w:ascii="Arial" w:eastAsia="SimSun" w:hAnsi="Arial" w:cs="Arial"/>
                <w:sz w:val="16"/>
                <w:szCs w:val="16"/>
                <w:lang w:eastAsia="zh-CN"/>
              </w:rPr>
              <w:br/>
              <w:t>(1) a completed authority prescription form; and</w:t>
            </w:r>
            <w:r w:rsidRPr="006D52A9">
              <w:rPr>
                <w:rFonts w:ascii="Arial" w:eastAsia="SimSun" w:hAnsi="Arial" w:cs="Arial"/>
                <w:sz w:val="16"/>
                <w:szCs w:val="16"/>
                <w:lang w:eastAsia="zh-CN"/>
              </w:rPr>
              <w:br/>
              <w:t>(2) a completed Cystic Fibrosis tezacaftor with ivacaftor Continuing Authority Application Supporting Information Form; and</w:t>
            </w:r>
            <w:r w:rsidRPr="006D52A9">
              <w:rPr>
                <w:rFonts w:ascii="Arial" w:eastAsia="SimSun" w:hAnsi="Arial" w:cs="Arial"/>
                <w:sz w:val="16"/>
                <w:szCs w:val="16"/>
                <w:lang w:eastAsia="zh-CN"/>
              </w:rPr>
              <w:br/>
              <w:t>(3) the result of a FEV1measurement performed within a month prior to the date of application. Note: FEV1, must be measured in an accredited pulmonary function laboratory, with documented no acute infective exacerbation at the time FEV1is measured; and</w:t>
            </w:r>
            <w:r w:rsidRPr="006D52A9">
              <w:rPr>
                <w:rFonts w:ascii="Arial" w:eastAsia="SimSun" w:hAnsi="Arial" w:cs="Arial"/>
                <w:sz w:val="16"/>
                <w:szCs w:val="16"/>
                <w:lang w:eastAsia="zh-CN"/>
              </w:rPr>
              <w:br/>
              <w:t>(4) current CYP3A4 inhibitors, CYP3A4 inducers and IV antibiotics; and</w:t>
            </w:r>
            <w:r w:rsidRPr="006D52A9">
              <w:rPr>
                <w:rFonts w:ascii="Arial" w:eastAsia="SimSun" w:hAnsi="Arial" w:cs="Arial"/>
                <w:sz w:val="16"/>
                <w:szCs w:val="16"/>
                <w:lang w:eastAsia="zh-CN"/>
              </w:rPr>
              <w:br/>
              <w:t>(5) height and weight measurements at the time of application; and</w:t>
            </w:r>
            <w:r w:rsidRPr="006D52A9">
              <w:rPr>
                <w:rFonts w:ascii="Arial" w:eastAsia="SimSun" w:hAnsi="Arial" w:cs="Arial"/>
                <w:sz w:val="16"/>
                <w:szCs w:val="16"/>
                <w:lang w:eastAsia="zh-CN"/>
              </w:rPr>
              <w:br/>
              <w:t>(6) the number of days of CF</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related hospitalisation (including hospital</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in</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the home) in the previous 6 </w:t>
            </w:r>
            <w:r w:rsidRPr="006D52A9">
              <w:rPr>
                <w:rFonts w:ascii="Arial" w:eastAsia="SimSun" w:hAnsi="Arial" w:cs="Arial"/>
                <w:sz w:val="16"/>
                <w:szCs w:val="16"/>
                <w:lang w:eastAsia="zh-CN"/>
              </w:rPr>
              <w:lastRenderedPageBreak/>
              <w:t>months.</w:t>
            </w:r>
          </w:p>
        </w:tc>
        <w:tc>
          <w:tcPr>
            <w:tcW w:w="938" w:type="pct"/>
            <w:tcMar>
              <w:top w:w="28" w:type="dxa"/>
              <w:left w:w="28" w:type="dxa"/>
              <w:right w:w="57" w:type="dxa"/>
            </w:tcMar>
          </w:tcPr>
          <w:p w14:paraId="0EB3710A"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Compliance with Written Authority Required procedures</w:t>
            </w:r>
          </w:p>
        </w:tc>
      </w:tr>
      <w:tr w:rsidR="008F47B8" w:rsidRPr="006D52A9" w:rsidDel="00EF799C" w14:paraId="5D7153EA" w14:textId="77777777" w:rsidTr="00FB6D2D">
        <w:tc>
          <w:tcPr>
            <w:tcW w:w="647" w:type="pct"/>
            <w:tcMar>
              <w:top w:w="28" w:type="dxa"/>
              <w:left w:w="28" w:type="dxa"/>
            </w:tcMar>
          </w:tcPr>
          <w:p w14:paraId="615E09D9" w14:textId="77777777" w:rsidR="008F47B8" w:rsidRPr="006D52A9" w:rsidRDefault="008F47B8" w:rsidP="00FB6D2D">
            <w:pPr>
              <w:spacing w:line="240" w:lineRule="auto"/>
              <w:rPr>
                <w:rFonts w:ascii="Arial" w:hAnsi="Arial" w:cs="Arial"/>
                <w:sz w:val="16"/>
                <w:szCs w:val="16"/>
              </w:rPr>
            </w:pPr>
          </w:p>
        </w:tc>
        <w:tc>
          <w:tcPr>
            <w:tcW w:w="283" w:type="pct"/>
            <w:tcMar>
              <w:top w:w="28" w:type="dxa"/>
              <w:left w:w="28" w:type="dxa"/>
            </w:tcMar>
          </w:tcPr>
          <w:p w14:paraId="6FACB2E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C9961</w:t>
            </w:r>
          </w:p>
        </w:tc>
        <w:tc>
          <w:tcPr>
            <w:tcW w:w="265" w:type="pct"/>
            <w:tcMar>
              <w:top w:w="28" w:type="dxa"/>
              <w:left w:w="28" w:type="dxa"/>
            </w:tcMar>
          </w:tcPr>
          <w:p w14:paraId="4F5754E7" w14:textId="77777777" w:rsidR="008F47B8" w:rsidRPr="006D52A9" w:rsidDel="00EF799C" w:rsidRDefault="008F47B8" w:rsidP="00FB6D2D">
            <w:pPr>
              <w:spacing w:line="240" w:lineRule="auto"/>
              <w:rPr>
                <w:rFonts w:ascii="Arial" w:hAnsi="Arial" w:cs="Arial"/>
                <w:sz w:val="16"/>
                <w:szCs w:val="16"/>
              </w:rPr>
            </w:pPr>
          </w:p>
        </w:tc>
        <w:tc>
          <w:tcPr>
            <w:tcW w:w="2867" w:type="pct"/>
            <w:tcMar>
              <w:top w:w="28" w:type="dxa"/>
              <w:left w:w="28" w:type="dxa"/>
            </w:tcMar>
          </w:tcPr>
          <w:p w14:paraId="646102CC"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Cystic fibrosis </w:t>
            </w:r>
            <w:r w:rsidR="0026100E">
              <w:rPr>
                <w:rFonts w:ascii="Arial" w:hAnsi="Arial" w:cs="Arial"/>
                <w:sz w:val="16"/>
                <w:szCs w:val="16"/>
              </w:rPr>
              <w:noBreakHyphen/>
            </w:r>
            <w:r w:rsidRPr="006D52A9">
              <w:rPr>
                <w:rFonts w:ascii="Arial" w:hAnsi="Arial" w:cs="Arial"/>
                <w:sz w:val="16"/>
                <w:szCs w:val="16"/>
              </w:rPr>
              <w:t xml:space="preserve"> homozygous for the F508del mutation</w:t>
            </w:r>
            <w:r w:rsidRPr="006D52A9">
              <w:rPr>
                <w:rFonts w:ascii="Arial" w:hAnsi="Arial" w:cs="Arial"/>
                <w:sz w:val="16"/>
                <w:szCs w:val="16"/>
              </w:rPr>
              <w:br/>
              <w:t>Initial treatment</w:t>
            </w:r>
            <w:r w:rsidRPr="006D52A9">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6D52A9">
              <w:rPr>
                <w:rFonts w:ascii="Arial" w:hAnsi="Arial" w:cs="Arial"/>
                <w:sz w:val="16"/>
                <w:szCs w:val="16"/>
              </w:rPr>
              <w:br/>
              <w:t>Patient must be homozygous for the F508del mutation in the cystic fibrosis transmembrane conductance regulator (CFTR) gene;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cystic fibrosis transmembrane conductance regulator (CFTR) modulator therapy for this condition; AND</w:t>
            </w:r>
            <w:r w:rsidRPr="006D52A9">
              <w:rPr>
                <w:rFonts w:ascii="Arial" w:hAnsi="Arial" w:cs="Arial"/>
                <w:sz w:val="16"/>
                <w:szCs w:val="16"/>
              </w:rPr>
              <w:br/>
              <w:t>The treatment must be given concomitantly with standard therapy for this condition; AND</w:t>
            </w:r>
            <w:r w:rsidRPr="006D52A9">
              <w:rPr>
                <w:rFonts w:ascii="Arial" w:hAnsi="Arial" w:cs="Arial"/>
                <w:sz w:val="16"/>
                <w:szCs w:val="16"/>
              </w:rPr>
              <w:br/>
              <w:t>Patient must have either chronic sinopulmonary disease or gastrointestinal and nutritional abnormalities.</w:t>
            </w:r>
            <w:r w:rsidRPr="006D52A9">
              <w:rPr>
                <w:rFonts w:ascii="Arial" w:hAnsi="Arial" w:cs="Arial"/>
                <w:sz w:val="16"/>
                <w:szCs w:val="16"/>
              </w:rPr>
              <w:br/>
              <w:t>Patient must be 12 years of age or older.</w:t>
            </w:r>
            <w:r w:rsidRPr="006D52A9">
              <w:rPr>
                <w:rFonts w:ascii="Arial" w:hAnsi="Arial" w:cs="Arial"/>
                <w:sz w:val="16"/>
                <w:szCs w:val="16"/>
              </w:rPr>
              <w:br/>
              <w:t>The patient must be registered in the Australian Cystic Fibrosis Database Registry.</w:t>
            </w:r>
            <w:r w:rsidRPr="006D52A9">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hAnsi="Arial" w:cs="Arial"/>
                <w:sz w:val="16"/>
                <w:szCs w:val="16"/>
              </w:rPr>
              <w:br/>
              <w:t>For the purposes of this restriction, PBS subsidised ‘CFTR modulator’ means ivacaftor, lumacaftor/ivacaftor and tezacaftor/ivacaftor.</w:t>
            </w:r>
            <w:r w:rsidRPr="006D52A9">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D52A9">
              <w:rPr>
                <w:rFonts w:ascii="Arial" w:hAnsi="Arial" w:cs="Arial"/>
                <w:sz w:val="16"/>
                <w:szCs w:val="16"/>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D52A9">
              <w:rPr>
                <w:rFonts w:ascii="Arial" w:hAnsi="Arial" w:cs="Arial"/>
                <w:sz w:val="16"/>
                <w:szCs w:val="16"/>
              </w:rPr>
              <w:br/>
              <w:t>Tezacaftor with ivacaftor is not PBS</w:t>
            </w:r>
            <w:r w:rsidR="0026100E">
              <w:rPr>
                <w:rFonts w:ascii="Arial" w:hAnsi="Arial" w:cs="Arial"/>
                <w:sz w:val="16"/>
                <w:szCs w:val="16"/>
              </w:rPr>
              <w:noBreakHyphen/>
            </w:r>
            <w:r w:rsidRPr="006D52A9">
              <w:rPr>
                <w:rFonts w:ascii="Arial" w:hAnsi="Arial" w:cs="Arial"/>
                <w:sz w:val="16"/>
                <w:szCs w:val="16"/>
              </w:rPr>
              <w:t>subsidised for this condition in a patient who is currently receiving one of the following CYP3A4 inducers:</w:t>
            </w:r>
            <w:r w:rsidRPr="006D52A9">
              <w:rPr>
                <w:rFonts w:ascii="Arial" w:hAnsi="Arial" w:cs="Arial"/>
                <w:sz w:val="16"/>
                <w:szCs w:val="16"/>
              </w:rPr>
              <w:br/>
              <w:t>Strong CYP3A4 inducers: avasimibe, carbamazepine, phenobarbital, phenytoin, rifabutin, rifampicin, St. John’s wort;</w:t>
            </w:r>
            <w:r w:rsidRPr="006D52A9">
              <w:rPr>
                <w:rFonts w:ascii="Arial" w:hAnsi="Arial" w:cs="Arial"/>
                <w:sz w:val="16"/>
                <w:szCs w:val="16"/>
              </w:rPr>
              <w:br/>
              <w:t>Moderate CYP3A4 inducers: bosentan, efavirenz, etravirine, modafinil, nafcillin;</w:t>
            </w:r>
            <w:r w:rsidRPr="006D52A9">
              <w:rPr>
                <w:rFonts w:ascii="Arial" w:hAnsi="Arial" w:cs="Arial"/>
                <w:sz w:val="16"/>
                <w:szCs w:val="16"/>
              </w:rPr>
              <w:br/>
              <w:t>Weak CYP3A4 inducers: armodafinil, echinacea, pioglitazone, rufinamide.</w:t>
            </w:r>
            <w:r w:rsidRPr="006D52A9">
              <w:rPr>
                <w:rFonts w:ascii="Arial" w:hAnsi="Arial" w:cs="Arial"/>
                <w:sz w:val="16"/>
                <w:szCs w:val="16"/>
              </w:rPr>
              <w:br/>
              <w:t>The authority application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Cystic Fibrosis tezacaftor with ivacaftor Authority Application Supporting Information Form; and</w:t>
            </w:r>
            <w:r w:rsidRPr="006D52A9">
              <w:rPr>
                <w:rFonts w:ascii="Arial" w:hAnsi="Arial" w:cs="Arial"/>
                <w:sz w:val="16"/>
                <w:szCs w:val="16"/>
              </w:rPr>
              <w:br/>
              <w:t xml:space="preserve">(3) a copy of the pathology report detailing the molecular testing for the patient being homozygous for </w:t>
            </w:r>
            <w:r w:rsidRPr="006D52A9">
              <w:rPr>
                <w:rFonts w:ascii="Arial" w:hAnsi="Arial" w:cs="Arial"/>
                <w:sz w:val="16"/>
                <w:szCs w:val="16"/>
              </w:rPr>
              <w:lastRenderedPageBreak/>
              <w:t>the F508del mutation on the CFTR gene; and</w:t>
            </w:r>
            <w:r w:rsidRPr="006D52A9">
              <w:rPr>
                <w:rFonts w:ascii="Arial" w:hAnsi="Arial" w:cs="Arial"/>
                <w:sz w:val="16"/>
                <w:szCs w:val="16"/>
              </w:rPr>
              <w:br/>
              <w:t>(4) the result of a FEV1measurement performed within a month prior to the date of application. Note: FEV1must be measured in an accredited pulmonary function laboratory, with documented no acute infective exacerbation at the time FEV1is measured; and</w:t>
            </w:r>
            <w:r w:rsidRPr="006D52A9">
              <w:rPr>
                <w:rFonts w:ascii="Arial" w:hAnsi="Arial" w:cs="Arial"/>
                <w:sz w:val="16"/>
                <w:szCs w:val="16"/>
              </w:rPr>
              <w:br/>
              <w:t>(5) current CYP3A4 inhibitors, CYP3A4 inducers and IV antibiotics; and</w:t>
            </w:r>
            <w:r w:rsidRPr="006D52A9">
              <w:rPr>
                <w:rFonts w:ascii="Arial" w:hAnsi="Arial" w:cs="Arial"/>
                <w:sz w:val="16"/>
                <w:szCs w:val="16"/>
              </w:rPr>
              <w:br/>
              <w:t>(6) height and weight measurements at the time of application; and</w:t>
            </w:r>
            <w:r w:rsidRPr="006D52A9">
              <w:rPr>
                <w:rFonts w:ascii="Arial" w:hAnsi="Arial" w:cs="Arial"/>
                <w:sz w:val="16"/>
                <w:szCs w:val="16"/>
              </w:rPr>
              <w:br/>
              <w:t>(7) a baseline measurement of the number of days of CF</w:t>
            </w:r>
            <w:r w:rsidR="0026100E">
              <w:rPr>
                <w:rFonts w:ascii="Arial" w:hAnsi="Arial" w:cs="Arial"/>
                <w:sz w:val="16"/>
                <w:szCs w:val="16"/>
              </w:rPr>
              <w:noBreakHyphen/>
            </w:r>
            <w:r w:rsidRPr="006D52A9">
              <w:rPr>
                <w:rFonts w:ascii="Arial" w:hAnsi="Arial" w:cs="Arial"/>
                <w:sz w:val="16"/>
                <w:szCs w:val="16"/>
              </w:rPr>
              <w:t>related hospitalisation (including hospital</w:t>
            </w:r>
            <w:r w:rsidR="0026100E">
              <w:rPr>
                <w:rFonts w:ascii="Arial" w:hAnsi="Arial" w:cs="Arial"/>
                <w:sz w:val="16"/>
                <w:szCs w:val="16"/>
              </w:rPr>
              <w:noBreakHyphen/>
            </w:r>
            <w:r w:rsidRPr="006D52A9">
              <w:rPr>
                <w:rFonts w:ascii="Arial" w:hAnsi="Arial" w:cs="Arial"/>
                <w:sz w:val="16"/>
                <w:szCs w:val="16"/>
              </w:rPr>
              <w:t>in</w:t>
            </w:r>
            <w:r w:rsidR="0026100E">
              <w:rPr>
                <w:rFonts w:ascii="Arial" w:hAnsi="Arial" w:cs="Arial"/>
                <w:sz w:val="16"/>
                <w:szCs w:val="16"/>
              </w:rPr>
              <w:noBreakHyphen/>
            </w:r>
            <w:r w:rsidRPr="006D52A9">
              <w:rPr>
                <w:rFonts w:ascii="Arial" w:hAnsi="Arial" w:cs="Arial"/>
                <w:sz w:val="16"/>
                <w:szCs w:val="16"/>
              </w:rPr>
              <w:t>the home) in the previous 12 months.</w:t>
            </w:r>
            <w:r w:rsidRPr="006D52A9">
              <w:rPr>
                <w:rFonts w:ascii="Arial" w:hAnsi="Arial" w:cs="Arial"/>
                <w:sz w:val="16"/>
                <w:szCs w:val="16"/>
              </w:rPr>
              <w:br/>
              <w:t>For patients who have initiated non</w:t>
            </w:r>
            <w:r w:rsidR="0026100E">
              <w:rPr>
                <w:rFonts w:ascii="Arial" w:hAnsi="Arial" w:cs="Arial"/>
                <w:sz w:val="16"/>
                <w:szCs w:val="16"/>
              </w:rPr>
              <w:noBreakHyphen/>
            </w:r>
            <w:r w:rsidRPr="006D52A9">
              <w:rPr>
                <w:rFonts w:ascii="Arial" w:hAnsi="Arial" w:cs="Arial"/>
                <w:sz w:val="16"/>
                <w:szCs w:val="16"/>
              </w:rPr>
              <w:t xml:space="preserve">PBS subsidised treatment prior to </w:t>
            </w:r>
            <w:r w:rsidR="003E082A" w:rsidRPr="006D52A9">
              <w:rPr>
                <w:rFonts w:ascii="Arial" w:hAnsi="Arial" w:cs="Arial"/>
                <w:sz w:val="16"/>
                <w:szCs w:val="16"/>
              </w:rPr>
              <w:t>1 December</w:t>
            </w:r>
            <w:r w:rsidRPr="006D52A9">
              <w:rPr>
                <w:rFonts w:ascii="Arial" w:hAnsi="Arial" w:cs="Arial"/>
                <w:sz w:val="16"/>
                <w:szCs w:val="16"/>
              </w:rPr>
              <w:t xml:space="preserve"> 2019, date of initiating treatment, baseline FEV1and hospitalisation dates prior to initiating treatment (where available) should be provided.</w:t>
            </w:r>
          </w:p>
        </w:tc>
        <w:tc>
          <w:tcPr>
            <w:tcW w:w="938" w:type="pct"/>
            <w:tcMar>
              <w:top w:w="28" w:type="dxa"/>
              <w:left w:w="28" w:type="dxa"/>
              <w:right w:w="57" w:type="dxa"/>
            </w:tcMar>
          </w:tcPr>
          <w:p w14:paraId="78B546FD"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4D64E6" w14:paraId="22696D56" w14:textId="77777777" w:rsidTr="00FB6D2D">
        <w:tc>
          <w:tcPr>
            <w:tcW w:w="647" w:type="pct"/>
            <w:tcMar>
              <w:top w:w="28" w:type="dxa"/>
              <w:left w:w="28" w:type="dxa"/>
            </w:tcMar>
          </w:tcPr>
          <w:p w14:paraId="5FAD2986" w14:textId="77777777" w:rsidR="008F47B8" w:rsidRPr="006D52A9" w:rsidDel="004D64E6" w:rsidRDefault="008F47B8" w:rsidP="00FB6D2D">
            <w:pPr>
              <w:spacing w:line="240" w:lineRule="auto"/>
              <w:rPr>
                <w:rFonts w:ascii="Arial" w:hAnsi="Arial" w:cs="Arial"/>
                <w:sz w:val="16"/>
                <w:szCs w:val="16"/>
              </w:rPr>
            </w:pPr>
          </w:p>
        </w:tc>
        <w:tc>
          <w:tcPr>
            <w:tcW w:w="283" w:type="pct"/>
            <w:tcMar>
              <w:top w:w="28" w:type="dxa"/>
              <w:left w:w="28" w:type="dxa"/>
            </w:tcMar>
          </w:tcPr>
          <w:p w14:paraId="111EDAA4"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t>C10064</w:t>
            </w:r>
          </w:p>
        </w:tc>
        <w:tc>
          <w:tcPr>
            <w:tcW w:w="265" w:type="pct"/>
            <w:tcMar>
              <w:top w:w="28" w:type="dxa"/>
              <w:left w:w="28" w:type="dxa"/>
            </w:tcMar>
          </w:tcPr>
          <w:p w14:paraId="67B67AB3" w14:textId="77777777" w:rsidR="008F47B8" w:rsidRPr="006D52A9" w:rsidDel="004D64E6" w:rsidRDefault="008F47B8" w:rsidP="00FB6D2D">
            <w:pPr>
              <w:spacing w:line="240" w:lineRule="auto"/>
              <w:rPr>
                <w:rFonts w:ascii="Arial" w:hAnsi="Arial" w:cs="Arial"/>
                <w:sz w:val="16"/>
                <w:szCs w:val="16"/>
              </w:rPr>
            </w:pPr>
          </w:p>
        </w:tc>
        <w:tc>
          <w:tcPr>
            <w:tcW w:w="2867" w:type="pct"/>
            <w:tcMar>
              <w:top w:w="28" w:type="dxa"/>
              <w:left w:w="28" w:type="dxa"/>
            </w:tcMar>
          </w:tcPr>
          <w:p w14:paraId="5E8E1CE9"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t xml:space="preserve">Cystic fibrosis </w:t>
            </w:r>
            <w:r w:rsidR="0026100E">
              <w:rPr>
                <w:rFonts w:ascii="Arial" w:hAnsi="Arial" w:cs="Arial"/>
                <w:sz w:val="16"/>
                <w:szCs w:val="16"/>
              </w:rPr>
              <w:noBreakHyphen/>
            </w:r>
            <w:r w:rsidRPr="006D52A9">
              <w:rPr>
                <w:rFonts w:ascii="Arial" w:hAnsi="Arial" w:cs="Arial"/>
                <w:sz w:val="16"/>
                <w:szCs w:val="16"/>
              </w:rPr>
              <w:t xml:space="preserve"> one residual function (RF) mutation</w:t>
            </w:r>
            <w:r w:rsidRPr="006D52A9">
              <w:rPr>
                <w:rFonts w:ascii="Arial" w:hAnsi="Arial" w:cs="Arial"/>
                <w:sz w:val="16"/>
                <w:szCs w:val="16"/>
              </w:rPr>
              <w:br/>
              <w:t>Initial treatment</w:t>
            </w:r>
            <w:r w:rsidRPr="006D52A9">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6D52A9">
              <w:rPr>
                <w:rFonts w:ascii="Arial" w:hAnsi="Arial" w:cs="Arial"/>
                <w:sz w:val="16"/>
                <w:szCs w:val="16"/>
              </w:rPr>
              <w:br/>
              <w:t>Patient must have at least one residual function (RF) mutation in the cystic fibrosis transmembrane conductance regulator (CFTR) gene that is responsive to tezacaftor with ivacaftor;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cystic fibrosis transmembrane conductance regulator (CFTR) modulator therapy for this condition; AND</w:t>
            </w:r>
            <w:r w:rsidRPr="006D52A9">
              <w:rPr>
                <w:rFonts w:ascii="Arial" w:hAnsi="Arial" w:cs="Arial"/>
                <w:sz w:val="16"/>
                <w:szCs w:val="16"/>
              </w:rPr>
              <w:br/>
              <w:t>The treatment must be given concomitantly with standard therapy for this condition; AND</w:t>
            </w:r>
            <w:r w:rsidRPr="006D52A9">
              <w:rPr>
                <w:rFonts w:ascii="Arial" w:hAnsi="Arial" w:cs="Arial"/>
                <w:sz w:val="16"/>
                <w:szCs w:val="16"/>
              </w:rPr>
              <w:br/>
              <w:t>Patient must have either chronic sinopulmonary disease or gastrointestinal and nutritional abnormalities.</w:t>
            </w:r>
            <w:r w:rsidRPr="006D52A9">
              <w:rPr>
                <w:rFonts w:ascii="Arial" w:hAnsi="Arial" w:cs="Arial"/>
                <w:sz w:val="16"/>
                <w:szCs w:val="16"/>
              </w:rPr>
              <w:br/>
              <w:t>Patient must be 12 years of age or older.</w:t>
            </w:r>
            <w:r w:rsidRPr="006D52A9">
              <w:rPr>
                <w:rFonts w:ascii="Arial" w:hAnsi="Arial" w:cs="Arial"/>
                <w:sz w:val="16"/>
                <w:szCs w:val="16"/>
              </w:rPr>
              <w:br/>
              <w:t>The patient must be registered in the Australian Cystic Fibrosis Database Registry.</w:t>
            </w:r>
            <w:r w:rsidRPr="006D52A9">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hAnsi="Arial" w:cs="Arial"/>
                <w:sz w:val="16"/>
                <w:szCs w:val="16"/>
              </w:rPr>
              <w:br/>
              <w:t>For the purposes of this restriction, PBS subsidised ‘CFTR modulator’ means ivacaftor, lumacaftor/ivacaftor and tezacaftor/ivacaftor.</w:t>
            </w:r>
            <w:r w:rsidRPr="006D52A9">
              <w:rPr>
                <w:rFonts w:ascii="Arial" w:hAnsi="Arial" w:cs="Arial"/>
                <w:sz w:val="16"/>
                <w:szCs w:val="16"/>
              </w:rPr>
              <w:br/>
              <w:t>For the purposes of this restriction, the list of mutations considered to be responsive to tezacaftor with ivacaftor is defined in the TGA approved product information.</w:t>
            </w:r>
            <w:r w:rsidRPr="006D52A9">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D52A9">
              <w:rPr>
                <w:rFonts w:ascii="Arial" w:hAnsi="Arial" w:cs="Arial"/>
                <w:sz w:val="16"/>
                <w:szCs w:val="16"/>
              </w:rPr>
              <w:br/>
              <w:t xml:space="preserve">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w:t>
            </w:r>
            <w:r w:rsidRPr="006D52A9">
              <w:rPr>
                <w:rFonts w:ascii="Arial" w:hAnsi="Arial" w:cs="Arial"/>
                <w:sz w:val="16"/>
                <w:szCs w:val="16"/>
              </w:rPr>
              <w:lastRenderedPageBreak/>
              <w:t>voriconazole.</w:t>
            </w:r>
            <w:r w:rsidRPr="006D52A9">
              <w:rPr>
                <w:rFonts w:ascii="Arial" w:hAnsi="Arial" w:cs="Arial"/>
                <w:sz w:val="16"/>
                <w:szCs w:val="16"/>
              </w:rPr>
              <w:br/>
              <w:t>Tezacaftor with ivacaftor is not PBS</w:t>
            </w:r>
            <w:r w:rsidR="0026100E">
              <w:rPr>
                <w:rFonts w:ascii="Arial" w:hAnsi="Arial" w:cs="Arial"/>
                <w:sz w:val="16"/>
                <w:szCs w:val="16"/>
              </w:rPr>
              <w:noBreakHyphen/>
            </w:r>
            <w:r w:rsidRPr="006D52A9">
              <w:rPr>
                <w:rFonts w:ascii="Arial" w:hAnsi="Arial" w:cs="Arial"/>
                <w:sz w:val="16"/>
                <w:szCs w:val="16"/>
              </w:rPr>
              <w:t>subsidised for this condition in a patient who is currently receiving one of the following CYP3A4 inducers:</w:t>
            </w:r>
            <w:r w:rsidRPr="006D52A9">
              <w:rPr>
                <w:rFonts w:ascii="Arial" w:hAnsi="Arial" w:cs="Arial"/>
                <w:sz w:val="16"/>
                <w:szCs w:val="16"/>
              </w:rPr>
              <w:br/>
              <w:t>Strong CYP3A4 inducers: avasimibe, carbamazepine, phenobarbital, phenytoin, rifabutin, rifampicin, St. John’s wort;</w:t>
            </w:r>
            <w:r w:rsidRPr="006D52A9">
              <w:rPr>
                <w:rFonts w:ascii="Arial" w:hAnsi="Arial" w:cs="Arial"/>
                <w:sz w:val="16"/>
                <w:szCs w:val="16"/>
              </w:rPr>
              <w:br/>
              <w:t>Moderate CYP3A4 inducers: bosentan, efavirenz, etravirine, modafinil, nafcillin;</w:t>
            </w:r>
            <w:r w:rsidRPr="006D52A9">
              <w:rPr>
                <w:rFonts w:ascii="Arial" w:hAnsi="Arial" w:cs="Arial"/>
                <w:sz w:val="16"/>
                <w:szCs w:val="16"/>
              </w:rPr>
              <w:br/>
              <w:t>Weak CYP3A4 inducers: armodafinil, echinacea, pioglitazone, rufinamide.</w:t>
            </w:r>
            <w:r w:rsidRPr="006D52A9">
              <w:rPr>
                <w:rFonts w:ascii="Arial" w:hAnsi="Arial" w:cs="Arial"/>
                <w:sz w:val="16"/>
                <w:szCs w:val="16"/>
              </w:rPr>
              <w:br/>
              <w:t>The authority application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Cystic Fibrosis tezacaftor with ivacaftor Authority Application Supporting Information Form; and</w:t>
            </w:r>
            <w:r w:rsidRPr="006D52A9">
              <w:rPr>
                <w:rFonts w:ascii="Arial" w:hAnsi="Arial" w:cs="Arial"/>
                <w:sz w:val="16"/>
                <w:szCs w:val="16"/>
              </w:rPr>
              <w:br/>
              <w:t>(3) a copy of the pathology report detailing the molecular testing for the patient having at least one RF mutation on the CFTR gene; and</w:t>
            </w:r>
            <w:r w:rsidRPr="006D52A9">
              <w:rPr>
                <w:rFonts w:ascii="Arial" w:hAnsi="Arial" w:cs="Arial"/>
                <w:sz w:val="16"/>
                <w:szCs w:val="16"/>
              </w:rPr>
              <w:br/>
              <w:t>(4) the result of a FEV</w:t>
            </w:r>
            <w:r w:rsidRPr="006D52A9">
              <w:rPr>
                <w:rFonts w:ascii="Arial" w:hAnsi="Arial" w:cs="Arial"/>
                <w:sz w:val="16"/>
                <w:szCs w:val="16"/>
                <w:vertAlign w:val="subscript"/>
              </w:rPr>
              <w:t>1</w:t>
            </w:r>
            <w:r w:rsidRPr="006D52A9">
              <w:rPr>
                <w:rFonts w:ascii="Arial" w:hAnsi="Arial" w:cs="Arial"/>
                <w:sz w:val="16"/>
                <w:szCs w:val="16"/>
              </w:rPr>
              <w:t>measurement performed within a month prior to the date of application. Note: FEV</w:t>
            </w:r>
            <w:r w:rsidRPr="006D52A9">
              <w:rPr>
                <w:rFonts w:ascii="Arial" w:hAnsi="Arial" w:cs="Arial"/>
                <w:sz w:val="16"/>
                <w:szCs w:val="16"/>
                <w:vertAlign w:val="subscript"/>
              </w:rPr>
              <w:t>1</w:t>
            </w:r>
            <w:r w:rsidRPr="006D52A9">
              <w:rPr>
                <w:rFonts w:ascii="Arial" w:hAnsi="Arial" w:cs="Arial"/>
                <w:sz w:val="16"/>
                <w:szCs w:val="16"/>
              </w:rPr>
              <w:t>, must be measured in an accredited pulmonary function laboratory, with documented no acute infective exacerbation at the time FEV</w:t>
            </w:r>
            <w:r w:rsidRPr="006D52A9">
              <w:rPr>
                <w:rFonts w:ascii="Arial" w:hAnsi="Arial" w:cs="Arial"/>
                <w:sz w:val="16"/>
                <w:szCs w:val="16"/>
                <w:vertAlign w:val="subscript"/>
              </w:rPr>
              <w:t>1</w:t>
            </w:r>
            <w:r w:rsidRPr="006D52A9">
              <w:rPr>
                <w:rFonts w:ascii="Arial" w:hAnsi="Arial" w:cs="Arial"/>
                <w:sz w:val="16"/>
                <w:szCs w:val="16"/>
              </w:rPr>
              <w:t>is measured; and</w:t>
            </w:r>
            <w:r w:rsidRPr="006D52A9">
              <w:rPr>
                <w:rFonts w:ascii="Arial" w:hAnsi="Arial" w:cs="Arial"/>
                <w:sz w:val="16"/>
                <w:szCs w:val="16"/>
              </w:rPr>
              <w:br/>
              <w:t>(5) CYP3A4 inhibitors, CYP3A4 inducers and IV antibiotics; and</w:t>
            </w:r>
            <w:r w:rsidRPr="006D52A9">
              <w:rPr>
                <w:rFonts w:ascii="Arial" w:hAnsi="Arial" w:cs="Arial"/>
                <w:sz w:val="16"/>
                <w:szCs w:val="16"/>
              </w:rPr>
              <w:br/>
              <w:t>(6) height and weight measurements at the time of application; and</w:t>
            </w:r>
            <w:r w:rsidRPr="006D52A9">
              <w:rPr>
                <w:rFonts w:ascii="Arial" w:hAnsi="Arial" w:cs="Arial"/>
                <w:sz w:val="16"/>
                <w:szCs w:val="16"/>
              </w:rPr>
              <w:br/>
              <w:t>(7) a baseline measurement of the number of days of CF</w:t>
            </w:r>
            <w:r w:rsidR="0026100E">
              <w:rPr>
                <w:rFonts w:ascii="Arial" w:hAnsi="Arial" w:cs="Arial"/>
                <w:sz w:val="16"/>
                <w:szCs w:val="16"/>
              </w:rPr>
              <w:noBreakHyphen/>
            </w:r>
            <w:r w:rsidRPr="006D52A9">
              <w:rPr>
                <w:rFonts w:ascii="Arial" w:hAnsi="Arial" w:cs="Arial"/>
                <w:sz w:val="16"/>
                <w:szCs w:val="16"/>
              </w:rPr>
              <w:t>related hospitalisation (including hospital</w:t>
            </w:r>
            <w:r w:rsidR="0026100E">
              <w:rPr>
                <w:rFonts w:ascii="Arial" w:hAnsi="Arial" w:cs="Arial"/>
                <w:sz w:val="16"/>
                <w:szCs w:val="16"/>
              </w:rPr>
              <w:noBreakHyphen/>
            </w:r>
            <w:r w:rsidRPr="006D52A9">
              <w:rPr>
                <w:rFonts w:ascii="Arial" w:hAnsi="Arial" w:cs="Arial"/>
                <w:sz w:val="16"/>
                <w:szCs w:val="16"/>
              </w:rPr>
              <w:t>in</w:t>
            </w:r>
            <w:r w:rsidR="0026100E">
              <w:rPr>
                <w:rFonts w:ascii="Arial" w:hAnsi="Arial" w:cs="Arial"/>
                <w:sz w:val="16"/>
                <w:szCs w:val="16"/>
              </w:rPr>
              <w:noBreakHyphen/>
            </w:r>
            <w:r w:rsidRPr="006D52A9">
              <w:rPr>
                <w:rFonts w:ascii="Arial" w:hAnsi="Arial" w:cs="Arial"/>
                <w:sz w:val="16"/>
                <w:szCs w:val="16"/>
              </w:rPr>
              <w:t>the home) in the previous 12 months.</w:t>
            </w:r>
            <w:r w:rsidRPr="006D52A9">
              <w:rPr>
                <w:rFonts w:ascii="Arial" w:hAnsi="Arial" w:cs="Arial"/>
                <w:sz w:val="16"/>
                <w:szCs w:val="16"/>
              </w:rPr>
              <w:br/>
              <w:t>For patients who have initiated non</w:t>
            </w:r>
            <w:r w:rsidR="0026100E">
              <w:rPr>
                <w:rFonts w:ascii="Arial" w:hAnsi="Arial" w:cs="Arial"/>
                <w:sz w:val="16"/>
                <w:szCs w:val="16"/>
              </w:rPr>
              <w:noBreakHyphen/>
            </w:r>
            <w:r w:rsidRPr="006D52A9">
              <w:rPr>
                <w:rFonts w:ascii="Arial" w:hAnsi="Arial" w:cs="Arial"/>
                <w:sz w:val="16"/>
                <w:szCs w:val="16"/>
              </w:rPr>
              <w:t xml:space="preserve">PBS subsidised treatment prior to </w:t>
            </w:r>
            <w:r w:rsidR="003E082A" w:rsidRPr="006D52A9">
              <w:rPr>
                <w:rFonts w:ascii="Arial" w:hAnsi="Arial" w:cs="Arial"/>
                <w:sz w:val="16"/>
                <w:szCs w:val="16"/>
              </w:rPr>
              <w:t>1 December</w:t>
            </w:r>
            <w:r w:rsidRPr="006D52A9">
              <w:rPr>
                <w:rFonts w:ascii="Arial" w:hAnsi="Arial" w:cs="Arial"/>
                <w:sz w:val="16"/>
                <w:szCs w:val="16"/>
              </w:rPr>
              <w:t xml:space="preserve"> 2019, date of initiating treatment, baseline FEV</w:t>
            </w:r>
            <w:r w:rsidRPr="006D52A9">
              <w:rPr>
                <w:rFonts w:ascii="Arial" w:hAnsi="Arial" w:cs="Arial"/>
                <w:sz w:val="16"/>
                <w:szCs w:val="16"/>
                <w:vertAlign w:val="subscript"/>
              </w:rPr>
              <w:t>1</w:t>
            </w:r>
            <w:r w:rsidRPr="006D52A9">
              <w:rPr>
                <w:rFonts w:ascii="Arial" w:hAnsi="Arial" w:cs="Arial"/>
                <w:sz w:val="16"/>
                <w:szCs w:val="16"/>
              </w:rPr>
              <w:t>and hospitalisation dates prior to initiating treatment (where available) should be provided.</w:t>
            </w:r>
          </w:p>
        </w:tc>
        <w:tc>
          <w:tcPr>
            <w:tcW w:w="938" w:type="pct"/>
            <w:tcMar>
              <w:top w:w="28" w:type="dxa"/>
              <w:left w:w="28" w:type="dxa"/>
              <w:right w:w="57" w:type="dxa"/>
            </w:tcMar>
          </w:tcPr>
          <w:p w14:paraId="0CF80877"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4D64E6" w14:paraId="495BBCDC" w14:textId="77777777" w:rsidTr="00FB6D2D">
        <w:tc>
          <w:tcPr>
            <w:tcW w:w="647" w:type="pct"/>
            <w:tcMar>
              <w:top w:w="28" w:type="dxa"/>
              <w:left w:w="28" w:type="dxa"/>
            </w:tcMar>
          </w:tcPr>
          <w:p w14:paraId="4194473F" w14:textId="77777777" w:rsidR="008F47B8" w:rsidRPr="006D52A9" w:rsidDel="004D64E6" w:rsidRDefault="008F47B8" w:rsidP="00FB6D2D">
            <w:pPr>
              <w:spacing w:line="240" w:lineRule="auto"/>
              <w:rPr>
                <w:rFonts w:ascii="Arial" w:hAnsi="Arial" w:cs="Arial"/>
                <w:sz w:val="16"/>
                <w:szCs w:val="16"/>
              </w:rPr>
            </w:pPr>
          </w:p>
        </w:tc>
        <w:tc>
          <w:tcPr>
            <w:tcW w:w="283" w:type="pct"/>
            <w:tcMar>
              <w:top w:w="28" w:type="dxa"/>
              <w:left w:w="28" w:type="dxa"/>
            </w:tcMar>
          </w:tcPr>
          <w:p w14:paraId="707E0EE8"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t>C10069</w:t>
            </w:r>
          </w:p>
        </w:tc>
        <w:tc>
          <w:tcPr>
            <w:tcW w:w="265" w:type="pct"/>
            <w:tcMar>
              <w:top w:w="28" w:type="dxa"/>
              <w:left w:w="28" w:type="dxa"/>
            </w:tcMar>
          </w:tcPr>
          <w:p w14:paraId="2F0EBE03" w14:textId="77777777" w:rsidR="008F47B8" w:rsidRPr="006D52A9" w:rsidDel="004D64E6" w:rsidRDefault="008F47B8" w:rsidP="00FB6D2D">
            <w:pPr>
              <w:spacing w:line="240" w:lineRule="auto"/>
              <w:rPr>
                <w:rFonts w:ascii="Arial" w:hAnsi="Arial" w:cs="Arial"/>
                <w:sz w:val="16"/>
                <w:szCs w:val="16"/>
              </w:rPr>
            </w:pPr>
          </w:p>
        </w:tc>
        <w:tc>
          <w:tcPr>
            <w:tcW w:w="2867" w:type="pct"/>
            <w:tcMar>
              <w:top w:w="28" w:type="dxa"/>
              <w:left w:w="28" w:type="dxa"/>
            </w:tcMar>
          </w:tcPr>
          <w:p w14:paraId="639C49F0"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t xml:space="preserve">Cystic fibrosis </w:t>
            </w:r>
            <w:r w:rsidR="0026100E">
              <w:rPr>
                <w:rFonts w:ascii="Arial" w:hAnsi="Arial" w:cs="Arial"/>
                <w:sz w:val="16"/>
                <w:szCs w:val="16"/>
              </w:rPr>
              <w:noBreakHyphen/>
            </w:r>
            <w:r w:rsidRPr="006D52A9">
              <w:rPr>
                <w:rFonts w:ascii="Arial" w:hAnsi="Arial" w:cs="Arial"/>
                <w:sz w:val="16"/>
                <w:szCs w:val="16"/>
              </w:rPr>
              <w:t xml:space="preserve"> one residual function (RF) mutation</w:t>
            </w:r>
            <w:r w:rsidRPr="006D52A9">
              <w:rPr>
                <w:rFonts w:ascii="Arial" w:hAnsi="Arial" w:cs="Arial"/>
                <w:sz w:val="16"/>
                <w:szCs w:val="16"/>
              </w:rPr>
              <w:br/>
              <w:t>Continuing treatment</w:t>
            </w:r>
            <w:r w:rsidRPr="006D52A9">
              <w:rPr>
                <w:rFonts w:ascii="Arial" w:hAnsi="Arial" w:cs="Arial"/>
                <w:sz w:val="16"/>
                <w:szCs w:val="16"/>
              </w:rPr>
              <w:br/>
              <w:t>Must be treated by a specialist respiratory physician with expertise in cystic fibrosis or in consultation with a specialist respiratory physician with expertise in cystic fibrosis if attendance is not possible due to geographic isolation; AND</w:t>
            </w:r>
            <w:r w:rsidRPr="006D52A9">
              <w:rPr>
                <w:rFonts w:ascii="Arial" w:hAnsi="Arial" w:cs="Arial"/>
                <w:sz w:val="16"/>
                <w:szCs w:val="16"/>
              </w:rPr>
              <w:br/>
              <w:t>Must be treated in a centre with expertise in cystic fibrosis or in consultation with a centre with expertise in cystic fibrosis if attendance is not possible due to geographic isolation.</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The treatment must be the sole PBS</w:t>
            </w:r>
            <w:r w:rsidR="0026100E">
              <w:rPr>
                <w:rFonts w:ascii="Arial" w:hAnsi="Arial" w:cs="Arial"/>
                <w:sz w:val="16"/>
                <w:szCs w:val="16"/>
              </w:rPr>
              <w:noBreakHyphen/>
            </w:r>
            <w:r w:rsidRPr="006D52A9">
              <w:rPr>
                <w:rFonts w:ascii="Arial" w:hAnsi="Arial" w:cs="Arial"/>
                <w:sz w:val="16"/>
                <w:szCs w:val="16"/>
              </w:rPr>
              <w:t>subsidised cystic fibrosis transmembrane conductance regulator (CFTR) modulator therapy for this condition; AND</w:t>
            </w:r>
            <w:r w:rsidRPr="006D52A9">
              <w:rPr>
                <w:rFonts w:ascii="Arial" w:hAnsi="Arial" w:cs="Arial"/>
                <w:sz w:val="16"/>
                <w:szCs w:val="16"/>
              </w:rPr>
              <w:br/>
              <w:t>The treatment must be given concomitantly with standard therapy for this condition.</w:t>
            </w:r>
            <w:r w:rsidRPr="006D52A9">
              <w:rPr>
                <w:rFonts w:ascii="Arial" w:hAnsi="Arial" w:cs="Arial"/>
                <w:sz w:val="16"/>
                <w:szCs w:val="16"/>
              </w:rPr>
              <w:br/>
              <w:t>Patient must be 12 years of age or older.</w:t>
            </w:r>
            <w:r w:rsidRPr="006D52A9">
              <w:rPr>
                <w:rFonts w:ascii="Arial" w:hAnsi="Arial" w:cs="Arial"/>
                <w:sz w:val="16"/>
                <w:szCs w:val="16"/>
              </w:rPr>
              <w:br/>
              <w:t>Treatment must not be given to a patient who has an acute upper or lower respiratory infection, pulmonary exacerbation, or changes in therapy (including antibiotics) for pulmonary disease in the last 4 weeks prior to commencing this drug.</w:t>
            </w:r>
            <w:r w:rsidRPr="006D52A9">
              <w:rPr>
                <w:rFonts w:ascii="Arial" w:hAnsi="Arial" w:cs="Arial"/>
                <w:sz w:val="16"/>
                <w:szCs w:val="16"/>
              </w:rPr>
              <w:br/>
              <w:t>Patients who have an acute infective exacerbation at the time of assessment for continuing therapy may receive an additional one month’s supply in order to enable the assessment to be repeated following resolution of the exacerbation.</w:t>
            </w:r>
            <w:r w:rsidRPr="006D52A9">
              <w:rPr>
                <w:rFonts w:ascii="Arial" w:hAnsi="Arial" w:cs="Arial"/>
                <w:sz w:val="16"/>
                <w:szCs w:val="16"/>
              </w:rPr>
              <w:br/>
            </w:r>
            <w:r w:rsidRPr="006D52A9">
              <w:rPr>
                <w:rFonts w:ascii="Arial" w:hAnsi="Arial" w:cs="Arial"/>
                <w:sz w:val="16"/>
                <w:szCs w:val="16"/>
              </w:rPr>
              <w:lastRenderedPageBreak/>
              <w:t>For the purposes of this restriction, PBS subsidised ‘CFTR modulator’ means ivacaftor, lumacaftor/ivacaftor and tezacaftor/ivacaftor.</w:t>
            </w:r>
            <w:r w:rsidRPr="006D52A9">
              <w:rPr>
                <w:rFonts w:ascii="Arial" w:hAnsi="Arial" w:cs="Arial"/>
                <w:sz w:val="16"/>
                <w:szCs w:val="16"/>
              </w:rPr>
              <w:br/>
              <w:t>Dosage of tezacaftor with ivacaftor is tezacaftor 100 mg/ivacaftor 150 mg and ivacaftor 150 mg tablets on alternate days if the patient is concomitantly receiving one of the following moderate CYP3A4 drugs inhibitors: amprenavir, aprepitant, atazanavir, darunavir/ritonavir, diltiazem, erythromycin, fluconazole, fosamprenavir, imatinib, verapamil.</w:t>
            </w:r>
            <w:r w:rsidRPr="006D52A9">
              <w:rPr>
                <w:rFonts w:ascii="Arial" w:hAnsi="Arial" w:cs="Arial"/>
                <w:sz w:val="16"/>
                <w:szCs w:val="16"/>
              </w:rPr>
              <w:br/>
              <w:t>Dosage of tezacaftor with ivacaftor is tezacaftor 100 mg/ivacaftor 150 mg twice weekly (approximately 3 or 4 days apart) if the patient is concomitantly receiving one of the following strong CYP3A4 inhibitors: boceprevir, clarithromycin, conivaptan, indinavir, itraconazole, ketoconazole, lopinavir/ritonavir, mibefradil, nefazodone, nelfinavir, posaconazole, ritonavir, saquinavir, telaprevir, telithromycin, voriconazole.</w:t>
            </w:r>
            <w:r w:rsidRPr="006D52A9">
              <w:rPr>
                <w:rFonts w:ascii="Arial" w:hAnsi="Arial" w:cs="Arial"/>
                <w:sz w:val="16"/>
                <w:szCs w:val="16"/>
              </w:rPr>
              <w:br/>
              <w:t>Tezacaftor with ivacaftor is not PBS</w:t>
            </w:r>
            <w:r w:rsidR="0026100E">
              <w:rPr>
                <w:rFonts w:ascii="Arial" w:hAnsi="Arial" w:cs="Arial"/>
                <w:sz w:val="16"/>
                <w:szCs w:val="16"/>
              </w:rPr>
              <w:noBreakHyphen/>
            </w:r>
            <w:r w:rsidRPr="006D52A9">
              <w:rPr>
                <w:rFonts w:ascii="Arial" w:hAnsi="Arial" w:cs="Arial"/>
                <w:sz w:val="16"/>
                <w:szCs w:val="16"/>
              </w:rPr>
              <w:t>subsidised for this condition in a patient who is currently receiving one of the following CYP3A4 inducers:</w:t>
            </w:r>
            <w:r w:rsidRPr="006D52A9">
              <w:rPr>
                <w:rFonts w:ascii="Arial" w:hAnsi="Arial" w:cs="Arial"/>
                <w:sz w:val="16"/>
                <w:szCs w:val="16"/>
              </w:rPr>
              <w:br/>
              <w:t>Strong CYP3A4 inducers: avasimibe, carbamazepine, phenobarbital, phenytoin, rifabutin, rifampicin, St. John’s wort;</w:t>
            </w:r>
            <w:r w:rsidRPr="006D52A9">
              <w:rPr>
                <w:rFonts w:ascii="Arial" w:hAnsi="Arial" w:cs="Arial"/>
                <w:sz w:val="16"/>
                <w:szCs w:val="16"/>
              </w:rPr>
              <w:br/>
              <w:t>Moderate CYP3A4 inducers: bosentan, efavirenz, etravirine, modafinil, nafcillin;</w:t>
            </w:r>
            <w:r w:rsidRPr="006D52A9">
              <w:rPr>
                <w:rFonts w:ascii="Arial" w:hAnsi="Arial" w:cs="Arial"/>
                <w:sz w:val="16"/>
                <w:szCs w:val="16"/>
              </w:rPr>
              <w:br/>
              <w:t>Weak CYP3A4 inducers: armodafinil, echinacea, pioglitazone, rufinamide.</w:t>
            </w:r>
            <w:r w:rsidRPr="006D52A9">
              <w:rPr>
                <w:rFonts w:ascii="Arial" w:hAnsi="Arial" w:cs="Arial"/>
                <w:sz w:val="16"/>
                <w:szCs w:val="16"/>
              </w:rPr>
              <w:br/>
              <w:t>The authority application must be in writing and must include:</w:t>
            </w:r>
            <w:r w:rsidRPr="006D52A9">
              <w:rPr>
                <w:rFonts w:ascii="Arial" w:hAnsi="Arial" w:cs="Arial"/>
                <w:sz w:val="16"/>
                <w:szCs w:val="16"/>
              </w:rPr>
              <w:br/>
              <w:t>(1) a completed authority prescription form; and</w:t>
            </w:r>
            <w:r w:rsidRPr="006D52A9">
              <w:rPr>
                <w:rFonts w:ascii="Arial" w:hAnsi="Arial" w:cs="Arial"/>
                <w:sz w:val="16"/>
                <w:szCs w:val="16"/>
              </w:rPr>
              <w:br/>
              <w:t>(2) a completed Cystic Fibrosis tezacaftor with ivacaftor Continuing Authority Application Supporting Information Form; and</w:t>
            </w:r>
            <w:r w:rsidRPr="006D52A9">
              <w:rPr>
                <w:rFonts w:ascii="Arial" w:hAnsi="Arial" w:cs="Arial"/>
                <w:sz w:val="16"/>
                <w:szCs w:val="16"/>
              </w:rPr>
              <w:br/>
              <w:t>(3) the result of a FEV</w:t>
            </w:r>
            <w:r w:rsidRPr="006D52A9">
              <w:rPr>
                <w:rFonts w:ascii="Arial" w:hAnsi="Arial" w:cs="Arial"/>
                <w:sz w:val="16"/>
                <w:szCs w:val="16"/>
                <w:vertAlign w:val="subscript"/>
              </w:rPr>
              <w:t>1</w:t>
            </w:r>
            <w:r w:rsidRPr="006D52A9">
              <w:rPr>
                <w:rFonts w:ascii="Arial" w:hAnsi="Arial" w:cs="Arial"/>
                <w:sz w:val="16"/>
                <w:szCs w:val="16"/>
              </w:rPr>
              <w:t>measurement performed within a month prior to the date of application. Note: FEV</w:t>
            </w:r>
            <w:r w:rsidRPr="006D52A9">
              <w:rPr>
                <w:rFonts w:ascii="Arial" w:hAnsi="Arial" w:cs="Arial"/>
                <w:sz w:val="16"/>
                <w:szCs w:val="16"/>
                <w:vertAlign w:val="subscript"/>
              </w:rPr>
              <w:t>1</w:t>
            </w:r>
            <w:r w:rsidRPr="006D52A9">
              <w:rPr>
                <w:rFonts w:ascii="Arial" w:hAnsi="Arial" w:cs="Arial"/>
                <w:sz w:val="16"/>
                <w:szCs w:val="16"/>
              </w:rPr>
              <w:t>, must be measured in an accredited pulmonary function laboratory, with documented no acute infective exacerbation at the time FEV</w:t>
            </w:r>
            <w:r w:rsidRPr="006D52A9">
              <w:rPr>
                <w:rFonts w:ascii="Arial" w:hAnsi="Arial" w:cs="Arial"/>
                <w:sz w:val="16"/>
                <w:szCs w:val="16"/>
                <w:vertAlign w:val="subscript"/>
              </w:rPr>
              <w:t>1</w:t>
            </w:r>
            <w:r w:rsidRPr="006D52A9">
              <w:rPr>
                <w:rFonts w:ascii="Arial" w:hAnsi="Arial" w:cs="Arial"/>
                <w:sz w:val="16"/>
                <w:szCs w:val="16"/>
              </w:rPr>
              <w:t>is measured; and</w:t>
            </w:r>
            <w:r w:rsidRPr="006D52A9">
              <w:rPr>
                <w:rFonts w:ascii="Arial" w:hAnsi="Arial" w:cs="Arial"/>
                <w:sz w:val="16"/>
                <w:szCs w:val="16"/>
              </w:rPr>
              <w:br/>
              <w:t>(4) current CYP3A4 inhibitors, CYP3A4 inducers and IV antibiotics; and</w:t>
            </w:r>
            <w:r w:rsidRPr="006D52A9">
              <w:rPr>
                <w:rFonts w:ascii="Arial" w:hAnsi="Arial" w:cs="Arial"/>
                <w:sz w:val="16"/>
                <w:szCs w:val="16"/>
              </w:rPr>
              <w:br/>
              <w:t>(5) height and weight measurements at the time of application; and</w:t>
            </w:r>
            <w:r w:rsidRPr="006D52A9">
              <w:rPr>
                <w:rFonts w:ascii="Arial" w:hAnsi="Arial" w:cs="Arial"/>
                <w:sz w:val="16"/>
                <w:szCs w:val="16"/>
              </w:rPr>
              <w:br/>
              <w:t>(6) the number of days of CF</w:t>
            </w:r>
            <w:r w:rsidR="0026100E">
              <w:rPr>
                <w:rFonts w:ascii="Arial" w:hAnsi="Arial" w:cs="Arial"/>
                <w:sz w:val="16"/>
                <w:szCs w:val="16"/>
              </w:rPr>
              <w:noBreakHyphen/>
            </w:r>
            <w:r w:rsidRPr="006D52A9">
              <w:rPr>
                <w:rFonts w:ascii="Arial" w:hAnsi="Arial" w:cs="Arial"/>
                <w:sz w:val="16"/>
                <w:szCs w:val="16"/>
              </w:rPr>
              <w:t>related hospitalisation (including hospital</w:t>
            </w:r>
            <w:r w:rsidR="0026100E">
              <w:rPr>
                <w:rFonts w:ascii="Arial" w:hAnsi="Arial" w:cs="Arial"/>
                <w:sz w:val="16"/>
                <w:szCs w:val="16"/>
              </w:rPr>
              <w:noBreakHyphen/>
            </w:r>
            <w:r w:rsidRPr="006D52A9">
              <w:rPr>
                <w:rFonts w:ascii="Arial" w:hAnsi="Arial" w:cs="Arial"/>
                <w:sz w:val="16"/>
                <w:szCs w:val="16"/>
              </w:rPr>
              <w:t>in</w:t>
            </w:r>
            <w:r w:rsidR="0026100E">
              <w:rPr>
                <w:rFonts w:ascii="Arial" w:hAnsi="Arial" w:cs="Arial"/>
                <w:sz w:val="16"/>
                <w:szCs w:val="16"/>
              </w:rPr>
              <w:noBreakHyphen/>
            </w:r>
            <w:r w:rsidRPr="006D52A9">
              <w:rPr>
                <w:rFonts w:ascii="Arial" w:hAnsi="Arial" w:cs="Arial"/>
                <w:sz w:val="16"/>
                <w:szCs w:val="16"/>
              </w:rPr>
              <w:t>the home) in the previous 6 months.</w:t>
            </w:r>
          </w:p>
        </w:tc>
        <w:tc>
          <w:tcPr>
            <w:tcW w:w="938" w:type="pct"/>
            <w:tcMar>
              <w:top w:w="28" w:type="dxa"/>
              <w:left w:w="28" w:type="dxa"/>
              <w:right w:w="57" w:type="dxa"/>
            </w:tcMar>
          </w:tcPr>
          <w:p w14:paraId="7DCD55A6" w14:textId="77777777" w:rsidR="008F47B8" w:rsidRPr="006D52A9" w:rsidDel="004D64E6" w:rsidRDefault="008F47B8" w:rsidP="00FB6D2D">
            <w:pPr>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D332F3" w14:paraId="7CEC4758" w14:textId="77777777" w:rsidTr="00FB6D2D">
        <w:tc>
          <w:tcPr>
            <w:tcW w:w="647" w:type="pct"/>
            <w:shd w:val="clear" w:color="auto" w:fill="auto"/>
            <w:tcMar>
              <w:top w:w="28" w:type="dxa"/>
              <w:left w:w="28" w:type="dxa"/>
            </w:tcMar>
          </w:tcPr>
          <w:p w14:paraId="5F6931FD" w14:textId="77777777" w:rsidR="008F47B8" w:rsidRPr="006D52A9" w:rsidDel="00D332F3" w:rsidRDefault="008F47B8" w:rsidP="00FB6D2D">
            <w:pPr>
              <w:spacing w:line="240" w:lineRule="auto"/>
              <w:rPr>
                <w:rFonts w:ascii="Arial" w:eastAsia="SimSun" w:hAnsi="Arial" w:cs="Arial"/>
                <w:sz w:val="16"/>
                <w:szCs w:val="16"/>
                <w:lang w:eastAsia="zh-CN"/>
              </w:rPr>
            </w:pPr>
            <w:bookmarkStart w:id="247" w:name="CU_577880101"/>
            <w:bookmarkEnd w:id="247"/>
            <w:r w:rsidRPr="006D52A9">
              <w:rPr>
                <w:rFonts w:ascii="Arial" w:hAnsi="Arial" w:cs="Arial"/>
                <w:sz w:val="16"/>
                <w:szCs w:val="16"/>
              </w:rPr>
              <w:t>Thalidomide</w:t>
            </w:r>
          </w:p>
        </w:tc>
        <w:tc>
          <w:tcPr>
            <w:tcW w:w="283" w:type="pct"/>
            <w:shd w:val="clear" w:color="auto" w:fill="auto"/>
            <w:tcMar>
              <w:top w:w="28" w:type="dxa"/>
              <w:left w:w="28" w:type="dxa"/>
            </w:tcMar>
          </w:tcPr>
          <w:p w14:paraId="61AFB098" w14:textId="77777777" w:rsidR="008F47B8" w:rsidRPr="006D52A9" w:rsidDel="00D332F3"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C5914</w:t>
            </w:r>
          </w:p>
        </w:tc>
        <w:tc>
          <w:tcPr>
            <w:tcW w:w="265" w:type="pct"/>
            <w:shd w:val="clear" w:color="auto" w:fill="auto"/>
            <w:tcMar>
              <w:top w:w="28" w:type="dxa"/>
              <w:left w:w="28" w:type="dxa"/>
            </w:tcMar>
          </w:tcPr>
          <w:p w14:paraId="2C169076" w14:textId="77777777" w:rsidR="008F47B8" w:rsidRPr="006D52A9" w:rsidDel="00D332F3"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78B0BF27" w14:textId="77777777" w:rsidR="008F47B8" w:rsidRPr="006D52A9" w:rsidDel="00D332F3"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Multiple myeloma</w:t>
            </w:r>
          </w:p>
        </w:tc>
        <w:tc>
          <w:tcPr>
            <w:tcW w:w="938" w:type="pct"/>
            <w:shd w:val="clear" w:color="auto" w:fill="auto"/>
            <w:tcMar>
              <w:top w:w="28" w:type="dxa"/>
              <w:left w:w="28" w:type="dxa"/>
              <w:right w:w="57" w:type="dxa"/>
            </w:tcMar>
          </w:tcPr>
          <w:p w14:paraId="2FA23587" w14:textId="77777777" w:rsidR="008F47B8" w:rsidRPr="006D52A9" w:rsidDel="00D332F3" w:rsidRDefault="008F47B8" w:rsidP="00FB6D2D">
            <w:pPr>
              <w:spacing w:line="240" w:lineRule="auto"/>
              <w:rPr>
                <w:rFonts w:ascii="Arial" w:eastAsia="SimSun" w:hAnsi="Arial" w:cs="Arial"/>
                <w:sz w:val="16"/>
                <w:szCs w:val="16"/>
                <w:lang w:eastAsia="zh-CN"/>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5914</w:t>
            </w:r>
          </w:p>
        </w:tc>
      </w:tr>
      <w:tr w:rsidR="008F47B8" w:rsidRPr="006D52A9" w:rsidDel="00D332F3" w14:paraId="555F6D5A" w14:textId="77777777" w:rsidTr="00FB6D2D">
        <w:tc>
          <w:tcPr>
            <w:tcW w:w="647" w:type="pct"/>
            <w:shd w:val="clear" w:color="auto" w:fill="auto"/>
            <w:tcMar>
              <w:top w:w="28" w:type="dxa"/>
              <w:left w:w="28" w:type="dxa"/>
            </w:tcMar>
          </w:tcPr>
          <w:p w14:paraId="0F79E9DE" w14:textId="77777777" w:rsidR="008F47B8" w:rsidRPr="006D52A9" w:rsidRDefault="008F47B8" w:rsidP="00FB6D2D">
            <w:pPr>
              <w:spacing w:line="240" w:lineRule="auto"/>
              <w:rPr>
                <w:rFonts w:ascii="Arial" w:hAnsi="Arial" w:cs="Arial"/>
                <w:sz w:val="16"/>
                <w:szCs w:val="16"/>
              </w:rPr>
            </w:pPr>
          </w:p>
        </w:tc>
        <w:tc>
          <w:tcPr>
            <w:tcW w:w="283" w:type="pct"/>
            <w:shd w:val="clear" w:color="auto" w:fill="auto"/>
            <w:tcMar>
              <w:top w:w="28" w:type="dxa"/>
              <w:left w:w="28" w:type="dxa"/>
            </w:tcMar>
          </w:tcPr>
          <w:p w14:paraId="530D9688"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C9290</w:t>
            </w:r>
          </w:p>
        </w:tc>
        <w:tc>
          <w:tcPr>
            <w:tcW w:w="265" w:type="pct"/>
            <w:shd w:val="clear" w:color="auto" w:fill="auto"/>
            <w:tcMar>
              <w:top w:w="28" w:type="dxa"/>
              <w:left w:w="28" w:type="dxa"/>
            </w:tcMar>
          </w:tcPr>
          <w:p w14:paraId="4B54B1AD" w14:textId="77777777" w:rsidR="008F47B8" w:rsidRPr="006D52A9" w:rsidDel="00D332F3" w:rsidRDefault="008F47B8" w:rsidP="00FB6D2D">
            <w:pPr>
              <w:spacing w:line="240" w:lineRule="auto"/>
              <w:rPr>
                <w:rFonts w:ascii="Arial" w:eastAsia="SimSun" w:hAnsi="Arial" w:cs="Arial"/>
                <w:sz w:val="16"/>
                <w:szCs w:val="16"/>
                <w:lang w:eastAsia="zh-CN"/>
              </w:rPr>
            </w:pPr>
          </w:p>
        </w:tc>
        <w:tc>
          <w:tcPr>
            <w:tcW w:w="2867" w:type="pct"/>
            <w:shd w:val="clear" w:color="auto" w:fill="auto"/>
            <w:tcMar>
              <w:top w:w="28" w:type="dxa"/>
              <w:left w:w="28" w:type="dxa"/>
            </w:tcMar>
          </w:tcPr>
          <w:p w14:paraId="0B3124A0"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Multiple myeloma</w:t>
            </w:r>
          </w:p>
        </w:tc>
        <w:tc>
          <w:tcPr>
            <w:tcW w:w="938" w:type="pct"/>
            <w:shd w:val="clear" w:color="auto" w:fill="auto"/>
            <w:tcMar>
              <w:top w:w="28" w:type="dxa"/>
              <w:left w:w="28" w:type="dxa"/>
              <w:right w:w="57" w:type="dxa"/>
            </w:tcMar>
          </w:tcPr>
          <w:p w14:paraId="7756BB61" w14:textId="77777777" w:rsidR="008F47B8" w:rsidRPr="006D52A9" w:rsidRDefault="008F47B8" w:rsidP="00FB6D2D">
            <w:pPr>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9290</w:t>
            </w:r>
          </w:p>
        </w:tc>
      </w:tr>
      <w:tr w:rsidR="008F47B8" w:rsidRPr="006D52A9" w:rsidDel="00E7459D" w14:paraId="3874B536" w14:textId="77777777" w:rsidTr="00FB6D2D">
        <w:tc>
          <w:tcPr>
            <w:tcW w:w="647" w:type="pct"/>
            <w:tcBorders>
              <w:bottom w:val="single" w:sz="4" w:space="0" w:color="auto"/>
            </w:tcBorders>
            <w:shd w:val="clear" w:color="auto" w:fill="auto"/>
            <w:tcMar>
              <w:top w:w="28" w:type="dxa"/>
              <w:left w:w="28" w:type="dxa"/>
            </w:tcMar>
          </w:tcPr>
          <w:p w14:paraId="48F2EBF0" w14:textId="77777777" w:rsidR="008F47B8" w:rsidRPr="006D52A9" w:rsidDel="00E7459D" w:rsidRDefault="008F47B8" w:rsidP="00FB6D2D">
            <w:pPr>
              <w:spacing w:line="240" w:lineRule="auto"/>
              <w:rPr>
                <w:rFonts w:ascii="Arial" w:eastAsia="SimSun" w:hAnsi="Arial" w:cs="Arial"/>
                <w:sz w:val="16"/>
                <w:szCs w:val="16"/>
                <w:lang w:eastAsia="zh-CN"/>
              </w:rPr>
            </w:pPr>
            <w:bookmarkStart w:id="248" w:name="CU_579881156"/>
            <w:bookmarkEnd w:id="248"/>
            <w:r w:rsidRPr="006D52A9">
              <w:rPr>
                <w:rFonts w:ascii="Arial" w:eastAsia="SimSun" w:hAnsi="Arial" w:cs="Arial"/>
                <w:sz w:val="16"/>
                <w:szCs w:val="16"/>
                <w:lang w:eastAsia="zh-CN"/>
              </w:rPr>
              <w:t>Tipranavir</w:t>
            </w:r>
          </w:p>
        </w:tc>
        <w:tc>
          <w:tcPr>
            <w:tcW w:w="283" w:type="pct"/>
            <w:tcBorders>
              <w:bottom w:val="single" w:sz="4" w:space="0" w:color="auto"/>
            </w:tcBorders>
            <w:shd w:val="clear" w:color="auto" w:fill="auto"/>
            <w:tcMar>
              <w:top w:w="28" w:type="dxa"/>
              <w:left w:w="28" w:type="dxa"/>
            </w:tcMar>
          </w:tcPr>
          <w:p w14:paraId="2A5232A7"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C5764</w:t>
            </w:r>
          </w:p>
        </w:tc>
        <w:tc>
          <w:tcPr>
            <w:tcW w:w="265" w:type="pct"/>
            <w:tcBorders>
              <w:bottom w:val="single" w:sz="4" w:space="0" w:color="auto"/>
            </w:tcBorders>
            <w:shd w:val="clear" w:color="auto" w:fill="auto"/>
            <w:tcMar>
              <w:top w:w="28" w:type="dxa"/>
              <w:left w:w="28" w:type="dxa"/>
            </w:tcMar>
          </w:tcPr>
          <w:p w14:paraId="2E6DE9B1" w14:textId="77777777" w:rsidR="008F47B8" w:rsidRPr="006D52A9" w:rsidDel="00E7459D" w:rsidRDefault="008F47B8" w:rsidP="00FB6D2D">
            <w:pPr>
              <w:spacing w:line="240" w:lineRule="auto"/>
              <w:rPr>
                <w:rFonts w:ascii="Arial" w:eastAsia="SimSun" w:hAnsi="Arial" w:cs="Arial"/>
                <w:sz w:val="16"/>
                <w:szCs w:val="16"/>
                <w:lang w:eastAsia="zh-CN"/>
              </w:rPr>
            </w:pPr>
          </w:p>
        </w:tc>
        <w:tc>
          <w:tcPr>
            <w:tcW w:w="2867" w:type="pct"/>
            <w:tcBorders>
              <w:bottom w:val="single" w:sz="4" w:space="0" w:color="auto"/>
            </w:tcBorders>
            <w:shd w:val="clear" w:color="auto" w:fill="auto"/>
            <w:tcMar>
              <w:top w:w="28" w:type="dxa"/>
              <w:left w:w="28" w:type="dxa"/>
            </w:tcMar>
          </w:tcPr>
          <w:p w14:paraId="49AAE78B" w14:textId="77777777" w:rsidR="008F47B8" w:rsidRPr="006D52A9"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HIV infection</w:t>
            </w:r>
          </w:p>
          <w:p w14:paraId="3C819AD6"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t>The treatment must be in addition to optimised background therapy, AND</w:t>
            </w:r>
            <w:r w:rsidRPr="006D52A9">
              <w:rPr>
                <w:rFonts w:ascii="Arial" w:eastAsia="SimSun" w:hAnsi="Arial" w:cs="Arial"/>
                <w:sz w:val="16"/>
                <w:szCs w:val="16"/>
                <w:lang w:eastAsia="zh-CN"/>
              </w:rPr>
              <w:br/>
              <w:t>The treatment must be in combination with other antiretroviral agents, AND</w:t>
            </w:r>
            <w:r w:rsidRPr="006D52A9">
              <w:rPr>
                <w:rFonts w:ascii="Arial" w:eastAsia="SimSun" w:hAnsi="Arial" w:cs="Arial"/>
                <w:sz w:val="16"/>
                <w:szCs w:val="16"/>
                <w:lang w:eastAsia="zh-CN"/>
              </w:rPr>
              <w:br/>
              <w:t>Patient must be antiretroviral experienced, AND</w:t>
            </w:r>
            <w:r w:rsidRPr="006D52A9">
              <w:rPr>
                <w:rFonts w:ascii="Arial" w:eastAsia="SimSun" w:hAnsi="Arial" w:cs="Arial"/>
                <w:sz w:val="16"/>
                <w:szCs w:val="16"/>
                <w:lang w:eastAsia="zh-CN"/>
              </w:rPr>
              <w:br/>
              <w:t>The treatment must be co</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administered with 200 mg ritonavir twice daily, AND</w:t>
            </w:r>
            <w:r w:rsidRPr="006D52A9">
              <w:rPr>
                <w:rFonts w:ascii="Arial" w:eastAsia="SimSun" w:hAnsi="Arial" w:cs="Arial"/>
                <w:sz w:val="16"/>
                <w:szCs w:val="16"/>
                <w:lang w:eastAsia="zh-CN"/>
              </w:rPr>
              <w:br/>
            </w:r>
            <w:r w:rsidRPr="006D52A9">
              <w:rPr>
                <w:rFonts w:ascii="Arial" w:eastAsia="SimSun" w:hAnsi="Arial" w:cs="Arial"/>
                <w:sz w:val="16"/>
                <w:szCs w:val="16"/>
                <w:lang w:eastAsia="zh-CN"/>
              </w:rPr>
              <w:lastRenderedPageBreak/>
              <w:t>Patient must have experienced virological failure or clinical failure or genotypic resistance after each of at least 3 different antiretroviral regimens that have included one drug from at least 3 different antiretroviral classes.</w:t>
            </w:r>
            <w:r w:rsidRPr="006D52A9">
              <w:rPr>
                <w:rFonts w:ascii="Arial" w:eastAsia="SimSun" w:hAnsi="Arial" w:cs="Arial"/>
                <w:sz w:val="16"/>
                <w:szCs w:val="16"/>
                <w:lang w:eastAsia="zh-CN"/>
              </w:rPr>
              <w:br/>
              <w:t>Virological failure is defined as a viral load greater than 400 copies per mL on two consecutive occasions, while clinical failure is linked to emerging signs and symptoms of progressing HIV infection or treatment</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limiting toxicity.</w:t>
            </w:r>
          </w:p>
        </w:tc>
        <w:tc>
          <w:tcPr>
            <w:tcW w:w="938" w:type="pct"/>
            <w:tcBorders>
              <w:bottom w:val="single" w:sz="4" w:space="0" w:color="auto"/>
            </w:tcBorders>
            <w:shd w:val="clear" w:color="auto" w:fill="auto"/>
            <w:tcMar>
              <w:top w:w="28" w:type="dxa"/>
              <w:left w:w="28" w:type="dxa"/>
              <w:right w:w="57" w:type="dxa"/>
            </w:tcMar>
          </w:tcPr>
          <w:p w14:paraId="531DC754" w14:textId="77777777" w:rsidR="008F47B8" w:rsidRPr="006D52A9" w:rsidDel="00E7459D" w:rsidRDefault="008F47B8" w:rsidP="00FB6D2D">
            <w:pPr>
              <w:spacing w:line="240" w:lineRule="auto"/>
              <w:rPr>
                <w:rFonts w:ascii="Arial" w:eastAsia="SimSun" w:hAnsi="Arial" w:cs="Arial"/>
                <w:sz w:val="16"/>
                <w:szCs w:val="16"/>
                <w:lang w:eastAsia="zh-CN"/>
              </w:rPr>
            </w:pPr>
            <w:r w:rsidRPr="006D52A9">
              <w:rPr>
                <w:rFonts w:ascii="Arial" w:eastAsia="SimSun" w:hAnsi="Arial" w:cs="Arial"/>
                <w:sz w:val="16"/>
                <w:szCs w:val="16"/>
                <w:lang w:eastAsia="zh-CN"/>
              </w:rPr>
              <w:lastRenderedPageBreak/>
              <w:t xml:space="preserve">Compliance with Authority Required procedures </w:t>
            </w:r>
            <w:r w:rsidR="0026100E">
              <w:rPr>
                <w:rFonts w:ascii="Arial" w:eastAsia="SimSun" w:hAnsi="Arial" w:cs="Arial"/>
                <w:sz w:val="16"/>
                <w:szCs w:val="16"/>
                <w:lang w:eastAsia="zh-CN"/>
              </w:rPr>
              <w:noBreakHyphen/>
            </w:r>
            <w:r w:rsidRPr="006D52A9">
              <w:rPr>
                <w:rFonts w:ascii="Arial" w:eastAsia="SimSun" w:hAnsi="Arial" w:cs="Arial"/>
                <w:sz w:val="16"/>
                <w:szCs w:val="16"/>
                <w:lang w:eastAsia="zh-CN"/>
              </w:rPr>
              <w:t xml:space="preserve"> Streamlined Authority Code 5764</w:t>
            </w:r>
          </w:p>
        </w:tc>
      </w:tr>
      <w:tr w:rsidR="008F47B8" w:rsidRPr="006D52A9" w:rsidDel="00483757" w14:paraId="786107AB" w14:textId="77777777" w:rsidTr="00FB6D2D">
        <w:tc>
          <w:tcPr>
            <w:tcW w:w="647" w:type="pct"/>
            <w:tcBorders>
              <w:bottom w:val="single" w:sz="4" w:space="0" w:color="auto"/>
            </w:tcBorders>
            <w:shd w:val="clear" w:color="auto" w:fill="auto"/>
            <w:tcMar>
              <w:top w:w="28" w:type="dxa"/>
              <w:left w:w="28" w:type="dxa"/>
            </w:tcMar>
          </w:tcPr>
          <w:p w14:paraId="7058AE55" w14:textId="77777777" w:rsidR="008F47B8" w:rsidRPr="006D52A9" w:rsidDel="00483757" w:rsidRDefault="008F47B8" w:rsidP="00FB6D2D">
            <w:pPr>
              <w:widowControl w:val="0"/>
              <w:spacing w:line="240" w:lineRule="auto"/>
              <w:rPr>
                <w:rFonts w:ascii="Arial" w:hAnsi="Arial" w:cs="Arial"/>
                <w:sz w:val="16"/>
                <w:szCs w:val="16"/>
              </w:rPr>
            </w:pPr>
            <w:bookmarkStart w:id="249" w:name="CU_580882040"/>
            <w:bookmarkStart w:id="250" w:name="CU_581888204"/>
            <w:bookmarkStart w:id="251" w:name="CU_582891433"/>
            <w:bookmarkStart w:id="252" w:name="CU_584898293"/>
            <w:bookmarkStart w:id="253" w:name="CU_585898929"/>
            <w:bookmarkStart w:id="254" w:name="CU_587907153"/>
            <w:bookmarkStart w:id="255" w:name="CU_588907784"/>
            <w:bookmarkStart w:id="256" w:name="CU_589908889"/>
            <w:bookmarkStart w:id="257" w:name="CU_590912603"/>
            <w:bookmarkStart w:id="258" w:name="CU_591919077"/>
            <w:bookmarkStart w:id="259" w:name="CU_594927182"/>
            <w:bookmarkStart w:id="260" w:name="CU_595928260"/>
            <w:bookmarkEnd w:id="249"/>
            <w:bookmarkEnd w:id="250"/>
            <w:bookmarkEnd w:id="251"/>
            <w:bookmarkEnd w:id="252"/>
            <w:bookmarkEnd w:id="253"/>
            <w:bookmarkEnd w:id="254"/>
            <w:bookmarkEnd w:id="255"/>
            <w:bookmarkEnd w:id="256"/>
            <w:bookmarkEnd w:id="257"/>
            <w:bookmarkEnd w:id="258"/>
            <w:bookmarkEnd w:id="259"/>
            <w:bookmarkEnd w:id="260"/>
            <w:r w:rsidRPr="006D52A9">
              <w:rPr>
                <w:rFonts w:ascii="Arial" w:eastAsia="SimSun" w:hAnsi="Arial" w:cs="Arial"/>
                <w:sz w:val="16"/>
                <w:szCs w:val="16"/>
                <w:lang w:eastAsia="zh-CN"/>
              </w:rPr>
              <w:t>Tocilizumab</w:t>
            </w:r>
          </w:p>
        </w:tc>
        <w:tc>
          <w:tcPr>
            <w:tcW w:w="283" w:type="pct"/>
            <w:tcBorders>
              <w:bottom w:val="single" w:sz="4" w:space="0" w:color="auto"/>
            </w:tcBorders>
            <w:shd w:val="clear" w:color="auto" w:fill="auto"/>
            <w:tcMar>
              <w:top w:w="28" w:type="dxa"/>
              <w:left w:w="28" w:type="dxa"/>
            </w:tcMar>
          </w:tcPr>
          <w:p w14:paraId="1524EB4B"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C8627</w:t>
            </w:r>
          </w:p>
        </w:tc>
        <w:tc>
          <w:tcPr>
            <w:tcW w:w="265" w:type="pct"/>
            <w:tcBorders>
              <w:bottom w:val="single" w:sz="4" w:space="0" w:color="auto"/>
            </w:tcBorders>
            <w:shd w:val="clear" w:color="auto" w:fill="auto"/>
            <w:tcMar>
              <w:top w:w="28" w:type="dxa"/>
              <w:left w:w="28" w:type="dxa"/>
            </w:tcMar>
          </w:tcPr>
          <w:p w14:paraId="44634BD3" w14:textId="77777777" w:rsidR="008F47B8" w:rsidRPr="006D52A9"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060C49B"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Severe active rheumatoid arthritis</w:t>
            </w:r>
            <w:r w:rsidRPr="006D52A9">
              <w:rPr>
                <w:rFonts w:ascii="Arial" w:hAnsi="Arial" w:cs="Arial"/>
                <w:sz w:val="16"/>
                <w:szCs w:val="16"/>
              </w:rPr>
              <w:br/>
              <w:t xml:space="preserve">Continuing Treatment </w:t>
            </w:r>
            <w:r w:rsidR="0026100E">
              <w:rPr>
                <w:rFonts w:ascii="Arial" w:hAnsi="Arial" w:cs="Arial"/>
                <w:sz w:val="16"/>
                <w:szCs w:val="16"/>
              </w:rPr>
              <w:noBreakHyphen/>
            </w:r>
            <w:r w:rsidRPr="006D52A9">
              <w:rPr>
                <w:rFonts w:ascii="Arial" w:hAnsi="Arial" w:cs="Arial"/>
                <w:sz w:val="16"/>
                <w:szCs w:val="16"/>
              </w:rPr>
              <w:t xml:space="preserve"> balance of supply.</w:t>
            </w:r>
            <w:r w:rsidRPr="006D52A9">
              <w:rPr>
                <w:rFonts w:ascii="Arial" w:hAnsi="Arial" w:cs="Arial"/>
                <w:sz w:val="16"/>
                <w:szCs w:val="16"/>
              </w:rPr>
              <w:br/>
              <w:t>Must be treated by a rheumatologist; OR</w:t>
            </w:r>
            <w:r w:rsidRPr="006D52A9">
              <w:rPr>
                <w:rFonts w:ascii="Arial" w:hAnsi="Arial" w:cs="Arial"/>
                <w:sz w:val="16"/>
                <w:szCs w:val="16"/>
              </w:rPr>
              <w:br/>
              <w:t>Must be treated by a clinical immunologist with expertise in the management of rheumatoid arthritis.</w:t>
            </w:r>
            <w:r w:rsidRPr="006D52A9">
              <w:rPr>
                <w:rFonts w:ascii="Arial" w:hAnsi="Arial" w:cs="Arial"/>
                <w:sz w:val="16"/>
                <w:szCs w:val="16"/>
              </w:rPr>
              <w:br/>
              <w:t>Patient must have received insufficient therapy with this drug for this condition under the continuing treatment restriction to complete 24 weeks treatment; AND</w:t>
            </w:r>
            <w:r w:rsidRPr="006D52A9">
              <w:rPr>
                <w:rFonts w:ascii="Arial" w:hAnsi="Arial" w:cs="Arial"/>
                <w:sz w:val="16"/>
                <w:szCs w:val="16"/>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14:paraId="0B6337D1"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6712FA" w14:paraId="30A068A8" w14:textId="77777777" w:rsidTr="00FB6D2D">
        <w:tc>
          <w:tcPr>
            <w:tcW w:w="647" w:type="pct"/>
            <w:tcBorders>
              <w:bottom w:val="single" w:sz="4" w:space="0" w:color="auto"/>
            </w:tcBorders>
            <w:shd w:val="clear" w:color="auto" w:fill="auto"/>
            <w:tcMar>
              <w:top w:w="28" w:type="dxa"/>
              <w:left w:w="28" w:type="dxa"/>
            </w:tcMar>
          </w:tcPr>
          <w:p w14:paraId="3D70148C"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0FD10838"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hAnsi="Arial" w:cs="Arial"/>
                <w:sz w:val="16"/>
                <w:szCs w:val="16"/>
                <w:lang w:eastAsia="en-AU"/>
              </w:rPr>
              <w:t>C8635</w:t>
            </w:r>
          </w:p>
        </w:tc>
        <w:tc>
          <w:tcPr>
            <w:tcW w:w="265" w:type="pct"/>
            <w:tcBorders>
              <w:bottom w:val="single" w:sz="4" w:space="0" w:color="auto"/>
            </w:tcBorders>
            <w:shd w:val="clear" w:color="auto" w:fill="auto"/>
            <w:tcMar>
              <w:top w:w="28" w:type="dxa"/>
              <w:left w:w="28" w:type="dxa"/>
            </w:tcMar>
          </w:tcPr>
          <w:p w14:paraId="6134F926"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8471879" w14:textId="77777777" w:rsidR="008F47B8" w:rsidRPr="006D52A9" w:rsidDel="006712FA" w:rsidRDefault="008F47B8" w:rsidP="00FB6D2D">
            <w:pPr>
              <w:pStyle w:val="mps3-data"/>
              <w:spacing w:before="0" w:after="0"/>
              <w:rPr>
                <w:szCs w:val="16"/>
              </w:rPr>
            </w:pPr>
            <w:r w:rsidRPr="006D52A9">
              <w:rPr>
                <w:rFonts w:eastAsia="Calibri"/>
                <w:szCs w:val="16"/>
                <w:lang w:eastAsia="en-US"/>
              </w:rPr>
              <w:t>Severe active rheumatoid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2 (change or re</w:t>
            </w:r>
            <w:r w:rsidR="0026100E">
              <w:rPr>
                <w:rFonts w:eastAsia="Calibri"/>
                <w:szCs w:val="16"/>
                <w:lang w:eastAsia="en-US"/>
              </w:rPr>
              <w:noBreakHyphen/>
            </w:r>
            <w:r w:rsidRPr="006D52A9">
              <w:rPr>
                <w:rFonts w:eastAsia="Calibri"/>
                <w:szCs w:val="16"/>
                <w:lang w:eastAsia="en-US"/>
              </w:rPr>
              <w:t>commencement of treatment after a break in biological medicine of less than 24 months)</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prior PBS</w:t>
            </w:r>
            <w:r w:rsidR="0026100E">
              <w:rPr>
                <w:rFonts w:eastAsia="Calibri"/>
                <w:szCs w:val="16"/>
                <w:lang w:eastAsia="en-US"/>
              </w:rPr>
              <w:noBreakHyphen/>
            </w:r>
            <w:r w:rsidRPr="006D52A9">
              <w:rPr>
                <w:rFonts w:eastAsia="Calibri"/>
                <w:szCs w:val="16"/>
                <w:lang w:eastAsia="en-US"/>
              </w:rPr>
              <w:t>subsidised treatment with a biological medicine for this condition; AND</w:t>
            </w:r>
            <w:r w:rsidRPr="006D52A9">
              <w:rPr>
                <w:rFonts w:eastAsia="Calibri"/>
                <w:szCs w:val="16"/>
                <w:lang w:eastAsia="en-US"/>
              </w:rPr>
              <w:br/>
              <w:t>Patient must not have failed to respond to previous PBS</w:t>
            </w:r>
            <w:r w:rsidR="0026100E">
              <w:rPr>
                <w:rFonts w:eastAsia="Calibri"/>
                <w:szCs w:val="16"/>
                <w:lang w:eastAsia="en-US"/>
              </w:rPr>
              <w:noBreakHyphen/>
            </w:r>
            <w:r w:rsidRPr="006D52A9">
              <w:rPr>
                <w:rFonts w:eastAsia="Calibri"/>
                <w:szCs w:val="16"/>
                <w:lang w:eastAsia="en-US"/>
              </w:rPr>
              <w:t>subsidised treatment with this drug for this condition; AND</w:t>
            </w:r>
            <w:r w:rsidRPr="006D52A9">
              <w:rPr>
                <w:rFonts w:eastAsia="Calibri"/>
                <w:szCs w:val="16"/>
                <w:lang w:eastAsia="en-US"/>
              </w:rPr>
              <w:br/>
              <w:t>Patient must not have already failed , or ceased to respond to, PBS</w:t>
            </w:r>
            <w:r w:rsidR="0026100E">
              <w:rPr>
                <w:rFonts w:eastAsia="Calibri"/>
                <w:szCs w:val="16"/>
                <w:lang w:eastAsia="en-US"/>
              </w:rPr>
              <w:noBreakHyphen/>
            </w:r>
            <w:r w:rsidRPr="006D52A9">
              <w:rPr>
                <w:rFonts w:eastAsia="Calibri"/>
                <w:szCs w:val="16"/>
                <w:lang w:eastAsia="en-US"/>
              </w:rPr>
              <w:t>subsidised biological medicine treatment for this condition 5 times;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An adequate response to treatment is defined as:</w:t>
            </w:r>
            <w:r w:rsidRPr="006D52A9">
              <w:rPr>
                <w:rFonts w:eastAsia="Calibri"/>
                <w:szCs w:val="16"/>
                <w:lang w:eastAsia="en-US"/>
              </w:rPr>
              <w:br/>
              <w:t>an ESR no greater than 25 mm per hour or a CRP level no greater than 15 mg per L or either marker reduced by at least 20% from baseline;</w:t>
            </w:r>
            <w:r w:rsidRPr="006D52A9">
              <w:rPr>
                <w:rFonts w:eastAsia="Calibri"/>
                <w:szCs w:val="16"/>
                <w:lang w:eastAsia="en-US"/>
              </w:rPr>
              <w:br/>
              <w:t>AND either of the following:</w:t>
            </w:r>
            <w:r w:rsidRPr="006D52A9">
              <w:rPr>
                <w:rFonts w:eastAsia="Calibri"/>
                <w:szCs w:val="16"/>
                <w:lang w:eastAsia="en-US"/>
              </w:rPr>
              <w:br/>
              <w:t>(a) a reduction in the total active (swollen and tender) joint count by at least 50% from baseline, where baseline is at least 20 active joints; or</w:t>
            </w:r>
            <w:r w:rsidRPr="006D52A9">
              <w:rPr>
                <w:rFonts w:eastAsia="Calibri"/>
                <w:szCs w:val="16"/>
                <w:lang w:eastAsia="en-US"/>
              </w:rPr>
              <w:br/>
              <w:t>(b) a reduction in the number of the following active joints, from at least 4, by at least 50%:</w:t>
            </w:r>
            <w:r w:rsidRPr="006D52A9">
              <w:rPr>
                <w:rFonts w:eastAsia="Calibri"/>
                <w:szCs w:val="16"/>
                <w:lang w:eastAsia="en-US"/>
              </w:rPr>
              <w:br/>
              <w:t>(i) elbow, wrist, knee and/or ankle (assessed as swollen and tender); and/or</w:t>
            </w:r>
            <w:r w:rsidRPr="006D52A9">
              <w:rPr>
                <w:rFonts w:eastAsia="Calibr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An application for a patient who has received PBS</w:t>
            </w:r>
            <w:r w:rsidR="0026100E">
              <w:rPr>
                <w:rFonts w:eastAsia="Calibri"/>
                <w:szCs w:val="16"/>
                <w:lang w:eastAsia="en-US"/>
              </w:rPr>
              <w:noBreakHyphen/>
            </w:r>
            <w:r w:rsidRPr="006D52A9">
              <w:rPr>
                <w:rFonts w:eastAsia="Calibri"/>
                <w:szCs w:val="16"/>
                <w:lang w:eastAsia="en-US"/>
              </w:rPr>
              <w:t>subsidised treatment with this drug and who wishes to re</w:t>
            </w:r>
            <w:r w:rsidR="0026100E">
              <w:rPr>
                <w:rFonts w:eastAsia="Calibri"/>
                <w:szCs w:val="16"/>
                <w:lang w:eastAsia="en-US"/>
              </w:rPr>
              <w:noBreakHyphen/>
            </w:r>
            <w:r w:rsidRPr="006D52A9">
              <w:rPr>
                <w:rFonts w:eastAsia="Calibri"/>
                <w:szCs w:val="16"/>
                <w:lang w:eastAsia="en-US"/>
              </w:rPr>
              <w:t>commence therapy with this drug, must be accompanied by evidence of a response to the patient’s most recent course of PBS</w:t>
            </w:r>
            <w:r w:rsidR="0026100E">
              <w:rPr>
                <w:rFonts w:eastAsia="Calibri"/>
                <w:szCs w:val="16"/>
                <w:lang w:eastAsia="en-US"/>
              </w:rPr>
              <w:noBreakHyphen/>
            </w:r>
            <w:r w:rsidRPr="006D52A9">
              <w:rPr>
                <w:rFonts w:eastAsia="Calibri"/>
                <w:szCs w:val="16"/>
                <w:lang w:eastAsia="en-US"/>
              </w:rPr>
              <w:t>subsidised treatment with this drug, within the timeframes specified below.</w:t>
            </w:r>
            <w:r w:rsidRPr="006D52A9">
              <w:rPr>
                <w:rFonts w:eastAsia="Calibri"/>
                <w:szCs w:val="16"/>
                <w:lang w:eastAsia="en-US"/>
              </w:rPr>
              <w:br/>
            </w:r>
            <w:r w:rsidRPr="006D52A9">
              <w:rPr>
                <w:rFonts w:eastAsia="Calibri"/>
                <w:szCs w:val="16"/>
                <w:lang w:eastAsia="en-US"/>
              </w:rPr>
              <w:lastRenderedPageBreak/>
              <w:t>Where the most recent course of PBS</w:t>
            </w:r>
            <w:r w:rsidR="0026100E">
              <w:rPr>
                <w:rFonts w:eastAsia="Calibri"/>
                <w:szCs w:val="16"/>
                <w:lang w:eastAsia="en-US"/>
              </w:rPr>
              <w:noBreakHyphen/>
            </w:r>
            <w:r w:rsidRPr="006D52A9">
              <w:rPr>
                <w:rFonts w:eastAsia="Calibri"/>
                <w:szCs w:val="16"/>
                <w:lang w:eastAsia="en-US"/>
              </w:rPr>
              <w:t>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r w:rsidRPr="006D52A9">
              <w:rPr>
                <w:rFonts w:eastAsia="Calibr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 with this drug for this condition.</w:t>
            </w:r>
            <w:r w:rsidRPr="006D52A9">
              <w:rPr>
                <w:rFonts w:eastAsia="Calibr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Calibr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D52A9">
              <w:rPr>
                <w:rFonts w:eastAsia="Calibri"/>
                <w:szCs w:val="16"/>
                <w:lang w:eastAsia="en-US"/>
              </w:rPr>
              <w:br/>
              <w:t>Up to a maximum of 3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a completed authority prescription form(s); and</w:t>
            </w:r>
            <w:r w:rsidRPr="006D52A9">
              <w:rPr>
                <w:rFonts w:eastAsia="Calibri"/>
                <w:szCs w:val="16"/>
                <w:lang w:eastAsia="en-US"/>
              </w:rPr>
              <w:br/>
              <w:t xml:space="preserve">(2) a completed Rheumatoid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If a patient fails to demonstrate a response to treatment with this drug under this restriction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w:t>
            </w:r>
            <w:r w:rsidRPr="006D52A9">
              <w:rPr>
                <w:rFonts w:eastAsia="Calibri"/>
                <w:szCs w:val="16"/>
                <w:lang w:eastAsia="en-US"/>
              </w:rPr>
              <w:br/>
              <w:t>A patient who has demonstrated a response to a course of rituximab must have a PBS</w:t>
            </w:r>
            <w:r w:rsidR="0026100E">
              <w:rPr>
                <w:rFonts w:eastAsia="Calibri"/>
                <w:szCs w:val="16"/>
                <w:lang w:eastAsia="en-US"/>
              </w:rPr>
              <w:noBreakHyphen/>
            </w:r>
            <w:r w:rsidRPr="006D52A9">
              <w:rPr>
                <w:rFonts w:eastAsia="Calibri"/>
                <w:szCs w:val="16"/>
                <w:lang w:eastAsia="en-US"/>
              </w:rPr>
              <w:t>subsidised biological therapy treatment</w:t>
            </w:r>
            <w:r w:rsidR="0026100E">
              <w:rPr>
                <w:rFonts w:eastAsia="Calibri"/>
                <w:szCs w:val="16"/>
                <w:lang w:eastAsia="en-US"/>
              </w:rPr>
              <w:noBreakHyphen/>
            </w:r>
            <w:r w:rsidRPr="006D52A9">
              <w:rPr>
                <w:rFonts w:eastAsia="Calibri"/>
                <w:szCs w:val="16"/>
                <w:lang w:eastAsia="en-US"/>
              </w:rPr>
              <w:t>free period of at least 22 weeks, immediately following the second infusion, before swapping to an alternate biological medicine.</w:t>
            </w:r>
          </w:p>
        </w:tc>
        <w:tc>
          <w:tcPr>
            <w:tcW w:w="938" w:type="pct"/>
            <w:tcBorders>
              <w:bottom w:val="single" w:sz="4" w:space="0" w:color="auto"/>
            </w:tcBorders>
            <w:shd w:val="clear" w:color="auto" w:fill="auto"/>
            <w:tcMar>
              <w:top w:w="28" w:type="dxa"/>
              <w:left w:w="28" w:type="dxa"/>
              <w:right w:w="57" w:type="dxa"/>
            </w:tcMar>
          </w:tcPr>
          <w:p w14:paraId="6A82A27C"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42FFD7E7" w14:textId="77777777" w:rsidTr="00FB6D2D">
        <w:tc>
          <w:tcPr>
            <w:tcW w:w="647" w:type="pct"/>
            <w:tcBorders>
              <w:bottom w:val="single" w:sz="4" w:space="0" w:color="auto"/>
            </w:tcBorders>
            <w:shd w:val="clear" w:color="auto" w:fill="auto"/>
            <w:tcMar>
              <w:top w:w="28" w:type="dxa"/>
              <w:left w:w="28" w:type="dxa"/>
            </w:tcMar>
          </w:tcPr>
          <w:p w14:paraId="14DBC74E"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E79BFBF"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hAnsi="Arial" w:cs="Arial"/>
                <w:sz w:val="16"/>
                <w:szCs w:val="16"/>
                <w:lang w:eastAsia="en-AU"/>
              </w:rPr>
              <w:t>C8636</w:t>
            </w:r>
          </w:p>
        </w:tc>
        <w:tc>
          <w:tcPr>
            <w:tcW w:w="265" w:type="pct"/>
            <w:tcBorders>
              <w:bottom w:val="single" w:sz="4" w:space="0" w:color="auto"/>
            </w:tcBorders>
            <w:shd w:val="clear" w:color="auto" w:fill="auto"/>
            <w:tcMar>
              <w:top w:w="28" w:type="dxa"/>
              <w:left w:w="28" w:type="dxa"/>
            </w:tcMar>
          </w:tcPr>
          <w:p w14:paraId="2FBDD602"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0C7D97A" w14:textId="77777777" w:rsidR="008F47B8" w:rsidRPr="006D52A9" w:rsidDel="006712FA" w:rsidRDefault="008F47B8" w:rsidP="00FB6D2D">
            <w:pPr>
              <w:pStyle w:val="mps3-data"/>
              <w:spacing w:before="0" w:after="0"/>
              <w:rPr>
                <w:szCs w:val="16"/>
              </w:rPr>
            </w:pPr>
            <w:r w:rsidRPr="006D52A9">
              <w:rPr>
                <w:rFonts w:eastAsia="Calibri"/>
                <w:szCs w:val="16"/>
                <w:lang w:eastAsia="en-US"/>
              </w:rPr>
              <w:t>Severe active rheumatoid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3 (re</w:t>
            </w:r>
            <w:r w:rsidR="0026100E">
              <w:rPr>
                <w:rFonts w:eastAsia="Calibri"/>
                <w:szCs w:val="16"/>
                <w:lang w:eastAsia="en-US"/>
              </w:rPr>
              <w:noBreakHyphen/>
            </w:r>
            <w:r w:rsidRPr="006D52A9">
              <w:rPr>
                <w:rFonts w:eastAsia="Calibri"/>
                <w:szCs w:val="16"/>
                <w:lang w:eastAsia="en-US"/>
              </w:rPr>
              <w:t>commencement of treatment after a break in biological medicine of more than 24 months)</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previously received PBS</w:t>
            </w:r>
            <w:r w:rsidR="0026100E">
              <w:rPr>
                <w:rFonts w:eastAsia="Calibri"/>
                <w:szCs w:val="16"/>
                <w:lang w:eastAsia="en-US"/>
              </w:rPr>
              <w:noBreakHyphen/>
            </w:r>
            <w:r w:rsidRPr="006D52A9">
              <w:rPr>
                <w:rFonts w:eastAsia="Calibri"/>
                <w:szCs w:val="16"/>
                <w:lang w:eastAsia="en-US"/>
              </w:rPr>
              <w:t>subsidised treatment with a biological medicine for this condition; AND</w:t>
            </w:r>
            <w:r w:rsidRPr="006D52A9">
              <w:rPr>
                <w:rFonts w:eastAsia="Calibri"/>
                <w:szCs w:val="16"/>
                <w:lang w:eastAsia="en-US"/>
              </w:rPr>
              <w:br/>
              <w:t>Patient must have a break in treatment of 24 months or more from the most recent PBS</w:t>
            </w:r>
            <w:r w:rsidR="0026100E">
              <w:rPr>
                <w:rFonts w:eastAsia="Calibri"/>
                <w:szCs w:val="16"/>
                <w:lang w:eastAsia="en-US"/>
              </w:rPr>
              <w:noBreakHyphen/>
            </w:r>
            <w:r w:rsidRPr="006D52A9">
              <w:rPr>
                <w:rFonts w:eastAsia="Calibri"/>
                <w:szCs w:val="16"/>
                <w:lang w:eastAsia="en-US"/>
              </w:rPr>
              <w:t>subsidised biological medicine for this condition; AND</w:t>
            </w:r>
            <w:r w:rsidRPr="006D52A9">
              <w:rPr>
                <w:rFonts w:eastAsia="Calibri"/>
                <w:szCs w:val="16"/>
                <w:lang w:eastAsia="en-US"/>
              </w:rPr>
              <w:br/>
              <w:t>Patient must not have failed to respond to previous PBS</w:t>
            </w:r>
            <w:r w:rsidR="0026100E">
              <w:rPr>
                <w:rFonts w:eastAsia="Calibri"/>
                <w:szCs w:val="16"/>
                <w:lang w:eastAsia="en-US"/>
              </w:rPr>
              <w:noBreakHyphen/>
            </w:r>
            <w:r w:rsidRPr="006D52A9">
              <w:rPr>
                <w:rFonts w:eastAsia="Calibri"/>
                <w:szCs w:val="16"/>
                <w:lang w:eastAsia="en-US"/>
              </w:rPr>
              <w:t>subsidised treatment with this drug for this condition; AND</w:t>
            </w:r>
            <w:r w:rsidRPr="006D52A9">
              <w:rPr>
                <w:rFonts w:eastAsia="Calibri"/>
                <w:szCs w:val="16"/>
                <w:lang w:eastAsia="en-US"/>
              </w:rPr>
              <w:br/>
              <w:t>Patient must not have already failed , or ceased to respond to, PBS</w:t>
            </w:r>
            <w:r w:rsidR="0026100E">
              <w:rPr>
                <w:rFonts w:eastAsia="Calibri"/>
                <w:szCs w:val="16"/>
                <w:lang w:eastAsia="en-US"/>
              </w:rPr>
              <w:noBreakHyphen/>
            </w:r>
            <w:r w:rsidRPr="006D52A9">
              <w:rPr>
                <w:rFonts w:eastAsia="Calibri"/>
                <w:szCs w:val="16"/>
                <w:lang w:eastAsia="en-US"/>
              </w:rPr>
              <w:t>subsidised biological medicine treatment for this condition 5 times; AND</w:t>
            </w:r>
            <w:r w:rsidRPr="006D52A9">
              <w:rPr>
                <w:rFonts w:eastAsia="Calibri"/>
                <w:szCs w:val="16"/>
                <w:lang w:eastAsia="en-US"/>
              </w:rPr>
              <w:br/>
              <w:t>The condition must have an elevated erythrocyte sedimentation rate (ESR) greater than 25 mm per hour; OR</w:t>
            </w:r>
            <w:r w:rsidRPr="006D52A9">
              <w:rPr>
                <w:rFonts w:eastAsia="Calibri"/>
                <w:szCs w:val="16"/>
                <w:lang w:eastAsia="en-US"/>
              </w:rPr>
              <w:br/>
            </w:r>
            <w:r w:rsidRPr="006D52A9">
              <w:rPr>
                <w:rFonts w:eastAsia="Calibri"/>
                <w:szCs w:val="16"/>
                <w:lang w:eastAsia="en-US"/>
              </w:rPr>
              <w:lastRenderedPageBreak/>
              <w:t>The condition must have a C</w:t>
            </w:r>
            <w:r w:rsidR="0026100E">
              <w:rPr>
                <w:rFonts w:eastAsia="Calibri"/>
                <w:szCs w:val="16"/>
                <w:lang w:eastAsia="en-US"/>
              </w:rPr>
              <w:noBreakHyphen/>
            </w:r>
            <w:r w:rsidRPr="006D52A9">
              <w:rPr>
                <w:rFonts w:eastAsia="Calibri"/>
                <w:szCs w:val="16"/>
                <w:lang w:eastAsia="en-US"/>
              </w:rPr>
              <w:t>reactive protein (CRP) level greater than 15 mg per L; AND</w:t>
            </w:r>
            <w:r w:rsidRPr="006D52A9">
              <w:rPr>
                <w:rFonts w:eastAsia="Calibri"/>
                <w:szCs w:val="16"/>
                <w:lang w:eastAsia="en-US"/>
              </w:rPr>
              <w:br/>
              <w:t>The condition must have either (a) a total active joint count of at least 20 active (swollen and tender) joints; or (b) at least 4 active major joints;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All measures of joint count and ESR and/or CRP must be no more than one month old at the time of initial application.</w:t>
            </w:r>
            <w:r w:rsidRPr="006D52A9">
              <w:rPr>
                <w:rFonts w:eastAsia="Calibri"/>
                <w:szCs w:val="16"/>
                <w:lang w:eastAsia="en-US"/>
              </w:rPr>
              <w:br/>
              <w:t>If the above requirement to demonstrate an elevated ESR or CRP cannot be met, the application must state the reasons why this criterion cannot be satisfied.</w:t>
            </w:r>
            <w:r w:rsidRPr="006D52A9">
              <w:rPr>
                <w:rFonts w:eastAsia="Calibr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Calibr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D52A9">
              <w:rPr>
                <w:rFonts w:eastAsia="Calibri"/>
                <w:szCs w:val="16"/>
                <w:lang w:eastAsia="en-US"/>
              </w:rPr>
              <w:br/>
              <w:t>Up to a maximum of 3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a completed authority prescription form(s); and</w:t>
            </w:r>
            <w:r w:rsidRPr="006D52A9">
              <w:rPr>
                <w:rFonts w:eastAsia="Calibri"/>
                <w:szCs w:val="16"/>
                <w:lang w:eastAsia="en-US"/>
              </w:rPr>
              <w:br/>
              <w:t xml:space="preserve">(2) a completed Rheumatoid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It is recommended that an assessment of a patient’s response is conducted following a minimum of 12 weeks of therapy and no later than 4 weeks from the completion of the most recent course of treatment.</w:t>
            </w:r>
            <w:r w:rsidRPr="006D52A9">
              <w:rPr>
                <w:rFonts w:eastAsia="Calibr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 with this drug for this condition.</w:t>
            </w:r>
            <w:r w:rsidRPr="006D52A9">
              <w:rPr>
                <w:rFonts w:eastAsia="Calibr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Calibri"/>
                <w:szCs w:val="16"/>
                <w:lang w:eastAsia="en-US"/>
              </w:rPr>
              <w:br/>
              <w:t>If a patient fails to demonstrate a response to treatment with this drug under this restriction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14:paraId="2DEEF37D"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15E2BBC9" w14:textId="77777777" w:rsidTr="00FB6D2D">
        <w:tc>
          <w:tcPr>
            <w:tcW w:w="647" w:type="pct"/>
            <w:tcBorders>
              <w:bottom w:val="single" w:sz="4" w:space="0" w:color="auto"/>
            </w:tcBorders>
            <w:shd w:val="clear" w:color="auto" w:fill="auto"/>
            <w:tcMar>
              <w:top w:w="28" w:type="dxa"/>
              <w:left w:w="28" w:type="dxa"/>
            </w:tcMar>
          </w:tcPr>
          <w:p w14:paraId="6C0A9C6C"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E1FBD76"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hAnsi="Arial" w:cs="Arial"/>
                <w:sz w:val="16"/>
                <w:szCs w:val="16"/>
                <w:lang w:eastAsia="en-AU"/>
              </w:rPr>
              <w:t>C8637</w:t>
            </w:r>
          </w:p>
        </w:tc>
        <w:tc>
          <w:tcPr>
            <w:tcW w:w="265" w:type="pct"/>
            <w:tcBorders>
              <w:bottom w:val="single" w:sz="4" w:space="0" w:color="auto"/>
            </w:tcBorders>
            <w:shd w:val="clear" w:color="auto" w:fill="auto"/>
            <w:tcMar>
              <w:top w:w="28" w:type="dxa"/>
              <w:left w:w="28" w:type="dxa"/>
            </w:tcMar>
          </w:tcPr>
          <w:p w14:paraId="52B45D2A"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6C66F37D" w14:textId="77777777" w:rsidR="008F47B8" w:rsidRPr="006D52A9" w:rsidDel="006712FA" w:rsidRDefault="008F47B8" w:rsidP="00FB6D2D">
            <w:pPr>
              <w:pStyle w:val="mps3-data"/>
              <w:spacing w:before="0" w:after="0"/>
              <w:rPr>
                <w:szCs w:val="16"/>
              </w:rPr>
            </w:pPr>
            <w:r w:rsidRPr="006D52A9">
              <w:rPr>
                <w:rFonts w:eastAsia="Calibri"/>
                <w:szCs w:val="16"/>
                <w:lang w:eastAsia="en-US"/>
              </w:rPr>
              <w:t>Severe active rheumatoid arthritis</w:t>
            </w:r>
            <w:r w:rsidRPr="006D52A9">
              <w:rPr>
                <w:rFonts w:eastAsia="Calibri"/>
                <w:szCs w:val="16"/>
                <w:lang w:eastAsia="en-US"/>
              </w:rPr>
              <w:br/>
              <w:t>Continuing treatment</w:t>
            </w:r>
            <w:r w:rsidRPr="006D52A9">
              <w:rPr>
                <w:rFonts w:eastAsia="Calibri"/>
                <w:szCs w:val="16"/>
                <w:lang w:eastAsia="en-US"/>
              </w:rPr>
              <w:br/>
            </w:r>
            <w:r w:rsidRPr="006D52A9">
              <w:rPr>
                <w:rFonts w:eastAsia="Calibri"/>
                <w:szCs w:val="16"/>
                <w:lang w:eastAsia="en-US"/>
              </w:rPr>
              <w:lastRenderedPageBreak/>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this drug as their most recent course of PBS</w:t>
            </w:r>
            <w:r w:rsidR="0026100E">
              <w:rPr>
                <w:rFonts w:eastAsia="Calibri"/>
                <w:szCs w:val="16"/>
                <w:lang w:eastAsia="en-US"/>
              </w:rPr>
              <w:noBreakHyphen/>
            </w:r>
            <w:r w:rsidRPr="006D52A9">
              <w:rPr>
                <w:rFonts w:eastAsia="Calibri"/>
                <w:szCs w:val="16"/>
                <w:lang w:eastAsia="en-US"/>
              </w:rPr>
              <w:t>subsidised biological medicine treatment for this condition; AND</w:t>
            </w:r>
            <w:r w:rsidRPr="006D52A9">
              <w:rPr>
                <w:rFonts w:eastAsia="Calibri"/>
                <w:szCs w:val="16"/>
                <w:lang w:eastAsia="en-US"/>
              </w:rPr>
              <w:br/>
              <w:t>Patient must have demonstrated an adequate response to treatment with this drug; AND</w:t>
            </w:r>
            <w:r w:rsidRPr="006D52A9">
              <w:rPr>
                <w:rFonts w:eastAsia="Calibri"/>
                <w:szCs w:val="16"/>
                <w:lang w:eastAsia="en-US"/>
              </w:rPr>
              <w:br/>
              <w:t>Patient must not receive more than 24 weeks of treatment per continuing treatment course authorised under this restriction.</w:t>
            </w:r>
            <w:r w:rsidRPr="006D52A9">
              <w:rPr>
                <w:rFonts w:eastAsia="Calibri"/>
                <w:szCs w:val="16"/>
                <w:lang w:eastAsia="en-US"/>
              </w:rPr>
              <w:br/>
              <w:t>Patient must be aged 18 years or older.</w:t>
            </w:r>
            <w:r w:rsidRPr="006D52A9">
              <w:rPr>
                <w:rFonts w:eastAsia="Calibri"/>
                <w:szCs w:val="16"/>
                <w:lang w:eastAsia="en-US"/>
              </w:rPr>
              <w:br/>
              <w:t>An adequate response to treatment is defined as:</w:t>
            </w:r>
            <w:r w:rsidRPr="006D52A9">
              <w:rPr>
                <w:rFonts w:eastAsia="Calibri"/>
                <w:szCs w:val="16"/>
                <w:lang w:eastAsia="en-US"/>
              </w:rPr>
              <w:br/>
              <w:t>an ESR no greater than 25 mm per hour or a CRP level no greater than 15 mg per L or either marker reduced by at least 20% from baseline;</w:t>
            </w:r>
            <w:r w:rsidRPr="006D52A9">
              <w:rPr>
                <w:rFonts w:eastAsia="Calibri"/>
                <w:szCs w:val="16"/>
                <w:lang w:eastAsia="en-US"/>
              </w:rPr>
              <w:br/>
              <w:t>AND either of the following:</w:t>
            </w:r>
            <w:r w:rsidRPr="006D52A9">
              <w:rPr>
                <w:rFonts w:eastAsia="Calibri"/>
                <w:szCs w:val="16"/>
                <w:lang w:eastAsia="en-US"/>
              </w:rPr>
              <w:br/>
              <w:t>(a) a reduction in the total active (swollen and tender) joint count by at least 50% from baseline, where baseline is at least 20 active joints; or</w:t>
            </w:r>
            <w:r w:rsidRPr="006D52A9">
              <w:rPr>
                <w:rFonts w:eastAsia="Calibri"/>
                <w:szCs w:val="16"/>
                <w:lang w:eastAsia="en-US"/>
              </w:rPr>
              <w:br/>
              <w:t>(b) a reduction in the number of the following active joints, from at least 4, by at least 50%:</w:t>
            </w:r>
            <w:r w:rsidRPr="006D52A9">
              <w:rPr>
                <w:rFonts w:eastAsia="Calibri"/>
                <w:szCs w:val="16"/>
                <w:lang w:eastAsia="en-US"/>
              </w:rPr>
              <w:br/>
              <w:t>(i) elbow, wrist, knee and/or ankle (assessed as swollen and tender); and/or</w:t>
            </w:r>
            <w:r w:rsidRPr="006D52A9">
              <w:rPr>
                <w:rFonts w:eastAsia="Calibr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Calibr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D52A9">
              <w:rPr>
                <w:rFonts w:eastAsia="Calibri"/>
                <w:szCs w:val="16"/>
                <w:lang w:eastAsia="en-US"/>
              </w:rPr>
              <w:br/>
              <w:t>Up to a maximum of 5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a completed authority prescription form(s); and</w:t>
            </w:r>
            <w:r w:rsidRPr="006D52A9">
              <w:rPr>
                <w:rFonts w:eastAsia="Calibri"/>
                <w:szCs w:val="16"/>
                <w:lang w:eastAsia="en-US"/>
              </w:rPr>
              <w:br/>
              <w:t xml:space="preserve">(2) a completed Rheumatoid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 with this drug for this condition.</w:t>
            </w:r>
            <w:r w:rsidRPr="006D52A9">
              <w:rPr>
                <w:rFonts w:eastAsia="Calibri"/>
                <w:szCs w:val="16"/>
                <w:lang w:eastAsia="en-US"/>
              </w:rPr>
              <w:br/>
              <w:t>Where a response assessment is not provided, the patient will be deemed to have failed to respond to treatment with this drug, unless the patient has experienced serious adverse reaction of a severity resulting in the necessity for permanent withdrawal of treatment.</w:t>
            </w:r>
            <w:r w:rsidRPr="006D52A9">
              <w:rPr>
                <w:rFonts w:eastAsia="Calibri"/>
                <w:szCs w:val="16"/>
                <w:lang w:eastAsia="en-US"/>
              </w:rPr>
              <w:br/>
              <w:t>If a patient has either failed or ceased to respond to a PBS</w:t>
            </w:r>
            <w:r w:rsidR="0026100E">
              <w:rPr>
                <w:rFonts w:eastAsia="Calibri"/>
                <w:szCs w:val="16"/>
                <w:lang w:eastAsia="en-US"/>
              </w:rPr>
              <w:noBreakHyphen/>
            </w:r>
            <w:r w:rsidRPr="006D52A9">
              <w:rPr>
                <w:rFonts w:eastAsia="Calibri"/>
                <w:szCs w:val="16"/>
                <w:lang w:eastAsia="en-US"/>
              </w:rPr>
              <w:t>subsidised biological medicine for this condition 5 times, they will not be eligible to receive further PBS</w:t>
            </w:r>
            <w:r w:rsidR="0026100E">
              <w:rPr>
                <w:rFonts w:eastAsia="Calibri"/>
                <w:szCs w:val="16"/>
                <w:lang w:eastAsia="en-US"/>
              </w:rPr>
              <w:noBreakHyphen/>
            </w:r>
            <w:r w:rsidRPr="006D52A9">
              <w:rPr>
                <w:rFonts w:eastAsia="Calibri"/>
                <w:szCs w:val="16"/>
                <w:lang w:eastAsia="en-US"/>
              </w:rPr>
              <w:t>subsidised treatment with a biological medicine for this condition.</w:t>
            </w:r>
            <w:r w:rsidRPr="006D52A9">
              <w:rPr>
                <w:rFonts w:eastAsia="Calibri"/>
                <w:szCs w:val="16"/>
                <w:lang w:eastAsia="en-US"/>
              </w:rPr>
              <w:br/>
            </w:r>
            <w:r w:rsidRPr="006D52A9">
              <w:rPr>
                <w:rFonts w:eastAsia="Calibri"/>
                <w:szCs w:val="16"/>
                <w:lang w:eastAsia="en-US"/>
              </w:rPr>
              <w:lastRenderedPageBreak/>
              <w:t>If a patient fails to demonstrate a response to treatment with this drug under this restriction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14:paraId="4497FD71"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483757" w14:paraId="11A6BBE7" w14:textId="77777777" w:rsidTr="00FB6D2D">
        <w:tc>
          <w:tcPr>
            <w:tcW w:w="647" w:type="pct"/>
            <w:tcBorders>
              <w:bottom w:val="single" w:sz="4" w:space="0" w:color="auto"/>
            </w:tcBorders>
            <w:shd w:val="clear" w:color="auto" w:fill="auto"/>
            <w:tcMar>
              <w:top w:w="28" w:type="dxa"/>
              <w:left w:w="28" w:type="dxa"/>
            </w:tcMar>
          </w:tcPr>
          <w:p w14:paraId="364AB86E" w14:textId="77777777" w:rsidR="008F47B8" w:rsidRPr="006D52A9" w:rsidDel="00483757"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6B922674"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C8638</w:t>
            </w:r>
          </w:p>
        </w:tc>
        <w:tc>
          <w:tcPr>
            <w:tcW w:w="265" w:type="pct"/>
            <w:tcBorders>
              <w:bottom w:val="single" w:sz="4" w:space="0" w:color="auto"/>
            </w:tcBorders>
            <w:shd w:val="clear" w:color="auto" w:fill="auto"/>
            <w:tcMar>
              <w:top w:w="28" w:type="dxa"/>
              <w:left w:w="28" w:type="dxa"/>
            </w:tcMar>
          </w:tcPr>
          <w:p w14:paraId="60DA2FD1" w14:textId="77777777" w:rsidR="008F47B8" w:rsidRPr="006D52A9"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2D69528C" w14:textId="77777777" w:rsidR="008F47B8" w:rsidRPr="006D52A9" w:rsidRDefault="008F47B8" w:rsidP="00FB6D2D">
            <w:pPr>
              <w:pStyle w:val="mps3-data"/>
              <w:spacing w:before="0" w:after="0"/>
              <w:rPr>
                <w:szCs w:val="16"/>
              </w:rPr>
            </w:pPr>
            <w:r w:rsidRPr="006D52A9">
              <w:rPr>
                <w:rFonts w:eastAsia="Calibri"/>
                <w:szCs w:val="16"/>
                <w:lang w:eastAsia="en-US"/>
              </w:rPr>
              <w:t>Severe active rheumatoid arthritis</w:t>
            </w:r>
            <w:r w:rsidRPr="006D52A9">
              <w:rPr>
                <w:rFonts w:eastAsia="Calibri"/>
                <w:szCs w:val="16"/>
                <w:lang w:eastAsia="en-US"/>
              </w:rPr>
              <w:br/>
              <w:t xml:space="preserve">Initial 1 (new patient) or Initial 2 (change or recommencement of treatment after a break in biological medicine of less than 24 months) or Initial 3 (recommencement of treatment after a break in biological medicine of more than 24 months) </w:t>
            </w:r>
            <w:r w:rsidR="0026100E">
              <w:rPr>
                <w:rFonts w:eastAsia="Calibri"/>
                <w:szCs w:val="16"/>
                <w:lang w:eastAsia="en-US"/>
              </w:rPr>
              <w:noBreakHyphen/>
            </w:r>
            <w:r w:rsidRPr="006D52A9">
              <w:rPr>
                <w:rFonts w:eastAsia="Calibri"/>
                <w:szCs w:val="16"/>
                <w:lang w:eastAsia="en-US"/>
              </w:rPr>
              <w:t xml:space="preserve"> balance of supply</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insufficient therapy with this drug for this condition under the Initial 1 (new patient) restriction to complete 16 weeks treatment; OR</w:t>
            </w:r>
            <w:r w:rsidRPr="006D52A9">
              <w:rPr>
                <w:rFonts w:eastAsia="Calibri"/>
                <w:szCs w:val="16"/>
                <w:lang w:eastAsia="en-US"/>
              </w:rPr>
              <w:br/>
              <w:t>Patient must have received insufficient therapy with this drug for this condition under the Initial 2 (change or recommencement of treatment after a break in biological medicine of less than 24 months) restriction to complete 16 weeks treatment; OR</w:t>
            </w:r>
            <w:r w:rsidRPr="006D52A9">
              <w:rPr>
                <w:rFonts w:eastAsia="Calibri"/>
                <w:szCs w:val="16"/>
                <w:lang w:eastAsia="en-US"/>
              </w:rPr>
              <w:br/>
              <w:t>Patient must have received insufficient therapy with this drug for this condition under the Initial 3 (recommencement of treatment after a break in biological medicine of more than 24 months) to complete 16 weeks of treatment; AND</w:t>
            </w:r>
            <w:r w:rsidRPr="006D52A9">
              <w:rPr>
                <w:rFonts w:eastAsia="Calibr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14:paraId="3C9094BC"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Compliance with Authority Required procedures</w:t>
            </w:r>
          </w:p>
        </w:tc>
      </w:tr>
      <w:tr w:rsidR="008F47B8" w:rsidRPr="006D52A9" w:rsidDel="006712FA" w14:paraId="54AE6C19" w14:textId="77777777" w:rsidTr="00FB6D2D">
        <w:tc>
          <w:tcPr>
            <w:tcW w:w="647" w:type="pct"/>
            <w:tcBorders>
              <w:bottom w:val="single" w:sz="4" w:space="0" w:color="auto"/>
            </w:tcBorders>
            <w:shd w:val="clear" w:color="auto" w:fill="auto"/>
            <w:tcMar>
              <w:top w:w="28" w:type="dxa"/>
              <w:left w:w="28" w:type="dxa"/>
            </w:tcMar>
          </w:tcPr>
          <w:p w14:paraId="44834AF5"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BDF8220"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hAnsi="Arial" w:cs="Arial"/>
                <w:sz w:val="16"/>
                <w:szCs w:val="16"/>
                <w:lang w:eastAsia="en-AU"/>
              </w:rPr>
              <w:t>C8709</w:t>
            </w:r>
          </w:p>
        </w:tc>
        <w:tc>
          <w:tcPr>
            <w:tcW w:w="265" w:type="pct"/>
            <w:tcBorders>
              <w:bottom w:val="single" w:sz="4" w:space="0" w:color="auto"/>
            </w:tcBorders>
            <w:shd w:val="clear" w:color="auto" w:fill="auto"/>
            <w:tcMar>
              <w:top w:w="28" w:type="dxa"/>
              <w:left w:w="28" w:type="dxa"/>
            </w:tcMar>
          </w:tcPr>
          <w:p w14:paraId="488FFFC2"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7539250" w14:textId="77777777" w:rsidR="008F47B8" w:rsidRPr="006D52A9" w:rsidDel="006712FA" w:rsidRDefault="008F47B8" w:rsidP="00FB6D2D">
            <w:pPr>
              <w:pStyle w:val="mps3-data"/>
              <w:spacing w:before="0" w:after="0"/>
              <w:rPr>
                <w:szCs w:val="16"/>
              </w:rPr>
            </w:pPr>
            <w:r w:rsidRPr="006D52A9">
              <w:rPr>
                <w:rFonts w:eastAsia="Calibri"/>
                <w:szCs w:val="16"/>
                <w:lang w:eastAsia="en-US"/>
              </w:rPr>
              <w:t>Severe active rheumatoid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1 (new patient)</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not have received PBS</w:t>
            </w:r>
            <w:r w:rsidR="0026100E">
              <w:rPr>
                <w:rFonts w:eastAsia="Calibri"/>
                <w:szCs w:val="16"/>
                <w:lang w:eastAsia="en-US"/>
              </w:rPr>
              <w:noBreakHyphen/>
            </w:r>
            <w:r w:rsidRPr="006D52A9">
              <w:rPr>
                <w:rFonts w:eastAsia="Calibri"/>
                <w:szCs w:val="16"/>
                <w:lang w:eastAsia="en-US"/>
              </w:rPr>
              <w:t>subsidised treatment with a biological medicine for this condition; AND</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disease modifying anti</w:t>
            </w:r>
            <w:r w:rsidR="0026100E">
              <w:rPr>
                <w:rFonts w:eastAsia="Calibri"/>
                <w:szCs w:val="16"/>
                <w:lang w:eastAsia="en-US"/>
              </w:rPr>
              <w:noBreakHyphen/>
            </w:r>
            <w:r w:rsidRPr="006D52A9">
              <w:rPr>
                <w:rFonts w:eastAsia="Calibri"/>
                <w:szCs w:val="16"/>
                <w:lang w:eastAsia="en-US"/>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26100E">
              <w:rPr>
                <w:rFonts w:eastAsia="Calibri"/>
                <w:szCs w:val="16"/>
                <w:lang w:eastAsia="en-US"/>
              </w:rPr>
              <w:noBreakHyphen/>
            </w:r>
            <w:r w:rsidRPr="006D52A9">
              <w:rPr>
                <w:rFonts w:eastAsia="Calibri"/>
                <w:szCs w:val="16"/>
                <w:lang w:eastAsia="en-US"/>
              </w:rPr>
              <w:t>approved Product Information or cannot be tolerated at a 20 mg weekly dose, must include at least 3 months continuous treatment with each of at least 2 of the following DMARDs: (i) hydroxychloroquine at a dose of at least 200 mg daily; and/or (ii) leflunomide at a dose of at least 10 mg daily; and/or (iii) sulfasalazine at a dose of at least 2 g daily; OR</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26100E">
              <w:rPr>
                <w:rFonts w:eastAsia="Calibri"/>
                <w:szCs w:val="16"/>
                <w:lang w:eastAsia="en-US"/>
              </w:rPr>
              <w:noBreakHyphen/>
            </w:r>
            <w:r w:rsidRPr="006D52A9">
              <w:rPr>
                <w:rFonts w:eastAsia="Calibri"/>
                <w:szCs w:val="16"/>
                <w:lang w:eastAsia="en-US"/>
              </w:rPr>
              <w:t xml:space="preserve">approved Product Information or cannot be tolerated at the doses specified above, must </w:t>
            </w:r>
            <w:r w:rsidRPr="006D52A9">
              <w:rPr>
                <w:rFonts w:eastAsia="Calibri"/>
                <w:szCs w:val="16"/>
                <w:lang w:eastAsia="en-US"/>
              </w:rPr>
              <w:lastRenderedPageBreak/>
              <w:t>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If methotrexate is contraindicated according to the TGA</w:t>
            </w:r>
            <w:r w:rsidR="0026100E">
              <w:rPr>
                <w:rFonts w:eastAsia="Calibri"/>
                <w:szCs w:val="16"/>
                <w:lang w:eastAsia="en-US"/>
              </w:rPr>
              <w:noBreakHyphen/>
            </w:r>
            <w:r w:rsidRPr="006D52A9">
              <w:rPr>
                <w:rFonts w:eastAsia="Calibri"/>
                <w:szCs w:val="16"/>
                <w:lang w:eastAsia="en-US"/>
              </w:rPr>
              <w:t>approved product information or cannot be tolerated at a 20 mg weekly dose,the application must include details of the contraindication or intolerance including severity to methotrexate. The maximum tolerated dose of methotrexate must be documented in the application, if applicable.</w:t>
            </w:r>
            <w:r w:rsidRPr="006D52A9">
              <w:rPr>
                <w:rFonts w:eastAsia="Calibri"/>
                <w:szCs w:val="16"/>
                <w:lang w:eastAsia="en-US"/>
              </w:rPr>
              <w:br/>
              <w:t>The application must include details of the DMARDs trialled, their doses and duration of treatment, and all relevant contraindications and/or intolerances including severity.</w:t>
            </w:r>
            <w:r w:rsidRPr="006D52A9">
              <w:rPr>
                <w:rFonts w:eastAsia="Calibri"/>
                <w:szCs w:val="16"/>
                <w:lang w:eastAsia="en-US"/>
              </w:rPr>
              <w:br/>
              <w:t>The requirement to trial at least 2 DMARDs for periods of at least 3 months each can be met using single agents sequentially or by using one or more combinations of DMARDs.</w:t>
            </w:r>
            <w:r w:rsidRPr="006D52A9">
              <w:rPr>
                <w:rFonts w:eastAsia="Calibri"/>
                <w:szCs w:val="16"/>
                <w:lang w:eastAsia="en-US"/>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r w:rsidRPr="006D52A9">
              <w:rPr>
                <w:rFonts w:eastAsia="Calibri"/>
                <w:szCs w:val="16"/>
                <w:lang w:eastAsia="en-US"/>
              </w:rPr>
              <w:br/>
              <w:t>The following criteria indicate failure to achieve an adequate response and must be demonstrated in all patients at the time of the initial application:</w:t>
            </w:r>
            <w:r w:rsidRPr="006D52A9">
              <w:rPr>
                <w:rFonts w:eastAsia="Calibri"/>
                <w:szCs w:val="16"/>
                <w:lang w:eastAsia="en-US"/>
              </w:rPr>
              <w:br/>
              <w:t>an elevated erythrocyte sedimentation rate (ESR) greater than 25 mm per hour or a C</w:t>
            </w:r>
            <w:r w:rsidR="0026100E">
              <w:rPr>
                <w:rFonts w:eastAsia="Calibri"/>
                <w:szCs w:val="16"/>
                <w:lang w:eastAsia="en-US"/>
              </w:rPr>
              <w:noBreakHyphen/>
            </w:r>
            <w:r w:rsidRPr="006D52A9">
              <w:rPr>
                <w:rFonts w:eastAsia="Calibri"/>
                <w:szCs w:val="16"/>
                <w:lang w:eastAsia="en-US"/>
              </w:rPr>
              <w:t>reactive protein (CRP) level greater than 15 mg per L; AND either</w:t>
            </w:r>
            <w:r w:rsidRPr="006D52A9">
              <w:rPr>
                <w:rFonts w:eastAsia="Calibri"/>
                <w:szCs w:val="16"/>
                <w:lang w:eastAsia="en-US"/>
              </w:rPr>
              <w:br/>
              <w:t>(a) a total active joint count of at least 20 active (swollen and tender) joints; or</w:t>
            </w:r>
            <w:r w:rsidRPr="006D52A9">
              <w:rPr>
                <w:rFonts w:eastAsia="Calibri"/>
                <w:szCs w:val="16"/>
                <w:lang w:eastAsia="en-US"/>
              </w:rPr>
              <w:br/>
              <w:t>(b) at least 4 active joints from the following list of major joints:</w:t>
            </w:r>
            <w:r w:rsidRPr="006D52A9">
              <w:rPr>
                <w:rFonts w:eastAsia="Calibri"/>
                <w:szCs w:val="16"/>
                <w:lang w:eastAsia="en-US"/>
              </w:rPr>
              <w:br/>
              <w:t>(i) elbow, wrist, knee and/or ankle (assessed as swollen and tender); and/or</w:t>
            </w:r>
            <w:r w:rsidRPr="006D52A9">
              <w:rPr>
                <w:rFonts w:eastAsia="Calibri"/>
                <w:szCs w:val="16"/>
                <w:lang w:eastAsia="en-US"/>
              </w:rPr>
              <w:br/>
              <w:t>(ii) shoulder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The joint count and ESR and/or CRP must be determined at the completion of the 6 month intensive DMARD trial, but prior to ceasing DMARD therapy. All measures must be no more than one month old at the time of initial application.</w:t>
            </w:r>
            <w:r w:rsidRPr="006D52A9">
              <w:rPr>
                <w:rFonts w:eastAsia="Calibri"/>
                <w:szCs w:val="16"/>
                <w:lang w:eastAsia="en-US"/>
              </w:rPr>
              <w:br/>
              <w:t>If the above requirement to demonstrate an elevated ESR or CRP cannot be met, the application must state the reasons why this criterion cannot be satisfied.</w:t>
            </w:r>
            <w:r w:rsidRPr="006D52A9">
              <w:rPr>
                <w:rFonts w:eastAsia="Calibri"/>
                <w:szCs w:val="16"/>
                <w:lang w:eastAsia="en-US"/>
              </w:rPr>
              <w:b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r w:rsidRPr="006D52A9">
              <w:rPr>
                <w:rFonts w:eastAsia="Calibri"/>
                <w:szCs w:val="16"/>
                <w:lang w:eastAsia="en-US"/>
              </w:rPr>
              <w:br/>
              <w:t>Up to a maximum of 3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a completed authority prescription form(s); and</w:t>
            </w:r>
            <w:r w:rsidRPr="006D52A9">
              <w:rPr>
                <w:rFonts w:eastAsia="Calibri"/>
                <w:szCs w:val="16"/>
                <w:lang w:eastAsia="en-US"/>
              </w:rPr>
              <w:br/>
              <w:t xml:space="preserve">(2) a completed Rheumatoid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 xml:space="preserve">It is recommended that an assessment of a patient’s response is conducted following a minimum of 12 </w:t>
            </w:r>
            <w:r w:rsidRPr="006D52A9">
              <w:rPr>
                <w:rFonts w:eastAsia="Calibri"/>
                <w:szCs w:val="16"/>
                <w:lang w:eastAsia="en-US"/>
              </w:rPr>
              <w:lastRenderedPageBreak/>
              <w:t>weeks of therapy and no later than 4 weeks from the completion of the most recent course of treatment.</w:t>
            </w:r>
            <w:r w:rsidRPr="006D52A9">
              <w:rPr>
                <w:rFonts w:eastAsia="Calibri"/>
                <w:szCs w:val="16"/>
                <w:lang w:eastAsia="en-US"/>
              </w:rPr>
              <w:b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 with this drug for this condition.</w:t>
            </w:r>
            <w:r w:rsidRPr="006D52A9">
              <w:rPr>
                <w:rFonts w:eastAsia="Calibri"/>
                <w:szCs w:val="16"/>
                <w:lang w:eastAsia="en-US"/>
              </w:rPr>
              <w:br/>
              <w:t>Where a response assessment is not provided within this timeframe, the patient will be deemed to have failed to respond to treatment with this drug, unless the patient has experienced a serious adverse reaction of a severity resulting in the necessity for permanent withdrawal of treatment.</w:t>
            </w:r>
            <w:r w:rsidRPr="006D52A9">
              <w:rPr>
                <w:rFonts w:eastAsia="Calibri"/>
                <w:szCs w:val="16"/>
                <w:lang w:eastAsia="en-US"/>
              </w:rPr>
              <w:br/>
              <w:t>If a patient fails to demonstrate a response to treatment with this drug under this restriction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w:t>
            </w:r>
          </w:p>
        </w:tc>
        <w:tc>
          <w:tcPr>
            <w:tcW w:w="938" w:type="pct"/>
            <w:tcBorders>
              <w:bottom w:val="single" w:sz="4" w:space="0" w:color="auto"/>
            </w:tcBorders>
            <w:shd w:val="clear" w:color="auto" w:fill="auto"/>
            <w:tcMar>
              <w:top w:w="28" w:type="dxa"/>
              <w:left w:w="28" w:type="dxa"/>
              <w:right w:w="57" w:type="dxa"/>
            </w:tcMar>
          </w:tcPr>
          <w:p w14:paraId="3C20E2ED" w14:textId="77777777" w:rsidR="008F47B8" w:rsidRPr="006D52A9" w:rsidDel="006712FA" w:rsidRDefault="008F47B8" w:rsidP="00FB6D2D">
            <w:pPr>
              <w:widowControl w:val="0"/>
              <w:spacing w:line="240" w:lineRule="auto"/>
              <w:rPr>
                <w:rFonts w:ascii="Arial" w:hAnsi="Arial" w:cs="Arial"/>
                <w:sz w:val="16"/>
                <w:szCs w:val="16"/>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4B312647" w14:textId="77777777" w:rsidTr="00FB6D2D">
        <w:tc>
          <w:tcPr>
            <w:tcW w:w="647" w:type="pct"/>
            <w:tcBorders>
              <w:bottom w:val="single" w:sz="4" w:space="0" w:color="auto"/>
            </w:tcBorders>
            <w:shd w:val="clear" w:color="auto" w:fill="auto"/>
            <w:tcMar>
              <w:top w:w="28" w:type="dxa"/>
              <w:left w:w="28" w:type="dxa"/>
            </w:tcMar>
          </w:tcPr>
          <w:p w14:paraId="4275D84B"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DF78D96"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C9380</w:t>
            </w:r>
          </w:p>
        </w:tc>
        <w:tc>
          <w:tcPr>
            <w:tcW w:w="265" w:type="pct"/>
            <w:tcBorders>
              <w:bottom w:val="single" w:sz="4" w:space="0" w:color="auto"/>
            </w:tcBorders>
            <w:shd w:val="clear" w:color="auto" w:fill="auto"/>
            <w:tcMar>
              <w:top w:w="28" w:type="dxa"/>
              <w:left w:w="28" w:type="dxa"/>
            </w:tcMar>
          </w:tcPr>
          <w:p w14:paraId="5CFF9340"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53C0DD55"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Continuing Treatment </w:t>
            </w:r>
            <w:r w:rsidR="0026100E">
              <w:rPr>
                <w:rFonts w:eastAsia="Calibri"/>
                <w:szCs w:val="16"/>
                <w:lang w:eastAsia="en-US"/>
              </w:rPr>
              <w:noBreakHyphen/>
            </w:r>
            <w:r w:rsidRPr="006D52A9">
              <w:rPr>
                <w:rFonts w:eastAsia="Calibri"/>
                <w:szCs w:val="16"/>
                <w:lang w:eastAsia="en-US"/>
              </w:rPr>
              <w:t xml:space="preserve"> balance of supply</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insufficient therapy with this drug for this condition under the continuing treatment restriction to complete 24 weeks treatment; AND</w:t>
            </w:r>
            <w:r w:rsidRPr="006D52A9">
              <w:rPr>
                <w:rFonts w:eastAsia="Calibri"/>
                <w:szCs w:val="16"/>
                <w:lang w:eastAsia="en-US"/>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14:paraId="28F7F2FA"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t>Compliance with Authority Required procedures</w:t>
            </w:r>
          </w:p>
        </w:tc>
      </w:tr>
      <w:tr w:rsidR="008F47B8" w:rsidRPr="006D52A9" w:rsidDel="006712FA" w14:paraId="630BE8BC" w14:textId="77777777" w:rsidTr="00FB6D2D">
        <w:tc>
          <w:tcPr>
            <w:tcW w:w="647" w:type="pct"/>
            <w:tcBorders>
              <w:bottom w:val="single" w:sz="4" w:space="0" w:color="auto"/>
            </w:tcBorders>
            <w:shd w:val="clear" w:color="auto" w:fill="auto"/>
            <w:tcMar>
              <w:top w:w="28" w:type="dxa"/>
              <w:left w:w="28" w:type="dxa"/>
            </w:tcMar>
          </w:tcPr>
          <w:p w14:paraId="37965A3E"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E10DE4F"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C9384</w:t>
            </w:r>
          </w:p>
        </w:tc>
        <w:tc>
          <w:tcPr>
            <w:tcW w:w="265" w:type="pct"/>
            <w:tcBorders>
              <w:bottom w:val="single" w:sz="4" w:space="0" w:color="auto"/>
            </w:tcBorders>
            <w:shd w:val="clear" w:color="auto" w:fill="auto"/>
            <w:tcMar>
              <w:top w:w="28" w:type="dxa"/>
              <w:left w:w="28" w:type="dxa"/>
            </w:tcMar>
          </w:tcPr>
          <w:p w14:paraId="082D31C1"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8DA5D4E"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Continuing treatment </w:t>
            </w:r>
            <w:r w:rsidR="0026100E">
              <w:rPr>
                <w:rFonts w:eastAsia="Calibri"/>
                <w:szCs w:val="16"/>
                <w:lang w:eastAsia="en-US"/>
              </w:rPr>
              <w:noBreakHyphen/>
            </w:r>
            <w:r w:rsidRPr="006D52A9">
              <w:rPr>
                <w:rFonts w:eastAsia="Calibri"/>
                <w:szCs w:val="16"/>
                <w:lang w:eastAsia="en-US"/>
              </w:rPr>
              <w:t xml:space="preserve"> balance of supply</w:t>
            </w:r>
            <w:r w:rsidRPr="006D52A9">
              <w:rPr>
                <w:rFonts w:eastAsia="Calibri"/>
                <w:szCs w:val="16"/>
                <w:lang w:eastAsia="en-US"/>
              </w:rPr>
              <w:br/>
              <w:t>Must be treated by a rheumatologist; OR</w:t>
            </w:r>
            <w:r w:rsidRPr="006D52A9">
              <w:rPr>
                <w:rFonts w:eastAsia="Calibri"/>
                <w:szCs w:val="16"/>
                <w:lang w:eastAsia="en-US"/>
              </w:rPr>
              <w:br/>
              <w:t>Patient must be undergoing treatment under the supervision of a paediatric rheumatology treatment centre.</w:t>
            </w:r>
            <w:r w:rsidRPr="006D52A9">
              <w:rPr>
                <w:rFonts w:eastAsia="Calibri"/>
                <w:szCs w:val="16"/>
                <w:lang w:eastAsia="en-US"/>
              </w:rPr>
              <w:br/>
              <w:t>Patient must have received insufficient therapy with this drug for this condition under the continuing treatment restriction to complete 24 weeks treatment; AND</w:t>
            </w:r>
            <w:r w:rsidRPr="006D52A9">
              <w:rPr>
                <w:rFonts w:eastAsia="Calibri"/>
                <w:szCs w:val="16"/>
                <w:lang w:eastAsia="en-US"/>
              </w:rPr>
              <w:br/>
              <w:t>The treatment must provide no more than the balance of up to 24 weeks treatment available under the above restriction.</w:t>
            </w:r>
          </w:p>
        </w:tc>
        <w:tc>
          <w:tcPr>
            <w:tcW w:w="938" w:type="pct"/>
            <w:tcBorders>
              <w:bottom w:val="single" w:sz="4" w:space="0" w:color="auto"/>
            </w:tcBorders>
            <w:shd w:val="clear" w:color="auto" w:fill="auto"/>
            <w:tcMar>
              <w:top w:w="28" w:type="dxa"/>
              <w:left w:w="28" w:type="dxa"/>
              <w:right w:w="57" w:type="dxa"/>
            </w:tcMar>
          </w:tcPr>
          <w:p w14:paraId="7C3A48E8"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t>Compliance with Authority Required procedures</w:t>
            </w:r>
          </w:p>
        </w:tc>
      </w:tr>
      <w:tr w:rsidR="008F47B8" w:rsidRPr="006D52A9" w:rsidDel="006712FA" w14:paraId="72E69B9C" w14:textId="77777777" w:rsidTr="00FB6D2D">
        <w:tc>
          <w:tcPr>
            <w:tcW w:w="647" w:type="pct"/>
            <w:tcBorders>
              <w:bottom w:val="single" w:sz="4" w:space="0" w:color="auto"/>
            </w:tcBorders>
            <w:shd w:val="clear" w:color="auto" w:fill="auto"/>
            <w:tcMar>
              <w:top w:w="28" w:type="dxa"/>
              <w:left w:w="28" w:type="dxa"/>
            </w:tcMar>
          </w:tcPr>
          <w:p w14:paraId="5AEC6942"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A8EF792"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t>C9386</w:t>
            </w:r>
          </w:p>
        </w:tc>
        <w:tc>
          <w:tcPr>
            <w:tcW w:w="265" w:type="pct"/>
            <w:tcBorders>
              <w:bottom w:val="single" w:sz="4" w:space="0" w:color="auto"/>
            </w:tcBorders>
            <w:shd w:val="clear" w:color="auto" w:fill="auto"/>
            <w:tcMar>
              <w:top w:w="28" w:type="dxa"/>
              <w:left w:w="28" w:type="dxa"/>
            </w:tcMar>
          </w:tcPr>
          <w:p w14:paraId="19BC79C7" w14:textId="77777777" w:rsidR="008F47B8" w:rsidRPr="006D52A9" w:rsidDel="006712FA" w:rsidRDefault="008F47B8" w:rsidP="00FB6D2D">
            <w:pPr>
              <w:widowControl w:val="0"/>
              <w:spacing w:line="240" w:lineRule="auto"/>
              <w:rPr>
                <w:rFonts w:ascii="Arial" w:eastAsia="Arial" w:hAnsi="Arial" w:cs="Arial"/>
                <w:sz w:val="16"/>
                <w:szCs w:val="22"/>
                <w:lang w:eastAsia="zh-CN"/>
              </w:rPr>
            </w:pPr>
          </w:p>
        </w:tc>
        <w:tc>
          <w:tcPr>
            <w:tcW w:w="2867" w:type="pct"/>
            <w:tcBorders>
              <w:bottom w:val="single" w:sz="4" w:space="0" w:color="auto"/>
            </w:tcBorders>
            <w:shd w:val="clear" w:color="auto" w:fill="auto"/>
            <w:tcMar>
              <w:top w:w="28" w:type="dxa"/>
              <w:left w:w="28" w:type="dxa"/>
            </w:tcMar>
          </w:tcPr>
          <w:p w14:paraId="6E9883AF"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1 (new patient) or Initial 2 (change or recommencement of treatment after break of less than 24 months) or Initial 3 (recommencement of treatment after a break in biological medicine of more than 24 months) </w:t>
            </w:r>
            <w:r w:rsidR="0026100E">
              <w:rPr>
                <w:rFonts w:eastAsia="Calibri"/>
                <w:szCs w:val="16"/>
                <w:lang w:eastAsia="en-US"/>
              </w:rPr>
              <w:noBreakHyphen/>
            </w:r>
            <w:r w:rsidRPr="006D52A9">
              <w:rPr>
                <w:rFonts w:eastAsia="Calibri"/>
                <w:szCs w:val="16"/>
                <w:lang w:eastAsia="en-US"/>
              </w:rPr>
              <w:t xml:space="preserve"> balance of supply</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insufficient therapy with this drug for this condition under the Initial 1 (new patient) restriction to complete 16 weeks treatment; OR</w:t>
            </w:r>
            <w:r w:rsidRPr="006D52A9">
              <w:rPr>
                <w:rFonts w:eastAsia="Calibri"/>
                <w:szCs w:val="16"/>
                <w:lang w:eastAsia="en-US"/>
              </w:rPr>
              <w:br/>
              <w:t>Patient must have received insufficient therapy with this drug for this condition under the Initial 2 (change or recommencement of treatment after a break in biological medicine of less than 24 months) restriction to complete 16 weeks treatment; OR</w:t>
            </w:r>
            <w:r w:rsidRPr="006D52A9">
              <w:rPr>
                <w:rFonts w:eastAsia="Calibri"/>
                <w:szCs w:val="16"/>
                <w:lang w:eastAsia="en-US"/>
              </w:rPr>
              <w:br/>
              <w:t xml:space="preserve">Patient must have received insufficient therapy with this drug for this condition under the Initial 3 </w:t>
            </w:r>
            <w:r w:rsidRPr="006D52A9">
              <w:rPr>
                <w:rFonts w:eastAsia="Calibri"/>
                <w:szCs w:val="16"/>
                <w:lang w:eastAsia="en-US"/>
              </w:rPr>
              <w:lastRenderedPageBreak/>
              <w:t>(recommencement of treatment after a break in biological medicine of more than 24 months) to complete 16 weeks of treatment; AND</w:t>
            </w:r>
            <w:r w:rsidRPr="006D52A9">
              <w:rPr>
                <w:rFonts w:eastAsia="Calibr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14:paraId="6C00B9D9"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lastRenderedPageBreak/>
              <w:t>Compliance with Authority Required procedures</w:t>
            </w:r>
          </w:p>
        </w:tc>
      </w:tr>
      <w:tr w:rsidR="008F47B8" w:rsidRPr="006D52A9" w:rsidDel="006712FA" w14:paraId="4A4DDEB1" w14:textId="77777777" w:rsidTr="00FB6D2D">
        <w:tc>
          <w:tcPr>
            <w:tcW w:w="647" w:type="pct"/>
            <w:tcBorders>
              <w:bottom w:val="single" w:sz="4" w:space="0" w:color="auto"/>
            </w:tcBorders>
            <w:shd w:val="clear" w:color="auto" w:fill="auto"/>
            <w:tcMar>
              <w:top w:w="28" w:type="dxa"/>
              <w:left w:w="28" w:type="dxa"/>
            </w:tcMar>
          </w:tcPr>
          <w:p w14:paraId="13ECB187"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7A633346"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C9407</w:t>
            </w:r>
          </w:p>
        </w:tc>
        <w:tc>
          <w:tcPr>
            <w:tcW w:w="265" w:type="pct"/>
            <w:tcBorders>
              <w:bottom w:val="single" w:sz="4" w:space="0" w:color="auto"/>
            </w:tcBorders>
            <w:shd w:val="clear" w:color="auto" w:fill="auto"/>
            <w:tcMar>
              <w:top w:w="28" w:type="dxa"/>
              <w:left w:w="28" w:type="dxa"/>
            </w:tcMar>
          </w:tcPr>
          <w:p w14:paraId="4AB2FD37"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FA8F953"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3 (recommencement of treatment after a break in biological medicine of more than 24 months)</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previously received PBS</w:t>
            </w:r>
            <w:r w:rsidR="0026100E">
              <w:rPr>
                <w:rFonts w:eastAsia="Calibri"/>
                <w:szCs w:val="16"/>
                <w:lang w:eastAsia="en-US"/>
              </w:rPr>
              <w:noBreakHyphen/>
            </w:r>
            <w:r w:rsidRPr="006D52A9">
              <w:rPr>
                <w:rFonts w:eastAsia="Calibri"/>
                <w:szCs w:val="16"/>
                <w:lang w:eastAsia="en-US"/>
              </w:rPr>
              <w:t>subsidised treatment with a biological medicine for this condition; AND</w:t>
            </w:r>
            <w:r w:rsidRPr="006D52A9">
              <w:rPr>
                <w:rFonts w:eastAsia="Calibri"/>
                <w:szCs w:val="16"/>
                <w:lang w:eastAsia="en-US"/>
              </w:rPr>
              <w:br/>
              <w:t>Patient must have a break in treatment of 24 months or more from the most recently approved PBS</w:t>
            </w:r>
            <w:r w:rsidR="0026100E">
              <w:rPr>
                <w:rFonts w:eastAsia="Calibri"/>
                <w:szCs w:val="16"/>
                <w:lang w:eastAsia="en-US"/>
              </w:rPr>
              <w:noBreakHyphen/>
            </w:r>
            <w:r w:rsidRPr="006D52A9">
              <w:rPr>
                <w:rFonts w:eastAsia="Calibri"/>
                <w:szCs w:val="16"/>
                <w:lang w:eastAsia="en-US"/>
              </w:rPr>
              <w:t>subsidised biological medicine for this condition; OR</w:t>
            </w:r>
            <w:r w:rsidRPr="006D52A9">
              <w:rPr>
                <w:rFonts w:eastAsia="Calibri"/>
                <w:szCs w:val="16"/>
                <w:lang w:eastAsia="en-US"/>
              </w:rPr>
              <w:br/>
              <w:t>Patient must not have received PBS</w:t>
            </w:r>
            <w:r w:rsidR="0026100E">
              <w:rPr>
                <w:rFonts w:eastAsia="Calibri"/>
                <w:szCs w:val="16"/>
                <w:lang w:eastAsia="en-US"/>
              </w:rPr>
              <w:noBreakHyphen/>
            </w:r>
            <w:r w:rsidRPr="006D52A9">
              <w:rPr>
                <w:rFonts w:eastAsia="Calibri"/>
                <w:szCs w:val="16"/>
                <w:lang w:eastAsia="en-US"/>
              </w:rPr>
              <w:t>subsidised biological medicine for at least 5 years if they failed or ceased to respond to PBS</w:t>
            </w:r>
            <w:r w:rsidR="0026100E">
              <w:rPr>
                <w:rFonts w:eastAsia="Calibri"/>
                <w:szCs w:val="16"/>
                <w:lang w:eastAsia="en-US"/>
              </w:rPr>
              <w:noBreakHyphen/>
            </w:r>
            <w:r w:rsidRPr="006D52A9">
              <w:rPr>
                <w:rFonts w:eastAsia="Calibri"/>
                <w:szCs w:val="16"/>
                <w:lang w:eastAsia="en-US"/>
              </w:rPr>
              <w:t>subsidised biological medicine treatment 3 times in their last treatment cycle; AND</w:t>
            </w:r>
            <w:r w:rsidRPr="006D52A9">
              <w:rPr>
                <w:rFonts w:eastAsia="Calibri"/>
                <w:szCs w:val="16"/>
                <w:lang w:eastAsia="en-US"/>
              </w:rPr>
              <w:br/>
              <w:t>The condition must have an elevated erythrocyte sedimentation rate (ESR) greater than 25 mm per hour; OR</w:t>
            </w:r>
            <w:r w:rsidRPr="006D52A9">
              <w:rPr>
                <w:rFonts w:eastAsia="Calibri"/>
                <w:szCs w:val="16"/>
                <w:lang w:eastAsia="en-US"/>
              </w:rPr>
              <w:br/>
              <w:t>The condition must have a C</w:t>
            </w:r>
            <w:r w:rsidR="0026100E">
              <w:rPr>
                <w:rFonts w:eastAsia="Calibri"/>
                <w:szCs w:val="16"/>
                <w:lang w:eastAsia="en-US"/>
              </w:rPr>
              <w:noBreakHyphen/>
            </w:r>
            <w:r w:rsidRPr="006D52A9">
              <w:rPr>
                <w:rFonts w:eastAsia="Calibri"/>
                <w:szCs w:val="16"/>
                <w:lang w:eastAsia="en-US"/>
              </w:rPr>
              <w:t>reactive protein (CRP) level greater than 15 mg per L; AND</w:t>
            </w:r>
            <w:r w:rsidRPr="006D52A9">
              <w:rPr>
                <w:rFonts w:eastAsia="Calibri"/>
                <w:szCs w:val="16"/>
                <w:lang w:eastAsia="en-US"/>
              </w:rPr>
              <w:br/>
              <w:t>The condition must have either (a) a total active joint count of at least 20 active (swollen and tender) joints; or (b) at least 4 active major joints;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Active joints are defined as:</w:t>
            </w:r>
            <w:r w:rsidRPr="006D52A9">
              <w:rPr>
                <w:rFonts w:eastAsia="Calibri"/>
                <w:szCs w:val="16"/>
                <w:lang w:eastAsia="en-US"/>
              </w:rPr>
              <w:br/>
              <w:t>(i) elbow, wrist, knee and/or ankle (assessed as swollen and tender); and/or</w:t>
            </w:r>
            <w:r w:rsidRPr="006D52A9">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All measures of joint count must be no more than 4 weeks old at the time of this application.</w:t>
            </w:r>
            <w:r w:rsidRPr="006D52A9">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completed authority prescription form(s); and</w:t>
            </w:r>
            <w:r w:rsidRPr="006D52A9">
              <w:rPr>
                <w:rFonts w:eastAsia="Calibri"/>
                <w:szCs w:val="16"/>
                <w:lang w:eastAsia="en-US"/>
              </w:rPr>
              <w:br/>
              <w:t xml:space="preserve">(2) a completed Juvenile Idiopathic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Where the most recent course of PBS</w:t>
            </w:r>
            <w:r w:rsidR="0026100E">
              <w:rPr>
                <w:rFonts w:eastAsia="Calibri"/>
                <w:szCs w:val="16"/>
                <w:lang w:eastAsia="en-US"/>
              </w:rPr>
              <w:noBreakHyphen/>
            </w:r>
            <w:r w:rsidRPr="006D52A9">
              <w:rPr>
                <w:rFonts w:eastAsia="Calibri"/>
                <w:szCs w:val="16"/>
                <w:lang w:eastAsia="en-US"/>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eastAsia="Calibri"/>
                <w:szCs w:val="16"/>
                <w:lang w:eastAsia="en-US"/>
              </w:rPr>
              <w:br/>
              <w:t xml:space="preserve">An application for the continuing treatment must be accompanied with the assessment of response </w:t>
            </w:r>
            <w:r w:rsidRPr="006D52A9">
              <w:rPr>
                <w:rFonts w:eastAsia="Calibri"/>
                <w:szCs w:val="16"/>
                <w:lang w:eastAsia="en-US"/>
              </w:rPr>
              <w:lastRenderedPageBreak/>
              <w:t>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2071D6E5"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52BDB4B6" w14:textId="77777777" w:rsidTr="00FB6D2D">
        <w:tc>
          <w:tcPr>
            <w:tcW w:w="647" w:type="pct"/>
            <w:tcBorders>
              <w:bottom w:val="single" w:sz="4" w:space="0" w:color="auto"/>
            </w:tcBorders>
            <w:shd w:val="clear" w:color="auto" w:fill="auto"/>
            <w:tcMar>
              <w:top w:w="28" w:type="dxa"/>
              <w:left w:w="28" w:type="dxa"/>
            </w:tcMar>
          </w:tcPr>
          <w:p w14:paraId="2864FB6D"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50E573E"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C9417</w:t>
            </w:r>
          </w:p>
        </w:tc>
        <w:tc>
          <w:tcPr>
            <w:tcW w:w="265" w:type="pct"/>
            <w:tcBorders>
              <w:bottom w:val="single" w:sz="4" w:space="0" w:color="auto"/>
            </w:tcBorders>
            <w:shd w:val="clear" w:color="auto" w:fill="auto"/>
            <w:tcMar>
              <w:top w:w="28" w:type="dxa"/>
              <w:left w:w="28" w:type="dxa"/>
            </w:tcMar>
          </w:tcPr>
          <w:p w14:paraId="5235CCC6"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4FDAD4E"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1 (new patient) or Initial 2 (change or recommencement of treatment after a break in biological medicine of less than 12 months) or Initial 3 (recommencement of treatment after a break in biological medicine of more than 12 months) </w:t>
            </w:r>
            <w:r w:rsidR="0026100E">
              <w:rPr>
                <w:rFonts w:eastAsia="Calibri"/>
                <w:szCs w:val="16"/>
                <w:lang w:eastAsia="en-US"/>
              </w:rPr>
              <w:noBreakHyphen/>
            </w:r>
            <w:r w:rsidRPr="006D52A9">
              <w:rPr>
                <w:rFonts w:eastAsia="Calibri"/>
                <w:szCs w:val="16"/>
                <w:lang w:eastAsia="en-US"/>
              </w:rPr>
              <w:t xml:space="preserve"> balance of supply</w:t>
            </w:r>
            <w:r w:rsidRPr="006D52A9">
              <w:rPr>
                <w:rFonts w:eastAsia="Calibri"/>
                <w:szCs w:val="16"/>
                <w:lang w:eastAsia="en-US"/>
              </w:rPr>
              <w:br/>
              <w:t>Must be treated by a paediatric rheumatologist; OR</w:t>
            </w:r>
            <w:r w:rsidRPr="006D52A9">
              <w:rPr>
                <w:rFonts w:eastAsia="Calibri"/>
                <w:szCs w:val="16"/>
                <w:lang w:eastAsia="en-US"/>
              </w:rPr>
              <w:br/>
              <w:t>Patient must be undergoing treatment under the supervision of a paediatric rheumatology treatment centre.</w:t>
            </w:r>
            <w:r w:rsidRPr="006D52A9">
              <w:rPr>
                <w:rFonts w:eastAsia="Calibri"/>
                <w:szCs w:val="16"/>
                <w:lang w:eastAsia="en-US"/>
              </w:rPr>
              <w:br/>
              <w:t>Patient must have received insufficient therapy with this drug for this condition under the Initial 1 (new patient) restriction to complete 16 weeks treatment; OR</w:t>
            </w:r>
            <w:r w:rsidRPr="006D52A9">
              <w:rPr>
                <w:rFonts w:eastAsia="Calibri"/>
                <w:szCs w:val="16"/>
                <w:lang w:eastAsia="en-US"/>
              </w:rPr>
              <w:br/>
              <w:t>Patient must have received insufficient therapy with this drug for this condition under the Initial 2 (change or recommencement of treatment after a break in biological medicine of less than 12 months) restriction to complete 16 weeks treatment; OR</w:t>
            </w:r>
            <w:r w:rsidRPr="006D52A9">
              <w:rPr>
                <w:rFonts w:eastAsia="Calibri"/>
                <w:szCs w:val="16"/>
                <w:lang w:eastAsia="en-US"/>
              </w:rPr>
              <w:br/>
              <w:t>Patient must have received insufficient therapy with this drug for this condition under the Initial 3 (recommencement of treatment after a break in biological medicine of more than 12 months) restriction to complete 16 weeks treatment; AND</w:t>
            </w:r>
            <w:r w:rsidRPr="006D52A9">
              <w:rPr>
                <w:rFonts w:eastAsia="Calibri"/>
                <w:szCs w:val="16"/>
                <w:lang w:eastAsia="en-US"/>
              </w:rPr>
              <w:br/>
              <w:t>The treatment must provide no more than the balance of up to 16 weeks treatment available under the above restrictions.</w:t>
            </w:r>
          </w:p>
        </w:tc>
        <w:tc>
          <w:tcPr>
            <w:tcW w:w="938" w:type="pct"/>
            <w:tcBorders>
              <w:bottom w:val="single" w:sz="4" w:space="0" w:color="auto"/>
            </w:tcBorders>
            <w:shd w:val="clear" w:color="auto" w:fill="auto"/>
            <w:tcMar>
              <w:top w:w="28" w:type="dxa"/>
              <w:left w:w="28" w:type="dxa"/>
              <w:right w:w="57" w:type="dxa"/>
            </w:tcMar>
          </w:tcPr>
          <w:p w14:paraId="42EE8052"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t>Compliance with Authority Required procedures</w:t>
            </w:r>
          </w:p>
        </w:tc>
      </w:tr>
      <w:tr w:rsidR="008F47B8" w:rsidRPr="006D52A9" w:rsidDel="006712FA" w14:paraId="426DD60E" w14:textId="77777777" w:rsidTr="00FB6D2D">
        <w:tc>
          <w:tcPr>
            <w:tcW w:w="647" w:type="pct"/>
            <w:tcBorders>
              <w:bottom w:val="single" w:sz="4" w:space="0" w:color="auto"/>
            </w:tcBorders>
            <w:shd w:val="clear" w:color="auto" w:fill="auto"/>
            <w:tcMar>
              <w:top w:w="28" w:type="dxa"/>
              <w:left w:w="28" w:type="dxa"/>
            </w:tcMar>
          </w:tcPr>
          <w:p w14:paraId="52CA8BAC" w14:textId="77777777" w:rsidR="008F47B8" w:rsidRPr="006D52A9" w:rsidDel="006712FA" w:rsidRDefault="008F47B8" w:rsidP="00FB6D2D">
            <w:pPr>
              <w:keepNext/>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3F5D325B" w14:textId="77777777" w:rsidR="008F47B8" w:rsidRPr="006D52A9" w:rsidRDefault="008F47B8" w:rsidP="00FB6D2D">
            <w:pPr>
              <w:keepNext/>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C9494</w:t>
            </w:r>
          </w:p>
        </w:tc>
        <w:tc>
          <w:tcPr>
            <w:tcW w:w="265" w:type="pct"/>
            <w:tcBorders>
              <w:bottom w:val="single" w:sz="4" w:space="0" w:color="auto"/>
            </w:tcBorders>
            <w:shd w:val="clear" w:color="auto" w:fill="auto"/>
            <w:tcMar>
              <w:top w:w="28" w:type="dxa"/>
              <w:left w:w="28" w:type="dxa"/>
            </w:tcMar>
          </w:tcPr>
          <w:p w14:paraId="7561A3F9" w14:textId="77777777" w:rsidR="008F47B8" w:rsidRPr="006D52A9" w:rsidDel="006712FA" w:rsidRDefault="008F47B8" w:rsidP="00FB6D2D">
            <w:pPr>
              <w:keepNext/>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DDC7C45" w14:textId="77777777" w:rsidR="008F47B8" w:rsidRPr="006D52A9" w:rsidRDefault="008F47B8" w:rsidP="00FB6D2D">
            <w:pPr>
              <w:pStyle w:val="mps3-data"/>
              <w:keepNext/>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2 (change or recommencement of treatment after a break in biological medicine of less than 24 months)</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a documented history of severe active juvenile idiopathic arthritis with onset prior to the age of 18 years; AND</w:t>
            </w:r>
            <w:r w:rsidRPr="006D52A9">
              <w:rPr>
                <w:rFonts w:eastAsia="Calibri"/>
                <w:szCs w:val="16"/>
                <w:lang w:eastAsia="en-US"/>
              </w:rPr>
              <w:br/>
              <w:t>Patient must have received prior PBS</w:t>
            </w:r>
            <w:r w:rsidR="0026100E">
              <w:rPr>
                <w:rFonts w:eastAsia="Calibri"/>
                <w:szCs w:val="16"/>
                <w:lang w:eastAsia="en-US"/>
              </w:rPr>
              <w:noBreakHyphen/>
            </w:r>
            <w:r w:rsidRPr="006D52A9">
              <w:rPr>
                <w:rFonts w:eastAsia="Calibri"/>
                <w:szCs w:val="16"/>
                <w:lang w:eastAsia="en-US"/>
              </w:rPr>
              <w:t>subsidised treatment with a biological medicine for this condition in this treatment cycle; AND</w:t>
            </w:r>
            <w:r w:rsidRPr="006D52A9">
              <w:rPr>
                <w:rFonts w:eastAsia="Calibri"/>
                <w:szCs w:val="16"/>
                <w:lang w:eastAsia="en-US"/>
              </w:rPr>
              <w:br/>
              <w:t>Patient must not have already failed, or ceased to respond to, PBS</w:t>
            </w:r>
            <w:r w:rsidR="0026100E">
              <w:rPr>
                <w:rFonts w:eastAsia="Calibri"/>
                <w:szCs w:val="16"/>
                <w:lang w:eastAsia="en-US"/>
              </w:rPr>
              <w:noBreakHyphen/>
            </w:r>
            <w:r w:rsidRPr="006D52A9">
              <w:rPr>
                <w:rFonts w:eastAsia="Calibri"/>
                <w:szCs w:val="16"/>
                <w:lang w:eastAsia="en-US"/>
              </w:rPr>
              <w:t>subsidised treatment with this drug for this condition during the current treatment cycle;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An adequate response to treatment is defined as:</w:t>
            </w:r>
            <w:r w:rsidRPr="006D52A9">
              <w:rPr>
                <w:rFonts w:eastAsia="Calibri"/>
                <w:szCs w:val="16"/>
                <w:lang w:eastAsia="en-US"/>
              </w:rPr>
              <w:br/>
              <w:t>an ESR no greater than 25 mm per hour or a CRP level no greater than 15 mg per L or either marker reduced by at least 20% from baseline;</w:t>
            </w:r>
            <w:r w:rsidRPr="006D52A9">
              <w:rPr>
                <w:rFonts w:eastAsia="Calibri"/>
                <w:szCs w:val="16"/>
                <w:lang w:eastAsia="en-US"/>
              </w:rPr>
              <w:br/>
              <w:t>AND either of the following:</w:t>
            </w:r>
            <w:r w:rsidRPr="006D52A9">
              <w:rPr>
                <w:rFonts w:eastAsia="Calibri"/>
                <w:szCs w:val="16"/>
                <w:lang w:eastAsia="en-US"/>
              </w:rPr>
              <w:br/>
              <w:t>(a) an active joint count of fewer than 10 active (swollen and tender) joints; or</w:t>
            </w:r>
            <w:r w:rsidRPr="006D52A9">
              <w:rPr>
                <w:rFonts w:eastAsia="Calibri"/>
                <w:szCs w:val="16"/>
                <w:lang w:eastAsia="en-US"/>
              </w:rPr>
              <w:br/>
              <w:t>(b) a reduction in the active (swollen and tender) joint count by at least 50% from baseline; or</w:t>
            </w:r>
            <w:r w:rsidRPr="006D52A9">
              <w:rPr>
                <w:rFonts w:eastAsia="Calibri"/>
                <w:szCs w:val="16"/>
                <w:lang w:eastAsia="en-US"/>
              </w:rPr>
              <w:br/>
              <w:t>(c) a reduction in the number of the following active joints, from at least 4, by at least 50%:</w:t>
            </w:r>
            <w:r w:rsidRPr="006D52A9">
              <w:rPr>
                <w:rFonts w:eastAsia="Calibri"/>
                <w:szCs w:val="16"/>
                <w:lang w:eastAsia="en-US"/>
              </w:rPr>
              <w:br/>
              <w:t>(i) elbow, wrist, knee and/or ankle (assessed as swollen and tender); and/or</w:t>
            </w:r>
            <w:r w:rsidRPr="006D52A9">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rFonts w:eastAsia="Calibri"/>
                <w:szCs w:val="16"/>
                <w:lang w:eastAsia="en-US"/>
              </w:rPr>
              <w:br/>
              <w:t>The authority application must be made in writing and must include:</w:t>
            </w:r>
            <w:r w:rsidRPr="006D52A9">
              <w:rPr>
                <w:rFonts w:eastAsia="Calibri"/>
                <w:szCs w:val="16"/>
                <w:lang w:eastAsia="en-US"/>
              </w:rPr>
              <w:br/>
              <w:t>(1) completed authority prescription form(s); and</w:t>
            </w:r>
            <w:r w:rsidRPr="006D52A9">
              <w:rPr>
                <w:rFonts w:eastAsia="Calibri"/>
                <w:szCs w:val="16"/>
                <w:lang w:eastAsia="en-US"/>
              </w:rPr>
              <w:br/>
              <w:t xml:space="preserve">(2) a completed Juvenile Idiopathic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An application for a patient who has received PBS</w:t>
            </w:r>
            <w:r w:rsidR="0026100E">
              <w:rPr>
                <w:rFonts w:eastAsia="Calibri"/>
                <w:szCs w:val="16"/>
                <w:lang w:eastAsia="en-US"/>
              </w:rPr>
              <w:noBreakHyphen/>
            </w:r>
            <w:r w:rsidRPr="006D52A9">
              <w:rPr>
                <w:rFonts w:eastAsia="Calibri"/>
                <w:szCs w:val="16"/>
                <w:lang w:eastAsia="en-US"/>
              </w:rPr>
              <w:t>subsidised biological medicine treatment for this condition who wishes to change or recommence therapy with this drug, must be accompanied by evidence of a response to the patient’s most recent course of PBS</w:t>
            </w:r>
            <w:r w:rsidR="0026100E">
              <w:rPr>
                <w:rFonts w:eastAsia="Calibri"/>
                <w:szCs w:val="16"/>
                <w:lang w:eastAsia="en-US"/>
              </w:rPr>
              <w:noBreakHyphen/>
            </w:r>
            <w:r w:rsidRPr="006D52A9">
              <w:rPr>
                <w:rFonts w:eastAsia="Calibri"/>
                <w:szCs w:val="16"/>
                <w:lang w:eastAsia="en-US"/>
              </w:rPr>
              <w:t>subsidised biological medicine treatment, within the timeframes specified below.</w:t>
            </w:r>
            <w:r w:rsidRPr="006D52A9">
              <w:rPr>
                <w:rFonts w:eastAsia="Calibri"/>
                <w:szCs w:val="16"/>
                <w:lang w:eastAsia="en-US"/>
              </w:rPr>
              <w:br/>
              <w:t>Where the most recent course of PBS</w:t>
            </w:r>
            <w:r w:rsidR="0026100E">
              <w:rPr>
                <w:rFonts w:eastAsia="Calibri"/>
                <w:szCs w:val="16"/>
                <w:lang w:eastAsia="en-US"/>
              </w:rPr>
              <w:noBreakHyphen/>
            </w:r>
            <w:r w:rsidRPr="006D52A9">
              <w:rPr>
                <w:rFonts w:eastAsia="Calibri"/>
                <w:szCs w:val="16"/>
                <w:lang w:eastAsia="en-US"/>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eastAsia="Calibri"/>
                <w:szCs w:val="16"/>
                <w:lang w:eastAsia="en-US"/>
              </w:rPr>
              <w:br/>
              <w:t xml:space="preserve">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w:t>
            </w:r>
            <w:r w:rsidRPr="006D52A9">
              <w:rPr>
                <w:rFonts w:eastAsia="Calibri"/>
                <w:szCs w:val="16"/>
                <w:lang w:eastAsia="en-US"/>
              </w:rPr>
              <w:lastRenderedPageBreak/>
              <w:t>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D52A9">
              <w:rPr>
                <w:rFonts w:eastAsia="Calibri"/>
                <w:szCs w:val="16"/>
                <w:lang w:eastAsia="en-US"/>
              </w:rPr>
              <w:br/>
              <w:t>A patient who fails to demonstrate a response to treatment with this drug under this restriction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in this treatment cycle. A patient may re</w:t>
            </w:r>
            <w:r w:rsidR="0026100E">
              <w:rPr>
                <w:rFonts w:eastAsia="Calibri"/>
                <w:szCs w:val="16"/>
                <w:lang w:eastAsia="en-US"/>
              </w:rPr>
              <w:noBreakHyphen/>
            </w:r>
            <w:r w:rsidRPr="006D52A9">
              <w:rPr>
                <w:rFonts w:eastAsia="Calibri"/>
                <w:szCs w:val="16"/>
                <w:lang w:eastAsia="en-US"/>
              </w:rPr>
              <w:t>trial this drug after a minimum of 5 years have elapsed between the date the last prescription for a PBS</w:t>
            </w:r>
            <w:r w:rsidR="0026100E">
              <w:rPr>
                <w:rFonts w:eastAsia="Calibri"/>
                <w:szCs w:val="16"/>
                <w:lang w:eastAsia="en-US"/>
              </w:rPr>
              <w:noBreakHyphen/>
            </w:r>
            <w:r w:rsidRPr="006D52A9">
              <w:rPr>
                <w:rFonts w:eastAsia="Calibri"/>
                <w:szCs w:val="16"/>
                <w:lang w:eastAsia="en-US"/>
              </w:rPr>
              <w:t>subsidised biological medicine was approved in this cycle and the date of the first application under a new cycle under the initial 3 treatment restriction.</w:t>
            </w:r>
            <w:r w:rsidRPr="006D52A9">
              <w:rPr>
                <w:rFonts w:eastAsia="Calibri"/>
                <w:szCs w:val="16"/>
                <w:lang w:eastAsia="en-US"/>
              </w:rPr>
              <w:br/>
              <w:t>If a patient fails to respond to PBS</w:t>
            </w:r>
            <w:r w:rsidR="0026100E">
              <w:rPr>
                <w:rFonts w:eastAsia="Calibri"/>
                <w:szCs w:val="16"/>
                <w:lang w:eastAsia="en-US"/>
              </w:rPr>
              <w:noBreakHyphen/>
            </w:r>
            <w:r w:rsidRPr="006D52A9">
              <w:rPr>
                <w:rFonts w:eastAsia="Calibri"/>
                <w:szCs w:val="16"/>
                <w:lang w:eastAsia="en-US"/>
              </w:rPr>
              <w:t>subsidised biological medicine treatment 3 times (once with each agent) they will not be eligible to receive further PBS</w:t>
            </w:r>
            <w:r w:rsidR="0026100E">
              <w:rPr>
                <w:rFonts w:eastAsia="Calibri"/>
                <w:szCs w:val="16"/>
                <w:lang w:eastAsia="en-US"/>
              </w:rPr>
              <w:noBreakHyphen/>
            </w:r>
            <w:r w:rsidRPr="006D52A9">
              <w:rPr>
                <w:rFonts w:eastAsia="Calibri"/>
                <w:szCs w:val="16"/>
                <w:lang w:eastAsia="en-US"/>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14:paraId="4E9843CC" w14:textId="77777777" w:rsidR="008F47B8" w:rsidRPr="006D52A9" w:rsidRDefault="008F47B8" w:rsidP="00FB6D2D">
            <w:pPr>
              <w:keepNext/>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5CDAE95C" w14:textId="77777777" w:rsidTr="00FB6D2D">
        <w:tc>
          <w:tcPr>
            <w:tcW w:w="647" w:type="pct"/>
            <w:tcBorders>
              <w:bottom w:val="single" w:sz="4" w:space="0" w:color="auto"/>
            </w:tcBorders>
            <w:shd w:val="clear" w:color="auto" w:fill="auto"/>
            <w:tcMar>
              <w:top w:w="28" w:type="dxa"/>
              <w:left w:w="28" w:type="dxa"/>
            </w:tcMar>
          </w:tcPr>
          <w:p w14:paraId="0AB9B4FA"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11607ECA"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C9495</w:t>
            </w:r>
          </w:p>
        </w:tc>
        <w:tc>
          <w:tcPr>
            <w:tcW w:w="265" w:type="pct"/>
            <w:tcBorders>
              <w:bottom w:val="single" w:sz="4" w:space="0" w:color="auto"/>
            </w:tcBorders>
            <w:shd w:val="clear" w:color="auto" w:fill="auto"/>
            <w:tcMar>
              <w:top w:w="28" w:type="dxa"/>
              <w:left w:w="28" w:type="dxa"/>
            </w:tcMar>
          </w:tcPr>
          <w:p w14:paraId="3DECC60D"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F76C32E"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Continuing treatment</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received this drug as their most recent course of PBS</w:t>
            </w:r>
            <w:r w:rsidR="0026100E">
              <w:rPr>
                <w:rFonts w:eastAsia="Calibri"/>
                <w:szCs w:val="16"/>
                <w:lang w:eastAsia="en-US"/>
              </w:rPr>
              <w:noBreakHyphen/>
            </w:r>
            <w:r w:rsidRPr="006D52A9">
              <w:rPr>
                <w:rFonts w:eastAsia="Calibri"/>
                <w:szCs w:val="16"/>
                <w:lang w:eastAsia="en-US"/>
              </w:rPr>
              <w:t>subsidised biological medicine treatment for this condition; AND</w:t>
            </w:r>
            <w:r w:rsidRPr="006D52A9">
              <w:rPr>
                <w:rFonts w:eastAsia="Calibri"/>
                <w:szCs w:val="16"/>
                <w:lang w:eastAsia="en-US"/>
              </w:rPr>
              <w:br/>
              <w:t>Patient must have demonstrated an adequate response to treatment with this drug; AND</w:t>
            </w:r>
            <w:r w:rsidRPr="006D52A9">
              <w:rPr>
                <w:rFonts w:eastAsia="Calibri"/>
                <w:szCs w:val="16"/>
                <w:lang w:eastAsia="en-US"/>
              </w:rPr>
              <w:br/>
              <w:t>Patient must not receive more than 24 weeks of treatment per continuing treatment course authorised under this restriction.</w:t>
            </w:r>
            <w:r w:rsidRPr="006D52A9">
              <w:rPr>
                <w:rFonts w:eastAsia="Calibri"/>
                <w:szCs w:val="16"/>
                <w:lang w:eastAsia="en-US"/>
              </w:rPr>
              <w:br/>
              <w:t>Patient must be aged 18 years or older.</w:t>
            </w:r>
            <w:r w:rsidRPr="006D52A9">
              <w:rPr>
                <w:rFonts w:eastAsia="Calibri"/>
                <w:szCs w:val="16"/>
                <w:lang w:eastAsia="en-US"/>
              </w:rPr>
              <w:br/>
              <w:t>An adequate response to treatment is defined as:</w:t>
            </w:r>
            <w:r w:rsidRPr="006D52A9">
              <w:rPr>
                <w:rFonts w:eastAsia="Calibri"/>
                <w:szCs w:val="16"/>
                <w:lang w:eastAsia="en-US"/>
              </w:rPr>
              <w:br/>
              <w:t>an ESR no greater than 25 mm per hour or a CRP level no greater than 15 mg per L or either marker reduced by at least 20% from baseline;</w:t>
            </w:r>
            <w:r w:rsidRPr="006D52A9">
              <w:rPr>
                <w:rFonts w:eastAsia="Calibri"/>
                <w:szCs w:val="16"/>
                <w:lang w:eastAsia="en-US"/>
              </w:rPr>
              <w:br/>
              <w:t>AND either of the following:</w:t>
            </w:r>
            <w:r w:rsidRPr="006D52A9">
              <w:rPr>
                <w:rFonts w:eastAsia="Calibri"/>
                <w:szCs w:val="16"/>
                <w:lang w:eastAsia="en-US"/>
              </w:rPr>
              <w:br/>
              <w:t>(a) an active joint count of fewer than 10 active (swollen and tender) joints; or</w:t>
            </w:r>
            <w:r w:rsidRPr="006D52A9">
              <w:rPr>
                <w:rFonts w:eastAsia="Calibri"/>
                <w:szCs w:val="16"/>
                <w:lang w:eastAsia="en-US"/>
              </w:rPr>
              <w:br/>
              <w:t>(b) a reduction in the active (swollen and tender) joint count by at least 50% from baseline; or</w:t>
            </w:r>
            <w:r w:rsidRPr="006D52A9">
              <w:rPr>
                <w:rFonts w:eastAsia="Calibri"/>
                <w:szCs w:val="16"/>
                <w:lang w:eastAsia="en-US"/>
              </w:rPr>
              <w:br/>
              <w:t>(c) a reduction in the number of the following active joints, from at least 4, by at least 50%:</w:t>
            </w:r>
            <w:r w:rsidRPr="006D52A9">
              <w:rPr>
                <w:rFonts w:eastAsia="Calibri"/>
                <w:szCs w:val="16"/>
                <w:lang w:eastAsia="en-US"/>
              </w:rPr>
              <w:br/>
              <w:t>(i) elbow, wrist, knee and/or ankle (assessed as swollen and tender); and/or</w:t>
            </w:r>
            <w:r w:rsidRPr="006D52A9">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Pr="006D52A9">
              <w:rPr>
                <w:rFonts w:eastAsia="Calibri"/>
                <w:szCs w:val="16"/>
                <w:lang w:eastAsia="en-US"/>
              </w:rPr>
              <w:br/>
              <w:t>The authority application must be made in writing and must include:</w:t>
            </w:r>
            <w:r w:rsidRPr="006D52A9">
              <w:rPr>
                <w:rFonts w:eastAsia="Calibri"/>
                <w:szCs w:val="16"/>
                <w:lang w:eastAsia="en-US"/>
              </w:rPr>
              <w:br/>
            </w:r>
            <w:r w:rsidRPr="006D52A9">
              <w:rPr>
                <w:rFonts w:eastAsia="Calibri"/>
                <w:szCs w:val="16"/>
                <w:lang w:eastAsia="en-US"/>
              </w:rPr>
              <w:lastRenderedPageBreak/>
              <w:t>(1) completed authority prescription form(s); and</w:t>
            </w:r>
            <w:r w:rsidRPr="006D52A9">
              <w:rPr>
                <w:rFonts w:eastAsia="Calibri"/>
                <w:szCs w:val="16"/>
                <w:lang w:eastAsia="en-US"/>
              </w:rPr>
              <w:br/>
              <w:t xml:space="preserve">(2) a completed Juvenile Idiopathic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r w:rsidRPr="006D52A9">
              <w:rPr>
                <w:rFonts w:eastAsia="Calibri"/>
                <w:szCs w:val="16"/>
                <w:lang w:eastAsia="en-US"/>
              </w:rPr>
              <w:br/>
              <w:t>Where the most recent course of PBS</w:t>
            </w:r>
            <w:r w:rsidR="0026100E">
              <w:rPr>
                <w:rFonts w:eastAsia="Calibri"/>
                <w:szCs w:val="16"/>
                <w:lang w:eastAsia="en-US"/>
              </w:rPr>
              <w:noBreakHyphen/>
            </w:r>
            <w:r w:rsidRPr="006D52A9">
              <w:rPr>
                <w:rFonts w:eastAsia="Calibri"/>
                <w:szCs w:val="16"/>
                <w:lang w:eastAsia="en-US"/>
              </w:rPr>
              <w:t>subsidised treatment with this drug was approved under either Initial 1, Initial 2, or Initial 3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eastAsia="Calibri"/>
                <w:szCs w:val="16"/>
                <w:lang w:eastAsia="en-US"/>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D52A9">
              <w:rPr>
                <w:rFonts w:eastAsia="Calibri"/>
                <w:szCs w:val="16"/>
                <w:lang w:eastAsia="en-US"/>
              </w:rPr>
              <w:br/>
              <w:t>A patient may re</w:t>
            </w:r>
            <w:r w:rsidR="0026100E">
              <w:rPr>
                <w:rFonts w:eastAsia="Calibri"/>
                <w:szCs w:val="16"/>
                <w:lang w:eastAsia="en-US"/>
              </w:rPr>
              <w:noBreakHyphen/>
            </w:r>
            <w:r w:rsidRPr="006D52A9">
              <w:rPr>
                <w:rFonts w:eastAsia="Calibri"/>
                <w:szCs w:val="16"/>
                <w:lang w:eastAsia="en-US"/>
              </w:rPr>
              <w:t>trial this drug after a minimum of 5 years have elapsed between the date the last prescription for a PBS</w:t>
            </w:r>
            <w:r w:rsidR="0026100E">
              <w:rPr>
                <w:rFonts w:eastAsia="Calibri"/>
                <w:szCs w:val="16"/>
                <w:lang w:eastAsia="en-US"/>
              </w:rPr>
              <w:noBreakHyphen/>
            </w:r>
            <w:r w:rsidRPr="006D52A9">
              <w:rPr>
                <w:rFonts w:eastAsia="Calibri"/>
                <w:szCs w:val="16"/>
                <w:lang w:eastAsia="en-US"/>
              </w:rPr>
              <w:t>subsidised biological medicine was approved in this cycle and the date of the first application under a new cycle under the Initial 3 treatment restriction.</w:t>
            </w:r>
            <w:r w:rsidRPr="006D52A9">
              <w:rPr>
                <w:rFonts w:eastAsia="Calibri"/>
                <w:szCs w:val="16"/>
                <w:lang w:eastAsia="en-US"/>
              </w:rPr>
              <w:br/>
              <w:t>If a patient fails to respond to PBS</w:t>
            </w:r>
            <w:r w:rsidR="0026100E">
              <w:rPr>
                <w:rFonts w:eastAsia="Calibri"/>
                <w:szCs w:val="16"/>
                <w:lang w:eastAsia="en-US"/>
              </w:rPr>
              <w:noBreakHyphen/>
            </w:r>
            <w:r w:rsidRPr="006D52A9">
              <w:rPr>
                <w:rFonts w:eastAsia="Calibri"/>
                <w:szCs w:val="16"/>
                <w:lang w:eastAsia="en-US"/>
              </w:rPr>
              <w:t>subsidised biological medicine treatment 3 times (once with each agent) they will not be eligible to receive further PBS</w:t>
            </w:r>
            <w:r w:rsidR="0026100E">
              <w:rPr>
                <w:rFonts w:eastAsia="Calibri"/>
                <w:szCs w:val="16"/>
                <w:lang w:eastAsia="en-US"/>
              </w:rPr>
              <w:noBreakHyphen/>
            </w:r>
            <w:r w:rsidRPr="006D52A9">
              <w:rPr>
                <w:rFonts w:eastAsia="Calibri"/>
                <w:szCs w:val="16"/>
                <w:lang w:eastAsia="en-US"/>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14:paraId="4A2A891D"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42EAD3BD" w14:textId="77777777" w:rsidTr="00FB6D2D">
        <w:tc>
          <w:tcPr>
            <w:tcW w:w="647" w:type="pct"/>
            <w:tcBorders>
              <w:bottom w:val="single" w:sz="4" w:space="0" w:color="auto"/>
            </w:tcBorders>
            <w:shd w:val="clear" w:color="auto" w:fill="auto"/>
            <w:tcMar>
              <w:top w:w="28" w:type="dxa"/>
              <w:left w:w="28" w:type="dxa"/>
            </w:tcMar>
          </w:tcPr>
          <w:p w14:paraId="553767BB" w14:textId="77777777" w:rsidR="008F47B8" w:rsidRPr="006D52A9" w:rsidDel="006712FA"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49934DB2" w14:textId="77777777" w:rsidR="008F47B8" w:rsidRPr="006D52A9" w:rsidRDefault="008F47B8" w:rsidP="00FB6D2D">
            <w:pPr>
              <w:widowControl w:val="0"/>
              <w:spacing w:line="240" w:lineRule="auto"/>
              <w:rPr>
                <w:rFonts w:ascii="Arial" w:hAnsi="Arial" w:cs="Arial"/>
                <w:sz w:val="16"/>
                <w:szCs w:val="16"/>
                <w:lang w:eastAsia="en-AU"/>
              </w:rPr>
            </w:pPr>
            <w:r w:rsidRPr="006D52A9">
              <w:rPr>
                <w:rFonts w:ascii="Arial" w:eastAsia="Arial" w:hAnsi="Arial" w:cs="Arial"/>
                <w:sz w:val="16"/>
                <w:szCs w:val="22"/>
                <w:lang w:eastAsia="zh-CN"/>
              </w:rPr>
              <w:t>C9496</w:t>
            </w:r>
          </w:p>
        </w:tc>
        <w:tc>
          <w:tcPr>
            <w:tcW w:w="265" w:type="pct"/>
            <w:tcBorders>
              <w:bottom w:val="single" w:sz="4" w:space="0" w:color="auto"/>
            </w:tcBorders>
            <w:shd w:val="clear" w:color="auto" w:fill="auto"/>
            <w:tcMar>
              <w:top w:w="28" w:type="dxa"/>
              <w:left w:w="28" w:type="dxa"/>
            </w:tcMar>
          </w:tcPr>
          <w:p w14:paraId="33187A8F" w14:textId="77777777" w:rsidR="008F47B8" w:rsidRPr="006D52A9" w:rsidDel="006712FA"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4D229212" w14:textId="77777777" w:rsidR="008F47B8" w:rsidRPr="006D52A9" w:rsidRDefault="008F47B8" w:rsidP="00FB6D2D">
            <w:pPr>
              <w:pStyle w:val="mps3-data"/>
              <w:spacing w:before="0" w:after="0"/>
              <w:rPr>
                <w:rFonts w:eastAsia="Calibri"/>
                <w:szCs w:val="16"/>
                <w:lang w:eastAsia="en-US"/>
              </w:rPr>
            </w:pPr>
            <w:r w:rsidRPr="006D52A9">
              <w:rPr>
                <w:rFonts w:eastAsia="Calibri"/>
                <w:szCs w:val="16"/>
                <w:lang w:eastAsia="en-US"/>
              </w:rPr>
              <w:t>Severe active juvenile idiopathic arthritis</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1 (new patient)</w:t>
            </w:r>
            <w:r w:rsidRPr="006D52A9">
              <w:rPr>
                <w:rFonts w:eastAsia="Calibri"/>
                <w:szCs w:val="16"/>
                <w:lang w:eastAsia="en-US"/>
              </w:rPr>
              <w:br/>
              <w:t>Must be treated by a rheumatologist; OR</w:t>
            </w:r>
            <w:r w:rsidRPr="006D52A9">
              <w:rPr>
                <w:rFonts w:eastAsia="Calibri"/>
                <w:szCs w:val="16"/>
                <w:lang w:eastAsia="en-US"/>
              </w:rPr>
              <w:br/>
              <w:t>Must be treated by a clinical immunologist with expertise in the management of rheumatoid arthritis.</w:t>
            </w:r>
            <w:r w:rsidRPr="006D52A9">
              <w:rPr>
                <w:rFonts w:eastAsia="Calibri"/>
                <w:szCs w:val="16"/>
                <w:lang w:eastAsia="en-US"/>
              </w:rPr>
              <w:br/>
              <w:t>Patient must have a documented history of severe active juvenile idiopathic arthritis with onset prior to the age of 18 years; AND</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disease modifying anti</w:t>
            </w:r>
            <w:r w:rsidR="0026100E">
              <w:rPr>
                <w:rFonts w:eastAsia="Calibri"/>
                <w:szCs w:val="16"/>
                <w:lang w:eastAsia="en-US"/>
              </w:rPr>
              <w:noBreakHyphen/>
            </w:r>
            <w:r w:rsidRPr="006D52A9">
              <w:rPr>
                <w:rFonts w:eastAsia="Calibri"/>
                <w:szCs w:val="16"/>
                <w:lang w:eastAsia="en-US"/>
              </w:rPr>
              <w:t>rheumatic drugs (DMARDs) which must include at least 3 months continuous treatment with each of at least 2 DMARDs, one of which must be methotrexate at a dose of at least 20 mg weekly and one of which must be: (i) hydroxychloroquine at a dose of at least 200 mg daily; or (ii) leflunomide at a dose of at least 10 mg daily; or (iii) sulfasalazine at a dose of at least 2 g daily; OR</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w:t>
            </w:r>
            <w:r w:rsidR="0026100E">
              <w:rPr>
                <w:rFonts w:eastAsia="Calibri"/>
                <w:szCs w:val="16"/>
                <w:lang w:eastAsia="en-US"/>
              </w:rPr>
              <w:noBreakHyphen/>
            </w:r>
            <w:r w:rsidRPr="006D52A9">
              <w:rPr>
                <w:rFonts w:eastAsia="Calibri"/>
                <w:szCs w:val="16"/>
                <w:lang w:eastAsia="en-US"/>
              </w:rPr>
              <w:t xml:space="preserve">approved Product Information or cannot be tolerated at a 20 mg weekly dose, must include at least 3 months </w:t>
            </w:r>
            <w:r w:rsidRPr="006D52A9">
              <w:rPr>
                <w:rFonts w:eastAsia="Calibri"/>
                <w:szCs w:val="16"/>
                <w:lang w:eastAsia="en-US"/>
              </w:rPr>
              <w:lastRenderedPageBreak/>
              <w:t>continuous treatment with each of at least 2 of the following DMARDs: (i) hydroxychloroquine at a dose of at least 200 mg daily; and/or (ii) leflunomide at a dose of at least 10 mg daily; and/or (iii) sulfasalazine at a dose of at least 2 g daily; OR</w:t>
            </w:r>
            <w:r w:rsidRPr="006D52A9">
              <w:rPr>
                <w:rFonts w:eastAsia="Calibri"/>
                <w:szCs w:val="16"/>
                <w:lang w:eastAsia="en-US"/>
              </w:rPr>
              <w:br/>
              <w:t>Patient must have failed, in the 24 months immediately prior to the date of the application, to achieve an adequate response to a trial of at least 6 months of intensive treatment with DMARDs which, if 3 or more of methotrexate, hydroxychloroquine, leflunomide and sulfasalazine are contraindicated according to the relevant TGA</w:t>
            </w:r>
            <w:r w:rsidR="0026100E">
              <w:rPr>
                <w:rFonts w:eastAsia="Calibri"/>
                <w:szCs w:val="16"/>
                <w:lang w:eastAsia="en-US"/>
              </w:rPr>
              <w:noBreakHyphen/>
            </w:r>
            <w:r w:rsidRPr="006D52A9">
              <w:rPr>
                <w:rFonts w:eastAsia="Calibri"/>
                <w:szCs w:val="16"/>
                <w:lang w:eastAsia="en-US"/>
              </w:rPr>
              <w:t>approved Product Information or cannot be tolerated at the doses specified above, must include at least 3 months continuous treatment with each of at least 2 DMARDs, with one or more of the following DMARDs being used in place of the DMARDS which are contraindicated or not tolerated: (i) azathioprine at a dose of at least 1 mg/kg per day; and/or (ii) cyclosporin at a dose of at least 2 mg/kg/day; and/or (iii) sodium aurothiomalate at a dose of 50 mg weekly; AND</w:t>
            </w:r>
            <w:r w:rsidRPr="006D52A9">
              <w:rPr>
                <w:rFonts w:eastAsia="Calibri"/>
                <w:szCs w:val="16"/>
                <w:lang w:eastAsia="en-US"/>
              </w:rPr>
              <w:br/>
              <w:t>Patient must not receive more than 16 weeks of treatment under this restriction.</w:t>
            </w:r>
            <w:r w:rsidRPr="006D52A9">
              <w:rPr>
                <w:rFonts w:eastAsia="Calibri"/>
                <w:szCs w:val="16"/>
                <w:lang w:eastAsia="en-US"/>
              </w:rPr>
              <w:br/>
              <w:t>Patient must be aged 18 years or older.</w:t>
            </w:r>
            <w:r w:rsidRPr="006D52A9">
              <w:rPr>
                <w:rFonts w:eastAsia="Calibri"/>
                <w:szCs w:val="16"/>
                <w:lang w:eastAsia="en-US"/>
              </w:rPr>
              <w:br/>
              <w:t>If methotrexate is contraindicated according to the TGA</w:t>
            </w:r>
            <w:r w:rsidR="0026100E">
              <w:rPr>
                <w:rFonts w:eastAsia="Calibri"/>
                <w:szCs w:val="16"/>
                <w:lang w:eastAsia="en-US"/>
              </w:rPr>
              <w:noBreakHyphen/>
            </w:r>
            <w:r w:rsidRPr="006D52A9">
              <w:rPr>
                <w:rFonts w:eastAsia="Calibri"/>
                <w:szCs w:val="16"/>
                <w:lang w:eastAsia="en-US"/>
              </w:rPr>
              <w:t>approved Product Information or cannot be tolerated at a 20 mg weekly dose, the application must include details of the contraindication or intolerance to methotrexate. The maximum tolerated dose of methotrexate must be documented in the application, if applicable.</w:t>
            </w:r>
            <w:r w:rsidRPr="006D52A9">
              <w:rPr>
                <w:rFonts w:eastAsia="Calibri"/>
                <w:szCs w:val="16"/>
                <w:lang w:eastAsia="en-US"/>
              </w:rPr>
              <w:br/>
              <w:t>The application must include details of the DMARDs trialled, their doses and duration of treatment, and all relevant contraindications and/or intolerances.</w:t>
            </w:r>
            <w:r w:rsidRPr="006D52A9">
              <w:rPr>
                <w:rFonts w:eastAsia="Calibri"/>
                <w:szCs w:val="16"/>
                <w:lang w:eastAsia="en-US"/>
              </w:rPr>
              <w:br/>
              <w:t>The requirement to trial at least 2 DMARDs for periods of at least 3 months each can be met using single agents sequentially or by using one or more combinations of DMARDs.</w:t>
            </w:r>
            <w:r w:rsidRPr="006D52A9">
              <w:rPr>
                <w:rFonts w:eastAsia="Calibri"/>
                <w:szCs w:val="16"/>
                <w:lang w:eastAsia="en-US"/>
              </w:rPr>
              <w:b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w:t>
            </w:r>
            <w:r w:rsidRPr="006D52A9">
              <w:rPr>
                <w:rFonts w:eastAsia="Calibri"/>
                <w:szCs w:val="16"/>
                <w:lang w:eastAsia="en-US"/>
              </w:rPr>
              <w:br/>
              <w:t>The following criteria indicate failure to achieve an adequate response and must be demonstrated in all patients at the time of the initial application:</w:t>
            </w:r>
            <w:r w:rsidRPr="006D52A9">
              <w:rPr>
                <w:rFonts w:eastAsia="Calibri"/>
                <w:szCs w:val="16"/>
                <w:lang w:eastAsia="en-US"/>
              </w:rPr>
              <w:br/>
              <w:t>an elevated erythrocyte sedimentation rate (ESR) greater than 25 mm per hour or a C</w:t>
            </w:r>
            <w:r w:rsidR="0026100E">
              <w:rPr>
                <w:rFonts w:eastAsia="Calibri"/>
                <w:szCs w:val="16"/>
                <w:lang w:eastAsia="en-US"/>
              </w:rPr>
              <w:noBreakHyphen/>
            </w:r>
            <w:r w:rsidRPr="006D52A9">
              <w:rPr>
                <w:rFonts w:eastAsia="Calibri"/>
                <w:szCs w:val="16"/>
                <w:lang w:eastAsia="en-US"/>
              </w:rPr>
              <w:t>reactive protein (CRP) level greater than 15 mg per L; AND either</w:t>
            </w:r>
            <w:r w:rsidRPr="006D52A9">
              <w:rPr>
                <w:rFonts w:eastAsia="Calibri"/>
                <w:szCs w:val="16"/>
                <w:lang w:eastAsia="en-US"/>
              </w:rPr>
              <w:br/>
              <w:t>(a) an active joint count of at least 20 active (swollen and tender) joints; or</w:t>
            </w:r>
            <w:r w:rsidRPr="006D52A9">
              <w:rPr>
                <w:rFonts w:eastAsia="Calibri"/>
                <w:szCs w:val="16"/>
                <w:lang w:eastAsia="en-US"/>
              </w:rPr>
              <w:br/>
              <w:t>(b) at least 4 active joints from the following list:</w:t>
            </w:r>
            <w:r w:rsidRPr="006D52A9">
              <w:rPr>
                <w:rFonts w:eastAsia="Calibri"/>
                <w:szCs w:val="16"/>
                <w:lang w:eastAsia="en-US"/>
              </w:rPr>
              <w:br/>
              <w:t>(i) elbow, wrist, knee and/or ankle (assessed as swollen and tender); and/or</w:t>
            </w:r>
            <w:r w:rsidRPr="006D52A9">
              <w:rPr>
                <w:rFonts w:eastAsia="Calibri"/>
                <w:szCs w:val="16"/>
                <w:lang w:eastAsia="en-US"/>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rFonts w:eastAsia="Calibri"/>
                <w:szCs w:val="16"/>
                <w:lang w:eastAsia="en-US"/>
              </w:rPr>
              <w:br/>
              <w:t>The joint count and ESR and/or CRP must be determined at the completion of the 6 month intensive DMARD trial, but prior to ceasing DMARD therapy. All measures must be no more than one month old at the time of initial application.</w:t>
            </w:r>
            <w:r w:rsidRPr="006D52A9">
              <w:rPr>
                <w:rFonts w:eastAsia="Calibri"/>
                <w:szCs w:val="16"/>
                <w:lang w:eastAsia="en-US"/>
              </w:rPr>
              <w:br/>
              <w:t>If the above requirement to demonstrate an elevated ESR or CRP cannot be met, the application must state the reasons why this criterion cannot be satisfied.</w:t>
            </w:r>
            <w:r w:rsidRPr="006D52A9">
              <w:rPr>
                <w:rFonts w:eastAsia="Calibri"/>
                <w:szCs w:val="16"/>
                <w:lang w:eastAsia="en-US"/>
              </w:rPr>
              <w:br/>
              <w:t>The authority application must be made in writing and must include:</w:t>
            </w:r>
            <w:r w:rsidRPr="006D52A9">
              <w:rPr>
                <w:rFonts w:eastAsia="Calibri"/>
                <w:szCs w:val="16"/>
                <w:lang w:eastAsia="en-US"/>
              </w:rPr>
              <w:br/>
              <w:t>(1) completed authority prescription form(s); and</w:t>
            </w:r>
            <w:r w:rsidRPr="006D52A9">
              <w:rPr>
                <w:rFonts w:eastAsia="Calibri"/>
                <w:szCs w:val="16"/>
                <w:lang w:eastAsia="en-US"/>
              </w:rPr>
              <w:br/>
            </w:r>
            <w:r w:rsidRPr="006D52A9">
              <w:rPr>
                <w:rFonts w:eastAsia="Calibri"/>
                <w:szCs w:val="16"/>
                <w:lang w:eastAsia="en-US"/>
              </w:rPr>
              <w:lastRenderedPageBreak/>
              <w:t xml:space="preserve">(2) a completed Juvenile Idiopathic Arthritis PBS Authority Application </w:t>
            </w:r>
            <w:r w:rsidR="0026100E">
              <w:rPr>
                <w:rFonts w:eastAsia="Calibri"/>
                <w:szCs w:val="16"/>
                <w:lang w:eastAsia="en-US"/>
              </w:rPr>
              <w:noBreakHyphen/>
            </w:r>
            <w:r w:rsidRPr="006D52A9">
              <w:rPr>
                <w:rFonts w:eastAsia="Calibri"/>
                <w:szCs w:val="16"/>
                <w:lang w:eastAsia="en-US"/>
              </w:rPr>
              <w:t xml:space="preserve"> Supporting Information Form.</w:t>
            </w:r>
            <w:r w:rsidRPr="006D52A9">
              <w:rPr>
                <w:rFonts w:eastAsia="Calibri"/>
                <w:szCs w:val="16"/>
                <w:lang w:eastAsia="en-US"/>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424A9960" w14:textId="77777777" w:rsidR="008F47B8" w:rsidRPr="006D52A9" w:rsidRDefault="008F47B8" w:rsidP="00FB6D2D">
            <w:pPr>
              <w:widowControl w:val="0"/>
              <w:spacing w:line="240" w:lineRule="auto"/>
              <w:rPr>
                <w:rFonts w:ascii="Arial" w:eastAsia="Arial" w:hAnsi="Arial" w:cs="Arial"/>
                <w:sz w:val="16"/>
                <w:szCs w:val="22"/>
                <w:lang w:eastAsia="zh-CN"/>
              </w:rPr>
            </w:pPr>
            <w:r w:rsidRPr="006D52A9">
              <w:rPr>
                <w:rFonts w:ascii="Arial" w:eastAsia="Arial" w:hAnsi="Arial" w:cs="Arial"/>
                <w:sz w:val="16"/>
                <w:szCs w:val="22"/>
                <w:lang w:eastAsia="zh-CN"/>
              </w:rPr>
              <w:lastRenderedPageBreak/>
              <w:t>Compliance with Written Authority Required procedures</w:t>
            </w:r>
          </w:p>
        </w:tc>
      </w:tr>
      <w:tr w:rsidR="008F47B8" w:rsidRPr="006D52A9" w:rsidDel="006712FA" w14:paraId="4269774A" w14:textId="77777777" w:rsidTr="00FB6D2D">
        <w:tc>
          <w:tcPr>
            <w:tcW w:w="647" w:type="pct"/>
            <w:tcBorders>
              <w:bottom w:val="single" w:sz="4" w:space="0" w:color="auto"/>
            </w:tcBorders>
            <w:shd w:val="clear" w:color="auto" w:fill="auto"/>
            <w:tcMar>
              <w:top w:w="28" w:type="dxa"/>
              <w:left w:w="28" w:type="dxa"/>
            </w:tcMar>
          </w:tcPr>
          <w:p w14:paraId="45C9C7A9"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68FD7B9A" w14:textId="77777777" w:rsidR="008F47B8" w:rsidRPr="006D52A9" w:rsidRDefault="008F47B8" w:rsidP="00FB6D2D">
            <w:pPr>
              <w:pStyle w:val="mps3-data"/>
              <w:rPr>
                <w:szCs w:val="16"/>
              </w:rPr>
            </w:pPr>
            <w:r w:rsidRPr="006D52A9">
              <w:rPr>
                <w:szCs w:val="16"/>
              </w:rPr>
              <w:t>C10532</w:t>
            </w:r>
          </w:p>
        </w:tc>
        <w:tc>
          <w:tcPr>
            <w:tcW w:w="265" w:type="pct"/>
            <w:tcBorders>
              <w:bottom w:val="single" w:sz="4" w:space="0" w:color="auto"/>
            </w:tcBorders>
            <w:shd w:val="clear" w:color="auto" w:fill="auto"/>
            <w:tcMar>
              <w:top w:w="28" w:type="dxa"/>
              <w:left w:w="28" w:type="dxa"/>
            </w:tcMar>
          </w:tcPr>
          <w:p w14:paraId="5F7BC1A6"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29C0DD11"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 xml:space="preserve">Initial treatment </w:t>
            </w:r>
            <w:r w:rsidR="0026100E">
              <w:rPr>
                <w:szCs w:val="16"/>
              </w:rPr>
              <w:noBreakHyphen/>
            </w:r>
            <w:r w:rsidRPr="006D52A9">
              <w:rPr>
                <w:szCs w:val="16"/>
              </w:rPr>
              <w:t xml:space="preserve"> Initial 3 (recommencement of treatment after a break of more than 12 months)</w:t>
            </w:r>
            <w:r w:rsidRPr="006D52A9">
              <w:rPr>
                <w:szCs w:val="16"/>
              </w:rPr>
              <w:br/>
              <w:t>Patient must have previously received PBS</w:t>
            </w:r>
            <w:r w:rsidR="0026100E">
              <w:rPr>
                <w:szCs w:val="16"/>
              </w:rPr>
              <w:noBreakHyphen/>
            </w:r>
            <w:r w:rsidRPr="006D52A9">
              <w:rPr>
                <w:szCs w:val="16"/>
              </w:rPr>
              <w:t>subsidised treatment with this drug for this condition; AND</w:t>
            </w:r>
            <w:r w:rsidRPr="006D52A9">
              <w:rPr>
                <w:szCs w:val="16"/>
              </w:rPr>
              <w:br/>
              <w:t>Patient must have had a break in treatment of 12 months or more from this drug for this condition; AND</w:t>
            </w:r>
            <w:r w:rsidRPr="006D52A9">
              <w:rPr>
                <w:szCs w:val="16"/>
              </w:rPr>
              <w:br/>
              <w:t>Patient must have polyarticular course disease and the condition must have (a) an active joint count of at least 20 active (swollen and tender) joints; or (b) at least 4 active joints from the following list of major joints: i) elbow, wrist, knee and/or ankle (assessed as swollen and tender); and/or (ii) shoulder, cervical spine and/or hip (assessed as pain in passive movement and restriction of passive movement, where pain and limitation of movement are due to active disease and not irreversible damage such as joint destruction or bony overgrowth); OR</w:t>
            </w:r>
            <w:r w:rsidRPr="006D52A9">
              <w:rPr>
                <w:szCs w:val="16"/>
              </w:rPr>
              <w:br/>
              <w:t>Patient must have refractory systemic symptoms and the condition must have (a) an active joint count of at least 2 active joints; and (b) persistent fever greater than 38 degrees Celsius for at least 5 out of 14 consecutive days; and/or (c) a C</w:t>
            </w:r>
            <w:r w:rsidR="0026100E">
              <w:rPr>
                <w:szCs w:val="16"/>
              </w:rPr>
              <w:noBreakHyphen/>
            </w:r>
            <w:r w:rsidRPr="006D52A9">
              <w:rPr>
                <w:szCs w:val="16"/>
              </w:rPr>
              <w:t>reactive protein (CRP) level and platelet count above the upper limits of normal (ULN); AND</w:t>
            </w:r>
            <w:r w:rsidRPr="006D52A9">
              <w:rPr>
                <w:szCs w:val="16"/>
              </w:rPr>
              <w:br/>
              <w:t>Patient must not receive more than 16 weeks of treatment under this restriction.</w:t>
            </w:r>
            <w:r w:rsidRPr="006D52A9">
              <w:rPr>
                <w:szCs w:val="16"/>
              </w:rPr>
              <w:br/>
              <w:t>Must be treated by a rheumatologist; OR</w:t>
            </w:r>
            <w:r w:rsidRPr="006D52A9">
              <w:rPr>
                <w:szCs w:val="16"/>
              </w:rPr>
              <w:br/>
              <w:t>Patient must be undergoing treatment under the supervision of a paediatric rheumatology treatment centre.</w:t>
            </w:r>
            <w:r w:rsidRPr="006D52A9">
              <w:rPr>
                <w:szCs w:val="16"/>
              </w:rPr>
              <w:br/>
              <w:t>Patient must be under 18 years of age.</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Systemic Juvenile Idiopathic Arthritis PBS Authority Application </w:t>
            </w:r>
            <w:r w:rsidR="0026100E">
              <w:rPr>
                <w:szCs w:val="16"/>
              </w:rPr>
              <w:noBreakHyphen/>
            </w:r>
            <w:r w:rsidRPr="006D52A9">
              <w:rPr>
                <w:szCs w:val="16"/>
              </w:rPr>
              <w:t xml:space="preserve"> Supporting Information Form which includes the following:</w:t>
            </w:r>
            <w:r w:rsidRPr="006D52A9">
              <w:rPr>
                <w:szCs w:val="16"/>
              </w:rPr>
              <w:br/>
              <w:t>(i) the date of assessment of severe active systemic juvenile idiopathic arthritis;</w:t>
            </w:r>
            <w:r w:rsidRPr="006D52A9">
              <w:rPr>
                <w:szCs w:val="16"/>
              </w:rPr>
              <w:br/>
              <w:t>(ii) pathology reports detailing C</w:t>
            </w:r>
            <w:r w:rsidR="0026100E">
              <w:rPr>
                <w:szCs w:val="16"/>
              </w:rPr>
              <w:noBreakHyphen/>
            </w:r>
            <w:r w:rsidRPr="006D52A9">
              <w:rPr>
                <w:szCs w:val="16"/>
              </w:rPr>
              <w:t>reactive protein (CRP) level and platelet count where appropriate.</w:t>
            </w:r>
            <w:r w:rsidRPr="006D52A9">
              <w:rPr>
                <w:szCs w:val="16"/>
              </w:rPr>
              <w:br/>
              <w:t xml:space="preserve">The most recent systemic juvenile idiopathic arthritis assessment must be no more than 4 weeks old at </w:t>
            </w:r>
            <w:r w:rsidRPr="006D52A9">
              <w:rPr>
                <w:szCs w:val="16"/>
              </w:rPr>
              <w:lastRenderedPageBreak/>
              <w:t>the time of application.</w:t>
            </w:r>
            <w:r w:rsidRPr="006D52A9">
              <w:rPr>
                <w:szCs w:val="16"/>
              </w:rPr>
              <w:br/>
              <w:t>At the time of authority application, the medical practitioner must request the appropriate number of vials of appropriate strength to provide sufficient drug, based on the weight of the patient, for two infusions (one month’s supply). A separate authority prescription form must be completed for each strength requested. Up to a maximum of 3 repeats will be authorised.</w:t>
            </w:r>
            <w:r w:rsidRPr="006D52A9">
              <w:rPr>
                <w:szCs w:val="16"/>
              </w:rPr>
              <w:br/>
              <w:t>An application for a patient who has received PBS</w:t>
            </w:r>
            <w:r w:rsidR="0026100E">
              <w:rPr>
                <w:szCs w:val="16"/>
              </w:rPr>
              <w:noBreakHyphen/>
            </w:r>
            <w:r w:rsidRPr="006D52A9">
              <w:rPr>
                <w:szCs w:val="16"/>
              </w:rPr>
              <w:t>subsidised biological medicine treatment for this condition who wishes to recommence therapy with this drug, must be accompanied by evidence of a response to the patient’s most recent course of PBS</w:t>
            </w:r>
            <w:r w:rsidR="0026100E">
              <w:rPr>
                <w:szCs w:val="16"/>
              </w:rPr>
              <w:noBreakHyphen/>
            </w:r>
            <w:r w:rsidRPr="006D52A9">
              <w:rPr>
                <w:szCs w:val="16"/>
              </w:rPr>
              <w:t>subsidised biological medicine treatment, within the timeframes specified below.</w:t>
            </w:r>
            <w:r w:rsidRPr="006D52A9">
              <w:rPr>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D52A9">
              <w:rPr>
                <w:szCs w:val="16"/>
              </w:rPr>
              <w:br/>
              <w:t>If a patient fails to demonstrate a response to 2 courses of treatment with this drug they will not be eligible to receive further PBS</w:t>
            </w:r>
            <w:r w:rsidR="0026100E">
              <w:rPr>
                <w:szCs w:val="16"/>
              </w:rPr>
              <w:noBreakHyphen/>
            </w:r>
            <w:r w:rsidRPr="006D52A9">
              <w:rPr>
                <w:szCs w:val="16"/>
              </w:rPr>
              <w:t>subsidised treatment with this drug for this condition in the current treatment cycle. A serious adverse reaction of a severity requiring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66ED8DE5"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316134B9" w14:textId="77777777" w:rsidTr="00FB6D2D">
        <w:tc>
          <w:tcPr>
            <w:tcW w:w="647" w:type="pct"/>
            <w:tcBorders>
              <w:bottom w:val="single" w:sz="4" w:space="0" w:color="auto"/>
            </w:tcBorders>
            <w:shd w:val="clear" w:color="auto" w:fill="auto"/>
            <w:tcMar>
              <w:top w:w="28" w:type="dxa"/>
              <w:left w:w="28" w:type="dxa"/>
            </w:tcMar>
          </w:tcPr>
          <w:p w14:paraId="63121757"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48164D0E" w14:textId="77777777" w:rsidR="008F47B8" w:rsidRPr="006D52A9" w:rsidRDefault="008F47B8" w:rsidP="00FB6D2D">
            <w:pPr>
              <w:pStyle w:val="mps3-data"/>
              <w:rPr>
                <w:szCs w:val="16"/>
              </w:rPr>
            </w:pPr>
            <w:r w:rsidRPr="006D52A9">
              <w:rPr>
                <w:szCs w:val="16"/>
              </w:rPr>
              <w:t>C10535</w:t>
            </w:r>
          </w:p>
        </w:tc>
        <w:tc>
          <w:tcPr>
            <w:tcW w:w="265" w:type="pct"/>
            <w:tcBorders>
              <w:bottom w:val="single" w:sz="4" w:space="0" w:color="auto"/>
            </w:tcBorders>
            <w:shd w:val="clear" w:color="auto" w:fill="auto"/>
            <w:tcMar>
              <w:top w:w="28" w:type="dxa"/>
              <w:left w:w="28" w:type="dxa"/>
            </w:tcMar>
          </w:tcPr>
          <w:p w14:paraId="1A96F3DF"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2C166710"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 xml:space="preserve">Initial treatment </w:t>
            </w:r>
            <w:r w:rsidR="0026100E">
              <w:rPr>
                <w:szCs w:val="16"/>
              </w:rPr>
              <w:noBreakHyphen/>
            </w:r>
            <w:r w:rsidRPr="006D52A9">
              <w:rPr>
                <w:szCs w:val="16"/>
              </w:rPr>
              <w:t xml:space="preserve"> Initial 1 (new patient)</w:t>
            </w:r>
            <w:r w:rsidRPr="006D52A9">
              <w:rPr>
                <w:szCs w:val="16"/>
              </w:rPr>
              <w:br/>
              <w:t>Patient must not have received PBS</w:t>
            </w:r>
            <w:r w:rsidR="0026100E">
              <w:rPr>
                <w:szCs w:val="16"/>
              </w:rPr>
              <w:noBreakHyphen/>
            </w:r>
            <w:r w:rsidRPr="006D52A9">
              <w:rPr>
                <w:szCs w:val="16"/>
              </w:rPr>
              <w:t>subsidised treatment with a biological medicine for this condition; AND</w:t>
            </w:r>
            <w:r w:rsidRPr="006D52A9">
              <w:rPr>
                <w:szCs w:val="16"/>
              </w:rPr>
              <w:br/>
              <w:t>Patient must have polyarticular course disease which has failed to respond adequately to oral or parenteral methotrexate at a dose of at least 15 mg per square metre weekly, alone or in combination with oral or intra</w:t>
            </w:r>
            <w:r w:rsidR="0026100E">
              <w:rPr>
                <w:szCs w:val="16"/>
              </w:rPr>
              <w:noBreakHyphen/>
            </w:r>
            <w:r w:rsidRPr="006D52A9">
              <w:rPr>
                <w:szCs w:val="16"/>
              </w:rPr>
              <w:t>articular corticosteroids, for a minimum of 3 months; OR</w:t>
            </w:r>
            <w:r w:rsidRPr="006D52A9">
              <w:rPr>
                <w:szCs w:val="16"/>
              </w:rPr>
              <w:br/>
              <w:t>Patient must have polyarticular course disease and have demonstrated severe intolerance of, or toxicity due to, methotrexate; OR</w:t>
            </w:r>
            <w:r w:rsidRPr="006D52A9">
              <w:rPr>
                <w:szCs w:val="16"/>
              </w:rPr>
              <w:br/>
              <w:t>Patient must have refractory systemic symptoms, demonstrated by an inability to decrease and maintain the dose of prednisolone (or equivalent) below 0.5 mg per kg per day following a minimum of 2 months of therapy; AND</w:t>
            </w:r>
            <w:r w:rsidRPr="006D52A9">
              <w:rPr>
                <w:szCs w:val="16"/>
              </w:rPr>
              <w:br/>
              <w:t>Patient must not receive more than 16 weeks of treatment under this restriction.</w:t>
            </w:r>
            <w:r w:rsidRPr="006D52A9">
              <w:rPr>
                <w:szCs w:val="16"/>
              </w:rPr>
              <w:br/>
              <w:t>Patient must be under 18 years of age.</w:t>
            </w:r>
            <w:r w:rsidRPr="006D52A9">
              <w:rPr>
                <w:szCs w:val="16"/>
              </w:rPr>
              <w:br/>
              <w:t>Must be treated by a rheumatologist; OR</w:t>
            </w:r>
            <w:r w:rsidRPr="006D52A9">
              <w:rPr>
                <w:szCs w:val="16"/>
              </w:rPr>
              <w:br/>
              <w:t>Patient must be undergoing treatment under the supervision of a paediatric rheumatology treatment centre.</w:t>
            </w:r>
            <w:r w:rsidRPr="006D52A9">
              <w:rPr>
                <w:szCs w:val="16"/>
              </w:rPr>
              <w:br/>
              <w:t>The following criteria indicate failure to achieve an adequate response to prior methotrexate therapy in a patient with polyarticular course disease and must be demonstrated in the patient at the time of the initial application:</w:t>
            </w:r>
            <w:r w:rsidRPr="006D52A9">
              <w:rPr>
                <w:szCs w:val="16"/>
              </w:rPr>
              <w:br/>
              <w:t>(a) an active joint count of at least 20 active (swollen and tender) joints; or</w:t>
            </w:r>
            <w:r w:rsidRPr="006D52A9">
              <w:rPr>
                <w:szCs w:val="16"/>
              </w:rPr>
              <w:br/>
              <w:t>(b) at least 4 active joints from the following list of major joints:</w:t>
            </w:r>
            <w:r w:rsidRPr="006D52A9">
              <w:rPr>
                <w:szCs w:val="16"/>
              </w:rPr>
              <w:br/>
              <w:t>(i) elbow, wrist, knee and/or ankle (assessed as swollen and tender); and/or</w:t>
            </w:r>
            <w:r w:rsidRPr="006D52A9">
              <w:rPr>
                <w:szCs w:val="16"/>
              </w:rPr>
              <w:br/>
              <w:t xml:space="preserve">(ii) shoulder, cervical spine and/or hip (assessed as pain in passive movement and restriction of passive </w:t>
            </w:r>
            <w:r w:rsidRPr="006D52A9">
              <w:rPr>
                <w:szCs w:val="16"/>
              </w:rPr>
              <w:lastRenderedPageBreak/>
              <w:t>movement, where pain and limitation of movement are due to active disease and not irreversible damage such as joint destruction or bony overgrowth).</w:t>
            </w:r>
            <w:r w:rsidRPr="006D52A9">
              <w:rPr>
                <w:szCs w:val="16"/>
              </w:rPr>
              <w:br/>
              <w:t>The following criteria indicate failure to achieve an adequate response to prior therapy in a patient with refractory systemic symptoms and must be demonstrated in the patient at the time of the initial application:</w:t>
            </w:r>
            <w:r w:rsidRPr="006D52A9">
              <w:rPr>
                <w:szCs w:val="16"/>
              </w:rPr>
              <w:br/>
              <w:t>(a) an active joint count of at least 2 active joints; and</w:t>
            </w:r>
            <w:r w:rsidRPr="006D52A9">
              <w:rPr>
                <w:szCs w:val="16"/>
              </w:rPr>
              <w:br/>
              <w:t>(b) persistent fever greater than 38 degrees Celsius for at least 5 out of 14 consecutive days; and/or</w:t>
            </w:r>
            <w:r w:rsidRPr="006D52A9">
              <w:rPr>
                <w:szCs w:val="16"/>
              </w:rPr>
              <w:br/>
              <w:t>(c) a C</w:t>
            </w:r>
            <w:r w:rsidR="0026100E">
              <w:rPr>
                <w:szCs w:val="16"/>
              </w:rPr>
              <w:noBreakHyphen/>
            </w:r>
            <w:r w:rsidRPr="006D52A9">
              <w:rPr>
                <w:szCs w:val="16"/>
              </w:rPr>
              <w:t>reactive protein (CRP) level and platelet count above the upper limits of normal (ULN).</w:t>
            </w:r>
            <w:r w:rsidRPr="006D52A9">
              <w:rPr>
                <w:szCs w:val="16"/>
              </w:rPr>
              <w:br/>
              <w:t>The baseline measurements of joint count, fever and/or CRP level and platelet count must be performed preferably whilst on treatment, but no longer than 4 weeks following cessation of the most recent prior treatment.</w:t>
            </w:r>
            <w:r w:rsidRPr="006D52A9">
              <w:rPr>
                <w:szCs w:val="16"/>
              </w:rPr>
              <w:br/>
              <w:t>The same indices of disease severity used to establish baseline at the commencement of treatment with each initial treatment application must be used to determine response for all subsequent continuing treatments.</w:t>
            </w:r>
            <w:r w:rsidRPr="006D52A9">
              <w:rPr>
                <w:szCs w:val="16"/>
              </w:rPr>
              <w:br/>
              <w:t>Severe intolerance to methotrexate is defined as intractable nausea and vomiting and general malaise unresponsive to manoeuvres, including reducing or omitting concomitant non</w:t>
            </w:r>
            <w:r w:rsidR="0026100E">
              <w:rPr>
                <w:szCs w:val="16"/>
              </w:rPr>
              <w:noBreakHyphen/>
            </w:r>
            <w:r w:rsidRPr="006D52A9">
              <w:rPr>
                <w:szCs w:val="16"/>
              </w:rPr>
              <w:t>steroidal anti</w:t>
            </w:r>
            <w:r w:rsidR="0026100E">
              <w:rPr>
                <w:szCs w:val="16"/>
              </w:rPr>
              <w:noBreakHyphen/>
            </w:r>
            <w:r w:rsidRPr="006D52A9">
              <w:rPr>
                <w:szCs w:val="16"/>
              </w:rPr>
              <w:t>inflammatory drugs (NSAIDs) on the day of methotrexate administration, use of folic acid supplementation, or administering the dose of methotrexate in 2 divided doses over 24 hours.</w:t>
            </w:r>
            <w:r w:rsidRPr="006D52A9">
              <w:rPr>
                <w:szCs w:val="16"/>
              </w:rPr>
              <w:br/>
              <w:t>Toxicity due to methotrexate is defined as evidence of hepatotoxicity with repeated elevations of transaminases, bone marrow suppression temporally related to methotrexate use, pneumonitis, or serious sepsis.</w:t>
            </w:r>
            <w:r w:rsidRPr="006D52A9">
              <w:rPr>
                <w:szCs w:val="16"/>
              </w:rPr>
              <w:br/>
              <w:t>If treatment with methotrexate alone or in combination with other treatments is contraindicated according to the relevant TGA</w:t>
            </w:r>
            <w:r w:rsidR="0026100E">
              <w:rPr>
                <w:szCs w:val="16"/>
              </w:rPr>
              <w:noBreakHyphen/>
            </w:r>
            <w:r w:rsidRPr="006D52A9">
              <w:rPr>
                <w:szCs w:val="16"/>
              </w:rPr>
              <w:t>approved Product Information, details must be provided at the time of application.</w:t>
            </w:r>
            <w:r w:rsidRPr="006D52A9">
              <w:rPr>
                <w:szCs w:val="16"/>
              </w:rPr>
              <w:br/>
              <w:t>If intolerance to treatment develops during the relevant period of use, which is of a severity necessitating permanent treatment withdrawal, details of this toxicity must be provided at the time of application.</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Systemic Juvenile Idiopathic Arthritis PBS Authority Application </w:t>
            </w:r>
            <w:r w:rsidR="0026100E">
              <w:rPr>
                <w:szCs w:val="16"/>
              </w:rPr>
              <w:noBreakHyphen/>
            </w:r>
            <w:r w:rsidRPr="006D52A9">
              <w:rPr>
                <w:szCs w:val="16"/>
              </w:rPr>
              <w:t xml:space="preserve"> Supporting Information Form which includes the following:</w:t>
            </w:r>
            <w:r w:rsidRPr="006D52A9">
              <w:rPr>
                <w:szCs w:val="16"/>
              </w:rPr>
              <w:br/>
              <w:t>(i) the date of assessment of severe active systemic juvenile idiopathic arthritis;</w:t>
            </w:r>
            <w:r w:rsidRPr="006D52A9">
              <w:rPr>
                <w:szCs w:val="16"/>
              </w:rPr>
              <w:br/>
              <w:t>(ii) details of prior treatment including dose and duration of treatment;</w:t>
            </w:r>
            <w:r w:rsidRPr="006D52A9">
              <w:rPr>
                <w:szCs w:val="16"/>
              </w:rPr>
              <w:br/>
              <w:t>(iii) pathology reports detailing CRP and platelet count where appropriate.</w:t>
            </w:r>
            <w:r w:rsidRPr="006D52A9">
              <w:rPr>
                <w:szCs w:val="16"/>
              </w:rPr>
              <w:br/>
              <w:t>At the time of authority application, the medical practitioner must request the appropriate number of vials of appropriate strength to provide sufficient drug, based on the weight of the patient, for two infusions (one month’s supply). A separate authority prescription form must be completed for each strength requested. Up to a maximum of 3 repeats will be authorised.</w:t>
            </w:r>
            <w:r w:rsidRPr="006D52A9">
              <w:rPr>
                <w:szCs w:val="16"/>
              </w:rPr>
              <w:b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938" w:type="pct"/>
            <w:tcBorders>
              <w:bottom w:val="single" w:sz="4" w:space="0" w:color="auto"/>
            </w:tcBorders>
            <w:shd w:val="clear" w:color="auto" w:fill="auto"/>
            <w:tcMar>
              <w:top w:w="28" w:type="dxa"/>
              <w:left w:w="28" w:type="dxa"/>
              <w:right w:w="57" w:type="dxa"/>
            </w:tcMar>
          </w:tcPr>
          <w:p w14:paraId="727C9B5D"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103B1003" w14:textId="77777777" w:rsidTr="00FB6D2D">
        <w:tc>
          <w:tcPr>
            <w:tcW w:w="647" w:type="pct"/>
            <w:tcBorders>
              <w:bottom w:val="single" w:sz="4" w:space="0" w:color="auto"/>
            </w:tcBorders>
            <w:shd w:val="clear" w:color="auto" w:fill="auto"/>
            <w:tcMar>
              <w:top w:w="28" w:type="dxa"/>
              <w:left w:w="28" w:type="dxa"/>
            </w:tcMar>
          </w:tcPr>
          <w:p w14:paraId="79307372"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52C9DF3D" w14:textId="77777777" w:rsidR="008F47B8" w:rsidRPr="006D52A9" w:rsidRDefault="008F47B8" w:rsidP="00FB6D2D">
            <w:pPr>
              <w:pStyle w:val="mps3-data"/>
              <w:rPr>
                <w:szCs w:val="16"/>
              </w:rPr>
            </w:pPr>
            <w:r w:rsidRPr="006D52A9">
              <w:rPr>
                <w:szCs w:val="16"/>
              </w:rPr>
              <w:t>C10536</w:t>
            </w:r>
          </w:p>
        </w:tc>
        <w:tc>
          <w:tcPr>
            <w:tcW w:w="265" w:type="pct"/>
            <w:tcBorders>
              <w:bottom w:val="single" w:sz="4" w:space="0" w:color="auto"/>
            </w:tcBorders>
            <w:shd w:val="clear" w:color="auto" w:fill="auto"/>
            <w:tcMar>
              <w:top w:w="28" w:type="dxa"/>
              <w:left w:w="28" w:type="dxa"/>
            </w:tcMar>
          </w:tcPr>
          <w:p w14:paraId="258606B2"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21BBA4D8"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Continuing treatment</w:t>
            </w:r>
            <w:r w:rsidRPr="006D52A9">
              <w:rPr>
                <w:szCs w:val="16"/>
              </w:rPr>
              <w:br/>
              <w:t>Patient must have previously received PBS</w:t>
            </w:r>
            <w:r w:rsidR="0026100E">
              <w:rPr>
                <w:szCs w:val="16"/>
              </w:rPr>
              <w:noBreakHyphen/>
            </w:r>
            <w:r w:rsidRPr="006D52A9">
              <w:rPr>
                <w:szCs w:val="16"/>
              </w:rPr>
              <w:t>subsidised treatment with this drug for this condition; AND</w:t>
            </w:r>
            <w:r w:rsidRPr="006D52A9">
              <w:rPr>
                <w:szCs w:val="16"/>
              </w:rPr>
              <w:br/>
              <w:t>Patient must have demonstrated an adequate response to treatment with this drug; AND</w:t>
            </w:r>
            <w:r w:rsidRPr="006D52A9">
              <w:rPr>
                <w:szCs w:val="16"/>
              </w:rPr>
              <w:br/>
              <w:t>Patient must not receive more than 24 weeks of treatment under this restriction.</w:t>
            </w:r>
            <w:r w:rsidRPr="006D52A9">
              <w:rPr>
                <w:szCs w:val="16"/>
              </w:rPr>
              <w:br/>
              <w:t>Must be treated by a rheumatologist; OR</w:t>
            </w:r>
            <w:r w:rsidRPr="006D52A9">
              <w:rPr>
                <w:szCs w:val="16"/>
              </w:rPr>
              <w:br/>
              <w:t>Patient must be undergoing treatment under the supervision of a paediatric rheumatology treatment centre.</w:t>
            </w:r>
            <w:r w:rsidRPr="006D52A9">
              <w:rPr>
                <w:szCs w:val="16"/>
              </w:rPr>
              <w:br/>
              <w:t>An adequate response to treatment is defined as:</w:t>
            </w:r>
            <w:r w:rsidRPr="006D52A9">
              <w:rPr>
                <w:szCs w:val="16"/>
              </w:rPr>
              <w:br/>
              <w:t>(a) in a patient with polyarticular course disease:</w:t>
            </w:r>
            <w:r w:rsidRPr="006D52A9">
              <w:rPr>
                <w:szCs w:val="16"/>
              </w:rPr>
              <w:br/>
              <w:t>(i) a reduction in the total active (swollen and tender) joint count by at least 50% from baseline, where baseline is at least 20 active joints; or</w:t>
            </w:r>
            <w:r w:rsidRPr="006D52A9">
              <w:rPr>
                <w:szCs w:val="16"/>
              </w:rPr>
              <w:br/>
              <w:t>(ii) a reduction in the number of the following major active joints, from at least 4, by at least 50%:</w:t>
            </w:r>
            <w:r w:rsidRPr="006D52A9">
              <w:rPr>
                <w:szCs w:val="16"/>
              </w:rPr>
              <w:br/>
            </w:r>
            <w:r w:rsidR="0026100E">
              <w:rPr>
                <w:szCs w:val="16"/>
              </w:rPr>
              <w:noBreakHyphen/>
            </w:r>
            <w:r w:rsidRPr="006D52A9">
              <w:rPr>
                <w:szCs w:val="16"/>
              </w:rPr>
              <w:t xml:space="preserve"> elbow, wrist, knee and/or ankle (assessed as swollen and tender); and/or</w:t>
            </w:r>
            <w:r w:rsidRPr="006D52A9">
              <w:rPr>
                <w:szCs w:val="16"/>
              </w:rPr>
              <w:br/>
            </w:r>
            <w:r w:rsidR="0026100E">
              <w:rPr>
                <w:szCs w:val="16"/>
              </w:rPr>
              <w:noBreakHyphen/>
            </w:r>
            <w:r w:rsidRPr="006D52A9">
              <w:rPr>
                <w:szCs w:val="16"/>
              </w:rPr>
              <w:t xml:space="preserve"> shoulder, cervical spine and/or hip (assessed as pain in passive movement and restriction of passive movement, where pain and limitation of movement are due to active disease and not irreversible damage such as joint destruction or bony overgrowth).</w:t>
            </w:r>
            <w:r w:rsidRPr="006D52A9">
              <w:rPr>
                <w:szCs w:val="16"/>
              </w:rPr>
              <w:br/>
              <w:t>(b) in a patient with refractory systemic symptoms:</w:t>
            </w:r>
            <w:r w:rsidRPr="006D52A9">
              <w:rPr>
                <w:szCs w:val="16"/>
              </w:rPr>
              <w:br/>
              <w:t>(i) absence of fever greater than 38 degrees Celsius in the preceding seven days; and/or</w:t>
            </w:r>
            <w:r w:rsidRPr="006D52A9">
              <w:rPr>
                <w:szCs w:val="16"/>
              </w:rPr>
              <w:br/>
              <w:t>(ii) a reduction in the C</w:t>
            </w:r>
            <w:r w:rsidR="0026100E">
              <w:rPr>
                <w:szCs w:val="16"/>
              </w:rPr>
              <w:noBreakHyphen/>
            </w:r>
            <w:r w:rsidRPr="006D52A9">
              <w:rPr>
                <w:szCs w:val="16"/>
              </w:rPr>
              <w:t>reactive protein (CRP) level and platelet count by at least 30% from baseline; and/or</w:t>
            </w:r>
            <w:r w:rsidRPr="006D52A9">
              <w:rPr>
                <w:szCs w:val="16"/>
              </w:rPr>
              <w:br/>
              <w:t>(iii) a reduction in the dose of corticosteroid by at least 30% from baseline.</w:t>
            </w:r>
            <w:r w:rsidRPr="006D52A9">
              <w:rPr>
                <w:szCs w:val="16"/>
              </w:rPr>
              <w:br/>
              <w:t>Determination of whether a response has been demonstrated to initial and subsequent courses of treatment will be based on the baseline measurements of disease severity submitted with the initial treatment application.</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Systemic Juvenile Idiopathic Arthritis PBS Authority Application </w:t>
            </w:r>
            <w:r w:rsidR="0026100E">
              <w:rPr>
                <w:szCs w:val="16"/>
              </w:rPr>
              <w:noBreakHyphen/>
            </w:r>
            <w:r w:rsidRPr="006D52A9">
              <w:rPr>
                <w:szCs w:val="16"/>
              </w:rPr>
              <w:t xml:space="preserve"> Supporting Information Form which includes baseline and current pathology reports detailing CRP and platelet count where appropriate.</w:t>
            </w:r>
            <w:r w:rsidRPr="006D52A9">
              <w:rPr>
                <w:szCs w:val="16"/>
              </w:rPr>
              <w:br/>
              <w:t>The most recent systemic juvenile idiopathic arthritis assessment must be no more than 4 weeks old at the time of application.</w:t>
            </w:r>
            <w:r w:rsidRPr="006D52A9">
              <w:rPr>
                <w:szCs w:val="16"/>
              </w:rPr>
              <w:br/>
              <w:t>At the time of authority application, the medical practitioner must request the appropriate number of vials of appropriate strength to provide sufficient drug, based on the weight of the patient, for two infusions (one month’s supply). A separate authority prescription form must be completed for each strength requested. Up to a maximum of 5 repeats will be authorised.</w:t>
            </w:r>
            <w:r w:rsidRPr="006D52A9">
              <w:rPr>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D52A9">
              <w:rPr>
                <w:szCs w:val="16"/>
              </w:rPr>
              <w:br/>
              <w:t xml:space="preserve">The patient remains eligible to receive continuing treatment with the same biological medicine in courses </w:t>
            </w:r>
            <w:r w:rsidRPr="006D52A9">
              <w:rPr>
                <w:szCs w:val="16"/>
              </w:rPr>
              <w:lastRenderedPageBreak/>
              <w:t>of up to 24 weeks providing they continue to sustain an adequate response. It is recommended that a patient be reviewed in the month prior to completing their current course of treatment.</w:t>
            </w:r>
            <w:r w:rsidRPr="006D52A9">
              <w:rPr>
                <w:szCs w:val="16"/>
              </w:rPr>
              <w:br/>
              <w:t>If a patient fails to demonstrate a response to 2 courses of treatment with this drug they will not be eligible to receive further PBS</w:t>
            </w:r>
            <w:r w:rsidR="0026100E">
              <w:rPr>
                <w:szCs w:val="16"/>
              </w:rPr>
              <w:noBreakHyphen/>
            </w:r>
            <w:r w:rsidRPr="006D52A9">
              <w:rPr>
                <w:szCs w:val="16"/>
              </w:rPr>
              <w:t>subsidised treatment with this drug for this condition in the current treatment cycle. A serious adverse reaction of a severity requiring permanent withdrawal of treatment is not considered as a treatment failure.</w:t>
            </w:r>
            <w:r w:rsidRPr="006D52A9">
              <w:rPr>
                <w:szCs w:val="16"/>
              </w:rPr>
              <w:br/>
              <w:t>A patient may re</w:t>
            </w:r>
            <w:r w:rsidR="0026100E">
              <w:rPr>
                <w:szCs w:val="16"/>
              </w:rPr>
              <w:noBreakHyphen/>
            </w:r>
            <w:r w:rsidRPr="006D52A9">
              <w:rPr>
                <w:szCs w:val="16"/>
              </w:rPr>
              <w:t>trial this drug after a minimum of 12 months have elapsed between the date the last prescription for a PBS</w:t>
            </w:r>
            <w:r w:rsidR="0026100E">
              <w:rPr>
                <w:szCs w:val="16"/>
              </w:rPr>
              <w:noBreakHyphen/>
            </w:r>
            <w:r w:rsidRPr="006D52A9">
              <w:rPr>
                <w:szCs w:val="16"/>
              </w:rPr>
              <w:t>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14:paraId="36AFC591"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016585D0" w14:textId="77777777" w:rsidTr="00FB6D2D">
        <w:tc>
          <w:tcPr>
            <w:tcW w:w="647" w:type="pct"/>
            <w:tcBorders>
              <w:bottom w:val="single" w:sz="4" w:space="0" w:color="auto"/>
            </w:tcBorders>
            <w:shd w:val="clear" w:color="auto" w:fill="auto"/>
            <w:tcMar>
              <w:top w:w="28" w:type="dxa"/>
              <w:left w:w="28" w:type="dxa"/>
            </w:tcMar>
          </w:tcPr>
          <w:p w14:paraId="44E20FBE"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2F82BEE5" w14:textId="77777777" w:rsidR="008F47B8" w:rsidRPr="006D52A9" w:rsidRDefault="008F47B8" w:rsidP="00FB6D2D">
            <w:pPr>
              <w:pStyle w:val="mps3-data"/>
              <w:rPr>
                <w:szCs w:val="16"/>
              </w:rPr>
            </w:pPr>
            <w:r w:rsidRPr="006D52A9">
              <w:rPr>
                <w:szCs w:val="16"/>
              </w:rPr>
              <w:t>C10541</w:t>
            </w:r>
          </w:p>
        </w:tc>
        <w:tc>
          <w:tcPr>
            <w:tcW w:w="265" w:type="pct"/>
            <w:tcBorders>
              <w:bottom w:val="single" w:sz="4" w:space="0" w:color="auto"/>
            </w:tcBorders>
            <w:shd w:val="clear" w:color="auto" w:fill="auto"/>
            <w:tcMar>
              <w:top w:w="28" w:type="dxa"/>
              <w:left w:w="28" w:type="dxa"/>
            </w:tcMar>
          </w:tcPr>
          <w:p w14:paraId="45E22CFC"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10E49891" w14:textId="77777777" w:rsidR="008F47B8" w:rsidRPr="006D52A9" w:rsidRDefault="008F47B8" w:rsidP="00FB6D2D">
            <w:pPr>
              <w:pStyle w:val="mps3-data"/>
              <w:rPr>
                <w:szCs w:val="16"/>
              </w:rPr>
            </w:pPr>
            <w:r w:rsidRPr="006D52A9">
              <w:rPr>
                <w:szCs w:val="16"/>
              </w:rPr>
              <w:t>Severe active juvenile idiopathic arthritis</w:t>
            </w:r>
            <w:r w:rsidRPr="006D52A9">
              <w:rPr>
                <w:szCs w:val="16"/>
              </w:rPr>
              <w:br/>
              <w:t xml:space="preserve">Initial treatment </w:t>
            </w:r>
            <w:r w:rsidR="0026100E">
              <w:rPr>
                <w:szCs w:val="16"/>
              </w:rPr>
              <w:noBreakHyphen/>
            </w:r>
            <w:r w:rsidRPr="006D52A9">
              <w:rPr>
                <w:szCs w:val="16"/>
              </w:rPr>
              <w:t xml:space="preserve"> Initial 2 (change or recommencement of treatment after a break in biological medicine of less than 12 months)</w:t>
            </w:r>
            <w:r w:rsidRPr="006D52A9">
              <w:rPr>
                <w:szCs w:val="16"/>
              </w:rPr>
              <w:br/>
              <w:t>Must be treated by a paediatric rheumatologist; OR</w:t>
            </w:r>
            <w:r w:rsidRPr="006D52A9">
              <w:rPr>
                <w:szCs w:val="16"/>
              </w:rPr>
              <w:br/>
              <w:t>Patient must be undergoing treatment under the supervision of a paediatric rheumatology treatment centre.</w:t>
            </w:r>
            <w:r w:rsidRPr="006D52A9">
              <w:rPr>
                <w:szCs w:val="16"/>
              </w:rPr>
              <w:br/>
              <w:t>Patient must have received prior PBS</w:t>
            </w:r>
            <w:r w:rsidR="0026100E">
              <w:rPr>
                <w:szCs w:val="16"/>
              </w:rPr>
              <w:noBreakHyphen/>
            </w:r>
            <w:r w:rsidRPr="006D52A9">
              <w:rPr>
                <w:szCs w:val="16"/>
              </w:rPr>
              <w:t>subsidised treatment with a biological medicine for this condition in this treatment cycle; AND</w:t>
            </w:r>
            <w:r w:rsidRPr="006D52A9">
              <w:rPr>
                <w:szCs w:val="16"/>
              </w:rPr>
              <w:br/>
              <w:t>Patient must not have already failed, or ceased to respond to, PBS</w:t>
            </w:r>
            <w:r w:rsidR="0026100E">
              <w:rPr>
                <w:szCs w:val="16"/>
              </w:rPr>
              <w:noBreakHyphen/>
            </w:r>
            <w:r w:rsidRPr="006D52A9">
              <w:rPr>
                <w:szCs w:val="16"/>
              </w:rPr>
              <w:t>subsidised treatment with this drug for this condition during the current treatment cycle; AND</w:t>
            </w:r>
            <w:r w:rsidRPr="006D52A9">
              <w:rPr>
                <w:szCs w:val="16"/>
              </w:rPr>
              <w:br/>
              <w:t>Patient must not receive more than 16 weeks of treatment under this restriction.</w:t>
            </w:r>
            <w:r w:rsidRPr="006D52A9">
              <w:rPr>
                <w:szCs w:val="16"/>
              </w:rPr>
              <w:br/>
              <w:t>An adequate response to treatment is defined as:</w:t>
            </w:r>
            <w:r w:rsidRPr="006D52A9">
              <w:rPr>
                <w:szCs w:val="16"/>
              </w:rPr>
              <w:br/>
              <w:t>(a) a reduction in the total active (swollen and tender) joint count by at least 50% from baseline, where baseline is at least 20 active joints; or</w:t>
            </w:r>
            <w:r w:rsidRPr="006D52A9">
              <w:rPr>
                <w:szCs w:val="16"/>
              </w:rPr>
              <w:br/>
              <w:t>(b) a reduction in the number of the following active joints, from at least 4, by at least 50%:</w:t>
            </w:r>
            <w:r w:rsidRPr="006D52A9">
              <w:rPr>
                <w:szCs w:val="16"/>
              </w:rPr>
              <w:br/>
              <w:t>(i) elbow, wrist, knee and/or ankle (assessed as swollen and tender); and/or</w:t>
            </w:r>
            <w:r w:rsidRPr="006D52A9">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Juvenile Idiopathic Arthritis PBS Authority Application </w:t>
            </w:r>
            <w:r w:rsidR="0026100E">
              <w:rPr>
                <w:szCs w:val="16"/>
              </w:rPr>
              <w:noBreakHyphen/>
            </w:r>
            <w:r w:rsidRPr="006D52A9">
              <w:rPr>
                <w:szCs w:val="16"/>
              </w:rPr>
              <w:t xml:space="preserve"> Supporting Information Form.</w:t>
            </w:r>
            <w:r w:rsidRPr="006D52A9">
              <w:rPr>
                <w:szCs w:val="16"/>
              </w:rPr>
              <w:br/>
              <w:t>An application for a patient who has received PBS</w:t>
            </w:r>
            <w:r w:rsidR="0026100E">
              <w:rPr>
                <w:szCs w:val="16"/>
              </w:rPr>
              <w:noBreakHyphen/>
            </w:r>
            <w:r w:rsidRPr="006D52A9">
              <w:rPr>
                <w:szCs w:val="16"/>
              </w:rPr>
              <w:t>subsidised biological medicine treatment for this condition who wishes to change or recommence therapy with this drug, must be accompanied by evidence of a response to the patient’s most recent course of PBS</w:t>
            </w:r>
            <w:r w:rsidR="0026100E">
              <w:rPr>
                <w:szCs w:val="16"/>
              </w:rPr>
              <w:noBreakHyphen/>
            </w:r>
            <w:r w:rsidRPr="006D52A9">
              <w:rPr>
                <w:szCs w:val="16"/>
              </w:rPr>
              <w:t>subsidised biological medicine treatment, within the timeframes specified below.</w:t>
            </w:r>
            <w:r w:rsidRPr="006D52A9">
              <w:rPr>
                <w:szCs w:val="16"/>
              </w:rPr>
              <w:br/>
              <w:t>Where the most recent course of PBS</w:t>
            </w:r>
            <w:r w:rsidR="0026100E">
              <w:rPr>
                <w:szCs w:val="16"/>
              </w:rPr>
              <w:noBreakHyphen/>
            </w:r>
            <w:r w:rsidRPr="006D52A9">
              <w:rPr>
                <w:szCs w:val="16"/>
              </w:rPr>
              <w:t xml:space="preserve">subsidised biological medicine treatment was approved under either Initial 1, Initial 2, Initial 3 or continuing treatment restrictions, an assessment of a patient’s </w:t>
            </w:r>
            <w:r w:rsidRPr="006D52A9">
              <w:rPr>
                <w:szCs w:val="16"/>
              </w:rPr>
              <w:lastRenderedPageBreak/>
              <w:t>response must have been conducted following a minimum of 12 weeks of therapy and submitted no later than 4 weeks from the date of completion of treatment.</w:t>
            </w:r>
            <w:r w:rsidRPr="006D52A9">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szCs w:val="16"/>
              </w:rPr>
              <w:noBreakHyphen/>
            </w:r>
            <w:r w:rsidRPr="006D52A9">
              <w:rPr>
                <w:szCs w:val="16"/>
              </w:rPr>
              <w:t>subsidised treatment.</w:t>
            </w:r>
            <w:r w:rsidRPr="006D52A9">
              <w:rPr>
                <w:szCs w:val="16"/>
              </w:rPr>
              <w:br/>
              <w:t>Where the response assessment is not submitted within this timeframe, the patient will be deemed to have failed to respond to treatment with this drug.</w:t>
            </w:r>
            <w:r w:rsidRPr="006D52A9">
              <w:rPr>
                <w:szCs w:val="16"/>
              </w:rPr>
              <w:br/>
              <w:t>If a patient fails to demonstrate a response to treatment with this drug they will not be eligible to receive further PBS</w:t>
            </w:r>
            <w:r w:rsidR="0026100E">
              <w:rPr>
                <w:szCs w:val="16"/>
              </w:rPr>
              <w:noBreakHyphen/>
            </w:r>
            <w:r w:rsidRPr="006D52A9">
              <w:rPr>
                <w:szCs w:val="16"/>
              </w:rPr>
              <w:t>subsidised treatment with this drug for this condition. Serious adverse reaction of a severity resulting in the necessity for permanent withdrawal of treatment is not considered as a treatment failure.</w:t>
            </w:r>
            <w:r w:rsidRPr="006D52A9">
              <w:rPr>
                <w:szCs w:val="16"/>
              </w:rPr>
              <w:br/>
              <w:t>A patient who fails to demonstrate a response to treatment with this drug under this restriction will not be eligible to receive further PBS</w:t>
            </w:r>
            <w:r w:rsidR="0026100E">
              <w:rPr>
                <w:szCs w:val="16"/>
              </w:rPr>
              <w:noBreakHyphen/>
            </w:r>
            <w:r w:rsidRPr="006D52A9">
              <w:rPr>
                <w:szCs w:val="16"/>
              </w:rPr>
              <w:t>subsidised treatment with this drug in this treatment cycle. A patient may re</w:t>
            </w:r>
            <w:r w:rsidR="0026100E">
              <w:rPr>
                <w:szCs w:val="16"/>
              </w:rPr>
              <w:noBreakHyphen/>
            </w:r>
            <w:r w:rsidRPr="006D52A9">
              <w:rPr>
                <w:szCs w:val="16"/>
              </w:rPr>
              <w:t>trial this drug after a minimum of 12 months have elapsed between the date the last prescription for a PBS</w:t>
            </w:r>
            <w:r w:rsidR="0026100E">
              <w:rPr>
                <w:szCs w:val="16"/>
              </w:rPr>
              <w:noBreakHyphen/>
            </w:r>
            <w:r w:rsidRPr="006D52A9">
              <w:rPr>
                <w:szCs w:val="16"/>
              </w:rPr>
              <w:t>subsidised biological medicine was approved in this cycle and the date of the first application under a new cycle under the initial 3 treatment restriction.</w:t>
            </w:r>
            <w:r w:rsidRPr="006D52A9">
              <w:rPr>
                <w:szCs w:val="16"/>
              </w:rPr>
              <w:br/>
              <w:t>If a patient fails to respond to PBS</w:t>
            </w:r>
            <w:r w:rsidR="0026100E">
              <w:rPr>
                <w:szCs w:val="16"/>
              </w:rPr>
              <w:noBreakHyphen/>
            </w:r>
            <w:r w:rsidRPr="006D52A9">
              <w:rPr>
                <w:szCs w:val="16"/>
              </w:rPr>
              <w:t>subsidised biological medicine treatment 3 times (once with each agent) they will not be eligible to receive further PBS</w:t>
            </w:r>
            <w:r w:rsidR="0026100E">
              <w:rPr>
                <w:szCs w:val="16"/>
              </w:rPr>
              <w:noBreakHyphen/>
            </w:r>
            <w:r w:rsidRPr="006D52A9">
              <w:rPr>
                <w:szCs w:val="16"/>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14:paraId="2CBD9E10"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250D2FFB" w14:textId="77777777" w:rsidTr="00FB6D2D">
        <w:tc>
          <w:tcPr>
            <w:tcW w:w="647" w:type="pct"/>
            <w:tcBorders>
              <w:bottom w:val="single" w:sz="4" w:space="0" w:color="auto"/>
            </w:tcBorders>
            <w:shd w:val="clear" w:color="auto" w:fill="auto"/>
            <w:tcMar>
              <w:top w:w="28" w:type="dxa"/>
              <w:left w:w="28" w:type="dxa"/>
            </w:tcMar>
          </w:tcPr>
          <w:p w14:paraId="2ECB204E"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41A31C77" w14:textId="77777777" w:rsidR="008F47B8" w:rsidRPr="006D52A9" w:rsidRDefault="008F47B8" w:rsidP="00FB6D2D">
            <w:pPr>
              <w:pStyle w:val="mps3-data"/>
              <w:rPr>
                <w:szCs w:val="16"/>
              </w:rPr>
            </w:pPr>
            <w:r w:rsidRPr="006D52A9">
              <w:rPr>
                <w:szCs w:val="16"/>
              </w:rPr>
              <w:t>C10542</w:t>
            </w:r>
          </w:p>
        </w:tc>
        <w:tc>
          <w:tcPr>
            <w:tcW w:w="265" w:type="pct"/>
            <w:tcBorders>
              <w:bottom w:val="single" w:sz="4" w:space="0" w:color="auto"/>
            </w:tcBorders>
            <w:shd w:val="clear" w:color="auto" w:fill="auto"/>
            <w:tcMar>
              <w:top w:w="28" w:type="dxa"/>
              <w:left w:w="28" w:type="dxa"/>
            </w:tcMar>
          </w:tcPr>
          <w:p w14:paraId="2987D530"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5B0A6D66" w14:textId="77777777" w:rsidR="008F47B8" w:rsidRPr="006D52A9" w:rsidRDefault="008F47B8" w:rsidP="00FB6D2D">
            <w:pPr>
              <w:pStyle w:val="mps3-data"/>
              <w:rPr>
                <w:szCs w:val="16"/>
              </w:rPr>
            </w:pPr>
            <w:r w:rsidRPr="006D52A9">
              <w:rPr>
                <w:szCs w:val="16"/>
              </w:rPr>
              <w:t>Severe active juvenile idiopathic arthritis</w:t>
            </w:r>
            <w:r w:rsidRPr="006D52A9">
              <w:rPr>
                <w:szCs w:val="16"/>
              </w:rPr>
              <w:br/>
              <w:t>Continuing treatment</w:t>
            </w:r>
            <w:r w:rsidRPr="006D52A9">
              <w:rPr>
                <w:szCs w:val="16"/>
              </w:rPr>
              <w:br/>
              <w:t>Must be treated by a rheumatologist; OR</w:t>
            </w:r>
            <w:r w:rsidRPr="006D52A9">
              <w:rPr>
                <w:szCs w:val="16"/>
              </w:rPr>
              <w:br/>
              <w:t>Patient must be undergoing treatment under the supervision of a paediatric rheumatology treatment centre.</w:t>
            </w:r>
            <w:r w:rsidRPr="006D52A9">
              <w:rPr>
                <w:szCs w:val="16"/>
              </w:rPr>
              <w:br/>
              <w:t>Patient must have received this drug as their most recent course of PBS</w:t>
            </w:r>
            <w:r w:rsidR="0026100E">
              <w:rPr>
                <w:szCs w:val="16"/>
              </w:rPr>
              <w:noBreakHyphen/>
            </w:r>
            <w:r w:rsidRPr="006D52A9">
              <w:rPr>
                <w:szCs w:val="16"/>
              </w:rPr>
              <w:t>subsidised biological medicine treatment for this condition; AND</w:t>
            </w:r>
            <w:r w:rsidRPr="006D52A9">
              <w:rPr>
                <w:szCs w:val="16"/>
              </w:rPr>
              <w:br/>
              <w:t>Patient must have demonstrated an adequate response to treatment with this drug; AND</w:t>
            </w:r>
            <w:r w:rsidRPr="006D52A9">
              <w:rPr>
                <w:szCs w:val="16"/>
              </w:rPr>
              <w:br/>
              <w:t>Patient must not receive more than 24 weeks of treatment per continuing treatment course authorised under this restriction.</w:t>
            </w:r>
            <w:r w:rsidRPr="006D52A9">
              <w:rPr>
                <w:szCs w:val="16"/>
              </w:rPr>
              <w:br/>
              <w:t>An adequate response to treatment is defined as:</w:t>
            </w:r>
            <w:r w:rsidRPr="006D52A9">
              <w:rPr>
                <w:szCs w:val="16"/>
              </w:rPr>
              <w:br/>
              <w:t>(a) a reduction in the total active (swollen and tender) joint count by at least 50% from baseline, where baseline is at least 20 active joints; or</w:t>
            </w:r>
            <w:r w:rsidRPr="006D52A9">
              <w:rPr>
                <w:szCs w:val="16"/>
              </w:rPr>
              <w:br/>
              <w:t>(b) a reduction in the number of the following active joints, from at least 4, by at least 50%:</w:t>
            </w:r>
            <w:r w:rsidRPr="006D52A9">
              <w:rPr>
                <w:szCs w:val="16"/>
              </w:rPr>
              <w:br/>
              <w:t>(i) elbow, wrist, knee and/or ankle (assessed as swollen and tender); and/or</w:t>
            </w:r>
            <w:r w:rsidRPr="006D52A9">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szCs w:val="16"/>
              </w:rPr>
              <w:br/>
              <w:t>Determination of whether a response has been demonstrated to initial and subsequent courses of treatment will be based on the baseline measurement of joint count submitted with the initial treatment application.</w:t>
            </w:r>
            <w:r w:rsidRPr="006D52A9">
              <w:rPr>
                <w:szCs w:val="16"/>
              </w:rPr>
              <w:br/>
              <w:t>The authority application must be made in writing and must include:</w:t>
            </w:r>
            <w:r w:rsidRPr="006D52A9">
              <w:rPr>
                <w:szCs w:val="16"/>
              </w:rPr>
              <w:br/>
            </w:r>
            <w:r w:rsidRPr="006D52A9">
              <w:rPr>
                <w:szCs w:val="16"/>
              </w:rPr>
              <w:lastRenderedPageBreak/>
              <w:t>(1) completed authority prescription form(s); and</w:t>
            </w:r>
            <w:r w:rsidRPr="006D52A9">
              <w:rPr>
                <w:szCs w:val="16"/>
              </w:rPr>
              <w:br/>
              <w:t xml:space="preserve">(2) a completed Juvenile Idiopathic Arthritis PBS Authority Application </w:t>
            </w:r>
            <w:r w:rsidR="0026100E">
              <w:rPr>
                <w:szCs w:val="16"/>
              </w:rPr>
              <w:noBreakHyphen/>
            </w:r>
            <w:r w:rsidRPr="006D52A9">
              <w:rPr>
                <w:szCs w:val="16"/>
              </w:rPr>
              <w:t xml:space="preserve"> Supporting Information Form.</w:t>
            </w:r>
            <w:r w:rsidRPr="006D52A9">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5 repeats will be authorised.</w:t>
            </w:r>
            <w:r w:rsidRPr="006D52A9">
              <w:rPr>
                <w:szCs w:val="16"/>
              </w:rPr>
              <w:br/>
              <w:t>Where the most recent course of PBS</w:t>
            </w:r>
            <w:r w:rsidR="0026100E">
              <w:rPr>
                <w:szCs w:val="16"/>
              </w:rPr>
              <w:noBreakHyphen/>
            </w:r>
            <w:r w:rsidRPr="006D52A9">
              <w:rPr>
                <w:szCs w:val="16"/>
              </w:rPr>
              <w:t>subsidised treatment with this drug was approved under either Initial 1, Initial 2, or Initial 3 treatment restrictions, an assessment of a patient’s response must have been conducted following a minimum of 12 weeks of therapy and submitted no later than 4 weeks from the date of completion of treatment.</w:t>
            </w:r>
            <w:r w:rsidRPr="006D52A9">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szCs w:val="16"/>
              </w:rPr>
              <w:noBreakHyphen/>
            </w:r>
            <w:r w:rsidRPr="006D52A9">
              <w:rPr>
                <w:szCs w:val="16"/>
              </w:rPr>
              <w:t>subsidised treatment.</w:t>
            </w:r>
            <w:r w:rsidRPr="006D52A9">
              <w:rPr>
                <w:szCs w:val="16"/>
              </w:rPr>
              <w:br/>
              <w:t>Where the response assessment is not submitted within this timeframe, the patient will be deemed to have failed to respond to treatment with this drug.</w:t>
            </w:r>
            <w:r w:rsidRPr="006D52A9">
              <w:rPr>
                <w:szCs w:val="16"/>
              </w:rPr>
              <w:br/>
              <w:t>If a patient fails to demonstrate a response to treatment with this drug they will not be eligible to receive further PBS</w:t>
            </w:r>
            <w:r w:rsidR="0026100E">
              <w:rPr>
                <w:szCs w:val="16"/>
              </w:rPr>
              <w:noBreakHyphen/>
            </w:r>
            <w:r w:rsidRPr="006D52A9">
              <w:rPr>
                <w:szCs w:val="16"/>
              </w:rPr>
              <w:t>subsidised treatment with this drug for this condition. Serious adverse reaction of a severity resulting in the necessity for permanent withdrawal of treatment is not considered as a treatment failure.</w:t>
            </w:r>
            <w:r w:rsidRPr="006D52A9">
              <w:rPr>
                <w:szCs w:val="16"/>
              </w:rPr>
              <w:br/>
              <w:t>A patient may re</w:t>
            </w:r>
            <w:r w:rsidR="0026100E">
              <w:rPr>
                <w:szCs w:val="16"/>
              </w:rPr>
              <w:noBreakHyphen/>
            </w:r>
            <w:r w:rsidRPr="006D52A9">
              <w:rPr>
                <w:szCs w:val="16"/>
              </w:rPr>
              <w:t>trial this drug after a minimum of 12 months have elapsed between the date the last prescription for a PBS</w:t>
            </w:r>
            <w:r w:rsidR="0026100E">
              <w:rPr>
                <w:szCs w:val="16"/>
              </w:rPr>
              <w:noBreakHyphen/>
            </w:r>
            <w:r w:rsidRPr="006D52A9">
              <w:rPr>
                <w:szCs w:val="16"/>
              </w:rPr>
              <w:t>subsidised biological medicine was approved in this cycle and the date of the first application under a new cycle under the Initial 3 treatment restriction.</w:t>
            </w:r>
            <w:r w:rsidRPr="006D52A9">
              <w:rPr>
                <w:szCs w:val="16"/>
              </w:rPr>
              <w:br/>
              <w:t>If a patient fails to respond to PBS</w:t>
            </w:r>
            <w:r w:rsidR="0026100E">
              <w:rPr>
                <w:szCs w:val="16"/>
              </w:rPr>
              <w:noBreakHyphen/>
            </w:r>
            <w:r w:rsidRPr="006D52A9">
              <w:rPr>
                <w:szCs w:val="16"/>
              </w:rPr>
              <w:t>subsidised biological medicine treatment 3 times (once with each agent) they will not be eligible to receive further PBS</w:t>
            </w:r>
            <w:r w:rsidR="0026100E">
              <w:rPr>
                <w:szCs w:val="16"/>
              </w:rPr>
              <w:noBreakHyphen/>
            </w:r>
            <w:r w:rsidRPr="006D52A9">
              <w:rPr>
                <w:szCs w:val="16"/>
              </w:rPr>
              <w:t>subsidised biological medicine therapy in this treatment cycle.</w:t>
            </w:r>
          </w:p>
        </w:tc>
        <w:tc>
          <w:tcPr>
            <w:tcW w:w="938" w:type="pct"/>
            <w:tcBorders>
              <w:bottom w:val="single" w:sz="4" w:space="0" w:color="auto"/>
            </w:tcBorders>
            <w:shd w:val="clear" w:color="auto" w:fill="auto"/>
            <w:tcMar>
              <w:top w:w="28" w:type="dxa"/>
              <w:left w:w="28" w:type="dxa"/>
              <w:right w:w="57" w:type="dxa"/>
            </w:tcMar>
          </w:tcPr>
          <w:p w14:paraId="3A13CF87"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26153C0C" w14:textId="77777777" w:rsidTr="00FB6D2D">
        <w:tc>
          <w:tcPr>
            <w:tcW w:w="647" w:type="pct"/>
            <w:tcBorders>
              <w:bottom w:val="single" w:sz="4" w:space="0" w:color="auto"/>
            </w:tcBorders>
            <w:shd w:val="clear" w:color="auto" w:fill="auto"/>
            <w:tcMar>
              <w:top w:w="28" w:type="dxa"/>
              <w:left w:w="28" w:type="dxa"/>
            </w:tcMar>
          </w:tcPr>
          <w:p w14:paraId="05F68408"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5D33E432" w14:textId="77777777" w:rsidR="008F47B8" w:rsidRPr="006D52A9" w:rsidRDefault="008F47B8" w:rsidP="00FB6D2D">
            <w:pPr>
              <w:pStyle w:val="mps3-data"/>
              <w:rPr>
                <w:szCs w:val="16"/>
              </w:rPr>
            </w:pPr>
            <w:r w:rsidRPr="006D52A9">
              <w:rPr>
                <w:szCs w:val="16"/>
              </w:rPr>
              <w:t>C10545</w:t>
            </w:r>
          </w:p>
        </w:tc>
        <w:tc>
          <w:tcPr>
            <w:tcW w:w="265" w:type="pct"/>
            <w:tcBorders>
              <w:bottom w:val="single" w:sz="4" w:space="0" w:color="auto"/>
            </w:tcBorders>
            <w:shd w:val="clear" w:color="auto" w:fill="auto"/>
            <w:tcMar>
              <w:top w:w="28" w:type="dxa"/>
              <w:left w:w="28" w:type="dxa"/>
            </w:tcMar>
          </w:tcPr>
          <w:p w14:paraId="2AC64255"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12EB8D80" w14:textId="77777777" w:rsidR="008F47B8" w:rsidRPr="006D52A9" w:rsidRDefault="008F47B8" w:rsidP="00FB6D2D">
            <w:pPr>
              <w:pStyle w:val="mps3-data"/>
              <w:rPr>
                <w:szCs w:val="16"/>
              </w:rPr>
            </w:pPr>
            <w:r w:rsidRPr="006D52A9">
              <w:rPr>
                <w:szCs w:val="16"/>
              </w:rPr>
              <w:t>Severe active juvenile idiopathic arthritis</w:t>
            </w:r>
            <w:r w:rsidRPr="006D52A9">
              <w:rPr>
                <w:szCs w:val="16"/>
              </w:rPr>
              <w:br/>
              <w:t xml:space="preserve">Initial treatment </w:t>
            </w:r>
            <w:r w:rsidR="0026100E">
              <w:rPr>
                <w:szCs w:val="16"/>
              </w:rPr>
              <w:noBreakHyphen/>
            </w:r>
            <w:r w:rsidRPr="006D52A9">
              <w:rPr>
                <w:szCs w:val="16"/>
              </w:rPr>
              <w:t xml:space="preserve"> Initial 3 (recommencement of treatment after a break in biological medicine of more than 12 months)</w:t>
            </w:r>
            <w:r w:rsidRPr="006D52A9">
              <w:rPr>
                <w:szCs w:val="16"/>
              </w:rPr>
              <w:br/>
              <w:t>Must be treated by a paediatric rheumatologist; OR</w:t>
            </w:r>
            <w:r w:rsidRPr="006D52A9">
              <w:rPr>
                <w:szCs w:val="16"/>
              </w:rPr>
              <w:br/>
              <w:t>Patient must be undergoing treatment under the supervision of a paediatric rheumatology treatment centre.</w:t>
            </w:r>
            <w:r w:rsidRPr="006D52A9">
              <w:rPr>
                <w:szCs w:val="16"/>
              </w:rPr>
              <w:br/>
              <w:t>Patient must have previously received PBS</w:t>
            </w:r>
            <w:r w:rsidR="0026100E">
              <w:rPr>
                <w:szCs w:val="16"/>
              </w:rPr>
              <w:noBreakHyphen/>
            </w:r>
            <w:r w:rsidRPr="006D52A9">
              <w:rPr>
                <w:szCs w:val="16"/>
              </w:rPr>
              <w:t>subsidised treatment with a biological medicine for this condition; AND</w:t>
            </w:r>
            <w:r w:rsidRPr="006D52A9">
              <w:rPr>
                <w:szCs w:val="16"/>
              </w:rPr>
              <w:br/>
              <w:t>Patient must have had a break in treatment of 12 months or more from the most recently approved PBS</w:t>
            </w:r>
            <w:r w:rsidR="0026100E">
              <w:rPr>
                <w:szCs w:val="16"/>
              </w:rPr>
              <w:noBreakHyphen/>
            </w:r>
            <w:r w:rsidRPr="006D52A9">
              <w:rPr>
                <w:szCs w:val="16"/>
              </w:rPr>
              <w:t>subsidised biological medicine for this condition; AND</w:t>
            </w:r>
            <w:r w:rsidRPr="006D52A9">
              <w:rPr>
                <w:szCs w:val="16"/>
              </w:rPr>
              <w:br/>
              <w:t>The condition must have either (a) a total active joint count of at least 20 active (swollen and tender) joints; or (b) at least 4 active major joints; AND</w:t>
            </w:r>
            <w:r w:rsidRPr="006D52A9">
              <w:rPr>
                <w:szCs w:val="16"/>
              </w:rPr>
              <w:br/>
              <w:t>Patient must not receive more than 16 weeks of treatment under this restriction.</w:t>
            </w:r>
            <w:r w:rsidRPr="006D52A9">
              <w:rPr>
                <w:szCs w:val="16"/>
              </w:rPr>
              <w:br/>
              <w:t>Active joints are defined as:</w:t>
            </w:r>
            <w:r w:rsidRPr="006D52A9">
              <w:rPr>
                <w:szCs w:val="16"/>
              </w:rPr>
              <w:br/>
              <w:t>(i) elbow, wrist, knee and/or ankle (assessed as swollen and tender); and/or</w:t>
            </w:r>
            <w:r w:rsidRPr="006D52A9">
              <w:rPr>
                <w:szCs w:val="16"/>
              </w:rPr>
              <w:br/>
              <w:t xml:space="preserve">(ii) shoulder, cervical spine and/or hip (assessed as pain in passive movement and restriction of passive </w:t>
            </w:r>
            <w:r w:rsidRPr="006D52A9">
              <w:rPr>
                <w:szCs w:val="16"/>
              </w:rPr>
              <w:lastRenderedPageBreak/>
              <w:t>movement, where pain and limitation of movement are due to active disease and not irreversible damage such as joint destruction or bony overgrowth).</w:t>
            </w:r>
            <w:r w:rsidRPr="006D52A9">
              <w:rPr>
                <w:szCs w:val="16"/>
              </w:rPr>
              <w:br/>
              <w:t>All measures of joint count must be no more than 4 weeks old at the time of this application.</w:t>
            </w:r>
            <w:r w:rsidRPr="006D52A9">
              <w:rPr>
                <w:szCs w:val="16"/>
              </w:rPr>
              <w:b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r w:rsidRPr="006D52A9">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Juvenile Idiopathic Arthritis PBS Authority Application </w:t>
            </w:r>
            <w:r w:rsidR="0026100E">
              <w:rPr>
                <w:szCs w:val="16"/>
              </w:rPr>
              <w:noBreakHyphen/>
            </w:r>
            <w:r w:rsidRPr="006D52A9">
              <w:rPr>
                <w:szCs w:val="16"/>
              </w:rPr>
              <w:t xml:space="preserve"> Supporting Information Form.</w:t>
            </w:r>
            <w:r w:rsidRPr="006D52A9">
              <w:rPr>
                <w:szCs w:val="16"/>
              </w:rPr>
              <w:br/>
              <w:t>An application for a patient who has received PBS</w:t>
            </w:r>
            <w:r w:rsidR="0026100E">
              <w:rPr>
                <w:szCs w:val="16"/>
              </w:rPr>
              <w:noBreakHyphen/>
            </w:r>
            <w:r w:rsidRPr="006D52A9">
              <w:rPr>
                <w:szCs w:val="16"/>
              </w:rPr>
              <w:t>subsidised biological medicine treatment for this condition who wishes to recommence therapy with this drug, must be accompanied by evidence of a response to the patient’s most recent course of PBS</w:t>
            </w:r>
            <w:r w:rsidR="0026100E">
              <w:rPr>
                <w:szCs w:val="16"/>
              </w:rPr>
              <w:noBreakHyphen/>
            </w:r>
            <w:r w:rsidRPr="006D52A9">
              <w:rPr>
                <w:szCs w:val="16"/>
              </w:rPr>
              <w:t>subsidised biological medicine treatment, within the timeframes specified below.</w:t>
            </w:r>
            <w:r w:rsidRPr="006D52A9">
              <w:rPr>
                <w:szCs w:val="16"/>
              </w:rPr>
              <w:br/>
              <w:t>Where the most recent course of PBS</w:t>
            </w:r>
            <w:r w:rsidR="0026100E">
              <w:rPr>
                <w:szCs w:val="16"/>
              </w:rPr>
              <w:noBreakHyphen/>
            </w:r>
            <w:r w:rsidRPr="006D52A9">
              <w:rPr>
                <w:szCs w:val="16"/>
              </w:rPr>
              <w:t>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6D52A9">
              <w:rPr>
                <w:szCs w:val="16"/>
              </w:rPr>
              <w:b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w:t>
            </w:r>
            <w:r w:rsidR="0026100E">
              <w:rPr>
                <w:szCs w:val="16"/>
              </w:rPr>
              <w:noBreakHyphen/>
            </w:r>
            <w:r w:rsidRPr="006D52A9">
              <w:rPr>
                <w:szCs w:val="16"/>
              </w:rPr>
              <w:t>subsidised treatment.</w:t>
            </w:r>
            <w:r w:rsidRPr="006D52A9">
              <w:rPr>
                <w:szCs w:val="16"/>
              </w:rPr>
              <w:br/>
              <w:t>Where the response assessment is not submitted within this timeframe, the patient will be deemed to have failed to respond to treatment with this drug.</w:t>
            </w:r>
            <w:r w:rsidRPr="006D52A9">
              <w:rPr>
                <w:szCs w:val="16"/>
              </w:rPr>
              <w:br/>
              <w:t>If a patient fails to demonstrate a response to treatment with this drug they will not be eligible to receive further PBS</w:t>
            </w:r>
            <w:r w:rsidR="0026100E">
              <w:rPr>
                <w:szCs w:val="16"/>
              </w:rPr>
              <w:noBreakHyphen/>
            </w:r>
            <w:r w:rsidRPr="006D52A9">
              <w:rPr>
                <w:szCs w:val="16"/>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71A01A13"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15BC5E8B" w14:textId="77777777" w:rsidTr="00FB6D2D">
        <w:tc>
          <w:tcPr>
            <w:tcW w:w="647" w:type="pct"/>
            <w:tcBorders>
              <w:bottom w:val="single" w:sz="4" w:space="0" w:color="auto"/>
            </w:tcBorders>
            <w:shd w:val="clear" w:color="auto" w:fill="auto"/>
            <w:tcMar>
              <w:top w:w="28" w:type="dxa"/>
              <w:left w:w="28" w:type="dxa"/>
            </w:tcMar>
          </w:tcPr>
          <w:p w14:paraId="17AD56A1"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6FE10FCA" w14:textId="77777777" w:rsidR="008F47B8" w:rsidRPr="006D52A9" w:rsidRDefault="008F47B8" w:rsidP="00FB6D2D">
            <w:pPr>
              <w:pStyle w:val="mps3-data"/>
              <w:rPr>
                <w:szCs w:val="16"/>
              </w:rPr>
            </w:pPr>
            <w:r w:rsidRPr="006D52A9">
              <w:rPr>
                <w:szCs w:val="16"/>
              </w:rPr>
              <w:t>C10567</w:t>
            </w:r>
          </w:p>
        </w:tc>
        <w:tc>
          <w:tcPr>
            <w:tcW w:w="265" w:type="pct"/>
            <w:tcBorders>
              <w:bottom w:val="single" w:sz="4" w:space="0" w:color="auto"/>
            </w:tcBorders>
            <w:shd w:val="clear" w:color="auto" w:fill="auto"/>
            <w:tcMar>
              <w:top w:w="28" w:type="dxa"/>
              <w:left w:w="28" w:type="dxa"/>
            </w:tcMar>
          </w:tcPr>
          <w:p w14:paraId="2827A628"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141E040E"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 xml:space="preserve">Initial treatment </w:t>
            </w:r>
            <w:r w:rsidR="0026100E">
              <w:rPr>
                <w:szCs w:val="16"/>
              </w:rPr>
              <w:noBreakHyphen/>
            </w:r>
            <w:r w:rsidRPr="006D52A9">
              <w:rPr>
                <w:szCs w:val="16"/>
              </w:rPr>
              <w:t xml:space="preserve"> Initial 2 (retrial or recommencement of treatment after a break of less than 12 months)</w:t>
            </w:r>
            <w:r w:rsidRPr="006D52A9">
              <w:rPr>
                <w:szCs w:val="16"/>
              </w:rPr>
              <w:br/>
              <w:t>Patient must have received prior PBS</w:t>
            </w:r>
            <w:r w:rsidR="0026100E">
              <w:rPr>
                <w:szCs w:val="16"/>
              </w:rPr>
              <w:noBreakHyphen/>
            </w:r>
            <w:r w:rsidRPr="006D52A9">
              <w:rPr>
                <w:szCs w:val="16"/>
              </w:rPr>
              <w:t>subsidised treatment with this drug for this condition in the previous 12 months; AND</w:t>
            </w:r>
            <w:r w:rsidRPr="006D52A9">
              <w:rPr>
                <w:szCs w:val="16"/>
              </w:rPr>
              <w:br/>
              <w:t>Patient must not have already failed, or ceased to respond to, PBS</w:t>
            </w:r>
            <w:r w:rsidR="0026100E">
              <w:rPr>
                <w:szCs w:val="16"/>
              </w:rPr>
              <w:noBreakHyphen/>
            </w:r>
            <w:r w:rsidRPr="006D52A9">
              <w:rPr>
                <w:szCs w:val="16"/>
              </w:rPr>
              <w:t>subsidised treatment with this drug more than once during the current treatment cycle; AND</w:t>
            </w:r>
            <w:r w:rsidRPr="006D52A9">
              <w:rPr>
                <w:szCs w:val="16"/>
              </w:rPr>
              <w:br/>
              <w:t>Patient must not receive more than 16 weeks of treatment under this restriction.</w:t>
            </w:r>
            <w:r w:rsidRPr="006D52A9">
              <w:rPr>
                <w:szCs w:val="16"/>
              </w:rPr>
              <w:br/>
              <w:t>Patient must be under 18 years of age.</w:t>
            </w:r>
            <w:r w:rsidRPr="006D52A9">
              <w:rPr>
                <w:szCs w:val="16"/>
              </w:rPr>
              <w:br/>
              <w:t>Must be treated by a rheumatologist; OR</w:t>
            </w:r>
            <w:r w:rsidRPr="006D52A9">
              <w:rPr>
                <w:szCs w:val="16"/>
              </w:rPr>
              <w:br/>
              <w:t xml:space="preserve">Patient must be undergoing treatment under the supervision of a paediatric rheumatology treatment </w:t>
            </w:r>
            <w:r w:rsidRPr="006D52A9">
              <w:rPr>
                <w:szCs w:val="16"/>
              </w:rPr>
              <w:lastRenderedPageBreak/>
              <w:t>centre.</w:t>
            </w:r>
            <w:r w:rsidRPr="006D52A9">
              <w:rPr>
                <w:szCs w:val="16"/>
              </w:rPr>
              <w:br/>
              <w:t>An adequate response to treatment is defined as:</w:t>
            </w:r>
            <w:r w:rsidRPr="006D52A9">
              <w:rPr>
                <w:szCs w:val="16"/>
              </w:rPr>
              <w:br/>
              <w:t>(a) in a patient with polyarticular course disease:</w:t>
            </w:r>
            <w:r w:rsidRPr="006D52A9">
              <w:rPr>
                <w:szCs w:val="16"/>
              </w:rPr>
              <w:br/>
              <w:t>(i) a reduction in the total active (swollen and tender) joint count by at least 50% from baseline, where baseline is at least 20 active joints; or</w:t>
            </w:r>
            <w:r w:rsidRPr="006D52A9">
              <w:rPr>
                <w:szCs w:val="16"/>
              </w:rPr>
              <w:br/>
              <w:t>(ii) a reduction in the number of the following major active joints, from at least 4, by at least 50%:</w:t>
            </w:r>
            <w:r w:rsidRPr="006D52A9">
              <w:rPr>
                <w:szCs w:val="16"/>
              </w:rPr>
              <w:br/>
            </w:r>
            <w:r w:rsidR="0026100E">
              <w:rPr>
                <w:szCs w:val="16"/>
              </w:rPr>
              <w:noBreakHyphen/>
            </w:r>
            <w:r w:rsidRPr="006D52A9">
              <w:rPr>
                <w:szCs w:val="16"/>
              </w:rPr>
              <w:t xml:space="preserve"> elbow, wrist, knee and/or ankle (assessed as swollen and tender); and/or</w:t>
            </w:r>
            <w:r w:rsidRPr="006D52A9">
              <w:rPr>
                <w:szCs w:val="16"/>
              </w:rPr>
              <w:br/>
            </w:r>
            <w:r w:rsidR="0026100E">
              <w:rPr>
                <w:szCs w:val="16"/>
              </w:rPr>
              <w:noBreakHyphen/>
            </w:r>
            <w:r w:rsidRPr="006D52A9">
              <w:rPr>
                <w:szCs w:val="16"/>
              </w:rPr>
              <w:t xml:space="preserve"> shoulder, cervical spine and/or hip (assessed as pain in passive movement and restriction of passive movement, where pain and limitation of movement are due to active disease and not irreversible damage such as joint destruction or bony overgrowth).</w:t>
            </w:r>
            <w:r w:rsidRPr="006D52A9">
              <w:rPr>
                <w:szCs w:val="16"/>
              </w:rPr>
              <w:br/>
              <w:t>(b) in a patient with refractory systemic symptoms:</w:t>
            </w:r>
            <w:r w:rsidRPr="006D52A9">
              <w:rPr>
                <w:szCs w:val="16"/>
              </w:rPr>
              <w:br/>
              <w:t>(i) absence of fever greater than 38 degrees Celsius in the preceding seven days; and/or</w:t>
            </w:r>
            <w:r w:rsidRPr="006D52A9">
              <w:rPr>
                <w:szCs w:val="16"/>
              </w:rPr>
              <w:br/>
              <w:t>(ii) a reduction in the C</w:t>
            </w:r>
            <w:r w:rsidR="0026100E">
              <w:rPr>
                <w:szCs w:val="16"/>
              </w:rPr>
              <w:noBreakHyphen/>
            </w:r>
            <w:r w:rsidRPr="006D52A9">
              <w:rPr>
                <w:szCs w:val="16"/>
              </w:rPr>
              <w:t>reactive protein (CRP) level and platelet count by at least 30% from baseline; and/or</w:t>
            </w:r>
            <w:r w:rsidRPr="006D52A9">
              <w:rPr>
                <w:szCs w:val="16"/>
              </w:rPr>
              <w:br/>
              <w:t>(iii) a reduction in the dose of corticosteroid by at least 30% from baseline.</w:t>
            </w:r>
            <w:r w:rsidRPr="006D52A9">
              <w:rPr>
                <w:szCs w:val="16"/>
              </w:rPr>
              <w:br/>
              <w:t>At the time of authority application, the medical practitioner must request the appropriate number of vials of appropriate strength to provide sufficient drug, based on the weight of the patient, for two infusions (one month’s supply). A separate authority prescription form must be completed for each strength requested. Up to a maximum of 3 repeats will be authorised.</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Systemic Juvenile Idiopathic Arthritis PBS Authority Application </w:t>
            </w:r>
            <w:r w:rsidR="0026100E">
              <w:rPr>
                <w:szCs w:val="16"/>
              </w:rPr>
              <w:noBreakHyphen/>
            </w:r>
            <w:r w:rsidRPr="006D52A9">
              <w:rPr>
                <w:szCs w:val="16"/>
              </w:rPr>
              <w:t xml:space="preserve"> Supporting Information Form which includes pathology reports detailing C</w:t>
            </w:r>
            <w:r w:rsidR="0026100E">
              <w:rPr>
                <w:szCs w:val="16"/>
              </w:rPr>
              <w:noBreakHyphen/>
            </w:r>
            <w:r w:rsidRPr="006D52A9">
              <w:rPr>
                <w:szCs w:val="16"/>
              </w:rPr>
              <w:t>reactive protein (CRP) level and platelet count where appropriate.</w:t>
            </w:r>
            <w:r w:rsidRPr="006D52A9">
              <w:rPr>
                <w:szCs w:val="16"/>
              </w:rPr>
              <w:br/>
              <w:t>An application for a patient who has received PBS</w:t>
            </w:r>
            <w:r w:rsidR="0026100E">
              <w:rPr>
                <w:szCs w:val="16"/>
              </w:rPr>
              <w:noBreakHyphen/>
            </w:r>
            <w:r w:rsidRPr="006D52A9">
              <w:rPr>
                <w:szCs w:val="16"/>
              </w:rPr>
              <w:t>subsidised biological medicine treatment for this condition who wishes to retrial or recommence therapy with this drug, must be accompanied by evidence of a response to the patient’s most recent course of PBS</w:t>
            </w:r>
            <w:r w:rsidR="0026100E">
              <w:rPr>
                <w:szCs w:val="16"/>
              </w:rPr>
              <w:noBreakHyphen/>
            </w:r>
            <w:r w:rsidRPr="006D52A9">
              <w:rPr>
                <w:szCs w:val="16"/>
              </w:rPr>
              <w:t>subsidised biological medicine treatment, within the timeframes specified below.</w:t>
            </w:r>
            <w:r w:rsidRPr="006D52A9">
              <w:rPr>
                <w:szCs w:val="16"/>
              </w:rPr>
              <w:b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r w:rsidRPr="006D52A9">
              <w:rPr>
                <w:szCs w:val="16"/>
              </w:rPr>
              <w:br/>
              <w:t>If a patient fails to demonstrate a response to 2 courses of treatment with this drug they will not be eligible to receive further PBS</w:t>
            </w:r>
            <w:r w:rsidR="0026100E">
              <w:rPr>
                <w:szCs w:val="16"/>
              </w:rPr>
              <w:noBreakHyphen/>
            </w:r>
            <w:r w:rsidRPr="006D52A9">
              <w:rPr>
                <w:szCs w:val="16"/>
              </w:rPr>
              <w:t>subsidised treatment with this drug for this condition in the current treatment cycle. A serious adverse reaction of a severity requiring permanent withdrawal of treatment is not considered as a treatment failure.</w:t>
            </w:r>
            <w:r w:rsidRPr="006D52A9">
              <w:rPr>
                <w:szCs w:val="16"/>
              </w:rPr>
              <w:br/>
              <w:t>A patient may re</w:t>
            </w:r>
            <w:r w:rsidR="0026100E">
              <w:rPr>
                <w:szCs w:val="16"/>
              </w:rPr>
              <w:noBreakHyphen/>
            </w:r>
            <w:r w:rsidRPr="006D52A9">
              <w:rPr>
                <w:szCs w:val="16"/>
              </w:rPr>
              <w:t>trial this drug after a minimum of 12 months have elapsed between the date the last prescription for a PBS</w:t>
            </w:r>
            <w:r w:rsidR="0026100E">
              <w:rPr>
                <w:szCs w:val="16"/>
              </w:rPr>
              <w:noBreakHyphen/>
            </w:r>
            <w:r w:rsidRPr="006D52A9">
              <w:rPr>
                <w:szCs w:val="16"/>
              </w:rPr>
              <w:t>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14:paraId="5E8E576A"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6712FA" w14:paraId="4A813EF8" w14:textId="77777777" w:rsidTr="00FB6D2D">
        <w:tc>
          <w:tcPr>
            <w:tcW w:w="647" w:type="pct"/>
            <w:tcBorders>
              <w:bottom w:val="single" w:sz="4" w:space="0" w:color="auto"/>
            </w:tcBorders>
            <w:shd w:val="clear" w:color="auto" w:fill="auto"/>
            <w:tcMar>
              <w:top w:w="28" w:type="dxa"/>
              <w:left w:w="28" w:type="dxa"/>
            </w:tcMar>
          </w:tcPr>
          <w:p w14:paraId="7683B696"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36008C42" w14:textId="77777777" w:rsidR="008F47B8" w:rsidRPr="006D52A9" w:rsidRDefault="008F47B8" w:rsidP="00FB6D2D">
            <w:pPr>
              <w:pStyle w:val="mps3-data"/>
              <w:rPr>
                <w:szCs w:val="16"/>
              </w:rPr>
            </w:pPr>
            <w:r w:rsidRPr="006D52A9">
              <w:rPr>
                <w:szCs w:val="16"/>
              </w:rPr>
              <w:t>C10570</w:t>
            </w:r>
          </w:p>
        </w:tc>
        <w:tc>
          <w:tcPr>
            <w:tcW w:w="265" w:type="pct"/>
            <w:tcBorders>
              <w:bottom w:val="single" w:sz="4" w:space="0" w:color="auto"/>
            </w:tcBorders>
            <w:shd w:val="clear" w:color="auto" w:fill="auto"/>
            <w:tcMar>
              <w:top w:w="28" w:type="dxa"/>
              <w:left w:w="28" w:type="dxa"/>
            </w:tcMar>
          </w:tcPr>
          <w:p w14:paraId="4E118BE1"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123010A8"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 xml:space="preserve">Balance of supply for Initial treatment </w:t>
            </w:r>
            <w:r w:rsidR="0026100E">
              <w:rPr>
                <w:szCs w:val="16"/>
              </w:rPr>
              <w:noBreakHyphen/>
            </w:r>
            <w:r w:rsidRPr="006D52A9">
              <w:rPr>
                <w:szCs w:val="16"/>
              </w:rPr>
              <w:t xml:space="preserve"> Initial 1 (new patient) or Initial 2 (retrial or recommencement of </w:t>
            </w:r>
            <w:r w:rsidRPr="006D52A9">
              <w:rPr>
                <w:szCs w:val="16"/>
              </w:rPr>
              <w:lastRenderedPageBreak/>
              <w:t>treatment after a break of less than 12 months) or Initial 3 (recommencement of treatment after a break of more than 12 months)</w:t>
            </w:r>
            <w:r w:rsidRPr="006D52A9">
              <w:rPr>
                <w:szCs w:val="16"/>
              </w:rPr>
              <w:br/>
              <w:t>Patient must have received insufficient therapy with this drug for this condition under the Initial 1 (new patient) restriction to complete 16 weeks treatment; OR</w:t>
            </w:r>
            <w:r w:rsidRPr="006D52A9">
              <w:rPr>
                <w:szCs w:val="16"/>
              </w:rPr>
              <w:br/>
              <w:t>Patient must have received insufficient therapy with this drug for this condition under the Initial 2 (retrial or recommencement of treatment after a break of less than 12 months) restriction to complete 16 weeks treatment; OR</w:t>
            </w:r>
            <w:r w:rsidRPr="006D52A9">
              <w:rPr>
                <w:szCs w:val="16"/>
              </w:rPr>
              <w:br/>
              <w:t>Patient must have received insufficient therapy with this drug for this condition under Initial 3 (recommencement of treatment after a break of more than 12 months) restriction to complete 16 weeks treatment; AND</w:t>
            </w:r>
            <w:r w:rsidRPr="006D52A9">
              <w:rPr>
                <w:szCs w:val="16"/>
              </w:rPr>
              <w:br/>
              <w:t>The treatment must provide no more than the balance of up to 16 weeks therapy available under Initial 1, 2 or 3 treatment.</w:t>
            </w:r>
            <w:r w:rsidRPr="006D52A9">
              <w:rPr>
                <w:szCs w:val="16"/>
              </w:rPr>
              <w:br/>
              <w:t>Must be treated by a rheumatologist; OR</w:t>
            </w:r>
            <w:r w:rsidRPr="006D52A9">
              <w:rPr>
                <w:szCs w:val="16"/>
              </w:rPr>
              <w:br/>
              <w:t>Patient must be undergoing treatment under the supervision of a paediatric rheumatology treatment centre.</w:t>
            </w:r>
          </w:p>
        </w:tc>
        <w:tc>
          <w:tcPr>
            <w:tcW w:w="938" w:type="pct"/>
            <w:tcBorders>
              <w:bottom w:val="single" w:sz="4" w:space="0" w:color="auto"/>
            </w:tcBorders>
            <w:shd w:val="clear" w:color="auto" w:fill="auto"/>
            <w:tcMar>
              <w:top w:w="28" w:type="dxa"/>
              <w:left w:w="28" w:type="dxa"/>
              <w:right w:w="57" w:type="dxa"/>
            </w:tcMar>
          </w:tcPr>
          <w:p w14:paraId="58FBAF4F" w14:textId="77777777" w:rsidR="008F47B8" w:rsidRPr="006D52A9" w:rsidRDefault="008F47B8" w:rsidP="00FB6D2D">
            <w:pPr>
              <w:pStyle w:val="mps3-data"/>
              <w:rPr>
                <w:szCs w:val="16"/>
              </w:rPr>
            </w:pPr>
            <w:r w:rsidRPr="006D52A9">
              <w:rPr>
                <w:szCs w:val="16"/>
              </w:rPr>
              <w:lastRenderedPageBreak/>
              <w:t xml:space="preserve">Compliance with Authority </w:t>
            </w:r>
            <w:r w:rsidRPr="006D52A9">
              <w:rPr>
                <w:szCs w:val="16"/>
              </w:rPr>
              <w:lastRenderedPageBreak/>
              <w:t>Required procedures</w:t>
            </w:r>
          </w:p>
        </w:tc>
      </w:tr>
      <w:tr w:rsidR="008F47B8" w:rsidRPr="006D52A9" w:rsidDel="006712FA" w14:paraId="3412F74D" w14:textId="77777777" w:rsidTr="00FB6D2D">
        <w:tc>
          <w:tcPr>
            <w:tcW w:w="647" w:type="pct"/>
            <w:tcBorders>
              <w:bottom w:val="single" w:sz="4" w:space="0" w:color="auto"/>
            </w:tcBorders>
            <w:shd w:val="clear" w:color="auto" w:fill="auto"/>
            <w:tcMar>
              <w:top w:w="28" w:type="dxa"/>
              <w:left w:w="28" w:type="dxa"/>
            </w:tcMar>
          </w:tcPr>
          <w:p w14:paraId="5B597EB1"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135E3AE6" w14:textId="77777777" w:rsidR="008F47B8" w:rsidRPr="006D52A9" w:rsidRDefault="008F47B8" w:rsidP="00FB6D2D">
            <w:pPr>
              <w:pStyle w:val="mps3-data"/>
              <w:rPr>
                <w:szCs w:val="16"/>
              </w:rPr>
            </w:pPr>
            <w:r w:rsidRPr="006D52A9">
              <w:rPr>
                <w:szCs w:val="16"/>
              </w:rPr>
              <w:t>C10571</w:t>
            </w:r>
          </w:p>
        </w:tc>
        <w:tc>
          <w:tcPr>
            <w:tcW w:w="265" w:type="pct"/>
            <w:tcBorders>
              <w:bottom w:val="single" w:sz="4" w:space="0" w:color="auto"/>
            </w:tcBorders>
            <w:shd w:val="clear" w:color="auto" w:fill="auto"/>
            <w:tcMar>
              <w:top w:w="28" w:type="dxa"/>
              <w:left w:w="28" w:type="dxa"/>
            </w:tcMar>
          </w:tcPr>
          <w:p w14:paraId="210640EE"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07F5A6DB" w14:textId="77777777" w:rsidR="008F47B8" w:rsidRPr="006D52A9" w:rsidRDefault="008F47B8" w:rsidP="00FB6D2D">
            <w:pPr>
              <w:pStyle w:val="mps3-data"/>
              <w:rPr>
                <w:szCs w:val="16"/>
              </w:rPr>
            </w:pPr>
            <w:r w:rsidRPr="006D52A9">
              <w:rPr>
                <w:szCs w:val="16"/>
              </w:rPr>
              <w:t>Systemic juvenile idiopathic arthritis</w:t>
            </w:r>
            <w:r w:rsidRPr="006D52A9">
              <w:rPr>
                <w:szCs w:val="16"/>
              </w:rPr>
              <w:br/>
              <w:t xml:space="preserve">Balance of supply </w:t>
            </w:r>
            <w:r w:rsidR="0026100E">
              <w:rPr>
                <w:szCs w:val="16"/>
              </w:rPr>
              <w:noBreakHyphen/>
            </w:r>
            <w:r w:rsidRPr="006D52A9">
              <w:rPr>
                <w:szCs w:val="16"/>
              </w:rPr>
              <w:t xml:space="preserve"> Continuing treatment</w:t>
            </w:r>
            <w:r w:rsidRPr="006D52A9">
              <w:rPr>
                <w:szCs w:val="16"/>
              </w:rPr>
              <w:br/>
              <w:t>Patient must have received insufficient therapy with this drug for this condition under the continuing treatment restriction to complete 24 weeks treatment; AND</w:t>
            </w:r>
            <w:r w:rsidRPr="006D52A9">
              <w:rPr>
                <w:szCs w:val="16"/>
              </w:rPr>
              <w:br/>
              <w:t>The treatment must provide no more than the balance of up to 24 weeks therapy available under Continuing treatment.</w:t>
            </w:r>
            <w:r w:rsidRPr="006D52A9">
              <w:rPr>
                <w:szCs w:val="16"/>
              </w:rPr>
              <w:br/>
              <w:t>Must be treated by a rheumatologist; OR</w:t>
            </w:r>
            <w:r w:rsidRPr="006D52A9">
              <w:rPr>
                <w:szCs w:val="16"/>
              </w:rPr>
              <w:br/>
              <w:t>Patient must be undergoing treatment under the supervision of a paediatric rheumatology treatment centre.</w:t>
            </w:r>
          </w:p>
        </w:tc>
        <w:tc>
          <w:tcPr>
            <w:tcW w:w="938" w:type="pct"/>
            <w:tcBorders>
              <w:bottom w:val="single" w:sz="4" w:space="0" w:color="auto"/>
            </w:tcBorders>
            <w:shd w:val="clear" w:color="auto" w:fill="auto"/>
            <w:tcMar>
              <w:top w:w="28" w:type="dxa"/>
              <w:left w:w="28" w:type="dxa"/>
              <w:right w:w="57" w:type="dxa"/>
            </w:tcMar>
          </w:tcPr>
          <w:p w14:paraId="760EE277" w14:textId="77777777" w:rsidR="008F47B8" w:rsidRPr="006D52A9" w:rsidRDefault="008F47B8" w:rsidP="00FB6D2D">
            <w:pPr>
              <w:pStyle w:val="mps3-data"/>
              <w:rPr>
                <w:szCs w:val="16"/>
              </w:rPr>
            </w:pPr>
            <w:r w:rsidRPr="006D52A9">
              <w:rPr>
                <w:szCs w:val="16"/>
              </w:rPr>
              <w:t>Compliance with Authority Required procedures</w:t>
            </w:r>
          </w:p>
        </w:tc>
      </w:tr>
      <w:tr w:rsidR="008F47B8" w:rsidRPr="006D52A9" w:rsidDel="006712FA" w14:paraId="78646A4D" w14:textId="77777777" w:rsidTr="00FB6D2D">
        <w:tc>
          <w:tcPr>
            <w:tcW w:w="647" w:type="pct"/>
            <w:tcBorders>
              <w:bottom w:val="single" w:sz="4" w:space="0" w:color="auto"/>
            </w:tcBorders>
            <w:shd w:val="clear" w:color="auto" w:fill="auto"/>
            <w:tcMar>
              <w:top w:w="28" w:type="dxa"/>
              <w:left w:w="28" w:type="dxa"/>
            </w:tcMar>
          </w:tcPr>
          <w:p w14:paraId="56A6196A" w14:textId="77777777" w:rsidR="008F47B8" w:rsidRPr="006D52A9" w:rsidRDefault="008F47B8" w:rsidP="00FB6D2D">
            <w:pPr>
              <w:pStyle w:val="mps3-data"/>
              <w:rPr>
                <w:szCs w:val="16"/>
              </w:rPr>
            </w:pPr>
          </w:p>
        </w:tc>
        <w:tc>
          <w:tcPr>
            <w:tcW w:w="283" w:type="pct"/>
            <w:tcBorders>
              <w:bottom w:val="single" w:sz="4" w:space="0" w:color="auto"/>
            </w:tcBorders>
            <w:shd w:val="clear" w:color="auto" w:fill="auto"/>
            <w:tcMar>
              <w:top w:w="28" w:type="dxa"/>
              <w:left w:w="28" w:type="dxa"/>
            </w:tcMar>
          </w:tcPr>
          <w:p w14:paraId="3D29EC8C" w14:textId="77777777" w:rsidR="008F47B8" w:rsidRPr="006D52A9" w:rsidRDefault="008F47B8" w:rsidP="00FB6D2D">
            <w:pPr>
              <w:pStyle w:val="mps3-data"/>
              <w:rPr>
                <w:szCs w:val="16"/>
              </w:rPr>
            </w:pPr>
            <w:r w:rsidRPr="006D52A9">
              <w:rPr>
                <w:szCs w:val="16"/>
              </w:rPr>
              <w:t>C10616</w:t>
            </w:r>
          </w:p>
        </w:tc>
        <w:tc>
          <w:tcPr>
            <w:tcW w:w="265" w:type="pct"/>
            <w:tcBorders>
              <w:bottom w:val="single" w:sz="4" w:space="0" w:color="auto"/>
            </w:tcBorders>
            <w:shd w:val="clear" w:color="auto" w:fill="auto"/>
            <w:tcMar>
              <w:top w:w="28" w:type="dxa"/>
              <w:left w:w="28" w:type="dxa"/>
            </w:tcMar>
          </w:tcPr>
          <w:p w14:paraId="0C648610" w14:textId="77777777" w:rsidR="008F47B8" w:rsidRPr="006D52A9" w:rsidDel="00E03489" w:rsidRDefault="008F47B8" w:rsidP="00FB6D2D">
            <w:pPr>
              <w:pStyle w:val="mps3-data"/>
              <w:rPr>
                <w:szCs w:val="16"/>
              </w:rPr>
            </w:pPr>
          </w:p>
        </w:tc>
        <w:tc>
          <w:tcPr>
            <w:tcW w:w="2867" w:type="pct"/>
            <w:tcBorders>
              <w:bottom w:val="single" w:sz="4" w:space="0" w:color="auto"/>
            </w:tcBorders>
            <w:shd w:val="clear" w:color="auto" w:fill="auto"/>
            <w:tcMar>
              <w:top w:w="28" w:type="dxa"/>
              <w:left w:w="28" w:type="dxa"/>
            </w:tcMar>
          </w:tcPr>
          <w:p w14:paraId="0777C711" w14:textId="77777777" w:rsidR="008F47B8" w:rsidRPr="006D52A9" w:rsidRDefault="008F47B8" w:rsidP="00FB6D2D">
            <w:pPr>
              <w:pStyle w:val="mps3-data"/>
              <w:rPr>
                <w:szCs w:val="16"/>
              </w:rPr>
            </w:pPr>
            <w:r w:rsidRPr="006D52A9">
              <w:rPr>
                <w:szCs w:val="16"/>
              </w:rPr>
              <w:t>Severe active juvenile idiopathic arthritis</w:t>
            </w:r>
            <w:r w:rsidRPr="006D52A9">
              <w:rPr>
                <w:szCs w:val="16"/>
              </w:rPr>
              <w:br/>
              <w:t xml:space="preserve">Initial treatment </w:t>
            </w:r>
            <w:r w:rsidR="0026100E">
              <w:rPr>
                <w:szCs w:val="16"/>
              </w:rPr>
              <w:noBreakHyphen/>
            </w:r>
            <w:r w:rsidRPr="006D52A9">
              <w:rPr>
                <w:szCs w:val="16"/>
              </w:rPr>
              <w:t xml:space="preserve"> Initial 1 (new patient)</w:t>
            </w:r>
            <w:r w:rsidRPr="006D52A9">
              <w:rPr>
                <w:szCs w:val="16"/>
              </w:rPr>
              <w:br/>
              <w:t>Must be treated by a paediatric rheumatologist; OR</w:t>
            </w:r>
            <w:r w:rsidRPr="006D52A9">
              <w:rPr>
                <w:szCs w:val="16"/>
              </w:rPr>
              <w:br/>
              <w:t>Patient must be undergoing treatment under the supervision of a paediatric rheumatology treatment centre.</w:t>
            </w:r>
            <w:r w:rsidRPr="006D52A9">
              <w:rPr>
                <w:szCs w:val="16"/>
              </w:rPr>
              <w:br/>
              <w:t>Patient must not have received PBS</w:t>
            </w:r>
            <w:r w:rsidR="0026100E">
              <w:rPr>
                <w:szCs w:val="16"/>
              </w:rPr>
              <w:noBreakHyphen/>
            </w:r>
            <w:r w:rsidRPr="006D52A9">
              <w:rPr>
                <w:szCs w:val="16"/>
              </w:rPr>
              <w:t>subsidised treatment with a biological medicine for this condition; AND</w:t>
            </w:r>
            <w:r w:rsidRPr="006D52A9">
              <w:rPr>
                <w:szCs w:val="16"/>
              </w:rPr>
              <w:br/>
              <w:t>Patient must have demonstrated severe intolerance of, or toxicity due to, methotrexate; OR</w:t>
            </w:r>
            <w:r w:rsidRPr="006D52A9">
              <w:rPr>
                <w:szCs w:val="16"/>
              </w:rPr>
              <w:br/>
              <w:t>Patient must have demonstrated failure to achieve an adequate response to 1 or more of the following treatment regimens: (i) oral or parenteral methotrexate at a dose of at least 20 mg per square metre weekly, alone or in combination with oral or intra</w:t>
            </w:r>
            <w:r w:rsidR="0026100E">
              <w:rPr>
                <w:szCs w:val="16"/>
              </w:rPr>
              <w:noBreakHyphen/>
            </w:r>
            <w:r w:rsidRPr="006D52A9">
              <w:rPr>
                <w:szCs w:val="16"/>
              </w:rPr>
              <w:t>articular corticosteroids, for a minimum of 3 months; or (ii) oral methotrexate at a dose of at least 10 mg per square metre weekly together with at least 1 other disease modifying anti</w:t>
            </w:r>
            <w:r w:rsidR="0026100E">
              <w:rPr>
                <w:szCs w:val="16"/>
              </w:rPr>
              <w:noBreakHyphen/>
            </w:r>
            <w:r w:rsidRPr="006D52A9">
              <w:rPr>
                <w:szCs w:val="16"/>
              </w:rPr>
              <w:t>rheumatic drug (DMARD), alone or in combination with corticosteroids, for a minimum of 3 months; AND</w:t>
            </w:r>
            <w:r w:rsidRPr="006D52A9">
              <w:rPr>
                <w:szCs w:val="16"/>
              </w:rPr>
              <w:br/>
              <w:t>Patient must not receive more than 16 weeks of treatment under this restriction.</w:t>
            </w:r>
            <w:r w:rsidRPr="006D52A9">
              <w:rPr>
                <w:szCs w:val="16"/>
              </w:rPr>
              <w:br/>
              <w:t>Patient must be under 18 years of age.</w:t>
            </w:r>
            <w:r w:rsidRPr="006D52A9">
              <w:rPr>
                <w:szCs w:val="16"/>
              </w:rPr>
              <w:br/>
            </w:r>
            <w:r w:rsidRPr="006D52A9">
              <w:rPr>
                <w:szCs w:val="16"/>
              </w:rPr>
              <w:lastRenderedPageBreak/>
              <w:t>Severe intolerance to methotrexate is defined as intractable nausea and vomiting and general malaise unresponsive to manoeuvres, including reducing or omitting concomitant non</w:t>
            </w:r>
            <w:r w:rsidR="0026100E">
              <w:rPr>
                <w:szCs w:val="16"/>
              </w:rPr>
              <w:noBreakHyphen/>
            </w:r>
            <w:r w:rsidRPr="006D52A9">
              <w:rPr>
                <w:szCs w:val="16"/>
              </w:rPr>
              <w:t>steroidal anti</w:t>
            </w:r>
            <w:r w:rsidR="0026100E">
              <w:rPr>
                <w:szCs w:val="16"/>
              </w:rPr>
              <w:noBreakHyphen/>
            </w:r>
            <w:r w:rsidRPr="006D52A9">
              <w:rPr>
                <w:szCs w:val="16"/>
              </w:rPr>
              <w:t>inflammatory drugs (NSAIDs) on the day of methotrexate administration, use of folic acid supplementation, or administering the dose of methotrexate in 2 divided doses over 24 hours.</w:t>
            </w:r>
            <w:r w:rsidRPr="006D52A9">
              <w:rPr>
                <w:szCs w:val="16"/>
              </w:rPr>
              <w:br/>
              <w:t>Toxicity due to methotrexate is defined as evidence of hepatotoxicity with repeated elevations of transaminases, bone marrow suppression temporally related to methotrexate use, pneumonitis, or serious sepsis.</w:t>
            </w:r>
            <w:r w:rsidRPr="006D52A9">
              <w:rPr>
                <w:szCs w:val="16"/>
              </w:rPr>
              <w:br/>
              <w:t>If treatment with methotrexate alone or in combination with another DMARD is contraindicated according to the relevant TGA</w:t>
            </w:r>
            <w:r w:rsidR="0026100E">
              <w:rPr>
                <w:szCs w:val="16"/>
              </w:rPr>
              <w:noBreakHyphen/>
            </w:r>
            <w:r w:rsidRPr="006D52A9">
              <w:rPr>
                <w:szCs w:val="16"/>
              </w:rPr>
              <w:t>approved Product Information, details must be provided at the time of application.</w:t>
            </w:r>
            <w:r w:rsidRPr="006D52A9">
              <w:rPr>
                <w:szCs w:val="16"/>
              </w:rPr>
              <w:br/>
              <w:t>If intolerance to treatment develops during the relevant period of use, which is of a severity necessitating permanent treatment withdrawal, details of this toxicity must be provided at the time of application.</w:t>
            </w:r>
            <w:r w:rsidRPr="006D52A9">
              <w:rPr>
                <w:szCs w:val="16"/>
              </w:rPr>
              <w:br/>
              <w:t>The following criteria indicate failure to achieve an adequate response and must be demonstrated in all patients at the time of the initial application:</w:t>
            </w:r>
            <w:r w:rsidRPr="006D52A9">
              <w:rPr>
                <w:szCs w:val="16"/>
              </w:rPr>
              <w:br/>
              <w:t>(a) an active joint count of at least 20 active (swollen and tender) joints; OR</w:t>
            </w:r>
            <w:r w:rsidRPr="006D52A9">
              <w:rPr>
                <w:szCs w:val="16"/>
              </w:rPr>
              <w:br/>
              <w:t>(b) at least 4 active joints from the following list:</w:t>
            </w:r>
            <w:r w:rsidRPr="006D52A9">
              <w:rPr>
                <w:szCs w:val="16"/>
              </w:rPr>
              <w:br/>
              <w:t>(i) elbow, wrist, knee and/or ankle (assessed as swollen and tender); and/or</w:t>
            </w:r>
            <w:r w:rsidRPr="006D52A9">
              <w:rPr>
                <w:szCs w:val="16"/>
              </w:rPr>
              <w:br/>
              <w:t>(ii) shoulder, cervical spine and/or hip (assessed as pain in passive movement and restriction of passive movement, where pain and limitation of movement are due to active disease and not irreversible damage such as joint destruction or bony overgrowth).</w:t>
            </w:r>
            <w:r w:rsidRPr="006D52A9">
              <w:rPr>
                <w:szCs w:val="16"/>
              </w:rPr>
              <w:br/>
              <w:t>The joint count assessment must be performed preferably whilst still on DMARD treatment, but no longer than 4 weeks following cessation of the most recent prior treatment.</w:t>
            </w:r>
            <w:r w:rsidRPr="006D52A9">
              <w:rPr>
                <w:szCs w:val="16"/>
              </w:rPr>
              <w:br/>
              <w:t>The authority application must be made in writing and must include:</w:t>
            </w:r>
            <w:r w:rsidRPr="006D52A9">
              <w:rPr>
                <w:szCs w:val="16"/>
              </w:rPr>
              <w:br/>
              <w:t>(1) completed authority prescription form(s); and</w:t>
            </w:r>
            <w:r w:rsidRPr="006D52A9">
              <w:rPr>
                <w:szCs w:val="16"/>
              </w:rPr>
              <w:br/>
              <w:t xml:space="preserve">(2) a completed Juvenile Idiopathic Arthritis PBS Authority Application </w:t>
            </w:r>
            <w:r w:rsidR="0026100E">
              <w:rPr>
                <w:szCs w:val="16"/>
              </w:rPr>
              <w:noBreakHyphen/>
            </w:r>
            <w:r w:rsidRPr="006D52A9">
              <w:rPr>
                <w:szCs w:val="16"/>
              </w:rPr>
              <w:t xml:space="preserve"> Supporting Information Form.</w:t>
            </w:r>
            <w:r w:rsidRPr="006D52A9">
              <w:rPr>
                <w:szCs w:val="16"/>
              </w:rPr>
              <w:br/>
              <w:t>At the time of authority application, medical practitioners must request the appropriate number of vials of appropriate strength to provide sufficient drug, based on the weight of the patient, for one infusion. A separate authority prescription form must be completed for each strength requested. Up to a maximum of 3 repeats will be authorised.</w:t>
            </w:r>
            <w:r w:rsidRPr="006D52A9">
              <w:rPr>
                <w:szCs w:val="16"/>
              </w:rPr>
              <w:b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w:t>
            </w:r>
            <w:r w:rsidR="0026100E">
              <w:rPr>
                <w:szCs w:val="16"/>
              </w:rPr>
              <w:noBreakHyphen/>
            </w:r>
            <w:r w:rsidRPr="006D52A9">
              <w:rPr>
                <w:szCs w:val="16"/>
              </w:rPr>
              <w:t>subsidised treatment.</w:t>
            </w:r>
            <w:r w:rsidRPr="006D52A9">
              <w:rPr>
                <w:szCs w:val="16"/>
              </w:rPr>
              <w:br/>
              <w:t>Where the response assessment is not submitted within this timeframe, the patient will be deemed to have failed to respond to treatment with this drug.</w:t>
            </w:r>
            <w:r w:rsidRPr="006D52A9">
              <w:rPr>
                <w:szCs w:val="16"/>
              </w:rPr>
              <w:br/>
              <w:t>If a patient fails to demonstrate a response to treatment with this drug they will not be eligible to receive further PBS</w:t>
            </w:r>
            <w:r w:rsidR="0026100E">
              <w:rPr>
                <w:szCs w:val="16"/>
              </w:rPr>
              <w:noBreakHyphen/>
            </w:r>
            <w:r w:rsidRPr="006D52A9">
              <w:rPr>
                <w:szCs w:val="16"/>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191C93F2" w14:textId="77777777" w:rsidR="008F47B8" w:rsidRPr="006D52A9" w:rsidRDefault="008F47B8" w:rsidP="00FB6D2D">
            <w:pPr>
              <w:pStyle w:val="mps3-data"/>
              <w:rPr>
                <w:szCs w:val="16"/>
              </w:rPr>
            </w:pPr>
            <w:r w:rsidRPr="006D52A9">
              <w:rPr>
                <w:szCs w:val="16"/>
              </w:rPr>
              <w:lastRenderedPageBreak/>
              <w:t>Compliance with Written Authority Required procedures</w:t>
            </w:r>
          </w:p>
        </w:tc>
      </w:tr>
      <w:tr w:rsidR="008F47B8" w:rsidRPr="006D52A9" w:rsidDel="00F51209" w14:paraId="2CC9AFF1" w14:textId="77777777" w:rsidTr="00FB6D2D">
        <w:tc>
          <w:tcPr>
            <w:tcW w:w="647" w:type="pct"/>
            <w:tcBorders>
              <w:bottom w:val="single" w:sz="4" w:space="0" w:color="auto"/>
            </w:tcBorders>
            <w:shd w:val="clear" w:color="auto" w:fill="auto"/>
            <w:tcMar>
              <w:top w:w="28" w:type="dxa"/>
              <w:left w:w="28" w:type="dxa"/>
            </w:tcMar>
          </w:tcPr>
          <w:p w14:paraId="3F4EFF70"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t>Ustekinumab</w:t>
            </w:r>
          </w:p>
        </w:tc>
        <w:tc>
          <w:tcPr>
            <w:tcW w:w="283" w:type="pct"/>
            <w:tcBorders>
              <w:bottom w:val="single" w:sz="4" w:space="0" w:color="auto"/>
            </w:tcBorders>
            <w:shd w:val="clear" w:color="auto" w:fill="auto"/>
            <w:tcMar>
              <w:top w:w="28" w:type="dxa"/>
              <w:left w:w="28" w:type="dxa"/>
            </w:tcMar>
          </w:tcPr>
          <w:p w14:paraId="54AA4214"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t>C9655</w:t>
            </w:r>
          </w:p>
        </w:tc>
        <w:tc>
          <w:tcPr>
            <w:tcW w:w="265" w:type="pct"/>
            <w:tcBorders>
              <w:bottom w:val="single" w:sz="4" w:space="0" w:color="auto"/>
            </w:tcBorders>
            <w:shd w:val="clear" w:color="auto" w:fill="auto"/>
            <w:tcMar>
              <w:top w:w="28" w:type="dxa"/>
              <w:left w:w="28" w:type="dxa"/>
            </w:tcMar>
          </w:tcPr>
          <w:p w14:paraId="22B5E3AA" w14:textId="77777777" w:rsidR="008F47B8" w:rsidRPr="006D52A9" w:rsidDel="00F51209"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36EBC7E6" w14:textId="77777777" w:rsidR="008F47B8" w:rsidRPr="006D52A9" w:rsidDel="00F51209" w:rsidRDefault="008F47B8" w:rsidP="00FB6D2D">
            <w:pPr>
              <w:pStyle w:val="mps3-data"/>
              <w:spacing w:before="0" w:after="0"/>
              <w:rPr>
                <w:rFonts w:eastAsia="Calibri"/>
                <w:szCs w:val="16"/>
                <w:lang w:eastAsia="en-US"/>
              </w:rPr>
            </w:pPr>
            <w:r w:rsidRPr="006D52A9">
              <w:rPr>
                <w:rFonts w:eastAsia="Calibri"/>
                <w:szCs w:val="16"/>
                <w:lang w:eastAsia="en-US"/>
              </w:rPr>
              <w:t>Severe Crohn disease</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2 (change or recommencement of treatment after a break in biological medicine of less than 5 years)</w:t>
            </w:r>
            <w:r w:rsidRPr="006D52A9">
              <w:rPr>
                <w:rFonts w:eastAsia="Calibri"/>
                <w:szCs w:val="16"/>
                <w:lang w:eastAsia="en-US"/>
              </w:rPr>
              <w:br/>
            </w:r>
            <w:r w:rsidRPr="006D52A9">
              <w:rPr>
                <w:rFonts w:eastAsia="Calibri"/>
                <w:szCs w:val="16"/>
                <w:lang w:eastAsia="en-US"/>
              </w:rPr>
              <w:lastRenderedPageBreak/>
              <w:t>Must be treated by a gastroenterologist (code 87); OR</w:t>
            </w:r>
            <w:r w:rsidRPr="006D52A9">
              <w:rPr>
                <w:rFonts w:eastAsia="Calibri"/>
                <w:szCs w:val="16"/>
                <w:lang w:eastAsia="en-US"/>
              </w:rPr>
              <w:br/>
              <w:t>Must be treated by a consultant physician [internal medicine specialising in gastroenterology (code 81)]; OR</w:t>
            </w:r>
            <w:r w:rsidRPr="006D52A9">
              <w:rPr>
                <w:rFonts w:eastAsia="Calibri"/>
                <w:szCs w:val="16"/>
                <w:lang w:eastAsia="en-US"/>
              </w:rPr>
              <w:br/>
              <w:t>Must be treated by a consultant physician [general medicine specialising in gastroenterology (code 82)].</w:t>
            </w:r>
            <w:r w:rsidRPr="006D52A9">
              <w:rPr>
                <w:rFonts w:eastAsia="Calibri"/>
                <w:szCs w:val="16"/>
                <w:lang w:eastAsia="en-US"/>
              </w:rPr>
              <w:br/>
              <w:t>Patient must have received prior PBS</w:t>
            </w:r>
            <w:r w:rsidR="0026100E">
              <w:rPr>
                <w:rFonts w:eastAsia="Calibri"/>
                <w:szCs w:val="16"/>
                <w:lang w:eastAsia="en-US"/>
              </w:rPr>
              <w:noBreakHyphen/>
            </w:r>
            <w:r w:rsidRPr="006D52A9">
              <w:rPr>
                <w:rFonts w:eastAsia="Calibri"/>
                <w:szCs w:val="16"/>
                <w:lang w:eastAsia="en-US"/>
              </w:rPr>
              <w:t>subsidised treatment with a biological medicine for this condition in this treatment cycle; AND</w:t>
            </w:r>
            <w:r w:rsidRPr="006D52A9">
              <w:rPr>
                <w:rFonts w:eastAsia="Calibri"/>
                <w:szCs w:val="16"/>
                <w:lang w:eastAsia="en-US"/>
              </w:rPr>
              <w:br/>
              <w:t>Patient must not have failed, or ceased to respond to, PBS</w:t>
            </w:r>
            <w:r w:rsidR="0026100E">
              <w:rPr>
                <w:rFonts w:eastAsia="Calibri"/>
                <w:szCs w:val="16"/>
                <w:lang w:eastAsia="en-US"/>
              </w:rPr>
              <w:noBreakHyphen/>
            </w:r>
            <w:r w:rsidRPr="006D52A9">
              <w:rPr>
                <w:rFonts w:eastAsia="Calibri"/>
                <w:szCs w:val="16"/>
                <w:lang w:eastAsia="en-US"/>
              </w:rPr>
              <w:t>subsidised treatment with this drug for this condition during the current treatment cycle; AND</w:t>
            </w:r>
            <w:r w:rsidRPr="006D52A9">
              <w:rPr>
                <w:rFonts w:eastAsia="Calibri"/>
                <w:szCs w:val="16"/>
                <w:lang w:eastAsia="en-US"/>
              </w:rPr>
              <w:br/>
              <w:t>The treatment must not exceed a total of 2 doses to be administered at weeks 0 and 8 under this restriction.</w:t>
            </w:r>
            <w:r w:rsidRPr="006D52A9">
              <w:rPr>
                <w:rFonts w:eastAsia="Calibri"/>
                <w:szCs w:val="16"/>
                <w:lang w:eastAsia="en-US"/>
              </w:rPr>
              <w:br/>
              <w:t>Patient must be aged 18 years or older.</w:t>
            </w:r>
            <w:r w:rsidRPr="006D52A9">
              <w:rPr>
                <w:rFonts w:eastAsia="Calibri"/>
                <w:szCs w:val="16"/>
                <w:lang w:eastAsia="en-US"/>
              </w:rPr>
              <w:br/>
              <w:t>Applications for authorisation must be made in writing and must include:</w:t>
            </w:r>
            <w:r w:rsidRPr="006D52A9">
              <w:rPr>
                <w:rFonts w:eastAsia="Calibri"/>
                <w:szCs w:val="16"/>
                <w:lang w:eastAsia="en-US"/>
              </w:rPr>
              <w:br/>
              <w:t>(a) two completed authority prescription forms; and</w:t>
            </w:r>
            <w:r w:rsidRPr="006D52A9">
              <w:rPr>
                <w:rFonts w:eastAsia="Calibri"/>
                <w:szCs w:val="16"/>
                <w:lang w:eastAsia="en-US"/>
              </w:rPr>
              <w:br/>
              <w:t xml:space="preserve">(b) a completed Crohn Disease PBS Authority Application </w:t>
            </w:r>
            <w:r w:rsidR="0026100E">
              <w:rPr>
                <w:rFonts w:eastAsia="Calibri"/>
                <w:szCs w:val="16"/>
                <w:lang w:eastAsia="en-US"/>
              </w:rPr>
              <w:noBreakHyphen/>
            </w:r>
            <w:r w:rsidRPr="006D52A9">
              <w:rPr>
                <w:rFonts w:eastAsia="Calibri"/>
                <w:szCs w:val="16"/>
                <w:lang w:eastAsia="en-US"/>
              </w:rPr>
              <w:t xml:space="preserve"> Supporting Information Form, which includes the following:</w:t>
            </w:r>
            <w:r w:rsidRPr="006D52A9">
              <w:rPr>
                <w:rFonts w:eastAsia="Calibri"/>
                <w:szCs w:val="16"/>
                <w:lang w:eastAsia="en-US"/>
              </w:rPr>
              <w:br/>
              <w:t>(i) the completed Crohn Disease Activity Index (CDAI) Score calculation sheet including the date of the assessment of the patient’s condition, if relevant; or</w:t>
            </w:r>
            <w:r w:rsidRPr="006D52A9">
              <w:rPr>
                <w:rFonts w:eastAsia="Calibri"/>
                <w:szCs w:val="16"/>
                <w:lang w:eastAsia="en-US"/>
              </w:rPr>
              <w:br/>
              <w:t>(ii) the reports and dates of the pathology or diagnostic imaging test(s) used to assess response to therapy for patients with short gut syndrome, extensive small intestine disease or an ostomy, if relevant; and</w:t>
            </w:r>
            <w:r w:rsidRPr="006D52A9">
              <w:rPr>
                <w:rFonts w:eastAsia="Calibri"/>
                <w:szCs w:val="16"/>
                <w:lang w:eastAsia="en-US"/>
              </w:rPr>
              <w:br/>
              <w:t>(iii) the date of clinical assessment; and</w:t>
            </w:r>
            <w:r w:rsidRPr="006D52A9">
              <w:rPr>
                <w:rFonts w:eastAsia="Calibri"/>
                <w:szCs w:val="16"/>
                <w:lang w:eastAsia="en-US"/>
              </w:rPr>
              <w:br/>
              <w:t>(iv) the details of prior biological medicine treatment including the details of date and duration of treatment.</w:t>
            </w:r>
            <w:r w:rsidRPr="006D52A9">
              <w:rPr>
                <w:rFonts w:eastAsia="Calibri"/>
                <w:szCs w:val="16"/>
                <w:lang w:eastAsia="en-US"/>
              </w:rPr>
              <w:br/>
              <w:t>Two completed authority prescriptions should be submitted with every initial application for this drug. One prescription should be written under S100 (Highly Specialised Drugs) for a weight</w:t>
            </w:r>
            <w:r w:rsidR="0026100E">
              <w:rPr>
                <w:rFonts w:eastAsia="Calibri"/>
                <w:szCs w:val="16"/>
                <w:lang w:eastAsia="en-US"/>
              </w:rPr>
              <w:noBreakHyphen/>
            </w:r>
            <w:r w:rsidRPr="006D52A9">
              <w:rPr>
                <w:rFonts w:eastAsia="Calibri"/>
                <w:szCs w:val="16"/>
                <w:lang w:eastAsia="en-US"/>
              </w:rPr>
              <w:t>based loading dose, containing a quantity of up to 4 vials of 130 mg and no repeats. The second prescription should be written under S85 (General) for 2 vials of 45 mg and no repeats.</w:t>
            </w:r>
            <w:r w:rsidRPr="006D52A9">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D52A9">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D52A9">
              <w:rPr>
                <w:rFonts w:eastAsia="Calibri"/>
                <w:szCs w:val="16"/>
                <w:lang w:eastAsia="en-US"/>
              </w:rPr>
              <w:br/>
              <w:t>Under no circumstances will telephone approvals be granted for initial authority applications, or for treatment that would otherwise extend the initial treatment period.</w:t>
            </w:r>
            <w:r w:rsidRPr="006D52A9">
              <w:rPr>
                <w:rFonts w:eastAsia="Calibri"/>
                <w:szCs w:val="16"/>
                <w:lang w:eastAsia="en-US"/>
              </w:rPr>
              <w:br/>
              <w:t>To demonstrate a response to treatment the application must be accompanied by the results of the most recent course of biological medicine therapy within the timeframes specified in the relevant restriction.</w:t>
            </w:r>
            <w:r w:rsidRPr="006D52A9">
              <w:rPr>
                <w:rFonts w:eastAsia="Calibri"/>
                <w:szCs w:val="16"/>
                <w:lang w:eastAsia="en-US"/>
              </w:rPr>
              <w:br/>
              <w:t>Where the most recent course of PBS</w:t>
            </w:r>
            <w:r w:rsidR="0026100E">
              <w:rPr>
                <w:rFonts w:eastAsia="Calibri"/>
                <w:szCs w:val="16"/>
                <w:lang w:eastAsia="en-US"/>
              </w:rPr>
              <w:noBreakHyphen/>
            </w:r>
            <w:r w:rsidRPr="006D52A9">
              <w:rPr>
                <w:rFonts w:eastAsia="Calibri"/>
                <w:szCs w:val="16"/>
                <w:lang w:eastAsia="en-US"/>
              </w:rPr>
              <w:t xml:space="preserve">subsidised biological medicine treatment was approved under either Initial 1, Initial 2, Initial 3 or continuing treatment restrictions, an assessment of a patient’s response must have been conducted following a minimum of 12 weeks of therapy for adalimumab or ustekinumab and up to 12 weeks after the first dose (6 weeks following the third dose) for infliximab and vedolizumab and submitted to the Department of Human Services no later than 4 weeks from the date of </w:t>
            </w:r>
            <w:r w:rsidRPr="006D52A9">
              <w:rPr>
                <w:rFonts w:eastAsia="Calibri"/>
                <w:szCs w:val="16"/>
                <w:lang w:eastAsia="en-US"/>
              </w:rPr>
              <w:lastRenderedPageBreak/>
              <w:t>completion of treatment.</w:t>
            </w:r>
            <w:r w:rsidRPr="006D52A9">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0E60A5EA"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F51209" w14:paraId="7466F5EC" w14:textId="77777777" w:rsidTr="00FB6D2D">
        <w:tc>
          <w:tcPr>
            <w:tcW w:w="647" w:type="pct"/>
            <w:tcBorders>
              <w:bottom w:val="single" w:sz="4" w:space="0" w:color="auto"/>
            </w:tcBorders>
            <w:shd w:val="clear" w:color="auto" w:fill="auto"/>
            <w:tcMar>
              <w:top w:w="28" w:type="dxa"/>
              <w:left w:w="28" w:type="dxa"/>
            </w:tcMar>
          </w:tcPr>
          <w:p w14:paraId="506F714A" w14:textId="77777777" w:rsidR="008F47B8" w:rsidRPr="006D52A9" w:rsidDel="00F51209"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E59FB53"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t>C9656</w:t>
            </w:r>
          </w:p>
        </w:tc>
        <w:tc>
          <w:tcPr>
            <w:tcW w:w="265" w:type="pct"/>
            <w:tcBorders>
              <w:bottom w:val="single" w:sz="4" w:space="0" w:color="auto"/>
            </w:tcBorders>
            <w:shd w:val="clear" w:color="auto" w:fill="auto"/>
            <w:tcMar>
              <w:top w:w="28" w:type="dxa"/>
              <w:left w:w="28" w:type="dxa"/>
            </w:tcMar>
          </w:tcPr>
          <w:p w14:paraId="3D0B7805" w14:textId="77777777" w:rsidR="008F47B8" w:rsidRPr="006D52A9" w:rsidDel="00F51209"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7C081BA0" w14:textId="77777777" w:rsidR="008F47B8" w:rsidRPr="006D52A9" w:rsidDel="00F51209" w:rsidRDefault="008F47B8" w:rsidP="00FB6D2D">
            <w:pPr>
              <w:pStyle w:val="mps3-data"/>
              <w:spacing w:before="0" w:after="0"/>
              <w:rPr>
                <w:rFonts w:eastAsia="Calibri"/>
                <w:szCs w:val="16"/>
                <w:lang w:eastAsia="en-US"/>
              </w:rPr>
            </w:pPr>
            <w:r w:rsidRPr="006D52A9">
              <w:rPr>
                <w:rFonts w:eastAsia="Calibri"/>
                <w:szCs w:val="16"/>
                <w:lang w:eastAsia="en-US"/>
              </w:rPr>
              <w:t>Severe Crohn disease</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3 (recommencement of treatment after a break in biological medicine of more than 5 years)</w:t>
            </w:r>
            <w:r w:rsidRPr="006D52A9">
              <w:rPr>
                <w:rFonts w:eastAsia="Calibri"/>
                <w:szCs w:val="16"/>
                <w:lang w:eastAsia="en-US"/>
              </w:rPr>
              <w:br/>
              <w:t>Must be treated by a gastroenterologist (code 87); OR</w:t>
            </w:r>
            <w:r w:rsidRPr="006D52A9">
              <w:rPr>
                <w:rFonts w:eastAsia="Calibri"/>
                <w:szCs w:val="16"/>
                <w:lang w:eastAsia="en-US"/>
              </w:rPr>
              <w:br/>
              <w:t>Must be treated by a consultant physician [internal medicine specialising in gastroenterology (code 81)]; OR</w:t>
            </w:r>
            <w:r w:rsidRPr="006D52A9">
              <w:rPr>
                <w:rFonts w:eastAsia="Calibri"/>
                <w:szCs w:val="16"/>
                <w:lang w:eastAsia="en-US"/>
              </w:rPr>
              <w:br/>
              <w:t>Must be treated by a consultant physician [general medicine specialising in gastroenterology (code 82)].</w:t>
            </w:r>
            <w:r w:rsidRPr="006D52A9">
              <w:rPr>
                <w:rFonts w:eastAsia="Calibri"/>
                <w:szCs w:val="16"/>
                <w:lang w:eastAsia="en-US"/>
              </w:rPr>
              <w:br/>
              <w:t>Patient must have received prior PBS</w:t>
            </w:r>
            <w:r w:rsidR="0026100E">
              <w:rPr>
                <w:rFonts w:eastAsia="Calibri"/>
                <w:szCs w:val="16"/>
                <w:lang w:eastAsia="en-US"/>
              </w:rPr>
              <w:noBreakHyphen/>
            </w:r>
            <w:r w:rsidRPr="006D52A9">
              <w:rPr>
                <w:rFonts w:eastAsia="Calibri"/>
                <w:szCs w:val="16"/>
                <w:lang w:eastAsia="en-US"/>
              </w:rPr>
              <w:t>subsidised treatment with a biological medicine for this condition; AND</w:t>
            </w:r>
            <w:r w:rsidRPr="006D52A9">
              <w:rPr>
                <w:rFonts w:eastAsia="Calibri"/>
                <w:szCs w:val="16"/>
                <w:lang w:eastAsia="en-US"/>
              </w:rPr>
              <w:br/>
              <w:t>Patient must have a break in treatment of 5 years or more from the most recently approved PBS</w:t>
            </w:r>
            <w:r w:rsidR="0026100E">
              <w:rPr>
                <w:rFonts w:eastAsia="Calibri"/>
                <w:szCs w:val="16"/>
                <w:lang w:eastAsia="en-US"/>
              </w:rPr>
              <w:noBreakHyphen/>
            </w:r>
            <w:r w:rsidRPr="006D52A9">
              <w:rPr>
                <w:rFonts w:eastAsia="Calibri"/>
                <w:szCs w:val="16"/>
                <w:lang w:eastAsia="en-US"/>
              </w:rPr>
              <w:t>subsidised biological medicine for this condition; AND</w:t>
            </w:r>
            <w:r w:rsidRPr="006D52A9">
              <w:rPr>
                <w:rFonts w:eastAsia="Calibr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6D52A9">
              <w:rPr>
                <w:rFonts w:eastAsia="Calibri"/>
                <w:szCs w:val="16"/>
                <w:lang w:eastAsia="en-US"/>
              </w:rPr>
              <w:br/>
              <w:t>Patient must have a Crohn Disease Activity Index (CDAI) Score of greater than or equal to 300 that is no more than 4 weeks old at the time of application; OR</w:t>
            </w:r>
            <w:r w:rsidRPr="006D52A9">
              <w:rPr>
                <w:rFonts w:eastAsia="Calibri"/>
                <w:szCs w:val="16"/>
                <w:lang w:eastAsia="en-US"/>
              </w:rPr>
              <w:br/>
              <w:t>Patient must have a documented history of intestinal inflammation and have diagnostic imaging or surgical evidence of short gut syndrome if affected by the syndrome or has an ileostomy or colostomy; OR</w:t>
            </w:r>
            <w:r w:rsidRPr="006D52A9">
              <w:rPr>
                <w:rFonts w:eastAsia="Calibri"/>
                <w:szCs w:val="16"/>
                <w:lang w:eastAsia="en-US"/>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D52A9">
              <w:rPr>
                <w:rFonts w:eastAsia="Calibri"/>
                <w:szCs w:val="16"/>
                <w:lang w:eastAsia="en-US"/>
              </w:rPr>
              <w:br/>
              <w:t>Patient must have evidence of intestinal inflammation; OR</w:t>
            </w:r>
            <w:r w:rsidRPr="006D52A9">
              <w:rPr>
                <w:rFonts w:eastAsia="Calibri"/>
                <w:szCs w:val="16"/>
                <w:lang w:eastAsia="en-US"/>
              </w:rPr>
              <w:br/>
              <w:t>Patient must be assessed clinically as being in a high faecal output state; OR</w:t>
            </w:r>
            <w:r w:rsidRPr="006D52A9">
              <w:rPr>
                <w:rFonts w:eastAsia="Calibri"/>
                <w:szCs w:val="16"/>
                <w:lang w:eastAsia="en-US"/>
              </w:rPr>
              <w:br/>
              <w:t>Patient must be assessed clinically as requiring surgery or total parenteral nutrition (TPN) as the next therapeutic option, in the absence of this drug, if affected by short gut syndrome, extensive small intestine disease or is an ostomy patient; AND</w:t>
            </w:r>
            <w:r w:rsidRPr="006D52A9">
              <w:rPr>
                <w:rFonts w:eastAsia="Calibri"/>
                <w:szCs w:val="16"/>
                <w:lang w:eastAsia="en-US"/>
              </w:rPr>
              <w:br/>
              <w:t>The treatment must not exceed a total of 2 doses to be administered at weeks 0 and 8 under this restriction.</w:t>
            </w:r>
            <w:r w:rsidRPr="006D52A9">
              <w:rPr>
                <w:rFonts w:eastAsia="Calibri"/>
                <w:szCs w:val="16"/>
                <w:lang w:eastAsia="en-US"/>
              </w:rPr>
              <w:br/>
            </w:r>
            <w:r w:rsidRPr="006D52A9">
              <w:rPr>
                <w:rFonts w:eastAsia="Calibri"/>
                <w:szCs w:val="16"/>
                <w:lang w:eastAsia="en-US"/>
              </w:rPr>
              <w:lastRenderedPageBreak/>
              <w:t>Patient must be aged 18 years or older.</w:t>
            </w:r>
            <w:r w:rsidRPr="006D52A9">
              <w:rPr>
                <w:rFonts w:eastAsia="Calibri"/>
                <w:szCs w:val="16"/>
                <w:lang w:eastAsia="en-US"/>
              </w:rPr>
              <w:br/>
              <w:t>Applications for authorisation must be made in writing and must include:</w:t>
            </w:r>
            <w:r w:rsidRPr="006D52A9">
              <w:rPr>
                <w:rFonts w:eastAsia="Calibri"/>
                <w:szCs w:val="16"/>
                <w:lang w:eastAsia="en-US"/>
              </w:rPr>
              <w:br/>
              <w:t>(a) two completed authority prescription forms; and</w:t>
            </w:r>
            <w:r w:rsidRPr="006D52A9">
              <w:rPr>
                <w:rFonts w:eastAsia="Calibri"/>
                <w:szCs w:val="16"/>
                <w:lang w:eastAsia="en-US"/>
              </w:rPr>
              <w:br/>
              <w:t xml:space="preserve">(b) a completed Crohn Disease PBS Authority Application </w:t>
            </w:r>
            <w:r w:rsidR="0026100E">
              <w:rPr>
                <w:rFonts w:eastAsia="Calibri"/>
                <w:szCs w:val="16"/>
                <w:lang w:eastAsia="en-US"/>
              </w:rPr>
              <w:noBreakHyphen/>
            </w:r>
            <w:r w:rsidRPr="006D52A9">
              <w:rPr>
                <w:rFonts w:eastAsia="Calibri"/>
                <w:szCs w:val="16"/>
                <w:lang w:eastAsia="en-US"/>
              </w:rPr>
              <w:t xml:space="preserve"> Supporting Information Form which includes the following:</w:t>
            </w:r>
            <w:r w:rsidRPr="006D52A9">
              <w:rPr>
                <w:rFonts w:eastAsia="Calibri"/>
                <w:szCs w:val="16"/>
                <w:lang w:eastAsia="en-US"/>
              </w:rPr>
              <w:br/>
              <w:t>(i) the completed current Crohn Disease Activity Index (CDAI) calculation sheet including the date of assessment of the patient’s condition if relevant; and</w:t>
            </w:r>
            <w:r w:rsidRPr="006D52A9">
              <w:rPr>
                <w:rFonts w:eastAsia="Calibri"/>
                <w:szCs w:val="16"/>
                <w:lang w:eastAsia="en-US"/>
              </w:rPr>
              <w:br/>
              <w:t>(ii) the reports and dates of the pathology or diagnostic imaging test(s) nominated as the response criterion, if relevant; and</w:t>
            </w:r>
            <w:r w:rsidRPr="006D52A9">
              <w:rPr>
                <w:rFonts w:eastAsia="Calibri"/>
                <w:szCs w:val="16"/>
                <w:lang w:eastAsia="en-US"/>
              </w:rPr>
              <w:br/>
              <w:t>(iii) the date of the most recent clinical assessment.</w:t>
            </w:r>
            <w:r w:rsidRPr="006D52A9">
              <w:rPr>
                <w:rFonts w:eastAsia="Calibri"/>
                <w:szCs w:val="16"/>
                <w:lang w:eastAsia="en-US"/>
              </w:rPr>
              <w:br/>
              <w:t>Evidence of intestinal inflammation includes:</w:t>
            </w:r>
            <w:r w:rsidRPr="006D52A9">
              <w:rPr>
                <w:rFonts w:eastAsia="Calibri"/>
                <w:szCs w:val="16"/>
                <w:lang w:eastAsia="en-US"/>
              </w:rPr>
              <w:br/>
              <w:t>(i) blood: higher than normal platelet count, or, an elevated erythrocyte sedimentation rate (ESR) greater than 25 mm per hour, or, a C</w:t>
            </w:r>
            <w:r w:rsidR="0026100E">
              <w:rPr>
                <w:rFonts w:eastAsia="Calibri"/>
                <w:szCs w:val="16"/>
                <w:lang w:eastAsia="en-US"/>
              </w:rPr>
              <w:noBreakHyphen/>
            </w:r>
            <w:r w:rsidRPr="006D52A9">
              <w:rPr>
                <w:rFonts w:eastAsia="Calibri"/>
                <w:szCs w:val="16"/>
                <w:lang w:eastAsia="en-US"/>
              </w:rPr>
              <w:t>reactive protein (CRP) level greater than 15 mg per L; or</w:t>
            </w:r>
            <w:r w:rsidRPr="006D52A9">
              <w:rPr>
                <w:rFonts w:eastAsia="Calibri"/>
                <w:szCs w:val="16"/>
                <w:lang w:eastAsia="en-US"/>
              </w:rPr>
              <w:br/>
              <w:t>(ii) faeces: higher than normal lactoferrin or calprotectin level; or</w:t>
            </w:r>
            <w:r w:rsidRPr="006D52A9">
              <w:rPr>
                <w:rFonts w:eastAsia="Calibri"/>
                <w:szCs w:val="16"/>
                <w:lang w:eastAsia="en-US"/>
              </w:rPr>
              <w:br/>
              <w:t>(iii) diagnostic imaging: demonstration of increased uptake of intravenous contrast with thickening of the bowel wall or mesenteric lymphadenopathy or fat streaking in the mesentery.</w:t>
            </w:r>
            <w:r w:rsidRPr="006D52A9">
              <w:rPr>
                <w:rFonts w:eastAsia="Calibri"/>
                <w:szCs w:val="16"/>
                <w:lang w:eastAsia="en-US"/>
              </w:rPr>
              <w:br/>
              <w:t>Two completed authority prescriptions should be submitted with every initial application for this drug. One prescription should be written under S100 (Highly Specialised Drugs) for a weight</w:t>
            </w:r>
            <w:r w:rsidR="0026100E">
              <w:rPr>
                <w:rFonts w:eastAsia="Calibri"/>
                <w:szCs w:val="16"/>
                <w:lang w:eastAsia="en-US"/>
              </w:rPr>
              <w:noBreakHyphen/>
            </w:r>
            <w:r w:rsidRPr="006D52A9">
              <w:rPr>
                <w:rFonts w:eastAsia="Calibri"/>
                <w:szCs w:val="16"/>
                <w:lang w:eastAsia="en-US"/>
              </w:rPr>
              <w:t>based loading dose, containing a quantity of up to 4 vials of 130 mg and no repeats. The second prescription should be written under S85 (General) for 2 vials of 45 mg and no repeats.</w:t>
            </w:r>
            <w:r w:rsidRPr="006D52A9">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D52A9">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D52A9">
              <w:rPr>
                <w:rFonts w:eastAsia="Calibri"/>
                <w:szCs w:val="16"/>
                <w:lang w:eastAsia="en-US"/>
              </w:rPr>
              <w:br/>
              <w:t>Under no circumstances will telephone approvals be granted for initial authority applications, or for treatment that would otherwise extend the initial treatment period.</w:t>
            </w:r>
            <w:r w:rsidRPr="006D52A9">
              <w:rPr>
                <w:rFonts w:eastAsia="Calibr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sidR="0026100E">
              <w:rPr>
                <w:rFonts w:eastAsia="Calibri"/>
                <w:szCs w:val="16"/>
                <w:lang w:eastAsia="en-US"/>
              </w:rPr>
              <w:noBreakHyphen/>
            </w:r>
            <w:r w:rsidRPr="006D52A9">
              <w:rPr>
                <w:rFonts w:eastAsia="Calibri"/>
                <w:szCs w:val="16"/>
                <w:lang w:eastAsia="en-US"/>
              </w:rPr>
              <w:t>subsidised therapy.</w:t>
            </w:r>
            <w:r w:rsidRPr="006D52A9">
              <w:rPr>
                <w:rFonts w:eastAsia="Calibri"/>
                <w:szCs w:val="16"/>
                <w:lang w:eastAsia="en-US"/>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r w:rsidRPr="006D52A9">
              <w:rPr>
                <w:rFonts w:eastAsia="Calibri"/>
                <w:szCs w:val="16"/>
                <w:lang w:eastAsia="en-US"/>
              </w:rPr>
              <w:br/>
            </w:r>
            <w:r w:rsidRPr="006D52A9">
              <w:rPr>
                <w:rFonts w:eastAsia="Calibri"/>
                <w:szCs w:val="16"/>
                <w:lang w:eastAsia="en-US"/>
              </w:rPr>
              <w:lastRenderedPageBreak/>
              <w:t>A patient may re</w:t>
            </w:r>
            <w:r w:rsidR="0026100E">
              <w:rPr>
                <w:rFonts w:eastAsia="Calibri"/>
                <w:szCs w:val="16"/>
                <w:lang w:eastAsia="en-US"/>
              </w:rPr>
              <w:noBreakHyphen/>
            </w:r>
            <w:r w:rsidRPr="006D52A9">
              <w:rPr>
                <w:rFonts w:eastAsia="Calibri"/>
                <w:szCs w:val="16"/>
                <w:lang w:eastAsia="en-US"/>
              </w:rPr>
              <w:t>trial this drug after a minimum of 5 years have elapsed between the date the last prescription for a PBS</w:t>
            </w:r>
            <w:r w:rsidR="0026100E">
              <w:rPr>
                <w:rFonts w:eastAsia="Calibri"/>
                <w:szCs w:val="16"/>
                <w:lang w:eastAsia="en-US"/>
              </w:rPr>
              <w:noBreakHyphen/>
            </w:r>
            <w:r w:rsidRPr="006D52A9">
              <w:rPr>
                <w:rFonts w:eastAsia="Calibri"/>
                <w:szCs w:val="16"/>
                <w:lang w:eastAsia="en-US"/>
              </w:rPr>
              <w:t>subsidised biological medicine was approved in this cycle and the date of the first application under a new cycle under the Initial 3 treatment restriction.</w:t>
            </w:r>
          </w:p>
        </w:tc>
        <w:tc>
          <w:tcPr>
            <w:tcW w:w="938" w:type="pct"/>
            <w:tcBorders>
              <w:bottom w:val="single" w:sz="4" w:space="0" w:color="auto"/>
            </w:tcBorders>
            <w:shd w:val="clear" w:color="auto" w:fill="auto"/>
            <w:tcMar>
              <w:top w:w="28" w:type="dxa"/>
              <w:left w:w="28" w:type="dxa"/>
              <w:right w:w="57" w:type="dxa"/>
            </w:tcMar>
          </w:tcPr>
          <w:p w14:paraId="5E18B1B9"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F51209" w14:paraId="07146522" w14:textId="77777777" w:rsidTr="00FB6D2D">
        <w:tc>
          <w:tcPr>
            <w:tcW w:w="647" w:type="pct"/>
            <w:tcBorders>
              <w:bottom w:val="single" w:sz="4" w:space="0" w:color="auto"/>
            </w:tcBorders>
            <w:shd w:val="clear" w:color="auto" w:fill="auto"/>
            <w:tcMar>
              <w:top w:w="28" w:type="dxa"/>
              <w:left w:w="28" w:type="dxa"/>
            </w:tcMar>
          </w:tcPr>
          <w:p w14:paraId="2CF55845" w14:textId="77777777" w:rsidR="008F47B8" w:rsidRPr="006D52A9" w:rsidDel="00F51209" w:rsidRDefault="008F47B8" w:rsidP="00FB6D2D">
            <w:pPr>
              <w:widowControl w:val="0"/>
              <w:spacing w:line="240" w:lineRule="auto"/>
              <w:rPr>
                <w:rFonts w:ascii="Arial" w:hAnsi="Arial" w:cs="Arial"/>
                <w:sz w:val="16"/>
                <w:szCs w:val="16"/>
              </w:rPr>
            </w:pPr>
          </w:p>
        </w:tc>
        <w:tc>
          <w:tcPr>
            <w:tcW w:w="283" w:type="pct"/>
            <w:tcBorders>
              <w:bottom w:val="single" w:sz="4" w:space="0" w:color="auto"/>
            </w:tcBorders>
            <w:shd w:val="clear" w:color="auto" w:fill="auto"/>
            <w:tcMar>
              <w:top w:w="28" w:type="dxa"/>
              <w:left w:w="28" w:type="dxa"/>
            </w:tcMar>
          </w:tcPr>
          <w:p w14:paraId="5B481A85"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t>C9710</w:t>
            </w:r>
          </w:p>
        </w:tc>
        <w:tc>
          <w:tcPr>
            <w:tcW w:w="265" w:type="pct"/>
            <w:tcBorders>
              <w:bottom w:val="single" w:sz="4" w:space="0" w:color="auto"/>
            </w:tcBorders>
            <w:shd w:val="clear" w:color="auto" w:fill="auto"/>
            <w:tcMar>
              <w:top w:w="28" w:type="dxa"/>
              <w:left w:w="28" w:type="dxa"/>
            </w:tcMar>
          </w:tcPr>
          <w:p w14:paraId="782E36C8" w14:textId="77777777" w:rsidR="008F47B8" w:rsidRPr="006D52A9" w:rsidDel="00F51209" w:rsidRDefault="008F47B8" w:rsidP="00FB6D2D">
            <w:pPr>
              <w:widowControl w:val="0"/>
              <w:spacing w:line="240" w:lineRule="auto"/>
              <w:rPr>
                <w:rFonts w:ascii="Arial" w:hAnsi="Arial" w:cs="Arial"/>
                <w:sz w:val="16"/>
                <w:szCs w:val="16"/>
              </w:rPr>
            </w:pPr>
          </w:p>
        </w:tc>
        <w:tc>
          <w:tcPr>
            <w:tcW w:w="2867" w:type="pct"/>
            <w:tcBorders>
              <w:bottom w:val="single" w:sz="4" w:space="0" w:color="auto"/>
            </w:tcBorders>
            <w:shd w:val="clear" w:color="auto" w:fill="auto"/>
            <w:tcMar>
              <w:top w:w="28" w:type="dxa"/>
              <w:left w:w="28" w:type="dxa"/>
            </w:tcMar>
          </w:tcPr>
          <w:p w14:paraId="1FF88806" w14:textId="77777777" w:rsidR="008F47B8" w:rsidRPr="006D52A9" w:rsidDel="00F51209" w:rsidRDefault="008F47B8" w:rsidP="00FB6D2D">
            <w:pPr>
              <w:pStyle w:val="mps3-data"/>
              <w:spacing w:before="0" w:after="0"/>
              <w:rPr>
                <w:rFonts w:eastAsia="Calibri"/>
                <w:szCs w:val="16"/>
                <w:lang w:eastAsia="en-US"/>
              </w:rPr>
            </w:pPr>
            <w:r w:rsidRPr="006D52A9">
              <w:rPr>
                <w:rFonts w:eastAsia="Calibri"/>
                <w:szCs w:val="16"/>
                <w:lang w:eastAsia="en-US"/>
              </w:rPr>
              <w:t>Severe Crohn disease</w:t>
            </w:r>
            <w:r w:rsidRPr="006D52A9">
              <w:rPr>
                <w:rFonts w:eastAsia="Calibri"/>
                <w:szCs w:val="16"/>
                <w:lang w:eastAsia="en-US"/>
              </w:rPr>
              <w:br/>
              <w:t xml:space="preserve">Initial treatment </w:t>
            </w:r>
            <w:r w:rsidR="0026100E">
              <w:rPr>
                <w:rFonts w:eastAsia="Calibri"/>
                <w:szCs w:val="16"/>
                <w:lang w:eastAsia="en-US"/>
              </w:rPr>
              <w:noBreakHyphen/>
            </w:r>
            <w:r w:rsidRPr="006D52A9">
              <w:rPr>
                <w:rFonts w:eastAsia="Calibri"/>
                <w:szCs w:val="16"/>
                <w:lang w:eastAsia="en-US"/>
              </w:rPr>
              <w:t xml:space="preserve"> Initial 1 (new patient)</w:t>
            </w:r>
            <w:r w:rsidRPr="006D52A9">
              <w:rPr>
                <w:rFonts w:eastAsia="Calibri"/>
                <w:szCs w:val="16"/>
                <w:lang w:eastAsia="en-US"/>
              </w:rPr>
              <w:br/>
              <w:t>Must be treated by a gastroenterologist (code 87); OR</w:t>
            </w:r>
            <w:r w:rsidRPr="006D52A9">
              <w:rPr>
                <w:rFonts w:eastAsia="Calibri"/>
                <w:szCs w:val="16"/>
                <w:lang w:eastAsia="en-US"/>
              </w:rPr>
              <w:br/>
              <w:t>Must be treated by a consultant physician [internal medicine specialising in gastroenterology (code 81)]; OR</w:t>
            </w:r>
            <w:r w:rsidRPr="006D52A9">
              <w:rPr>
                <w:rFonts w:eastAsia="Calibri"/>
                <w:szCs w:val="16"/>
                <w:lang w:eastAsia="en-US"/>
              </w:rPr>
              <w:br/>
              <w:t>Must be treated by a consultant physician [general medicine specialising in gastroenterology (code 82)].</w:t>
            </w:r>
            <w:r w:rsidRPr="006D52A9">
              <w:rPr>
                <w:rFonts w:eastAsia="Calibri"/>
                <w:szCs w:val="16"/>
                <w:lang w:eastAsia="en-US"/>
              </w:rPr>
              <w:br/>
              <w:t>Patient must be aged 18 years or older.</w:t>
            </w:r>
            <w:r w:rsidRPr="006D52A9">
              <w:rPr>
                <w:rFonts w:eastAsia="Calibri"/>
                <w:szCs w:val="16"/>
                <w:lang w:eastAsia="en-US"/>
              </w:rPr>
              <w:br/>
              <w:t>Patient must have confirmed severe Crohn disease, defined by standard clinical, endoscopic and/or imaging features, including histological evidence, with the diagnosis confirmed by a gastroenterologist or a consultant physician; AND</w:t>
            </w:r>
            <w:r w:rsidRPr="006D52A9">
              <w:rPr>
                <w:rFonts w:eastAsia="Calibri"/>
                <w:szCs w:val="16"/>
                <w:lang w:eastAsia="en-US"/>
              </w:rPr>
              <w:br/>
              <w:t>Patient must have failed to achieve an adequate response to prior systemic therapy with a tapered course of steroids, starting at a dose of at least 40 mg prednisolone (or equivalent), over a 6 week period; AND</w:t>
            </w:r>
            <w:r w:rsidRPr="006D52A9">
              <w:rPr>
                <w:rFonts w:eastAsia="Calibri"/>
                <w:szCs w:val="16"/>
                <w:lang w:eastAsia="en-US"/>
              </w:rPr>
              <w:br/>
              <w:t>Patient must have failed to achieve adequate response to prior systemic immunosuppressive therapy with azathioprine at a dose of at least 2 mg per kg daily for 3 or more consecutive months; OR</w:t>
            </w:r>
            <w:r w:rsidRPr="006D52A9">
              <w:rPr>
                <w:rFonts w:eastAsia="Calibri"/>
                <w:szCs w:val="16"/>
                <w:lang w:eastAsia="en-US"/>
              </w:rPr>
              <w:br/>
              <w:t>Patient must have failed to achieve adequate response to prior systemic immunosuppressive therapy with 6</w:t>
            </w:r>
            <w:r w:rsidR="0026100E">
              <w:rPr>
                <w:rFonts w:eastAsia="Calibri"/>
                <w:szCs w:val="16"/>
                <w:lang w:eastAsia="en-US"/>
              </w:rPr>
              <w:noBreakHyphen/>
            </w:r>
            <w:r w:rsidRPr="006D52A9">
              <w:rPr>
                <w:rFonts w:eastAsia="Calibri"/>
                <w:szCs w:val="16"/>
                <w:lang w:eastAsia="en-US"/>
              </w:rPr>
              <w:t>mercaptopurine at a dose of at least 1 mg per kg daily for 3 or more consecutive months; OR</w:t>
            </w:r>
            <w:r w:rsidRPr="006D52A9">
              <w:rPr>
                <w:rFonts w:eastAsia="Calibri"/>
                <w:szCs w:val="16"/>
                <w:lang w:eastAsia="en-US"/>
              </w:rPr>
              <w:br/>
              <w:t>Patient must have failed to achieve adequate response to prior systemic immunosuppressive therapy with methotrexate at a dose of at least 15 mg weekly for 3 or more consecutive months; AND</w:t>
            </w:r>
            <w:r w:rsidRPr="006D52A9">
              <w:rPr>
                <w:rFonts w:eastAsia="Calibri"/>
                <w:szCs w:val="16"/>
                <w:lang w:eastAsia="en-US"/>
              </w:rPr>
              <w:br/>
              <w:t>The treatment must not exceed a total of 2 doses to be administered at weeks 0 and 8 under this restriction; AND</w:t>
            </w:r>
            <w:r w:rsidRPr="006D52A9">
              <w:rPr>
                <w:rFonts w:eastAsia="Calibri"/>
                <w:szCs w:val="16"/>
                <w:lang w:eastAsia="en-US"/>
              </w:rPr>
              <w:br/>
              <w:t>Patient must have a Crohn Disease Activity Index (CDAI) Score greater than or equal to 300 as evidence of failure to achieve an adequate response to prior systemic therapy; OR</w:t>
            </w:r>
            <w:r w:rsidRPr="006D52A9">
              <w:rPr>
                <w:rFonts w:eastAsia="Calibri"/>
                <w:szCs w:val="16"/>
                <w:lang w:eastAsia="en-US"/>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D52A9">
              <w:rPr>
                <w:rFonts w:eastAsia="Calibri"/>
                <w:szCs w:val="16"/>
                <w:lang w:eastAsia="en-US"/>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D52A9">
              <w:rPr>
                <w:rFonts w:eastAsia="Calibri"/>
                <w:szCs w:val="16"/>
                <w:lang w:eastAsia="en-US"/>
              </w:rPr>
              <w:br/>
              <w:t>Applications for authorisation must be made in writing and must include:</w:t>
            </w:r>
            <w:r w:rsidRPr="006D52A9">
              <w:rPr>
                <w:rFonts w:eastAsia="Calibri"/>
                <w:szCs w:val="16"/>
                <w:lang w:eastAsia="en-US"/>
              </w:rPr>
              <w:br/>
              <w:t>(a) two completed authority prescription forms; and</w:t>
            </w:r>
            <w:r w:rsidRPr="006D52A9">
              <w:rPr>
                <w:rFonts w:eastAsia="Calibri"/>
                <w:szCs w:val="16"/>
                <w:lang w:eastAsia="en-US"/>
              </w:rPr>
              <w:br/>
              <w:t xml:space="preserve">(b) a completed Crohn Disease PBS Authority Application </w:t>
            </w:r>
            <w:r w:rsidR="0026100E">
              <w:rPr>
                <w:rFonts w:eastAsia="Calibri"/>
                <w:szCs w:val="16"/>
                <w:lang w:eastAsia="en-US"/>
              </w:rPr>
              <w:noBreakHyphen/>
            </w:r>
            <w:r w:rsidRPr="006D52A9">
              <w:rPr>
                <w:rFonts w:eastAsia="Calibri"/>
                <w:szCs w:val="16"/>
                <w:lang w:eastAsia="en-US"/>
              </w:rPr>
              <w:t xml:space="preserve"> Supporting Information Form which includes the following:</w:t>
            </w:r>
            <w:r w:rsidRPr="006D52A9">
              <w:rPr>
                <w:rFonts w:eastAsia="Calibri"/>
                <w:szCs w:val="16"/>
                <w:lang w:eastAsia="en-US"/>
              </w:rPr>
              <w:br/>
              <w:t>(i) the completed current Crohn Disease Activity Index (CDAI) calculation sheet including the date of assessment of the patient’s condition if relevant; and</w:t>
            </w:r>
            <w:r w:rsidRPr="006D52A9">
              <w:rPr>
                <w:rFonts w:eastAsia="Calibri"/>
                <w:szCs w:val="16"/>
                <w:lang w:eastAsia="en-US"/>
              </w:rPr>
              <w:br/>
              <w:t>(ii) details of prior systemic drug therapy [dosage, date of commencement and duration of therapy]; and</w:t>
            </w:r>
            <w:r w:rsidRPr="006D52A9">
              <w:rPr>
                <w:rFonts w:eastAsia="Calibri"/>
                <w:szCs w:val="16"/>
                <w:lang w:eastAsia="en-US"/>
              </w:rPr>
              <w:br/>
              <w:t xml:space="preserve">(iii) the reports and dates of the pathology or diagnostic imaging test(s) nominated as the response </w:t>
            </w:r>
            <w:r w:rsidRPr="006D52A9">
              <w:rPr>
                <w:rFonts w:eastAsia="Calibri"/>
                <w:szCs w:val="16"/>
                <w:lang w:eastAsia="en-US"/>
              </w:rPr>
              <w:lastRenderedPageBreak/>
              <w:t>criterion, if relevant; and</w:t>
            </w:r>
            <w:r w:rsidRPr="006D52A9">
              <w:rPr>
                <w:rFonts w:eastAsia="Calibri"/>
                <w:szCs w:val="16"/>
                <w:lang w:eastAsia="en-US"/>
              </w:rPr>
              <w:br/>
              <w:t>(iv) the date of the most recent clinical assessment.</w:t>
            </w:r>
            <w:r w:rsidRPr="006D52A9">
              <w:rPr>
                <w:rFonts w:eastAsia="Calibri"/>
                <w:szCs w:val="16"/>
                <w:lang w:eastAsia="en-US"/>
              </w:rPr>
              <w:br/>
              <w:t>Evidence of failure to achieve an adequate response to prior therapy must include at least one of the following:</w:t>
            </w:r>
            <w:r w:rsidRPr="006D52A9">
              <w:rPr>
                <w:rFonts w:eastAsia="Calibri"/>
                <w:szCs w:val="16"/>
                <w:lang w:eastAsia="en-US"/>
              </w:rPr>
              <w:br/>
              <w:t>(a) patient must have evidence of intestinal inflammation;</w:t>
            </w:r>
            <w:r w:rsidRPr="006D52A9">
              <w:rPr>
                <w:rFonts w:eastAsia="Calibri"/>
                <w:szCs w:val="16"/>
                <w:lang w:eastAsia="en-US"/>
              </w:rPr>
              <w:br/>
              <w:t>(b) patient must be assessed clinically as being in a high faecal output state;</w:t>
            </w:r>
            <w:r w:rsidRPr="006D52A9">
              <w:rPr>
                <w:rFonts w:eastAsia="Calibri"/>
                <w:szCs w:val="16"/>
                <w:lang w:eastAsia="en-US"/>
              </w:rPr>
              <w:br/>
              <w:t>(c) patient must be assessed clinically as requiring surgery or total parenteral nutrition (TPN) as the next therapeutic option, in the absence of this drug, if affected by short gut syndrome, extensive small intestine disease or is an ostomy patient.</w:t>
            </w:r>
            <w:r w:rsidRPr="006D52A9">
              <w:rPr>
                <w:rFonts w:eastAsia="Calibri"/>
                <w:szCs w:val="16"/>
                <w:lang w:eastAsia="en-US"/>
              </w:rPr>
              <w:br/>
              <w:t>Evidence of intestinal inflammation includes:</w:t>
            </w:r>
            <w:r w:rsidRPr="006D52A9">
              <w:rPr>
                <w:rFonts w:eastAsia="Calibri"/>
                <w:szCs w:val="16"/>
                <w:lang w:eastAsia="en-US"/>
              </w:rPr>
              <w:br/>
              <w:t>(i) blood: higher than normal platelet count, or, an elevated erythrocyte sedimentation rate (ESR) greater than 25 mm per hour, or, a C</w:t>
            </w:r>
            <w:r w:rsidR="0026100E">
              <w:rPr>
                <w:rFonts w:eastAsia="Calibri"/>
                <w:szCs w:val="16"/>
                <w:lang w:eastAsia="en-US"/>
              </w:rPr>
              <w:noBreakHyphen/>
            </w:r>
            <w:r w:rsidRPr="006D52A9">
              <w:rPr>
                <w:rFonts w:eastAsia="Calibri"/>
                <w:szCs w:val="16"/>
                <w:lang w:eastAsia="en-US"/>
              </w:rPr>
              <w:t>reactive protein (CRP) level greater than 15 mg per L; or</w:t>
            </w:r>
            <w:r w:rsidRPr="006D52A9">
              <w:rPr>
                <w:rFonts w:eastAsia="Calibri"/>
                <w:szCs w:val="16"/>
                <w:lang w:eastAsia="en-US"/>
              </w:rPr>
              <w:br/>
              <w:t>(ii) faeces: higher than normal lactoferrin or calprotectin level; or</w:t>
            </w:r>
            <w:r w:rsidRPr="006D52A9">
              <w:rPr>
                <w:rFonts w:eastAsia="Calibri"/>
                <w:szCs w:val="16"/>
                <w:lang w:eastAsia="en-US"/>
              </w:rPr>
              <w:br/>
              <w:t>(iii) diagnostic imaging: demonstration of increased uptake of intravenous contrast with thickening of the bowel wall or mesenteric lymphadenopathy or fat streaking in the mesentery.</w:t>
            </w:r>
            <w:r w:rsidRPr="006D52A9">
              <w:rPr>
                <w:rFonts w:eastAsia="Calibri"/>
                <w:szCs w:val="16"/>
                <w:lang w:eastAsia="en-US"/>
              </w:rPr>
              <w:br/>
              <w:t>Two completed authority prescriptions should be submitted with every initial application for this drug. One prescription should be written under S100 (Highly Specialised Drugs) for a weight</w:t>
            </w:r>
            <w:r w:rsidR="0026100E">
              <w:rPr>
                <w:rFonts w:eastAsia="Calibri"/>
                <w:szCs w:val="16"/>
                <w:lang w:eastAsia="en-US"/>
              </w:rPr>
              <w:noBreakHyphen/>
            </w:r>
            <w:r w:rsidRPr="006D52A9">
              <w:rPr>
                <w:rFonts w:eastAsia="Calibri"/>
                <w:szCs w:val="16"/>
                <w:lang w:eastAsia="en-US"/>
              </w:rPr>
              <w:t>based loading dose, containing a quantity of up to 4 vials of 130 mg and no repeats. The second prescription should be written under S85 (General) for 2 vials of 45 mg and no repeats.</w:t>
            </w:r>
            <w:r w:rsidRPr="006D52A9">
              <w:rPr>
                <w:rFonts w:eastAsia="Calibri"/>
                <w:szCs w:val="16"/>
                <w:lang w:eastAsia="en-US"/>
              </w:rPr>
              <w:br/>
              <w:t>A maximum quantity of a weight based loading dose is up to 4 vials with no repeats and the subsequent first dose of 90 mg (2 vials of 45 mg) with no repeats provide for an initial 16 week course of this drug will be authorised.</w:t>
            </w:r>
            <w:r w:rsidRPr="006D52A9">
              <w:rPr>
                <w:rFonts w:eastAsia="Calibri"/>
                <w:szCs w:val="16"/>
                <w:lang w:eastAsia="en-US"/>
              </w:rPr>
              <w:br/>
              <w:t>Where fewer than 6 vials in total are requested at the time of the application, authority approvals for a sufficient number of vials based on the patient’s weight to complete dosing at weeks 0 and 8 may be requested by telephone through the balance of supply restriction.</w:t>
            </w:r>
            <w:r w:rsidRPr="006D52A9">
              <w:rPr>
                <w:rFonts w:eastAsia="Calibri"/>
                <w:szCs w:val="16"/>
                <w:lang w:eastAsia="en-US"/>
              </w:rPr>
              <w:br/>
              <w:t>Under no circumstances will telephone approvals be granted for initial authority applications, or for treatment that would otherwise extend the initial treatment period.</w:t>
            </w:r>
            <w:r w:rsidRPr="006D52A9">
              <w:rPr>
                <w:rFonts w:eastAsia="Calibri"/>
                <w:szCs w:val="16"/>
                <w:lang w:eastAsia="en-US"/>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D52A9">
              <w:rPr>
                <w:rFonts w:eastAsia="Calibri"/>
                <w:szCs w:val="16"/>
                <w:lang w:eastAsia="en-US"/>
              </w:rPr>
              <w:br/>
              <w:t>If treatment with any of the specified prior conventional drugs is contraindicated according to the relevant TGA</w:t>
            </w:r>
            <w:r w:rsidR="0026100E">
              <w:rPr>
                <w:rFonts w:eastAsia="Calibri"/>
                <w:szCs w:val="16"/>
                <w:lang w:eastAsia="en-US"/>
              </w:rPr>
              <w:noBreakHyphen/>
            </w:r>
            <w:r w:rsidRPr="006D52A9">
              <w:rPr>
                <w:rFonts w:eastAsia="Calibri"/>
                <w:szCs w:val="16"/>
                <w:lang w:eastAsia="en-US"/>
              </w:rPr>
              <w:t>approved Product Information, please provide details at the time of application.</w:t>
            </w:r>
            <w:r w:rsidRPr="006D52A9">
              <w:rPr>
                <w:rFonts w:eastAsia="Calibri"/>
                <w:szCs w:val="16"/>
                <w:lang w:eastAsia="en-US"/>
              </w:rPr>
              <w:br/>
              <w:t>If intolerance to treatment develops during the relevant period of use, which is of a severity necessitating permanent treatment withdrawal, details of this toxicity must be provided at the time of application.</w:t>
            </w:r>
            <w:r w:rsidRPr="006D52A9">
              <w:rPr>
                <w:rFonts w:eastAsia="Calibri"/>
                <w:szCs w:val="16"/>
                <w:lang w:eastAsia="en-US"/>
              </w:rPr>
              <w:br/>
              <w:t>Details of the accepted toxicities including severity can be found on the Department of Human Services website.</w:t>
            </w:r>
            <w:r w:rsidRPr="006D52A9">
              <w:rPr>
                <w:rFonts w:eastAsia="Calibri"/>
                <w:szCs w:val="16"/>
                <w:lang w:eastAsia="en-US"/>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sidR="0026100E">
              <w:rPr>
                <w:rFonts w:eastAsia="Calibri"/>
                <w:szCs w:val="16"/>
                <w:lang w:eastAsia="en-US"/>
              </w:rPr>
              <w:noBreakHyphen/>
            </w:r>
            <w:r w:rsidRPr="006D52A9">
              <w:rPr>
                <w:rFonts w:eastAsia="Calibri"/>
                <w:szCs w:val="16"/>
                <w:lang w:eastAsia="en-US"/>
              </w:rPr>
              <w:t>subsidised therapy.</w:t>
            </w:r>
            <w:r w:rsidRPr="006D52A9">
              <w:rPr>
                <w:rFonts w:eastAsia="Calibri"/>
                <w:szCs w:val="16"/>
                <w:lang w:eastAsia="en-US"/>
              </w:rPr>
              <w:br/>
              <w:t xml:space="preserve">An assessment of a patient’s response to an initial course of treatment must be conducted following a minimum of 12 weeks of therapy. An application for the continuing treatment must be accompanied with </w:t>
            </w:r>
            <w:r w:rsidRPr="006D52A9">
              <w:rPr>
                <w:rFonts w:eastAsia="Calibri"/>
                <w:szCs w:val="16"/>
                <w:lang w:eastAsia="en-US"/>
              </w:rPr>
              <w:lastRenderedPageBreak/>
              <w:t>the assessment of response and submitted to the Department of Human Services no later than 4 weeks from the date of completion of the most recent course of treatment. This will enable ongoing treatment for those who meet the continuing restriction for PBS</w:t>
            </w:r>
            <w:r w:rsidR="0026100E">
              <w:rPr>
                <w:rFonts w:eastAsia="Calibri"/>
                <w:szCs w:val="16"/>
                <w:lang w:eastAsia="en-US"/>
              </w:rPr>
              <w:noBreakHyphen/>
            </w:r>
            <w:r w:rsidRPr="006D52A9">
              <w:rPr>
                <w:rFonts w:eastAsia="Calibri"/>
                <w:szCs w:val="16"/>
                <w:lang w:eastAsia="en-US"/>
              </w:rPr>
              <w:t>subsidised treatment.</w:t>
            </w:r>
            <w:r w:rsidRPr="006D52A9">
              <w:rPr>
                <w:rFonts w:eastAsia="Calibri"/>
                <w:szCs w:val="16"/>
                <w:lang w:eastAsia="en-US"/>
              </w:rPr>
              <w:br/>
              <w:t>Where the response assessment is not submitted within this timeframe, the patient will be deemed to have failed to respond to treatment with this drug.</w:t>
            </w:r>
            <w:r w:rsidRPr="006D52A9">
              <w:rPr>
                <w:rFonts w:eastAsia="Calibri"/>
                <w:szCs w:val="16"/>
                <w:lang w:eastAsia="en-US"/>
              </w:rPr>
              <w:br/>
              <w:t>If a patient fails to demonstrate a response to treatment with this drug they will not be eligible to receive further PBS</w:t>
            </w:r>
            <w:r w:rsidR="0026100E">
              <w:rPr>
                <w:rFonts w:eastAsia="Calibri"/>
                <w:szCs w:val="16"/>
                <w:lang w:eastAsia="en-US"/>
              </w:rPr>
              <w:noBreakHyphen/>
            </w:r>
            <w:r w:rsidRPr="006D52A9">
              <w:rPr>
                <w:rFonts w:eastAsia="Calibri"/>
                <w:szCs w:val="16"/>
                <w:lang w:eastAsia="en-US"/>
              </w:rPr>
              <w:t>subsidised treatment with this drug for this condition. Serious adverse reaction of a severity resulting in the necessity for permanent withdrawal of treatment is not considered as a treatment failure.</w:t>
            </w:r>
          </w:p>
        </w:tc>
        <w:tc>
          <w:tcPr>
            <w:tcW w:w="938" w:type="pct"/>
            <w:tcBorders>
              <w:bottom w:val="single" w:sz="4" w:space="0" w:color="auto"/>
            </w:tcBorders>
            <w:shd w:val="clear" w:color="auto" w:fill="auto"/>
            <w:tcMar>
              <w:top w:w="28" w:type="dxa"/>
              <w:left w:w="28" w:type="dxa"/>
              <w:right w:w="57" w:type="dxa"/>
            </w:tcMar>
          </w:tcPr>
          <w:p w14:paraId="1C872147" w14:textId="77777777" w:rsidR="008F47B8" w:rsidRPr="006D52A9" w:rsidDel="00F51209" w:rsidRDefault="008F47B8" w:rsidP="00FB6D2D">
            <w:pPr>
              <w:widowControl w:val="0"/>
              <w:spacing w:line="240" w:lineRule="auto"/>
              <w:rPr>
                <w:rFonts w:ascii="Arial" w:hAnsi="Arial" w:cs="Arial"/>
                <w:sz w:val="16"/>
                <w:szCs w:val="16"/>
              </w:rPr>
            </w:pPr>
            <w:r w:rsidRPr="006D52A9">
              <w:rPr>
                <w:rFonts w:ascii="Arial" w:hAnsi="Arial" w:cs="Arial"/>
                <w:sz w:val="16"/>
                <w:szCs w:val="16"/>
              </w:rPr>
              <w:lastRenderedPageBreak/>
              <w:t>Compliance with Written Authority Required procedures</w:t>
            </w:r>
          </w:p>
        </w:tc>
      </w:tr>
      <w:tr w:rsidR="008F47B8" w:rsidRPr="006D52A9" w:rsidDel="00145E33" w14:paraId="525D35BC" w14:textId="77777777" w:rsidTr="00FB6D2D">
        <w:tc>
          <w:tcPr>
            <w:tcW w:w="647" w:type="pct"/>
            <w:tcMar>
              <w:top w:w="28" w:type="dxa"/>
              <w:left w:w="28" w:type="dxa"/>
            </w:tcMar>
          </w:tcPr>
          <w:p w14:paraId="34786FA4" w14:textId="77777777" w:rsidR="008F47B8" w:rsidRPr="006D52A9" w:rsidDel="00145E33" w:rsidRDefault="008F47B8" w:rsidP="00FB6D2D">
            <w:pPr>
              <w:widowControl w:val="0"/>
              <w:spacing w:line="240" w:lineRule="auto"/>
              <w:rPr>
                <w:rFonts w:ascii="Arial" w:hAnsi="Arial" w:cs="Arial"/>
                <w:sz w:val="16"/>
                <w:szCs w:val="16"/>
              </w:rPr>
            </w:pPr>
            <w:bookmarkStart w:id="261" w:name="CU_596928881"/>
            <w:bookmarkStart w:id="262" w:name="CU_597932740"/>
            <w:bookmarkEnd w:id="261"/>
            <w:bookmarkEnd w:id="262"/>
            <w:r w:rsidRPr="006D52A9">
              <w:rPr>
                <w:rFonts w:ascii="Arial" w:hAnsi="Arial" w:cs="Arial"/>
                <w:sz w:val="16"/>
                <w:szCs w:val="16"/>
              </w:rPr>
              <w:lastRenderedPageBreak/>
              <w:t>Valaciclovir</w:t>
            </w:r>
          </w:p>
        </w:tc>
        <w:tc>
          <w:tcPr>
            <w:tcW w:w="283" w:type="pct"/>
            <w:tcMar>
              <w:top w:w="28" w:type="dxa"/>
              <w:left w:w="28" w:type="dxa"/>
            </w:tcMar>
          </w:tcPr>
          <w:p w14:paraId="0B5FB974" w14:textId="77777777" w:rsidR="008F47B8" w:rsidRPr="006D52A9" w:rsidDel="00145E33" w:rsidRDefault="008F47B8" w:rsidP="00FB6D2D">
            <w:pPr>
              <w:widowControl w:val="0"/>
              <w:spacing w:line="240" w:lineRule="auto"/>
              <w:rPr>
                <w:rFonts w:ascii="Arial" w:hAnsi="Arial" w:cs="Arial"/>
                <w:sz w:val="16"/>
                <w:szCs w:val="16"/>
              </w:rPr>
            </w:pPr>
            <w:r w:rsidRPr="006D52A9">
              <w:rPr>
                <w:rFonts w:ascii="Arial" w:hAnsi="Arial" w:cs="Arial"/>
                <w:sz w:val="16"/>
                <w:szCs w:val="16"/>
              </w:rPr>
              <w:t>C5975</w:t>
            </w:r>
          </w:p>
        </w:tc>
        <w:tc>
          <w:tcPr>
            <w:tcW w:w="265" w:type="pct"/>
            <w:tcMar>
              <w:top w:w="28" w:type="dxa"/>
              <w:left w:w="28" w:type="dxa"/>
            </w:tcMar>
          </w:tcPr>
          <w:p w14:paraId="725A4691" w14:textId="77777777" w:rsidR="008F47B8" w:rsidRPr="006D52A9" w:rsidDel="00145E33"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0C52280F" w14:textId="77777777" w:rsidR="008F47B8" w:rsidRPr="006D52A9" w:rsidDel="00145E33" w:rsidRDefault="008F47B8" w:rsidP="00FB6D2D">
            <w:pPr>
              <w:widowControl w:val="0"/>
              <w:spacing w:line="240" w:lineRule="auto"/>
              <w:rPr>
                <w:rFonts w:ascii="Arial" w:hAnsi="Arial" w:cs="Arial"/>
                <w:sz w:val="16"/>
                <w:szCs w:val="16"/>
              </w:rPr>
            </w:pPr>
            <w:r w:rsidRPr="006D52A9">
              <w:rPr>
                <w:rFonts w:ascii="Arial" w:hAnsi="Arial" w:cs="Arial"/>
                <w:sz w:val="16"/>
                <w:szCs w:val="16"/>
              </w:rPr>
              <w:t>Cytomegalovirus infection and disease</w:t>
            </w:r>
            <w:r w:rsidRPr="006D52A9">
              <w:rPr>
                <w:rFonts w:ascii="Arial" w:hAnsi="Arial" w:cs="Arial"/>
                <w:sz w:val="16"/>
                <w:szCs w:val="16"/>
              </w:rPr>
              <w:br/>
              <w:t>Prophylaxis</w:t>
            </w:r>
            <w:r w:rsidRPr="006D52A9">
              <w:rPr>
                <w:rFonts w:ascii="Arial" w:hAnsi="Arial" w:cs="Arial"/>
                <w:sz w:val="16"/>
                <w:szCs w:val="16"/>
              </w:rPr>
              <w:br/>
              <w:t>Patient must have undergone a renal transplant; AND</w:t>
            </w:r>
            <w:r w:rsidRPr="006D52A9">
              <w:rPr>
                <w:rFonts w:ascii="Arial" w:hAnsi="Arial" w:cs="Arial"/>
                <w:sz w:val="16"/>
                <w:szCs w:val="16"/>
              </w:rPr>
              <w:br/>
              <w:t>Patient must be at risk of cytomegalovirus disease.</w:t>
            </w:r>
          </w:p>
        </w:tc>
        <w:tc>
          <w:tcPr>
            <w:tcW w:w="938" w:type="pct"/>
            <w:tcMar>
              <w:top w:w="28" w:type="dxa"/>
              <w:left w:w="28" w:type="dxa"/>
              <w:right w:w="57" w:type="dxa"/>
            </w:tcMar>
          </w:tcPr>
          <w:p w14:paraId="46D772D5" w14:textId="77777777" w:rsidR="008F47B8" w:rsidRPr="006D52A9" w:rsidDel="00145E33"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5975</w:t>
            </w:r>
          </w:p>
        </w:tc>
      </w:tr>
      <w:tr w:rsidR="008F47B8" w:rsidRPr="006D52A9" w:rsidDel="00145E33" w14:paraId="696F7226" w14:textId="77777777" w:rsidTr="00FB6D2D">
        <w:tc>
          <w:tcPr>
            <w:tcW w:w="647" w:type="pct"/>
            <w:tcMar>
              <w:top w:w="28" w:type="dxa"/>
              <w:left w:w="28" w:type="dxa"/>
            </w:tcMar>
          </w:tcPr>
          <w:p w14:paraId="5CE35DC3" w14:textId="77777777" w:rsidR="008F47B8" w:rsidRPr="006D52A9"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1990F455"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C9267</w:t>
            </w:r>
          </w:p>
        </w:tc>
        <w:tc>
          <w:tcPr>
            <w:tcW w:w="265" w:type="pct"/>
            <w:tcMar>
              <w:top w:w="28" w:type="dxa"/>
              <w:left w:w="28" w:type="dxa"/>
            </w:tcMar>
          </w:tcPr>
          <w:p w14:paraId="68FA2955" w14:textId="77777777" w:rsidR="008F47B8" w:rsidRPr="006D52A9" w:rsidDel="00145E33"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60109484"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Cytomegalovirus infection and disease</w:t>
            </w:r>
            <w:r w:rsidRPr="006D52A9">
              <w:rPr>
                <w:szCs w:val="16"/>
              </w:rPr>
              <w:br/>
            </w:r>
            <w:r w:rsidRPr="006D52A9">
              <w:rPr>
                <w:rFonts w:ascii="Arial" w:hAnsi="Arial" w:cs="Arial"/>
                <w:sz w:val="16"/>
                <w:szCs w:val="16"/>
              </w:rPr>
              <w:t>Prophylaxis</w:t>
            </w:r>
            <w:r w:rsidRPr="006D52A9">
              <w:rPr>
                <w:szCs w:val="16"/>
              </w:rPr>
              <w:br/>
            </w:r>
            <w:r w:rsidRPr="006D52A9">
              <w:rPr>
                <w:rFonts w:ascii="Arial" w:hAnsi="Arial" w:cs="Arial"/>
                <w:sz w:val="16"/>
                <w:szCs w:val="16"/>
              </w:rPr>
              <w:t>Patient must have undergone a renal transplant; AND</w:t>
            </w:r>
            <w:r w:rsidRPr="006D52A9">
              <w:rPr>
                <w:szCs w:val="16"/>
              </w:rPr>
              <w:br/>
            </w:r>
            <w:r w:rsidRPr="006D52A9">
              <w:rPr>
                <w:rFonts w:ascii="Arial" w:hAnsi="Arial" w:cs="Arial"/>
                <w:sz w:val="16"/>
                <w:szCs w:val="16"/>
              </w:rPr>
              <w:t>Patient must be at risk of cytomegalovirus disease.</w:t>
            </w:r>
          </w:p>
        </w:tc>
        <w:tc>
          <w:tcPr>
            <w:tcW w:w="938" w:type="pct"/>
            <w:tcMar>
              <w:top w:w="28" w:type="dxa"/>
              <w:left w:w="28" w:type="dxa"/>
              <w:right w:w="57" w:type="dxa"/>
            </w:tcMar>
          </w:tcPr>
          <w:p w14:paraId="771E88B5"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9267</w:t>
            </w:r>
          </w:p>
        </w:tc>
      </w:tr>
      <w:tr w:rsidR="008F47B8" w:rsidRPr="006D52A9" w:rsidDel="00EF799C" w14:paraId="127992B5" w14:textId="77777777" w:rsidTr="00FB6D2D">
        <w:tc>
          <w:tcPr>
            <w:tcW w:w="647" w:type="pct"/>
            <w:tcMar>
              <w:top w:w="28" w:type="dxa"/>
              <w:left w:w="28" w:type="dxa"/>
            </w:tcMar>
          </w:tcPr>
          <w:p w14:paraId="737B194F" w14:textId="77777777" w:rsidR="008F47B8" w:rsidRPr="006D52A9" w:rsidDel="00EF799C" w:rsidRDefault="008F47B8" w:rsidP="00FB6D2D">
            <w:pPr>
              <w:widowControl w:val="0"/>
              <w:spacing w:line="240" w:lineRule="auto"/>
              <w:rPr>
                <w:rFonts w:ascii="Arial" w:hAnsi="Arial" w:cs="Arial"/>
                <w:sz w:val="16"/>
                <w:szCs w:val="16"/>
              </w:rPr>
            </w:pPr>
            <w:bookmarkStart w:id="263" w:name="CU_602943903"/>
            <w:bookmarkEnd w:id="263"/>
            <w:r w:rsidRPr="006D52A9">
              <w:rPr>
                <w:rFonts w:ascii="Arial" w:hAnsi="Arial" w:cs="Arial"/>
                <w:sz w:val="16"/>
                <w:szCs w:val="16"/>
              </w:rPr>
              <w:t>Valganciclovir</w:t>
            </w:r>
          </w:p>
        </w:tc>
        <w:tc>
          <w:tcPr>
            <w:tcW w:w="283" w:type="pct"/>
            <w:tcMar>
              <w:top w:w="28" w:type="dxa"/>
              <w:left w:w="28" w:type="dxa"/>
            </w:tcMar>
          </w:tcPr>
          <w:p w14:paraId="5486CF0E"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C4980 </w:t>
            </w:r>
          </w:p>
        </w:tc>
        <w:tc>
          <w:tcPr>
            <w:tcW w:w="265" w:type="pct"/>
            <w:tcMar>
              <w:top w:w="28" w:type="dxa"/>
              <w:left w:w="28" w:type="dxa"/>
            </w:tcMar>
          </w:tcPr>
          <w:p w14:paraId="52C22088" w14:textId="77777777" w:rsidR="008F47B8" w:rsidRPr="006D52A9" w:rsidDel="00EF799C"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7C66D014"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Cytomegalovirus retinitis</w:t>
            </w:r>
            <w:r w:rsidRPr="006D52A9">
              <w:rPr>
                <w:rFonts w:ascii="Arial" w:hAnsi="Arial" w:cs="Arial"/>
                <w:sz w:val="16"/>
                <w:szCs w:val="16"/>
              </w:rPr>
              <w:br/>
              <w:t>Patient must have HIV infection.</w:t>
            </w:r>
          </w:p>
        </w:tc>
        <w:tc>
          <w:tcPr>
            <w:tcW w:w="938" w:type="pct"/>
            <w:tcMar>
              <w:top w:w="28" w:type="dxa"/>
              <w:left w:w="28" w:type="dxa"/>
              <w:right w:w="57" w:type="dxa"/>
            </w:tcMar>
          </w:tcPr>
          <w:p w14:paraId="0F4984D5"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4980</w:t>
            </w:r>
          </w:p>
        </w:tc>
      </w:tr>
      <w:tr w:rsidR="008F47B8" w:rsidRPr="006D52A9" w:rsidDel="00EF799C" w14:paraId="1AA4AF32" w14:textId="77777777" w:rsidTr="00FB6D2D">
        <w:tc>
          <w:tcPr>
            <w:tcW w:w="647" w:type="pct"/>
            <w:tcMar>
              <w:top w:w="28" w:type="dxa"/>
              <w:left w:w="28" w:type="dxa"/>
            </w:tcMar>
          </w:tcPr>
          <w:p w14:paraId="5CFDED7D" w14:textId="77777777" w:rsidR="008F47B8" w:rsidRPr="006D52A9" w:rsidDel="00EF799C"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148CB60B"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C4989</w:t>
            </w:r>
          </w:p>
        </w:tc>
        <w:tc>
          <w:tcPr>
            <w:tcW w:w="265" w:type="pct"/>
            <w:tcMar>
              <w:top w:w="28" w:type="dxa"/>
              <w:left w:w="28" w:type="dxa"/>
            </w:tcMar>
          </w:tcPr>
          <w:p w14:paraId="75309178" w14:textId="77777777" w:rsidR="008F47B8" w:rsidRPr="006D52A9" w:rsidDel="00EF799C"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6349A1C0"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Cytomegalovirus infection and disease</w:t>
            </w:r>
            <w:r w:rsidRPr="006D52A9">
              <w:rPr>
                <w:rFonts w:ascii="Arial" w:hAnsi="Arial" w:cs="Arial"/>
                <w:sz w:val="16"/>
                <w:szCs w:val="16"/>
              </w:rPr>
              <w:br/>
              <w:t>Prophylaxis</w:t>
            </w:r>
            <w:r w:rsidRPr="006D52A9">
              <w:rPr>
                <w:rFonts w:ascii="Arial" w:hAnsi="Arial" w:cs="Arial"/>
                <w:sz w:val="16"/>
                <w:szCs w:val="16"/>
              </w:rPr>
              <w:br/>
              <w:t>Patient must be a solid organ transplant recipient at risk of cytomegalovirus disease.</w:t>
            </w:r>
          </w:p>
        </w:tc>
        <w:tc>
          <w:tcPr>
            <w:tcW w:w="938" w:type="pct"/>
            <w:tcMar>
              <w:top w:w="28" w:type="dxa"/>
              <w:left w:w="28" w:type="dxa"/>
              <w:right w:w="57" w:type="dxa"/>
            </w:tcMar>
          </w:tcPr>
          <w:p w14:paraId="1ACF3804"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4989</w:t>
            </w:r>
          </w:p>
        </w:tc>
      </w:tr>
      <w:tr w:rsidR="008F47B8" w:rsidRPr="006D52A9" w:rsidDel="00EF799C" w14:paraId="41A958A6" w14:textId="77777777" w:rsidTr="00FB6D2D">
        <w:tc>
          <w:tcPr>
            <w:tcW w:w="647" w:type="pct"/>
            <w:tcMar>
              <w:top w:w="28" w:type="dxa"/>
              <w:left w:w="28" w:type="dxa"/>
            </w:tcMar>
          </w:tcPr>
          <w:p w14:paraId="3AE1DE6A" w14:textId="77777777" w:rsidR="008F47B8" w:rsidRPr="006D52A9" w:rsidDel="00EF799C"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061E6CC4"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C9316</w:t>
            </w:r>
          </w:p>
        </w:tc>
        <w:tc>
          <w:tcPr>
            <w:tcW w:w="265" w:type="pct"/>
            <w:tcMar>
              <w:top w:w="28" w:type="dxa"/>
              <w:left w:w="28" w:type="dxa"/>
            </w:tcMar>
          </w:tcPr>
          <w:p w14:paraId="583F5007" w14:textId="77777777" w:rsidR="008F47B8" w:rsidRPr="006D52A9" w:rsidDel="00EF799C"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0FEDF88F"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Cytomegalovirus infection and disease</w:t>
            </w:r>
            <w:r w:rsidRPr="006D52A9">
              <w:rPr>
                <w:szCs w:val="16"/>
              </w:rPr>
              <w:br/>
            </w:r>
            <w:r w:rsidRPr="006D52A9">
              <w:rPr>
                <w:rFonts w:ascii="Arial" w:hAnsi="Arial" w:cs="Arial"/>
                <w:sz w:val="16"/>
                <w:szCs w:val="16"/>
              </w:rPr>
              <w:t>Prophylaxis</w:t>
            </w:r>
            <w:r w:rsidRPr="006D52A9">
              <w:rPr>
                <w:szCs w:val="16"/>
              </w:rPr>
              <w:br/>
            </w:r>
            <w:r w:rsidRPr="006D52A9">
              <w:rPr>
                <w:rFonts w:ascii="Arial" w:hAnsi="Arial" w:cs="Arial"/>
                <w:sz w:val="16"/>
                <w:szCs w:val="16"/>
              </w:rPr>
              <w:t>Patient must be a solid organ transplant recipient at risk of cytomegalovirus disease.</w:t>
            </w:r>
          </w:p>
        </w:tc>
        <w:tc>
          <w:tcPr>
            <w:tcW w:w="938" w:type="pct"/>
            <w:tcMar>
              <w:top w:w="28" w:type="dxa"/>
              <w:left w:w="28" w:type="dxa"/>
              <w:right w:w="57" w:type="dxa"/>
            </w:tcMar>
          </w:tcPr>
          <w:p w14:paraId="37653B86"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9316</w:t>
            </w:r>
          </w:p>
        </w:tc>
      </w:tr>
      <w:tr w:rsidR="008F47B8" w:rsidRPr="006D52A9" w:rsidDel="00891EA4" w14:paraId="032D7033" w14:textId="77777777" w:rsidTr="00FB6D2D">
        <w:tc>
          <w:tcPr>
            <w:tcW w:w="647" w:type="pct"/>
            <w:tcMar>
              <w:top w:w="28" w:type="dxa"/>
              <w:left w:w="28" w:type="dxa"/>
            </w:tcMar>
          </w:tcPr>
          <w:p w14:paraId="18BAB166" w14:textId="77777777" w:rsidR="008F47B8" w:rsidRPr="006D52A9" w:rsidDel="00891EA4" w:rsidRDefault="008F47B8" w:rsidP="00FB6D2D">
            <w:pPr>
              <w:pStyle w:val="mps3-data"/>
              <w:spacing w:before="0"/>
              <w:rPr>
                <w:szCs w:val="16"/>
              </w:rPr>
            </w:pPr>
            <w:r w:rsidRPr="006D52A9">
              <w:rPr>
                <w:szCs w:val="16"/>
              </w:rPr>
              <w:t>Vedolizumab</w:t>
            </w:r>
          </w:p>
        </w:tc>
        <w:tc>
          <w:tcPr>
            <w:tcW w:w="283" w:type="pct"/>
            <w:tcMar>
              <w:top w:w="28" w:type="dxa"/>
              <w:left w:w="28" w:type="dxa"/>
            </w:tcMar>
          </w:tcPr>
          <w:p w14:paraId="4D344868"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C9682</w:t>
            </w:r>
          </w:p>
        </w:tc>
        <w:tc>
          <w:tcPr>
            <w:tcW w:w="265" w:type="pct"/>
            <w:tcMar>
              <w:top w:w="28" w:type="dxa"/>
              <w:left w:w="28" w:type="dxa"/>
            </w:tcMar>
          </w:tcPr>
          <w:p w14:paraId="69CA9A04"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1C837C4C"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Moderate to severe ulcerative colitis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(recommencement of treatment after a break in biological medicine of more than 5 years)</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had a break in treatment of 5 years or more from the most recently approved 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r>
            <w:r w:rsidRPr="006D52A9">
              <w:rPr>
                <w:rFonts w:ascii="Arial" w:hAnsi="Arial" w:cs="Arial"/>
                <w:sz w:val="16"/>
                <w:szCs w:val="16"/>
              </w:rPr>
              <w:lastRenderedPageBreak/>
              <w:t>Patient must have a Mayo clinic score greater than or equal to 6; OR</w:t>
            </w:r>
            <w:r w:rsidRPr="006D52A9">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Application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Ulcerative Colitis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Mayo clinic or partial Mayo clinic calculation sheet including the date of assessment of the patient’s condition; and</w:t>
            </w:r>
            <w:r w:rsidRPr="006D52A9">
              <w:rPr>
                <w:rFonts w:ascii="Arial" w:hAnsi="Arial" w:cs="Arial"/>
                <w:sz w:val="16"/>
                <w:szCs w:val="16"/>
              </w:rPr>
              <w:br/>
              <w:t>(ii) the details of prior biological medicine treatment including the details of date and duration of treatment.</w:t>
            </w:r>
            <w:r w:rsidRPr="006D52A9">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All tests and assessments should be performed preferably whilst still on treatment, but no longer than 4 weeks following cessation of the most recent prior conventional treatment.</w:t>
            </w:r>
            <w:r w:rsidRPr="006D52A9">
              <w:rPr>
                <w:rFonts w:ascii="Arial" w:hAnsi="Arial" w:cs="Arial"/>
                <w:sz w:val="16"/>
                <w:szCs w:val="16"/>
              </w:rPr>
              <w:br/>
              <w:t>The most recent Mayo clinic or partial Mayo clinic score must be no more than 4 weeks old at the time of application.</w:t>
            </w:r>
            <w:r w:rsidRPr="006D52A9">
              <w:rPr>
                <w:rFonts w:ascii="Arial" w:hAnsi="Arial" w:cs="Arial"/>
                <w:sz w:val="16"/>
                <w:szCs w:val="16"/>
              </w:rPr>
              <w:b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this condition who wishes to recommence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6D52A9">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r>
            <w:r w:rsidRPr="006D52A9">
              <w:rPr>
                <w:rFonts w:ascii="Arial" w:hAnsi="Arial" w:cs="Arial"/>
                <w:sz w:val="16"/>
                <w:szCs w:val="16"/>
              </w:rPr>
              <w:lastRenderedPageBreak/>
              <w:t>Details of the accepted toxicities including severity can be found on the Department of Human Services website.</w:t>
            </w:r>
          </w:p>
        </w:tc>
        <w:tc>
          <w:tcPr>
            <w:tcW w:w="938" w:type="pct"/>
            <w:tcMar>
              <w:top w:w="28" w:type="dxa"/>
              <w:left w:w="28" w:type="dxa"/>
              <w:right w:w="57" w:type="dxa"/>
            </w:tcMar>
          </w:tcPr>
          <w:p w14:paraId="7B443836"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319E3E01" w14:textId="77777777" w:rsidTr="00FB6D2D">
        <w:tc>
          <w:tcPr>
            <w:tcW w:w="647" w:type="pct"/>
            <w:tcMar>
              <w:top w:w="28" w:type="dxa"/>
              <w:left w:w="28" w:type="dxa"/>
            </w:tcMar>
          </w:tcPr>
          <w:p w14:paraId="0135FC52"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0F1D7437"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C9683</w:t>
            </w:r>
          </w:p>
        </w:tc>
        <w:tc>
          <w:tcPr>
            <w:tcW w:w="265" w:type="pct"/>
            <w:tcMar>
              <w:top w:w="28" w:type="dxa"/>
              <w:left w:w="28" w:type="dxa"/>
            </w:tcMar>
          </w:tcPr>
          <w:p w14:paraId="780022B6"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38408ACC"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Moderate to severe ulcerative colitis</w:t>
            </w:r>
            <w:r w:rsidRPr="006D52A9">
              <w:rPr>
                <w:rFonts w:ascii="Arial" w:hAnsi="Arial" w:cs="Arial"/>
                <w:sz w:val="16"/>
                <w:szCs w:val="16"/>
              </w:rPr>
              <w:br/>
              <w:t>Continuing treatment</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previously received PBS</w:t>
            </w:r>
            <w:r w:rsidR="0026100E">
              <w:rPr>
                <w:rFonts w:ascii="Arial" w:hAnsi="Arial" w:cs="Arial"/>
                <w:sz w:val="16"/>
                <w:szCs w:val="16"/>
              </w:rPr>
              <w:noBreakHyphen/>
            </w:r>
            <w:r w:rsidRPr="006D52A9">
              <w:rPr>
                <w:rFonts w:ascii="Arial" w:hAnsi="Arial" w:cs="Arial"/>
                <w:sz w:val="16"/>
                <w:szCs w:val="16"/>
              </w:rPr>
              <w:t>subsidised treatment with this drug for this condition; AND</w:t>
            </w:r>
            <w:r w:rsidRPr="006D52A9">
              <w:rPr>
                <w:rFonts w:ascii="Arial" w:hAnsi="Arial" w:cs="Arial"/>
                <w:sz w:val="16"/>
                <w:szCs w:val="16"/>
              </w:rPr>
              <w:br/>
              <w:t>Patient must have demonstrated or sustained an adequate response to treatment by having a partial Mayo clinic score less than or equal to 2, with no subscore greater than 1 while receiving treatment with this drug;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Patients who have failed to maintain a partial Mayo clinic score less than or equal to 2, with no subscore greater than 1 with continuing treatment with this drug,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w:t>
            </w:r>
            <w:r w:rsidRPr="006D52A9">
              <w:rPr>
                <w:rFonts w:ascii="Arial" w:hAnsi="Arial" w:cs="Arial"/>
                <w:sz w:val="16"/>
                <w:szCs w:val="16"/>
              </w:rPr>
              <w:br/>
              <w:t>Patients are eligible to receive continuing treatment with this drug in courses of up to 24 weeks providing they continue to sustain the response.</w:t>
            </w:r>
            <w:r w:rsidRPr="006D52A9">
              <w:rPr>
                <w:rFonts w:ascii="Arial" w:hAnsi="Arial" w:cs="Arial"/>
                <w:sz w:val="16"/>
                <w:szCs w:val="16"/>
              </w:rPr>
              <w:br/>
              <w:t>At the time of the authority application, medical practitioners should request the appropriate number of vials, to provide for a single infusion of 300 mg per dose.</w:t>
            </w:r>
            <w:r w:rsidRPr="006D52A9">
              <w:rPr>
                <w:rFonts w:ascii="Arial" w:hAnsi="Arial" w:cs="Arial"/>
                <w:sz w:val="16"/>
                <w:szCs w:val="16"/>
              </w:rPr>
              <w:br/>
              <w:t>Up to a maximum of 2 repeats will be authorised.</w:t>
            </w:r>
            <w:r w:rsidRPr="006D52A9">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14:paraId="1F1988B5"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Compliance with Authority Required procedures</w:t>
            </w:r>
          </w:p>
        </w:tc>
      </w:tr>
      <w:tr w:rsidR="008F47B8" w:rsidRPr="006D52A9" w:rsidDel="00891EA4" w14:paraId="280D86B9" w14:textId="77777777" w:rsidTr="00FB6D2D">
        <w:tc>
          <w:tcPr>
            <w:tcW w:w="647" w:type="pct"/>
            <w:tcMar>
              <w:top w:w="28" w:type="dxa"/>
              <w:left w:w="28" w:type="dxa"/>
            </w:tcMar>
          </w:tcPr>
          <w:p w14:paraId="1EBD7353"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64FDEB27"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C9708</w:t>
            </w:r>
          </w:p>
        </w:tc>
        <w:tc>
          <w:tcPr>
            <w:tcW w:w="265" w:type="pct"/>
            <w:tcMar>
              <w:top w:w="28" w:type="dxa"/>
              <w:left w:w="28" w:type="dxa"/>
            </w:tcMar>
          </w:tcPr>
          <w:p w14:paraId="7C331340"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4E768785"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Severe Crohn disease</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1 (new patient)</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r>
            <w:r w:rsidRPr="006D52A9">
              <w:rPr>
                <w:rFonts w:ascii="Arial" w:hAnsi="Arial" w:cs="Arial"/>
                <w:sz w:val="16"/>
                <w:szCs w:val="16"/>
              </w:rPr>
              <w:lastRenderedPageBreak/>
              <w:t>Patient must be aged 18 years or older.</w:t>
            </w:r>
            <w:r w:rsidRPr="006D52A9">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D52A9">
              <w:rPr>
                <w:rFonts w:ascii="Arial" w:hAnsi="Arial" w:cs="Arial"/>
                <w:sz w:val="16"/>
                <w:szCs w:val="16"/>
              </w:rPr>
              <w:br/>
              <w:t>Patient must have failed to achieve an adequate response to prior systemic therapy with a tapered course of steroids, starting at a dose of at least 40 mg prednisolone (or equivalent), over a 6 week period; AND</w:t>
            </w:r>
            <w:r w:rsidRPr="006D52A9">
              <w:rPr>
                <w:rFonts w:ascii="Arial" w:hAnsi="Arial" w:cs="Arial"/>
                <w:sz w:val="16"/>
                <w:szCs w:val="16"/>
              </w:rPr>
              <w:br/>
              <w:t>Patient must have failed to achieve adequate response to prior systemic immunosuppressive therapy with azathioprine at a dose of at least 2 mg per kg daily for 3 or more consecutive months; OR</w:t>
            </w:r>
            <w:r w:rsidRPr="006D52A9">
              <w:rPr>
                <w:rFonts w:ascii="Arial" w:hAnsi="Arial" w:cs="Arial"/>
                <w:sz w:val="16"/>
                <w:szCs w:val="16"/>
              </w:rPr>
              <w:br/>
              <w:t>Patient must have failed to achieve adequate response to prior systemic immunosuppressive therapy with 6</w:t>
            </w:r>
            <w:r w:rsidR="0026100E">
              <w:rPr>
                <w:rFonts w:ascii="Arial" w:hAnsi="Arial" w:cs="Arial"/>
                <w:sz w:val="16"/>
                <w:szCs w:val="16"/>
              </w:rPr>
              <w:noBreakHyphen/>
            </w:r>
            <w:r w:rsidRPr="006D52A9">
              <w:rPr>
                <w:rFonts w:ascii="Arial" w:hAnsi="Arial" w:cs="Arial"/>
                <w:sz w:val="16"/>
                <w:szCs w:val="16"/>
              </w:rPr>
              <w:t>mercaptopurine at a dose of at least 1 mg per kg daily for 3 or more consecutive months; OR</w:t>
            </w:r>
            <w:r w:rsidRPr="006D52A9">
              <w:rPr>
                <w:rFonts w:ascii="Arial" w:hAnsi="Arial" w:cs="Arial"/>
                <w:sz w:val="16"/>
                <w:szCs w:val="16"/>
              </w:rPr>
              <w:br/>
              <w:t>Patient must have failed to achieve adequate response to prior systemic immunosuppressive therapy with methotrexate at a dose of at least 15 mg weekly for 3 or more consecutive months; AND</w:t>
            </w:r>
            <w:r w:rsidRPr="006D52A9">
              <w:rPr>
                <w:rFonts w:ascii="Arial" w:hAnsi="Arial" w:cs="Arial"/>
                <w:sz w:val="16"/>
                <w:szCs w:val="16"/>
              </w:rPr>
              <w:br/>
              <w:t>The treatment must not exceed a total of 3 doses to be administered at weeks 0, 2 and 6 under this restriction; AND</w:t>
            </w:r>
            <w:r w:rsidRPr="006D52A9">
              <w:rPr>
                <w:rFonts w:ascii="Arial" w:hAnsi="Arial" w:cs="Arial"/>
                <w:sz w:val="16"/>
                <w:szCs w:val="16"/>
              </w:rPr>
              <w:br/>
              <w:t>Patient must be appropriately assessed for the risk of developing progressive multifocal leukoencephalopathy whilst on this treatment; AND</w:t>
            </w:r>
            <w:r w:rsidRPr="006D52A9">
              <w:rPr>
                <w:rFonts w:ascii="Arial" w:hAnsi="Arial" w:cs="Arial"/>
                <w:sz w:val="16"/>
                <w:szCs w:val="16"/>
              </w:rPr>
              <w:br/>
              <w:t>Patient must have a Crohn Disease Activity Index (CDAI) Score greater than or equal to 300 as evidence of failure to achieve an adequate response to prior systemic therapy; OR</w:t>
            </w:r>
            <w:r w:rsidRPr="006D52A9">
              <w:rPr>
                <w:rFonts w:ascii="Arial" w:hAnsi="Arial" w:cs="Arial"/>
                <w:sz w:val="16"/>
                <w:szCs w:val="16"/>
              </w:rPr>
              <w:br/>
              <w:t>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w:t>
            </w:r>
            <w:r w:rsidRPr="006D52A9">
              <w:rPr>
                <w:rFonts w:ascii="Arial" w:hAnsi="Arial" w:cs="Arial"/>
                <w:sz w:val="16"/>
                <w:szCs w:val="16"/>
              </w:rPr>
              <w:br/>
              <w:t>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w:t>
            </w:r>
            <w:r w:rsidRPr="006D52A9">
              <w:rPr>
                <w:rFonts w:ascii="Arial" w:hAnsi="Arial" w:cs="Arial"/>
                <w:sz w:val="16"/>
                <w:szCs w:val="16"/>
              </w:rPr>
              <w:br/>
              <w:t>Applications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Crohn Disease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Crohn Disease Activity Index (CDAI) calculation sheet including the date of assessment of the patient’s condition if relevant; and</w:t>
            </w:r>
            <w:r w:rsidRPr="006D52A9">
              <w:rPr>
                <w:rFonts w:ascii="Arial" w:hAnsi="Arial" w:cs="Arial"/>
                <w:sz w:val="16"/>
                <w:szCs w:val="16"/>
              </w:rPr>
              <w:br/>
              <w:t>(ii) details of prior systemic drug therapy [dosage, date of commencement and duration of therapy]; and</w:t>
            </w:r>
            <w:r w:rsidRPr="006D52A9">
              <w:rPr>
                <w:rFonts w:ascii="Arial" w:hAnsi="Arial" w:cs="Arial"/>
                <w:sz w:val="16"/>
                <w:szCs w:val="16"/>
              </w:rPr>
              <w:br/>
              <w:t>(iii) the reports and dates of the pathology or diagnostic imaging test(s) nominated as the response criterion, if relevant; and</w:t>
            </w:r>
            <w:r w:rsidRPr="006D52A9">
              <w:rPr>
                <w:rFonts w:ascii="Arial" w:hAnsi="Arial" w:cs="Arial"/>
                <w:sz w:val="16"/>
                <w:szCs w:val="16"/>
              </w:rPr>
              <w:br/>
              <w:t>(iv) the date of the most recent clinical assessment.</w:t>
            </w:r>
            <w:r w:rsidRPr="006D52A9">
              <w:rPr>
                <w:rFonts w:ascii="Arial" w:hAnsi="Arial" w:cs="Arial"/>
                <w:sz w:val="16"/>
                <w:szCs w:val="16"/>
              </w:rPr>
              <w:br/>
              <w:t>Evidence of failure to achieve an adequate response to prior therapy must include at least one of the following:</w:t>
            </w:r>
            <w:r w:rsidRPr="006D52A9">
              <w:rPr>
                <w:rFonts w:ascii="Arial" w:hAnsi="Arial" w:cs="Arial"/>
                <w:sz w:val="16"/>
                <w:szCs w:val="16"/>
              </w:rPr>
              <w:br/>
              <w:t>(a) patient must have evidence of intestinal inflammation;</w:t>
            </w:r>
            <w:r w:rsidRPr="006D52A9">
              <w:rPr>
                <w:rFonts w:ascii="Arial" w:hAnsi="Arial" w:cs="Arial"/>
                <w:sz w:val="16"/>
                <w:szCs w:val="16"/>
              </w:rPr>
              <w:br/>
              <w:t>(b) patient must be assessed clinically as being in a high faecal output state;</w:t>
            </w:r>
            <w:r w:rsidRPr="006D52A9">
              <w:rPr>
                <w:rFonts w:ascii="Arial" w:hAnsi="Arial" w:cs="Arial"/>
                <w:sz w:val="16"/>
                <w:szCs w:val="16"/>
              </w:rPr>
              <w:br/>
              <w:t xml:space="preserve">(c) patient must be assessed clinically as requiring surgery or total parenteral nutrition (TPN) as the next therapeutic option, in the absence of this drug, if affected by short gut syndrome, extensive small </w:t>
            </w:r>
            <w:r w:rsidRPr="006D52A9">
              <w:rPr>
                <w:rFonts w:ascii="Arial" w:hAnsi="Arial" w:cs="Arial"/>
                <w:sz w:val="16"/>
                <w:szCs w:val="16"/>
              </w:rPr>
              <w:lastRenderedPageBreak/>
              <w:t>intestine disease or is an ostomy patient.</w:t>
            </w:r>
            <w:r w:rsidRPr="006D52A9">
              <w:rPr>
                <w:rFonts w:ascii="Arial" w:hAnsi="Arial" w:cs="Arial"/>
                <w:sz w:val="16"/>
                <w:szCs w:val="16"/>
              </w:rPr>
              <w:br/>
              <w:t>Evidence of intestinal inflammation includes:</w:t>
            </w:r>
            <w:r w:rsidRPr="006D52A9">
              <w:rPr>
                <w:rFonts w:ascii="Arial" w:hAnsi="Arial" w:cs="Arial"/>
                <w:sz w:val="16"/>
                <w:szCs w:val="16"/>
              </w:rPr>
              <w:br/>
              <w:t>(i) blood: higher than normal platelet count, or, an elevated erythrocyte sedimentation rate (ESR) greater than 25 mm per hour, or, a C</w:t>
            </w:r>
            <w:r w:rsidR="0026100E">
              <w:rPr>
                <w:rFonts w:ascii="Arial" w:hAnsi="Arial" w:cs="Arial"/>
                <w:sz w:val="16"/>
                <w:szCs w:val="16"/>
              </w:rPr>
              <w:noBreakHyphen/>
            </w:r>
            <w:r w:rsidRPr="006D52A9">
              <w:rPr>
                <w:rFonts w:ascii="Arial" w:hAnsi="Arial" w:cs="Arial"/>
                <w:sz w:val="16"/>
                <w:szCs w:val="16"/>
              </w:rPr>
              <w:t>reactive protein (CRP) level greater than 15 mg per L; or</w:t>
            </w:r>
            <w:r w:rsidRPr="006D52A9">
              <w:rPr>
                <w:rFonts w:ascii="Arial" w:hAnsi="Arial" w:cs="Arial"/>
                <w:sz w:val="16"/>
                <w:szCs w:val="16"/>
              </w:rPr>
              <w:br/>
              <w:t>(ii) faeces: higher than normal lactoferrin or calprotectin level; or</w:t>
            </w:r>
            <w:r w:rsidRPr="006D52A9">
              <w:rPr>
                <w:rFonts w:ascii="Arial" w:hAnsi="Arial" w:cs="Arial"/>
                <w:sz w:val="16"/>
                <w:szCs w:val="16"/>
              </w:rPr>
              <w:br/>
              <w:t>(iii) diagnostic imaging: demonstration of increased uptake of intravenous contrast with thickening of the bowel wall or mesenteric lymphadenopathy or fat streaking in the mesentery.</w:t>
            </w:r>
            <w:r w:rsidRPr="006D52A9">
              <w:rPr>
                <w:rFonts w:ascii="Arial" w:hAnsi="Arial" w:cs="Arial"/>
                <w:sz w:val="16"/>
                <w:szCs w:val="16"/>
              </w:rPr>
              <w:b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r w:rsidRPr="006D52A9">
              <w:rPr>
                <w:rFonts w:ascii="Arial" w:hAnsi="Arial" w:cs="Arial"/>
                <w:sz w:val="16"/>
                <w:szCs w:val="16"/>
              </w:rPr>
              <w:br/>
              <w:t>If treatment with any of the specified prior conventional drugs is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please provide details at the time of application.</w:t>
            </w:r>
            <w:r w:rsidRPr="006D52A9">
              <w:rPr>
                <w:rFonts w:ascii="Arial" w:hAnsi="Arial" w:cs="Arial"/>
                <w:sz w:val="16"/>
                <w:szCs w:val="16"/>
              </w:rPr>
              <w:br/>
              <w:t>If intolerance to treatment develops during the relevant period of use, which is of a severity necessitating permanent treatment withdrawal, details of this toxicity must be provided at the time of application.</w:t>
            </w:r>
            <w:r w:rsidRPr="006D52A9">
              <w:rPr>
                <w:rFonts w:ascii="Arial" w:hAnsi="Arial" w:cs="Arial"/>
                <w:sz w:val="16"/>
                <w:szCs w:val="16"/>
              </w:rPr>
              <w:br/>
              <w:t>Details of the accepted toxicities including severity can be found on the Department of Human Services website.</w:t>
            </w:r>
            <w:r w:rsidRPr="006D52A9">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sidR="0026100E">
              <w:rPr>
                <w:rFonts w:ascii="Arial" w:hAnsi="Arial" w:cs="Arial"/>
                <w:sz w:val="16"/>
                <w:szCs w:val="16"/>
              </w:rPr>
              <w:noBreakHyphen/>
            </w:r>
            <w:r w:rsidRPr="006D52A9">
              <w:rPr>
                <w:rFonts w:ascii="Arial" w:hAnsi="Arial" w:cs="Arial"/>
                <w:sz w:val="16"/>
                <w:szCs w:val="16"/>
              </w:rPr>
              <w:t>subsidised therapy.</w:t>
            </w:r>
            <w:r w:rsidRPr="006D52A9">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hAnsi="Arial" w:cs="Arial"/>
                <w:sz w:val="16"/>
                <w:szCs w:val="16"/>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hAnsi="Arial" w:cs="Arial"/>
                <w:sz w:val="16"/>
                <w:szCs w:val="16"/>
              </w:rPr>
              <w:br/>
              <w:t>This assessment, which will be used to determine eligibility for the first continuing treatment, must be submitted to the Department of Human Services no later than 1 month from the date of completion of this initial course of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p>
        </w:tc>
        <w:tc>
          <w:tcPr>
            <w:tcW w:w="938" w:type="pct"/>
            <w:tcMar>
              <w:top w:w="28" w:type="dxa"/>
              <w:left w:w="28" w:type="dxa"/>
              <w:right w:w="57" w:type="dxa"/>
            </w:tcMar>
          </w:tcPr>
          <w:p w14:paraId="3439CA2A"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477EC8FD" w14:textId="77777777" w:rsidTr="00FB6D2D">
        <w:tc>
          <w:tcPr>
            <w:tcW w:w="647" w:type="pct"/>
            <w:tcMar>
              <w:top w:w="28" w:type="dxa"/>
              <w:left w:w="28" w:type="dxa"/>
            </w:tcMar>
          </w:tcPr>
          <w:p w14:paraId="29F63C67" w14:textId="77777777" w:rsidR="008F47B8" w:rsidRPr="006D52A9" w:rsidDel="00891EA4" w:rsidRDefault="008F47B8" w:rsidP="00FB6D2D">
            <w:pPr>
              <w:pStyle w:val="mps3-data"/>
              <w:spacing w:before="0"/>
              <w:rPr>
                <w:szCs w:val="16"/>
              </w:rPr>
            </w:pPr>
          </w:p>
        </w:tc>
        <w:tc>
          <w:tcPr>
            <w:tcW w:w="283" w:type="pct"/>
            <w:tcMar>
              <w:top w:w="28" w:type="dxa"/>
              <w:left w:w="28" w:type="dxa"/>
            </w:tcMar>
          </w:tcPr>
          <w:p w14:paraId="6678030C"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C9738</w:t>
            </w:r>
          </w:p>
        </w:tc>
        <w:tc>
          <w:tcPr>
            <w:tcW w:w="265" w:type="pct"/>
            <w:tcMar>
              <w:top w:w="28" w:type="dxa"/>
              <w:left w:w="28" w:type="dxa"/>
            </w:tcMar>
          </w:tcPr>
          <w:p w14:paraId="2519D614" w14:textId="77777777" w:rsidR="008F47B8" w:rsidRPr="006D52A9" w:rsidDel="00891EA4" w:rsidRDefault="008F47B8" w:rsidP="00FB6D2D">
            <w:pPr>
              <w:pStyle w:val="mps3-data"/>
              <w:spacing w:before="0"/>
              <w:rPr>
                <w:szCs w:val="16"/>
              </w:rPr>
            </w:pPr>
          </w:p>
        </w:tc>
        <w:tc>
          <w:tcPr>
            <w:tcW w:w="2867" w:type="pct"/>
            <w:tcMar>
              <w:top w:w="28" w:type="dxa"/>
              <w:left w:w="28" w:type="dxa"/>
            </w:tcMar>
          </w:tcPr>
          <w:p w14:paraId="6B367443"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Moderate to severe ulcerative colitis</w:t>
            </w:r>
            <w:r w:rsidRPr="006D52A9">
              <w:rPr>
                <w:rFonts w:ascii="Arial" w:hAnsi="Arial" w:cs="Arial"/>
                <w:sz w:val="16"/>
                <w:szCs w:val="16"/>
              </w:rPr>
              <w:br/>
              <w:t>Balance of supply</w:t>
            </w:r>
            <w:r w:rsidRPr="006D52A9">
              <w:rPr>
                <w:rFonts w:ascii="Arial" w:hAnsi="Arial" w:cs="Arial"/>
                <w:sz w:val="16"/>
                <w:szCs w:val="16"/>
              </w:rPr>
              <w:br/>
              <w:t>Must be treated by a gastroenterologist (code 87); OR</w:t>
            </w:r>
            <w:r w:rsidRPr="006D52A9">
              <w:rPr>
                <w:rFonts w:ascii="Arial" w:hAnsi="Arial" w:cs="Arial"/>
                <w:sz w:val="16"/>
                <w:szCs w:val="16"/>
              </w:rPr>
              <w:br/>
            </w:r>
            <w:r w:rsidRPr="006D52A9">
              <w:rPr>
                <w:rFonts w:ascii="Arial" w:hAnsi="Arial" w:cs="Arial"/>
                <w:sz w:val="16"/>
                <w:szCs w:val="16"/>
              </w:rPr>
              <w:lastRenderedPageBreak/>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continuing treatment restriction to complete 24 weeks of treatment; AND</w:t>
            </w:r>
            <w:r w:rsidRPr="006D52A9">
              <w:rPr>
                <w:rFonts w:ascii="Arial" w:hAnsi="Arial" w:cs="Arial"/>
                <w:sz w:val="16"/>
                <w:szCs w:val="16"/>
              </w:rPr>
              <w:br/>
              <w:t>The treatment must provide no more than the balance of up to 3 doses therapy available under Initial 1, 2 or 3 treatment; OR</w:t>
            </w:r>
            <w:r w:rsidRPr="006D52A9">
              <w:rPr>
                <w:rFonts w:ascii="Arial" w:hAnsi="Arial" w:cs="Arial"/>
                <w:sz w:val="16"/>
                <w:szCs w:val="16"/>
              </w:rPr>
              <w:br/>
              <w:t>The treatment must provide no more than the balance of up to 24 weeks therapy available under Continuing treatment; AND</w:t>
            </w:r>
            <w:r w:rsidRPr="006D52A9">
              <w:rPr>
                <w:rFonts w:ascii="Arial" w:hAnsi="Arial" w:cs="Arial"/>
                <w:sz w:val="16"/>
                <w:szCs w:val="16"/>
              </w:rPr>
              <w:br/>
              <w:t>Patient must be appropriately assessed for the risk of developing progressive multifocal leukoencephalopathy whilst on this treatment.</w:t>
            </w:r>
          </w:p>
        </w:tc>
        <w:tc>
          <w:tcPr>
            <w:tcW w:w="938" w:type="pct"/>
            <w:tcMar>
              <w:top w:w="28" w:type="dxa"/>
              <w:left w:w="28" w:type="dxa"/>
              <w:right w:w="57" w:type="dxa"/>
            </w:tcMar>
          </w:tcPr>
          <w:p w14:paraId="2317149E"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Authority Required procedures</w:t>
            </w:r>
          </w:p>
        </w:tc>
      </w:tr>
      <w:tr w:rsidR="008F47B8" w:rsidRPr="006D52A9" w:rsidDel="00891EA4" w14:paraId="4F25C080" w14:textId="77777777" w:rsidTr="00FB6D2D">
        <w:tc>
          <w:tcPr>
            <w:tcW w:w="647" w:type="pct"/>
            <w:tcMar>
              <w:top w:w="28" w:type="dxa"/>
              <w:left w:w="28" w:type="dxa"/>
            </w:tcMar>
          </w:tcPr>
          <w:p w14:paraId="65F178B6"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7BB0C00C"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C9739</w:t>
            </w:r>
          </w:p>
        </w:tc>
        <w:tc>
          <w:tcPr>
            <w:tcW w:w="265" w:type="pct"/>
            <w:tcMar>
              <w:top w:w="28" w:type="dxa"/>
              <w:left w:w="28" w:type="dxa"/>
            </w:tcMar>
          </w:tcPr>
          <w:p w14:paraId="46C475B5"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79E48993"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Moderate to severe ulcerative colitis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2 (change or recommencement of treatment after a break in biological medicine of less than 5 years)</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in this treatment cycle; AND</w:t>
            </w:r>
            <w:r w:rsidRPr="006D52A9">
              <w:rPr>
                <w:rFonts w:ascii="Arial" w:hAnsi="Arial" w:cs="Arial"/>
                <w:sz w:val="16"/>
                <w:szCs w:val="16"/>
              </w:rPr>
              <w:br/>
              <w:t>Patient must not have already failed, or ceased to respond to, PBS</w:t>
            </w:r>
            <w:r w:rsidR="0026100E">
              <w:rPr>
                <w:rFonts w:ascii="Arial" w:hAnsi="Arial" w:cs="Arial"/>
                <w:sz w:val="16"/>
                <w:szCs w:val="16"/>
              </w:rPr>
              <w:noBreakHyphen/>
            </w:r>
            <w:r w:rsidRPr="006D52A9">
              <w:rPr>
                <w:rFonts w:ascii="Arial" w:hAnsi="Arial" w:cs="Arial"/>
                <w:sz w:val="16"/>
                <w:szCs w:val="16"/>
              </w:rPr>
              <w:t>subsidised treatment with this drug for this condition during the current treatment cycle;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Application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Ulcerative Colitis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Mayo clinic or partial Mayo clinic calculation sheet including the date of assessment of the patient’s condition if relevant; and</w:t>
            </w:r>
            <w:r w:rsidRPr="006D52A9">
              <w:rPr>
                <w:rFonts w:ascii="Arial" w:hAnsi="Arial" w:cs="Arial"/>
                <w:sz w:val="16"/>
                <w:szCs w:val="16"/>
              </w:rPr>
              <w:br/>
              <w:t>(ii) the details of prior biological medicine treatment including the details of date and duration of treatment.</w:t>
            </w:r>
            <w:r w:rsidRPr="006D52A9">
              <w:rPr>
                <w:rFonts w:ascii="Arial" w:hAnsi="Arial" w:cs="Arial"/>
                <w:sz w:val="16"/>
                <w:szCs w:val="16"/>
              </w:rPr>
              <w:br/>
            </w:r>
            <w:r w:rsidRPr="006D52A9">
              <w:rPr>
                <w:rFonts w:ascii="Arial" w:hAnsi="Arial" w:cs="Arial"/>
                <w:sz w:val="16"/>
                <w:szCs w:val="16"/>
              </w:rPr>
              <w:lastRenderedPageBreak/>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At the time of the authority application, medical practitioners should request the appropriate number of vials, to provide for a single infusion of 300 mg per dose.</w:t>
            </w:r>
            <w:r w:rsidRPr="006D52A9">
              <w:rPr>
                <w:rFonts w:ascii="Arial" w:hAnsi="Arial" w:cs="Arial"/>
                <w:sz w:val="16"/>
                <w:szCs w:val="16"/>
              </w:rPr>
              <w:br/>
              <w:t>Up to a maximum of 2 repeats will be authorised.</w:t>
            </w:r>
            <w:r w:rsidRPr="006D52A9">
              <w:rPr>
                <w:rFonts w:ascii="Arial" w:hAnsi="Arial" w:cs="Arial"/>
                <w:sz w:val="16"/>
                <w:szCs w:val="16"/>
              </w:rPr>
              <w:br/>
              <w:t>Authority approval for sufficient therapy to complete a maximum of 3 initial doses of treatment may be requested by telephone by contacting the Department of Human Services.</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was approved under either Initial 1, Initial 2, Initial 3, or continuing treatment restrictions, an assessment of a patient’s response must have been conducted following a minimum of 12 weeks of therapy for adalimumab and up to 12 weeks after the first dose (6 weeks following the third dose) for golimumab, infliximab and vedolizumab and submitted to the Department of Human Services no later than 4 weeks from the date of completion of treatment.</w:t>
            </w:r>
            <w:r w:rsidRPr="006D52A9">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who fails to demonstrate a response to treatment with this drug under this restriction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in this treatment cycle. 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14:paraId="4F7ED106"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5553F6FD" w14:textId="77777777" w:rsidTr="00FB6D2D">
        <w:tc>
          <w:tcPr>
            <w:tcW w:w="647" w:type="pct"/>
            <w:tcMar>
              <w:top w:w="28" w:type="dxa"/>
              <w:left w:w="28" w:type="dxa"/>
            </w:tcMar>
          </w:tcPr>
          <w:p w14:paraId="7656C8DC" w14:textId="77777777" w:rsidR="008F47B8" w:rsidRPr="006D52A9" w:rsidDel="00891EA4" w:rsidRDefault="008F47B8" w:rsidP="00FB6D2D">
            <w:pPr>
              <w:keepNext/>
              <w:keepLines/>
              <w:widowControl w:val="0"/>
              <w:spacing w:line="240" w:lineRule="auto"/>
              <w:rPr>
                <w:szCs w:val="16"/>
              </w:rPr>
            </w:pPr>
          </w:p>
        </w:tc>
        <w:tc>
          <w:tcPr>
            <w:tcW w:w="283" w:type="pct"/>
            <w:tcMar>
              <w:top w:w="28" w:type="dxa"/>
              <w:left w:w="28" w:type="dxa"/>
            </w:tcMar>
          </w:tcPr>
          <w:p w14:paraId="7A64A25E" w14:textId="77777777" w:rsidR="008F47B8" w:rsidRPr="006D52A9" w:rsidDel="00891EA4" w:rsidRDefault="008F47B8" w:rsidP="00FB6D2D">
            <w:pPr>
              <w:keepNext/>
              <w:keepLines/>
              <w:widowControl w:val="0"/>
              <w:spacing w:line="240" w:lineRule="auto"/>
              <w:rPr>
                <w:szCs w:val="16"/>
              </w:rPr>
            </w:pPr>
            <w:r w:rsidRPr="006D52A9">
              <w:rPr>
                <w:rFonts w:ascii="Arial" w:hAnsi="Arial" w:cs="Arial"/>
                <w:sz w:val="16"/>
                <w:szCs w:val="16"/>
              </w:rPr>
              <w:t>C9771</w:t>
            </w:r>
          </w:p>
        </w:tc>
        <w:tc>
          <w:tcPr>
            <w:tcW w:w="265" w:type="pct"/>
            <w:tcMar>
              <w:top w:w="28" w:type="dxa"/>
              <w:left w:w="28" w:type="dxa"/>
            </w:tcMar>
          </w:tcPr>
          <w:p w14:paraId="01B5F97F" w14:textId="77777777" w:rsidR="008F47B8" w:rsidRPr="006D52A9" w:rsidDel="00891EA4" w:rsidRDefault="008F47B8" w:rsidP="00FB6D2D">
            <w:pPr>
              <w:keepNext/>
              <w:keepLines/>
              <w:widowControl w:val="0"/>
              <w:spacing w:line="240" w:lineRule="auto"/>
              <w:rPr>
                <w:szCs w:val="16"/>
              </w:rPr>
            </w:pPr>
          </w:p>
        </w:tc>
        <w:tc>
          <w:tcPr>
            <w:tcW w:w="2867" w:type="pct"/>
            <w:tcMar>
              <w:top w:w="28" w:type="dxa"/>
              <w:left w:w="28" w:type="dxa"/>
            </w:tcMar>
          </w:tcPr>
          <w:p w14:paraId="3D312EAA" w14:textId="77777777" w:rsidR="008F47B8" w:rsidRPr="006D52A9" w:rsidDel="00891EA4" w:rsidRDefault="008F47B8" w:rsidP="00FB6D2D">
            <w:pPr>
              <w:keepNext/>
              <w:keepLines/>
              <w:widowControl w:val="0"/>
              <w:spacing w:line="240" w:lineRule="auto"/>
              <w:rPr>
                <w:szCs w:val="16"/>
              </w:rPr>
            </w:pPr>
            <w:r w:rsidRPr="006D52A9">
              <w:rPr>
                <w:rFonts w:ascii="Arial" w:hAnsi="Arial" w:cs="Arial"/>
                <w:sz w:val="16"/>
                <w:szCs w:val="16"/>
              </w:rPr>
              <w:t>Severe Crohn disease</w:t>
            </w:r>
            <w:r w:rsidRPr="006D52A9">
              <w:rPr>
                <w:rFonts w:ascii="Arial" w:hAnsi="Arial" w:cs="Arial"/>
                <w:sz w:val="16"/>
                <w:szCs w:val="16"/>
              </w:rPr>
              <w:br/>
              <w:t>Balance of supply</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received insufficient therapy with this drug for this condition under the Initial 1 (new patient)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Initial 2 (change or recommencement of treatment after a break in biological medicine of less than 5 years)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Initial 3 (recommencement of treatment after a break in biological medicine of more than 5 years) restriction to complete the 3 doses (the initial infusion regimen at 0, 2 and 6 weeks); OR</w:t>
            </w:r>
            <w:r w:rsidRPr="006D52A9">
              <w:rPr>
                <w:rFonts w:ascii="Arial" w:hAnsi="Arial" w:cs="Arial"/>
                <w:sz w:val="16"/>
                <w:szCs w:val="16"/>
              </w:rPr>
              <w:br/>
              <w:t>Patient must have received insufficient therapy with this drug for this condition under the continuing treatment restriction to complete 24 weeks of treatment; AND</w:t>
            </w:r>
            <w:r w:rsidRPr="006D52A9">
              <w:rPr>
                <w:rFonts w:ascii="Arial" w:hAnsi="Arial" w:cs="Arial"/>
                <w:sz w:val="16"/>
                <w:szCs w:val="16"/>
              </w:rPr>
              <w:br/>
              <w:t>The treatment must provide no more than the balance of up to 14 weeks therapy available under Initial 1, 2 or 3 treatment; OR</w:t>
            </w:r>
            <w:r w:rsidRPr="006D52A9">
              <w:rPr>
                <w:rFonts w:ascii="Arial" w:hAnsi="Arial" w:cs="Arial"/>
                <w:sz w:val="16"/>
                <w:szCs w:val="16"/>
              </w:rPr>
              <w:br/>
              <w:t>The treatment must provide no more than the balance of up to 24 weeks therapy available under Continuing treatment; AND</w:t>
            </w:r>
            <w:r w:rsidRPr="006D52A9">
              <w:rPr>
                <w:rFonts w:ascii="Arial" w:hAnsi="Arial" w:cs="Arial"/>
                <w:sz w:val="16"/>
                <w:szCs w:val="16"/>
              </w:rPr>
              <w:br/>
              <w:t>Patient must be appropriately assessed for the risk of developing progressive multifocal leukoencephalopathy whilst on this treatment.</w:t>
            </w:r>
          </w:p>
        </w:tc>
        <w:tc>
          <w:tcPr>
            <w:tcW w:w="938" w:type="pct"/>
            <w:tcMar>
              <w:top w:w="28" w:type="dxa"/>
              <w:left w:w="28" w:type="dxa"/>
              <w:right w:w="57" w:type="dxa"/>
            </w:tcMar>
          </w:tcPr>
          <w:p w14:paraId="22D80C13" w14:textId="77777777" w:rsidR="008F47B8" w:rsidRPr="006D52A9" w:rsidDel="00891EA4" w:rsidRDefault="008F47B8" w:rsidP="00FB6D2D">
            <w:pPr>
              <w:keepNext/>
              <w:keepLines/>
              <w:widowControl w:val="0"/>
              <w:spacing w:line="240" w:lineRule="auto"/>
              <w:rPr>
                <w:szCs w:val="16"/>
              </w:rPr>
            </w:pPr>
            <w:r w:rsidRPr="006D52A9">
              <w:rPr>
                <w:rFonts w:ascii="Arial" w:hAnsi="Arial" w:cs="Arial"/>
                <w:sz w:val="16"/>
                <w:szCs w:val="16"/>
              </w:rPr>
              <w:t>Compliance with Authority Required procedures</w:t>
            </w:r>
          </w:p>
        </w:tc>
      </w:tr>
      <w:tr w:rsidR="008F47B8" w:rsidRPr="006D52A9" w:rsidDel="00891EA4" w14:paraId="7506E7E9" w14:textId="77777777" w:rsidTr="00FB6D2D">
        <w:tc>
          <w:tcPr>
            <w:tcW w:w="647" w:type="pct"/>
            <w:tcMar>
              <w:top w:w="28" w:type="dxa"/>
              <w:left w:w="28" w:type="dxa"/>
            </w:tcMar>
          </w:tcPr>
          <w:p w14:paraId="113729B2"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0C4746B7"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C9792</w:t>
            </w:r>
          </w:p>
        </w:tc>
        <w:tc>
          <w:tcPr>
            <w:tcW w:w="265" w:type="pct"/>
            <w:tcMar>
              <w:top w:w="28" w:type="dxa"/>
              <w:left w:w="28" w:type="dxa"/>
            </w:tcMar>
          </w:tcPr>
          <w:p w14:paraId="2570A509"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6D7819D7"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Moderate to severe ulcerative colitis</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1 (new patient)</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failed to achieve an adequate response to a 5</w:t>
            </w:r>
            <w:r w:rsidR="0026100E">
              <w:rPr>
                <w:rFonts w:ascii="Arial" w:hAnsi="Arial" w:cs="Arial"/>
                <w:sz w:val="16"/>
                <w:szCs w:val="16"/>
              </w:rPr>
              <w:noBreakHyphen/>
            </w:r>
            <w:r w:rsidRPr="006D52A9">
              <w:rPr>
                <w:rFonts w:ascii="Arial" w:hAnsi="Arial" w:cs="Arial"/>
                <w:sz w:val="16"/>
                <w:szCs w:val="16"/>
              </w:rPr>
              <w:t>aminosalicylate oral preparation in a standard dose for induction of remission for 3 or more consecutive months or have intolerance necessitating permanent treatment withdrawal; AND</w:t>
            </w:r>
            <w:r w:rsidRPr="006D52A9">
              <w:rPr>
                <w:rFonts w:ascii="Arial" w:hAnsi="Arial" w:cs="Arial"/>
                <w:sz w:val="16"/>
                <w:szCs w:val="16"/>
              </w:rPr>
              <w:br/>
              <w:t>Patient must have failed to achieve an adequate response to azathioprine at a dose of at least 2 mg per kg daily for 3 or more consecutive months or have intolerance necessitating permanent treatment withdrawal; OR</w:t>
            </w:r>
            <w:r w:rsidRPr="006D52A9">
              <w:rPr>
                <w:rFonts w:ascii="Arial" w:hAnsi="Arial" w:cs="Arial"/>
                <w:sz w:val="16"/>
                <w:szCs w:val="16"/>
              </w:rPr>
              <w:br/>
              <w:t>Patient must have failed to achieve an adequate response to 6</w:t>
            </w:r>
            <w:r w:rsidR="0026100E">
              <w:rPr>
                <w:rFonts w:ascii="Arial" w:hAnsi="Arial" w:cs="Arial"/>
                <w:sz w:val="16"/>
                <w:szCs w:val="16"/>
              </w:rPr>
              <w:noBreakHyphen/>
            </w:r>
            <w:r w:rsidRPr="006D52A9">
              <w:rPr>
                <w:rFonts w:ascii="Arial" w:hAnsi="Arial" w:cs="Arial"/>
                <w:sz w:val="16"/>
                <w:szCs w:val="16"/>
              </w:rPr>
              <w:t>mercaptopurine at a dose of at least 1 mg per kg daily for 3 or more consecutive months or have intolerance necessitating permanent treatment withdrawal; OR</w:t>
            </w:r>
            <w:r w:rsidRPr="006D52A9">
              <w:rPr>
                <w:rFonts w:ascii="Arial" w:hAnsi="Arial" w:cs="Arial"/>
                <w:sz w:val="16"/>
                <w:szCs w:val="16"/>
              </w:rPr>
              <w:b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w:t>
            </w:r>
            <w:r w:rsidRPr="006D52A9">
              <w:rPr>
                <w:rFonts w:ascii="Arial" w:hAnsi="Arial" w:cs="Arial"/>
                <w:sz w:val="16"/>
                <w:szCs w:val="16"/>
              </w:rPr>
              <w:br/>
            </w:r>
            <w:r w:rsidRPr="006D52A9">
              <w:rPr>
                <w:rFonts w:ascii="Arial" w:hAnsi="Arial" w:cs="Arial"/>
                <w:sz w:val="16"/>
                <w:szCs w:val="16"/>
              </w:rPr>
              <w:lastRenderedPageBreak/>
              <w:t>Patient must have a Mayo clinic score greater than or equal to 6; OR</w:t>
            </w:r>
            <w:r w:rsidRPr="006D52A9">
              <w:rPr>
                <w:rFonts w:ascii="Arial" w:hAnsi="Arial" w:cs="Arial"/>
                <w:sz w:val="16"/>
                <w:szCs w:val="16"/>
              </w:rPr>
              <w:br/>
              <w:t>Patient must have a partial Mayo clinic score greater than or equal to 6, provided the rectal bleeding and stool frequency subscores are both greater than or equal to 2 (endoscopy subscore is not required for a partial Mayo clinic score);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Application for authorisation of initial treatment must be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Ulcerative Colitis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Mayo clinic or partial Mayo clinic calculation sheet including the date of assessment of the patient’s condition; and</w:t>
            </w:r>
            <w:r w:rsidRPr="006D52A9">
              <w:rPr>
                <w:rFonts w:ascii="Arial" w:hAnsi="Arial" w:cs="Arial"/>
                <w:sz w:val="16"/>
                <w:szCs w:val="16"/>
              </w:rPr>
              <w:br/>
              <w:t>(ii) details of prior systemic drug therapy [dosage, date of commencement and duration of therapy].</w:t>
            </w:r>
            <w:r w:rsidRPr="006D52A9">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All tests and assessments should be performed preferably whilst still on treatment, but no longer than 4 weeks following cessation of the most recent prior conventional treatment.</w:t>
            </w:r>
            <w:r w:rsidRPr="006D52A9">
              <w:rPr>
                <w:rFonts w:ascii="Arial" w:hAnsi="Arial" w:cs="Arial"/>
                <w:sz w:val="16"/>
                <w:szCs w:val="16"/>
              </w:rPr>
              <w:br/>
              <w:t>The most recent Mayo clinic or partial Mayo clinic score must be no more than 4 weeks old at the time of application.</w:t>
            </w:r>
            <w:r w:rsidRPr="006D52A9">
              <w:rPr>
                <w:rFonts w:ascii="Arial" w:hAnsi="Arial" w:cs="Arial"/>
                <w:sz w:val="16"/>
                <w:szCs w:val="16"/>
              </w:rPr>
              <w:br/>
              <w:t>A partial Mayo clinic assessment of the patient’s response to this initial course of treatment must be following a minimum of 12 weeks of treatment for adalimumab and up to 12 weeks after the first dose (6 weeks following the third dose) for golimumab, infliximab and vedolizumab so that there is adequate time for a response to be demonstrated.</w:t>
            </w:r>
            <w:r w:rsidRPr="006D52A9">
              <w:rPr>
                <w:rFonts w:ascii="Arial" w:hAnsi="Arial" w:cs="Arial"/>
                <w:sz w:val="16"/>
                <w:szCs w:val="16"/>
              </w:rPr>
              <w:br/>
              <w:t>If treatment with any of the above</w:t>
            </w:r>
            <w:r w:rsidR="0026100E">
              <w:rPr>
                <w:rFonts w:ascii="Arial" w:hAnsi="Arial" w:cs="Arial"/>
                <w:sz w:val="16"/>
                <w:szCs w:val="16"/>
              </w:rPr>
              <w:noBreakHyphen/>
            </w:r>
            <w:r w:rsidRPr="006D52A9">
              <w:rPr>
                <w:rFonts w:ascii="Arial" w:hAnsi="Arial" w:cs="Arial"/>
                <w:sz w:val="16"/>
                <w:szCs w:val="16"/>
              </w:rPr>
              <w:t>mentioned drugs is contraindicated according to the relevant TGA</w:t>
            </w:r>
            <w:r w:rsidR="0026100E">
              <w:rPr>
                <w:rFonts w:ascii="Arial" w:hAnsi="Arial" w:cs="Arial"/>
                <w:sz w:val="16"/>
                <w:szCs w:val="16"/>
              </w:rPr>
              <w:noBreakHyphen/>
            </w:r>
            <w:r w:rsidRPr="006D52A9">
              <w:rPr>
                <w:rFonts w:ascii="Arial" w:hAnsi="Arial" w:cs="Arial"/>
                <w:sz w:val="16"/>
                <w:szCs w:val="16"/>
              </w:rPr>
              <w:t>approved Product Information, details must be provided at the time of application.</w:t>
            </w:r>
            <w:r w:rsidRPr="006D52A9">
              <w:rPr>
                <w:rFonts w:ascii="Arial" w:hAnsi="Arial" w:cs="Arial"/>
                <w:sz w:val="16"/>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0026100E">
              <w:rPr>
                <w:rFonts w:ascii="Arial" w:hAnsi="Arial" w:cs="Arial"/>
                <w:sz w:val="16"/>
                <w:szCs w:val="16"/>
              </w:rPr>
              <w:noBreakHyphen/>
            </w:r>
            <w:r w:rsidRPr="006D52A9">
              <w:rPr>
                <w:rFonts w:ascii="Arial" w:hAnsi="Arial" w:cs="Arial"/>
                <w:sz w:val="16"/>
                <w:szCs w:val="16"/>
              </w:rPr>
              <w:t>subsidised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Details of the accepted toxicities including severity can be found on the Department of Human Services website.</w:t>
            </w:r>
          </w:p>
        </w:tc>
        <w:tc>
          <w:tcPr>
            <w:tcW w:w="938" w:type="pct"/>
            <w:tcMar>
              <w:top w:w="28" w:type="dxa"/>
              <w:left w:w="28" w:type="dxa"/>
              <w:right w:w="57" w:type="dxa"/>
            </w:tcMar>
          </w:tcPr>
          <w:p w14:paraId="33844990"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082ADFE4" w14:textId="77777777" w:rsidTr="00FB6D2D">
        <w:tc>
          <w:tcPr>
            <w:tcW w:w="647" w:type="pct"/>
            <w:tcMar>
              <w:top w:w="28" w:type="dxa"/>
              <w:left w:w="28" w:type="dxa"/>
            </w:tcMar>
          </w:tcPr>
          <w:p w14:paraId="24FBC43E"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69A435E5"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C9796</w:t>
            </w:r>
          </w:p>
        </w:tc>
        <w:tc>
          <w:tcPr>
            <w:tcW w:w="265" w:type="pct"/>
            <w:tcMar>
              <w:top w:w="28" w:type="dxa"/>
              <w:left w:w="28" w:type="dxa"/>
            </w:tcMar>
          </w:tcPr>
          <w:p w14:paraId="5BB474F2"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34F75130"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Severe Crohn disease</w:t>
            </w:r>
            <w:r w:rsidRPr="006D52A9">
              <w:rPr>
                <w:rFonts w:ascii="Arial" w:hAnsi="Arial" w:cs="Arial"/>
                <w:sz w:val="16"/>
                <w:szCs w:val="16"/>
              </w:rPr>
              <w:br/>
              <w:t>Continuing treatment</w:t>
            </w:r>
            <w:r w:rsidRPr="006D52A9">
              <w:rPr>
                <w:rFonts w:ascii="Arial" w:hAnsi="Arial" w:cs="Arial"/>
                <w:sz w:val="16"/>
                <w:szCs w:val="16"/>
              </w:rPr>
              <w:br/>
              <w:t>Must be treated by a gastroenterologist (code 87); OR</w:t>
            </w:r>
            <w:r w:rsidRPr="006D52A9">
              <w:rPr>
                <w:rFonts w:ascii="Arial" w:hAnsi="Arial" w:cs="Arial"/>
                <w:sz w:val="16"/>
                <w:szCs w:val="16"/>
              </w:rPr>
              <w:br/>
              <w:t xml:space="preserve">Must be treated by a consultant physician [internal medicine specialising in gastroenterology (code 81)]; </w:t>
            </w:r>
            <w:r w:rsidRPr="006D52A9">
              <w:rPr>
                <w:rFonts w:ascii="Arial" w:hAnsi="Arial" w:cs="Arial"/>
                <w:sz w:val="16"/>
                <w:szCs w:val="16"/>
              </w:rPr>
              <w:lastRenderedPageBreak/>
              <w:t>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be aged 18 years or older.</w:t>
            </w:r>
            <w:r w:rsidRPr="006D52A9">
              <w:rPr>
                <w:rFonts w:ascii="Arial" w:hAnsi="Arial" w:cs="Arial"/>
                <w:sz w:val="16"/>
                <w:szCs w:val="16"/>
              </w:rPr>
              <w:br/>
              <w:t>Patient must have received this drug as their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for this condition; AND</w:t>
            </w:r>
            <w:r w:rsidRPr="006D52A9">
              <w:rPr>
                <w:rFonts w:ascii="Arial" w:hAnsi="Arial" w:cs="Arial"/>
                <w:sz w:val="16"/>
                <w:szCs w:val="16"/>
              </w:rPr>
              <w:br/>
              <w:t>Patient must not receive more than 24 weeks of treatment under this restriction; AND</w:t>
            </w:r>
            <w:r w:rsidRPr="006D52A9">
              <w:rPr>
                <w:rFonts w:ascii="Arial" w:hAnsi="Arial" w:cs="Arial"/>
                <w:sz w:val="16"/>
                <w:szCs w:val="16"/>
              </w:rPr>
              <w:br/>
              <w:t>Patient must be appropriately assessed for the risk of developing progressive multifocal leukoencephalopathy whilst on this treatment; AND</w:t>
            </w:r>
            <w:r w:rsidRPr="006D52A9">
              <w:rPr>
                <w:rFonts w:ascii="Arial" w:hAnsi="Arial" w:cs="Arial"/>
                <w:sz w:val="16"/>
                <w:szCs w:val="16"/>
              </w:rPr>
              <w:br/>
              <w:t>Patient must have an adequate response to this drug defined as a reduction in Crohn Disease Activity Index (CDAI) Score to a level no greater than 150 if assessed by CDAI or if affected by extensive small intestine disease; OR</w:t>
            </w:r>
            <w:r w:rsidRPr="006D52A9">
              <w:rPr>
                <w:rFonts w:ascii="Arial" w:hAnsi="Arial" w:cs="Arial"/>
                <w:sz w:val="16"/>
                <w:szCs w:val="16"/>
              </w:rPr>
              <w:br/>
              <w:t>Patient must have an adequate response to this drug defined as (a) an improvement of intestinal inflammation as demonstrated by: (i) blood: normalisation of the platelet count, or an erythrocyte sedimentation rate (ESR) level no greater than 25 mm per hour, or a C</w:t>
            </w:r>
            <w:r w:rsidR="0026100E">
              <w:rPr>
                <w:rFonts w:ascii="Arial" w:hAnsi="Arial" w:cs="Arial"/>
                <w:sz w:val="16"/>
                <w:szCs w:val="16"/>
              </w:rPr>
              <w:noBreakHyphen/>
            </w:r>
            <w:r w:rsidRPr="006D52A9">
              <w:rPr>
                <w:rFonts w:ascii="Arial" w:hAnsi="Arial" w:cs="Arial"/>
                <w:sz w:val="16"/>
                <w:szCs w:val="16"/>
              </w:rPr>
              <w:t>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r w:rsidRPr="006D52A9">
              <w:rPr>
                <w:rFonts w:ascii="Arial" w:hAnsi="Arial" w:cs="Arial"/>
                <w:sz w:val="16"/>
                <w:szCs w:val="16"/>
              </w:rPr>
              <w:br/>
              <w:t>Applications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Crohn Disease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Crohn Disease Activity Index (CDAI) Score calculation sheet including the date of the assessment of the patient’s condition, if relevant; or</w:t>
            </w:r>
            <w:r w:rsidRPr="006D52A9">
              <w:rPr>
                <w:rFonts w:ascii="Arial" w:hAnsi="Arial" w:cs="Arial"/>
                <w:sz w:val="16"/>
                <w:szCs w:val="16"/>
              </w:rPr>
              <w:br/>
              <w:t>(ii) the reports and dates of the pathology test or diagnostic imaging test(s) used to assess response to therapy for patients with short gut syndrome, extensive small intestine disease or an ostomy, if relevant; and</w:t>
            </w:r>
            <w:r w:rsidRPr="006D52A9">
              <w:rPr>
                <w:rFonts w:ascii="Arial" w:hAnsi="Arial" w:cs="Arial"/>
                <w:sz w:val="16"/>
                <w:szCs w:val="16"/>
              </w:rPr>
              <w:br/>
              <w:t>(iii) the date of clinical assessment.</w:t>
            </w:r>
            <w:r w:rsidRPr="006D52A9">
              <w:rPr>
                <w:rFonts w:ascii="Arial" w:hAnsi="Arial" w:cs="Arial"/>
                <w:sz w:val="16"/>
                <w:szCs w:val="16"/>
              </w:rPr>
              <w:br/>
              <w:t>All assessments, pathology tests, and diagnostic imaging studies must be made within 1 month of the date of application.</w:t>
            </w:r>
            <w:r w:rsidRPr="006D52A9">
              <w:rPr>
                <w:rFonts w:ascii="Arial" w:hAnsi="Arial" w:cs="Arial"/>
                <w:sz w:val="16"/>
                <w:szCs w:val="16"/>
              </w:rPr>
              <w:br/>
              <w:t>If the application is the first application for continuing treatment with this drug, an assessment of the patient’s response to the initial course of treatment must be made up to 12 weeks after the first dose so that there is adequate time for a response to be demonstrated.</w:t>
            </w:r>
            <w:r w:rsidRPr="006D52A9">
              <w:rPr>
                <w:rFonts w:ascii="Arial" w:hAnsi="Arial" w:cs="Arial"/>
                <w:sz w:val="16"/>
                <w:szCs w:val="16"/>
              </w:rPr>
              <w:br/>
              <w:t>The assessment of the patient’s response to a continuing course of therapy must be made within the 4 weeks prior to completion of that course and posted to the Department of Human Services no less than 2 weeks prior to the date the next dose is scheduled, in order to ensure continuity of treatment for those patients who meet the continuation criterion.</w:t>
            </w:r>
            <w:r w:rsidRPr="006D52A9">
              <w:rPr>
                <w:rFonts w:ascii="Arial" w:hAnsi="Arial" w:cs="Arial"/>
                <w:sz w:val="16"/>
                <w:szCs w:val="16"/>
              </w:rPr>
              <w:br/>
              <w:t>Where an assessment is not submitted to the Department of Human Services within these timeframes, patients will be deemed to have failed to respond, or to have failed to sustain a response, to treatment with this drug.</w:t>
            </w:r>
            <w:r w:rsidRPr="006D52A9">
              <w:rPr>
                <w:rFonts w:ascii="Arial" w:hAnsi="Arial" w:cs="Arial"/>
                <w:sz w:val="16"/>
                <w:szCs w:val="16"/>
              </w:rPr>
              <w:br/>
              <w:t xml:space="preserve">If a patient fails to demonstrate a response to treatment with this drug they will not be eligible to receive </w:t>
            </w:r>
            <w:r w:rsidRPr="006D52A9">
              <w:rPr>
                <w:rFonts w:ascii="Arial" w:hAnsi="Arial" w:cs="Arial"/>
                <w:sz w:val="16"/>
                <w:szCs w:val="16"/>
              </w:rPr>
              <w:lastRenderedPageBreak/>
              <w:t>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r w:rsidRPr="006D52A9">
              <w:rPr>
                <w:rFonts w:ascii="Arial" w:hAnsi="Arial" w:cs="Arial"/>
                <w:sz w:val="16"/>
                <w:szCs w:val="16"/>
              </w:rPr>
              <w:br/>
              <w:t>Patients are eligible to receive continuing treatment with this drug in courses of up to 24 weeks providing they continue to sustain the response.</w:t>
            </w:r>
            <w:r w:rsidRPr="006D52A9">
              <w:rPr>
                <w:rFonts w:ascii="Arial" w:hAnsi="Arial" w:cs="Arial"/>
                <w:sz w:val="16"/>
                <w:szCs w:val="16"/>
              </w:rPr>
              <w:br/>
              <w:t>At the time of the authority application, medical practitioners should request the appropriate number of vials, to provide sufficient for a single infusion of 300 mg vedolizumab per dose. Up to a maximum of 2 repeats will be authorised.</w:t>
            </w:r>
            <w:r w:rsidRPr="006D52A9">
              <w:rPr>
                <w:rFonts w:ascii="Arial" w:hAnsi="Arial" w:cs="Arial"/>
                <w:sz w:val="16"/>
                <w:szCs w:val="16"/>
              </w:rPr>
              <w:br/>
              <w:t>If fewer than 2 repeats are requested at the time of the application, authority approvals for sufficient repeats to complete 24 weeks treatment may be requested by telephone and authorised through the Balance of Supply treatment phase PBS restriction. Under no circumstances will telephone approvals be granted for continuing authority applications, or for treatment that would otherwise extend the continuing treatment period.</w:t>
            </w:r>
          </w:p>
        </w:tc>
        <w:tc>
          <w:tcPr>
            <w:tcW w:w="938" w:type="pct"/>
            <w:tcMar>
              <w:top w:w="28" w:type="dxa"/>
              <w:left w:w="28" w:type="dxa"/>
              <w:right w:w="57" w:type="dxa"/>
            </w:tcMar>
          </w:tcPr>
          <w:p w14:paraId="0EF28026"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362C315C" w14:textId="77777777" w:rsidTr="00FB6D2D">
        <w:tc>
          <w:tcPr>
            <w:tcW w:w="647" w:type="pct"/>
            <w:tcMar>
              <w:top w:w="28" w:type="dxa"/>
              <w:left w:w="28" w:type="dxa"/>
            </w:tcMar>
          </w:tcPr>
          <w:p w14:paraId="6FDBD623"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5FB2F247"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C9815</w:t>
            </w:r>
          </w:p>
        </w:tc>
        <w:tc>
          <w:tcPr>
            <w:tcW w:w="265" w:type="pct"/>
            <w:tcMar>
              <w:top w:w="28" w:type="dxa"/>
              <w:left w:w="28" w:type="dxa"/>
            </w:tcMar>
          </w:tcPr>
          <w:p w14:paraId="6F05677B"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3D5FC3C8"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Severe Crohn disease</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2 (change or recommencement of treatment after a break in biological medicine of less than 5 years)</w:t>
            </w:r>
            <w:r w:rsidRPr="006D52A9">
              <w:rPr>
                <w:rFonts w:ascii="Arial" w:hAnsi="Arial" w:cs="Arial"/>
                <w:sz w:val="16"/>
                <w:szCs w:val="16"/>
              </w:rPr>
              <w:br/>
              <w:t>Must be treated by a gastroenterologist (code 87); OR</w:t>
            </w:r>
            <w:r w:rsidRPr="006D52A9">
              <w:rPr>
                <w:rFonts w:ascii="Arial" w:hAnsi="Arial" w:cs="Arial"/>
                <w:sz w:val="16"/>
                <w:szCs w:val="16"/>
              </w:rPr>
              <w:br/>
              <w:t>Must be treated by a consultant physician [internal medicine specialising in gastroenterology (code 81)]; 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in this treatment cycle; AND</w:t>
            </w:r>
            <w:r w:rsidRPr="006D52A9">
              <w:rPr>
                <w:rFonts w:ascii="Arial" w:hAnsi="Arial" w:cs="Arial"/>
                <w:sz w:val="16"/>
                <w:szCs w:val="16"/>
              </w:rPr>
              <w:br/>
              <w:t>Patient must not have failed, or ceased to respond to, PBS</w:t>
            </w:r>
            <w:r w:rsidR="0026100E">
              <w:rPr>
                <w:rFonts w:ascii="Arial" w:hAnsi="Arial" w:cs="Arial"/>
                <w:sz w:val="16"/>
                <w:szCs w:val="16"/>
              </w:rPr>
              <w:noBreakHyphen/>
            </w:r>
            <w:r w:rsidRPr="006D52A9">
              <w:rPr>
                <w:rFonts w:ascii="Arial" w:hAnsi="Arial" w:cs="Arial"/>
                <w:sz w:val="16"/>
                <w:szCs w:val="16"/>
              </w:rPr>
              <w:t>subsidised treatment with this drug for this condition during the current treatment cycle; AND</w:t>
            </w:r>
            <w:r w:rsidRPr="006D52A9">
              <w:rPr>
                <w:rFonts w:ascii="Arial" w:hAnsi="Arial" w:cs="Arial"/>
                <w:sz w:val="16"/>
                <w:szCs w:val="16"/>
              </w:rPr>
              <w:br/>
              <w:t>The treatment must not exceed a total of 3 doses to be administered at weeks 0, 2 and 6 under this restriction;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Applications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Crohn Disease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Crohn Disease Activity Index (CDAI) Score calculation sheet including the date of assessment of the patient’s condition if relevant; or</w:t>
            </w:r>
            <w:r w:rsidRPr="006D52A9">
              <w:rPr>
                <w:rFonts w:ascii="Arial" w:hAnsi="Arial" w:cs="Arial"/>
                <w:sz w:val="16"/>
                <w:szCs w:val="16"/>
              </w:rPr>
              <w:br/>
              <w:t>(ii) the reports and dates of the pathology or diagnostic imaging test(s) used to assess response to therapy for patients with short gut syndrome, extensive small intestine disease or an ostomy, if relevant; and</w:t>
            </w:r>
            <w:r w:rsidRPr="006D52A9">
              <w:rPr>
                <w:rFonts w:ascii="Arial" w:hAnsi="Arial" w:cs="Arial"/>
                <w:sz w:val="16"/>
                <w:szCs w:val="16"/>
              </w:rPr>
              <w:br/>
              <w:t>(iii) the date of clinical assessment; and</w:t>
            </w:r>
            <w:r w:rsidRPr="006D52A9">
              <w:rPr>
                <w:rFonts w:ascii="Arial" w:hAnsi="Arial" w:cs="Arial"/>
                <w:sz w:val="16"/>
                <w:szCs w:val="16"/>
              </w:rPr>
              <w:br/>
            </w:r>
            <w:r w:rsidRPr="006D52A9">
              <w:rPr>
                <w:rFonts w:ascii="Arial" w:hAnsi="Arial" w:cs="Arial"/>
                <w:sz w:val="16"/>
                <w:szCs w:val="16"/>
              </w:rPr>
              <w:lastRenderedPageBreak/>
              <w:t>(iv) the details of prior biological medicine treatment including the details of date and duration of treatment.</w:t>
            </w:r>
            <w:r w:rsidRPr="006D52A9">
              <w:rPr>
                <w:rFonts w:ascii="Arial" w:hAnsi="Arial" w:cs="Arial"/>
                <w:sz w:val="16"/>
                <w:szCs w:val="16"/>
              </w:rPr>
              <w:br/>
              <w:t>An application for a patient who has received PBS</w:t>
            </w:r>
            <w:r w:rsidR="0026100E">
              <w:rPr>
                <w:rFonts w:ascii="Arial" w:hAnsi="Arial" w:cs="Arial"/>
                <w:sz w:val="16"/>
                <w:szCs w:val="16"/>
              </w:rPr>
              <w:noBreakHyphen/>
            </w:r>
            <w:r w:rsidRPr="006D52A9">
              <w:rPr>
                <w:rFonts w:ascii="Arial" w:hAnsi="Arial" w:cs="Arial"/>
                <w:sz w:val="16"/>
                <w:szCs w:val="16"/>
              </w:rPr>
              <w:t>subsidised biological medicine treatment for this condition who wishes to change or recommence therapy with this drug, must be accompanied by evidence of a response to the patient’s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within the timeframes specified below.</w:t>
            </w:r>
            <w:r w:rsidRPr="006D52A9">
              <w:rPr>
                <w:rFonts w:ascii="Arial" w:hAnsi="Arial" w:cs="Arial"/>
                <w:sz w:val="16"/>
                <w:szCs w:val="16"/>
              </w:rPr>
              <w:br/>
              <w:t>Where the most recent course of PBS</w:t>
            </w:r>
            <w:r w:rsidR="0026100E">
              <w:rPr>
                <w:rFonts w:ascii="Arial" w:hAnsi="Arial" w:cs="Arial"/>
                <w:sz w:val="16"/>
                <w:szCs w:val="16"/>
              </w:rPr>
              <w:noBreakHyphen/>
            </w:r>
            <w:r w:rsidRPr="006D52A9">
              <w:rPr>
                <w:rFonts w:ascii="Arial" w:hAnsi="Arial" w:cs="Arial"/>
                <w:sz w:val="16"/>
                <w:szCs w:val="16"/>
              </w:rPr>
              <w:t>subsidised biological medicine treatment was approved under an initial treatment restriction, the patient must have been assessed for response to that course following a minimum of 12 weeks of therapy for adalimumab or ustekinumab and up to 12 weeks after the first dose (6 weeks following the third dose) for infliximab and vedolizumab and this assessment must be submitted to the Department of Human Services no later than 4 weeks from the date that course was ceased.</w:t>
            </w:r>
            <w:r w:rsidRPr="006D52A9">
              <w:rPr>
                <w:rFonts w:ascii="Arial" w:hAnsi="Arial" w:cs="Arial"/>
                <w:sz w:val="16"/>
                <w:szCs w:val="16"/>
              </w:rPr>
              <w:br/>
              <w:t>If the response assessment to the previous course of biological medicine treatment is not submitted as detailed above, the patient will be deemed to have failed therapy with that particular course of biological medicine.</w:t>
            </w:r>
            <w:r w:rsidRPr="006D52A9">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hAnsi="Arial" w:cs="Arial"/>
                <w:sz w:val="16"/>
                <w:szCs w:val="16"/>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hAnsi="Arial" w:cs="Arial"/>
                <w:sz w:val="16"/>
                <w:szCs w:val="16"/>
              </w:rPr>
              <w:br/>
              <w:t>This assessment, which will be used to determine eligibility for continuing treatment, must be submitted to the Department of Human Services no later than 1 month from the date of completion of this initial course of treatment.</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14:paraId="1DE6B14A"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891EA4" w14:paraId="110885D4" w14:textId="77777777" w:rsidTr="00FB6D2D">
        <w:tc>
          <w:tcPr>
            <w:tcW w:w="647" w:type="pct"/>
            <w:tcMar>
              <w:top w:w="28" w:type="dxa"/>
              <w:left w:w="28" w:type="dxa"/>
            </w:tcMar>
          </w:tcPr>
          <w:p w14:paraId="586E6937" w14:textId="77777777" w:rsidR="008F47B8" w:rsidRPr="006D52A9" w:rsidDel="00891EA4" w:rsidRDefault="008F47B8" w:rsidP="00FB6D2D">
            <w:pPr>
              <w:widowControl w:val="0"/>
              <w:spacing w:line="240" w:lineRule="auto"/>
              <w:rPr>
                <w:szCs w:val="16"/>
              </w:rPr>
            </w:pPr>
          </w:p>
        </w:tc>
        <w:tc>
          <w:tcPr>
            <w:tcW w:w="283" w:type="pct"/>
            <w:tcMar>
              <w:top w:w="28" w:type="dxa"/>
              <w:left w:w="28" w:type="dxa"/>
            </w:tcMar>
          </w:tcPr>
          <w:p w14:paraId="1EC7582C"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C9825</w:t>
            </w:r>
          </w:p>
        </w:tc>
        <w:tc>
          <w:tcPr>
            <w:tcW w:w="265" w:type="pct"/>
            <w:tcMar>
              <w:top w:w="28" w:type="dxa"/>
              <w:left w:w="28" w:type="dxa"/>
            </w:tcMar>
          </w:tcPr>
          <w:p w14:paraId="608E46C1" w14:textId="77777777" w:rsidR="008F47B8" w:rsidRPr="006D52A9" w:rsidDel="00891EA4" w:rsidRDefault="008F47B8" w:rsidP="00FB6D2D">
            <w:pPr>
              <w:widowControl w:val="0"/>
              <w:spacing w:line="240" w:lineRule="auto"/>
              <w:rPr>
                <w:szCs w:val="16"/>
              </w:rPr>
            </w:pPr>
          </w:p>
        </w:tc>
        <w:tc>
          <w:tcPr>
            <w:tcW w:w="2867" w:type="pct"/>
            <w:tcMar>
              <w:top w:w="28" w:type="dxa"/>
              <w:left w:w="28" w:type="dxa"/>
            </w:tcMar>
          </w:tcPr>
          <w:p w14:paraId="4D3D51D9"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t>Severe Crohn disease</w:t>
            </w:r>
            <w:r w:rsidRPr="006D52A9">
              <w:rPr>
                <w:rFonts w:ascii="Arial" w:hAnsi="Arial" w:cs="Arial"/>
                <w:sz w:val="16"/>
                <w:szCs w:val="16"/>
              </w:rPr>
              <w:br/>
              <w:t xml:space="preserve">Initial treatment </w:t>
            </w:r>
            <w:r w:rsidR="0026100E">
              <w:rPr>
                <w:rFonts w:ascii="Arial" w:hAnsi="Arial" w:cs="Arial"/>
                <w:sz w:val="16"/>
                <w:szCs w:val="16"/>
              </w:rPr>
              <w:noBreakHyphen/>
            </w:r>
            <w:r w:rsidRPr="006D52A9">
              <w:rPr>
                <w:rFonts w:ascii="Arial" w:hAnsi="Arial" w:cs="Arial"/>
                <w:sz w:val="16"/>
                <w:szCs w:val="16"/>
              </w:rPr>
              <w:t xml:space="preserve"> Initial 3 (recommencement of treatment after a break in biological medicine of more than 5 years)</w:t>
            </w:r>
            <w:r w:rsidRPr="006D52A9">
              <w:rPr>
                <w:rFonts w:ascii="Arial" w:hAnsi="Arial" w:cs="Arial"/>
                <w:sz w:val="16"/>
                <w:szCs w:val="16"/>
              </w:rPr>
              <w:br/>
              <w:t>Must be treated by a gastroenterologist (code 87); OR</w:t>
            </w:r>
            <w:r w:rsidRPr="006D52A9">
              <w:rPr>
                <w:rFonts w:ascii="Arial" w:hAnsi="Arial" w:cs="Arial"/>
                <w:sz w:val="16"/>
                <w:szCs w:val="16"/>
              </w:rPr>
              <w:br/>
              <w:t xml:space="preserve">Must be treated by a consultant physician [internal medicine specialising in gastroenterology (code 81)]; </w:t>
            </w:r>
            <w:r w:rsidRPr="006D52A9">
              <w:rPr>
                <w:rFonts w:ascii="Arial" w:hAnsi="Arial" w:cs="Arial"/>
                <w:sz w:val="16"/>
                <w:szCs w:val="16"/>
              </w:rPr>
              <w:lastRenderedPageBreak/>
              <w:t>OR</w:t>
            </w:r>
            <w:r w:rsidRPr="006D52A9">
              <w:rPr>
                <w:rFonts w:ascii="Arial" w:hAnsi="Arial" w:cs="Arial"/>
                <w:sz w:val="16"/>
                <w:szCs w:val="16"/>
              </w:rPr>
              <w:br/>
              <w:t>Must be treated by a consultant physician [general medicine specialising in gastroenterology (code 82)].</w:t>
            </w:r>
            <w:r w:rsidRPr="006D52A9">
              <w:rPr>
                <w:rFonts w:ascii="Arial" w:hAnsi="Arial" w:cs="Arial"/>
                <w:sz w:val="16"/>
                <w:szCs w:val="16"/>
              </w:rPr>
              <w:br/>
              <w:t>Patient must have received prior PBS</w:t>
            </w:r>
            <w:r w:rsidR="0026100E">
              <w:rPr>
                <w:rFonts w:ascii="Arial" w:hAnsi="Arial" w:cs="Arial"/>
                <w:sz w:val="16"/>
                <w:szCs w:val="16"/>
              </w:rPr>
              <w:noBreakHyphen/>
            </w:r>
            <w:r w:rsidRPr="006D52A9">
              <w:rPr>
                <w:rFonts w:ascii="Arial" w:hAnsi="Arial" w:cs="Arial"/>
                <w:sz w:val="16"/>
                <w:szCs w:val="16"/>
              </w:rPr>
              <w:t>subsidised treatment with a biological medicine for this condition; AND</w:t>
            </w:r>
            <w:r w:rsidRPr="006D52A9">
              <w:rPr>
                <w:rFonts w:ascii="Arial" w:hAnsi="Arial" w:cs="Arial"/>
                <w:sz w:val="16"/>
                <w:szCs w:val="16"/>
              </w:rPr>
              <w:br/>
              <w:t>Patient must have a break in treatment of 5 years or more from the most recently approved PBS</w:t>
            </w:r>
            <w:r w:rsidR="0026100E">
              <w:rPr>
                <w:rFonts w:ascii="Arial" w:hAnsi="Arial" w:cs="Arial"/>
                <w:sz w:val="16"/>
                <w:szCs w:val="16"/>
              </w:rPr>
              <w:noBreakHyphen/>
            </w:r>
            <w:r w:rsidRPr="006D52A9">
              <w:rPr>
                <w:rFonts w:ascii="Arial" w:hAnsi="Arial" w:cs="Arial"/>
                <w:sz w:val="16"/>
                <w:szCs w:val="16"/>
              </w:rPr>
              <w:t>subsidised biological medicine for this condition; AND</w:t>
            </w:r>
            <w:r w:rsidRPr="006D52A9">
              <w:rPr>
                <w:rFonts w:ascii="Arial" w:hAnsi="Arial" w:cs="Arial"/>
                <w:sz w:val="16"/>
                <w:szCs w:val="16"/>
              </w:rPr>
              <w:br/>
              <w:t>Patient must have confirmed severe Crohn disease, defined by standard clinical, endoscopic and/or imaging features, including histological evidence, with the diagnosis confirmed by a gastroenterologist or a consultant physician; AND</w:t>
            </w:r>
            <w:r w:rsidRPr="006D52A9">
              <w:rPr>
                <w:rFonts w:ascii="Arial" w:hAnsi="Arial" w:cs="Arial"/>
                <w:sz w:val="16"/>
                <w:szCs w:val="16"/>
              </w:rPr>
              <w:br/>
              <w:t>Patient must have a Crohn Disease Activity Index (CDAI) Score of greater than or equal to 300 that is no more than 4 weeks old at the time of application; OR</w:t>
            </w:r>
            <w:r w:rsidRPr="006D52A9">
              <w:rPr>
                <w:rFonts w:ascii="Arial" w:hAnsi="Arial" w:cs="Arial"/>
                <w:sz w:val="16"/>
                <w:szCs w:val="16"/>
              </w:rPr>
              <w:br/>
              <w:t>Patient must have a documented history of intestinal inflammation and have diagnostic imaging or surgical evidence of short gut syndrome if affected by the syndrome or has an ileostomy or colostomy; OR</w:t>
            </w:r>
            <w:r w:rsidRPr="006D52A9">
              <w:rPr>
                <w:rFonts w:ascii="Arial" w:hAnsi="Arial" w:cs="Arial"/>
                <w:sz w:val="16"/>
                <w:szCs w:val="16"/>
              </w:rPr>
              <w:br/>
              <w:t>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w:t>
            </w:r>
            <w:r w:rsidRPr="006D52A9">
              <w:rPr>
                <w:rFonts w:ascii="Arial" w:hAnsi="Arial" w:cs="Arial"/>
                <w:sz w:val="16"/>
                <w:szCs w:val="16"/>
              </w:rPr>
              <w:br/>
              <w:t>Patient must have evidence of intestinal inflammation; OR</w:t>
            </w:r>
            <w:r w:rsidRPr="006D52A9">
              <w:rPr>
                <w:rFonts w:ascii="Arial" w:hAnsi="Arial" w:cs="Arial"/>
                <w:sz w:val="16"/>
                <w:szCs w:val="16"/>
              </w:rPr>
              <w:br/>
              <w:t>Patient must be assessed clinically as being in a high faecal output state; OR</w:t>
            </w:r>
            <w:r w:rsidRPr="006D52A9">
              <w:rPr>
                <w:rFonts w:ascii="Arial" w:hAnsi="Arial" w:cs="Arial"/>
                <w:sz w:val="16"/>
                <w:szCs w:val="16"/>
              </w:rPr>
              <w:br/>
              <w:t>Patient must be assessed clinically as requiring surgery or total parenteral nutrition (TPN) as the next therapeutic option, in the absence of this drug, if affected by short gut syndrome, extensive small intestine disease or is an ostomy patient; AND</w:t>
            </w:r>
            <w:r w:rsidRPr="006D52A9">
              <w:rPr>
                <w:rFonts w:ascii="Arial" w:hAnsi="Arial" w:cs="Arial"/>
                <w:sz w:val="16"/>
                <w:szCs w:val="16"/>
              </w:rPr>
              <w:br/>
              <w:t>The treatment must not exceed a total of 3 doses to be administered at weeks 0, 2 and 6 under this restriction; AND</w:t>
            </w:r>
            <w:r w:rsidRPr="006D52A9">
              <w:rPr>
                <w:rFonts w:ascii="Arial" w:hAnsi="Arial" w:cs="Arial"/>
                <w:sz w:val="16"/>
                <w:szCs w:val="16"/>
              </w:rPr>
              <w:br/>
              <w:t>Patient must be appropriately assessed for the risk of developing progressive multifocal leukoencephalopathy whilst on this treatment.</w:t>
            </w:r>
            <w:r w:rsidRPr="006D52A9">
              <w:rPr>
                <w:rFonts w:ascii="Arial" w:hAnsi="Arial" w:cs="Arial"/>
                <w:sz w:val="16"/>
                <w:szCs w:val="16"/>
              </w:rPr>
              <w:br/>
              <w:t>Patient must be aged 18 years or older.</w:t>
            </w:r>
            <w:r w:rsidRPr="006D52A9">
              <w:rPr>
                <w:rFonts w:ascii="Arial" w:hAnsi="Arial" w:cs="Arial"/>
                <w:sz w:val="16"/>
                <w:szCs w:val="16"/>
              </w:rPr>
              <w:br/>
              <w:t>Applications for authorisation must be made in writing and must include:</w:t>
            </w:r>
            <w:r w:rsidRPr="006D52A9">
              <w:rPr>
                <w:rFonts w:ascii="Arial" w:hAnsi="Arial" w:cs="Arial"/>
                <w:sz w:val="16"/>
                <w:szCs w:val="16"/>
              </w:rPr>
              <w:br/>
              <w:t>(a) a completed authority prescription form; and</w:t>
            </w:r>
            <w:r w:rsidRPr="006D52A9">
              <w:rPr>
                <w:rFonts w:ascii="Arial" w:hAnsi="Arial" w:cs="Arial"/>
                <w:sz w:val="16"/>
                <w:szCs w:val="16"/>
              </w:rPr>
              <w:br/>
              <w:t xml:space="preserve">(b) a completed Crohn Disease PBS Authority Application </w:t>
            </w:r>
            <w:r w:rsidR="0026100E">
              <w:rPr>
                <w:rFonts w:ascii="Arial" w:hAnsi="Arial" w:cs="Arial"/>
                <w:sz w:val="16"/>
                <w:szCs w:val="16"/>
              </w:rPr>
              <w:noBreakHyphen/>
            </w:r>
            <w:r w:rsidRPr="006D52A9">
              <w:rPr>
                <w:rFonts w:ascii="Arial" w:hAnsi="Arial" w:cs="Arial"/>
                <w:sz w:val="16"/>
                <w:szCs w:val="16"/>
              </w:rPr>
              <w:t xml:space="preserve"> Supporting Information Form which includes the following:</w:t>
            </w:r>
            <w:r w:rsidRPr="006D52A9">
              <w:rPr>
                <w:rFonts w:ascii="Arial" w:hAnsi="Arial" w:cs="Arial"/>
                <w:sz w:val="16"/>
                <w:szCs w:val="16"/>
              </w:rPr>
              <w:br/>
              <w:t>(i) the completed current Crohn Disease Activity Index (CDAI) calculation sheet including the date of assessment of the patient’s condition if relevant; and</w:t>
            </w:r>
            <w:r w:rsidRPr="006D52A9">
              <w:rPr>
                <w:rFonts w:ascii="Arial" w:hAnsi="Arial" w:cs="Arial"/>
                <w:sz w:val="16"/>
                <w:szCs w:val="16"/>
              </w:rPr>
              <w:br/>
              <w:t>(ii) the reports and dates of the pathology or diagnostic imaging test(s) nominated as the response criterion, if relevant; and</w:t>
            </w:r>
            <w:r w:rsidRPr="006D52A9">
              <w:rPr>
                <w:rFonts w:ascii="Arial" w:hAnsi="Arial" w:cs="Arial"/>
                <w:sz w:val="16"/>
                <w:szCs w:val="16"/>
              </w:rPr>
              <w:br/>
              <w:t>(iii) the date of the most recent clinical assessment.</w:t>
            </w:r>
            <w:r w:rsidRPr="006D52A9">
              <w:rPr>
                <w:rFonts w:ascii="Arial" w:hAnsi="Arial" w:cs="Arial"/>
                <w:sz w:val="16"/>
                <w:szCs w:val="16"/>
              </w:rPr>
              <w:br/>
              <w:t>Evidence of intestinal inflammation includes:</w:t>
            </w:r>
            <w:r w:rsidRPr="006D52A9">
              <w:rPr>
                <w:rFonts w:ascii="Arial" w:hAnsi="Arial" w:cs="Arial"/>
                <w:sz w:val="16"/>
                <w:szCs w:val="16"/>
              </w:rPr>
              <w:br/>
              <w:t>(i) blood: higher than normal platelet count, or, an elevated erythrocyte sedimentation rate (ESR) greater than 25 mm per hour, or, a C</w:t>
            </w:r>
            <w:r w:rsidR="0026100E">
              <w:rPr>
                <w:rFonts w:ascii="Arial" w:hAnsi="Arial" w:cs="Arial"/>
                <w:sz w:val="16"/>
                <w:szCs w:val="16"/>
              </w:rPr>
              <w:noBreakHyphen/>
            </w:r>
            <w:r w:rsidRPr="006D52A9">
              <w:rPr>
                <w:rFonts w:ascii="Arial" w:hAnsi="Arial" w:cs="Arial"/>
                <w:sz w:val="16"/>
                <w:szCs w:val="16"/>
              </w:rPr>
              <w:t>reactive protein (CRP) level greater than 15 mg per L; or</w:t>
            </w:r>
            <w:r w:rsidRPr="006D52A9">
              <w:rPr>
                <w:rFonts w:ascii="Arial" w:hAnsi="Arial" w:cs="Arial"/>
                <w:sz w:val="16"/>
                <w:szCs w:val="16"/>
              </w:rPr>
              <w:br/>
              <w:t>(ii) faeces: higher than normal lactoferrin or calprotectin level; or</w:t>
            </w:r>
            <w:r w:rsidRPr="006D52A9">
              <w:rPr>
                <w:rFonts w:ascii="Arial" w:hAnsi="Arial" w:cs="Arial"/>
                <w:sz w:val="16"/>
                <w:szCs w:val="16"/>
              </w:rPr>
              <w:br/>
              <w:t xml:space="preserve">(iii) diagnostic imaging: demonstration of increased uptake of intravenous contrast with thickening of the </w:t>
            </w:r>
            <w:r w:rsidRPr="006D52A9">
              <w:rPr>
                <w:rFonts w:ascii="Arial" w:hAnsi="Arial" w:cs="Arial"/>
                <w:sz w:val="16"/>
                <w:szCs w:val="16"/>
              </w:rPr>
              <w:lastRenderedPageBreak/>
              <w:t>bowel wall or mesenteric lymphadenopathy or fat streaking in the mesentery.</w:t>
            </w:r>
            <w:r w:rsidRPr="006D52A9">
              <w:rPr>
                <w:rFonts w:ascii="Arial" w:hAnsi="Arial" w:cs="Arial"/>
                <w:sz w:val="16"/>
                <w:szCs w:val="16"/>
              </w:rPr>
              <w:br/>
              <w:t>A maximum quantity and number of repeats to provide for an initial course of this drug consisting of one vial of 300 mg per dose, with one dose to be administered at weeks 0, 2 and 6, will be authorised.</w:t>
            </w:r>
            <w:r w:rsidRPr="006D52A9">
              <w:rPr>
                <w:rFonts w:ascii="Arial" w:hAnsi="Arial" w:cs="Arial"/>
                <w:sz w:val="16"/>
                <w:szCs w:val="16"/>
              </w:rPr>
              <w:b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r w:rsidRPr="006D52A9">
              <w:rPr>
                <w:rFonts w:ascii="Arial" w:hAnsi="Arial" w:cs="Arial"/>
                <w:sz w:val="16"/>
                <w:szCs w:val="16"/>
              </w:rPr>
              <w:b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w:t>
            </w:r>
            <w:r w:rsidR="0026100E">
              <w:rPr>
                <w:rFonts w:ascii="Arial" w:hAnsi="Arial" w:cs="Arial"/>
                <w:sz w:val="16"/>
                <w:szCs w:val="16"/>
              </w:rPr>
              <w:noBreakHyphen/>
            </w:r>
            <w:r w:rsidRPr="006D52A9">
              <w:rPr>
                <w:rFonts w:ascii="Arial" w:hAnsi="Arial" w:cs="Arial"/>
                <w:sz w:val="16"/>
                <w:szCs w:val="16"/>
              </w:rPr>
              <w:t>subsidised therapy.</w:t>
            </w:r>
            <w:r w:rsidRPr="006D52A9">
              <w:rPr>
                <w:rFonts w:ascii="Arial" w:hAnsi="Arial" w:cs="Arial"/>
                <w:sz w:val="16"/>
                <w:szCs w:val="16"/>
              </w:rPr>
              <w:br/>
              <w:t>The assessment of the patient’s response to this initial course of treatment must be made up to 12 weeks after the first dose (6 weeks following the third dose) so that there is adequate time for a response to be demonstrated.</w:t>
            </w:r>
            <w:r w:rsidRPr="006D52A9">
              <w:rPr>
                <w:rFonts w:ascii="Arial" w:hAnsi="Arial" w:cs="Arial"/>
                <w:sz w:val="16"/>
                <w:szCs w:val="16"/>
              </w:rPr>
              <w:br/>
              <w:t>Where the response assessment is not submitted within this timeframe, the patient will be deemed to have failed to respond to treatment with this drug.</w:t>
            </w:r>
            <w:r w:rsidRPr="006D52A9">
              <w:rPr>
                <w:rFonts w:ascii="Arial" w:hAnsi="Arial" w:cs="Arial"/>
                <w:sz w:val="16"/>
                <w:szCs w:val="16"/>
              </w:rPr>
              <w:br/>
              <w:t>If a patient fails to demonstrate a response to treatment with this drug they will not be eligible to receive further PBS</w:t>
            </w:r>
            <w:r w:rsidR="0026100E">
              <w:rPr>
                <w:rFonts w:ascii="Arial" w:hAnsi="Arial" w:cs="Arial"/>
                <w:sz w:val="16"/>
                <w:szCs w:val="16"/>
              </w:rPr>
              <w:noBreakHyphen/>
            </w:r>
            <w:r w:rsidRPr="006D52A9">
              <w:rPr>
                <w:rFonts w:ascii="Arial" w:hAnsi="Arial" w:cs="Arial"/>
                <w:sz w:val="16"/>
                <w:szCs w:val="16"/>
              </w:rPr>
              <w:t>subsidised treatment with this drug for this condition. Serious adverse reaction of a severity resulting in the necessity for permanent withdrawal of treatment is not considered as a treatment failure.</w:t>
            </w:r>
            <w:r w:rsidRPr="006D52A9">
              <w:rPr>
                <w:rFonts w:ascii="Arial" w:hAnsi="Arial" w:cs="Arial"/>
                <w:sz w:val="16"/>
                <w:szCs w:val="16"/>
              </w:rPr>
              <w:br/>
              <w:t>A patient may re</w:t>
            </w:r>
            <w:r w:rsidR="0026100E">
              <w:rPr>
                <w:rFonts w:ascii="Arial" w:hAnsi="Arial" w:cs="Arial"/>
                <w:sz w:val="16"/>
                <w:szCs w:val="16"/>
              </w:rPr>
              <w:noBreakHyphen/>
            </w:r>
            <w:r w:rsidRPr="006D52A9">
              <w:rPr>
                <w:rFonts w:ascii="Arial" w:hAnsi="Arial" w:cs="Arial"/>
                <w:sz w:val="16"/>
                <w:szCs w:val="16"/>
              </w:rPr>
              <w:t>trial this drug after a minimum of 5 years have elapsed between the date the last prescription for a PBS</w:t>
            </w:r>
            <w:r w:rsidR="0026100E">
              <w:rPr>
                <w:rFonts w:ascii="Arial" w:hAnsi="Arial" w:cs="Arial"/>
                <w:sz w:val="16"/>
                <w:szCs w:val="16"/>
              </w:rPr>
              <w:noBreakHyphen/>
            </w:r>
            <w:r w:rsidRPr="006D52A9">
              <w:rPr>
                <w:rFonts w:ascii="Arial" w:hAnsi="Arial" w:cs="Arial"/>
                <w:sz w:val="16"/>
                <w:szCs w:val="16"/>
              </w:rPr>
              <w:t>subsidised biological medicine was approved in this cycle and the date of the first application under a new cycle under the Initial 3 treatment restriction.</w:t>
            </w:r>
          </w:p>
        </w:tc>
        <w:tc>
          <w:tcPr>
            <w:tcW w:w="938" w:type="pct"/>
            <w:tcMar>
              <w:top w:w="28" w:type="dxa"/>
              <w:left w:w="28" w:type="dxa"/>
              <w:right w:w="57" w:type="dxa"/>
            </w:tcMar>
          </w:tcPr>
          <w:p w14:paraId="4479D5B6" w14:textId="77777777" w:rsidR="008F47B8" w:rsidRPr="006D52A9" w:rsidDel="00891EA4" w:rsidRDefault="008F47B8" w:rsidP="00FB6D2D">
            <w:pPr>
              <w:widowControl w:val="0"/>
              <w:spacing w:line="240" w:lineRule="auto"/>
              <w:rPr>
                <w:szCs w:val="16"/>
              </w:rPr>
            </w:pPr>
            <w:r w:rsidRPr="006D52A9">
              <w:rPr>
                <w:rFonts w:ascii="Arial" w:hAnsi="Arial" w:cs="Arial"/>
                <w:sz w:val="16"/>
                <w:szCs w:val="16"/>
              </w:rPr>
              <w:lastRenderedPageBreak/>
              <w:t>Compliance with Written Authority Required procedures</w:t>
            </w:r>
          </w:p>
        </w:tc>
      </w:tr>
      <w:tr w:rsidR="008F47B8" w:rsidRPr="006D52A9" w:rsidDel="00EF799C" w14:paraId="177BFE9A" w14:textId="77777777" w:rsidTr="00FB6D2D">
        <w:tc>
          <w:tcPr>
            <w:tcW w:w="647" w:type="pct"/>
            <w:shd w:val="clear" w:color="auto" w:fill="auto"/>
            <w:tcMar>
              <w:top w:w="28" w:type="dxa"/>
              <w:left w:w="28" w:type="dxa"/>
            </w:tcMar>
          </w:tcPr>
          <w:p w14:paraId="0F02E046" w14:textId="77777777" w:rsidR="008F47B8" w:rsidRPr="006D52A9" w:rsidDel="00EF799C" w:rsidRDefault="008F47B8" w:rsidP="00FB6D2D">
            <w:pPr>
              <w:widowControl w:val="0"/>
              <w:spacing w:line="240" w:lineRule="auto"/>
              <w:rPr>
                <w:rFonts w:ascii="Arial" w:hAnsi="Arial" w:cs="Arial"/>
                <w:sz w:val="16"/>
                <w:szCs w:val="16"/>
              </w:rPr>
            </w:pPr>
            <w:bookmarkStart w:id="264" w:name="CU_608945739"/>
            <w:bookmarkEnd w:id="264"/>
            <w:r w:rsidRPr="006D52A9">
              <w:rPr>
                <w:rFonts w:ascii="Arial" w:hAnsi="Arial" w:cs="Arial"/>
                <w:sz w:val="16"/>
                <w:szCs w:val="16"/>
              </w:rPr>
              <w:lastRenderedPageBreak/>
              <w:t xml:space="preserve">Zidovudine </w:t>
            </w:r>
          </w:p>
        </w:tc>
        <w:tc>
          <w:tcPr>
            <w:tcW w:w="283" w:type="pct"/>
            <w:shd w:val="clear" w:color="auto" w:fill="auto"/>
            <w:tcMar>
              <w:top w:w="28" w:type="dxa"/>
              <w:left w:w="28" w:type="dxa"/>
            </w:tcMar>
          </w:tcPr>
          <w:p w14:paraId="7C629120"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C4454</w:t>
            </w:r>
          </w:p>
        </w:tc>
        <w:tc>
          <w:tcPr>
            <w:tcW w:w="265" w:type="pct"/>
            <w:shd w:val="clear" w:color="auto" w:fill="auto"/>
            <w:tcMar>
              <w:top w:w="28" w:type="dxa"/>
              <w:left w:w="28" w:type="dxa"/>
            </w:tcMar>
          </w:tcPr>
          <w:p w14:paraId="6C668590" w14:textId="77777777" w:rsidR="008F47B8" w:rsidRPr="006D52A9" w:rsidDel="00EF799C" w:rsidRDefault="008F47B8" w:rsidP="00FB6D2D">
            <w:pPr>
              <w:widowControl w:val="0"/>
              <w:spacing w:line="240" w:lineRule="auto"/>
              <w:rPr>
                <w:rFonts w:ascii="Arial" w:hAnsi="Arial" w:cs="Arial"/>
                <w:sz w:val="16"/>
                <w:szCs w:val="16"/>
              </w:rPr>
            </w:pPr>
          </w:p>
        </w:tc>
        <w:tc>
          <w:tcPr>
            <w:tcW w:w="2867" w:type="pct"/>
            <w:shd w:val="clear" w:color="auto" w:fill="auto"/>
            <w:tcMar>
              <w:top w:w="28" w:type="dxa"/>
              <w:left w:w="28" w:type="dxa"/>
            </w:tcMar>
          </w:tcPr>
          <w:p w14:paraId="341ED8C7"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Continuing</w:t>
            </w:r>
          </w:p>
          <w:p w14:paraId="1E6F20B0"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Patient must have previously received PBS</w:t>
            </w:r>
            <w:r w:rsidR="0026100E">
              <w:rPr>
                <w:rFonts w:ascii="Arial" w:hAnsi="Arial" w:cs="Arial"/>
                <w:sz w:val="16"/>
                <w:szCs w:val="16"/>
              </w:rPr>
              <w:noBreakHyphen/>
            </w:r>
            <w:r w:rsidRPr="006D52A9">
              <w:rPr>
                <w:rFonts w:ascii="Arial" w:hAnsi="Arial" w:cs="Arial"/>
                <w:sz w:val="16"/>
                <w:szCs w:val="16"/>
              </w:rPr>
              <w:t>subsidised therapy for HIV infection; AND</w:t>
            </w:r>
            <w:r w:rsidRPr="006D52A9">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14:paraId="2845C3F9"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4454</w:t>
            </w:r>
          </w:p>
        </w:tc>
      </w:tr>
      <w:tr w:rsidR="008F47B8" w:rsidRPr="006D52A9" w:rsidDel="00EF799C" w14:paraId="4F4E6B68" w14:textId="77777777" w:rsidTr="00FB6D2D">
        <w:tc>
          <w:tcPr>
            <w:tcW w:w="647" w:type="pct"/>
            <w:shd w:val="clear" w:color="auto" w:fill="auto"/>
            <w:tcMar>
              <w:top w:w="28" w:type="dxa"/>
              <w:left w:w="28" w:type="dxa"/>
            </w:tcMar>
          </w:tcPr>
          <w:p w14:paraId="0AE316F1" w14:textId="77777777" w:rsidR="008F47B8" w:rsidRPr="006D52A9" w:rsidDel="00EF799C" w:rsidRDefault="008F47B8" w:rsidP="00FB6D2D">
            <w:pPr>
              <w:widowControl w:val="0"/>
              <w:spacing w:line="240" w:lineRule="auto"/>
              <w:rPr>
                <w:rFonts w:ascii="Arial" w:hAnsi="Arial" w:cs="Arial"/>
                <w:sz w:val="16"/>
                <w:szCs w:val="16"/>
              </w:rPr>
            </w:pPr>
          </w:p>
        </w:tc>
        <w:tc>
          <w:tcPr>
            <w:tcW w:w="283" w:type="pct"/>
            <w:shd w:val="clear" w:color="auto" w:fill="auto"/>
            <w:tcMar>
              <w:top w:w="28" w:type="dxa"/>
              <w:left w:w="28" w:type="dxa"/>
            </w:tcMar>
          </w:tcPr>
          <w:p w14:paraId="44F3C97B"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C4512</w:t>
            </w:r>
          </w:p>
        </w:tc>
        <w:tc>
          <w:tcPr>
            <w:tcW w:w="265" w:type="pct"/>
            <w:shd w:val="clear" w:color="auto" w:fill="auto"/>
            <w:tcMar>
              <w:top w:w="28" w:type="dxa"/>
              <w:left w:w="28" w:type="dxa"/>
            </w:tcMar>
          </w:tcPr>
          <w:p w14:paraId="57855AC9" w14:textId="77777777" w:rsidR="008F47B8" w:rsidRPr="006D52A9" w:rsidDel="00EF799C" w:rsidRDefault="008F47B8" w:rsidP="00FB6D2D">
            <w:pPr>
              <w:widowControl w:val="0"/>
              <w:spacing w:line="240" w:lineRule="auto"/>
              <w:rPr>
                <w:rFonts w:ascii="Arial" w:hAnsi="Arial" w:cs="Arial"/>
                <w:sz w:val="16"/>
                <w:szCs w:val="16"/>
              </w:rPr>
            </w:pPr>
          </w:p>
        </w:tc>
        <w:tc>
          <w:tcPr>
            <w:tcW w:w="2867" w:type="pct"/>
            <w:shd w:val="clear" w:color="auto" w:fill="auto"/>
            <w:tcMar>
              <w:top w:w="28" w:type="dxa"/>
              <w:left w:w="28" w:type="dxa"/>
            </w:tcMar>
          </w:tcPr>
          <w:p w14:paraId="31F8A876" w14:textId="77777777" w:rsidR="008F47B8" w:rsidRPr="006D52A9" w:rsidRDefault="008F47B8" w:rsidP="00FB6D2D">
            <w:pPr>
              <w:widowControl w:val="0"/>
              <w:spacing w:line="240" w:lineRule="auto"/>
              <w:rPr>
                <w:rFonts w:ascii="Arial" w:hAnsi="Arial" w:cs="Arial"/>
                <w:sz w:val="16"/>
                <w:szCs w:val="16"/>
              </w:rPr>
            </w:pPr>
            <w:r w:rsidRPr="006D52A9">
              <w:rPr>
                <w:rFonts w:ascii="Arial" w:hAnsi="Arial" w:cs="Arial"/>
                <w:sz w:val="16"/>
                <w:szCs w:val="16"/>
              </w:rPr>
              <w:t>HIV infection</w:t>
            </w:r>
            <w:r w:rsidRPr="006D52A9">
              <w:rPr>
                <w:rFonts w:ascii="Arial" w:hAnsi="Arial" w:cs="Arial"/>
                <w:sz w:val="16"/>
                <w:szCs w:val="16"/>
              </w:rPr>
              <w:br/>
              <w:t>Initial</w:t>
            </w:r>
          </w:p>
          <w:p w14:paraId="2B638FBC"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Patient must be antiretroviral treatment naïve; AND</w:t>
            </w:r>
            <w:r w:rsidRPr="006D52A9">
              <w:rPr>
                <w:rFonts w:ascii="Arial" w:hAnsi="Arial" w:cs="Arial"/>
                <w:sz w:val="16"/>
                <w:szCs w:val="16"/>
              </w:rPr>
              <w:br/>
              <w:t>The treatment must be in combination with other antiretroviral agents</w:t>
            </w:r>
          </w:p>
        </w:tc>
        <w:tc>
          <w:tcPr>
            <w:tcW w:w="938" w:type="pct"/>
            <w:shd w:val="clear" w:color="auto" w:fill="auto"/>
            <w:tcMar>
              <w:top w:w="28" w:type="dxa"/>
              <w:left w:w="28" w:type="dxa"/>
              <w:right w:w="57" w:type="dxa"/>
            </w:tcMar>
          </w:tcPr>
          <w:p w14:paraId="258DE31C" w14:textId="77777777" w:rsidR="008F47B8" w:rsidRPr="006D52A9" w:rsidDel="00EF799C"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4512</w:t>
            </w:r>
          </w:p>
        </w:tc>
      </w:tr>
      <w:tr w:rsidR="008F47B8" w:rsidRPr="006D52A9" w:rsidDel="00C3501D" w14:paraId="36F6D2F6" w14:textId="77777777" w:rsidTr="00FB6D2D">
        <w:tc>
          <w:tcPr>
            <w:tcW w:w="647" w:type="pct"/>
            <w:tcMar>
              <w:top w:w="28" w:type="dxa"/>
              <w:left w:w="28" w:type="dxa"/>
            </w:tcMar>
          </w:tcPr>
          <w:p w14:paraId="0E7B6481"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Zoledronic acid</w:t>
            </w:r>
          </w:p>
        </w:tc>
        <w:tc>
          <w:tcPr>
            <w:tcW w:w="283" w:type="pct"/>
            <w:tcMar>
              <w:top w:w="28" w:type="dxa"/>
              <w:left w:w="28" w:type="dxa"/>
            </w:tcMar>
          </w:tcPr>
          <w:p w14:paraId="2ECB55AC"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C5605</w:t>
            </w:r>
          </w:p>
        </w:tc>
        <w:tc>
          <w:tcPr>
            <w:tcW w:w="265" w:type="pct"/>
            <w:tcMar>
              <w:top w:w="28" w:type="dxa"/>
              <w:left w:w="28" w:type="dxa"/>
            </w:tcMar>
          </w:tcPr>
          <w:p w14:paraId="49A272C9" w14:textId="77777777" w:rsidR="008F47B8" w:rsidRPr="006D52A9" w:rsidDel="00C3501D"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781A77E9"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Bone metastases</w:t>
            </w:r>
            <w:r w:rsidRPr="006D52A9">
              <w:rPr>
                <w:rFonts w:ascii="Arial" w:hAnsi="Arial" w:cs="Arial"/>
                <w:sz w:val="16"/>
                <w:szCs w:val="16"/>
              </w:rPr>
              <w:br/>
              <w:t>The condition must be due to breast cancer.</w:t>
            </w:r>
          </w:p>
        </w:tc>
        <w:tc>
          <w:tcPr>
            <w:tcW w:w="938" w:type="pct"/>
            <w:tcMar>
              <w:top w:w="28" w:type="dxa"/>
              <w:left w:w="28" w:type="dxa"/>
              <w:right w:w="57" w:type="dxa"/>
            </w:tcMar>
          </w:tcPr>
          <w:p w14:paraId="2A771F41"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5605</w:t>
            </w:r>
          </w:p>
        </w:tc>
      </w:tr>
      <w:tr w:rsidR="008F47B8" w:rsidRPr="006D52A9" w:rsidDel="00C3501D" w14:paraId="75986DFF" w14:textId="77777777" w:rsidTr="00FB6D2D">
        <w:tc>
          <w:tcPr>
            <w:tcW w:w="647" w:type="pct"/>
            <w:tcMar>
              <w:top w:w="28" w:type="dxa"/>
              <w:left w:w="28" w:type="dxa"/>
            </w:tcMar>
          </w:tcPr>
          <w:p w14:paraId="3607F2BF" w14:textId="77777777" w:rsidR="008F47B8" w:rsidRPr="006D52A9" w:rsidDel="00C3501D"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69F858E2"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C5703</w:t>
            </w:r>
          </w:p>
        </w:tc>
        <w:tc>
          <w:tcPr>
            <w:tcW w:w="265" w:type="pct"/>
            <w:tcMar>
              <w:top w:w="28" w:type="dxa"/>
              <w:left w:w="28" w:type="dxa"/>
            </w:tcMar>
          </w:tcPr>
          <w:p w14:paraId="7776CB96" w14:textId="77777777" w:rsidR="008F47B8" w:rsidRPr="006D52A9" w:rsidDel="00C3501D"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236D3281"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Bone metastases</w:t>
            </w:r>
            <w:r w:rsidRPr="006D52A9">
              <w:rPr>
                <w:rFonts w:ascii="Arial" w:hAnsi="Arial" w:cs="Arial"/>
                <w:sz w:val="16"/>
                <w:szCs w:val="16"/>
              </w:rPr>
              <w:br/>
              <w:t>The condition must be due to castration</w:t>
            </w:r>
            <w:r w:rsidR="0026100E">
              <w:rPr>
                <w:rFonts w:ascii="Arial" w:hAnsi="Arial" w:cs="Arial"/>
                <w:sz w:val="16"/>
                <w:szCs w:val="16"/>
              </w:rPr>
              <w:noBreakHyphen/>
            </w:r>
            <w:r w:rsidRPr="006D52A9">
              <w:rPr>
                <w:rFonts w:ascii="Arial" w:hAnsi="Arial" w:cs="Arial"/>
                <w:sz w:val="16"/>
                <w:szCs w:val="16"/>
              </w:rPr>
              <w:t>resistant prostate cancer.</w:t>
            </w:r>
          </w:p>
        </w:tc>
        <w:tc>
          <w:tcPr>
            <w:tcW w:w="938" w:type="pct"/>
            <w:tcMar>
              <w:top w:w="28" w:type="dxa"/>
              <w:left w:w="28" w:type="dxa"/>
              <w:right w:w="57" w:type="dxa"/>
            </w:tcMar>
          </w:tcPr>
          <w:p w14:paraId="2F373FD4"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5703</w:t>
            </w:r>
          </w:p>
        </w:tc>
      </w:tr>
      <w:tr w:rsidR="008F47B8" w:rsidRPr="006D52A9" w:rsidDel="00C3501D" w14:paraId="2D72E546" w14:textId="77777777" w:rsidTr="00FB6D2D">
        <w:tc>
          <w:tcPr>
            <w:tcW w:w="647" w:type="pct"/>
            <w:tcMar>
              <w:top w:w="28" w:type="dxa"/>
              <w:left w:w="28" w:type="dxa"/>
            </w:tcMar>
          </w:tcPr>
          <w:p w14:paraId="73C0C280" w14:textId="77777777" w:rsidR="008F47B8" w:rsidRPr="006D52A9" w:rsidDel="00C3501D"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44F293DF"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C5704</w:t>
            </w:r>
          </w:p>
        </w:tc>
        <w:tc>
          <w:tcPr>
            <w:tcW w:w="265" w:type="pct"/>
            <w:tcMar>
              <w:top w:w="28" w:type="dxa"/>
              <w:left w:w="28" w:type="dxa"/>
            </w:tcMar>
          </w:tcPr>
          <w:p w14:paraId="291FB717" w14:textId="77777777" w:rsidR="008F47B8" w:rsidRPr="006D52A9" w:rsidDel="00C3501D"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40BFC878"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Hypercalcaemia of malignancy</w:t>
            </w:r>
            <w:r w:rsidRPr="006D52A9">
              <w:rPr>
                <w:rFonts w:ascii="Arial" w:hAnsi="Arial" w:cs="Arial"/>
                <w:sz w:val="16"/>
                <w:szCs w:val="16"/>
              </w:rPr>
              <w:br/>
            </w:r>
            <w:r w:rsidRPr="006D52A9">
              <w:rPr>
                <w:rFonts w:ascii="Arial" w:hAnsi="Arial" w:cs="Arial"/>
                <w:sz w:val="16"/>
                <w:szCs w:val="16"/>
              </w:rPr>
              <w:lastRenderedPageBreak/>
              <w:t>Patient must have a malignancy refractory to anti</w:t>
            </w:r>
            <w:r w:rsidR="0026100E">
              <w:rPr>
                <w:rFonts w:ascii="Arial" w:hAnsi="Arial" w:cs="Arial"/>
                <w:sz w:val="16"/>
                <w:szCs w:val="16"/>
              </w:rPr>
              <w:noBreakHyphen/>
            </w:r>
            <w:r w:rsidRPr="006D52A9">
              <w:rPr>
                <w:rFonts w:ascii="Arial" w:hAnsi="Arial" w:cs="Arial"/>
                <w:sz w:val="16"/>
                <w:szCs w:val="16"/>
              </w:rPr>
              <w:t>neoplastic therapy.</w:t>
            </w:r>
          </w:p>
        </w:tc>
        <w:tc>
          <w:tcPr>
            <w:tcW w:w="938" w:type="pct"/>
            <w:tcMar>
              <w:top w:w="28" w:type="dxa"/>
              <w:left w:w="28" w:type="dxa"/>
              <w:right w:w="57" w:type="dxa"/>
            </w:tcMar>
          </w:tcPr>
          <w:p w14:paraId="187A78A4"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lastRenderedPageBreak/>
              <w:t xml:space="preserve">Compliance with Authority </w:t>
            </w:r>
            <w:r w:rsidRPr="006D52A9">
              <w:rPr>
                <w:rFonts w:ascii="Arial" w:hAnsi="Arial" w:cs="Arial"/>
                <w:sz w:val="16"/>
                <w:szCs w:val="16"/>
              </w:rPr>
              <w:lastRenderedPageBreak/>
              <w:t xml:space="preserve">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5704</w:t>
            </w:r>
          </w:p>
        </w:tc>
      </w:tr>
      <w:tr w:rsidR="008F47B8" w:rsidRPr="006D52A9" w:rsidDel="00C3501D" w14:paraId="63467D6E" w14:textId="77777777" w:rsidTr="00FB6D2D">
        <w:trPr>
          <w:cantSplit/>
        </w:trPr>
        <w:tc>
          <w:tcPr>
            <w:tcW w:w="647" w:type="pct"/>
            <w:tcMar>
              <w:top w:w="28" w:type="dxa"/>
              <w:left w:w="28" w:type="dxa"/>
            </w:tcMar>
          </w:tcPr>
          <w:p w14:paraId="2BD28306" w14:textId="77777777" w:rsidR="008F47B8" w:rsidRPr="006D52A9" w:rsidDel="00C3501D"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45F959CB"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C5735</w:t>
            </w:r>
          </w:p>
        </w:tc>
        <w:tc>
          <w:tcPr>
            <w:tcW w:w="265" w:type="pct"/>
            <w:tcMar>
              <w:top w:w="28" w:type="dxa"/>
              <w:left w:w="28" w:type="dxa"/>
            </w:tcMar>
          </w:tcPr>
          <w:p w14:paraId="09F687B5" w14:textId="77777777" w:rsidR="008F47B8" w:rsidRPr="006D52A9" w:rsidDel="00C3501D"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51C0DEC1"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Multiple myeloma</w:t>
            </w:r>
            <w:r w:rsidRPr="006D52A9">
              <w:rPr>
                <w:rFonts w:ascii="Arial" w:hAnsi="Arial" w:cs="Arial"/>
                <w:sz w:val="16"/>
                <w:szCs w:val="16"/>
              </w:rPr>
              <w:br/>
            </w:r>
          </w:p>
        </w:tc>
        <w:tc>
          <w:tcPr>
            <w:tcW w:w="938" w:type="pct"/>
            <w:tcMar>
              <w:top w:w="28" w:type="dxa"/>
              <w:left w:w="28" w:type="dxa"/>
              <w:right w:w="57" w:type="dxa"/>
            </w:tcMar>
          </w:tcPr>
          <w:p w14:paraId="6F2E6E33" w14:textId="77777777" w:rsidR="008F47B8" w:rsidRPr="006D52A9" w:rsidDel="00C3501D"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5735</w:t>
            </w:r>
          </w:p>
        </w:tc>
      </w:tr>
      <w:tr w:rsidR="008F47B8" w:rsidRPr="006D52A9" w:rsidDel="003340D9" w14:paraId="25E5981E" w14:textId="77777777" w:rsidTr="00FB6D2D">
        <w:tc>
          <w:tcPr>
            <w:tcW w:w="647" w:type="pct"/>
            <w:tcMar>
              <w:top w:w="28" w:type="dxa"/>
              <w:left w:w="28" w:type="dxa"/>
            </w:tcMar>
          </w:tcPr>
          <w:p w14:paraId="2246DC2D" w14:textId="77777777" w:rsidR="008F47B8" w:rsidRPr="006D52A9" w:rsidDel="003340D9"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13795D74"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C9268</w:t>
            </w:r>
          </w:p>
        </w:tc>
        <w:tc>
          <w:tcPr>
            <w:tcW w:w="265" w:type="pct"/>
            <w:tcMar>
              <w:top w:w="28" w:type="dxa"/>
              <w:left w:w="28" w:type="dxa"/>
            </w:tcMar>
          </w:tcPr>
          <w:p w14:paraId="3202D9F9" w14:textId="77777777" w:rsidR="008F47B8" w:rsidRPr="006D52A9" w:rsidDel="003340D9"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3270ED17"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Multiple myeloma</w:t>
            </w:r>
          </w:p>
        </w:tc>
        <w:tc>
          <w:tcPr>
            <w:tcW w:w="938" w:type="pct"/>
            <w:tcMar>
              <w:top w:w="28" w:type="dxa"/>
              <w:left w:w="28" w:type="dxa"/>
              <w:right w:w="57" w:type="dxa"/>
            </w:tcMar>
          </w:tcPr>
          <w:p w14:paraId="314457B5"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9268</w:t>
            </w:r>
          </w:p>
        </w:tc>
      </w:tr>
      <w:tr w:rsidR="008F47B8" w:rsidRPr="006D52A9" w:rsidDel="003340D9" w14:paraId="53C15259" w14:textId="77777777" w:rsidTr="00FB6D2D">
        <w:tc>
          <w:tcPr>
            <w:tcW w:w="647" w:type="pct"/>
            <w:tcMar>
              <w:top w:w="28" w:type="dxa"/>
              <w:left w:w="28" w:type="dxa"/>
            </w:tcMar>
          </w:tcPr>
          <w:p w14:paraId="740976CF" w14:textId="77777777" w:rsidR="008F47B8" w:rsidRPr="006D52A9" w:rsidDel="003340D9"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2A1FE115"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C9304</w:t>
            </w:r>
          </w:p>
        </w:tc>
        <w:tc>
          <w:tcPr>
            <w:tcW w:w="265" w:type="pct"/>
            <w:tcMar>
              <w:top w:w="28" w:type="dxa"/>
              <w:left w:w="28" w:type="dxa"/>
            </w:tcMar>
          </w:tcPr>
          <w:p w14:paraId="240A9C1A" w14:textId="77777777" w:rsidR="008F47B8" w:rsidRPr="006D52A9" w:rsidDel="003340D9"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46135122"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Bone metastases</w:t>
            </w:r>
            <w:r w:rsidRPr="006D52A9">
              <w:rPr>
                <w:szCs w:val="16"/>
              </w:rPr>
              <w:br/>
            </w:r>
            <w:r w:rsidRPr="006D52A9">
              <w:rPr>
                <w:rFonts w:ascii="Arial" w:hAnsi="Arial" w:cs="Arial"/>
                <w:sz w:val="16"/>
                <w:szCs w:val="16"/>
              </w:rPr>
              <w:t>The condition must be due to castration</w:t>
            </w:r>
            <w:r w:rsidR="0026100E">
              <w:rPr>
                <w:rFonts w:ascii="Arial" w:hAnsi="Arial" w:cs="Arial"/>
                <w:sz w:val="16"/>
                <w:szCs w:val="16"/>
              </w:rPr>
              <w:noBreakHyphen/>
            </w:r>
            <w:r w:rsidRPr="006D52A9">
              <w:rPr>
                <w:rFonts w:ascii="Arial" w:hAnsi="Arial" w:cs="Arial"/>
                <w:sz w:val="16"/>
                <w:szCs w:val="16"/>
              </w:rPr>
              <w:t>resistant prostate cancer.</w:t>
            </w:r>
          </w:p>
        </w:tc>
        <w:tc>
          <w:tcPr>
            <w:tcW w:w="938" w:type="pct"/>
            <w:tcMar>
              <w:top w:w="28" w:type="dxa"/>
              <w:left w:w="28" w:type="dxa"/>
              <w:right w:w="57" w:type="dxa"/>
            </w:tcMar>
          </w:tcPr>
          <w:p w14:paraId="6E1C6E53"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9304</w:t>
            </w:r>
          </w:p>
        </w:tc>
      </w:tr>
      <w:tr w:rsidR="008F47B8" w:rsidRPr="006D52A9" w:rsidDel="003340D9" w14:paraId="52F50630" w14:textId="77777777" w:rsidTr="00FB6D2D">
        <w:tc>
          <w:tcPr>
            <w:tcW w:w="647" w:type="pct"/>
            <w:tcMar>
              <w:top w:w="28" w:type="dxa"/>
              <w:left w:w="28" w:type="dxa"/>
            </w:tcMar>
          </w:tcPr>
          <w:p w14:paraId="3A810543" w14:textId="77777777" w:rsidR="008F47B8" w:rsidRPr="006D52A9" w:rsidDel="003340D9" w:rsidRDefault="008F47B8" w:rsidP="00FB6D2D">
            <w:pPr>
              <w:widowControl w:val="0"/>
              <w:spacing w:line="240" w:lineRule="auto"/>
              <w:rPr>
                <w:rFonts w:ascii="Arial" w:hAnsi="Arial" w:cs="Arial"/>
                <w:sz w:val="16"/>
                <w:szCs w:val="16"/>
              </w:rPr>
            </w:pPr>
          </w:p>
        </w:tc>
        <w:tc>
          <w:tcPr>
            <w:tcW w:w="283" w:type="pct"/>
            <w:tcMar>
              <w:top w:w="28" w:type="dxa"/>
              <w:left w:w="28" w:type="dxa"/>
            </w:tcMar>
          </w:tcPr>
          <w:p w14:paraId="02B3A885"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C9317</w:t>
            </w:r>
          </w:p>
        </w:tc>
        <w:tc>
          <w:tcPr>
            <w:tcW w:w="265" w:type="pct"/>
            <w:tcMar>
              <w:top w:w="28" w:type="dxa"/>
              <w:left w:w="28" w:type="dxa"/>
            </w:tcMar>
          </w:tcPr>
          <w:p w14:paraId="4154AD3D" w14:textId="77777777" w:rsidR="008F47B8" w:rsidRPr="006D52A9" w:rsidDel="003340D9" w:rsidRDefault="008F47B8" w:rsidP="00FB6D2D">
            <w:pPr>
              <w:widowControl w:val="0"/>
              <w:spacing w:line="240" w:lineRule="auto"/>
              <w:rPr>
                <w:rFonts w:ascii="Arial" w:hAnsi="Arial" w:cs="Arial"/>
                <w:sz w:val="16"/>
                <w:szCs w:val="16"/>
              </w:rPr>
            </w:pPr>
          </w:p>
        </w:tc>
        <w:tc>
          <w:tcPr>
            <w:tcW w:w="2867" w:type="pct"/>
            <w:tcMar>
              <w:top w:w="28" w:type="dxa"/>
              <w:left w:w="28" w:type="dxa"/>
            </w:tcMar>
          </w:tcPr>
          <w:p w14:paraId="6886DC78"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Hypercalcaemia of malignancy</w:t>
            </w:r>
            <w:r w:rsidRPr="006D52A9">
              <w:rPr>
                <w:szCs w:val="16"/>
              </w:rPr>
              <w:br/>
            </w:r>
            <w:r w:rsidRPr="006D52A9">
              <w:rPr>
                <w:rFonts w:ascii="Arial" w:hAnsi="Arial" w:cs="Arial"/>
                <w:sz w:val="16"/>
                <w:szCs w:val="16"/>
              </w:rPr>
              <w:t>Patient must have a malignancy refractory to anti</w:t>
            </w:r>
            <w:r w:rsidR="0026100E">
              <w:rPr>
                <w:rFonts w:ascii="Arial" w:hAnsi="Arial" w:cs="Arial"/>
                <w:sz w:val="16"/>
                <w:szCs w:val="16"/>
              </w:rPr>
              <w:noBreakHyphen/>
            </w:r>
            <w:r w:rsidRPr="006D52A9">
              <w:rPr>
                <w:rFonts w:ascii="Arial" w:hAnsi="Arial" w:cs="Arial"/>
                <w:sz w:val="16"/>
                <w:szCs w:val="16"/>
              </w:rPr>
              <w:t>neoplastic therapy.</w:t>
            </w:r>
          </w:p>
        </w:tc>
        <w:tc>
          <w:tcPr>
            <w:tcW w:w="938" w:type="pct"/>
            <w:tcMar>
              <w:top w:w="28" w:type="dxa"/>
              <w:left w:w="28" w:type="dxa"/>
              <w:right w:w="57" w:type="dxa"/>
            </w:tcMar>
          </w:tcPr>
          <w:p w14:paraId="18C4DA3D"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9317</w:t>
            </w:r>
          </w:p>
        </w:tc>
      </w:tr>
      <w:tr w:rsidR="008F47B8" w:rsidRPr="006D52A9" w:rsidDel="003340D9" w14:paraId="0216B5D8" w14:textId="77777777" w:rsidTr="00FB6D2D">
        <w:tc>
          <w:tcPr>
            <w:tcW w:w="647" w:type="pct"/>
            <w:tcBorders>
              <w:bottom w:val="single" w:sz="12" w:space="0" w:color="auto"/>
            </w:tcBorders>
            <w:tcMar>
              <w:top w:w="28" w:type="dxa"/>
              <w:left w:w="28" w:type="dxa"/>
            </w:tcMar>
          </w:tcPr>
          <w:p w14:paraId="1CFB49D7" w14:textId="77777777" w:rsidR="008F47B8" w:rsidRPr="006D52A9" w:rsidDel="003340D9" w:rsidRDefault="008F47B8" w:rsidP="00FB6D2D">
            <w:pPr>
              <w:widowControl w:val="0"/>
              <w:spacing w:line="240" w:lineRule="auto"/>
              <w:rPr>
                <w:rFonts w:ascii="Arial" w:hAnsi="Arial" w:cs="Arial"/>
                <w:sz w:val="16"/>
                <w:szCs w:val="16"/>
              </w:rPr>
            </w:pPr>
          </w:p>
        </w:tc>
        <w:tc>
          <w:tcPr>
            <w:tcW w:w="283" w:type="pct"/>
            <w:tcBorders>
              <w:bottom w:val="single" w:sz="12" w:space="0" w:color="auto"/>
            </w:tcBorders>
            <w:tcMar>
              <w:top w:w="28" w:type="dxa"/>
              <w:left w:w="28" w:type="dxa"/>
            </w:tcMar>
          </w:tcPr>
          <w:p w14:paraId="6F4C6DE2"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C9328</w:t>
            </w:r>
          </w:p>
        </w:tc>
        <w:tc>
          <w:tcPr>
            <w:tcW w:w="265" w:type="pct"/>
            <w:tcBorders>
              <w:bottom w:val="single" w:sz="12" w:space="0" w:color="auto"/>
            </w:tcBorders>
            <w:tcMar>
              <w:top w:w="28" w:type="dxa"/>
              <w:left w:w="28" w:type="dxa"/>
            </w:tcMar>
          </w:tcPr>
          <w:p w14:paraId="62205A74" w14:textId="77777777" w:rsidR="008F47B8" w:rsidRPr="006D52A9" w:rsidDel="003340D9" w:rsidRDefault="008F47B8" w:rsidP="00FB6D2D">
            <w:pPr>
              <w:widowControl w:val="0"/>
              <w:spacing w:line="240" w:lineRule="auto"/>
              <w:rPr>
                <w:rFonts w:ascii="Arial" w:hAnsi="Arial" w:cs="Arial"/>
                <w:sz w:val="16"/>
                <w:szCs w:val="16"/>
              </w:rPr>
            </w:pPr>
          </w:p>
        </w:tc>
        <w:tc>
          <w:tcPr>
            <w:tcW w:w="2867" w:type="pct"/>
            <w:tcBorders>
              <w:bottom w:val="single" w:sz="12" w:space="0" w:color="auto"/>
            </w:tcBorders>
            <w:tcMar>
              <w:top w:w="28" w:type="dxa"/>
              <w:left w:w="28" w:type="dxa"/>
            </w:tcMar>
          </w:tcPr>
          <w:p w14:paraId="0E3B0EF4"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Bone metastases</w:t>
            </w:r>
            <w:r w:rsidRPr="006D52A9">
              <w:rPr>
                <w:szCs w:val="16"/>
              </w:rPr>
              <w:br/>
            </w:r>
            <w:r w:rsidRPr="006D52A9">
              <w:rPr>
                <w:rFonts w:ascii="Arial" w:hAnsi="Arial" w:cs="Arial"/>
                <w:sz w:val="16"/>
                <w:szCs w:val="16"/>
              </w:rPr>
              <w:t>The condition must be due to breast cancer.</w:t>
            </w:r>
          </w:p>
        </w:tc>
        <w:tc>
          <w:tcPr>
            <w:tcW w:w="938" w:type="pct"/>
            <w:tcBorders>
              <w:bottom w:val="single" w:sz="12" w:space="0" w:color="auto"/>
            </w:tcBorders>
            <w:tcMar>
              <w:top w:w="28" w:type="dxa"/>
              <w:left w:w="28" w:type="dxa"/>
              <w:right w:w="57" w:type="dxa"/>
            </w:tcMar>
          </w:tcPr>
          <w:p w14:paraId="0AB94EF5" w14:textId="77777777" w:rsidR="008F47B8" w:rsidRPr="006D52A9" w:rsidDel="003340D9" w:rsidRDefault="008F47B8" w:rsidP="00FB6D2D">
            <w:pPr>
              <w:widowControl w:val="0"/>
              <w:spacing w:line="240" w:lineRule="auto"/>
              <w:rPr>
                <w:rFonts w:ascii="Arial" w:hAnsi="Arial" w:cs="Arial"/>
                <w:sz w:val="16"/>
                <w:szCs w:val="16"/>
              </w:rPr>
            </w:pPr>
            <w:r w:rsidRPr="006D52A9">
              <w:rPr>
                <w:rFonts w:ascii="Arial" w:hAnsi="Arial" w:cs="Arial"/>
                <w:sz w:val="16"/>
                <w:szCs w:val="16"/>
              </w:rPr>
              <w:t xml:space="preserve">Compliance with Authority Required procedures </w:t>
            </w:r>
            <w:r w:rsidR="0026100E">
              <w:rPr>
                <w:rFonts w:ascii="Arial" w:hAnsi="Arial" w:cs="Arial"/>
                <w:sz w:val="16"/>
                <w:szCs w:val="16"/>
              </w:rPr>
              <w:noBreakHyphen/>
            </w:r>
            <w:r w:rsidRPr="006D52A9">
              <w:rPr>
                <w:rFonts w:ascii="Arial" w:hAnsi="Arial" w:cs="Arial"/>
                <w:sz w:val="16"/>
                <w:szCs w:val="16"/>
              </w:rPr>
              <w:t xml:space="preserve"> Streamlined Authority Code 9328</w:t>
            </w:r>
          </w:p>
        </w:tc>
      </w:tr>
    </w:tbl>
    <w:p w14:paraId="3C4AD2B8" w14:textId="77777777" w:rsidR="008F47B8" w:rsidRPr="006D52A9" w:rsidRDefault="008F47B8" w:rsidP="008F47B8">
      <w:pPr>
        <w:pStyle w:val="Tabletext"/>
      </w:pPr>
    </w:p>
    <w:p w14:paraId="1D82BFFB" w14:textId="77777777" w:rsidR="00F46970" w:rsidRPr="006D52A9" w:rsidRDefault="00F46970" w:rsidP="00F46970">
      <w:pPr>
        <w:sectPr w:rsidR="00F46970" w:rsidRPr="006D52A9" w:rsidSect="00C71894">
          <w:headerReference w:type="even" r:id="rId36"/>
          <w:headerReference w:type="default" r:id="rId37"/>
          <w:footerReference w:type="even" r:id="rId38"/>
          <w:footerReference w:type="default" r:id="rId39"/>
          <w:pgSz w:w="16839" w:h="11907" w:orient="landscape"/>
          <w:pgMar w:top="1667" w:right="1797" w:bottom="1440" w:left="1797" w:header="720" w:footer="709" w:gutter="0"/>
          <w:cols w:space="708"/>
          <w:docGrid w:linePitch="360"/>
        </w:sectPr>
      </w:pPr>
    </w:p>
    <w:p w14:paraId="3C0BB037" w14:textId="77777777" w:rsidR="00C87851" w:rsidRPr="006D52A9" w:rsidRDefault="007008C3" w:rsidP="00F2307F">
      <w:pPr>
        <w:pStyle w:val="ActHead1"/>
        <w:pageBreakBefore/>
      </w:pPr>
      <w:bookmarkStart w:id="265" w:name="_Toc66968152"/>
      <w:r w:rsidRPr="00A757E4">
        <w:rPr>
          <w:rStyle w:val="CharChapNo"/>
        </w:rPr>
        <w:lastRenderedPageBreak/>
        <w:t>Schedule 4</w:t>
      </w:r>
      <w:r w:rsidR="00F2307F" w:rsidRPr="006D52A9">
        <w:t>—</w:t>
      </w:r>
      <w:r w:rsidR="00F2307F" w:rsidRPr="00A757E4">
        <w:rPr>
          <w:rStyle w:val="CharChapText"/>
        </w:rPr>
        <w:t>HSD pharmaceutical benefits with modified prescription circumstances during COVID</w:t>
      </w:r>
      <w:r w:rsidR="0026100E" w:rsidRPr="00A757E4">
        <w:rPr>
          <w:rStyle w:val="CharChapText"/>
        </w:rPr>
        <w:noBreakHyphen/>
      </w:r>
      <w:r w:rsidR="00F2307F" w:rsidRPr="00A757E4">
        <w:rPr>
          <w:rStyle w:val="CharChapText"/>
        </w:rPr>
        <w:t>19 pandemic</w:t>
      </w:r>
      <w:bookmarkEnd w:id="265"/>
    </w:p>
    <w:p w14:paraId="2773F204" w14:textId="77777777" w:rsidR="00F2307F" w:rsidRPr="00A757E4" w:rsidRDefault="00F2307F" w:rsidP="00F2307F">
      <w:pPr>
        <w:pStyle w:val="Header"/>
      </w:pPr>
      <w:bookmarkStart w:id="266" w:name="f_Check_Lines_below"/>
      <w:bookmarkEnd w:id="266"/>
      <w:r w:rsidRPr="00A757E4">
        <w:rPr>
          <w:rStyle w:val="CharPartNo"/>
        </w:rPr>
        <w:t xml:space="preserve"> </w:t>
      </w:r>
      <w:r w:rsidRPr="00A757E4">
        <w:rPr>
          <w:rStyle w:val="CharPartText"/>
        </w:rPr>
        <w:t xml:space="preserve"> </w:t>
      </w:r>
    </w:p>
    <w:p w14:paraId="26185A99" w14:textId="77777777" w:rsidR="00492219" w:rsidRPr="00A757E4" w:rsidRDefault="00492219" w:rsidP="00F2307F">
      <w:pPr>
        <w:pStyle w:val="Header"/>
      </w:pPr>
      <w:r w:rsidRPr="00A757E4">
        <w:rPr>
          <w:rStyle w:val="CharDivNo"/>
        </w:rPr>
        <w:t xml:space="preserve"> </w:t>
      </w:r>
      <w:r w:rsidRPr="00A757E4">
        <w:rPr>
          <w:rStyle w:val="CharDivText"/>
        </w:rPr>
        <w:t xml:space="preserve"> </w:t>
      </w:r>
    </w:p>
    <w:p w14:paraId="0F585C94" w14:textId="77777777" w:rsidR="00F2307F" w:rsidRPr="006D52A9" w:rsidRDefault="00F2307F" w:rsidP="00F2307F">
      <w:pPr>
        <w:pStyle w:val="notemargin"/>
      </w:pPr>
      <w:r w:rsidRPr="006D52A9">
        <w:t>Note:</w:t>
      </w:r>
      <w:r w:rsidRPr="006D52A9">
        <w:tab/>
        <w:t xml:space="preserve">See </w:t>
      </w:r>
      <w:r w:rsidR="00D66D59">
        <w:t>section 1</w:t>
      </w:r>
      <w:r w:rsidR="005F407C" w:rsidRPr="006D52A9">
        <w:t>7</w:t>
      </w:r>
      <w:r w:rsidRPr="006D52A9">
        <w:t>.</w:t>
      </w:r>
    </w:p>
    <w:p w14:paraId="4BE447B2" w14:textId="77777777" w:rsidR="00BE29F7" w:rsidRPr="006D52A9" w:rsidRDefault="00BE29F7" w:rsidP="00BE29F7">
      <w:pPr>
        <w:pStyle w:val="ActHead5"/>
      </w:pPr>
      <w:bookmarkStart w:id="267" w:name="_Toc66968153"/>
      <w:r w:rsidRPr="00A757E4">
        <w:rPr>
          <w:rStyle w:val="CharSectno"/>
        </w:rPr>
        <w:t>1</w:t>
      </w:r>
      <w:r w:rsidRPr="006D52A9">
        <w:t xml:space="preserve">  HSD pharmaceutical benefits with modified prescription circumstances during COVID</w:t>
      </w:r>
      <w:r w:rsidR="0026100E">
        <w:noBreakHyphen/>
      </w:r>
      <w:r w:rsidRPr="006D52A9">
        <w:t>19 pandemic</w:t>
      </w:r>
      <w:bookmarkEnd w:id="267"/>
    </w:p>
    <w:p w14:paraId="0F9F5EC5" w14:textId="77777777" w:rsidR="00BE29F7" w:rsidRPr="006D52A9" w:rsidRDefault="00BE29F7" w:rsidP="00BE29F7">
      <w:pPr>
        <w:pStyle w:val="subsection"/>
      </w:pPr>
      <w:r w:rsidRPr="006D52A9">
        <w:tab/>
      </w:r>
      <w:r w:rsidRPr="006D52A9">
        <w:tab/>
        <w:t>The following table sets out pharmaceutical items with modified prescription circumstances during</w:t>
      </w:r>
      <w:r w:rsidR="00D30418" w:rsidRPr="006D52A9">
        <w:t xml:space="preserve"> the </w:t>
      </w:r>
      <w:r w:rsidRPr="006D52A9">
        <w:t>COVID</w:t>
      </w:r>
      <w:r w:rsidR="0026100E">
        <w:noBreakHyphen/>
      </w:r>
      <w:r w:rsidRPr="006D52A9">
        <w:t>19 pandemic.</w:t>
      </w:r>
    </w:p>
    <w:p w14:paraId="70035CA4" w14:textId="77777777" w:rsidR="00BE29F7" w:rsidRPr="006D52A9" w:rsidRDefault="00BE29F7" w:rsidP="00BE29F7">
      <w:pPr>
        <w:pStyle w:val="Tabletext"/>
      </w:pPr>
    </w:p>
    <w:tbl>
      <w:tblPr>
        <w:tblW w:w="5000" w:type="pct"/>
        <w:tblBorders>
          <w:top w:val="single" w:sz="12" w:space="0" w:color="auto"/>
        </w:tblBorders>
        <w:tblCellMar>
          <w:top w:w="28" w:type="dxa"/>
          <w:left w:w="28" w:type="dxa"/>
          <w:bottom w:w="28" w:type="dxa"/>
          <w:right w:w="28" w:type="dxa"/>
        </w:tblCellMar>
        <w:tblLook w:val="04A0" w:firstRow="1" w:lastRow="0" w:firstColumn="1" w:lastColumn="0" w:noHBand="0" w:noVBand="1"/>
      </w:tblPr>
      <w:tblGrid>
        <w:gridCol w:w="1830"/>
        <w:gridCol w:w="4720"/>
        <w:gridCol w:w="1819"/>
      </w:tblGrid>
      <w:tr w:rsidR="000661DC" w:rsidRPr="006D52A9" w14:paraId="1D0D0F29" w14:textId="77777777" w:rsidTr="005D437C">
        <w:trPr>
          <w:tblHeader/>
        </w:trPr>
        <w:tc>
          <w:tcPr>
            <w:tcW w:w="5000" w:type="pct"/>
            <w:gridSpan w:val="3"/>
            <w:tcBorders>
              <w:top w:val="single" w:sz="12" w:space="0" w:color="auto"/>
              <w:bottom w:val="single" w:sz="6" w:space="0" w:color="auto"/>
            </w:tcBorders>
            <w:shd w:val="clear" w:color="auto" w:fill="auto"/>
            <w:vAlign w:val="bottom"/>
          </w:tcPr>
          <w:p w14:paraId="4C05FECE" w14:textId="77777777" w:rsidR="000661DC" w:rsidRPr="006D52A9" w:rsidRDefault="000661DC" w:rsidP="005D437C">
            <w:pPr>
              <w:pStyle w:val="TableHeading"/>
              <w:rPr>
                <w:rFonts w:eastAsia="Calibri"/>
                <w:lang w:eastAsia="en-US"/>
              </w:rPr>
            </w:pPr>
            <w:r w:rsidRPr="006D52A9">
              <w:rPr>
                <w:rFonts w:eastAsia="Calibri"/>
                <w:lang w:eastAsia="en-US"/>
              </w:rPr>
              <w:t>Pharmaceutical items with modified prescription circumstances during COVID</w:t>
            </w:r>
            <w:r w:rsidR="0026100E">
              <w:rPr>
                <w:rFonts w:eastAsia="Calibri"/>
                <w:lang w:eastAsia="en-US"/>
              </w:rPr>
              <w:noBreakHyphen/>
            </w:r>
            <w:r w:rsidRPr="006D52A9">
              <w:rPr>
                <w:rFonts w:eastAsia="Calibri"/>
                <w:lang w:eastAsia="en-US"/>
              </w:rPr>
              <w:t>19 pandemic</w:t>
            </w:r>
          </w:p>
        </w:tc>
      </w:tr>
      <w:tr w:rsidR="000661DC" w:rsidRPr="006D52A9" w14:paraId="28C0EA1E" w14:textId="77777777" w:rsidTr="00EA57EB">
        <w:trPr>
          <w:tblHeader/>
        </w:trPr>
        <w:tc>
          <w:tcPr>
            <w:tcW w:w="1093" w:type="pct"/>
            <w:tcBorders>
              <w:top w:val="single" w:sz="6" w:space="0" w:color="auto"/>
              <w:bottom w:val="single" w:sz="12" w:space="0" w:color="auto"/>
            </w:tcBorders>
            <w:shd w:val="clear" w:color="auto" w:fill="auto"/>
            <w:vAlign w:val="bottom"/>
          </w:tcPr>
          <w:p w14:paraId="190B6812" w14:textId="77777777" w:rsidR="000661DC" w:rsidRPr="006D52A9" w:rsidRDefault="000661DC" w:rsidP="005D437C">
            <w:pPr>
              <w:pStyle w:val="TableHeading"/>
              <w:rPr>
                <w:rFonts w:eastAsia="Calibri"/>
                <w:lang w:eastAsia="en-US"/>
              </w:rPr>
            </w:pPr>
            <w:r w:rsidRPr="006D52A9">
              <w:rPr>
                <w:rFonts w:eastAsia="Calibri"/>
                <w:lang w:eastAsia="en-US"/>
              </w:rPr>
              <w:t>Listed drug</w:t>
            </w:r>
          </w:p>
        </w:tc>
        <w:tc>
          <w:tcPr>
            <w:tcW w:w="2820" w:type="pct"/>
            <w:tcBorders>
              <w:top w:val="single" w:sz="6" w:space="0" w:color="auto"/>
              <w:bottom w:val="single" w:sz="12" w:space="0" w:color="auto"/>
            </w:tcBorders>
            <w:shd w:val="clear" w:color="auto" w:fill="auto"/>
            <w:vAlign w:val="bottom"/>
          </w:tcPr>
          <w:p w14:paraId="65A43BA6" w14:textId="77777777" w:rsidR="000661DC" w:rsidRPr="006D52A9" w:rsidRDefault="000661DC" w:rsidP="005D437C">
            <w:pPr>
              <w:pStyle w:val="TableHeading"/>
              <w:rPr>
                <w:rFonts w:eastAsia="Calibri"/>
                <w:lang w:eastAsia="en-US"/>
              </w:rPr>
            </w:pPr>
            <w:r w:rsidRPr="006D52A9">
              <w:rPr>
                <w:rFonts w:eastAsia="Calibri"/>
                <w:lang w:eastAsia="en-US"/>
              </w:rPr>
              <w:t>Form</w:t>
            </w:r>
          </w:p>
        </w:tc>
        <w:tc>
          <w:tcPr>
            <w:tcW w:w="1087" w:type="pct"/>
            <w:tcBorders>
              <w:top w:val="single" w:sz="6" w:space="0" w:color="auto"/>
              <w:bottom w:val="single" w:sz="12" w:space="0" w:color="auto"/>
            </w:tcBorders>
            <w:shd w:val="clear" w:color="auto" w:fill="auto"/>
            <w:vAlign w:val="bottom"/>
          </w:tcPr>
          <w:p w14:paraId="68914996" w14:textId="77777777" w:rsidR="000661DC" w:rsidRPr="006D52A9" w:rsidRDefault="000661DC" w:rsidP="005D437C">
            <w:pPr>
              <w:pStyle w:val="TableHeading"/>
              <w:rPr>
                <w:rFonts w:eastAsia="Calibri"/>
                <w:lang w:eastAsia="en-US"/>
              </w:rPr>
            </w:pPr>
            <w:r w:rsidRPr="006D52A9">
              <w:rPr>
                <w:rFonts w:eastAsia="Calibri"/>
                <w:lang w:eastAsia="en-US"/>
              </w:rPr>
              <w:t>Manner of administration</w:t>
            </w:r>
          </w:p>
        </w:tc>
      </w:tr>
      <w:tr w:rsidR="000661DC" w:rsidRPr="006D52A9" w14:paraId="171362C1" w14:textId="77777777" w:rsidTr="00EA57EB">
        <w:tc>
          <w:tcPr>
            <w:tcW w:w="1093" w:type="pct"/>
            <w:tcBorders>
              <w:top w:val="single" w:sz="12" w:space="0" w:color="auto"/>
              <w:bottom w:val="single" w:sz="2" w:space="0" w:color="auto"/>
            </w:tcBorders>
            <w:shd w:val="clear" w:color="auto" w:fill="auto"/>
          </w:tcPr>
          <w:p w14:paraId="0BE24696" w14:textId="77777777" w:rsidR="000661DC" w:rsidRPr="006D52A9" w:rsidRDefault="000661DC" w:rsidP="005D437C">
            <w:pPr>
              <w:pStyle w:val="Tabletext"/>
              <w:rPr>
                <w:rFonts w:eastAsia="Calibri"/>
                <w:lang w:eastAsia="en-US"/>
              </w:rPr>
            </w:pPr>
            <w:r w:rsidRPr="006D52A9">
              <w:rPr>
                <w:rFonts w:eastAsia="Calibri"/>
                <w:lang w:eastAsia="en-US"/>
              </w:rPr>
              <w:t>Abatacept</w:t>
            </w:r>
          </w:p>
        </w:tc>
        <w:tc>
          <w:tcPr>
            <w:tcW w:w="2820" w:type="pct"/>
            <w:tcBorders>
              <w:top w:val="single" w:sz="12" w:space="0" w:color="auto"/>
              <w:bottom w:val="single" w:sz="2" w:space="0" w:color="auto"/>
            </w:tcBorders>
            <w:shd w:val="clear" w:color="auto" w:fill="auto"/>
          </w:tcPr>
          <w:p w14:paraId="02BA9920" w14:textId="77777777" w:rsidR="000661DC" w:rsidRPr="006D52A9" w:rsidRDefault="000661DC" w:rsidP="005D437C">
            <w:pPr>
              <w:pStyle w:val="Tabletext"/>
              <w:rPr>
                <w:rFonts w:eastAsia="Calibri"/>
                <w:lang w:eastAsia="en-US"/>
              </w:rPr>
            </w:pPr>
            <w:r w:rsidRPr="006D52A9">
              <w:rPr>
                <w:rFonts w:eastAsia="Calibri"/>
                <w:lang w:eastAsia="en-US"/>
              </w:rPr>
              <w:t>Powder for I.V. infusion 250 mg</w:t>
            </w:r>
          </w:p>
        </w:tc>
        <w:tc>
          <w:tcPr>
            <w:tcW w:w="1087" w:type="pct"/>
            <w:tcBorders>
              <w:top w:val="single" w:sz="12" w:space="0" w:color="auto"/>
              <w:bottom w:val="single" w:sz="2" w:space="0" w:color="auto"/>
            </w:tcBorders>
            <w:shd w:val="clear" w:color="auto" w:fill="auto"/>
          </w:tcPr>
          <w:p w14:paraId="4B910FAE"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660D6BD8" w14:textId="77777777" w:rsidTr="00EA57EB">
        <w:tc>
          <w:tcPr>
            <w:tcW w:w="1093" w:type="pct"/>
            <w:tcBorders>
              <w:top w:val="single" w:sz="2" w:space="0" w:color="auto"/>
              <w:bottom w:val="single" w:sz="2" w:space="0" w:color="auto"/>
            </w:tcBorders>
            <w:shd w:val="clear" w:color="auto" w:fill="auto"/>
          </w:tcPr>
          <w:p w14:paraId="5DC036BE" w14:textId="77777777" w:rsidR="000661DC" w:rsidRPr="006D52A9" w:rsidRDefault="000661DC" w:rsidP="005D437C">
            <w:pPr>
              <w:pStyle w:val="Tabletext"/>
              <w:rPr>
                <w:rFonts w:eastAsia="Calibri"/>
                <w:lang w:eastAsia="en-US"/>
              </w:rPr>
            </w:pPr>
            <w:r w:rsidRPr="006D52A9">
              <w:rPr>
                <w:rFonts w:eastAsia="Calibri"/>
                <w:lang w:eastAsia="en-US"/>
              </w:rPr>
              <w:t>Adalimumab</w:t>
            </w:r>
          </w:p>
        </w:tc>
        <w:tc>
          <w:tcPr>
            <w:tcW w:w="2820" w:type="pct"/>
            <w:tcBorders>
              <w:top w:val="single" w:sz="2" w:space="0" w:color="auto"/>
              <w:bottom w:val="single" w:sz="2" w:space="0" w:color="auto"/>
            </w:tcBorders>
            <w:shd w:val="clear" w:color="auto" w:fill="auto"/>
          </w:tcPr>
          <w:p w14:paraId="3200EC71" w14:textId="77777777" w:rsidR="000661DC" w:rsidRPr="006D52A9" w:rsidRDefault="000661DC" w:rsidP="005D437C">
            <w:pPr>
              <w:pStyle w:val="Tabletext"/>
              <w:rPr>
                <w:rFonts w:eastAsia="Calibri"/>
                <w:lang w:eastAsia="en-US"/>
              </w:rPr>
            </w:pPr>
            <w:r w:rsidRPr="006D52A9">
              <w:rPr>
                <w:rFonts w:eastAsia="Calibri"/>
                <w:lang w:eastAsia="en-US"/>
              </w:rPr>
              <w:t>Injection 20 mg in 0.4 mL pre</w:t>
            </w:r>
            <w:r w:rsidR="0026100E">
              <w:rPr>
                <w:rFonts w:eastAsia="Calibri"/>
                <w:lang w:eastAsia="en-US"/>
              </w:rPr>
              <w:noBreakHyphen/>
            </w:r>
            <w:r w:rsidRPr="006D52A9">
              <w:rPr>
                <w:rFonts w:eastAsia="Calibri"/>
                <w:lang w:eastAsia="en-US"/>
              </w:rPr>
              <w:t>filled syringe</w:t>
            </w:r>
          </w:p>
        </w:tc>
        <w:tc>
          <w:tcPr>
            <w:tcW w:w="1087" w:type="pct"/>
            <w:tcBorders>
              <w:top w:val="single" w:sz="2" w:space="0" w:color="auto"/>
              <w:bottom w:val="single" w:sz="2" w:space="0" w:color="auto"/>
            </w:tcBorders>
            <w:shd w:val="clear" w:color="auto" w:fill="auto"/>
          </w:tcPr>
          <w:p w14:paraId="687B8796"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32A6D4B7" w14:textId="77777777" w:rsidTr="00EA57EB">
        <w:tc>
          <w:tcPr>
            <w:tcW w:w="1093" w:type="pct"/>
            <w:tcBorders>
              <w:top w:val="single" w:sz="2" w:space="0" w:color="auto"/>
              <w:bottom w:val="single" w:sz="2" w:space="0" w:color="auto"/>
            </w:tcBorders>
            <w:shd w:val="clear" w:color="auto" w:fill="auto"/>
          </w:tcPr>
          <w:p w14:paraId="2BEF1BF4" w14:textId="77777777" w:rsidR="000661DC" w:rsidRPr="006D52A9" w:rsidRDefault="000661DC" w:rsidP="005D437C">
            <w:pPr>
              <w:pStyle w:val="Tabletext"/>
              <w:rPr>
                <w:rFonts w:eastAsia="Calibri"/>
                <w:lang w:eastAsia="en-US"/>
              </w:rPr>
            </w:pPr>
            <w:r w:rsidRPr="006D52A9">
              <w:rPr>
                <w:rFonts w:eastAsia="Calibri"/>
                <w:lang w:eastAsia="en-US"/>
              </w:rPr>
              <w:t>Adalimumab</w:t>
            </w:r>
          </w:p>
        </w:tc>
        <w:tc>
          <w:tcPr>
            <w:tcW w:w="2820" w:type="pct"/>
            <w:tcBorders>
              <w:top w:val="single" w:sz="2" w:space="0" w:color="auto"/>
              <w:bottom w:val="single" w:sz="2" w:space="0" w:color="auto"/>
            </w:tcBorders>
            <w:shd w:val="clear" w:color="auto" w:fill="auto"/>
          </w:tcPr>
          <w:p w14:paraId="0F103B5B" w14:textId="77777777" w:rsidR="000661DC" w:rsidRPr="006D52A9" w:rsidRDefault="000661DC" w:rsidP="005D437C">
            <w:pPr>
              <w:pStyle w:val="Tabletext"/>
              <w:rPr>
                <w:rFonts w:eastAsia="Calibri"/>
                <w:lang w:eastAsia="en-US"/>
              </w:rPr>
            </w:pPr>
            <w:r w:rsidRPr="006D52A9">
              <w:rPr>
                <w:rFonts w:eastAsia="Calibri"/>
                <w:lang w:eastAsia="en-US"/>
              </w:rPr>
              <w:t>Injection 40 mg in 0.8 mL pre</w:t>
            </w:r>
            <w:r w:rsidR="0026100E">
              <w:rPr>
                <w:rFonts w:eastAsia="Calibri"/>
                <w:lang w:eastAsia="en-US"/>
              </w:rPr>
              <w:noBreakHyphen/>
            </w:r>
            <w:r w:rsidRPr="006D52A9">
              <w:rPr>
                <w:rFonts w:eastAsia="Calibri"/>
                <w:lang w:eastAsia="en-US"/>
              </w:rPr>
              <w:t>filled syringe</w:t>
            </w:r>
          </w:p>
        </w:tc>
        <w:tc>
          <w:tcPr>
            <w:tcW w:w="1087" w:type="pct"/>
            <w:tcBorders>
              <w:top w:val="single" w:sz="2" w:space="0" w:color="auto"/>
              <w:bottom w:val="single" w:sz="2" w:space="0" w:color="auto"/>
            </w:tcBorders>
            <w:shd w:val="clear" w:color="auto" w:fill="auto"/>
          </w:tcPr>
          <w:p w14:paraId="7CC1D21E"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3FA2F986" w14:textId="77777777" w:rsidTr="00EA57EB">
        <w:tc>
          <w:tcPr>
            <w:tcW w:w="1093" w:type="pct"/>
            <w:tcBorders>
              <w:top w:val="single" w:sz="2" w:space="0" w:color="auto"/>
              <w:bottom w:val="single" w:sz="2" w:space="0" w:color="auto"/>
            </w:tcBorders>
            <w:shd w:val="clear" w:color="auto" w:fill="auto"/>
          </w:tcPr>
          <w:p w14:paraId="453B4839" w14:textId="77777777" w:rsidR="000661DC" w:rsidRPr="006D52A9" w:rsidRDefault="000661DC" w:rsidP="005D437C">
            <w:pPr>
              <w:pStyle w:val="Tabletext"/>
              <w:rPr>
                <w:rFonts w:eastAsia="Calibri"/>
                <w:lang w:eastAsia="en-US"/>
              </w:rPr>
            </w:pPr>
            <w:r w:rsidRPr="006D52A9">
              <w:rPr>
                <w:rFonts w:eastAsia="Calibri"/>
                <w:lang w:eastAsia="en-US"/>
              </w:rPr>
              <w:t>Adalimumab</w:t>
            </w:r>
          </w:p>
        </w:tc>
        <w:tc>
          <w:tcPr>
            <w:tcW w:w="2820" w:type="pct"/>
            <w:tcBorders>
              <w:top w:val="single" w:sz="2" w:space="0" w:color="auto"/>
              <w:bottom w:val="single" w:sz="2" w:space="0" w:color="auto"/>
            </w:tcBorders>
            <w:shd w:val="clear" w:color="auto" w:fill="auto"/>
          </w:tcPr>
          <w:p w14:paraId="0E4E8116" w14:textId="77777777" w:rsidR="000661DC" w:rsidRPr="006D52A9" w:rsidRDefault="000661DC" w:rsidP="005D437C">
            <w:pPr>
              <w:pStyle w:val="Tabletext"/>
              <w:rPr>
                <w:rFonts w:eastAsia="Calibri"/>
                <w:lang w:eastAsia="en-US"/>
              </w:rPr>
            </w:pPr>
            <w:r w:rsidRPr="006D52A9">
              <w:rPr>
                <w:rFonts w:eastAsia="Calibri"/>
                <w:lang w:eastAsia="en-US"/>
              </w:rPr>
              <w:t>Injection 40 mg in 0.8 mL pre</w:t>
            </w:r>
            <w:r w:rsidR="0026100E">
              <w:rPr>
                <w:rFonts w:eastAsia="Calibri"/>
                <w:lang w:eastAsia="en-US"/>
              </w:rPr>
              <w:noBreakHyphen/>
            </w:r>
            <w:r w:rsidRPr="006D52A9">
              <w:rPr>
                <w:rFonts w:eastAsia="Calibri"/>
                <w:lang w:eastAsia="en-US"/>
              </w:rPr>
              <w:t>filled pen</w:t>
            </w:r>
          </w:p>
        </w:tc>
        <w:tc>
          <w:tcPr>
            <w:tcW w:w="1087" w:type="pct"/>
            <w:tcBorders>
              <w:top w:val="single" w:sz="2" w:space="0" w:color="auto"/>
              <w:bottom w:val="single" w:sz="2" w:space="0" w:color="auto"/>
            </w:tcBorders>
            <w:shd w:val="clear" w:color="auto" w:fill="auto"/>
          </w:tcPr>
          <w:p w14:paraId="74BADC51"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6905AA49" w14:textId="77777777" w:rsidTr="00EA57EB">
        <w:tc>
          <w:tcPr>
            <w:tcW w:w="1093" w:type="pct"/>
            <w:tcBorders>
              <w:top w:val="single" w:sz="2" w:space="0" w:color="auto"/>
              <w:bottom w:val="single" w:sz="2" w:space="0" w:color="auto"/>
            </w:tcBorders>
            <w:shd w:val="clear" w:color="auto" w:fill="auto"/>
          </w:tcPr>
          <w:p w14:paraId="6A4B6B4F" w14:textId="77777777" w:rsidR="000661DC" w:rsidRPr="006D52A9" w:rsidRDefault="000661DC" w:rsidP="005D437C">
            <w:pPr>
              <w:pStyle w:val="Tabletext"/>
              <w:rPr>
                <w:rFonts w:eastAsia="Calibri"/>
                <w:lang w:eastAsia="en-US"/>
              </w:rPr>
            </w:pPr>
            <w:r w:rsidRPr="006D52A9">
              <w:rPr>
                <w:rFonts w:eastAsia="Calibri"/>
                <w:lang w:eastAsia="en-US"/>
              </w:rPr>
              <w:t>Ambrisentan</w:t>
            </w:r>
          </w:p>
        </w:tc>
        <w:tc>
          <w:tcPr>
            <w:tcW w:w="2820" w:type="pct"/>
            <w:tcBorders>
              <w:top w:val="single" w:sz="2" w:space="0" w:color="auto"/>
              <w:bottom w:val="single" w:sz="2" w:space="0" w:color="auto"/>
            </w:tcBorders>
            <w:shd w:val="clear" w:color="auto" w:fill="auto"/>
          </w:tcPr>
          <w:p w14:paraId="6A60A989" w14:textId="77777777" w:rsidR="000661DC" w:rsidRPr="006D52A9" w:rsidRDefault="000661DC" w:rsidP="005D437C">
            <w:pPr>
              <w:pStyle w:val="Tabletext"/>
              <w:rPr>
                <w:rFonts w:eastAsia="Calibri"/>
                <w:lang w:eastAsia="en-US"/>
              </w:rPr>
            </w:pPr>
            <w:r w:rsidRPr="006D52A9">
              <w:rPr>
                <w:rFonts w:eastAsia="Calibri"/>
                <w:lang w:eastAsia="en-US"/>
              </w:rPr>
              <w:t>Tablet 5 mg</w:t>
            </w:r>
          </w:p>
        </w:tc>
        <w:tc>
          <w:tcPr>
            <w:tcW w:w="1087" w:type="pct"/>
            <w:tcBorders>
              <w:top w:val="single" w:sz="2" w:space="0" w:color="auto"/>
              <w:bottom w:val="single" w:sz="2" w:space="0" w:color="auto"/>
            </w:tcBorders>
            <w:shd w:val="clear" w:color="auto" w:fill="auto"/>
          </w:tcPr>
          <w:p w14:paraId="1954E5EE"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63B3A264" w14:textId="77777777" w:rsidTr="00EA57EB">
        <w:tc>
          <w:tcPr>
            <w:tcW w:w="1093" w:type="pct"/>
            <w:tcBorders>
              <w:top w:val="single" w:sz="2" w:space="0" w:color="auto"/>
              <w:bottom w:val="single" w:sz="2" w:space="0" w:color="auto"/>
            </w:tcBorders>
            <w:shd w:val="clear" w:color="auto" w:fill="auto"/>
          </w:tcPr>
          <w:p w14:paraId="19628FA8" w14:textId="77777777" w:rsidR="000661DC" w:rsidRPr="006D52A9" w:rsidRDefault="000661DC" w:rsidP="005D437C">
            <w:pPr>
              <w:pStyle w:val="Tabletext"/>
              <w:rPr>
                <w:rFonts w:eastAsia="Calibri"/>
                <w:lang w:eastAsia="en-US"/>
              </w:rPr>
            </w:pPr>
            <w:r w:rsidRPr="006D52A9">
              <w:rPr>
                <w:rFonts w:eastAsia="Calibri"/>
                <w:lang w:eastAsia="en-US"/>
              </w:rPr>
              <w:t>Ambrisentan</w:t>
            </w:r>
          </w:p>
        </w:tc>
        <w:tc>
          <w:tcPr>
            <w:tcW w:w="2820" w:type="pct"/>
            <w:tcBorders>
              <w:top w:val="single" w:sz="2" w:space="0" w:color="auto"/>
              <w:bottom w:val="single" w:sz="2" w:space="0" w:color="auto"/>
            </w:tcBorders>
            <w:shd w:val="clear" w:color="auto" w:fill="auto"/>
          </w:tcPr>
          <w:p w14:paraId="752DF167" w14:textId="77777777" w:rsidR="000661DC" w:rsidRPr="006D52A9" w:rsidRDefault="000661DC" w:rsidP="005D437C">
            <w:pPr>
              <w:pStyle w:val="Tabletext"/>
              <w:rPr>
                <w:rFonts w:eastAsia="Calibri"/>
                <w:lang w:eastAsia="en-US"/>
              </w:rPr>
            </w:pPr>
            <w:r w:rsidRPr="006D52A9">
              <w:rPr>
                <w:rFonts w:eastAsia="Calibri"/>
                <w:lang w:eastAsia="en-US"/>
              </w:rPr>
              <w:t>Tablet 10 mg</w:t>
            </w:r>
          </w:p>
        </w:tc>
        <w:tc>
          <w:tcPr>
            <w:tcW w:w="1087" w:type="pct"/>
            <w:tcBorders>
              <w:top w:val="single" w:sz="2" w:space="0" w:color="auto"/>
              <w:bottom w:val="single" w:sz="2" w:space="0" w:color="auto"/>
            </w:tcBorders>
            <w:shd w:val="clear" w:color="auto" w:fill="auto"/>
          </w:tcPr>
          <w:p w14:paraId="7E92E04B"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32F4F524" w14:textId="77777777" w:rsidTr="00EA57EB">
        <w:tc>
          <w:tcPr>
            <w:tcW w:w="1093" w:type="pct"/>
            <w:tcBorders>
              <w:top w:val="single" w:sz="2" w:space="0" w:color="auto"/>
              <w:bottom w:val="single" w:sz="2" w:space="0" w:color="auto"/>
            </w:tcBorders>
            <w:shd w:val="clear" w:color="auto" w:fill="auto"/>
          </w:tcPr>
          <w:p w14:paraId="7D69CDFC" w14:textId="77777777" w:rsidR="000661DC" w:rsidRPr="006D52A9" w:rsidRDefault="000661DC" w:rsidP="005D437C">
            <w:pPr>
              <w:pStyle w:val="Tabletext"/>
              <w:rPr>
                <w:rFonts w:eastAsia="Calibri"/>
                <w:lang w:eastAsia="en-US"/>
              </w:rPr>
            </w:pPr>
            <w:r w:rsidRPr="006D52A9">
              <w:rPr>
                <w:rFonts w:eastAsia="Calibri"/>
                <w:lang w:eastAsia="en-US"/>
              </w:rPr>
              <w:t>Benralizumab</w:t>
            </w:r>
          </w:p>
        </w:tc>
        <w:tc>
          <w:tcPr>
            <w:tcW w:w="2820" w:type="pct"/>
            <w:tcBorders>
              <w:top w:val="single" w:sz="2" w:space="0" w:color="auto"/>
              <w:bottom w:val="single" w:sz="2" w:space="0" w:color="auto"/>
            </w:tcBorders>
            <w:shd w:val="clear" w:color="auto" w:fill="auto"/>
          </w:tcPr>
          <w:p w14:paraId="5F103FD2" w14:textId="77777777" w:rsidR="000661DC" w:rsidRPr="006D52A9" w:rsidRDefault="000661DC" w:rsidP="005D437C">
            <w:pPr>
              <w:pStyle w:val="Tabletext"/>
              <w:rPr>
                <w:rFonts w:eastAsia="Calibri"/>
                <w:lang w:eastAsia="en-US"/>
              </w:rPr>
            </w:pPr>
            <w:r w:rsidRPr="006D52A9">
              <w:rPr>
                <w:rFonts w:eastAsia="Calibri"/>
                <w:lang w:eastAsia="en-US"/>
              </w:rPr>
              <w:t>Injection 30 mg in 1 mL single dose pre</w:t>
            </w:r>
            <w:r w:rsidR="0026100E">
              <w:rPr>
                <w:rFonts w:eastAsia="Calibri"/>
                <w:lang w:eastAsia="en-US"/>
              </w:rPr>
              <w:noBreakHyphen/>
            </w:r>
            <w:r w:rsidRPr="006D52A9">
              <w:rPr>
                <w:rFonts w:eastAsia="Calibri"/>
                <w:lang w:eastAsia="en-US"/>
              </w:rPr>
              <w:t>filled syringe</w:t>
            </w:r>
          </w:p>
        </w:tc>
        <w:tc>
          <w:tcPr>
            <w:tcW w:w="1087" w:type="pct"/>
            <w:tcBorders>
              <w:top w:val="single" w:sz="2" w:space="0" w:color="auto"/>
              <w:bottom w:val="single" w:sz="2" w:space="0" w:color="auto"/>
            </w:tcBorders>
            <w:shd w:val="clear" w:color="auto" w:fill="auto"/>
          </w:tcPr>
          <w:p w14:paraId="0D6D3E1F"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6BD7BD53" w14:textId="77777777" w:rsidTr="00EA57EB">
        <w:tc>
          <w:tcPr>
            <w:tcW w:w="1093" w:type="pct"/>
            <w:tcBorders>
              <w:top w:val="single" w:sz="2" w:space="0" w:color="auto"/>
              <w:bottom w:val="single" w:sz="2" w:space="0" w:color="auto"/>
            </w:tcBorders>
            <w:shd w:val="clear" w:color="auto" w:fill="auto"/>
          </w:tcPr>
          <w:p w14:paraId="7A6D43A9" w14:textId="77777777" w:rsidR="000661DC" w:rsidRPr="006D52A9" w:rsidRDefault="000661DC" w:rsidP="005D437C">
            <w:pPr>
              <w:pStyle w:val="Tabletext"/>
              <w:rPr>
                <w:rFonts w:eastAsia="Calibri"/>
                <w:lang w:eastAsia="en-US"/>
              </w:rPr>
            </w:pPr>
            <w:r w:rsidRPr="006D52A9">
              <w:rPr>
                <w:rFonts w:eastAsia="Calibri"/>
                <w:lang w:eastAsia="en-US"/>
              </w:rPr>
              <w:t>Benralizumab</w:t>
            </w:r>
          </w:p>
        </w:tc>
        <w:tc>
          <w:tcPr>
            <w:tcW w:w="2820" w:type="pct"/>
            <w:tcBorders>
              <w:top w:val="single" w:sz="2" w:space="0" w:color="auto"/>
              <w:bottom w:val="single" w:sz="2" w:space="0" w:color="auto"/>
            </w:tcBorders>
            <w:shd w:val="clear" w:color="auto" w:fill="auto"/>
          </w:tcPr>
          <w:p w14:paraId="4CC9A594" w14:textId="77777777" w:rsidR="000661DC" w:rsidRPr="006D52A9" w:rsidRDefault="000661DC" w:rsidP="005D437C">
            <w:pPr>
              <w:pStyle w:val="Tabletext"/>
              <w:rPr>
                <w:rFonts w:eastAsia="Calibri"/>
                <w:lang w:eastAsia="en-US"/>
              </w:rPr>
            </w:pPr>
            <w:r w:rsidRPr="006D52A9">
              <w:rPr>
                <w:rFonts w:eastAsia="Calibri"/>
                <w:lang w:eastAsia="en-US"/>
              </w:rPr>
              <w:t>Injection 30 mg in 1 mL single dose pre</w:t>
            </w:r>
            <w:r w:rsidR="0026100E">
              <w:rPr>
                <w:rFonts w:eastAsia="Calibri"/>
                <w:lang w:eastAsia="en-US"/>
              </w:rPr>
              <w:noBreakHyphen/>
            </w:r>
            <w:r w:rsidRPr="006D52A9">
              <w:rPr>
                <w:rFonts w:eastAsia="Calibri"/>
                <w:lang w:eastAsia="en-US"/>
              </w:rPr>
              <w:t>filled pen</w:t>
            </w:r>
          </w:p>
        </w:tc>
        <w:tc>
          <w:tcPr>
            <w:tcW w:w="1087" w:type="pct"/>
            <w:tcBorders>
              <w:top w:val="single" w:sz="2" w:space="0" w:color="auto"/>
              <w:bottom w:val="single" w:sz="2" w:space="0" w:color="auto"/>
            </w:tcBorders>
            <w:shd w:val="clear" w:color="auto" w:fill="auto"/>
          </w:tcPr>
          <w:p w14:paraId="6EE1E9EB"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520EC122" w14:textId="77777777" w:rsidTr="00EA57EB">
        <w:tc>
          <w:tcPr>
            <w:tcW w:w="1093" w:type="pct"/>
            <w:tcBorders>
              <w:top w:val="single" w:sz="2" w:space="0" w:color="auto"/>
              <w:bottom w:val="single" w:sz="2" w:space="0" w:color="auto"/>
            </w:tcBorders>
            <w:shd w:val="clear" w:color="auto" w:fill="auto"/>
          </w:tcPr>
          <w:p w14:paraId="4E871B27" w14:textId="77777777" w:rsidR="000661DC" w:rsidRPr="006D52A9" w:rsidRDefault="000661DC" w:rsidP="005D437C">
            <w:pPr>
              <w:pStyle w:val="Tabletext"/>
              <w:rPr>
                <w:rFonts w:eastAsia="Calibri"/>
                <w:lang w:eastAsia="en-US"/>
              </w:rPr>
            </w:pPr>
            <w:r w:rsidRPr="006D52A9">
              <w:rPr>
                <w:rFonts w:eastAsia="Calibri"/>
                <w:lang w:eastAsia="en-US"/>
              </w:rPr>
              <w:t>Bosentan</w:t>
            </w:r>
          </w:p>
        </w:tc>
        <w:tc>
          <w:tcPr>
            <w:tcW w:w="2820" w:type="pct"/>
            <w:tcBorders>
              <w:top w:val="single" w:sz="2" w:space="0" w:color="auto"/>
              <w:bottom w:val="single" w:sz="2" w:space="0" w:color="auto"/>
            </w:tcBorders>
            <w:shd w:val="clear" w:color="auto" w:fill="auto"/>
          </w:tcPr>
          <w:p w14:paraId="302986B4" w14:textId="77777777" w:rsidR="000661DC" w:rsidRPr="006D52A9" w:rsidRDefault="000661DC" w:rsidP="005D437C">
            <w:pPr>
              <w:pStyle w:val="Tabletext"/>
              <w:rPr>
                <w:rFonts w:eastAsia="Calibri"/>
                <w:lang w:eastAsia="en-US"/>
              </w:rPr>
            </w:pPr>
            <w:r w:rsidRPr="006D52A9">
              <w:rPr>
                <w:rFonts w:eastAsia="Calibri"/>
                <w:lang w:eastAsia="en-US"/>
              </w:rPr>
              <w:t>Tablet 62.5 mg (as monohydrate)</w:t>
            </w:r>
          </w:p>
        </w:tc>
        <w:tc>
          <w:tcPr>
            <w:tcW w:w="1087" w:type="pct"/>
            <w:tcBorders>
              <w:top w:val="single" w:sz="2" w:space="0" w:color="auto"/>
              <w:bottom w:val="single" w:sz="2" w:space="0" w:color="auto"/>
            </w:tcBorders>
            <w:shd w:val="clear" w:color="auto" w:fill="auto"/>
          </w:tcPr>
          <w:p w14:paraId="44217192"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40E54D54" w14:textId="77777777" w:rsidTr="00EA57EB">
        <w:tc>
          <w:tcPr>
            <w:tcW w:w="1093" w:type="pct"/>
            <w:tcBorders>
              <w:top w:val="single" w:sz="2" w:space="0" w:color="auto"/>
              <w:bottom w:val="single" w:sz="2" w:space="0" w:color="auto"/>
            </w:tcBorders>
            <w:shd w:val="clear" w:color="auto" w:fill="auto"/>
          </w:tcPr>
          <w:p w14:paraId="1B14200D" w14:textId="77777777" w:rsidR="000661DC" w:rsidRPr="006D52A9" w:rsidRDefault="000661DC" w:rsidP="005D437C">
            <w:pPr>
              <w:pStyle w:val="Tabletext"/>
              <w:rPr>
                <w:rFonts w:eastAsia="Calibri"/>
                <w:lang w:eastAsia="en-US"/>
              </w:rPr>
            </w:pPr>
            <w:r w:rsidRPr="006D52A9">
              <w:rPr>
                <w:rFonts w:eastAsia="Calibri"/>
                <w:lang w:eastAsia="en-US"/>
              </w:rPr>
              <w:t>Bosentan</w:t>
            </w:r>
          </w:p>
        </w:tc>
        <w:tc>
          <w:tcPr>
            <w:tcW w:w="2820" w:type="pct"/>
            <w:tcBorders>
              <w:top w:val="single" w:sz="2" w:space="0" w:color="auto"/>
              <w:bottom w:val="single" w:sz="2" w:space="0" w:color="auto"/>
            </w:tcBorders>
            <w:shd w:val="clear" w:color="auto" w:fill="auto"/>
          </w:tcPr>
          <w:p w14:paraId="6E1E5F5F" w14:textId="77777777" w:rsidR="000661DC" w:rsidRPr="006D52A9" w:rsidRDefault="000661DC" w:rsidP="005D437C">
            <w:pPr>
              <w:pStyle w:val="Tabletext"/>
              <w:rPr>
                <w:rFonts w:eastAsia="Calibri"/>
                <w:lang w:eastAsia="en-US"/>
              </w:rPr>
            </w:pPr>
            <w:r w:rsidRPr="006D52A9">
              <w:rPr>
                <w:rFonts w:eastAsia="Calibri"/>
                <w:lang w:eastAsia="en-US"/>
              </w:rPr>
              <w:t>Tablet 125 mg (as monohydrate)</w:t>
            </w:r>
          </w:p>
        </w:tc>
        <w:tc>
          <w:tcPr>
            <w:tcW w:w="1087" w:type="pct"/>
            <w:tcBorders>
              <w:top w:val="single" w:sz="2" w:space="0" w:color="auto"/>
              <w:bottom w:val="single" w:sz="2" w:space="0" w:color="auto"/>
            </w:tcBorders>
            <w:shd w:val="clear" w:color="auto" w:fill="auto"/>
          </w:tcPr>
          <w:p w14:paraId="1E3DB8C0"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3ACE35DD" w14:textId="77777777" w:rsidTr="00EA57EB">
        <w:tc>
          <w:tcPr>
            <w:tcW w:w="1093" w:type="pct"/>
            <w:tcBorders>
              <w:top w:val="single" w:sz="2" w:space="0" w:color="auto"/>
              <w:bottom w:val="single" w:sz="2" w:space="0" w:color="auto"/>
            </w:tcBorders>
            <w:shd w:val="clear" w:color="auto" w:fill="auto"/>
          </w:tcPr>
          <w:p w14:paraId="37D47678" w14:textId="77777777" w:rsidR="000661DC" w:rsidRPr="006D52A9" w:rsidRDefault="000661DC" w:rsidP="005D437C">
            <w:pPr>
              <w:pStyle w:val="Tabletext"/>
              <w:rPr>
                <w:rFonts w:eastAsia="Calibri"/>
                <w:lang w:eastAsia="en-US"/>
              </w:rPr>
            </w:pPr>
            <w:r w:rsidRPr="006D52A9">
              <w:rPr>
                <w:rFonts w:eastAsia="Calibri"/>
                <w:lang w:eastAsia="en-US"/>
              </w:rPr>
              <w:t>Dornase alfa</w:t>
            </w:r>
          </w:p>
        </w:tc>
        <w:tc>
          <w:tcPr>
            <w:tcW w:w="2820" w:type="pct"/>
            <w:tcBorders>
              <w:top w:val="single" w:sz="2" w:space="0" w:color="auto"/>
              <w:bottom w:val="single" w:sz="2" w:space="0" w:color="auto"/>
            </w:tcBorders>
            <w:shd w:val="clear" w:color="auto" w:fill="auto"/>
          </w:tcPr>
          <w:p w14:paraId="6CD1A319" w14:textId="77777777" w:rsidR="000661DC" w:rsidRPr="006D52A9" w:rsidRDefault="000661DC" w:rsidP="005D437C">
            <w:pPr>
              <w:pStyle w:val="Tabletext"/>
              <w:rPr>
                <w:rFonts w:eastAsia="Calibri"/>
                <w:lang w:eastAsia="en-US"/>
              </w:rPr>
            </w:pPr>
            <w:r w:rsidRPr="006D52A9">
              <w:rPr>
                <w:rFonts w:eastAsia="Calibri"/>
                <w:lang w:eastAsia="en-US"/>
              </w:rPr>
              <w:t>Solution for inhalation 2.5 mg (2,500 units) in 2.5 mL</w:t>
            </w:r>
          </w:p>
        </w:tc>
        <w:tc>
          <w:tcPr>
            <w:tcW w:w="1087" w:type="pct"/>
            <w:tcBorders>
              <w:top w:val="single" w:sz="2" w:space="0" w:color="auto"/>
              <w:bottom w:val="single" w:sz="2" w:space="0" w:color="auto"/>
            </w:tcBorders>
            <w:shd w:val="clear" w:color="auto" w:fill="auto"/>
          </w:tcPr>
          <w:p w14:paraId="416AD730" w14:textId="77777777" w:rsidR="000661DC" w:rsidRPr="006D52A9" w:rsidRDefault="000661DC" w:rsidP="005D437C">
            <w:pPr>
              <w:pStyle w:val="Tabletext"/>
              <w:rPr>
                <w:rFonts w:eastAsia="Calibri"/>
                <w:lang w:eastAsia="en-US"/>
              </w:rPr>
            </w:pPr>
            <w:r w:rsidRPr="006D52A9">
              <w:rPr>
                <w:rFonts w:eastAsia="Calibri"/>
                <w:lang w:eastAsia="en-US"/>
              </w:rPr>
              <w:t>Inhalation</w:t>
            </w:r>
          </w:p>
        </w:tc>
      </w:tr>
      <w:tr w:rsidR="000661DC" w:rsidRPr="006D52A9" w14:paraId="0B171C6B" w14:textId="77777777" w:rsidTr="00EA57EB">
        <w:tc>
          <w:tcPr>
            <w:tcW w:w="1093" w:type="pct"/>
            <w:tcBorders>
              <w:top w:val="single" w:sz="2" w:space="0" w:color="auto"/>
              <w:bottom w:val="single" w:sz="2" w:space="0" w:color="auto"/>
            </w:tcBorders>
            <w:shd w:val="clear" w:color="auto" w:fill="auto"/>
          </w:tcPr>
          <w:p w14:paraId="13F52891" w14:textId="77777777" w:rsidR="000661DC" w:rsidRPr="006D52A9" w:rsidRDefault="000661DC" w:rsidP="005D437C">
            <w:pPr>
              <w:pStyle w:val="Tabletext"/>
              <w:rPr>
                <w:rFonts w:eastAsia="Calibri"/>
                <w:lang w:eastAsia="en-US"/>
              </w:rPr>
            </w:pPr>
            <w:r w:rsidRPr="006D52A9">
              <w:rPr>
                <w:rFonts w:eastAsia="Calibri"/>
                <w:lang w:eastAsia="en-US"/>
              </w:rPr>
              <w:t>Epoprostenol</w:t>
            </w:r>
          </w:p>
        </w:tc>
        <w:tc>
          <w:tcPr>
            <w:tcW w:w="2820" w:type="pct"/>
            <w:tcBorders>
              <w:top w:val="single" w:sz="2" w:space="0" w:color="auto"/>
              <w:bottom w:val="single" w:sz="2" w:space="0" w:color="auto"/>
            </w:tcBorders>
            <w:shd w:val="clear" w:color="auto" w:fill="auto"/>
          </w:tcPr>
          <w:p w14:paraId="3F220EE1" w14:textId="77777777" w:rsidR="000661DC" w:rsidRPr="006D52A9" w:rsidRDefault="000661DC" w:rsidP="005D437C">
            <w:pPr>
              <w:pStyle w:val="Tabletext"/>
              <w:rPr>
                <w:rFonts w:eastAsia="Calibri"/>
                <w:lang w:eastAsia="en-US"/>
              </w:rPr>
            </w:pPr>
            <w:r w:rsidRPr="006D52A9">
              <w:rPr>
                <w:rFonts w:eastAsia="Calibri"/>
                <w:lang w:eastAsia="en-US"/>
              </w:rPr>
              <w:t>Powder for I.V. infusion 500 micrograms (as sodium)</w:t>
            </w:r>
          </w:p>
        </w:tc>
        <w:tc>
          <w:tcPr>
            <w:tcW w:w="1087" w:type="pct"/>
            <w:tcBorders>
              <w:top w:val="single" w:sz="2" w:space="0" w:color="auto"/>
              <w:bottom w:val="single" w:sz="2" w:space="0" w:color="auto"/>
            </w:tcBorders>
            <w:shd w:val="clear" w:color="auto" w:fill="auto"/>
          </w:tcPr>
          <w:p w14:paraId="18A19D2A"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0D267507" w14:textId="77777777" w:rsidTr="00EA57EB">
        <w:tc>
          <w:tcPr>
            <w:tcW w:w="1093" w:type="pct"/>
            <w:tcBorders>
              <w:top w:val="single" w:sz="2" w:space="0" w:color="auto"/>
              <w:bottom w:val="single" w:sz="2" w:space="0" w:color="auto"/>
            </w:tcBorders>
            <w:shd w:val="clear" w:color="auto" w:fill="auto"/>
          </w:tcPr>
          <w:p w14:paraId="10A9E547" w14:textId="77777777" w:rsidR="000661DC" w:rsidRPr="006D52A9" w:rsidRDefault="000661DC" w:rsidP="005D437C">
            <w:pPr>
              <w:pStyle w:val="Tabletext"/>
              <w:rPr>
                <w:rFonts w:eastAsia="Calibri"/>
                <w:lang w:eastAsia="en-US"/>
              </w:rPr>
            </w:pPr>
            <w:r w:rsidRPr="006D52A9">
              <w:rPr>
                <w:rFonts w:eastAsia="Calibri"/>
                <w:lang w:eastAsia="en-US"/>
              </w:rPr>
              <w:t>Epoprostenol</w:t>
            </w:r>
          </w:p>
        </w:tc>
        <w:tc>
          <w:tcPr>
            <w:tcW w:w="2820" w:type="pct"/>
            <w:tcBorders>
              <w:top w:val="single" w:sz="2" w:space="0" w:color="auto"/>
              <w:bottom w:val="single" w:sz="2" w:space="0" w:color="auto"/>
            </w:tcBorders>
            <w:shd w:val="clear" w:color="auto" w:fill="auto"/>
          </w:tcPr>
          <w:p w14:paraId="60CD954E" w14:textId="77777777" w:rsidR="000661DC" w:rsidRPr="006D52A9" w:rsidRDefault="000661DC" w:rsidP="005D437C">
            <w:pPr>
              <w:pStyle w:val="Tabletext"/>
              <w:rPr>
                <w:rFonts w:eastAsia="Calibri"/>
                <w:lang w:eastAsia="en-US"/>
              </w:rPr>
            </w:pPr>
            <w:r w:rsidRPr="006D52A9">
              <w:rPr>
                <w:rFonts w:eastAsia="Calibri"/>
                <w:lang w:eastAsia="en-US"/>
              </w:rPr>
              <w:t>Powder for I.V. infusion 500 micrograms (as sodium) with 2 vials diluent 50 mL</w:t>
            </w:r>
          </w:p>
        </w:tc>
        <w:tc>
          <w:tcPr>
            <w:tcW w:w="1087" w:type="pct"/>
            <w:tcBorders>
              <w:top w:val="single" w:sz="2" w:space="0" w:color="auto"/>
              <w:bottom w:val="single" w:sz="2" w:space="0" w:color="auto"/>
            </w:tcBorders>
            <w:shd w:val="clear" w:color="auto" w:fill="auto"/>
          </w:tcPr>
          <w:p w14:paraId="49E5BA3C"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0E9101DD" w14:textId="77777777" w:rsidTr="00EA57EB">
        <w:tc>
          <w:tcPr>
            <w:tcW w:w="1093" w:type="pct"/>
            <w:tcBorders>
              <w:top w:val="single" w:sz="2" w:space="0" w:color="auto"/>
              <w:bottom w:val="single" w:sz="2" w:space="0" w:color="auto"/>
            </w:tcBorders>
            <w:shd w:val="clear" w:color="auto" w:fill="auto"/>
          </w:tcPr>
          <w:p w14:paraId="1764503B" w14:textId="77777777" w:rsidR="000661DC" w:rsidRPr="006D52A9" w:rsidRDefault="000661DC" w:rsidP="005D437C">
            <w:pPr>
              <w:pStyle w:val="Tabletext"/>
              <w:rPr>
                <w:rFonts w:eastAsia="Calibri"/>
                <w:lang w:eastAsia="en-US"/>
              </w:rPr>
            </w:pPr>
            <w:r w:rsidRPr="006D52A9">
              <w:rPr>
                <w:rFonts w:eastAsia="Calibri"/>
                <w:lang w:eastAsia="en-US"/>
              </w:rPr>
              <w:t>Epoprostenol</w:t>
            </w:r>
          </w:p>
        </w:tc>
        <w:tc>
          <w:tcPr>
            <w:tcW w:w="2820" w:type="pct"/>
            <w:tcBorders>
              <w:top w:val="single" w:sz="2" w:space="0" w:color="auto"/>
              <w:bottom w:val="single" w:sz="2" w:space="0" w:color="auto"/>
            </w:tcBorders>
            <w:shd w:val="clear" w:color="auto" w:fill="auto"/>
          </w:tcPr>
          <w:p w14:paraId="7E66B43B" w14:textId="77777777" w:rsidR="000661DC" w:rsidRPr="006D52A9" w:rsidRDefault="000661DC" w:rsidP="005D437C">
            <w:pPr>
              <w:pStyle w:val="Tabletext"/>
              <w:rPr>
                <w:rFonts w:eastAsia="Calibri"/>
                <w:lang w:eastAsia="en-US"/>
              </w:rPr>
            </w:pPr>
            <w:r w:rsidRPr="006D52A9">
              <w:rPr>
                <w:rFonts w:eastAsia="Calibri"/>
                <w:lang w:eastAsia="en-US"/>
              </w:rPr>
              <w:t>Powder for I.V. infusion 1.5 mg (as sodium)</w:t>
            </w:r>
          </w:p>
        </w:tc>
        <w:tc>
          <w:tcPr>
            <w:tcW w:w="1087" w:type="pct"/>
            <w:tcBorders>
              <w:top w:val="single" w:sz="2" w:space="0" w:color="auto"/>
              <w:bottom w:val="single" w:sz="2" w:space="0" w:color="auto"/>
            </w:tcBorders>
            <w:shd w:val="clear" w:color="auto" w:fill="auto"/>
          </w:tcPr>
          <w:p w14:paraId="451D429B"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0A2B0D15" w14:textId="77777777" w:rsidTr="00EA57EB">
        <w:tc>
          <w:tcPr>
            <w:tcW w:w="1093" w:type="pct"/>
            <w:tcBorders>
              <w:top w:val="single" w:sz="2" w:space="0" w:color="auto"/>
              <w:bottom w:val="single" w:sz="2" w:space="0" w:color="auto"/>
            </w:tcBorders>
            <w:shd w:val="clear" w:color="auto" w:fill="auto"/>
          </w:tcPr>
          <w:p w14:paraId="6C012EAF" w14:textId="77777777" w:rsidR="000661DC" w:rsidRPr="006D52A9" w:rsidRDefault="000661DC" w:rsidP="005D437C">
            <w:pPr>
              <w:pStyle w:val="Tabletext"/>
              <w:rPr>
                <w:rFonts w:eastAsia="Calibri"/>
                <w:lang w:eastAsia="en-US"/>
              </w:rPr>
            </w:pPr>
            <w:r w:rsidRPr="006D52A9">
              <w:rPr>
                <w:rFonts w:eastAsia="Calibri"/>
                <w:lang w:eastAsia="en-US"/>
              </w:rPr>
              <w:t>Epoprostenol</w:t>
            </w:r>
          </w:p>
        </w:tc>
        <w:tc>
          <w:tcPr>
            <w:tcW w:w="2820" w:type="pct"/>
            <w:tcBorders>
              <w:top w:val="single" w:sz="2" w:space="0" w:color="auto"/>
              <w:bottom w:val="single" w:sz="2" w:space="0" w:color="auto"/>
            </w:tcBorders>
            <w:shd w:val="clear" w:color="auto" w:fill="auto"/>
          </w:tcPr>
          <w:p w14:paraId="0468E0A5" w14:textId="77777777" w:rsidR="000661DC" w:rsidRPr="006D52A9" w:rsidRDefault="000661DC" w:rsidP="005D437C">
            <w:pPr>
              <w:pStyle w:val="Tabletext"/>
              <w:rPr>
                <w:rFonts w:eastAsia="Calibri"/>
                <w:lang w:eastAsia="en-US"/>
              </w:rPr>
            </w:pPr>
            <w:r w:rsidRPr="006D52A9">
              <w:rPr>
                <w:rFonts w:eastAsia="Calibri"/>
                <w:lang w:eastAsia="en-US"/>
              </w:rPr>
              <w:t>Powder for I.V. infusion 1.5 mg (as sodium) with 2 vials diluent 50 mL</w:t>
            </w:r>
          </w:p>
        </w:tc>
        <w:tc>
          <w:tcPr>
            <w:tcW w:w="1087" w:type="pct"/>
            <w:tcBorders>
              <w:top w:val="single" w:sz="2" w:space="0" w:color="auto"/>
              <w:bottom w:val="single" w:sz="2" w:space="0" w:color="auto"/>
            </w:tcBorders>
            <w:shd w:val="clear" w:color="auto" w:fill="auto"/>
          </w:tcPr>
          <w:p w14:paraId="467ED12A"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2D4DC663" w14:textId="77777777" w:rsidTr="00EA57EB">
        <w:tc>
          <w:tcPr>
            <w:tcW w:w="1093" w:type="pct"/>
            <w:tcBorders>
              <w:top w:val="single" w:sz="2" w:space="0" w:color="auto"/>
              <w:bottom w:val="single" w:sz="2" w:space="0" w:color="auto"/>
            </w:tcBorders>
            <w:shd w:val="clear" w:color="auto" w:fill="auto"/>
          </w:tcPr>
          <w:p w14:paraId="30A1836C" w14:textId="77777777" w:rsidR="000661DC" w:rsidRPr="006D52A9" w:rsidRDefault="000661DC" w:rsidP="005D437C">
            <w:pPr>
              <w:pStyle w:val="Tabletext"/>
              <w:rPr>
                <w:rFonts w:eastAsia="Calibri"/>
                <w:lang w:eastAsia="en-US"/>
              </w:rPr>
            </w:pPr>
            <w:r w:rsidRPr="006D52A9">
              <w:rPr>
                <w:rFonts w:eastAsia="Calibri"/>
                <w:lang w:eastAsia="en-US"/>
              </w:rPr>
              <w:t>Etanercept</w:t>
            </w:r>
          </w:p>
        </w:tc>
        <w:tc>
          <w:tcPr>
            <w:tcW w:w="2820" w:type="pct"/>
            <w:tcBorders>
              <w:top w:val="single" w:sz="2" w:space="0" w:color="auto"/>
              <w:bottom w:val="single" w:sz="2" w:space="0" w:color="auto"/>
            </w:tcBorders>
            <w:shd w:val="clear" w:color="auto" w:fill="auto"/>
          </w:tcPr>
          <w:p w14:paraId="3F3B80D4" w14:textId="77777777" w:rsidR="000661DC" w:rsidRPr="006D52A9" w:rsidRDefault="000661DC" w:rsidP="005D437C">
            <w:pPr>
              <w:pStyle w:val="Tabletext"/>
              <w:rPr>
                <w:rFonts w:eastAsia="Calibri"/>
                <w:lang w:eastAsia="en-US"/>
              </w:rPr>
            </w:pPr>
            <w:r w:rsidRPr="006D52A9">
              <w:rPr>
                <w:rFonts w:eastAsia="Calibri"/>
                <w:lang w:eastAsia="en-US"/>
              </w:rPr>
              <w:t>Injection set containing 4 vials powder for injection 25 mg and 4 pre</w:t>
            </w:r>
            <w:r w:rsidR="0026100E">
              <w:rPr>
                <w:rFonts w:eastAsia="Calibri"/>
                <w:lang w:eastAsia="en-US"/>
              </w:rPr>
              <w:noBreakHyphen/>
            </w:r>
            <w:r w:rsidRPr="006D52A9">
              <w:rPr>
                <w:rFonts w:eastAsia="Calibri"/>
                <w:lang w:eastAsia="en-US"/>
              </w:rPr>
              <w:t>filled syringes solvent 1 mL</w:t>
            </w:r>
          </w:p>
        </w:tc>
        <w:tc>
          <w:tcPr>
            <w:tcW w:w="1087" w:type="pct"/>
            <w:tcBorders>
              <w:top w:val="single" w:sz="2" w:space="0" w:color="auto"/>
              <w:bottom w:val="single" w:sz="2" w:space="0" w:color="auto"/>
            </w:tcBorders>
            <w:shd w:val="clear" w:color="auto" w:fill="auto"/>
          </w:tcPr>
          <w:p w14:paraId="68CA2080"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1BC719B2" w14:textId="77777777" w:rsidTr="00EA57EB">
        <w:tc>
          <w:tcPr>
            <w:tcW w:w="1093" w:type="pct"/>
            <w:tcBorders>
              <w:top w:val="single" w:sz="2" w:space="0" w:color="auto"/>
              <w:bottom w:val="single" w:sz="2" w:space="0" w:color="auto"/>
            </w:tcBorders>
            <w:shd w:val="clear" w:color="auto" w:fill="auto"/>
          </w:tcPr>
          <w:p w14:paraId="1BC08F6C" w14:textId="77777777" w:rsidR="000661DC" w:rsidRPr="006D52A9" w:rsidRDefault="000661DC" w:rsidP="005D437C">
            <w:pPr>
              <w:pStyle w:val="Tabletext"/>
              <w:rPr>
                <w:rFonts w:eastAsia="Calibri"/>
                <w:lang w:eastAsia="en-US"/>
              </w:rPr>
            </w:pPr>
            <w:r w:rsidRPr="006D52A9">
              <w:rPr>
                <w:rFonts w:eastAsia="Calibri"/>
                <w:lang w:eastAsia="en-US"/>
              </w:rPr>
              <w:t>Etanercept</w:t>
            </w:r>
          </w:p>
        </w:tc>
        <w:tc>
          <w:tcPr>
            <w:tcW w:w="2820" w:type="pct"/>
            <w:tcBorders>
              <w:top w:val="single" w:sz="2" w:space="0" w:color="auto"/>
              <w:bottom w:val="single" w:sz="2" w:space="0" w:color="auto"/>
            </w:tcBorders>
            <w:shd w:val="clear" w:color="auto" w:fill="auto"/>
          </w:tcPr>
          <w:p w14:paraId="454AD257" w14:textId="77777777" w:rsidR="000661DC" w:rsidRPr="006D52A9" w:rsidRDefault="000661DC" w:rsidP="005D437C">
            <w:pPr>
              <w:pStyle w:val="Tabletext"/>
              <w:rPr>
                <w:rFonts w:eastAsia="Calibri"/>
                <w:lang w:eastAsia="en-US"/>
              </w:rPr>
            </w:pPr>
            <w:r w:rsidRPr="006D52A9">
              <w:rPr>
                <w:rFonts w:eastAsia="Calibri"/>
                <w:lang w:eastAsia="en-US"/>
              </w:rPr>
              <w:t>Injection 50 mg in 1 mL single use auto</w:t>
            </w:r>
            <w:r w:rsidR="0026100E">
              <w:rPr>
                <w:rFonts w:eastAsia="Calibri"/>
                <w:lang w:eastAsia="en-US"/>
              </w:rPr>
              <w:noBreakHyphen/>
            </w:r>
            <w:r w:rsidRPr="006D52A9">
              <w:rPr>
                <w:rFonts w:eastAsia="Calibri"/>
                <w:lang w:eastAsia="en-US"/>
              </w:rPr>
              <w:t>injector, 4</w:t>
            </w:r>
          </w:p>
        </w:tc>
        <w:tc>
          <w:tcPr>
            <w:tcW w:w="1087" w:type="pct"/>
            <w:tcBorders>
              <w:top w:val="single" w:sz="2" w:space="0" w:color="auto"/>
              <w:bottom w:val="single" w:sz="2" w:space="0" w:color="auto"/>
            </w:tcBorders>
            <w:shd w:val="clear" w:color="auto" w:fill="auto"/>
          </w:tcPr>
          <w:p w14:paraId="62741E9B"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2AAE0012" w14:textId="77777777" w:rsidTr="00EA57EB">
        <w:tc>
          <w:tcPr>
            <w:tcW w:w="1093" w:type="pct"/>
            <w:tcBorders>
              <w:top w:val="single" w:sz="2" w:space="0" w:color="auto"/>
              <w:bottom w:val="single" w:sz="2" w:space="0" w:color="auto"/>
            </w:tcBorders>
            <w:shd w:val="clear" w:color="auto" w:fill="auto"/>
          </w:tcPr>
          <w:p w14:paraId="40317F08" w14:textId="77777777" w:rsidR="000661DC" w:rsidRPr="006D52A9" w:rsidRDefault="000661DC" w:rsidP="005D437C">
            <w:pPr>
              <w:pStyle w:val="Tabletext"/>
              <w:rPr>
                <w:rFonts w:eastAsia="Calibri"/>
                <w:lang w:eastAsia="en-US"/>
              </w:rPr>
            </w:pPr>
            <w:r w:rsidRPr="006D52A9">
              <w:rPr>
                <w:rFonts w:eastAsia="Calibri"/>
                <w:lang w:eastAsia="en-US"/>
              </w:rPr>
              <w:t>Etanercept</w:t>
            </w:r>
          </w:p>
        </w:tc>
        <w:tc>
          <w:tcPr>
            <w:tcW w:w="2820" w:type="pct"/>
            <w:tcBorders>
              <w:top w:val="single" w:sz="2" w:space="0" w:color="auto"/>
              <w:bottom w:val="single" w:sz="2" w:space="0" w:color="auto"/>
            </w:tcBorders>
            <w:shd w:val="clear" w:color="auto" w:fill="auto"/>
          </w:tcPr>
          <w:p w14:paraId="45E326AE" w14:textId="77777777" w:rsidR="000661DC" w:rsidRPr="006D52A9" w:rsidRDefault="000661DC" w:rsidP="005D437C">
            <w:pPr>
              <w:pStyle w:val="Tabletext"/>
              <w:rPr>
                <w:rFonts w:eastAsia="Calibri"/>
                <w:lang w:eastAsia="en-US"/>
              </w:rPr>
            </w:pPr>
            <w:r w:rsidRPr="006D52A9">
              <w:rPr>
                <w:rFonts w:eastAsia="Calibri"/>
                <w:lang w:eastAsia="en-US"/>
              </w:rPr>
              <w:t>Injections 50 mg in 1 mL single use pre</w:t>
            </w:r>
            <w:r w:rsidR="0026100E">
              <w:rPr>
                <w:rFonts w:eastAsia="Calibri"/>
                <w:lang w:eastAsia="en-US"/>
              </w:rPr>
              <w:noBreakHyphen/>
            </w:r>
            <w:r w:rsidRPr="006D52A9">
              <w:rPr>
                <w:rFonts w:eastAsia="Calibri"/>
                <w:lang w:eastAsia="en-US"/>
              </w:rPr>
              <w:t>filled syringes, 4</w:t>
            </w:r>
          </w:p>
        </w:tc>
        <w:tc>
          <w:tcPr>
            <w:tcW w:w="1087" w:type="pct"/>
            <w:tcBorders>
              <w:top w:val="single" w:sz="2" w:space="0" w:color="auto"/>
              <w:bottom w:val="single" w:sz="2" w:space="0" w:color="auto"/>
            </w:tcBorders>
            <w:shd w:val="clear" w:color="auto" w:fill="auto"/>
          </w:tcPr>
          <w:p w14:paraId="364FB3B5"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6B3FCEF3" w14:textId="77777777" w:rsidTr="00EA57EB">
        <w:tc>
          <w:tcPr>
            <w:tcW w:w="1093" w:type="pct"/>
            <w:tcBorders>
              <w:top w:val="single" w:sz="2" w:space="0" w:color="auto"/>
              <w:bottom w:val="single" w:sz="2" w:space="0" w:color="auto"/>
            </w:tcBorders>
            <w:shd w:val="clear" w:color="auto" w:fill="auto"/>
          </w:tcPr>
          <w:p w14:paraId="704579CB" w14:textId="77777777" w:rsidR="000661DC" w:rsidRPr="006D52A9" w:rsidRDefault="000661DC" w:rsidP="005D437C">
            <w:pPr>
              <w:pStyle w:val="Tabletext"/>
              <w:rPr>
                <w:rFonts w:eastAsia="Calibri"/>
                <w:lang w:eastAsia="en-US"/>
              </w:rPr>
            </w:pPr>
            <w:r w:rsidRPr="006D52A9">
              <w:rPr>
                <w:rFonts w:eastAsia="Calibri"/>
                <w:lang w:eastAsia="en-US"/>
              </w:rPr>
              <w:t>Iloprost</w:t>
            </w:r>
          </w:p>
        </w:tc>
        <w:tc>
          <w:tcPr>
            <w:tcW w:w="2820" w:type="pct"/>
            <w:tcBorders>
              <w:top w:val="single" w:sz="2" w:space="0" w:color="auto"/>
              <w:bottom w:val="single" w:sz="2" w:space="0" w:color="auto"/>
            </w:tcBorders>
            <w:shd w:val="clear" w:color="auto" w:fill="auto"/>
          </w:tcPr>
          <w:p w14:paraId="345E56FC" w14:textId="77777777" w:rsidR="000661DC" w:rsidRPr="006D52A9" w:rsidRDefault="000661DC" w:rsidP="005D437C">
            <w:pPr>
              <w:pStyle w:val="Tabletext"/>
              <w:rPr>
                <w:rFonts w:eastAsia="Calibri"/>
                <w:lang w:eastAsia="en-US"/>
              </w:rPr>
            </w:pPr>
            <w:r w:rsidRPr="006D52A9">
              <w:rPr>
                <w:rFonts w:eastAsia="Calibri"/>
                <w:lang w:eastAsia="en-US"/>
              </w:rPr>
              <w:t>Solution for inhalation 20 micrograms (as trometamol) in 2 mL</w:t>
            </w:r>
          </w:p>
        </w:tc>
        <w:tc>
          <w:tcPr>
            <w:tcW w:w="1087" w:type="pct"/>
            <w:tcBorders>
              <w:top w:val="single" w:sz="2" w:space="0" w:color="auto"/>
              <w:bottom w:val="single" w:sz="2" w:space="0" w:color="auto"/>
            </w:tcBorders>
            <w:shd w:val="clear" w:color="auto" w:fill="auto"/>
          </w:tcPr>
          <w:p w14:paraId="223BCD4D" w14:textId="77777777" w:rsidR="000661DC" w:rsidRPr="006D52A9" w:rsidRDefault="000661DC" w:rsidP="005D437C">
            <w:pPr>
              <w:pStyle w:val="Tabletext"/>
              <w:rPr>
                <w:rFonts w:eastAsia="Calibri"/>
                <w:lang w:eastAsia="en-US"/>
              </w:rPr>
            </w:pPr>
            <w:r w:rsidRPr="006D52A9">
              <w:rPr>
                <w:rFonts w:eastAsia="Calibri"/>
                <w:lang w:eastAsia="en-US"/>
              </w:rPr>
              <w:t>Inhalation</w:t>
            </w:r>
          </w:p>
        </w:tc>
      </w:tr>
      <w:tr w:rsidR="000661DC" w:rsidRPr="006D52A9" w14:paraId="075A0B24" w14:textId="77777777" w:rsidTr="00EA57EB">
        <w:tc>
          <w:tcPr>
            <w:tcW w:w="1093" w:type="pct"/>
            <w:tcBorders>
              <w:top w:val="single" w:sz="2" w:space="0" w:color="auto"/>
              <w:bottom w:val="single" w:sz="2" w:space="0" w:color="auto"/>
            </w:tcBorders>
            <w:shd w:val="clear" w:color="auto" w:fill="auto"/>
          </w:tcPr>
          <w:p w14:paraId="09F3212A" w14:textId="77777777" w:rsidR="000661DC" w:rsidRPr="006D52A9" w:rsidRDefault="000661DC" w:rsidP="005D437C">
            <w:pPr>
              <w:pStyle w:val="Tabletext"/>
              <w:rPr>
                <w:rFonts w:eastAsia="Calibri"/>
                <w:lang w:eastAsia="en-US"/>
              </w:rPr>
            </w:pPr>
            <w:r w:rsidRPr="006D52A9">
              <w:rPr>
                <w:rFonts w:eastAsia="Calibri"/>
                <w:lang w:eastAsia="en-US"/>
              </w:rPr>
              <w:lastRenderedPageBreak/>
              <w:t>Infliximab</w:t>
            </w:r>
          </w:p>
        </w:tc>
        <w:tc>
          <w:tcPr>
            <w:tcW w:w="2820" w:type="pct"/>
            <w:tcBorders>
              <w:top w:val="single" w:sz="2" w:space="0" w:color="auto"/>
              <w:bottom w:val="single" w:sz="2" w:space="0" w:color="auto"/>
            </w:tcBorders>
            <w:shd w:val="clear" w:color="auto" w:fill="auto"/>
          </w:tcPr>
          <w:p w14:paraId="4F4BF67D" w14:textId="77777777" w:rsidR="000661DC" w:rsidRPr="006D52A9" w:rsidRDefault="000661DC" w:rsidP="005D437C">
            <w:pPr>
              <w:pStyle w:val="Tabletext"/>
              <w:rPr>
                <w:rFonts w:eastAsia="Calibri"/>
                <w:lang w:eastAsia="en-US"/>
              </w:rPr>
            </w:pPr>
            <w:r w:rsidRPr="006D52A9">
              <w:rPr>
                <w:rFonts w:eastAsia="Calibri"/>
                <w:lang w:eastAsia="en-US"/>
              </w:rPr>
              <w:t>Powder for I.V. infusion 100 mg</w:t>
            </w:r>
          </w:p>
        </w:tc>
        <w:tc>
          <w:tcPr>
            <w:tcW w:w="1087" w:type="pct"/>
            <w:tcBorders>
              <w:top w:val="single" w:sz="2" w:space="0" w:color="auto"/>
              <w:bottom w:val="single" w:sz="2" w:space="0" w:color="auto"/>
            </w:tcBorders>
            <w:shd w:val="clear" w:color="auto" w:fill="auto"/>
          </w:tcPr>
          <w:p w14:paraId="303BF606"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17C6D2CC" w14:textId="77777777" w:rsidTr="00EA57EB">
        <w:tc>
          <w:tcPr>
            <w:tcW w:w="1093" w:type="pct"/>
            <w:tcBorders>
              <w:top w:val="single" w:sz="2" w:space="0" w:color="auto"/>
              <w:bottom w:val="single" w:sz="2" w:space="0" w:color="auto"/>
            </w:tcBorders>
            <w:shd w:val="clear" w:color="auto" w:fill="auto"/>
          </w:tcPr>
          <w:p w14:paraId="246A1815" w14:textId="77777777" w:rsidR="000661DC" w:rsidRPr="006D52A9" w:rsidRDefault="000661DC" w:rsidP="005D437C">
            <w:pPr>
              <w:pStyle w:val="Tabletext"/>
              <w:rPr>
                <w:rFonts w:eastAsia="Calibri"/>
                <w:lang w:eastAsia="en-US"/>
              </w:rPr>
            </w:pPr>
            <w:r w:rsidRPr="006D52A9">
              <w:rPr>
                <w:rFonts w:eastAsia="Calibri"/>
                <w:lang w:eastAsia="en-US"/>
              </w:rPr>
              <w:t>Ivacaftor</w:t>
            </w:r>
          </w:p>
        </w:tc>
        <w:tc>
          <w:tcPr>
            <w:tcW w:w="2820" w:type="pct"/>
            <w:tcBorders>
              <w:top w:val="single" w:sz="2" w:space="0" w:color="auto"/>
              <w:bottom w:val="single" w:sz="2" w:space="0" w:color="auto"/>
            </w:tcBorders>
            <w:shd w:val="clear" w:color="auto" w:fill="auto"/>
          </w:tcPr>
          <w:p w14:paraId="152A935B" w14:textId="77777777" w:rsidR="000661DC" w:rsidRPr="006D52A9" w:rsidRDefault="000661DC" w:rsidP="005D437C">
            <w:pPr>
              <w:pStyle w:val="Tabletext"/>
              <w:rPr>
                <w:rFonts w:eastAsia="Calibri"/>
                <w:lang w:eastAsia="en-US"/>
              </w:rPr>
            </w:pPr>
            <w:r w:rsidRPr="006D52A9">
              <w:rPr>
                <w:rFonts w:eastAsia="Calibri"/>
                <w:lang w:eastAsia="en-US"/>
              </w:rPr>
              <w:t>Sachet containing granules 50 mg</w:t>
            </w:r>
          </w:p>
        </w:tc>
        <w:tc>
          <w:tcPr>
            <w:tcW w:w="1087" w:type="pct"/>
            <w:tcBorders>
              <w:top w:val="single" w:sz="2" w:space="0" w:color="auto"/>
              <w:bottom w:val="single" w:sz="2" w:space="0" w:color="auto"/>
            </w:tcBorders>
            <w:shd w:val="clear" w:color="auto" w:fill="auto"/>
          </w:tcPr>
          <w:p w14:paraId="1D63C69A"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2656A885" w14:textId="77777777" w:rsidTr="00EA57EB">
        <w:tc>
          <w:tcPr>
            <w:tcW w:w="1093" w:type="pct"/>
            <w:tcBorders>
              <w:top w:val="single" w:sz="2" w:space="0" w:color="auto"/>
              <w:bottom w:val="single" w:sz="2" w:space="0" w:color="auto"/>
            </w:tcBorders>
            <w:shd w:val="clear" w:color="auto" w:fill="auto"/>
          </w:tcPr>
          <w:p w14:paraId="41918F36" w14:textId="77777777" w:rsidR="000661DC" w:rsidRPr="006D52A9" w:rsidRDefault="000661DC" w:rsidP="005D437C">
            <w:pPr>
              <w:pStyle w:val="Tabletext"/>
              <w:rPr>
                <w:rFonts w:eastAsia="Calibri"/>
                <w:lang w:eastAsia="en-US"/>
              </w:rPr>
            </w:pPr>
            <w:r w:rsidRPr="006D52A9">
              <w:rPr>
                <w:rFonts w:eastAsia="Calibri"/>
                <w:lang w:eastAsia="en-US"/>
              </w:rPr>
              <w:t>Ivacaftor</w:t>
            </w:r>
          </w:p>
        </w:tc>
        <w:tc>
          <w:tcPr>
            <w:tcW w:w="2820" w:type="pct"/>
            <w:tcBorders>
              <w:top w:val="single" w:sz="2" w:space="0" w:color="auto"/>
              <w:bottom w:val="single" w:sz="2" w:space="0" w:color="auto"/>
            </w:tcBorders>
            <w:shd w:val="clear" w:color="auto" w:fill="auto"/>
          </w:tcPr>
          <w:p w14:paraId="082FDFD0" w14:textId="77777777" w:rsidR="000661DC" w:rsidRPr="006D52A9" w:rsidRDefault="000661DC" w:rsidP="005D437C">
            <w:pPr>
              <w:pStyle w:val="Tabletext"/>
              <w:rPr>
                <w:rFonts w:eastAsia="Calibri"/>
                <w:lang w:eastAsia="en-US"/>
              </w:rPr>
            </w:pPr>
            <w:r w:rsidRPr="006D52A9">
              <w:rPr>
                <w:rFonts w:eastAsia="Calibri"/>
                <w:lang w:eastAsia="en-US"/>
              </w:rPr>
              <w:t>Sachet containing granules 75 mg</w:t>
            </w:r>
          </w:p>
        </w:tc>
        <w:tc>
          <w:tcPr>
            <w:tcW w:w="1087" w:type="pct"/>
            <w:tcBorders>
              <w:top w:val="single" w:sz="2" w:space="0" w:color="auto"/>
              <w:bottom w:val="single" w:sz="2" w:space="0" w:color="auto"/>
            </w:tcBorders>
            <w:shd w:val="clear" w:color="auto" w:fill="auto"/>
          </w:tcPr>
          <w:p w14:paraId="2FA9F632"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7FE1DE17" w14:textId="77777777" w:rsidTr="00EA57EB">
        <w:tc>
          <w:tcPr>
            <w:tcW w:w="1093" w:type="pct"/>
            <w:tcBorders>
              <w:top w:val="single" w:sz="2" w:space="0" w:color="auto"/>
              <w:bottom w:val="single" w:sz="2" w:space="0" w:color="auto"/>
            </w:tcBorders>
            <w:shd w:val="clear" w:color="auto" w:fill="auto"/>
          </w:tcPr>
          <w:p w14:paraId="658BAD50" w14:textId="77777777" w:rsidR="000661DC" w:rsidRPr="006D52A9" w:rsidRDefault="000661DC" w:rsidP="005D437C">
            <w:pPr>
              <w:pStyle w:val="Tabletext"/>
              <w:rPr>
                <w:rFonts w:eastAsia="Calibri"/>
                <w:lang w:eastAsia="en-US"/>
              </w:rPr>
            </w:pPr>
            <w:r w:rsidRPr="006D52A9">
              <w:rPr>
                <w:rFonts w:eastAsia="Calibri"/>
                <w:lang w:eastAsia="en-US"/>
              </w:rPr>
              <w:t>Ivacaftor</w:t>
            </w:r>
          </w:p>
        </w:tc>
        <w:tc>
          <w:tcPr>
            <w:tcW w:w="2820" w:type="pct"/>
            <w:tcBorders>
              <w:top w:val="single" w:sz="2" w:space="0" w:color="auto"/>
              <w:bottom w:val="single" w:sz="2" w:space="0" w:color="auto"/>
            </w:tcBorders>
            <w:shd w:val="clear" w:color="auto" w:fill="auto"/>
          </w:tcPr>
          <w:p w14:paraId="3A84BC57" w14:textId="77777777" w:rsidR="000661DC" w:rsidRPr="006D52A9" w:rsidRDefault="000661DC" w:rsidP="005D437C">
            <w:pPr>
              <w:pStyle w:val="Tabletext"/>
              <w:rPr>
                <w:rFonts w:eastAsia="Calibri"/>
                <w:lang w:eastAsia="en-US"/>
              </w:rPr>
            </w:pPr>
            <w:r w:rsidRPr="006D52A9">
              <w:rPr>
                <w:rFonts w:eastAsia="Calibri"/>
                <w:lang w:eastAsia="en-US"/>
              </w:rPr>
              <w:t>Tablet 150 mg</w:t>
            </w:r>
          </w:p>
        </w:tc>
        <w:tc>
          <w:tcPr>
            <w:tcW w:w="1087" w:type="pct"/>
            <w:tcBorders>
              <w:top w:val="single" w:sz="2" w:space="0" w:color="auto"/>
              <w:bottom w:val="single" w:sz="2" w:space="0" w:color="auto"/>
            </w:tcBorders>
            <w:shd w:val="clear" w:color="auto" w:fill="auto"/>
          </w:tcPr>
          <w:p w14:paraId="113A2D20"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54B85339" w14:textId="77777777" w:rsidTr="00EA57EB">
        <w:tc>
          <w:tcPr>
            <w:tcW w:w="1093" w:type="pct"/>
            <w:tcBorders>
              <w:top w:val="single" w:sz="2" w:space="0" w:color="auto"/>
              <w:bottom w:val="single" w:sz="2" w:space="0" w:color="auto"/>
            </w:tcBorders>
            <w:shd w:val="clear" w:color="auto" w:fill="auto"/>
          </w:tcPr>
          <w:p w14:paraId="171224C6" w14:textId="77777777" w:rsidR="000661DC" w:rsidRPr="006D52A9" w:rsidRDefault="000661DC" w:rsidP="005D437C">
            <w:pPr>
              <w:pStyle w:val="Tabletext"/>
              <w:rPr>
                <w:rFonts w:eastAsia="Calibri"/>
                <w:lang w:eastAsia="en-US"/>
              </w:rPr>
            </w:pPr>
            <w:r w:rsidRPr="006D52A9">
              <w:rPr>
                <w:rFonts w:eastAsia="Calibri"/>
                <w:lang w:eastAsia="en-US"/>
              </w:rPr>
              <w:t>Lenalidomide</w:t>
            </w:r>
          </w:p>
        </w:tc>
        <w:tc>
          <w:tcPr>
            <w:tcW w:w="2820" w:type="pct"/>
            <w:tcBorders>
              <w:top w:val="single" w:sz="2" w:space="0" w:color="auto"/>
              <w:bottom w:val="single" w:sz="2" w:space="0" w:color="auto"/>
            </w:tcBorders>
            <w:shd w:val="clear" w:color="auto" w:fill="auto"/>
          </w:tcPr>
          <w:p w14:paraId="2E1982B1" w14:textId="77777777" w:rsidR="000661DC" w:rsidRPr="006D52A9" w:rsidRDefault="000661DC" w:rsidP="005D437C">
            <w:pPr>
              <w:pStyle w:val="Tabletext"/>
              <w:rPr>
                <w:rFonts w:eastAsia="Calibri"/>
                <w:lang w:eastAsia="en-US"/>
              </w:rPr>
            </w:pPr>
            <w:r w:rsidRPr="006D52A9">
              <w:rPr>
                <w:rFonts w:eastAsia="Calibri"/>
                <w:lang w:eastAsia="en-US"/>
              </w:rPr>
              <w:t>Capsule 5 mg</w:t>
            </w:r>
          </w:p>
        </w:tc>
        <w:tc>
          <w:tcPr>
            <w:tcW w:w="1087" w:type="pct"/>
            <w:tcBorders>
              <w:top w:val="single" w:sz="2" w:space="0" w:color="auto"/>
              <w:bottom w:val="single" w:sz="2" w:space="0" w:color="auto"/>
            </w:tcBorders>
            <w:shd w:val="clear" w:color="auto" w:fill="auto"/>
          </w:tcPr>
          <w:p w14:paraId="23B79413"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43A4ECE9" w14:textId="77777777" w:rsidTr="00EA57EB">
        <w:tc>
          <w:tcPr>
            <w:tcW w:w="1093" w:type="pct"/>
            <w:tcBorders>
              <w:top w:val="single" w:sz="2" w:space="0" w:color="auto"/>
              <w:bottom w:val="single" w:sz="2" w:space="0" w:color="auto"/>
            </w:tcBorders>
            <w:shd w:val="clear" w:color="auto" w:fill="auto"/>
          </w:tcPr>
          <w:p w14:paraId="3E5DA5FF" w14:textId="77777777" w:rsidR="000661DC" w:rsidRPr="006D52A9" w:rsidRDefault="000661DC" w:rsidP="005D437C">
            <w:pPr>
              <w:pStyle w:val="Tabletext"/>
              <w:rPr>
                <w:rFonts w:eastAsia="Calibri"/>
                <w:lang w:eastAsia="en-US"/>
              </w:rPr>
            </w:pPr>
            <w:r w:rsidRPr="006D52A9">
              <w:rPr>
                <w:rFonts w:eastAsia="Calibri"/>
                <w:lang w:eastAsia="en-US"/>
              </w:rPr>
              <w:t>Lenalidomide</w:t>
            </w:r>
          </w:p>
        </w:tc>
        <w:tc>
          <w:tcPr>
            <w:tcW w:w="2820" w:type="pct"/>
            <w:tcBorders>
              <w:top w:val="single" w:sz="2" w:space="0" w:color="auto"/>
              <w:bottom w:val="single" w:sz="2" w:space="0" w:color="auto"/>
            </w:tcBorders>
            <w:shd w:val="clear" w:color="auto" w:fill="auto"/>
          </w:tcPr>
          <w:p w14:paraId="29B5FDE2" w14:textId="77777777" w:rsidR="000661DC" w:rsidRPr="006D52A9" w:rsidRDefault="000661DC" w:rsidP="005D437C">
            <w:pPr>
              <w:pStyle w:val="Tabletext"/>
              <w:rPr>
                <w:rFonts w:eastAsia="Calibri"/>
                <w:lang w:eastAsia="en-US"/>
              </w:rPr>
            </w:pPr>
            <w:r w:rsidRPr="006D52A9">
              <w:rPr>
                <w:rFonts w:eastAsia="Calibri"/>
                <w:lang w:eastAsia="en-US"/>
              </w:rPr>
              <w:t>Capsule 10 mg</w:t>
            </w:r>
          </w:p>
        </w:tc>
        <w:tc>
          <w:tcPr>
            <w:tcW w:w="1087" w:type="pct"/>
            <w:tcBorders>
              <w:top w:val="single" w:sz="2" w:space="0" w:color="auto"/>
              <w:bottom w:val="single" w:sz="2" w:space="0" w:color="auto"/>
            </w:tcBorders>
            <w:shd w:val="clear" w:color="auto" w:fill="auto"/>
          </w:tcPr>
          <w:p w14:paraId="45D97D33"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084A45C0" w14:textId="77777777" w:rsidTr="00EA57EB">
        <w:tc>
          <w:tcPr>
            <w:tcW w:w="1093" w:type="pct"/>
            <w:tcBorders>
              <w:top w:val="single" w:sz="2" w:space="0" w:color="auto"/>
              <w:bottom w:val="single" w:sz="2" w:space="0" w:color="auto"/>
            </w:tcBorders>
            <w:shd w:val="clear" w:color="auto" w:fill="auto"/>
          </w:tcPr>
          <w:p w14:paraId="29218940" w14:textId="77777777" w:rsidR="000661DC" w:rsidRPr="006D52A9" w:rsidRDefault="000661DC" w:rsidP="005D437C">
            <w:pPr>
              <w:pStyle w:val="Tabletext"/>
              <w:rPr>
                <w:rFonts w:eastAsia="Calibri"/>
                <w:lang w:eastAsia="en-US"/>
              </w:rPr>
            </w:pPr>
            <w:r w:rsidRPr="006D52A9">
              <w:rPr>
                <w:rFonts w:eastAsia="Calibri"/>
                <w:lang w:eastAsia="en-US"/>
              </w:rPr>
              <w:t>Lenalidomide</w:t>
            </w:r>
          </w:p>
        </w:tc>
        <w:tc>
          <w:tcPr>
            <w:tcW w:w="2820" w:type="pct"/>
            <w:tcBorders>
              <w:top w:val="single" w:sz="2" w:space="0" w:color="auto"/>
              <w:bottom w:val="single" w:sz="2" w:space="0" w:color="auto"/>
            </w:tcBorders>
            <w:shd w:val="clear" w:color="auto" w:fill="auto"/>
          </w:tcPr>
          <w:p w14:paraId="069B3797" w14:textId="77777777" w:rsidR="000661DC" w:rsidRPr="006D52A9" w:rsidRDefault="000661DC" w:rsidP="005D437C">
            <w:pPr>
              <w:pStyle w:val="Tabletext"/>
              <w:rPr>
                <w:rFonts w:eastAsia="Calibri"/>
                <w:lang w:eastAsia="en-US"/>
              </w:rPr>
            </w:pPr>
            <w:r w:rsidRPr="006D52A9">
              <w:rPr>
                <w:rFonts w:eastAsia="Calibri"/>
                <w:lang w:eastAsia="en-US"/>
              </w:rPr>
              <w:t>Capsule 15 mg</w:t>
            </w:r>
          </w:p>
        </w:tc>
        <w:tc>
          <w:tcPr>
            <w:tcW w:w="1087" w:type="pct"/>
            <w:tcBorders>
              <w:top w:val="single" w:sz="2" w:space="0" w:color="auto"/>
              <w:bottom w:val="single" w:sz="2" w:space="0" w:color="auto"/>
            </w:tcBorders>
            <w:shd w:val="clear" w:color="auto" w:fill="auto"/>
          </w:tcPr>
          <w:p w14:paraId="0BB05F72"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788003BA" w14:textId="77777777" w:rsidTr="00EA57EB">
        <w:tc>
          <w:tcPr>
            <w:tcW w:w="1093" w:type="pct"/>
            <w:tcBorders>
              <w:top w:val="single" w:sz="2" w:space="0" w:color="auto"/>
              <w:bottom w:val="single" w:sz="2" w:space="0" w:color="auto"/>
            </w:tcBorders>
            <w:shd w:val="clear" w:color="auto" w:fill="auto"/>
          </w:tcPr>
          <w:p w14:paraId="2462861B" w14:textId="77777777" w:rsidR="000661DC" w:rsidRPr="006D52A9" w:rsidRDefault="000661DC" w:rsidP="005D437C">
            <w:pPr>
              <w:pStyle w:val="Tabletext"/>
              <w:rPr>
                <w:rFonts w:eastAsia="Calibri"/>
                <w:lang w:eastAsia="en-US"/>
              </w:rPr>
            </w:pPr>
            <w:r w:rsidRPr="006D52A9">
              <w:rPr>
                <w:rFonts w:eastAsia="Calibri"/>
                <w:lang w:eastAsia="en-US"/>
              </w:rPr>
              <w:t>Lenalidomide</w:t>
            </w:r>
          </w:p>
        </w:tc>
        <w:tc>
          <w:tcPr>
            <w:tcW w:w="2820" w:type="pct"/>
            <w:tcBorders>
              <w:top w:val="single" w:sz="2" w:space="0" w:color="auto"/>
              <w:bottom w:val="single" w:sz="2" w:space="0" w:color="auto"/>
            </w:tcBorders>
            <w:shd w:val="clear" w:color="auto" w:fill="auto"/>
          </w:tcPr>
          <w:p w14:paraId="72BF8BDA" w14:textId="77777777" w:rsidR="000661DC" w:rsidRPr="006D52A9" w:rsidRDefault="000661DC" w:rsidP="005D437C">
            <w:pPr>
              <w:pStyle w:val="Tabletext"/>
              <w:rPr>
                <w:rFonts w:eastAsia="Calibri"/>
                <w:lang w:eastAsia="en-US"/>
              </w:rPr>
            </w:pPr>
            <w:r w:rsidRPr="006D52A9">
              <w:rPr>
                <w:rFonts w:eastAsia="Calibri"/>
                <w:lang w:eastAsia="en-US"/>
              </w:rPr>
              <w:t>Capsule 25 mg</w:t>
            </w:r>
          </w:p>
        </w:tc>
        <w:tc>
          <w:tcPr>
            <w:tcW w:w="1087" w:type="pct"/>
            <w:tcBorders>
              <w:top w:val="single" w:sz="2" w:space="0" w:color="auto"/>
              <w:bottom w:val="single" w:sz="2" w:space="0" w:color="auto"/>
            </w:tcBorders>
            <w:shd w:val="clear" w:color="auto" w:fill="auto"/>
          </w:tcPr>
          <w:p w14:paraId="3965266D"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6F1DC5E9" w14:textId="77777777" w:rsidTr="00EA57EB">
        <w:tc>
          <w:tcPr>
            <w:tcW w:w="1093" w:type="pct"/>
            <w:tcBorders>
              <w:top w:val="single" w:sz="2" w:space="0" w:color="auto"/>
              <w:bottom w:val="single" w:sz="2" w:space="0" w:color="auto"/>
            </w:tcBorders>
            <w:shd w:val="clear" w:color="auto" w:fill="auto"/>
          </w:tcPr>
          <w:p w14:paraId="621BF87F" w14:textId="77777777" w:rsidR="000661DC" w:rsidRPr="006D52A9" w:rsidRDefault="000661DC" w:rsidP="005D437C">
            <w:pPr>
              <w:pStyle w:val="Tabletext"/>
              <w:rPr>
                <w:rFonts w:eastAsia="Calibri"/>
                <w:lang w:eastAsia="en-US"/>
              </w:rPr>
            </w:pPr>
            <w:r w:rsidRPr="006D52A9">
              <w:rPr>
                <w:rFonts w:eastAsia="Calibri"/>
                <w:lang w:eastAsia="en-US"/>
              </w:rPr>
              <w:t>Lumacaftor with ivacaftor</w:t>
            </w:r>
          </w:p>
        </w:tc>
        <w:tc>
          <w:tcPr>
            <w:tcW w:w="2820" w:type="pct"/>
            <w:tcBorders>
              <w:top w:val="single" w:sz="2" w:space="0" w:color="auto"/>
              <w:bottom w:val="single" w:sz="2" w:space="0" w:color="auto"/>
            </w:tcBorders>
            <w:shd w:val="clear" w:color="auto" w:fill="auto"/>
          </w:tcPr>
          <w:p w14:paraId="6618F8C6" w14:textId="77777777" w:rsidR="000661DC" w:rsidRPr="006D52A9" w:rsidRDefault="000661DC" w:rsidP="005D437C">
            <w:pPr>
              <w:pStyle w:val="Tabletext"/>
              <w:rPr>
                <w:rFonts w:eastAsia="Calibri"/>
                <w:lang w:eastAsia="en-US"/>
              </w:rPr>
            </w:pPr>
            <w:r w:rsidRPr="006D52A9">
              <w:rPr>
                <w:rFonts w:eastAsia="Calibri"/>
                <w:lang w:eastAsia="en-US"/>
              </w:rPr>
              <w:t>Sachet containing granules, lumacaftor 100 mg and ivacaftor 125 mg</w:t>
            </w:r>
          </w:p>
        </w:tc>
        <w:tc>
          <w:tcPr>
            <w:tcW w:w="1087" w:type="pct"/>
            <w:tcBorders>
              <w:top w:val="single" w:sz="2" w:space="0" w:color="auto"/>
              <w:bottom w:val="single" w:sz="2" w:space="0" w:color="auto"/>
            </w:tcBorders>
            <w:shd w:val="clear" w:color="auto" w:fill="auto"/>
          </w:tcPr>
          <w:p w14:paraId="670CBF8F"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54F48F30" w14:textId="77777777" w:rsidTr="00EA57EB">
        <w:tc>
          <w:tcPr>
            <w:tcW w:w="1093" w:type="pct"/>
            <w:tcBorders>
              <w:top w:val="single" w:sz="2" w:space="0" w:color="auto"/>
              <w:bottom w:val="single" w:sz="2" w:space="0" w:color="auto"/>
            </w:tcBorders>
            <w:shd w:val="clear" w:color="auto" w:fill="auto"/>
          </w:tcPr>
          <w:p w14:paraId="643E6A3D" w14:textId="77777777" w:rsidR="000661DC" w:rsidRPr="006D52A9" w:rsidRDefault="000661DC" w:rsidP="005D437C">
            <w:pPr>
              <w:pStyle w:val="Tabletext"/>
              <w:rPr>
                <w:rFonts w:eastAsia="Calibri"/>
                <w:lang w:eastAsia="en-US"/>
              </w:rPr>
            </w:pPr>
            <w:r w:rsidRPr="006D52A9">
              <w:rPr>
                <w:rFonts w:eastAsia="Calibri"/>
                <w:lang w:eastAsia="en-US"/>
              </w:rPr>
              <w:t>Lumacaftor with ivacaftor</w:t>
            </w:r>
          </w:p>
        </w:tc>
        <w:tc>
          <w:tcPr>
            <w:tcW w:w="2820" w:type="pct"/>
            <w:tcBorders>
              <w:top w:val="single" w:sz="2" w:space="0" w:color="auto"/>
              <w:bottom w:val="single" w:sz="2" w:space="0" w:color="auto"/>
            </w:tcBorders>
            <w:shd w:val="clear" w:color="auto" w:fill="auto"/>
          </w:tcPr>
          <w:p w14:paraId="497E83E5" w14:textId="77777777" w:rsidR="000661DC" w:rsidRPr="006D52A9" w:rsidRDefault="000661DC" w:rsidP="005D437C">
            <w:pPr>
              <w:pStyle w:val="Tabletext"/>
              <w:rPr>
                <w:rFonts w:eastAsia="Calibri"/>
                <w:lang w:eastAsia="en-US"/>
              </w:rPr>
            </w:pPr>
            <w:r w:rsidRPr="006D52A9">
              <w:rPr>
                <w:rFonts w:eastAsia="Calibri"/>
                <w:lang w:eastAsia="en-US"/>
              </w:rPr>
              <w:t>Sachet containing granules, lumacaftor 150 mg and ivacaftor 188 mg</w:t>
            </w:r>
          </w:p>
        </w:tc>
        <w:tc>
          <w:tcPr>
            <w:tcW w:w="1087" w:type="pct"/>
            <w:tcBorders>
              <w:top w:val="single" w:sz="2" w:space="0" w:color="auto"/>
              <w:bottom w:val="single" w:sz="2" w:space="0" w:color="auto"/>
            </w:tcBorders>
            <w:shd w:val="clear" w:color="auto" w:fill="auto"/>
          </w:tcPr>
          <w:p w14:paraId="1596CAF3"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21649048" w14:textId="77777777" w:rsidTr="00EA57EB">
        <w:tc>
          <w:tcPr>
            <w:tcW w:w="1093" w:type="pct"/>
            <w:tcBorders>
              <w:top w:val="single" w:sz="2" w:space="0" w:color="auto"/>
              <w:bottom w:val="single" w:sz="2" w:space="0" w:color="auto"/>
            </w:tcBorders>
            <w:shd w:val="clear" w:color="auto" w:fill="auto"/>
          </w:tcPr>
          <w:p w14:paraId="45260625" w14:textId="77777777" w:rsidR="000661DC" w:rsidRPr="006D52A9" w:rsidRDefault="000661DC" w:rsidP="005D437C">
            <w:pPr>
              <w:pStyle w:val="Tabletext"/>
              <w:rPr>
                <w:rFonts w:eastAsia="Calibri"/>
                <w:lang w:eastAsia="en-US"/>
              </w:rPr>
            </w:pPr>
            <w:r w:rsidRPr="006D52A9">
              <w:rPr>
                <w:rFonts w:eastAsia="Calibri"/>
                <w:lang w:eastAsia="en-US"/>
              </w:rPr>
              <w:t>Lumacaftor with ivacaftor</w:t>
            </w:r>
          </w:p>
        </w:tc>
        <w:tc>
          <w:tcPr>
            <w:tcW w:w="2820" w:type="pct"/>
            <w:tcBorders>
              <w:top w:val="single" w:sz="2" w:space="0" w:color="auto"/>
              <w:bottom w:val="single" w:sz="2" w:space="0" w:color="auto"/>
            </w:tcBorders>
            <w:shd w:val="clear" w:color="auto" w:fill="auto"/>
          </w:tcPr>
          <w:p w14:paraId="5EC68DE2" w14:textId="77777777" w:rsidR="000661DC" w:rsidRPr="006D52A9" w:rsidRDefault="000661DC" w:rsidP="005D437C">
            <w:pPr>
              <w:pStyle w:val="Tabletext"/>
              <w:rPr>
                <w:rFonts w:eastAsia="Calibri"/>
                <w:lang w:eastAsia="en-US"/>
              </w:rPr>
            </w:pPr>
            <w:r w:rsidRPr="006D52A9">
              <w:rPr>
                <w:rFonts w:eastAsia="Calibri"/>
                <w:lang w:eastAsia="en-US"/>
              </w:rPr>
              <w:t xml:space="preserve">Tablet containing lumacaftor 100 mg with ivacaftor 125 mg </w:t>
            </w:r>
          </w:p>
        </w:tc>
        <w:tc>
          <w:tcPr>
            <w:tcW w:w="1087" w:type="pct"/>
            <w:tcBorders>
              <w:top w:val="single" w:sz="2" w:space="0" w:color="auto"/>
              <w:bottom w:val="single" w:sz="2" w:space="0" w:color="auto"/>
            </w:tcBorders>
            <w:shd w:val="clear" w:color="auto" w:fill="auto"/>
          </w:tcPr>
          <w:p w14:paraId="023E0C25"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49E4DB97" w14:textId="77777777" w:rsidTr="00EA57EB">
        <w:tc>
          <w:tcPr>
            <w:tcW w:w="1093" w:type="pct"/>
            <w:tcBorders>
              <w:top w:val="single" w:sz="2" w:space="0" w:color="auto"/>
              <w:bottom w:val="single" w:sz="2" w:space="0" w:color="auto"/>
            </w:tcBorders>
            <w:shd w:val="clear" w:color="auto" w:fill="auto"/>
          </w:tcPr>
          <w:p w14:paraId="29FFCD69" w14:textId="77777777" w:rsidR="000661DC" w:rsidRPr="006D52A9" w:rsidRDefault="000661DC" w:rsidP="005D437C">
            <w:pPr>
              <w:pStyle w:val="Tabletext"/>
              <w:rPr>
                <w:rFonts w:eastAsia="Calibri"/>
                <w:lang w:eastAsia="en-US"/>
              </w:rPr>
            </w:pPr>
            <w:r w:rsidRPr="006D52A9">
              <w:rPr>
                <w:rFonts w:eastAsia="Calibri"/>
                <w:lang w:eastAsia="en-US"/>
              </w:rPr>
              <w:t>Lumacaftor with ivacaftor</w:t>
            </w:r>
          </w:p>
        </w:tc>
        <w:tc>
          <w:tcPr>
            <w:tcW w:w="2820" w:type="pct"/>
            <w:tcBorders>
              <w:top w:val="single" w:sz="2" w:space="0" w:color="auto"/>
              <w:bottom w:val="single" w:sz="2" w:space="0" w:color="auto"/>
            </w:tcBorders>
            <w:shd w:val="clear" w:color="auto" w:fill="auto"/>
          </w:tcPr>
          <w:p w14:paraId="557808EA" w14:textId="77777777" w:rsidR="000661DC" w:rsidRPr="006D52A9" w:rsidRDefault="000661DC" w:rsidP="005D437C">
            <w:pPr>
              <w:pStyle w:val="Tabletext"/>
              <w:rPr>
                <w:rFonts w:eastAsia="Calibri"/>
                <w:lang w:eastAsia="en-US"/>
              </w:rPr>
            </w:pPr>
            <w:r w:rsidRPr="006D52A9">
              <w:rPr>
                <w:rFonts w:eastAsia="Calibri"/>
                <w:lang w:eastAsia="en-US"/>
              </w:rPr>
              <w:t xml:space="preserve">Tablet containing lumacaftor 200 mg with ivacaftor 125 mg </w:t>
            </w:r>
          </w:p>
        </w:tc>
        <w:tc>
          <w:tcPr>
            <w:tcW w:w="1087" w:type="pct"/>
            <w:tcBorders>
              <w:top w:val="single" w:sz="2" w:space="0" w:color="auto"/>
              <w:bottom w:val="single" w:sz="2" w:space="0" w:color="auto"/>
            </w:tcBorders>
            <w:shd w:val="clear" w:color="auto" w:fill="auto"/>
          </w:tcPr>
          <w:p w14:paraId="78FAD5B1"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381A3216" w14:textId="77777777" w:rsidTr="00EA57EB">
        <w:tc>
          <w:tcPr>
            <w:tcW w:w="1093" w:type="pct"/>
            <w:tcBorders>
              <w:top w:val="single" w:sz="2" w:space="0" w:color="auto"/>
              <w:bottom w:val="single" w:sz="2" w:space="0" w:color="auto"/>
            </w:tcBorders>
            <w:shd w:val="clear" w:color="auto" w:fill="auto"/>
          </w:tcPr>
          <w:p w14:paraId="6BC90618" w14:textId="77777777" w:rsidR="000661DC" w:rsidRPr="006D52A9" w:rsidRDefault="000661DC" w:rsidP="005D437C">
            <w:pPr>
              <w:pStyle w:val="Tabletext"/>
              <w:rPr>
                <w:rFonts w:eastAsia="Calibri"/>
                <w:lang w:eastAsia="en-US"/>
              </w:rPr>
            </w:pPr>
            <w:r w:rsidRPr="006D52A9">
              <w:rPr>
                <w:rFonts w:eastAsia="Calibri"/>
                <w:lang w:eastAsia="en-US"/>
              </w:rPr>
              <w:t>Macitentan</w:t>
            </w:r>
          </w:p>
        </w:tc>
        <w:tc>
          <w:tcPr>
            <w:tcW w:w="2820" w:type="pct"/>
            <w:tcBorders>
              <w:top w:val="single" w:sz="2" w:space="0" w:color="auto"/>
              <w:bottom w:val="single" w:sz="2" w:space="0" w:color="auto"/>
            </w:tcBorders>
            <w:shd w:val="clear" w:color="auto" w:fill="auto"/>
          </w:tcPr>
          <w:p w14:paraId="19FBC98C" w14:textId="77777777" w:rsidR="000661DC" w:rsidRPr="006D52A9" w:rsidRDefault="000661DC" w:rsidP="005D437C">
            <w:pPr>
              <w:pStyle w:val="Tabletext"/>
              <w:rPr>
                <w:rFonts w:eastAsia="Calibri"/>
                <w:lang w:eastAsia="en-US"/>
              </w:rPr>
            </w:pPr>
            <w:r w:rsidRPr="006D52A9">
              <w:rPr>
                <w:rFonts w:eastAsia="Calibri"/>
                <w:lang w:eastAsia="en-US"/>
              </w:rPr>
              <w:t>Tablet 10 mg</w:t>
            </w:r>
          </w:p>
        </w:tc>
        <w:tc>
          <w:tcPr>
            <w:tcW w:w="1087" w:type="pct"/>
            <w:tcBorders>
              <w:top w:val="single" w:sz="2" w:space="0" w:color="auto"/>
              <w:bottom w:val="single" w:sz="2" w:space="0" w:color="auto"/>
            </w:tcBorders>
            <w:shd w:val="clear" w:color="auto" w:fill="auto"/>
          </w:tcPr>
          <w:p w14:paraId="6B6FB907"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1AE0A0EB" w14:textId="77777777" w:rsidTr="00EA57EB">
        <w:tc>
          <w:tcPr>
            <w:tcW w:w="1093" w:type="pct"/>
            <w:tcBorders>
              <w:top w:val="single" w:sz="2" w:space="0" w:color="auto"/>
              <w:bottom w:val="single" w:sz="2" w:space="0" w:color="auto"/>
            </w:tcBorders>
            <w:shd w:val="clear" w:color="auto" w:fill="auto"/>
          </w:tcPr>
          <w:p w14:paraId="6000493C" w14:textId="77777777" w:rsidR="000661DC" w:rsidRPr="006D52A9" w:rsidRDefault="000661DC" w:rsidP="005D437C">
            <w:pPr>
              <w:pStyle w:val="Tabletext"/>
              <w:rPr>
                <w:rFonts w:eastAsia="Calibri"/>
                <w:lang w:eastAsia="en-US"/>
              </w:rPr>
            </w:pPr>
            <w:r w:rsidRPr="006D52A9">
              <w:rPr>
                <w:rFonts w:eastAsia="Calibri"/>
                <w:lang w:eastAsia="en-US"/>
              </w:rPr>
              <w:t>Mannitol</w:t>
            </w:r>
          </w:p>
        </w:tc>
        <w:tc>
          <w:tcPr>
            <w:tcW w:w="2820" w:type="pct"/>
            <w:tcBorders>
              <w:top w:val="single" w:sz="2" w:space="0" w:color="auto"/>
              <w:bottom w:val="single" w:sz="2" w:space="0" w:color="auto"/>
            </w:tcBorders>
            <w:shd w:val="clear" w:color="auto" w:fill="auto"/>
          </w:tcPr>
          <w:p w14:paraId="06067B6F" w14:textId="77777777" w:rsidR="000661DC" w:rsidRPr="006D52A9" w:rsidRDefault="000661DC" w:rsidP="005D437C">
            <w:pPr>
              <w:pStyle w:val="Tabletext"/>
              <w:rPr>
                <w:rFonts w:eastAsia="Calibri"/>
                <w:lang w:eastAsia="en-US"/>
              </w:rPr>
            </w:pPr>
            <w:r w:rsidRPr="006D52A9">
              <w:rPr>
                <w:rFonts w:eastAsia="Calibri"/>
                <w:lang w:eastAsia="en-US"/>
              </w:rPr>
              <w:t>Pack containing 280 capsules containing powder for inhalation 40 mg and 2 inhalers</w:t>
            </w:r>
          </w:p>
        </w:tc>
        <w:tc>
          <w:tcPr>
            <w:tcW w:w="1087" w:type="pct"/>
            <w:tcBorders>
              <w:top w:val="single" w:sz="2" w:space="0" w:color="auto"/>
              <w:bottom w:val="single" w:sz="2" w:space="0" w:color="auto"/>
            </w:tcBorders>
            <w:shd w:val="clear" w:color="auto" w:fill="auto"/>
          </w:tcPr>
          <w:p w14:paraId="41BA15BC" w14:textId="77777777" w:rsidR="000661DC" w:rsidRPr="006D52A9" w:rsidRDefault="000661DC" w:rsidP="005D437C">
            <w:pPr>
              <w:pStyle w:val="Tabletext"/>
              <w:rPr>
                <w:rFonts w:eastAsia="Calibri"/>
                <w:lang w:eastAsia="en-US"/>
              </w:rPr>
            </w:pPr>
            <w:r w:rsidRPr="006D52A9">
              <w:rPr>
                <w:rFonts w:eastAsia="Calibri"/>
                <w:lang w:eastAsia="en-US"/>
              </w:rPr>
              <w:t>Inhalation by mouth</w:t>
            </w:r>
          </w:p>
        </w:tc>
      </w:tr>
      <w:tr w:rsidR="000661DC" w:rsidRPr="006D52A9" w14:paraId="0CB603B9" w14:textId="77777777" w:rsidTr="00EA57EB">
        <w:tc>
          <w:tcPr>
            <w:tcW w:w="1093" w:type="pct"/>
            <w:tcBorders>
              <w:top w:val="single" w:sz="2" w:space="0" w:color="auto"/>
              <w:bottom w:val="single" w:sz="2" w:space="0" w:color="auto"/>
            </w:tcBorders>
            <w:shd w:val="clear" w:color="auto" w:fill="auto"/>
          </w:tcPr>
          <w:p w14:paraId="368A261F" w14:textId="77777777" w:rsidR="000661DC" w:rsidRPr="006D52A9" w:rsidRDefault="000661DC" w:rsidP="005D437C">
            <w:pPr>
              <w:pStyle w:val="Tabletext"/>
              <w:rPr>
                <w:rFonts w:eastAsia="Calibri"/>
                <w:lang w:eastAsia="en-US"/>
              </w:rPr>
            </w:pPr>
            <w:r w:rsidRPr="006D52A9">
              <w:rPr>
                <w:rFonts w:eastAsia="Calibri"/>
                <w:lang w:eastAsia="en-US"/>
              </w:rPr>
              <w:t>Mepolizumab</w:t>
            </w:r>
          </w:p>
        </w:tc>
        <w:tc>
          <w:tcPr>
            <w:tcW w:w="2820" w:type="pct"/>
            <w:tcBorders>
              <w:top w:val="single" w:sz="2" w:space="0" w:color="auto"/>
              <w:bottom w:val="single" w:sz="2" w:space="0" w:color="auto"/>
            </w:tcBorders>
            <w:shd w:val="clear" w:color="auto" w:fill="auto"/>
          </w:tcPr>
          <w:p w14:paraId="6CE5496D" w14:textId="77777777" w:rsidR="000661DC" w:rsidRPr="006D52A9" w:rsidRDefault="000661DC" w:rsidP="005D437C">
            <w:pPr>
              <w:pStyle w:val="Tabletext"/>
              <w:rPr>
                <w:rFonts w:eastAsia="Calibri"/>
                <w:lang w:eastAsia="en-US"/>
              </w:rPr>
            </w:pPr>
            <w:r w:rsidRPr="006D52A9">
              <w:rPr>
                <w:rFonts w:eastAsia="Calibri"/>
                <w:lang w:eastAsia="en-US"/>
              </w:rPr>
              <w:t>Powder for injection 100 mg</w:t>
            </w:r>
          </w:p>
        </w:tc>
        <w:tc>
          <w:tcPr>
            <w:tcW w:w="1087" w:type="pct"/>
            <w:tcBorders>
              <w:top w:val="single" w:sz="2" w:space="0" w:color="auto"/>
              <w:bottom w:val="single" w:sz="2" w:space="0" w:color="auto"/>
            </w:tcBorders>
            <w:shd w:val="clear" w:color="auto" w:fill="auto"/>
          </w:tcPr>
          <w:p w14:paraId="333ED675"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5B06BF95" w14:textId="77777777" w:rsidTr="00EA57EB">
        <w:tc>
          <w:tcPr>
            <w:tcW w:w="1093" w:type="pct"/>
            <w:tcBorders>
              <w:top w:val="single" w:sz="2" w:space="0" w:color="auto"/>
              <w:bottom w:val="single" w:sz="2" w:space="0" w:color="auto"/>
            </w:tcBorders>
            <w:shd w:val="clear" w:color="auto" w:fill="auto"/>
          </w:tcPr>
          <w:p w14:paraId="3DB9930B" w14:textId="77777777" w:rsidR="000661DC" w:rsidRPr="006D52A9" w:rsidRDefault="000661DC" w:rsidP="005D437C">
            <w:pPr>
              <w:pStyle w:val="Tabletext"/>
              <w:rPr>
                <w:rFonts w:eastAsia="Calibri"/>
                <w:lang w:eastAsia="en-US"/>
              </w:rPr>
            </w:pPr>
            <w:r w:rsidRPr="006D52A9">
              <w:rPr>
                <w:rFonts w:eastAsia="Calibri"/>
                <w:lang w:eastAsia="en-US"/>
              </w:rPr>
              <w:t>Mepolizumab</w:t>
            </w:r>
          </w:p>
        </w:tc>
        <w:tc>
          <w:tcPr>
            <w:tcW w:w="2820" w:type="pct"/>
            <w:tcBorders>
              <w:top w:val="single" w:sz="2" w:space="0" w:color="auto"/>
              <w:bottom w:val="single" w:sz="2" w:space="0" w:color="auto"/>
            </w:tcBorders>
            <w:shd w:val="clear" w:color="auto" w:fill="auto"/>
          </w:tcPr>
          <w:p w14:paraId="134AE7BD" w14:textId="77777777" w:rsidR="000661DC" w:rsidRPr="006D52A9" w:rsidRDefault="000661DC" w:rsidP="005D437C">
            <w:pPr>
              <w:pStyle w:val="Tabletext"/>
              <w:rPr>
                <w:rFonts w:eastAsia="Calibri"/>
                <w:lang w:eastAsia="en-US"/>
              </w:rPr>
            </w:pPr>
            <w:r w:rsidRPr="006D52A9">
              <w:rPr>
                <w:rFonts w:eastAsia="Calibri"/>
                <w:lang w:eastAsia="en-US"/>
              </w:rPr>
              <w:t>Injection 100 mg in 1 mL single dose pre</w:t>
            </w:r>
            <w:r w:rsidR="0026100E">
              <w:rPr>
                <w:rFonts w:eastAsia="Calibri"/>
                <w:lang w:eastAsia="en-US"/>
              </w:rPr>
              <w:noBreakHyphen/>
            </w:r>
            <w:r w:rsidRPr="006D52A9">
              <w:rPr>
                <w:rFonts w:eastAsia="Calibri"/>
                <w:lang w:eastAsia="en-US"/>
              </w:rPr>
              <w:t>filled pen</w:t>
            </w:r>
          </w:p>
        </w:tc>
        <w:tc>
          <w:tcPr>
            <w:tcW w:w="1087" w:type="pct"/>
            <w:tcBorders>
              <w:top w:val="single" w:sz="2" w:space="0" w:color="auto"/>
              <w:bottom w:val="single" w:sz="2" w:space="0" w:color="auto"/>
            </w:tcBorders>
            <w:shd w:val="clear" w:color="auto" w:fill="auto"/>
          </w:tcPr>
          <w:p w14:paraId="3BA8EFDD"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23D87500" w14:textId="77777777" w:rsidTr="00EA57EB">
        <w:tc>
          <w:tcPr>
            <w:tcW w:w="1093" w:type="pct"/>
            <w:tcBorders>
              <w:top w:val="single" w:sz="2" w:space="0" w:color="auto"/>
              <w:bottom w:val="single" w:sz="2" w:space="0" w:color="auto"/>
            </w:tcBorders>
            <w:shd w:val="clear" w:color="auto" w:fill="auto"/>
          </w:tcPr>
          <w:p w14:paraId="2CF0B037" w14:textId="77777777" w:rsidR="000661DC" w:rsidRPr="006D52A9" w:rsidRDefault="000661DC" w:rsidP="005D437C">
            <w:pPr>
              <w:pStyle w:val="Tabletext"/>
              <w:rPr>
                <w:rFonts w:eastAsia="Calibri"/>
                <w:lang w:eastAsia="en-US"/>
              </w:rPr>
            </w:pPr>
            <w:r w:rsidRPr="006D52A9">
              <w:rPr>
                <w:rFonts w:eastAsia="Calibri"/>
                <w:lang w:eastAsia="en-US"/>
              </w:rPr>
              <w:t>Omalizumab</w:t>
            </w:r>
          </w:p>
        </w:tc>
        <w:tc>
          <w:tcPr>
            <w:tcW w:w="2820" w:type="pct"/>
            <w:tcBorders>
              <w:top w:val="single" w:sz="2" w:space="0" w:color="auto"/>
              <w:bottom w:val="single" w:sz="2" w:space="0" w:color="auto"/>
            </w:tcBorders>
            <w:shd w:val="clear" w:color="auto" w:fill="auto"/>
          </w:tcPr>
          <w:p w14:paraId="28A4F5D7" w14:textId="77777777" w:rsidR="000661DC" w:rsidRPr="006D52A9" w:rsidRDefault="000661DC" w:rsidP="005D437C">
            <w:pPr>
              <w:pStyle w:val="Tabletext"/>
              <w:rPr>
                <w:rFonts w:eastAsia="Calibri"/>
                <w:lang w:eastAsia="en-US"/>
              </w:rPr>
            </w:pPr>
            <w:r w:rsidRPr="006D52A9">
              <w:rPr>
                <w:rFonts w:eastAsia="Calibri"/>
                <w:lang w:eastAsia="en-US"/>
              </w:rPr>
              <w:t>Injection 75 mg in 0.5 mL single dose pre</w:t>
            </w:r>
            <w:r w:rsidR="0026100E">
              <w:rPr>
                <w:rFonts w:eastAsia="Calibri"/>
                <w:lang w:eastAsia="en-US"/>
              </w:rPr>
              <w:noBreakHyphen/>
            </w:r>
            <w:r w:rsidRPr="006D52A9">
              <w:rPr>
                <w:rFonts w:eastAsia="Calibri"/>
                <w:lang w:eastAsia="en-US"/>
              </w:rPr>
              <w:t>filled syringe</w:t>
            </w:r>
          </w:p>
        </w:tc>
        <w:tc>
          <w:tcPr>
            <w:tcW w:w="1087" w:type="pct"/>
            <w:tcBorders>
              <w:top w:val="single" w:sz="2" w:space="0" w:color="auto"/>
              <w:bottom w:val="single" w:sz="2" w:space="0" w:color="auto"/>
            </w:tcBorders>
            <w:shd w:val="clear" w:color="auto" w:fill="auto"/>
          </w:tcPr>
          <w:p w14:paraId="5B77F3FF"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3EF146AF" w14:textId="77777777" w:rsidTr="00EA57EB">
        <w:tc>
          <w:tcPr>
            <w:tcW w:w="1093" w:type="pct"/>
            <w:tcBorders>
              <w:top w:val="single" w:sz="2" w:space="0" w:color="auto"/>
              <w:bottom w:val="single" w:sz="2" w:space="0" w:color="auto"/>
            </w:tcBorders>
            <w:shd w:val="clear" w:color="auto" w:fill="auto"/>
          </w:tcPr>
          <w:p w14:paraId="420D420A" w14:textId="77777777" w:rsidR="000661DC" w:rsidRPr="006D52A9" w:rsidRDefault="000661DC" w:rsidP="005D437C">
            <w:pPr>
              <w:pStyle w:val="Tabletext"/>
              <w:rPr>
                <w:rFonts w:eastAsia="Calibri"/>
                <w:lang w:eastAsia="en-US"/>
              </w:rPr>
            </w:pPr>
            <w:r w:rsidRPr="006D52A9">
              <w:rPr>
                <w:rFonts w:eastAsia="Calibri"/>
                <w:lang w:eastAsia="en-US"/>
              </w:rPr>
              <w:t>Omalizumab</w:t>
            </w:r>
          </w:p>
        </w:tc>
        <w:tc>
          <w:tcPr>
            <w:tcW w:w="2820" w:type="pct"/>
            <w:tcBorders>
              <w:top w:val="single" w:sz="2" w:space="0" w:color="auto"/>
              <w:bottom w:val="single" w:sz="2" w:space="0" w:color="auto"/>
            </w:tcBorders>
            <w:shd w:val="clear" w:color="auto" w:fill="auto"/>
          </w:tcPr>
          <w:p w14:paraId="11AB4696" w14:textId="77777777" w:rsidR="000661DC" w:rsidRPr="006D52A9" w:rsidRDefault="000661DC" w:rsidP="005D437C">
            <w:pPr>
              <w:pStyle w:val="Tabletext"/>
              <w:rPr>
                <w:rFonts w:eastAsia="Calibri"/>
                <w:lang w:eastAsia="en-US"/>
              </w:rPr>
            </w:pPr>
            <w:r w:rsidRPr="006D52A9">
              <w:rPr>
                <w:rFonts w:eastAsia="Calibri"/>
                <w:lang w:eastAsia="en-US"/>
              </w:rPr>
              <w:t>Injection 150 mg in 1 mL single dose pre</w:t>
            </w:r>
            <w:r w:rsidR="0026100E">
              <w:rPr>
                <w:rFonts w:eastAsia="Calibri"/>
                <w:lang w:eastAsia="en-US"/>
              </w:rPr>
              <w:noBreakHyphen/>
            </w:r>
            <w:r w:rsidRPr="006D52A9">
              <w:rPr>
                <w:rFonts w:eastAsia="Calibri"/>
                <w:lang w:eastAsia="en-US"/>
              </w:rPr>
              <w:t>filled syringe</w:t>
            </w:r>
          </w:p>
        </w:tc>
        <w:tc>
          <w:tcPr>
            <w:tcW w:w="1087" w:type="pct"/>
            <w:tcBorders>
              <w:top w:val="single" w:sz="2" w:space="0" w:color="auto"/>
              <w:bottom w:val="single" w:sz="2" w:space="0" w:color="auto"/>
            </w:tcBorders>
            <w:shd w:val="clear" w:color="auto" w:fill="auto"/>
          </w:tcPr>
          <w:p w14:paraId="72BFB0DF"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3498B4B3" w14:textId="77777777" w:rsidTr="00EA57EB">
        <w:tc>
          <w:tcPr>
            <w:tcW w:w="1093" w:type="pct"/>
            <w:tcBorders>
              <w:top w:val="single" w:sz="2" w:space="0" w:color="auto"/>
              <w:bottom w:val="single" w:sz="2" w:space="0" w:color="auto"/>
            </w:tcBorders>
            <w:shd w:val="clear" w:color="auto" w:fill="auto"/>
          </w:tcPr>
          <w:p w14:paraId="4931822A" w14:textId="77777777" w:rsidR="000661DC" w:rsidRPr="006D52A9" w:rsidRDefault="000661DC" w:rsidP="005D437C">
            <w:pPr>
              <w:pStyle w:val="Tabletext"/>
              <w:rPr>
                <w:rFonts w:eastAsia="Calibri"/>
                <w:lang w:eastAsia="en-US"/>
              </w:rPr>
            </w:pPr>
            <w:r w:rsidRPr="006D52A9">
              <w:rPr>
                <w:rFonts w:eastAsia="Calibri"/>
                <w:lang w:eastAsia="en-US"/>
              </w:rPr>
              <w:t>Pomalidomide</w:t>
            </w:r>
          </w:p>
        </w:tc>
        <w:tc>
          <w:tcPr>
            <w:tcW w:w="2820" w:type="pct"/>
            <w:tcBorders>
              <w:top w:val="single" w:sz="2" w:space="0" w:color="auto"/>
              <w:bottom w:val="single" w:sz="2" w:space="0" w:color="auto"/>
            </w:tcBorders>
            <w:shd w:val="clear" w:color="auto" w:fill="auto"/>
          </w:tcPr>
          <w:p w14:paraId="0B5B4FE4" w14:textId="77777777" w:rsidR="000661DC" w:rsidRPr="006D52A9" w:rsidRDefault="000661DC" w:rsidP="005D437C">
            <w:pPr>
              <w:pStyle w:val="Tabletext"/>
              <w:rPr>
                <w:rFonts w:eastAsia="Calibri"/>
                <w:lang w:eastAsia="en-US"/>
              </w:rPr>
            </w:pPr>
            <w:r w:rsidRPr="006D52A9">
              <w:rPr>
                <w:rFonts w:eastAsia="Calibri"/>
                <w:lang w:eastAsia="en-US"/>
              </w:rPr>
              <w:t>Capsule 3 mg</w:t>
            </w:r>
          </w:p>
        </w:tc>
        <w:tc>
          <w:tcPr>
            <w:tcW w:w="1087" w:type="pct"/>
            <w:tcBorders>
              <w:top w:val="single" w:sz="2" w:space="0" w:color="auto"/>
              <w:bottom w:val="single" w:sz="2" w:space="0" w:color="auto"/>
            </w:tcBorders>
            <w:shd w:val="clear" w:color="auto" w:fill="auto"/>
          </w:tcPr>
          <w:p w14:paraId="49148E02"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3F8C4255" w14:textId="77777777" w:rsidTr="00EA57EB">
        <w:tc>
          <w:tcPr>
            <w:tcW w:w="1093" w:type="pct"/>
            <w:tcBorders>
              <w:top w:val="single" w:sz="2" w:space="0" w:color="auto"/>
              <w:bottom w:val="single" w:sz="2" w:space="0" w:color="auto"/>
            </w:tcBorders>
            <w:shd w:val="clear" w:color="auto" w:fill="auto"/>
          </w:tcPr>
          <w:p w14:paraId="615905ED" w14:textId="77777777" w:rsidR="000661DC" w:rsidRPr="006D52A9" w:rsidRDefault="000661DC" w:rsidP="005D437C">
            <w:pPr>
              <w:pStyle w:val="Tabletext"/>
              <w:rPr>
                <w:rFonts w:eastAsia="Calibri"/>
                <w:lang w:eastAsia="en-US"/>
              </w:rPr>
            </w:pPr>
            <w:r w:rsidRPr="006D52A9">
              <w:rPr>
                <w:rFonts w:eastAsia="Calibri"/>
                <w:lang w:eastAsia="en-US"/>
              </w:rPr>
              <w:t>Pomalidomide</w:t>
            </w:r>
          </w:p>
        </w:tc>
        <w:tc>
          <w:tcPr>
            <w:tcW w:w="2820" w:type="pct"/>
            <w:tcBorders>
              <w:top w:val="single" w:sz="2" w:space="0" w:color="auto"/>
              <w:bottom w:val="single" w:sz="2" w:space="0" w:color="auto"/>
            </w:tcBorders>
            <w:shd w:val="clear" w:color="auto" w:fill="auto"/>
          </w:tcPr>
          <w:p w14:paraId="2F453934" w14:textId="77777777" w:rsidR="000661DC" w:rsidRPr="006D52A9" w:rsidRDefault="000661DC" w:rsidP="005D437C">
            <w:pPr>
              <w:pStyle w:val="Tabletext"/>
              <w:rPr>
                <w:rFonts w:eastAsia="Calibri"/>
                <w:lang w:eastAsia="en-US"/>
              </w:rPr>
            </w:pPr>
            <w:r w:rsidRPr="006D52A9">
              <w:rPr>
                <w:rFonts w:eastAsia="Calibri"/>
                <w:lang w:eastAsia="en-US"/>
              </w:rPr>
              <w:t>Capsule 4 mg</w:t>
            </w:r>
          </w:p>
        </w:tc>
        <w:tc>
          <w:tcPr>
            <w:tcW w:w="1087" w:type="pct"/>
            <w:tcBorders>
              <w:top w:val="single" w:sz="2" w:space="0" w:color="auto"/>
              <w:bottom w:val="single" w:sz="2" w:space="0" w:color="auto"/>
            </w:tcBorders>
            <w:shd w:val="clear" w:color="auto" w:fill="auto"/>
          </w:tcPr>
          <w:p w14:paraId="0DB04D25"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008289DA" w14:textId="77777777" w:rsidTr="00EA57EB">
        <w:tc>
          <w:tcPr>
            <w:tcW w:w="1093" w:type="pct"/>
            <w:tcBorders>
              <w:top w:val="single" w:sz="2" w:space="0" w:color="auto"/>
              <w:bottom w:val="single" w:sz="2" w:space="0" w:color="auto"/>
            </w:tcBorders>
            <w:shd w:val="clear" w:color="auto" w:fill="auto"/>
          </w:tcPr>
          <w:p w14:paraId="02D99212" w14:textId="77777777" w:rsidR="000661DC" w:rsidRPr="006D52A9" w:rsidRDefault="000661DC" w:rsidP="005D437C">
            <w:pPr>
              <w:pStyle w:val="Tabletext"/>
              <w:rPr>
                <w:rFonts w:eastAsia="Calibri"/>
                <w:lang w:eastAsia="en-US"/>
              </w:rPr>
            </w:pPr>
            <w:r w:rsidRPr="006D52A9">
              <w:rPr>
                <w:rFonts w:eastAsia="Calibri"/>
                <w:lang w:eastAsia="en-US"/>
              </w:rPr>
              <w:t>Riociguat</w:t>
            </w:r>
          </w:p>
        </w:tc>
        <w:tc>
          <w:tcPr>
            <w:tcW w:w="2820" w:type="pct"/>
            <w:tcBorders>
              <w:top w:val="single" w:sz="2" w:space="0" w:color="auto"/>
              <w:bottom w:val="single" w:sz="2" w:space="0" w:color="auto"/>
            </w:tcBorders>
            <w:shd w:val="clear" w:color="auto" w:fill="auto"/>
          </w:tcPr>
          <w:p w14:paraId="6FC5722F" w14:textId="77777777" w:rsidR="000661DC" w:rsidRPr="006D52A9" w:rsidRDefault="000661DC" w:rsidP="005D437C">
            <w:pPr>
              <w:pStyle w:val="Tabletext"/>
              <w:rPr>
                <w:rFonts w:eastAsia="Calibri"/>
                <w:lang w:eastAsia="en-US"/>
              </w:rPr>
            </w:pPr>
            <w:r w:rsidRPr="006D52A9">
              <w:rPr>
                <w:rFonts w:eastAsia="Calibri"/>
                <w:lang w:eastAsia="en-US"/>
              </w:rPr>
              <w:t>Tablet 500 micrograms</w:t>
            </w:r>
          </w:p>
        </w:tc>
        <w:tc>
          <w:tcPr>
            <w:tcW w:w="1087" w:type="pct"/>
            <w:tcBorders>
              <w:top w:val="single" w:sz="2" w:space="0" w:color="auto"/>
              <w:bottom w:val="single" w:sz="2" w:space="0" w:color="auto"/>
            </w:tcBorders>
            <w:shd w:val="clear" w:color="auto" w:fill="auto"/>
          </w:tcPr>
          <w:p w14:paraId="04BA7761"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49277F8C" w14:textId="77777777" w:rsidTr="00EA57EB">
        <w:tc>
          <w:tcPr>
            <w:tcW w:w="1093" w:type="pct"/>
            <w:tcBorders>
              <w:top w:val="single" w:sz="2" w:space="0" w:color="auto"/>
              <w:bottom w:val="single" w:sz="2" w:space="0" w:color="auto"/>
            </w:tcBorders>
            <w:shd w:val="clear" w:color="auto" w:fill="auto"/>
          </w:tcPr>
          <w:p w14:paraId="2AEF19DB" w14:textId="77777777" w:rsidR="000661DC" w:rsidRPr="006D52A9" w:rsidRDefault="000661DC" w:rsidP="005D437C">
            <w:pPr>
              <w:pStyle w:val="Tabletext"/>
              <w:rPr>
                <w:rFonts w:eastAsia="Calibri"/>
                <w:lang w:eastAsia="en-US"/>
              </w:rPr>
            </w:pPr>
            <w:r w:rsidRPr="006D52A9">
              <w:rPr>
                <w:rFonts w:eastAsia="Calibri"/>
                <w:lang w:eastAsia="en-US"/>
              </w:rPr>
              <w:t>Riociguat</w:t>
            </w:r>
          </w:p>
        </w:tc>
        <w:tc>
          <w:tcPr>
            <w:tcW w:w="2820" w:type="pct"/>
            <w:tcBorders>
              <w:top w:val="single" w:sz="2" w:space="0" w:color="auto"/>
              <w:bottom w:val="single" w:sz="2" w:space="0" w:color="auto"/>
            </w:tcBorders>
            <w:shd w:val="clear" w:color="auto" w:fill="auto"/>
          </w:tcPr>
          <w:p w14:paraId="31BFC01A" w14:textId="77777777" w:rsidR="000661DC" w:rsidRPr="006D52A9" w:rsidRDefault="000661DC" w:rsidP="005D437C">
            <w:pPr>
              <w:pStyle w:val="Tabletext"/>
              <w:rPr>
                <w:rFonts w:eastAsia="Calibri"/>
                <w:lang w:eastAsia="en-US"/>
              </w:rPr>
            </w:pPr>
            <w:r w:rsidRPr="006D52A9">
              <w:rPr>
                <w:rFonts w:eastAsia="Calibri"/>
                <w:lang w:eastAsia="en-US"/>
              </w:rPr>
              <w:t>Tablet 1 mg</w:t>
            </w:r>
          </w:p>
        </w:tc>
        <w:tc>
          <w:tcPr>
            <w:tcW w:w="1087" w:type="pct"/>
            <w:tcBorders>
              <w:top w:val="single" w:sz="2" w:space="0" w:color="auto"/>
              <w:bottom w:val="single" w:sz="2" w:space="0" w:color="auto"/>
            </w:tcBorders>
            <w:shd w:val="clear" w:color="auto" w:fill="auto"/>
          </w:tcPr>
          <w:p w14:paraId="243966BF"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56B89AC8" w14:textId="77777777" w:rsidTr="00EA57EB">
        <w:tc>
          <w:tcPr>
            <w:tcW w:w="1093" w:type="pct"/>
            <w:tcBorders>
              <w:top w:val="single" w:sz="2" w:space="0" w:color="auto"/>
              <w:bottom w:val="single" w:sz="2" w:space="0" w:color="auto"/>
            </w:tcBorders>
            <w:shd w:val="clear" w:color="auto" w:fill="auto"/>
          </w:tcPr>
          <w:p w14:paraId="0B54EB00" w14:textId="77777777" w:rsidR="000661DC" w:rsidRPr="006D52A9" w:rsidRDefault="000661DC" w:rsidP="005D437C">
            <w:pPr>
              <w:pStyle w:val="Tabletext"/>
              <w:rPr>
                <w:rFonts w:eastAsia="Calibri"/>
                <w:lang w:eastAsia="en-US"/>
              </w:rPr>
            </w:pPr>
            <w:r w:rsidRPr="006D52A9">
              <w:rPr>
                <w:rFonts w:eastAsia="Calibri"/>
                <w:lang w:eastAsia="en-US"/>
              </w:rPr>
              <w:t>Riociguat</w:t>
            </w:r>
          </w:p>
        </w:tc>
        <w:tc>
          <w:tcPr>
            <w:tcW w:w="2820" w:type="pct"/>
            <w:tcBorders>
              <w:top w:val="single" w:sz="2" w:space="0" w:color="auto"/>
              <w:bottom w:val="single" w:sz="2" w:space="0" w:color="auto"/>
            </w:tcBorders>
            <w:shd w:val="clear" w:color="auto" w:fill="auto"/>
          </w:tcPr>
          <w:p w14:paraId="53C82595" w14:textId="77777777" w:rsidR="000661DC" w:rsidRPr="006D52A9" w:rsidRDefault="000661DC" w:rsidP="005D437C">
            <w:pPr>
              <w:pStyle w:val="Tabletext"/>
              <w:rPr>
                <w:rFonts w:eastAsia="Calibri"/>
                <w:lang w:eastAsia="en-US"/>
              </w:rPr>
            </w:pPr>
            <w:r w:rsidRPr="006D52A9">
              <w:rPr>
                <w:rFonts w:eastAsia="Calibri"/>
                <w:lang w:eastAsia="en-US"/>
              </w:rPr>
              <w:t>Tablet 1.5 mg</w:t>
            </w:r>
          </w:p>
        </w:tc>
        <w:tc>
          <w:tcPr>
            <w:tcW w:w="1087" w:type="pct"/>
            <w:tcBorders>
              <w:top w:val="single" w:sz="2" w:space="0" w:color="auto"/>
              <w:bottom w:val="single" w:sz="2" w:space="0" w:color="auto"/>
            </w:tcBorders>
            <w:shd w:val="clear" w:color="auto" w:fill="auto"/>
          </w:tcPr>
          <w:p w14:paraId="4056A304"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546D748C" w14:textId="77777777" w:rsidTr="00EA57EB">
        <w:tc>
          <w:tcPr>
            <w:tcW w:w="1093" w:type="pct"/>
            <w:tcBorders>
              <w:top w:val="single" w:sz="2" w:space="0" w:color="auto"/>
              <w:bottom w:val="single" w:sz="2" w:space="0" w:color="auto"/>
            </w:tcBorders>
            <w:shd w:val="clear" w:color="auto" w:fill="auto"/>
          </w:tcPr>
          <w:p w14:paraId="0316CBB1" w14:textId="77777777" w:rsidR="000661DC" w:rsidRPr="006D52A9" w:rsidRDefault="000661DC" w:rsidP="005D437C">
            <w:pPr>
              <w:pStyle w:val="Tabletext"/>
              <w:rPr>
                <w:rFonts w:eastAsia="Calibri"/>
                <w:lang w:eastAsia="en-US"/>
              </w:rPr>
            </w:pPr>
            <w:r w:rsidRPr="006D52A9">
              <w:rPr>
                <w:rFonts w:eastAsia="Calibri"/>
                <w:lang w:eastAsia="en-US"/>
              </w:rPr>
              <w:t>Riociguat</w:t>
            </w:r>
          </w:p>
        </w:tc>
        <w:tc>
          <w:tcPr>
            <w:tcW w:w="2820" w:type="pct"/>
            <w:tcBorders>
              <w:top w:val="single" w:sz="2" w:space="0" w:color="auto"/>
              <w:bottom w:val="single" w:sz="2" w:space="0" w:color="auto"/>
            </w:tcBorders>
            <w:shd w:val="clear" w:color="auto" w:fill="auto"/>
          </w:tcPr>
          <w:p w14:paraId="1C910165" w14:textId="77777777" w:rsidR="000661DC" w:rsidRPr="006D52A9" w:rsidRDefault="000661DC" w:rsidP="005D437C">
            <w:pPr>
              <w:pStyle w:val="Tabletext"/>
              <w:rPr>
                <w:rFonts w:eastAsia="Calibri"/>
                <w:lang w:eastAsia="en-US"/>
              </w:rPr>
            </w:pPr>
            <w:r w:rsidRPr="006D52A9">
              <w:rPr>
                <w:rFonts w:eastAsia="Calibri"/>
                <w:lang w:eastAsia="en-US"/>
              </w:rPr>
              <w:t>Tablet 2 mg</w:t>
            </w:r>
          </w:p>
        </w:tc>
        <w:tc>
          <w:tcPr>
            <w:tcW w:w="1087" w:type="pct"/>
            <w:tcBorders>
              <w:top w:val="single" w:sz="2" w:space="0" w:color="auto"/>
              <w:bottom w:val="single" w:sz="2" w:space="0" w:color="auto"/>
            </w:tcBorders>
            <w:shd w:val="clear" w:color="auto" w:fill="auto"/>
          </w:tcPr>
          <w:p w14:paraId="01EF4D19"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0F259829" w14:textId="77777777" w:rsidTr="00EA57EB">
        <w:tc>
          <w:tcPr>
            <w:tcW w:w="1093" w:type="pct"/>
            <w:tcBorders>
              <w:top w:val="single" w:sz="2" w:space="0" w:color="auto"/>
              <w:bottom w:val="single" w:sz="2" w:space="0" w:color="auto"/>
            </w:tcBorders>
            <w:shd w:val="clear" w:color="auto" w:fill="auto"/>
          </w:tcPr>
          <w:p w14:paraId="061D0F1C" w14:textId="77777777" w:rsidR="000661DC" w:rsidRPr="006D52A9" w:rsidRDefault="000661DC" w:rsidP="005D437C">
            <w:pPr>
              <w:pStyle w:val="Tabletext"/>
              <w:rPr>
                <w:rFonts w:eastAsia="Calibri"/>
                <w:lang w:eastAsia="en-US"/>
              </w:rPr>
            </w:pPr>
            <w:r w:rsidRPr="006D52A9">
              <w:rPr>
                <w:rFonts w:eastAsia="Calibri"/>
                <w:lang w:eastAsia="en-US"/>
              </w:rPr>
              <w:t>Riociguat</w:t>
            </w:r>
          </w:p>
        </w:tc>
        <w:tc>
          <w:tcPr>
            <w:tcW w:w="2820" w:type="pct"/>
            <w:tcBorders>
              <w:top w:val="single" w:sz="2" w:space="0" w:color="auto"/>
              <w:bottom w:val="single" w:sz="2" w:space="0" w:color="auto"/>
            </w:tcBorders>
            <w:shd w:val="clear" w:color="auto" w:fill="auto"/>
          </w:tcPr>
          <w:p w14:paraId="23D94D09" w14:textId="77777777" w:rsidR="000661DC" w:rsidRPr="006D52A9" w:rsidRDefault="000661DC" w:rsidP="005D437C">
            <w:pPr>
              <w:pStyle w:val="Tabletext"/>
              <w:rPr>
                <w:rFonts w:eastAsia="Calibri"/>
                <w:lang w:eastAsia="en-US"/>
              </w:rPr>
            </w:pPr>
            <w:r w:rsidRPr="006D52A9">
              <w:rPr>
                <w:rFonts w:eastAsia="Calibri"/>
                <w:lang w:eastAsia="en-US"/>
              </w:rPr>
              <w:t>Tablet 2.5 mg</w:t>
            </w:r>
          </w:p>
        </w:tc>
        <w:tc>
          <w:tcPr>
            <w:tcW w:w="1087" w:type="pct"/>
            <w:tcBorders>
              <w:top w:val="single" w:sz="2" w:space="0" w:color="auto"/>
              <w:bottom w:val="single" w:sz="2" w:space="0" w:color="auto"/>
            </w:tcBorders>
            <w:shd w:val="clear" w:color="auto" w:fill="auto"/>
          </w:tcPr>
          <w:p w14:paraId="626D1E05"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14C13885" w14:textId="77777777" w:rsidTr="00EA57EB">
        <w:tc>
          <w:tcPr>
            <w:tcW w:w="1093" w:type="pct"/>
            <w:tcBorders>
              <w:top w:val="single" w:sz="2" w:space="0" w:color="auto"/>
              <w:bottom w:val="single" w:sz="2" w:space="0" w:color="auto"/>
            </w:tcBorders>
            <w:shd w:val="clear" w:color="auto" w:fill="auto"/>
          </w:tcPr>
          <w:p w14:paraId="304B176A" w14:textId="77777777" w:rsidR="000661DC" w:rsidRPr="006D52A9" w:rsidRDefault="000661DC" w:rsidP="005D437C">
            <w:pPr>
              <w:pStyle w:val="Tabletext"/>
              <w:rPr>
                <w:rFonts w:eastAsia="Calibri"/>
                <w:lang w:eastAsia="en-US"/>
              </w:rPr>
            </w:pPr>
            <w:r w:rsidRPr="006D52A9">
              <w:rPr>
                <w:rFonts w:eastAsia="Calibri"/>
                <w:lang w:eastAsia="en-US"/>
              </w:rPr>
              <w:t>Rituximab</w:t>
            </w:r>
          </w:p>
        </w:tc>
        <w:tc>
          <w:tcPr>
            <w:tcW w:w="2820" w:type="pct"/>
            <w:tcBorders>
              <w:top w:val="single" w:sz="2" w:space="0" w:color="auto"/>
              <w:bottom w:val="single" w:sz="2" w:space="0" w:color="auto"/>
            </w:tcBorders>
            <w:shd w:val="clear" w:color="auto" w:fill="auto"/>
          </w:tcPr>
          <w:p w14:paraId="4BCE1207" w14:textId="77777777" w:rsidR="000661DC" w:rsidRPr="006D52A9" w:rsidRDefault="000661DC" w:rsidP="005D437C">
            <w:pPr>
              <w:pStyle w:val="Tabletext"/>
              <w:rPr>
                <w:rFonts w:eastAsia="Calibri"/>
                <w:lang w:eastAsia="en-US"/>
              </w:rPr>
            </w:pPr>
            <w:r w:rsidRPr="006D52A9">
              <w:rPr>
                <w:rFonts w:eastAsia="Calibri"/>
                <w:lang w:eastAsia="en-US"/>
              </w:rPr>
              <w:t>Solution for I.V. infusion 500 mg in 50 mL</w:t>
            </w:r>
          </w:p>
        </w:tc>
        <w:tc>
          <w:tcPr>
            <w:tcW w:w="1087" w:type="pct"/>
            <w:tcBorders>
              <w:top w:val="single" w:sz="2" w:space="0" w:color="auto"/>
              <w:bottom w:val="single" w:sz="2" w:space="0" w:color="auto"/>
            </w:tcBorders>
            <w:shd w:val="clear" w:color="auto" w:fill="auto"/>
          </w:tcPr>
          <w:p w14:paraId="3B966C30"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706754F8" w14:textId="77777777" w:rsidTr="00EA57EB">
        <w:tc>
          <w:tcPr>
            <w:tcW w:w="1093" w:type="pct"/>
            <w:tcBorders>
              <w:top w:val="single" w:sz="2" w:space="0" w:color="auto"/>
              <w:bottom w:val="single" w:sz="2" w:space="0" w:color="auto"/>
            </w:tcBorders>
            <w:shd w:val="clear" w:color="auto" w:fill="auto"/>
          </w:tcPr>
          <w:p w14:paraId="53A1F9F1" w14:textId="77777777" w:rsidR="000661DC" w:rsidRPr="006D52A9" w:rsidRDefault="000661DC" w:rsidP="005D437C">
            <w:pPr>
              <w:pStyle w:val="Tabletext"/>
              <w:rPr>
                <w:rFonts w:eastAsia="Calibri"/>
                <w:lang w:eastAsia="en-US"/>
              </w:rPr>
            </w:pPr>
            <w:r w:rsidRPr="006D52A9">
              <w:rPr>
                <w:rFonts w:eastAsia="Calibri"/>
                <w:lang w:eastAsia="en-US"/>
              </w:rPr>
              <w:t>Sildenafil</w:t>
            </w:r>
          </w:p>
        </w:tc>
        <w:tc>
          <w:tcPr>
            <w:tcW w:w="2820" w:type="pct"/>
            <w:tcBorders>
              <w:top w:val="single" w:sz="2" w:space="0" w:color="auto"/>
              <w:bottom w:val="single" w:sz="2" w:space="0" w:color="auto"/>
            </w:tcBorders>
            <w:shd w:val="clear" w:color="auto" w:fill="auto"/>
          </w:tcPr>
          <w:p w14:paraId="07FE722A" w14:textId="77777777" w:rsidR="000661DC" w:rsidRPr="006D52A9" w:rsidRDefault="000661DC" w:rsidP="005D437C">
            <w:pPr>
              <w:pStyle w:val="Tabletext"/>
              <w:rPr>
                <w:rFonts w:eastAsia="Calibri"/>
                <w:lang w:eastAsia="en-US"/>
              </w:rPr>
            </w:pPr>
            <w:r w:rsidRPr="006D52A9">
              <w:rPr>
                <w:rFonts w:eastAsia="Calibri"/>
                <w:lang w:eastAsia="en-US"/>
              </w:rPr>
              <w:t>Tablet 20 mg (as citrate)</w:t>
            </w:r>
          </w:p>
        </w:tc>
        <w:tc>
          <w:tcPr>
            <w:tcW w:w="1087" w:type="pct"/>
            <w:tcBorders>
              <w:top w:val="single" w:sz="2" w:space="0" w:color="auto"/>
              <w:bottom w:val="single" w:sz="2" w:space="0" w:color="auto"/>
            </w:tcBorders>
            <w:shd w:val="clear" w:color="auto" w:fill="auto"/>
          </w:tcPr>
          <w:p w14:paraId="476E600B"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1F3513CC" w14:textId="77777777" w:rsidTr="00EA57EB">
        <w:tc>
          <w:tcPr>
            <w:tcW w:w="1093" w:type="pct"/>
            <w:tcBorders>
              <w:top w:val="single" w:sz="2" w:space="0" w:color="auto"/>
              <w:bottom w:val="single" w:sz="2" w:space="0" w:color="auto"/>
            </w:tcBorders>
            <w:shd w:val="clear" w:color="auto" w:fill="auto"/>
          </w:tcPr>
          <w:p w14:paraId="4733992B" w14:textId="77777777" w:rsidR="000661DC" w:rsidRPr="006D52A9" w:rsidRDefault="000661DC" w:rsidP="005D437C">
            <w:pPr>
              <w:pStyle w:val="Tabletext"/>
              <w:rPr>
                <w:rFonts w:eastAsia="Calibri"/>
                <w:lang w:eastAsia="en-US"/>
              </w:rPr>
            </w:pPr>
            <w:r w:rsidRPr="006D52A9">
              <w:rPr>
                <w:rFonts w:eastAsia="Calibri"/>
                <w:lang w:eastAsia="en-US"/>
              </w:rPr>
              <w:t>Tadalafil</w:t>
            </w:r>
          </w:p>
        </w:tc>
        <w:tc>
          <w:tcPr>
            <w:tcW w:w="2820" w:type="pct"/>
            <w:tcBorders>
              <w:top w:val="single" w:sz="2" w:space="0" w:color="auto"/>
              <w:bottom w:val="single" w:sz="2" w:space="0" w:color="auto"/>
            </w:tcBorders>
            <w:shd w:val="clear" w:color="auto" w:fill="auto"/>
          </w:tcPr>
          <w:p w14:paraId="2187CFD4" w14:textId="77777777" w:rsidR="000661DC" w:rsidRPr="006D52A9" w:rsidRDefault="000661DC" w:rsidP="005D437C">
            <w:pPr>
              <w:pStyle w:val="Tabletext"/>
              <w:rPr>
                <w:rFonts w:eastAsia="Calibri"/>
                <w:lang w:eastAsia="en-US"/>
              </w:rPr>
            </w:pPr>
            <w:r w:rsidRPr="006D52A9">
              <w:rPr>
                <w:rFonts w:eastAsia="Calibri"/>
                <w:lang w:eastAsia="en-US"/>
              </w:rPr>
              <w:t>Tablet 20 mg</w:t>
            </w:r>
          </w:p>
        </w:tc>
        <w:tc>
          <w:tcPr>
            <w:tcW w:w="1087" w:type="pct"/>
            <w:tcBorders>
              <w:top w:val="single" w:sz="2" w:space="0" w:color="auto"/>
              <w:bottom w:val="single" w:sz="2" w:space="0" w:color="auto"/>
            </w:tcBorders>
            <w:shd w:val="clear" w:color="auto" w:fill="auto"/>
          </w:tcPr>
          <w:p w14:paraId="723CBD3F" w14:textId="77777777" w:rsidR="000661DC" w:rsidRPr="006D52A9" w:rsidRDefault="000661DC" w:rsidP="005D437C">
            <w:pPr>
              <w:pStyle w:val="Tabletext"/>
              <w:rPr>
                <w:rFonts w:eastAsia="Calibri"/>
                <w:lang w:eastAsia="en-US"/>
              </w:rPr>
            </w:pPr>
            <w:r w:rsidRPr="006D52A9">
              <w:rPr>
                <w:rFonts w:eastAsia="Calibri"/>
                <w:lang w:eastAsia="en-US"/>
              </w:rPr>
              <w:t>Oral</w:t>
            </w:r>
          </w:p>
        </w:tc>
      </w:tr>
      <w:tr w:rsidR="000661DC" w:rsidRPr="006D52A9" w14:paraId="451381AF" w14:textId="77777777" w:rsidTr="00EA57EB">
        <w:tc>
          <w:tcPr>
            <w:tcW w:w="1093" w:type="pct"/>
            <w:tcBorders>
              <w:top w:val="single" w:sz="2" w:space="0" w:color="auto"/>
              <w:bottom w:val="single" w:sz="2" w:space="0" w:color="auto"/>
            </w:tcBorders>
            <w:shd w:val="clear" w:color="auto" w:fill="auto"/>
          </w:tcPr>
          <w:p w14:paraId="524540F7" w14:textId="77777777" w:rsidR="000661DC" w:rsidRPr="006D52A9" w:rsidRDefault="000661DC" w:rsidP="005D437C">
            <w:pPr>
              <w:pStyle w:val="Tabletext"/>
              <w:rPr>
                <w:rFonts w:eastAsia="Calibri"/>
                <w:lang w:eastAsia="en-US"/>
              </w:rPr>
            </w:pPr>
            <w:r w:rsidRPr="006D52A9">
              <w:rPr>
                <w:rFonts w:eastAsia="Calibri"/>
                <w:lang w:eastAsia="en-US"/>
              </w:rPr>
              <w:t xml:space="preserve">Tezacaftor with </w:t>
            </w:r>
            <w:r w:rsidRPr="006D52A9">
              <w:rPr>
                <w:rFonts w:eastAsia="Calibri"/>
                <w:lang w:eastAsia="en-US"/>
              </w:rPr>
              <w:lastRenderedPageBreak/>
              <w:t>ivacaftor and ivacaftor</w:t>
            </w:r>
          </w:p>
        </w:tc>
        <w:tc>
          <w:tcPr>
            <w:tcW w:w="2820" w:type="pct"/>
            <w:tcBorders>
              <w:top w:val="single" w:sz="2" w:space="0" w:color="auto"/>
              <w:bottom w:val="single" w:sz="2" w:space="0" w:color="auto"/>
            </w:tcBorders>
            <w:shd w:val="clear" w:color="auto" w:fill="auto"/>
          </w:tcPr>
          <w:p w14:paraId="45DA24FD" w14:textId="77777777" w:rsidR="000661DC" w:rsidRPr="006D52A9" w:rsidRDefault="000661DC" w:rsidP="005D437C">
            <w:pPr>
              <w:pStyle w:val="Tabletext"/>
              <w:rPr>
                <w:rFonts w:eastAsia="Calibri"/>
                <w:lang w:eastAsia="en-US"/>
              </w:rPr>
            </w:pPr>
            <w:r w:rsidRPr="006D52A9">
              <w:rPr>
                <w:rFonts w:eastAsia="Calibri"/>
                <w:lang w:eastAsia="en-US"/>
              </w:rPr>
              <w:lastRenderedPageBreak/>
              <w:t xml:space="preserve">Pack containing 28 tablets tezacaftor 100 mg with </w:t>
            </w:r>
            <w:r w:rsidRPr="006D52A9">
              <w:rPr>
                <w:rFonts w:eastAsia="Calibri"/>
                <w:lang w:eastAsia="en-US"/>
              </w:rPr>
              <w:lastRenderedPageBreak/>
              <w:t>ivacaftor 150 mg and 28 tablets ivacaftor 150 mg</w:t>
            </w:r>
          </w:p>
        </w:tc>
        <w:tc>
          <w:tcPr>
            <w:tcW w:w="1087" w:type="pct"/>
            <w:tcBorders>
              <w:top w:val="single" w:sz="2" w:space="0" w:color="auto"/>
              <w:bottom w:val="single" w:sz="2" w:space="0" w:color="auto"/>
            </w:tcBorders>
            <w:shd w:val="clear" w:color="auto" w:fill="auto"/>
          </w:tcPr>
          <w:p w14:paraId="5CC9CEE8" w14:textId="77777777" w:rsidR="000661DC" w:rsidRPr="006D52A9" w:rsidRDefault="000661DC" w:rsidP="005D437C">
            <w:pPr>
              <w:pStyle w:val="Tabletext"/>
              <w:rPr>
                <w:rFonts w:eastAsia="Calibri"/>
                <w:lang w:eastAsia="en-US"/>
              </w:rPr>
            </w:pPr>
            <w:r w:rsidRPr="006D52A9">
              <w:rPr>
                <w:rFonts w:eastAsia="Calibri"/>
                <w:lang w:eastAsia="en-US"/>
              </w:rPr>
              <w:lastRenderedPageBreak/>
              <w:t>Oral</w:t>
            </w:r>
          </w:p>
        </w:tc>
      </w:tr>
      <w:tr w:rsidR="000661DC" w:rsidRPr="006D52A9" w14:paraId="0406DACC" w14:textId="77777777" w:rsidTr="00EA57EB">
        <w:tc>
          <w:tcPr>
            <w:tcW w:w="1093" w:type="pct"/>
            <w:tcBorders>
              <w:top w:val="single" w:sz="2" w:space="0" w:color="auto"/>
              <w:bottom w:val="single" w:sz="2" w:space="0" w:color="auto"/>
            </w:tcBorders>
            <w:shd w:val="clear" w:color="auto" w:fill="auto"/>
          </w:tcPr>
          <w:p w14:paraId="1862E387" w14:textId="77777777" w:rsidR="000661DC" w:rsidRPr="006D52A9" w:rsidRDefault="000661DC" w:rsidP="005D437C">
            <w:pPr>
              <w:pStyle w:val="Tabletext"/>
              <w:rPr>
                <w:rFonts w:eastAsia="Calibri"/>
                <w:lang w:eastAsia="en-US"/>
              </w:rPr>
            </w:pPr>
            <w:r w:rsidRPr="006D52A9">
              <w:rPr>
                <w:rFonts w:eastAsia="Calibri"/>
                <w:lang w:eastAsia="en-US"/>
              </w:rPr>
              <w:t>Tocilizumab</w:t>
            </w:r>
          </w:p>
        </w:tc>
        <w:tc>
          <w:tcPr>
            <w:tcW w:w="2820" w:type="pct"/>
            <w:tcBorders>
              <w:top w:val="single" w:sz="2" w:space="0" w:color="auto"/>
              <w:bottom w:val="single" w:sz="2" w:space="0" w:color="auto"/>
            </w:tcBorders>
            <w:shd w:val="clear" w:color="auto" w:fill="auto"/>
          </w:tcPr>
          <w:p w14:paraId="24BF7A6D" w14:textId="77777777" w:rsidR="000661DC" w:rsidRPr="006D52A9" w:rsidRDefault="000661DC" w:rsidP="005D437C">
            <w:pPr>
              <w:pStyle w:val="Tabletext"/>
              <w:rPr>
                <w:rFonts w:eastAsia="Calibri"/>
                <w:lang w:eastAsia="en-US"/>
              </w:rPr>
            </w:pPr>
            <w:r w:rsidRPr="006D52A9">
              <w:rPr>
                <w:rFonts w:eastAsia="Calibri"/>
                <w:lang w:eastAsia="en-US"/>
              </w:rPr>
              <w:t>Concentrate for injection 80 mg in 4 mL</w:t>
            </w:r>
          </w:p>
        </w:tc>
        <w:tc>
          <w:tcPr>
            <w:tcW w:w="1087" w:type="pct"/>
            <w:tcBorders>
              <w:top w:val="single" w:sz="2" w:space="0" w:color="auto"/>
              <w:bottom w:val="single" w:sz="2" w:space="0" w:color="auto"/>
            </w:tcBorders>
            <w:shd w:val="clear" w:color="auto" w:fill="auto"/>
          </w:tcPr>
          <w:p w14:paraId="60C86CE8"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22B66D54" w14:textId="77777777" w:rsidTr="00EA57EB">
        <w:tc>
          <w:tcPr>
            <w:tcW w:w="1093" w:type="pct"/>
            <w:tcBorders>
              <w:top w:val="single" w:sz="2" w:space="0" w:color="auto"/>
              <w:bottom w:val="single" w:sz="2" w:space="0" w:color="auto"/>
            </w:tcBorders>
            <w:shd w:val="clear" w:color="auto" w:fill="auto"/>
          </w:tcPr>
          <w:p w14:paraId="160487C6" w14:textId="77777777" w:rsidR="000661DC" w:rsidRPr="006D52A9" w:rsidRDefault="000661DC" w:rsidP="005D437C">
            <w:pPr>
              <w:pStyle w:val="Tabletext"/>
              <w:rPr>
                <w:rFonts w:eastAsia="Calibri"/>
                <w:lang w:eastAsia="en-US"/>
              </w:rPr>
            </w:pPr>
            <w:r w:rsidRPr="006D52A9">
              <w:rPr>
                <w:rFonts w:eastAsia="Calibri"/>
                <w:lang w:eastAsia="en-US"/>
              </w:rPr>
              <w:t>Tocilizumab</w:t>
            </w:r>
          </w:p>
        </w:tc>
        <w:tc>
          <w:tcPr>
            <w:tcW w:w="2820" w:type="pct"/>
            <w:tcBorders>
              <w:top w:val="single" w:sz="2" w:space="0" w:color="auto"/>
              <w:bottom w:val="single" w:sz="2" w:space="0" w:color="auto"/>
            </w:tcBorders>
            <w:shd w:val="clear" w:color="auto" w:fill="auto"/>
          </w:tcPr>
          <w:p w14:paraId="46D96B3B" w14:textId="77777777" w:rsidR="000661DC" w:rsidRPr="006D52A9" w:rsidRDefault="000661DC" w:rsidP="005D437C">
            <w:pPr>
              <w:pStyle w:val="Tabletext"/>
              <w:rPr>
                <w:rFonts w:eastAsia="Calibri"/>
                <w:lang w:eastAsia="en-US"/>
              </w:rPr>
            </w:pPr>
            <w:r w:rsidRPr="006D52A9">
              <w:rPr>
                <w:rFonts w:eastAsia="Calibri"/>
                <w:lang w:eastAsia="en-US"/>
              </w:rPr>
              <w:t>Concentrate for injection 200 mg in 10 mL</w:t>
            </w:r>
          </w:p>
        </w:tc>
        <w:tc>
          <w:tcPr>
            <w:tcW w:w="1087" w:type="pct"/>
            <w:tcBorders>
              <w:top w:val="single" w:sz="2" w:space="0" w:color="auto"/>
              <w:bottom w:val="single" w:sz="2" w:space="0" w:color="auto"/>
            </w:tcBorders>
            <w:shd w:val="clear" w:color="auto" w:fill="auto"/>
          </w:tcPr>
          <w:p w14:paraId="1DF38808"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2F6F2E2D" w14:textId="77777777" w:rsidTr="00EA57EB">
        <w:tc>
          <w:tcPr>
            <w:tcW w:w="1093" w:type="pct"/>
            <w:tcBorders>
              <w:top w:val="single" w:sz="2" w:space="0" w:color="auto"/>
              <w:bottom w:val="single" w:sz="2" w:space="0" w:color="auto"/>
            </w:tcBorders>
            <w:shd w:val="clear" w:color="auto" w:fill="auto"/>
          </w:tcPr>
          <w:p w14:paraId="4B8D01DD" w14:textId="77777777" w:rsidR="000661DC" w:rsidRPr="006D52A9" w:rsidRDefault="000661DC" w:rsidP="005D437C">
            <w:pPr>
              <w:pStyle w:val="Tabletext"/>
              <w:rPr>
                <w:rFonts w:eastAsia="Calibri"/>
                <w:lang w:eastAsia="en-US"/>
              </w:rPr>
            </w:pPr>
            <w:r w:rsidRPr="006D52A9">
              <w:rPr>
                <w:rFonts w:eastAsia="Calibri"/>
                <w:lang w:eastAsia="en-US"/>
              </w:rPr>
              <w:t>Tocilizumab</w:t>
            </w:r>
          </w:p>
        </w:tc>
        <w:tc>
          <w:tcPr>
            <w:tcW w:w="2820" w:type="pct"/>
            <w:tcBorders>
              <w:top w:val="single" w:sz="2" w:space="0" w:color="auto"/>
              <w:bottom w:val="single" w:sz="2" w:space="0" w:color="auto"/>
            </w:tcBorders>
            <w:shd w:val="clear" w:color="auto" w:fill="auto"/>
          </w:tcPr>
          <w:p w14:paraId="7B8D46A9" w14:textId="77777777" w:rsidR="000661DC" w:rsidRPr="006D52A9" w:rsidRDefault="000661DC" w:rsidP="005D437C">
            <w:pPr>
              <w:pStyle w:val="Tabletext"/>
              <w:rPr>
                <w:rFonts w:eastAsia="Calibri"/>
                <w:lang w:eastAsia="en-US"/>
              </w:rPr>
            </w:pPr>
            <w:r w:rsidRPr="006D52A9">
              <w:rPr>
                <w:rFonts w:eastAsia="Calibri"/>
                <w:lang w:eastAsia="en-US"/>
              </w:rPr>
              <w:t>Concentrate for injection 400 mg in 20 mL</w:t>
            </w:r>
          </w:p>
        </w:tc>
        <w:tc>
          <w:tcPr>
            <w:tcW w:w="1087" w:type="pct"/>
            <w:tcBorders>
              <w:top w:val="single" w:sz="2" w:space="0" w:color="auto"/>
              <w:bottom w:val="single" w:sz="2" w:space="0" w:color="auto"/>
            </w:tcBorders>
            <w:shd w:val="clear" w:color="auto" w:fill="auto"/>
          </w:tcPr>
          <w:p w14:paraId="75DCB741"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0AB2A236" w14:textId="77777777" w:rsidTr="00AA09A8">
        <w:tc>
          <w:tcPr>
            <w:tcW w:w="1093" w:type="pct"/>
            <w:tcBorders>
              <w:top w:val="single" w:sz="2" w:space="0" w:color="auto"/>
              <w:bottom w:val="single" w:sz="2" w:space="0" w:color="auto"/>
            </w:tcBorders>
            <w:shd w:val="clear" w:color="auto" w:fill="auto"/>
          </w:tcPr>
          <w:p w14:paraId="574B4E09" w14:textId="77777777" w:rsidR="000661DC" w:rsidRPr="006D52A9" w:rsidRDefault="000661DC" w:rsidP="005D437C">
            <w:pPr>
              <w:pStyle w:val="Tabletext"/>
              <w:rPr>
                <w:rFonts w:eastAsia="Calibri"/>
                <w:lang w:eastAsia="en-US"/>
              </w:rPr>
            </w:pPr>
            <w:r w:rsidRPr="006D52A9">
              <w:rPr>
                <w:rFonts w:eastAsia="Calibri"/>
                <w:lang w:eastAsia="en-US"/>
              </w:rPr>
              <w:t>Ustekinumab</w:t>
            </w:r>
          </w:p>
        </w:tc>
        <w:tc>
          <w:tcPr>
            <w:tcW w:w="2820" w:type="pct"/>
            <w:tcBorders>
              <w:top w:val="single" w:sz="2" w:space="0" w:color="auto"/>
              <w:bottom w:val="single" w:sz="2" w:space="0" w:color="auto"/>
            </w:tcBorders>
            <w:shd w:val="clear" w:color="auto" w:fill="auto"/>
          </w:tcPr>
          <w:p w14:paraId="7EFD995D" w14:textId="77777777" w:rsidR="000661DC" w:rsidRPr="006D52A9" w:rsidRDefault="000661DC" w:rsidP="005D437C">
            <w:pPr>
              <w:pStyle w:val="Tabletext"/>
              <w:rPr>
                <w:rFonts w:eastAsia="Calibri"/>
                <w:lang w:eastAsia="en-US"/>
              </w:rPr>
            </w:pPr>
            <w:r w:rsidRPr="006D52A9">
              <w:rPr>
                <w:rFonts w:eastAsia="Calibri"/>
                <w:lang w:eastAsia="en-US"/>
              </w:rPr>
              <w:t>Solution for I.V. infusion 130 mg in 26 mL</w:t>
            </w:r>
          </w:p>
        </w:tc>
        <w:tc>
          <w:tcPr>
            <w:tcW w:w="1087" w:type="pct"/>
            <w:tcBorders>
              <w:top w:val="single" w:sz="2" w:space="0" w:color="auto"/>
              <w:bottom w:val="single" w:sz="2" w:space="0" w:color="auto"/>
            </w:tcBorders>
            <w:shd w:val="clear" w:color="auto" w:fill="auto"/>
          </w:tcPr>
          <w:p w14:paraId="61F18CC7"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r w:rsidR="000661DC" w:rsidRPr="006D52A9" w14:paraId="78BFFBDE" w14:textId="77777777" w:rsidTr="00AA09A8">
        <w:tc>
          <w:tcPr>
            <w:tcW w:w="1093" w:type="pct"/>
            <w:tcBorders>
              <w:top w:val="single" w:sz="2" w:space="0" w:color="auto"/>
              <w:bottom w:val="single" w:sz="12" w:space="0" w:color="auto"/>
            </w:tcBorders>
            <w:shd w:val="clear" w:color="auto" w:fill="auto"/>
          </w:tcPr>
          <w:p w14:paraId="0205A506" w14:textId="77777777" w:rsidR="000661DC" w:rsidRPr="006D52A9" w:rsidRDefault="000661DC" w:rsidP="005D437C">
            <w:pPr>
              <w:pStyle w:val="Tabletext"/>
              <w:rPr>
                <w:rFonts w:eastAsia="Calibri"/>
                <w:lang w:eastAsia="en-US"/>
              </w:rPr>
            </w:pPr>
            <w:r w:rsidRPr="006D52A9">
              <w:rPr>
                <w:rFonts w:eastAsia="Calibri"/>
                <w:lang w:eastAsia="en-US"/>
              </w:rPr>
              <w:t>Vedolizumab</w:t>
            </w:r>
          </w:p>
        </w:tc>
        <w:tc>
          <w:tcPr>
            <w:tcW w:w="2820" w:type="pct"/>
            <w:tcBorders>
              <w:top w:val="single" w:sz="2" w:space="0" w:color="auto"/>
              <w:bottom w:val="single" w:sz="12" w:space="0" w:color="auto"/>
            </w:tcBorders>
            <w:shd w:val="clear" w:color="auto" w:fill="auto"/>
          </w:tcPr>
          <w:p w14:paraId="2D987B85" w14:textId="77777777" w:rsidR="000661DC" w:rsidRPr="006D52A9" w:rsidRDefault="000661DC" w:rsidP="005D437C">
            <w:pPr>
              <w:pStyle w:val="Tabletext"/>
              <w:rPr>
                <w:rFonts w:eastAsia="Calibri"/>
                <w:lang w:eastAsia="en-US"/>
              </w:rPr>
            </w:pPr>
            <w:r w:rsidRPr="006D52A9">
              <w:rPr>
                <w:rFonts w:eastAsia="Calibri"/>
                <w:lang w:eastAsia="en-US"/>
              </w:rPr>
              <w:t>Powder for injection 300 mg</w:t>
            </w:r>
          </w:p>
        </w:tc>
        <w:tc>
          <w:tcPr>
            <w:tcW w:w="1087" w:type="pct"/>
            <w:tcBorders>
              <w:top w:val="single" w:sz="2" w:space="0" w:color="auto"/>
              <w:bottom w:val="single" w:sz="12" w:space="0" w:color="auto"/>
            </w:tcBorders>
            <w:shd w:val="clear" w:color="auto" w:fill="auto"/>
          </w:tcPr>
          <w:p w14:paraId="4DC77AD4" w14:textId="77777777" w:rsidR="000661DC" w:rsidRPr="006D52A9" w:rsidRDefault="000661DC" w:rsidP="005D437C">
            <w:pPr>
              <w:pStyle w:val="Tabletext"/>
              <w:rPr>
                <w:rFonts w:eastAsia="Calibri"/>
                <w:lang w:eastAsia="en-US"/>
              </w:rPr>
            </w:pPr>
            <w:r w:rsidRPr="006D52A9">
              <w:rPr>
                <w:rFonts w:eastAsia="Calibri"/>
                <w:lang w:eastAsia="en-US"/>
              </w:rPr>
              <w:t>Injection</w:t>
            </w:r>
          </w:p>
        </w:tc>
      </w:tr>
    </w:tbl>
    <w:p w14:paraId="782E6037" w14:textId="77777777" w:rsidR="00AA09A8" w:rsidRPr="00611621" w:rsidRDefault="00AA09A8" w:rsidP="00C735DC">
      <w:pPr>
        <w:sectPr w:rsidR="00AA09A8" w:rsidRPr="00611621" w:rsidSect="00C71894">
          <w:headerReference w:type="even" r:id="rId40"/>
          <w:headerReference w:type="default" r:id="rId41"/>
          <w:footerReference w:type="even" r:id="rId42"/>
          <w:footerReference w:type="default" r:id="rId43"/>
          <w:headerReference w:type="first" r:id="rId44"/>
          <w:footerReference w:type="first" r:id="rId45"/>
          <w:pgSz w:w="11907" w:h="16839" w:code="9"/>
          <w:pgMar w:top="1440" w:right="1797" w:bottom="1440" w:left="1797" w:header="720" w:footer="709" w:gutter="0"/>
          <w:cols w:space="720"/>
          <w:docGrid w:linePitch="299"/>
        </w:sectPr>
      </w:pPr>
    </w:p>
    <w:p w14:paraId="262E25D4" w14:textId="77777777" w:rsidR="003E7161" w:rsidRPr="00611621" w:rsidRDefault="003E7161" w:rsidP="003E7161">
      <w:pPr>
        <w:sectPr w:rsidR="003E7161" w:rsidRPr="00611621" w:rsidSect="00C71894">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1440" w:right="1797" w:bottom="1440" w:left="1797" w:header="720" w:footer="709" w:gutter="0"/>
          <w:cols w:space="720"/>
          <w:docGrid w:linePitch="299"/>
        </w:sectPr>
      </w:pPr>
    </w:p>
    <w:p w14:paraId="536DF5A1" w14:textId="77777777" w:rsidR="0040658A" w:rsidRPr="00207A2B" w:rsidRDefault="0040658A" w:rsidP="00207A2B">
      <w:pPr>
        <w:pStyle w:val="ActHead6"/>
        <w:pageBreakBefore/>
      </w:pPr>
      <w:bookmarkStart w:id="268" w:name="_Toc66968154"/>
      <w:r w:rsidRPr="00A757E4">
        <w:rPr>
          <w:rStyle w:val="CharAmSchNo"/>
        </w:rPr>
        <w:lastRenderedPageBreak/>
        <w:t>Schedule 5</w:t>
      </w:r>
      <w:r w:rsidRPr="00207A2B">
        <w:t>—</w:t>
      </w:r>
      <w:r w:rsidRPr="00A757E4">
        <w:rPr>
          <w:rStyle w:val="CharAmSchText"/>
        </w:rPr>
        <w:t>Repeals</w:t>
      </w:r>
      <w:bookmarkEnd w:id="268"/>
    </w:p>
    <w:p w14:paraId="3C75037F" w14:textId="77777777" w:rsidR="0040658A" w:rsidRPr="00A757E4" w:rsidRDefault="0040658A" w:rsidP="0040658A">
      <w:pPr>
        <w:pStyle w:val="Header"/>
      </w:pPr>
      <w:r w:rsidRPr="00A757E4">
        <w:rPr>
          <w:rStyle w:val="CharAmPartNo"/>
        </w:rPr>
        <w:t xml:space="preserve"> </w:t>
      </w:r>
      <w:r w:rsidRPr="00A757E4">
        <w:rPr>
          <w:rStyle w:val="CharAmPartText"/>
        </w:rPr>
        <w:t xml:space="preserve"> </w:t>
      </w:r>
    </w:p>
    <w:p w14:paraId="7013E917" w14:textId="77777777" w:rsidR="0040658A" w:rsidRPr="006D52A9" w:rsidRDefault="000D4508" w:rsidP="00C60B3B">
      <w:pPr>
        <w:pStyle w:val="ActHead9"/>
      </w:pPr>
      <w:bookmarkStart w:id="269" w:name="_Toc66968155"/>
      <w:r w:rsidRPr="006D52A9">
        <w:t>National Health (Highly specialised drugs program) Special Arrangement 2010 (PB 116 of 2010)</w:t>
      </w:r>
      <w:bookmarkEnd w:id="269"/>
    </w:p>
    <w:p w14:paraId="46E1FBE9" w14:textId="77777777" w:rsidR="002A460D" w:rsidRPr="006D52A9" w:rsidRDefault="00251313" w:rsidP="002A460D">
      <w:pPr>
        <w:pStyle w:val="ItemHead"/>
      </w:pPr>
      <w:r w:rsidRPr="006D52A9">
        <w:t xml:space="preserve">1  </w:t>
      </w:r>
      <w:r w:rsidR="002A460D" w:rsidRPr="006D52A9">
        <w:t>The whole of the instrument</w:t>
      </w:r>
    </w:p>
    <w:p w14:paraId="6689EA7D" w14:textId="77777777" w:rsidR="00A344BE" w:rsidRPr="006D52A9" w:rsidRDefault="002A460D" w:rsidP="00A344BE">
      <w:pPr>
        <w:pStyle w:val="Item"/>
      </w:pPr>
      <w:r w:rsidRPr="006D52A9">
        <w:t>Repeal the instrument.</w:t>
      </w:r>
    </w:p>
    <w:p w14:paraId="53F5BD3D" w14:textId="77777777" w:rsidR="00AA09A8" w:rsidRDefault="00AA09A8" w:rsidP="00C735DC">
      <w:pPr>
        <w:sectPr w:rsidR="00AA09A8" w:rsidSect="00C71894">
          <w:headerReference w:type="even" r:id="rId52"/>
          <w:headerReference w:type="default" r:id="rId53"/>
          <w:footerReference w:type="even" r:id="rId54"/>
          <w:footerReference w:type="default" r:id="rId55"/>
          <w:headerReference w:type="first" r:id="rId56"/>
          <w:footerReference w:type="first" r:id="rId57"/>
          <w:pgSz w:w="11907" w:h="16839" w:code="9"/>
          <w:pgMar w:top="1440" w:right="1797" w:bottom="1440" w:left="1797" w:header="720" w:footer="709" w:gutter="0"/>
          <w:cols w:space="720"/>
          <w:docGrid w:linePitch="299"/>
        </w:sectPr>
      </w:pPr>
      <w:bookmarkStart w:id="270" w:name="OPCSB_AmendScheduleA4"/>
    </w:p>
    <w:bookmarkEnd w:id="270"/>
    <w:p w14:paraId="1569A25B" w14:textId="77777777" w:rsidR="00C87851" w:rsidRPr="006D52A9" w:rsidRDefault="00C87851" w:rsidP="00AA09A8">
      <w:pPr>
        <w:rPr>
          <w:b/>
          <w:i/>
        </w:rPr>
      </w:pPr>
    </w:p>
    <w:sectPr w:rsidR="00C87851" w:rsidRPr="006D52A9" w:rsidSect="00C71894">
      <w:headerReference w:type="even" r:id="rId58"/>
      <w:headerReference w:type="default" r:id="rId59"/>
      <w:footerReference w:type="even" r:id="rId60"/>
      <w:footerReference w:type="default" r:id="rId61"/>
      <w:headerReference w:type="first" r:id="rId62"/>
      <w:footerReference w:type="first" r:id="rId63"/>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6E24" w14:textId="77777777" w:rsidR="00C735DC" w:rsidRDefault="00C735DC" w:rsidP="00715914">
      <w:pPr>
        <w:spacing w:line="240" w:lineRule="auto"/>
      </w:pPr>
      <w:r>
        <w:separator/>
      </w:r>
    </w:p>
  </w:endnote>
  <w:endnote w:type="continuationSeparator" w:id="0">
    <w:p w14:paraId="62EE7601" w14:textId="77777777" w:rsidR="00C735DC" w:rsidRDefault="00C735D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7F322" w14:textId="77777777" w:rsidR="00A757E4" w:rsidRPr="00C71894" w:rsidRDefault="00C71894" w:rsidP="00C71894">
    <w:pPr>
      <w:pStyle w:val="Footer"/>
      <w:rPr>
        <w:i/>
        <w:sz w:val="18"/>
      </w:rPr>
    </w:pPr>
    <w:r w:rsidRPr="00C71894">
      <w:rPr>
        <w:i/>
        <w:sz w:val="18"/>
      </w:rPr>
      <w:t>OPC64690 -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7F01"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1251"/>
      <w:gridCol w:w="695"/>
    </w:tblGrid>
    <w:tr w:rsidR="00C735DC" w14:paraId="6F57E9A0" w14:textId="77777777" w:rsidTr="00F9298B">
      <w:tc>
        <w:tcPr>
          <w:tcW w:w="563" w:type="pct"/>
        </w:tcPr>
        <w:p w14:paraId="13FA169E" w14:textId="77777777" w:rsidR="00C735DC" w:rsidRDefault="00C735DC" w:rsidP="004D681E">
          <w:pPr>
            <w:spacing w:line="0" w:lineRule="atLeast"/>
            <w:rPr>
              <w:sz w:val="18"/>
            </w:rPr>
          </w:pPr>
        </w:p>
      </w:tc>
      <w:tc>
        <w:tcPr>
          <w:tcW w:w="4179" w:type="pct"/>
        </w:tcPr>
        <w:p w14:paraId="7C426949" w14:textId="53E6AA51"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258" w:type="pct"/>
        </w:tcPr>
        <w:p w14:paraId="1ACE1713"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w:t>
          </w:r>
          <w:r w:rsidRPr="00ED79B6">
            <w:rPr>
              <w:i/>
              <w:sz w:val="18"/>
            </w:rPr>
            <w:fldChar w:fldCharType="end"/>
          </w:r>
        </w:p>
      </w:tc>
    </w:tr>
  </w:tbl>
  <w:p w14:paraId="1AAA8208" w14:textId="77777777" w:rsidR="00C735DC" w:rsidRPr="00C71894" w:rsidRDefault="00C71894" w:rsidP="00C71894">
    <w:pPr>
      <w:rPr>
        <w:rFonts w:cs="Times New Roman"/>
        <w:i/>
        <w:sz w:val="18"/>
      </w:rPr>
    </w:pPr>
    <w:r w:rsidRPr="00C71894">
      <w:rPr>
        <w:rFonts w:cs="Times New Roman"/>
        <w:i/>
        <w:sz w:val="18"/>
      </w:rPr>
      <w:t>OPC64690 -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EE4"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35DC" w14:paraId="0E8F9A29" w14:textId="77777777" w:rsidTr="00BE5990">
      <w:tc>
        <w:tcPr>
          <w:tcW w:w="365" w:type="pct"/>
        </w:tcPr>
        <w:p w14:paraId="4400E371" w14:textId="77777777" w:rsidR="00C735DC" w:rsidRDefault="00C735DC" w:rsidP="004D68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c>
        <w:tcPr>
          <w:tcW w:w="3688" w:type="pct"/>
        </w:tcPr>
        <w:p w14:paraId="71222BE2" w14:textId="1A20EB07"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947" w:type="pct"/>
        </w:tcPr>
        <w:p w14:paraId="46FA6208" w14:textId="77777777" w:rsidR="00C735DC" w:rsidRDefault="00C735DC" w:rsidP="004D681E">
          <w:pPr>
            <w:spacing w:line="0" w:lineRule="atLeast"/>
            <w:jc w:val="right"/>
            <w:rPr>
              <w:sz w:val="18"/>
            </w:rPr>
          </w:pPr>
        </w:p>
      </w:tc>
    </w:tr>
  </w:tbl>
  <w:p w14:paraId="3619D4C9" w14:textId="77777777" w:rsidR="00C735DC" w:rsidRPr="00C71894" w:rsidRDefault="00C71894" w:rsidP="00C71894">
    <w:pPr>
      <w:rPr>
        <w:rFonts w:cs="Times New Roman"/>
        <w:i/>
        <w:sz w:val="18"/>
      </w:rPr>
    </w:pPr>
    <w:r w:rsidRPr="00C71894">
      <w:rPr>
        <w:rFonts w:cs="Times New Roman"/>
        <w:i/>
        <w:sz w:val="18"/>
      </w:rPr>
      <w:t>OPC64690 -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1345"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35DC" w14:paraId="146450FF" w14:textId="77777777" w:rsidTr="00BE5990">
      <w:tc>
        <w:tcPr>
          <w:tcW w:w="947" w:type="pct"/>
        </w:tcPr>
        <w:p w14:paraId="1584F3A5" w14:textId="77777777" w:rsidR="00C735DC" w:rsidRDefault="00C735DC" w:rsidP="004D681E">
          <w:pPr>
            <w:spacing w:line="0" w:lineRule="atLeast"/>
            <w:rPr>
              <w:sz w:val="18"/>
            </w:rPr>
          </w:pPr>
        </w:p>
      </w:tc>
      <w:tc>
        <w:tcPr>
          <w:tcW w:w="3688" w:type="pct"/>
        </w:tcPr>
        <w:p w14:paraId="2883AF8C" w14:textId="207C2DA3"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365" w:type="pct"/>
        </w:tcPr>
        <w:p w14:paraId="5EF266F3"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27</w:t>
          </w:r>
          <w:r w:rsidRPr="00ED79B6">
            <w:rPr>
              <w:i/>
              <w:sz w:val="18"/>
            </w:rPr>
            <w:fldChar w:fldCharType="end"/>
          </w:r>
        </w:p>
      </w:tc>
    </w:tr>
  </w:tbl>
  <w:p w14:paraId="6783FC82" w14:textId="77777777" w:rsidR="00C735DC" w:rsidRPr="00C71894" w:rsidRDefault="00C71894" w:rsidP="00C71894">
    <w:pPr>
      <w:rPr>
        <w:rFonts w:cs="Times New Roman"/>
        <w:i/>
        <w:sz w:val="18"/>
      </w:rPr>
    </w:pPr>
    <w:r w:rsidRPr="00C71894">
      <w:rPr>
        <w:rFonts w:cs="Times New Roman"/>
        <w:i/>
        <w:sz w:val="18"/>
      </w:rPr>
      <w:t>OPC64690 -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172F" w14:textId="77777777" w:rsidR="00C735DC" w:rsidRPr="00E33C1C" w:rsidRDefault="00C735DC" w:rsidP="00BE599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5E61314A" w14:textId="77777777" w:rsidTr="00BE5990">
      <w:tc>
        <w:tcPr>
          <w:tcW w:w="817" w:type="pct"/>
          <w:tcBorders>
            <w:top w:val="nil"/>
            <w:left w:val="nil"/>
            <w:bottom w:val="nil"/>
            <w:right w:val="nil"/>
          </w:tcBorders>
        </w:tcPr>
        <w:p w14:paraId="07B63654" w14:textId="77777777" w:rsidR="00C735DC" w:rsidRDefault="00C735DC" w:rsidP="004D681E">
          <w:pPr>
            <w:spacing w:line="0" w:lineRule="atLeast"/>
            <w:rPr>
              <w:sz w:val="18"/>
            </w:rPr>
          </w:pPr>
        </w:p>
      </w:tc>
      <w:tc>
        <w:tcPr>
          <w:tcW w:w="3765" w:type="pct"/>
          <w:tcBorders>
            <w:top w:val="nil"/>
            <w:left w:val="nil"/>
            <w:bottom w:val="nil"/>
            <w:right w:val="nil"/>
          </w:tcBorders>
        </w:tcPr>
        <w:p w14:paraId="744ED63B" w14:textId="3DD13951"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0F7D8B99"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51ACD360" w14:textId="77777777" w:rsidR="00C735DC" w:rsidRPr="00ED79B6" w:rsidRDefault="00C735DC" w:rsidP="00BE5990">
    <w:pPr>
      <w:rPr>
        <w:i/>
        <w:sz w:val="18"/>
      </w:rPr>
    </w:pPr>
  </w:p>
  <w:p w14:paraId="6E35EE80" w14:textId="77777777" w:rsidR="00C735DC" w:rsidRPr="00C71894" w:rsidRDefault="00C71894" w:rsidP="00C71894">
    <w:pPr>
      <w:pStyle w:val="Footer"/>
      <w:rPr>
        <w:i/>
        <w:sz w:val="18"/>
      </w:rPr>
    </w:pPr>
    <w:r w:rsidRPr="00C71894">
      <w:rPr>
        <w:i/>
        <w:sz w:val="18"/>
      </w:rPr>
      <w:t>OPC64690 -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5251"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11253"/>
      <w:gridCol w:w="1384"/>
    </w:tblGrid>
    <w:tr w:rsidR="00C735DC" w14:paraId="5EFBB705" w14:textId="77777777" w:rsidTr="00BE5990">
      <w:tc>
        <w:tcPr>
          <w:tcW w:w="306" w:type="pct"/>
        </w:tcPr>
        <w:p w14:paraId="35B4E3BD" w14:textId="77777777" w:rsidR="00C735DC" w:rsidRDefault="00C735DC" w:rsidP="004D68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50</w:t>
          </w:r>
          <w:r w:rsidRPr="00ED79B6">
            <w:rPr>
              <w:i/>
              <w:sz w:val="18"/>
            </w:rPr>
            <w:fldChar w:fldCharType="end"/>
          </w:r>
        </w:p>
      </w:tc>
      <w:tc>
        <w:tcPr>
          <w:tcW w:w="4180" w:type="pct"/>
        </w:tcPr>
        <w:p w14:paraId="77919C4E" w14:textId="3C0DE3B6"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514" w:type="pct"/>
        </w:tcPr>
        <w:p w14:paraId="28264397" w14:textId="77777777" w:rsidR="00C735DC" w:rsidRDefault="00C735DC" w:rsidP="004D681E">
          <w:pPr>
            <w:spacing w:line="0" w:lineRule="atLeast"/>
            <w:jc w:val="right"/>
            <w:rPr>
              <w:sz w:val="18"/>
            </w:rPr>
          </w:pPr>
        </w:p>
      </w:tc>
    </w:tr>
  </w:tbl>
  <w:p w14:paraId="79A9195F" w14:textId="77777777" w:rsidR="00C735DC" w:rsidRPr="00C71894" w:rsidRDefault="00C71894" w:rsidP="00C71894">
    <w:pPr>
      <w:rPr>
        <w:rFonts w:cs="Times New Roman"/>
        <w:i/>
        <w:sz w:val="18"/>
      </w:rPr>
    </w:pPr>
    <w:r w:rsidRPr="00C71894">
      <w:rPr>
        <w:rFonts w:cs="Times New Roman"/>
        <w:i/>
        <w:sz w:val="18"/>
      </w:rPr>
      <w:t>OPC64690 -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DBF9"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1251"/>
      <w:gridCol w:w="695"/>
    </w:tblGrid>
    <w:tr w:rsidR="00C735DC" w14:paraId="5A22ADC0" w14:textId="77777777" w:rsidTr="00F9298B">
      <w:tc>
        <w:tcPr>
          <w:tcW w:w="563" w:type="pct"/>
        </w:tcPr>
        <w:p w14:paraId="04E07F88" w14:textId="77777777" w:rsidR="00C735DC" w:rsidRDefault="00C735DC" w:rsidP="004D681E">
          <w:pPr>
            <w:spacing w:line="0" w:lineRule="atLeast"/>
            <w:rPr>
              <w:sz w:val="18"/>
            </w:rPr>
          </w:pPr>
        </w:p>
      </w:tc>
      <w:tc>
        <w:tcPr>
          <w:tcW w:w="4179" w:type="pct"/>
        </w:tcPr>
        <w:p w14:paraId="33892DFE" w14:textId="2F70229D"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258" w:type="pct"/>
        </w:tcPr>
        <w:p w14:paraId="30B63BD8"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51</w:t>
          </w:r>
          <w:r w:rsidRPr="00ED79B6">
            <w:rPr>
              <w:i/>
              <w:sz w:val="18"/>
            </w:rPr>
            <w:fldChar w:fldCharType="end"/>
          </w:r>
        </w:p>
      </w:tc>
    </w:tr>
  </w:tbl>
  <w:p w14:paraId="7F70883F" w14:textId="77777777" w:rsidR="00C735DC" w:rsidRPr="00C71894" w:rsidRDefault="00C71894" w:rsidP="00C71894">
    <w:pPr>
      <w:rPr>
        <w:rFonts w:cs="Times New Roman"/>
        <w:i/>
        <w:sz w:val="18"/>
      </w:rPr>
    </w:pPr>
    <w:r w:rsidRPr="00C71894">
      <w:rPr>
        <w:rFonts w:cs="Times New Roman"/>
        <w:i/>
        <w:sz w:val="18"/>
      </w:rPr>
      <w:t>OPC64690 - 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1216" w14:textId="77777777" w:rsidR="00C735DC" w:rsidRPr="00FF448D" w:rsidRDefault="00C735DC" w:rsidP="00AA09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35DC" w14:paraId="10EC5529" w14:textId="77777777" w:rsidTr="00A757E4">
      <w:tc>
        <w:tcPr>
          <w:tcW w:w="709" w:type="dxa"/>
          <w:tcBorders>
            <w:top w:val="nil"/>
            <w:left w:val="nil"/>
            <w:bottom w:val="nil"/>
            <w:right w:val="nil"/>
          </w:tcBorders>
        </w:tcPr>
        <w:p w14:paraId="3544A4E5" w14:textId="77777777" w:rsidR="00C735DC" w:rsidRDefault="00C735DC" w:rsidP="00C735D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576A2EF" w14:textId="4A89D43E" w:rsidR="00C735DC" w:rsidRDefault="00C735DC" w:rsidP="00C735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1384" w:type="dxa"/>
          <w:tcBorders>
            <w:top w:val="nil"/>
            <w:left w:val="nil"/>
            <w:bottom w:val="nil"/>
            <w:right w:val="nil"/>
          </w:tcBorders>
        </w:tcPr>
        <w:p w14:paraId="53557813" w14:textId="77777777" w:rsidR="00C735DC" w:rsidRDefault="00C735DC" w:rsidP="00C735DC">
          <w:pPr>
            <w:spacing w:line="0" w:lineRule="atLeast"/>
            <w:jc w:val="right"/>
            <w:rPr>
              <w:sz w:val="18"/>
            </w:rPr>
          </w:pPr>
        </w:p>
      </w:tc>
    </w:tr>
  </w:tbl>
  <w:p w14:paraId="558BBAB8" w14:textId="77777777" w:rsidR="00C735DC" w:rsidRPr="00C71894" w:rsidRDefault="00C71894" w:rsidP="00C71894">
    <w:pPr>
      <w:rPr>
        <w:rFonts w:cs="Times New Roman"/>
        <w:i/>
        <w:sz w:val="18"/>
      </w:rPr>
    </w:pPr>
    <w:r w:rsidRPr="00C71894">
      <w:rPr>
        <w:rFonts w:cs="Times New Roman"/>
        <w:i/>
        <w:sz w:val="18"/>
      </w:rPr>
      <w:t>OPC64690 - C</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AD80" w14:textId="77777777" w:rsidR="00C735DC" w:rsidRPr="00D1021D" w:rsidRDefault="00C735DC" w:rsidP="00AA09A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35DC" w14:paraId="3A322582" w14:textId="77777777" w:rsidTr="00C735DC">
      <w:tc>
        <w:tcPr>
          <w:tcW w:w="1384" w:type="dxa"/>
          <w:tcBorders>
            <w:top w:val="nil"/>
            <w:left w:val="nil"/>
            <w:bottom w:val="nil"/>
            <w:right w:val="nil"/>
          </w:tcBorders>
        </w:tcPr>
        <w:p w14:paraId="2364B62F" w14:textId="77777777" w:rsidR="00C735DC" w:rsidRDefault="00C735DC" w:rsidP="00C735DC">
          <w:pPr>
            <w:spacing w:line="0" w:lineRule="atLeast"/>
            <w:rPr>
              <w:sz w:val="18"/>
            </w:rPr>
          </w:pPr>
        </w:p>
      </w:tc>
      <w:tc>
        <w:tcPr>
          <w:tcW w:w="6379" w:type="dxa"/>
          <w:tcBorders>
            <w:top w:val="nil"/>
            <w:left w:val="nil"/>
            <w:bottom w:val="nil"/>
            <w:right w:val="nil"/>
          </w:tcBorders>
        </w:tcPr>
        <w:p w14:paraId="69ADE2C4" w14:textId="2D2E20FF" w:rsidR="00C735DC" w:rsidRDefault="00C735DC" w:rsidP="00C735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709" w:type="dxa"/>
          <w:tcBorders>
            <w:top w:val="nil"/>
            <w:left w:val="nil"/>
            <w:bottom w:val="nil"/>
            <w:right w:val="nil"/>
          </w:tcBorders>
        </w:tcPr>
        <w:p w14:paraId="4EE17429" w14:textId="77777777" w:rsidR="00C735DC" w:rsidRDefault="00C735DC" w:rsidP="00C735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0D5B32F" w14:textId="77777777" w:rsidR="00C735DC" w:rsidRPr="00C71894" w:rsidRDefault="00C71894" w:rsidP="00C71894">
    <w:pPr>
      <w:rPr>
        <w:rFonts w:cs="Times New Roman"/>
        <w:i/>
        <w:sz w:val="18"/>
      </w:rPr>
    </w:pPr>
    <w:r w:rsidRPr="00C71894">
      <w:rPr>
        <w:rFonts w:cs="Times New Roman"/>
        <w:i/>
        <w:sz w:val="18"/>
      </w:rPr>
      <w:t>OPC64690 -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7D897" w14:textId="77777777" w:rsidR="00C735DC" w:rsidRPr="00E33C1C" w:rsidRDefault="00C735DC" w:rsidP="00AA09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7311780F" w14:textId="77777777" w:rsidTr="00C735DC">
      <w:tc>
        <w:tcPr>
          <w:tcW w:w="817" w:type="pct"/>
          <w:tcBorders>
            <w:top w:val="nil"/>
            <w:left w:val="nil"/>
            <w:bottom w:val="nil"/>
            <w:right w:val="nil"/>
          </w:tcBorders>
        </w:tcPr>
        <w:p w14:paraId="3C9CF252" w14:textId="77777777" w:rsidR="00C735DC" w:rsidRDefault="00C735DC" w:rsidP="00AA09A8">
          <w:pPr>
            <w:spacing w:line="0" w:lineRule="atLeast"/>
            <w:rPr>
              <w:sz w:val="18"/>
            </w:rPr>
          </w:pPr>
        </w:p>
      </w:tc>
      <w:tc>
        <w:tcPr>
          <w:tcW w:w="3765" w:type="pct"/>
          <w:tcBorders>
            <w:top w:val="nil"/>
            <w:left w:val="nil"/>
            <w:bottom w:val="nil"/>
            <w:right w:val="nil"/>
          </w:tcBorders>
        </w:tcPr>
        <w:p w14:paraId="6C0908FB" w14:textId="753CA883" w:rsidR="00C735DC" w:rsidRDefault="00C735DC" w:rsidP="00AA09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31AA732E" w14:textId="77777777" w:rsidR="00C735DC" w:rsidRDefault="00C735DC" w:rsidP="00AA09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037DB2D" w14:textId="77777777" w:rsidR="00C735DC" w:rsidRPr="00ED79B6" w:rsidRDefault="00C735DC" w:rsidP="00AA09A8">
    <w:pPr>
      <w:rPr>
        <w:i/>
        <w:sz w:val="18"/>
      </w:rPr>
    </w:pPr>
  </w:p>
  <w:p w14:paraId="79E00D68" w14:textId="77777777" w:rsidR="00C735DC" w:rsidRPr="00C71894" w:rsidRDefault="00C71894" w:rsidP="00C71894">
    <w:pPr>
      <w:pStyle w:val="Footer"/>
      <w:rPr>
        <w:i/>
        <w:sz w:val="18"/>
      </w:rPr>
    </w:pPr>
    <w:r w:rsidRPr="00C71894">
      <w:rPr>
        <w:i/>
        <w:sz w:val="18"/>
      </w:rPr>
      <w:t>OPC64690 -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1F7" w14:textId="77777777" w:rsidR="00C735DC" w:rsidRPr="00FF448D" w:rsidRDefault="00C735DC" w:rsidP="003E716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35DC" w14:paraId="5A2C4F3D" w14:textId="77777777" w:rsidTr="00A757E4">
      <w:tc>
        <w:tcPr>
          <w:tcW w:w="709" w:type="dxa"/>
          <w:tcBorders>
            <w:top w:val="nil"/>
            <w:left w:val="nil"/>
            <w:bottom w:val="nil"/>
            <w:right w:val="nil"/>
          </w:tcBorders>
        </w:tcPr>
        <w:p w14:paraId="49B8B060" w14:textId="77777777" w:rsidR="00C735DC" w:rsidRDefault="00C735DC" w:rsidP="003E716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D531F3A" w14:textId="395564E2" w:rsidR="00C735DC" w:rsidRDefault="00C735DC" w:rsidP="003E71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1384" w:type="dxa"/>
          <w:tcBorders>
            <w:top w:val="nil"/>
            <w:left w:val="nil"/>
            <w:bottom w:val="nil"/>
            <w:right w:val="nil"/>
          </w:tcBorders>
        </w:tcPr>
        <w:p w14:paraId="08E1D16F" w14:textId="77777777" w:rsidR="00C735DC" w:rsidRDefault="00C735DC" w:rsidP="003E7161">
          <w:pPr>
            <w:spacing w:line="0" w:lineRule="atLeast"/>
            <w:jc w:val="right"/>
            <w:rPr>
              <w:sz w:val="18"/>
            </w:rPr>
          </w:pPr>
        </w:p>
      </w:tc>
    </w:tr>
  </w:tbl>
  <w:p w14:paraId="70E8AEAC" w14:textId="77777777" w:rsidR="00C735DC" w:rsidRPr="00C71894" w:rsidRDefault="00C71894" w:rsidP="00C71894">
    <w:pPr>
      <w:rPr>
        <w:rFonts w:cs="Times New Roman"/>
        <w:i/>
        <w:sz w:val="18"/>
      </w:rPr>
    </w:pPr>
    <w:r w:rsidRPr="00C71894">
      <w:rPr>
        <w:rFonts w:cs="Times New Roman"/>
        <w:i/>
        <w:sz w:val="18"/>
      </w:rPr>
      <w:t>OPC64690 -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4218" w14:textId="77777777" w:rsidR="00C735DC" w:rsidRDefault="00C735DC" w:rsidP="00BE5990">
    <w:pPr>
      <w:pStyle w:val="Footer"/>
      <w:spacing w:before="120"/>
    </w:pPr>
  </w:p>
  <w:p w14:paraId="5E6E8129" w14:textId="77777777" w:rsidR="00C735DC" w:rsidRPr="00C71894" w:rsidRDefault="00C71894" w:rsidP="00C71894">
    <w:pPr>
      <w:pStyle w:val="Footer"/>
      <w:rPr>
        <w:i/>
        <w:sz w:val="18"/>
      </w:rPr>
    </w:pPr>
    <w:r w:rsidRPr="00C71894">
      <w:rPr>
        <w:i/>
        <w:sz w:val="18"/>
      </w:rPr>
      <w:t>OPC64690 - C</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B356" w14:textId="77777777" w:rsidR="00C735DC" w:rsidRPr="00D1021D" w:rsidRDefault="00C735DC" w:rsidP="003E7161">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735DC" w14:paraId="3306B79C" w14:textId="77777777" w:rsidTr="003E7161">
      <w:tc>
        <w:tcPr>
          <w:tcW w:w="1384" w:type="dxa"/>
          <w:tcBorders>
            <w:top w:val="nil"/>
            <w:left w:val="nil"/>
            <w:bottom w:val="nil"/>
            <w:right w:val="nil"/>
          </w:tcBorders>
        </w:tcPr>
        <w:p w14:paraId="51C5DA2F" w14:textId="77777777" w:rsidR="00C735DC" w:rsidRDefault="00C735DC" w:rsidP="003E7161">
          <w:pPr>
            <w:spacing w:line="0" w:lineRule="atLeast"/>
            <w:rPr>
              <w:sz w:val="18"/>
            </w:rPr>
          </w:pPr>
        </w:p>
      </w:tc>
      <w:tc>
        <w:tcPr>
          <w:tcW w:w="6379" w:type="dxa"/>
          <w:tcBorders>
            <w:top w:val="nil"/>
            <w:left w:val="nil"/>
            <w:bottom w:val="nil"/>
            <w:right w:val="nil"/>
          </w:tcBorders>
        </w:tcPr>
        <w:p w14:paraId="2E50254D" w14:textId="136702EB" w:rsidR="00C735DC" w:rsidRDefault="00C735DC" w:rsidP="003E716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709" w:type="dxa"/>
          <w:tcBorders>
            <w:top w:val="nil"/>
            <w:left w:val="nil"/>
            <w:bottom w:val="nil"/>
            <w:right w:val="nil"/>
          </w:tcBorders>
        </w:tcPr>
        <w:p w14:paraId="53B3C7D9" w14:textId="77777777" w:rsidR="00C735DC" w:rsidRDefault="00C735DC" w:rsidP="003E716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3BEA51B" w14:textId="77777777" w:rsidR="00C735DC" w:rsidRPr="00C71894" w:rsidRDefault="00C71894" w:rsidP="00C71894">
    <w:pPr>
      <w:rPr>
        <w:rFonts w:cs="Times New Roman"/>
        <w:i/>
        <w:sz w:val="18"/>
      </w:rPr>
    </w:pPr>
    <w:r w:rsidRPr="00C71894">
      <w:rPr>
        <w:rFonts w:cs="Times New Roman"/>
        <w:i/>
        <w:sz w:val="18"/>
      </w:rPr>
      <w:t>OPC64690 - C</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F5D7" w14:textId="77777777" w:rsidR="00C735DC" w:rsidRDefault="00C735DC">
    <w:pPr>
      <w:pBdr>
        <w:top w:val="single" w:sz="6" w:space="1" w:color="auto"/>
      </w:pBdr>
      <w:rPr>
        <w:sz w:val="18"/>
      </w:rPr>
    </w:pPr>
  </w:p>
  <w:p w14:paraId="34C4F6C6" w14:textId="05F0EA12" w:rsidR="00C735DC" w:rsidRDefault="00C735DC">
    <w:pPr>
      <w:jc w:val="right"/>
      <w:rPr>
        <w:i/>
        <w:sz w:val="18"/>
      </w:rPr>
    </w:pPr>
    <w:r>
      <w:rPr>
        <w:i/>
        <w:sz w:val="18"/>
      </w:rPr>
      <w:fldChar w:fldCharType="begin"/>
    </w:r>
    <w:r>
      <w:rPr>
        <w:i/>
        <w:sz w:val="18"/>
      </w:rPr>
      <w:instrText xml:space="preserve"> STYLEREF ShortT </w:instrText>
    </w:r>
    <w:r>
      <w:rPr>
        <w:i/>
        <w:sz w:val="18"/>
      </w:rPr>
      <w:fldChar w:fldCharType="separate"/>
    </w:r>
    <w:r w:rsidR="005722DF">
      <w:rPr>
        <w:i/>
        <w:noProof/>
        <w:sz w:val="18"/>
      </w:rPr>
      <w:t>National Health (Highly Specialised Drugs Program) Special Arrangement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722D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033BD037" w14:textId="77777777" w:rsidR="00C735DC" w:rsidRPr="00C71894" w:rsidRDefault="00C71894" w:rsidP="00C71894">
    <w:pPr>
      <w:rPr>
        <w:rFonts w:cs="Times New Roman"/>
        <w:i/>
        <w:sz w:val="18"/>
      </w:rPr>
    </w:pPr>
    <w:r w:rsidRPr="00C71894">
      <w:rPr>
        <w:rFonts w:cs="Times New Roman"/>
        <w:i/>
        <w:sz w:val="18"/>
      </w:rPr>
      <w:t>OPC64690 - C</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656C" w14:textId="77777777" w:rsidR="00C735DC" w:rsidRPr="00EF5531" w:rsidRDefault="00C735DC" w:rsidP="00AA09A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35DC" w14:paraId="3DAD18BC" w14:textId="77777777" w:rsidTr="00A757E4">
      <w:tc>
        <w:tcPr>
          <w:tcW w:w="709" w:type="dxa"/>
          <w:tcBorders>
            <w:top w:val="nil"/>
            <w:left w:val="nil"/>
            <w:bottom w:val="nil"/>
            <w:right w:val="nil"/>
          </w:tcBorders>
        </w:tcPr>
        <w:p w14:paraId="267FA372" w14:textId="77777777" w:rsidR="00C735DC" w:rsidRDefault="00C735DC" w:rsidP="00C735D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9AE23A2" w14:textId="4D7AE03E" w:rsidR="00C735DC" w:rsidRDefault="00C735DC" w:rsidP="00C735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1384" w:type="dxa"/>
          <w:tcBorders>
            <w:top w:val="nil"/>
            <w:left w:val="nil"/>
            <w:bottom w:val="nil"/>
            <w:right w:val="nil"/>
          </w:tcBorders>
        </w:tcPr>
        <w:p w14:paraId="7899C1CF" w14:textId="77777777" w:rsidR="00C735DC" w:rsidRDefault="00C735DC" w:rsidP="00C735DC">
          <w:pPr>
            <w:spacing w:line="0" w:lineRule="atLeast"/>
            <w:jc w:val="right"/>
            <w:rPr>
              <w:sz w:val="18"/>
            </w:rPr>
          </w:pPr>
        </w:p>
      </w:tc>
    </w:tr>
  </w:tbl>
  <w:p w14:paraId="349ACBEC" w14:textId="77777777" w:rsidR="00C735DC" w:rsidRPr="00C71894" w:rsidRDefault="00C71894" w:rsidP="00C71894">
    <w:pPr>
      <w:rPr>
        <w:rFonts w:cs="Times New Roman"/>
        <w:i/>
        <w:sz w:val="18"/>
      </w:rPr>
    </w:pPr>
    <w:r w:rsidRPr="00C71894">
      <w:rPr>
        <w:rFonts w:cs="Times New Roman"/>
        <w:i/>
        <w:sz w:val="18"/>
      </w:rPr>
      <w:t>OPC64690 - C</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C93D" w14:textId="77777777" w:rsidR="00C735DC" w:rsidRPr="00A41F52" w:rsidRDefault="00C735DC" w:rsidP="00AA09A8">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C735DC" w14:paraId="2C8805F5" w14:textId="77777777" w:rsidTr="00C735DC">
      <w:tc>
        <w:tcPr>
          <w:tcW w:w="1384" w:type="dxa"/>
          <w:tcBorders>
            <w:top w:val="nil"/>
            <w:left w:val="nil"/>
            <w:bottom w:val="nil"/>
            <w:right w:val="nil"/>
          </w:tcBorders>
        </w:tcPr>
        <w:p w14:paraId="7B70EF97" w14:textId="77777777" w:rsidR="00C735DC" w:rsidRDefault="00C735DC" w:rsidP="00C735DC">
          <w:pPr>
            <w:spacing w:line="0" w:lineRule="atLeast"/>
            <w:rPr>
              <w:sz w:val="18"/>
            </w:rPr>
          </w:pPr>
        </w:p>
      </w:tc>
      <w:tc>
        <w:tcPr>
          <w:tcW w:w="6379" w:type="dxa"/>
          <w:tcBorders>
            <w:top w:val="nil"/>
            <w:left w:val="nil"/>
            <w:bottom w:val="nil"/>
            <w:right w:val="nil"/>
          </w:tcBorders>
        </w:tcPr>
        <w:p w14:paraId="36A46A2B" w14:textId="68FB8E15" w:rsidR="00C735DC" w:rsidRDefault="00C735DC" w:rsidP="00C735D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709" w:type="dxa"/>
          <w:tcBorders>
            <w:top w:val="nil"/>
            <w:left w:val="nil"/>
            <w:bottom w:val="nil"/>
            <w:right w:val="nil"/>
          </w:tcBorders>
        </w:tcPr>
        <w:p w14:paraId="5C89C644" w14:textId="77777777" w:rsidR="00C735DC" w:rsidRDefault="00C735DC" w:rsidP="00C735D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594704" w14:textId="77777777" w:rsidR="00C735DC" w:rsidRPr="00C71894" w:rsidRDefault="00C71894" w:rsidP="00C71894">
    <w:pPr>
      <w:rPr>
        <w:rFonts w:cs="Times New Roman"/>
        <w:i/>
        <w:sz w:val="18"/>
      </w:rPr>
    </w:pPr>
    <w:r w:rsidRPr="00C71894">
      <w:rPr>
        <w:rFonts w:cs="Times New Roman"/>
        <w:i/>
        <w:sz w:val="18"/>
      </w:rPr>
      <w:t>OPC64690 - C</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C9D0" w14:textId="77777777" w:rsidR="00C735DC" w:rsidRPr="00E33C1C" w:rsidRDefault="00C735DC" w:rsidP="00AA09A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0C6474A1" w14:textId="77777777" w:rsidTr="00C735DC">
      <w:tc>
        <w:tcPr>
          <w:tcW w:w="817" w:type="pct"/>
          <w:tcBorders>
            <w:top w:val="nil"/>
            <w:left w:val="nil"/>
            <w:bottom w:val="nil"/>
            <w:right w:val="nil"/>
          </w:tcBorders>
        </w:tcPr>
        <w:p w14:paraId="610B035B" w14:textId="77777777" w:rsidR="00C735DC" w:rsidRDefault="00C735DC" w:rsidP="00AA09A8">
          <w:pPr>
            <w:spacing w:line="0" w:lineRule="atLeast"/>
            <w:rPr>
              <w:sz w:val="18"/>
            </w:rPr>
          </w:pPr>
        </w:p>
      </w:tc>
      <w:tc>
        <w:tcPr>
          <w:tcW w:w="3765" w:type="pct"/>
          <w:tcBorders>
            <w:top w:val="nil"/>
            <w:left w:val="nil"/>
            <w:bottom w:val="nil"/>
            <w:right w:val="nil"/>
          </w:tcBorders>
        </w:tcPr>
        <w:p w14:paraId="7E8CAF3E" w14:textId="6C1D34D8" w:rsidR="00C735DC" w:rsidRDefault="00C735DC" w:rsidP="00AA09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762BE105" w14:textId="77777777" w:rsidR="00C735DC" w:rsidRDefault="00C735DC" w:rsidP="00AA09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4DB090D" w14:textId="77777777" w:rsidR="00C735DC" w:rsidRPr="00ED79B6" w:rsidRDefault="00C735DC" w:rsidP="00AA09A8">
    <w:pPr>
      <w:rPr>
        <w:i/>
        <w:sz w:val="18"/>
      </w:rPr>
    </w:pPr>
  </w:p>
  <w:p w14:paraId="61F6F2EA" w14:textId="77777777" w:rsidR="00C735DC" w:rsidRPr="00C71894" w:rsidRDefault="00C71894" w:rsidP="00C71894">
    <w:pPr>
      <w:pStyle w:val="Footer"/>
      <w:rPr>
        <w:i/>
        <w:sz w:val="18"/>
      </w:rPr>
    </w:pPr>
    <w:r w:rsidRPr="00C71894">
      <w:rPr>
        <w:i/>
        <w:sz w:val="18"/>
      </w:rPr>
      <w:t>OPC64690 - C</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8F5B" w14:textId="77777777" w:rsidR="00C735DC" w:rsidRPr="00E33C1C" w:rsidRDefault="00C735DC" w:rsidP="00BE5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735DC" w14:paraId="73C7729C" w14:textId="77777777" w:rsidTr="00BE5990">
      <w:tc>
        <w:tcPr>
          <w:tcW w:w="418" w:type="pct"/>
          <w:tcBorders>
            <w:top w:val="nil"/>
            <w:left w:val="nil"/>
            <w:bottom w:val="nil"/>
            <w:right w:val="nil"/>
          </w:tcBorders>
        </w:tcPr>
        <w:p w14:paraId="5DCE7896" w14:textId="77777777" w:rsidR="00C735DC" w:rsidRDefault="00C735DC" w:rsidP="00DC35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c>
        <w:tcPr>
          <w:tcW w:w="3765" w:type="pct"/>
          <w:tcBorders>
            <w:top w:val="nil"/>
            <w:left w:val="nil"/>
            <w:bottom w:val="nil"/>
            <w:right w:val="nil"/>
          </w:tcBorders>
        </w:tcPr>
        <w:p w14:paraId="54F50D39" w14:textId="3F33839D" w:rsidR="00C735DC" w:rsidRDefault="00C735DC"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817" w:type="pct"/>
          <w:tcBorders>
            <w:top w:val="nil"/>
            <w:left w:val="nil"/>
            <w:bottom w:val="nil"/>
            <w:right w:val="nil"/>
          </w:tcBorders>
        </w:tcPr>
        <w:p w14:paraId="580931C7" w14:textId="77777777" w:rsidR="00C735DC" w:rsidRDefault="00C735DC" w:rsidP="00DC35C8">
          <w:pPr>
            <w:spacing w:line="0" w:lineRule="atLeast"/>
            <w:jc w:val="right"/>
            <w:rPr>
              <w:sz w:val="18"/>
            </w:rPr>
          </w:pPr>
        </w:p>
      </w:tc>
    </w:tr>
  </w:tbl>
  <w:p w14:paraId="4584CA46" w14:textId="77777777" w:rsidR="00C735DC" w:rsidRPr="00C71894" w:rsidRDefault="00C71894" w:rsidP="00C71894">
    <w:pPr>
      <w:rPr>
        <w:rFonts w:cs="Times New Roman"/>
        <w:i/>
        <w:sz w:val="18"/>
      </w:rPr>
    </w:pPr>
    <w:r w:rsidRPr="00C71894">
      <w:rPr>
        <w:rFonts w:cs="Times New Roman"/>
        <w:i/>
        <w:sz w:val="18"/>
      </w:rPr>
      <w:t>OPC64690 - C</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C77F" w14:textId="77777777" w:rsidR="00C735DC" w:rsidRPr="00E33C1C" w:rsidRDefault="00C735DC" w:rsidP="00BE5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30C119CB" w14:textId="77777777" w:rsidTr="00BE5990">
      <w:tc>
        <w:tcPr>
          <w:tcW w:w="817" w:type="pct"/>
          <w:tcBorders>
            <w:top w:val="nil"/>
            <w:left w:val="nil"/>
            <w:bottom w:val="nil"/>
            <w:right w:val="nil"/>
          </w:tcBorders>
        </w:tcPr>
        <w:p w14:paraId="7AC81A3E" w14:textId="77777777" w:rsidR="00C735DC" w:rsidRDefault="00C735DC" w:rsidP="00DC35C8">
          <w:pPr>
            <w:spacing w:line="0" w:lineRule="atLeast"/>
            <w:rPr>
              <w:sz w:val="18"/>
            </w:rPr>
          </w:pPr>
        </w:p>
      </w:tc>
      <w:tc>
        <w:tcPr>
          <w:tcW w:w="3765" w:type="pct"/>
          <w:tcBorders>
            <w:top w:val="nil"/>
            <w:left w:val="nil"/>
            <w:bottom w:val="nil"/>
            <w:right w:val="nil"/>
          </w:tcBorders>
        </w:tcPr>
        <w:p w14:paraId="69A3A4D2" w14:textId="407DCD2E" w:rsidR="00C735DC" w:rsidRDefault="00C735DC"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45F7067F" w14:textId="77777777" w:rsidR="00C735DC" w:rsidRDefault="00C735DC" w:rsidP="00DC35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7B074A8C" w14:textId="77777777" w:rsidR="00C735DC" w:rsidRPr="00C71894" w:rsidRDefault="00C71894" w:rsidP="00C71894">
    <w:pPr>
      <w:rPr>
        <w:rFonts w:cs="Times New Roman"/>
        <w:i/>
        <w:sz w:val="18"/>
      </w:rPr>
    </w:pPr>
    <w:r w:rsidRPr="00C71894">
      <w:rPr>
        <w:rFonts w:cs="Times New Roman"/>
        <w:i/>
        <w:sz w:val="18"/>
      </w:rPr>
      <w:t>OPC64690 - 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9432" w14:textId="77777777" w:rsidR="00C735DC" w:rsidRPr="00E33C1C" w:rsidRDefault="00C735D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4FE3843A" w14:textId="77777777" w:rsidTr="00BE5990">
      <w:tc>
        <w:tcPr>
          <w:tcW w:w="817" w:type="pct"/>
          <w:tcBorders>
            <w:top w:val="nil"/>
            <w:left w:val="nil"/>
            <w:bottom w:val="nil"/>
            <w:right w:val="nil"/>
          </w:tcBorders>
        </w:tcPr>
        <w:p w14:paraId="4C290BF8" w14:textId="77777777" w:rsidR="00C735DC" w:rsidRDefault="00C735DC" w:rsidP="00DC35C8">
          <w:pPr>
            <w:spacing w:line="0" w:lineRule="atLeast"/>
            <w:rPr>
              <w:sz w:val="18"/>
            </w:rPr>
          </w:pPr>
        </w:p>
      </w:tc>
      <w:tc>
        <w:tcPr>
          <w:tcW w:w="3765" w:type="pct"/>
          <w:tcBorders>
            <w:top w:val="nil"/>
            <w:left w:val="nil"/>
            <w:bottom w:val="nil"/>
            <w:right w:val="nil"/>
          </w:tcBorders>
        </w:tcPr>
        <w:p w14:paraId="5DBCFFB6" w14:textId="53146B40" w:rsidR="00C735DC" w:rsidRDefault="00C735DC"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36AAC20F" w14:textId="77777777" w:rsidR="00C735DC" w:rsidRDefault="00C735DC" w:rsidP="00DC35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6654898C" w14:textId="77777777" w:rsidR="00C735DC" w:rsidRPr="00C71894" w:rsidRDefault="00C71894" w:rsidP="00C71894">
    <w:pPr>
      <w:rPr>
        <w:rFonts w:cs="Times New Roman"/>
        <w:i/>
        <w:sz w:val="18"/>
      </w:rPr>
    </w:pPr>
    <w:r w:rsidRPr="00C71894">
      <w:rPr>
        <w:rFonts w:cs="Times New Roman"/>
        <w:i/>
        <w:sz w:val="18"/>
      </w:rPr>
      <w:t>OPC64690 -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D2EC" w14:textId="77777777" w:rsidR="00C735DC" w:rsidRPr="00C71894" w:rsidRDefault="00C71894" w:rsidP="00C71894">
    <w:pPr>
      <w:pStyle w:val="Footer"/>
      <w:tabs>
        <w:tab w:val="clear" w:pos="4153"/>
        <w:tab w:val="clear" w:pos="8306"/>
        <w:tab w:val="center" w:pos="4150"/>
        <w:tab w:val="right" w:pos="8307"/>
      </w:tabs>
      <w:spacing w:before="120"/>
      <w:rPr>
        <w:i/>
        <w:sz w:val="18"/>
      </w:rPr>
    </w:pPr>
    <w:r w:rsidRPr="00C71894">
      <w:rPr>
        <w:i/>
        <w:sz w:val="18"/>
      </w:rPr>
      <w:t>OPC64690 -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EAEC" w14:textId="77777777" w:rsidR="00C735DC" w:rsidRPr="00E33C1C" w:rsidRDefault="00C735DC" w:rsidP="00BE5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735DC" w14:paraId="034F4BB2" w14:textId="77777777" w:rsidTr="00BE5990">
      <w:tc>
        <w:tcPr>
          <w:tcW w:w="418" w:type="pct"/>
          <w:tcBorders>
            <w:top w:val="nil"/>
            <w:left w:val="nil"/>
            <w:bottom w:val="nil"/>
            <w:right w:val="nil"/>
          </w:tcBorders>
        </w:tcPr>
        <w:p w14:paraId="04B41F0D" w14:textId="77777777" w:rsidR="00C735DC" w:rsidRDefault="00C735DC" w:rsidP="00DC35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0D17FBDC" w14:textId="35ADEEE1" w:rsidR="00C735DC" w:rsidRDefault="00C735DC"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817" w:type="pct"/>
          <w:tcBorders>
            <w:top w:val="nil"/>
            <w:left w:val="nil"/>
            <w:bottom w:val="nil"/>
            <w:right w:val="nil"/>
          </w:tcBorders>
        </w:tcPr>
        <w:p w14:paraId="6C25DAFF" w14:textId="77777777" w:rsidR="00C735DC" w:rsidRDefault="00C735DC" w:rsidP="00DC35C8">
          <w:pPr>
            <w:spacing w:line="0" w:lineRule="atLeast"/>
            <w:jc w:val="right"/>
            <w:rPr>
              <w:sz w:val="18"/>
            </w:rPr>
          </w:pPr>
        </w:p>
      </w:tc>
    </w:tr>
  </w:tbl>
  <w:p w14:paraId="1417A43D" w14:textId="77777777" w:rsidR="00C735DC" w:rsidRPr="00C71894" w:rsidRDefault="00C71894" w:rsidP="00C71894">
    <w:pPr>
      <w:rPr>
        <w:rFonts w:cs="Times New Roman"/>
        <w:i/>
        <w:sz w:val="18"/>
      </w:rPr>
    </w:pPr>
    <w:r w:rsidRPr="00C71894">
      <w:rPr>
        <w:rFonts w:cs="Times New Roman"/>
        <w:i/>
        <w:sz w:val="18"/>
      </w:rPr>
      <w:t>OPC64690 -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4BB5" w14:textId="77777777" w:rsidR="00C735DC" w:rsidRPr="00E33C1C" w:rsidRDefault="00C735DC" w:rsidP="00BE599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C735DC" w14:paraId="558DE349" w14:textId="77777777" w:rsidTr="00F9298B">
      <w:tc>
        <w:tcPr>
          <w:tcW w:w="816" w:type="pct"/>
          <w:tcBorders>
            <w:top w:val="nil"/>
            <w:left w:val="nil"/>
            <w:bottom w:val="nil"/>
            <w:right w:val="nil"/>
          </w:tcBorders>
        </w:tcPr>
        <w:p w14:paraId="6D5B3D63" w14:textId="77777777" w:rsidR="00C735DC" w:rsidRDefault="00C735DC" w:rsidP="00DC35C8">
          <w:pPr>
            <w:spacing w:line="0" w:lineRule="atLeast"/>
            <w:rPr>
              <w:sz w:val="18"/>
            </w:rPr>
          </w:pPr>
        </w:p>
      </w:tc>
      <w:tc>
        <w:tcPr>
          <w:tcW w:w="3765" w:type="pct"/>
          <w:tcBorders>
            <w:top w:val="nil"/>
            <w:left w:val="nil"/>
            <w:bottom w:val="nil"/>
            <w:right w:val="nil"/>
          </w:tcBorders>
        </w:tcPr>
        <w:p w14:paraId="604EE89D" w14:textId="0563843C" w:rsidR="00C735DC" w:rsidRDefault="00C735DC" w:rsidP="00DC35C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9" w:type="pct"/>
          <w:tcBorders>
            <w:top w:val="nil"/>
            <w:left w:val="nil"/>
            <w:bottom w:val="nil"/>
            <w:right w:val="nil"/>
          </w:tcBorders>
        </w:tcPr>
        <w:p w14:paraId="4E3EAD5F" w14:textId="77777777" w:rsidR="00C735DC" w:rsidRDefault="00C735DC" w:rsidP="00DC35C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F555630" w14:textId="77777777" w:rsidR="00C735DC" w:rsidRPr="00C71894" w:rsidRDefault="00C71894" w:rsidP="00C71894">
    <w:pPr>
      <w:rPr>
        <w:rFonts w:cs="Times New Roman"/>
        <w:i/>
        <w:sz w:val="18"/>
      </w:rPr>
    </w:pPr>
    <w:r w:rsidRPr="00C71894">
      <w:rPr>
        <w:rFonts w:cs="Times New Roman"/>
        <w:i/>
        <w:sz w:val="18"/>
      </w:rPr>
      <w:t>OPC64690 -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163F"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35DC" w14:paraId="060EBF41" w14:textId="77777777" w:rsidTr="00BE5990">
      <w:tc>
        <w:tcPr>
          <w:tcW w:w="365" w:type="pct"/>
        </w:tcPr>
        <w:p w14:paraId="26842E21" w14:textId="77777777" w:rsidR="00C735DC" w:rsidRDefault="00C735DC" w:rsidP="004D68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28</w:t>
          </w:r>
          <w:r w:rsidRPr="00ED79B6">
            <w:rPr>
              <w:i/>
              <w:sz w:val="18"/>
            </w:rPr>
            <w:fldChar w:fldCharType="end"/>
          </w:r>
        </w:p>
      </w:tc>
      <w:tc>
        <w:tcPr>
          <w:tcW w:w="3688" w:type="pct"/>
        </w:tcPr>
        <w:p w14:paraId="37EA6727" w14:textId="0D402D0D"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947" w:type="pct"/>
        </w:tcPr>
        <w:p w14:paraId="368421BA" w14:textId="77777777" w:rsidR="00C735DC" w:rsidRDefault="00C735DC" w:rsidP="004D681E">
          <w:pPr>
            <w:spacing w:line="0" w:lineRule="atLeast"/>
            <w:jc w:val="right"/>
            <w:rPr>
              <w:sz w:val="18"/>
            </w:rPr>
          </w:pPr>
        </w:p>
      </w:tc>
    </w:tr>
  </w:tbl>
  <w:p w14:paraId="7ECBDC8D" w14:textId="77777777" w:rsidR="00C735DC" w:rsidRPr="00C71894" w:rsidRDefault="00C71894" w:rsidP="00C71894">
    <w:pPr>
      <w:rPr>
        <w:rFonts w:cs="Times New Roman"/>
        <w:i/>
        <w:sz w:val="18"/>
      </w:rPr>
    </w:pPr>
    <w:r w:rsidRPr="00C71894">
      <w:rPr>
        <w:rFonts w:cs="Times New Roman"/>
        <w:i/>
        <w:sz w:val="18"/>
      </w:rPr>
      <w:t>OPC64690 -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CBA7"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35DC" w14:paraId="0C166785" w14:textId="77777777" w:rsidTr="00BE5990">
      <w:tc>
        <w:tcPr>
          <w:tcW w:w="947" w:type="pct"/>
        </w:tcPr>
        <w:p w14:paraId="65819EE8" w14:textId="77777777" w:rsidR="00C735DC" w:rsidRDefault="00C735DC" w:rsidP="004D681E">
          <w:pPr>
            <w:spacing w:line="0" w:lineRule="atLeast"/>
            <w:rPr>
              <w:sz w:val="18"/>
            </w:rPr>
          </w:pPr>
        </w:p>
      </w:tc>
      <w:tc>
        <w:tcPr>
          <w:tcW w:w="3688" w:type="pct"/>
        </w:tcPr>
        <w:p w14:paraId="38BA10EF" w14:textId="7A7B841B"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365" w:type="pct"/>
        </w:tcPr>
        <w:p w14:paraId="552874D1"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27</w:t>
          </w:r>
          <w:r w:rsidRPr="00ED79B6">
            <w:rPr>
              <w:i/>
              <w:sz w:val="18"/>
            </w:rPr>
            <w:fldChar w:fldCharType="end"/>
          </w:r>
        </w:p>
      </w:tc>
    </w:tr>
  </w:tbl>
  <w:p w14:paraId="528E1AE1" w14:textId="77777777" w:rsidR="00C735DC" w:rsidRPr="00C71894" w:rsidRDefault="00C71894" w:rsidP="00C71894">
    <w:pPr>
      <w:rPr>
        <w:rFonts w:cs="Times New Roman"/>
        <w:i/>
        <w:sz w:val="18"/>
      </w:rPr>
    </w:pPr>
    <w:r w:rsidRPr="00C71894">
      <w:rPr>
        <w:rFonts w:cs="Times New Roman"/>
        <w:i/>
        <w:sz w:val="18"/>
      </w:rPr>
      <w:t>OPC64690 -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096CD" w14:textId="77777777" w:rsidR="00C735DC" w:rsidRPr="00E33C1C" w:rsidRDefault="00C735DC" w:rsidP="00BE599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35DC" w14:paraId="1FF7DA16" w14:textId="77777777" w:rsidTr="00BE5990">
      <w:tc>
        <w:tcPr>
          <w:tcW w:w="817" w:type="pct"/>
          <w:tcBorders>
            <w:top w:val="nil"/>
            <w:left w:val="nil"/>
            <w:bottom w:val="nil"/>
            <w:right w:val="nil"/>
          </w:tcBorders>
        </w:tcPr>
        <w:p w14:paraId="0456035A" w14:textId="77777777" w:rsidR="00C735DC" w:rsidRDefault="00C735DC" w:rsidP="004D681E">
          <w:pPr>
            <w:spacing w:line="0" w:lineRule="atLeast"/>
            <w:rPr>
              <w:sz w:val="18"/>
            </w:rPr>
          </w:pPr>
        </w:p>
      </w:tc>
      <w:tc>
        <w:tcPr>
          <w:tcW w:w="3765" w:type="pct"/>
          <w:tcBorders>
            <w:top w:val="nil"/>
            <w:left w:val="nil"/>
            <w:bottom w:val="nil"/>
            <w:right w:val="nil"/>
          </w:tcBorders>
        </w:tcPr>
        <w:p w14:paraId="72CB551B" w14:textId="512FF0EB"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418" w:type="pct"/>
          <w:tcBorders>
            <w:top w:val="nil"/>
            <w:left w:val="nil"/>
            <w:bottom w:val="nil"/>
            <w:right w:val="nil"/>
          </w:tcBorders>
        </w:tcPr>
        <w:p w14:paraId="7D8CDC99" w14:textId="77777777" w:rsidR="00C735DC" w:rsidRDefault="00C735DC" w:rsidP="004D68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w:t>
          </w:r>
          <w:r w:rsidRPr="00ED79B6">
            <w:rPr>
              <w:i/>
              <w:sz w:val="18"/>
            </w:rPr>
            <w:fldChar w:fldCharType="end"/>
          </w:r>
        </w:p>
      </w:tc>
    </w:tr>
  </w:tbl>
  <w:p w14:paraId="02764541" w14:textId="77777777" w:rsidR="00C735DC" w:rsidRPr="00ED79B6" w:rsidRDefault="00C735DC" w:rsidP="00BE5990">
    <w:pPr>
      <w:rPr>
        <w:i/>
        <w:sz w:val="18"/>
      </w:rPr>
    </w:pPr>
  </w:p>
  <w:p w14:paraId="0E4B7820" w14:textId="77777777" w:rsidR="00C735DC" w:rsidRPr="00C71894" w:rsidRDefault="00C71894" w:rsidP="00C71894">
    <w:pPr>
      <w:pStyle w:val="Footer"/>
      <w:rPr>
        <w:i/>
        <w:sz w:val="18"/>
      </w:rPr>
    </w:pPr>
    <w:r w:rsidRPr="00C71894">
      <w:rPr>
        <w:i/>
        <w:sz w:val="18"/>
      </w:rPr>
      <w:t>OPC64690 -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E9E2" w14:textId="77777777" w:rsidR="00C735DC" w:rsidRPr="002B0EA5" w:rsidRDefault="00C735DC" w:rsidP="00BE59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11253"/>
      <w:gridCol w:w="1384"/>
    </w:tblGrid>
    <w:tr w:rsidR="00C735DC" w14:paraId="2B5E672B" w14:textId="77777777" w:rsidTr="00BE5990">
      <w:tc>
        <w:tcPr>
          <w:tcW w:w="306" w:type="pct"/>
        </w:tcPr>
        <w:p w14:paraId="2CF97598" w14:textId="77777777" w:rsidR="00C735DC" w:rsidRDefault="00C735DC" w:rsidP="004D68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50</w:t>
          </w:r>
          <w:r w:rsidRPr="00ED79B6">
            <w:rPr>
              <w:i/>
              <w:sz w:val="18"/>
            </w:rPr>
            <w:fldChar w:fldCharType="end"/>
          </w:r>
        </w:p>
      </w:tc>
      <w:tc>
        <w:tcPr>
          <w:tcW w:w="4180" w:type="pct"/>
        </w:tcPr>
        <w:p w14:paraId="792110AC" w14:textId="12916D21" w:rsidR="00C735DC" w:rsidRDefault="00C735DC" w:rsidP="004D68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22DF">
            <w:rPr>
              <w:i/>
              <w:sz w:val="18"/>
            </w:rPr>
            <w:t>National Health (Highly Specialised Drugs Program) Special Arrangement 2021</w:t>
          </w:r>
          <w:r w:rsidRPr="007A1328">
            <w:rPr>
              <w:i/>
              <w:sz w:val="18"/>
            </w:rPr>
            <w:fldChar w:fldCharType="end"/>
          </w:r>
        </w:p>
      </w:tc>
      <w:tc>
        <w:tcPr>
          <w:tcW w:w="514" w:type="pct"/>
        </w:tcPr>
        <w:p w14:paraId="04898921" w14:textId="77777777" w:rsidR="00C735DC" w:rsidRDefault="00C735DC" w:rsidP="004D681E">
          <w:pPr>
            <w:spacing w:line="0" w:lineRule="atLeast"/>
            <w:jc w:val="right"/>
            <w:rPr>
              <w:sz w:val="18"/>
            </w:rPr>
          </w:pPr>
        </w:p>
      </w:tc>
    </w:tr>
  </w:tbl>
  <w:p w14:paraId="5FA8AE97" w14:textId="77777777" w:rsidR="00C735DC" w:rsidRPr="00C71894" w:rsidRDefault="00C71894" w:rsidP="00C71894">
    <w:pPr>
      <w:rPr>
        <w:rFonts w:cs="Times New Roman"/>
        <w:i/>
        <w:sz w:val="18"/>
      </w:rPr>
    </w:pPr>
    <w:r w:rsidRPr="00C71894">
      <w:rPr>
        <w:rFonts w:cs="Times New Roman"/>
        <w:i/>
        <w:sz w:val="18"/>
      </w:rPr>
      <w:t>OPC64690 -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54B1" w14:textId="77777777" w:rsidR="00C735DC" w:rsidRDefault="00C735DC" w:rsidP="00715914">
      <w:pPr>
        <w:spacing w:line="240" w:lineRule="auto"/>
      </w:pPr>
      <w:r>
        <w:separator/>
      </w:r>
    </w:p>
  </w:footnote>
  <w:footnote w:type="continuationSeparator" w:id="0">
    <w:p w14:paraId="28ECB390" w14:textId="77777777" w:rsidR="00C735DC" w:rsidRDefault="00C735D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B4A7" w14:textId="77777777" w:rsidR="00C735DC" w:rsidRPr="005F1388" w:rsidRDefault="00C735DC"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BF7B" w14:textId="0460FF85" w:rsidR="00C735DC" w:rsidRDefault="00C735DC" w:rsidP="004D681E">
    <w:pPr>
      <w:rPr>
        <w:sz w:val="20"/>
      </w:rPr>
    </w:pPr>
    <w:r w:rsidRPr="007A1328">
      <w:rPr>
        <w:b/>
        <w:sz w:val="20"/>
      </w:rPr>
      <w:fldChar w:fldCharType="begin"/>
    </w:r>
    <w:r w:rsidRPr="007A1328">
      <w:rPr>
        <w:b/>
        <w:sz w:val="20"/>
      </w:rPr>
      <w:instrText xml:space="preserve"> STYLEREF CharChapNo </w:instrText>
    </w:r>
    <w:r w:rsidR="005722DF">
      <w:rPr>
        <w:b/>
        <w:sz w:val="20"/>
      </w:rPr>
      <w:fldChar w:fldCharType="separate"/>
    </w:r>
    <w:r w:rsidR="005722D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5722DF">
      <w:rPr>
        <w:sz w:val="20"/>
      </w:rPr>
      <w:fldChar w:fldCharType="separate"/>
    </w:r>
    <w:r w:rsidR="005722DF">
      <w:rPr>
        <w:noProof/>
        <w:sz w:val="20"/>
      </w:rPr>
      <w:t>HSD pharmaceutical benefits and related information</w:t>
    </w:r>
    <w:r>
      <w:rPr>
        <w:sz w:val="20"/>
      </w:rPr>
      <w:fldChar w:fldCharType="end"/>
    </w:r>
  </w:p>
  <w:p w14:paraId="350A8B61" w14:textId="77777777" w:rsidR="00C735DC" w:rsidRPr="007A1328" w:rsidRDefault="00C735DC" w:rsidP="004D681E">
    <w:pPr>
      <w:rPr>
        <w:b/>
        <w:sz w:val="24"/>
      </w:rPr>
    </w:pPr>
  </w:p>
  <w:p w14:paraId="7091EB34" w14:textId="1D95D78E" w:rsidR="00C735DC" w:rsidRPr="007A1328" w:rsidRDefault="00C735DC"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4E780" w14:textId="57CC1709" w:rsidR="00C735DC" w:rsidRPr="007A1328" w:rsidRDefault="00C735DC" w:rsidP="004D681E">
    <w:pPr>
      <w:jc w:val="right"/>
      <w:rPr>
        <w:sz w:val="20"/>
      </w:rPr>
    </w:pPr>
    <w:r w:rsidRPr="007A1328">
      <w:rPr>
        <w:sz w:val="20"/>
      </w:rPr>
      <w:fldChar w:fldCharType="begin"/>
    </w:r>
    <w:r w:rsidRPr="007A1328">
      <w:rPr>
        <w:sz w:val="20"/>
      </w:rPr>
      <w:instrText xml:space="preserve"> STYLEREF CharChapText </w:instrText>
    </w:r>
    <w:r w:rsidR="005722DF">
      <w:rPr>
        <w:sz w:val="20"/>
      </w:rPr>
      <w:fldChar w:fldCharType="separate"/>
    </w:r>
    <w:r w:rsidR="005722DF">
      <w:rPr>
        <w:noProof/>
        <w:sz w:val="20"/>
      </w:rPr>
      <w:t>HSD pharmaceutical benefits and related information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722DF">
      <w:rPr>
        <w:b/>
        <w:sz w:val="20"/>
      </w:rPr>
      <w:fldChar w:fldCharType="separate"/>
    </w:r>
    <w:r w:rsidR="005722DF">
      <w:rPr>
        <w:b/>
        <w:noProof/>
        <w:sz w:val="20"/>
      </w:rPr>
      <w:t>Schedule 1</w:t>
    </w:r>
    <w:r>
      <w:rPr>
        <w:b/>
        <w:sz w:val="20"/>
      </w:rPr>
      <w:fldChar w:fldCharType="end"/>
    </w:r>
  </w:p>
  <w:p w14:paraId="1B0218E1" w14:textId="77777777" w:rsidR="00C735DC" w:rsidRPr="007A1328" w:rsidRDefault="00C735DC" w:rsidP="004D681E">
    <w:pPr>
      <w:jc w:val="right"/>
      <w:rPr>
        <w:b/>
        <w:sz w:val="24"/>
      </w:rPr>
    </w:pPr>
  </w:p>
  <w:p w14:paraId="3A81417C" w14:textId="4F947EE3" w:rsidR="00C735DC" w:rsidRPr="007A1328" w:rsidRDefault="00C735DC"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EE94" w14:textId="6956FF8C" w:rsidR="00C735DC" w:rsidRDefault="00C735DC" w:rsidP="004D6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22DF">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22DF">
      <w:rPr>
        <w:noProof/>
        <w:sz w:val="20"/>
      </w:rPr>
      <w:t>Maximum quantities and repeats for certain HSD pharmaceutical benefits</w:t>
    </w:r>
    <w:r>
      <w:rPr>
        <w:sz w:val="20"/>
      </w:rPr>
      <w:fldChar w:fldCharType="end"/>
    </w:r>
  </w:p>
  <w:p w14:paraId="60A978F5" w14:textId="77777777" w:rsidR="00C735DC" w:rsidRPr="007A1328" w:rsidRDefault="00C735DC" w:rsidP="004D681E">
    <w:pPr>
      <w:rPr>
        <w:b/>
        <w:sz w:val="24"/>
      </w:rPr>
    </w:pPr>
  </w:p>
  <w:p w14:paraId="60923CFF" w14:textId="30B96ED1" w:rsidR="00C735DC" w:rsidRPr="007A1328" w:rsidRDefault="00C735DC"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35B0F" w14:textId="13C28F08" w:rsidR="00C735DC" w:rsidRPr="007A1328" w:rsidRDefault="00C735DC"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22DF">
      <w:rPr>
        <w:noProof/>
        <w:sz w:val="20"/>
      </w:rPr>
      <w:t>Maximum quantities and repeats for certain HSD pharmaceutical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22DF">
      <w:rPr>
        <w:b/>
        <w:noProof/>
        <w:sz w:val="20"/>
      </w:rPr>
      <w:t>Schedule 2</w:t>
    </w:r>
    <w:r>
      <w:rPr>
        <w:b/>
        <w:sz w:val="20"/>
      </w:rPr>
      <w:fldChar w:fldCharType="end"/>
    </w:r>
  </w:p>
  <w:p w14:paraId="2A290E5D" w14:textId="77777777" w:rsidR="00C735DC" w:rsidRPr="007A1328" w:rsidRDefault="00C735DC" w:rsidP="004D681E">
    <w:pPr>
      <w:jc w:val="right"/>
      <w:rPr>
        <w:b/>
        <w:sz w:val="24"/>
      </w:rPr>
    </w:pPr>
  </w:p>
  <w:p w14:paraId="0418DD4E" w14:textId="569BC20A" w:rsidR="00C735DC" w:rsidRPr="007A1328" w:rsidRDefault="00C735DC"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9326" w14:textId="77777777" w:rsidR="00C735DC" w:rsidRPr="007A1328" w:rsidRDefault="00C735DC" w:rsidP="004D681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02F7" w14:textId="30BB430F" w:rsidR="00C735DC" w:rsidRDefault="00C735DC" w:rsidP="004D681E">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22DF">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22DF">
      <w:rPr>
        <w:noProof/>
        <w:sz w:val="20"/>
      </w:rPr>
      <w:t>Circumstances and purposes</w:t>
    </w:r>
    <w:r>
      <w:rPr>
        <w:sz w:val="20"/>
      </w:rPr>
      <w:fldChar w:fldCharType="end"/>
    </w:r>
  </w:p>
  <w:p w14:paraId="35E9831D" w14:textId="77777777" w:rsidR="00C735DC" w:rsidRPr="007A1328" w:rsidRDefault="00C735DC" w:rsidP="004D681E">
    <w:pPr>
      <w:rPr>
        <w:b/>
        <w:sz w:val="24"/>
      </w:rPr>
    </w:pPr>
  </w:p>
  <w:p w14:paraId="5A57D104" w14:textId="2BF6ED82" w:rsidR="00C735DC" w:rsidRPr="007A1328" w:rsidRDefault="00C735DC" w:rsidP="00BE5990">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BA19" w14:textId="13DE98FD" w:rsidR="00C735DC" w:rsidRPr="007A1328" w:rsidRDefault="00C735DC"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22DF">
      <w:rPr>
        <w:noProof/>
        <w:sz w:val="20"/>
      </w:rPr>
      <w:t>Circumstances and purposes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22DF">
      <w:rPr>
        <w:b/>
        <w:noProof/>
        <w:sz w:val="20"/>
      </w:rPr>
      <w:t>Schedule 3</w:t>
    </w:r>
    <w:r>
      <w:rPr>
        <w:b/>
        <w:sz w:val="20"/>
      </w:rPr>
      <w:fldChar w:fldCharType="end"/>
    </w:r>
  </w:p>
  <w:p w14:paraId="79BF1F3B" w14:textId="77777777" w:rsidR="00C735DC" w:rsidRPr="007A1328" w:rsidRDefault="00C735DC" w:rsidP="004D681E">
    <w:pPr>
      <w:jc w:val="right"/>
      <w:rPr>
        <w:b/>
        <w:sz w:val="24"/>
      </w:rPr>
    </w:pPr>
  </w:p>
  <w:p w14:paraId="341E0595" w14:textId="5A596B26" w:rsidR="00C735DC" w:rsidRPr="007A1328" w:rsidRDefault="00C735DC" w:rsidP="00BE5990">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29A7" w14:textId="4F1F45A8" w:rsidR="00C735DC" w:rsidRPr="00D1021D" w:rsidRDefault="00C735D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722DF">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722DF">
      <w:rPr>
        <w:noProof/>
        <w:sz w:val="20"/>
      </w:rPr>
      <w:t>HSD pharmaceutical benefits with modified prescription circumstances during COVID-19 pandemic</w:t>
    </w:r>
    <w:r w:rsidRPr="00D1021D">
      <w:rPr>
        <w:sz w:val="20"/>
      </w:rPr>
      <w:fldChar w:fldCharType="end"/>
    </w:r>
  </w:p>
  <w:p w14:paraId="5B5AE8CC" w14:textId="2766159C" w:rsidR="00C735DC" w:rsidRPr="00D1021D" w:rsidRDefault="00C735D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49A1C0FC" w14:textId="2AFE3983" w:rsidR="00C735DC" w:rsidRPr="00D1021D" w:rsidRDefault="00C735D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D756C72" w14:textId="77777777" w:rsidR="00C735DC" w:rsidRPr="00D1021D" w:rsidRDefault="00C735DC">
    <w:pPr>
      <w:rPr>
        <w:b/>
      </w:rPr>
    </w:pPr>
  </w:p>
  <w:p w14:paraId="7CCE36A4" w14:textId="3CBFACF7" w:rsidR="00C735DC" w:rsidRPr="00AA09A8" w:rsidRDefault="00C735DC" w:rsidP="00AA09A8">
    <w:pPr>
      <w:pBdr>
        <w:bottom w:val="single" w:sz="6" w:space="1" w:color="auto"/>
      </w:pBdr>
      <w:spacing w:after="120"/>
      <w:rPr>
        <w:sz w:val="24"/>
      </w:rPr>
    </w:pPr>
    <w:r w:rsidRPr="00AA09A8">
      <w:rPr>
        <w:sz w:val="24"/>
      </w:rPr>
      <w:t xml:space="preserve">Clause </w:t>
    </w:r>
    <w:r w:rsidRPr="00AA09A8">
      <w:rPr>
        <w:sz w:val="24"/>
      </w:rPr>
      <w:fldChar w:fldCharType="begin"/>
    </w:r>
    <w:r w:rsidRPr="00AA09A8">
      <w:rPr>
        <w:sz w:val="24"/>
      </w:rPr>
      <w:instrText xml:space="preserve"> STYLEREF CharSectno </w:instrText>
    </w:r>
    <w:r w:rsidRPr="00AA09A8">
      <w:rPr>
        <w:sz w:val="24"/>
      </w:rPr>
      <w:fldChar w:fldCharType="separate"/>
    </w:r>
    <w:r w:rsidR="005722DF">
      <w:rPr>
        <w:noProof/>
        <w:sz w:val="24"/>
      </w:rPr>
      <w:t>1</w:t>
    </w:r>
    <w:r w:rsidRPr="00AA09A8">
      <w:rPr>
        <w:noProof/>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5F71" w14:textId="2EBB9A39" w:rsidR="00C735DC" w:rsidRPr="00D1021D" w:rsidRDefault="00C735D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722DF">
      <w:rPr>
        <w:noProof/>
        <w:sz w:val="20"/>
      </w:rPr>
      <w:t>HSD pharmaceutical benefits with modified prescription circumstances during COVID-19 pandemic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722DF">
      <w:rPr>
        <w:b/>
        <w:noProof/>
        <w:sz w:val="20"/>
      </w:rPr>
      <w:t>Schedule 4</w:t>
    </w:r>
    <w:r w:rsidRPr="00D1021D">
      <w:rPr>
        <w:b/>
        <w:sz w:val="20"/>
      </w:rPr>
      <w:fldChar w:fldCharType="end"/>
    </w:r>
  </w:p>
  <w:p w14:paraId="7FE73A6E" w14:textId="0F4ACF07" w:rsidR="00C735DC" w:rsidRPr="00D1021D" w:rsidRDefault="00C735D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64B979A2" w14:textId="500FD5CB" w:rsidR="00C735DC" w:rsidRPr="00D1021D" w:rsidRDefault="00C735D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3A7C1671" w14:textId="77777777" w:rsidR="00C735DC" w:rsidRPr="00D1021D" w:rsidRDefault="00C735DC">
    <w:pPr>
      <w:jc w:val="right"/>
      <w:rPr>
        <w:b/>
      </w:rPr>
    </w:pPr>
  </w:p>
  <w:p w14:paraId="4575B7AE" w14:textId="60A8790E" w:rsidR="00C735DC" w:rsidRPr="00AA09A8" w:rsidRDefault="00C735DC" w:rsidP="00AA09A8">
    <w:pPr>
      <w:pBdr>
        <w:bottom w:val="single" w:sz="6" w:space="1" w:color="auto"/>
      </w:pBdr>
      <w:spacing w:after="120"/>
      <w:jc w:val="right"/>
      <w:rPr>
        <w:sz w:val="24"/>
      </w:rPr>
    </w:pPr>
    <w:r w:rsidRPr="00AA09A8">
      <w:rPr>
        <w:sz w:val="24"/>
      </w:rPr>
      <w:t xml:space="preserve">Clause </w:t>
    </w:r>
    <w:r w:rsidRPr="00AA09A8">
      <w:rPr>
        <w:sz w:val="24"/>
      </w:rPr>
      <w:fldChar w:fldCharType="begin"/>
    </w:r>
    <w:r w:rsidRPr="00AA09A8">
      <w:rPr>
        <w:sz w:val="24"/>
      </w:rPr>
      <w:instrText xml:space="preserve"> STYLEREF CharSectno </w:instrText>
    </w:r>
    <w:r w:rsidRPr="00AA09A8">
      <w:rPr>
        <w:sz w:val="24"/>
      </w:rPr>
      <w:fldChar w:fldCharType="separate"/>
    </w:r>
    <w:r w:rsidR="005722DF">
      <w:rPr>
        <w:noProof/>
        <w:sz w:val="24"/>
      </w:rPr>
      <w:t>1</w:t>
    </w:r>
    <w:r w:rsidRPr="00AA09A8">
      <w:rPr>
        <w:noProof/>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60C7" w14:textId="77777777" w:rsidR="00C735DC" w:rsidRPr="00AA09A8" w:rsidRDefault="00C735D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4A78" w14:textId="77777777" w:rsidR="00C735DC" w:rsidRPr="005F1388" w:rsidRDefault="00C735DC" w:rsidP="00715914">
    <w:pPr>
      <w:pStyle w:val="Header"/>
      <w:tabs>
        <w:tab w:val="clear" w:pos="4150"/>
        <w:tab w:val="clear" w:pos="8307"/>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8590" w14:textId="6C29A9EB" w:rsidR="00C735DC" w:rsidRPr="00D1021D" w:rsidRDefault="00C735DC">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722DF">
      <w:rPr>
        <w:b/>
        <w:noProof/>
        <w:sz w:val="20"/>
      </w:rPr>
      <w:t>Schedule 4</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722DF">
      <w:rPr>
        <w:noProof/>
        <w:sz w:val="20"/>
      </w:rPr>
      <w:t>HSD pharmaceutical benefits with modified prescription circumstances during COVID-19 pandemic</w:t>
    </w:r>
    <w:r w:rsidRPr="00D1021D">
      <w:rPr>
        <w:sz w:val="20"/>
      </w:rPr>
      <w:fldChar w:fldCharType="end"/>
    </w:r>
  </w:p>
  <w:p w14:paraId="7657A0F4" w14:textId="30E5EA4C" w:rsidR="00C735DC" w:rsidRPr="00D1021D" w:rsidRDefault="00C735DC">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1AC6A0F7" w14:textId="71248768" w:rsidR="00C735DC" w:rsidRPr="00D1021D" w:rsidRDefault="00C735DC">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119D28F" w14:textId="77777777" w:rsidR="00C735DC" w:rsidRPr="00D1021D" w:rsidRDefault="00C735DC">
    <w:pPr>
      <w:rPr>
        <w:b/>
      </w:rPr>
    </w:pPr>
  </w:p>
  <w:p w14:paraId="66AFA5F1" w14:textId="362616A9" w:rsidR="00C735DC" w:rsidRPr="003E7161" w:rsidRDefault="00C735DC">
    <w:pPr>
      <w:pBdr>
        <w:bottom w:val="single" w:sz="6" w:space="1" w:color="auto"/>
      </w:pBdr>
      <w:rPr>
        <w:sz w:val="24"/>
      </w:rPr>
    </w:pPr>
    <w:r w:rsidRPr="003E7161">
      <w:rPr>
        <w:sz w:val="24"/>
      </w:rPr>
      <w:t xml:space="preserve">Clause </w:t>
    </w:r>
    <w:r w:rsidRPr="003E7161">
      <w:rPr>
        <w:sz w:val="24"/>
      </w:rPr>
      <w:fldChar w:fldCharType="begin"/>
    </w:r>
    <w:r w:rsidRPr="003E7161">
      <w:rPr>
        <w:sz w:val="24"/>
      </w:rPr>
      <w:instrText xml:space="preserve"> STYLEREF CharSectno </w:instrText>
    </w:r>
    <w:r w:rsidRPr="003E7161">
      <w:rPr>
        <w:sz w:val="24"/>
      </w:rPr>
      <w:fldChar w:fldCharType="separate"/>
    </w:r>
    <w:r w:rsidR="005722DF">
      <w:rPr>
        <w:noProof/>
        <w:sz w:val="24"/>
      </w:rPr>
      <w:t>1</w:t>
    </w:r>
    <w:r w:rsidRPr="003E7161">
      <w:rPr>
        <w:noProof/>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6B11" w14:textId="4F1557AE" w:rsidR="00C735DC" w:rsidRPr="00D1021D" w:rsidRDefault="00C735DC">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722DF">
      <w:rPr>
        <w:noProof/>
        <w:sz w:val="20"/>
      </w:rPr>
      <w:t>HSD pharmaceutical benefits with modified prescription circumstances during COVID-19 pandemic</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722DF">
      <w:rPr>
        <w:b/>
        <w:noProof/>
        <w:sz w:val="20"/>
      </w:rPr>
      <w:t>Schedule 4</w:t>
    </w:r>
    <w:r w:rsidRPr="00D1021D">
      <w:rPr>
        <w:b/>
        <w:sz w:val="20"/>
      </w:rPr>
      <w:fldChar w:fldCharType="end"/>
    </w:r>
  </w:p>
  <w:p w14:paraId="1A2F2B3E" w14:textId="6854B145" w:rsidR="00C735DC" w:rsidRPr="00D1021D" w:rsidRDefault="00C735DC">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1E9AA89E" w14:textId="2B53C776" w:rsidR="00C735DC" w:rsidRPr="00D1021D" w:rsidRDefault="00C735DC">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E4366A1" w14:textId="77777777" w:rsidR="00C735DC" w:rsidRPr="00D1021D" w:rsidRDefault="00C735DC">
    <w:pPr>
      <w:jc w:val="right"/>
      <w:rPr>
        <w:b/>
      </w:rPr>
    </w:pPr>
  </w:p>
  <w:p w14:paraId="6AC4EEED" w14:textId="534A2DA2" w:rsidR="00C735DC" w:rsidRPr="003E7161" w:rsidRDefault="00C735DC">
    <w:pPr>
      <w:pBdr>
        <w:bottom w:val="single" w:sz="6" w:space="1" w:color="auto"/>
      </w:pBdr>
      <w:jc w:val="right"/>
      <w:rPr>
        <w:sz w:val="24"/>
      </w:rPr>
    </w:pPr>
    <w:r w:rsidRPr="003E7161">
      <w:rPr>
        <w:sz w:val="24"/>
      </w:rPr>
      <w:t xml:space="preserve">Clause </w:t>
    </w:r>
    <w:r w:rsidRPr="003E7161">
      <w:rPr>
        <w:sz w:val="24"/>
      </w:rPr>
      <w:fldChar w:fldCharType="begin"/>
    </w:r>
    <w:r w:rsidRPr="003E7161">
      <w:rPr>
        <w:sz w:val="24"/>
      </w:rPr>
      <w:instrText xml:space="preserve"> STYLEREF CharSectno </w:instrText>
    </w:r>
    <w:r w:rsidRPr="003E7161">
      <w:rPr>
        <w:sz w:val="24"/>
      </w:rPr>
      <w:fldChar w:fldCharType="separate"/>
    </w:r>
    <w:r w:rsidR="005722DF">
      <w:rPr>
        <w:noProof/>
        <w:sz w:val="24"/>
      </w:rPr>
      <w:t>1</w:t>
    </w:r>
    <w:r w:rsidRPr="003E7161">
      <w:rPr>
        <w:noProof/>
        <w:sz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31AC" w14:textId="77777777" w:rsidR="00C735DC" w:rsidRPr="003E7161" w:rsidRDefault="00C735DC">
    <w:pPr>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3DE16" w14:textId="6EDF6C31" w:rsidR="00C735DC" w:rsidRDefault="00C735DC">
    <w:pPr>
      <w:rPr>
        <w:sz w:val="20"/>
      </w:rPr>
    </w:pPr>
    <w:r>
      <w:rPr>
        <w:b/>
        <w:sz w:val="20"/>
      </w:rPr>
      <w:fldChar w:fldCharType="begin"/>
    </w:r>
    <w:r>
      <w:rPr>
        <w:b/>
        <w:sz w:val="20"/>
      </w:rPr>
      <w:instrText xml:space="preserve"> STYLEREF CharAmSchNo </w:instrText>
    </w:r>
    <w:r>
      <w:rPr>
        <w:b/>
        <w:sz w:val="20"/>
      </w:rPr>
      <w:fldChar w:fldCharType="separate"/>
    </w:r>
    <w:r w:rsidR="005722DF">
      <w:rPr>
        <w:b/>
        <w:noProof/>
        <w:sz w:val="20"/>
      </w:rPr>
      <w:t>Schedule 5</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722DF">
      <w:rPr>
        <w:noProof/>
        <w:sz w:val="20"/>
      </w:rPr>
      <w:t>Repeals</w:t>
    </w:r>
    <w:r>
      <w:rPr>
        <w:sz w:val="20"/>
      </w:rPr>
      <w:fldChar w:fldCharType="end"/>
    </w:r>
  </w:p>
  <w:p w14:paraId="4ADBE887" w14:textId="2142495D" w:rsidR="00C735DC" w:rsidRDefault="00C735D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1746AAB" w14:textId="77777777" w:rsidR="00C735DC" w:rsidRPr="00AA09A8" w:rsidRDefault="00C735DC" w:rsidP="00AA09A8">
    <w:pPr>
      <w:pBdr>
        <w:bottom w:val="single" w:sz="6" w:space="1" w:color="auto"/>
      </w:pBdr>
      <w:spacing w:after="120"/>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705A" w14:textId="0DEC0461" w:rsidR="00C735DC" w:rsidRDefault="00C735DC">
    <w:pPr>
      <w:jc w:val="right"/>
      <w:rPr>
        <w:sz w:val="20"/>
      </w:rPr>
    </w:pPr>
    <w:r>
      <w:rPr>
        <w:sz w:val="20"/>
      </w:rPr>
      <w:fldChar w:fldCharType="begin"/>
    </w:r>
    <w:r>
      <w:rPr>
        <w:sz w:val="20"/>
      </w:rPr>
      <w:instrText xml:space="preserve"> STYLEREF CharAmSchText </w:instrText>
    </w:r>
    <w:r>
      <w:rPr>
        <w:sz w:val="20"/>
      </w:rPr>
      <w:fldChar w:fldCharType="separate"/>
    </w:r>
    <w:r w:rsidR="005722DF">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722DF">
      <w:rPr>
        <w:b/>
        <w:noProof/>
        <w:sz w:val="20"/>
      </w:rPr>
      <w:t>Schedule 5</w:t>
    </w:r>
    <w:r>
      <w:rPr>
        <w:b/>
        <w:sz w:val="20"/>
      </w:rPr>
      <w:fldChar w:fldCharType="end"/>
    </w:r>
  </w:p>
  <w:p w14:paraId="7B290110" w14:textId="7B4B4468" w:rsidR="00C735DC" w:rsidRDefault="00C735D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F1AB0E1" w14:textId="77777777" w:rsidR="00C735DC" w:rsidRPr="00AA09A8" w:rsidRDefault="00C735DC" w:rsidP="00AA09A8">
    <w:pPr>
      <w:pBdr>
        <w:bottom w:val="single" w:sz="6" w:space="1" w:color="auto"/>
      </w:pBdr>
      <w:spacing w:after="120"/>
      <w:jc w:val="right"/>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C29D" w14:textId="77777777" w:rsidR="00C735DC" w:rsidRPr="00AA09A8" w:rsidRDefault="00C735DC">
    <w:pPr>
      <w:rPr>
        <w:sz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79A7" w14:textId="2FEAE973" w:rsidR="00C735DC" w:rsidRDefault="00C735D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722DF">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722DF">
      <w:rPr>
        <w:noProof/>
        <w:sz w:val="20"/>
      </w:rPr>
      <w:t>HSD pharmaceutical benefits with modified prescription circumstances during COVID-19 pandemic</w:t>
    </w:r>
    <w:r>
      <w:rPr>
        <w:sz w:val="20"/>
      </w:rPr>
      <w:fldChar w:fldCharType="end"/>
    </w:r>
  </w:p>
  <w:p w14:paraId="3A7CF07B" w14:textId="4278EFF1" w:rsidR="00C735DC" w:rsidRDefault="00C735D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6227F57" w14:textId="5C4FC5C8" w:rsidR="00C735DC" w:rsidRPr="007A1328" w:rsidRDefault="00C735D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47C1295" w14:textId="77777777" w:rsidR="00C735DC" w:rsidRPr="007A1328" w:rsidRDefault="00C735DC" w:rsidP="00715914">
    <w:pPr>
      <w:rPr>
        <w:b/>
        <w:sz w:val="24"/>
      </w:rPr>
    </w:pPr>
  </w:p>
  <w:p w14:paraId="36E1C023" w14:textId="6F657D72" w:rsidR="00C735DC" w:rsidRPr="007A1328" w:rsidRDefault="00C735DC" w:rsidP="00BE599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22D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2CAD" w14:textId="2C97BA57" w:rsidR="00C735DC" w:rsidRPr="007A1328" w:rsidRDefault="00C735D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722DF">
      <w:rPr>
        <w:noProof/>
        <w:sz w:val="20"/>
      </w:rPr>
      <w:t>HSD pharmaceutical benefits with modified prescription circumstances during COVID-19 pandemic</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722DF">
      <w:rPr>
        <w:b/>
        <w:noProof/>
        <w:sz w:val="20"/>
      </w:rPr>
      <w:t>Schedule 4</w:t>
    </w:r>
    <w:r>
      <w:rPr>
        <w:b/>
        <w:sz w:val="20"/>
      </w:rPr>
      <w:fldChar w:fldCharType="end"/>
    </w:r>
  </w:p>
  <w:p w14:paraId="6935B98B" w14:textId="1B014010" w:rsidR="00C735DC" w:rsidRPr="007A1328" w:rsidRDefault="00C735D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D1BFB63" w14:textId="713D3F97" w:rsidR="00C735DC" w:rsidRPr="007A1328" w:rsidRDefault="00C735D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87E267" w14:textId="77777777" w:rsidR="00C735DC" w:rsidRPr="007A1328" w:rsidRDefault="00C735DC" w:rsidP="00715914">
    <w:pPr>
      <w:jc w:val="right"/>
      <w:rPr>
        <w:b/>
        <w:sz w:val="24"/>
      </w:rPr>
    </w:pPr>
  </w:p>
  <w:p w14:paraId="0905504E" w14:textId="7251DAE1" w:rsidR="00C735DC" w:rsidRPr="007A1328" w:rsidRDefault="00C735DC" w:rsidP="00BE599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22D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1</w:t>
    </w:r>
    <w:r w:rsidRPr="007A1328">
      <w:rPr>
        <w:sz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E60C" w14:textId="77777777" w:rsidR="00C735DC" w:rsidRPr="007A1328" w:rsidRDefault="00C735DC"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1C15" w14:textId="77777777" w:rsidR="00C735DC" w:rsidRPr="005F1388" w:rsidRDefault="00C735D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3CB0" w14:textId="77777777" w:rsidR="00C735DC" w:rsidRPr="00ED79B6" w:rsidRDefault="00C735D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8CC3" w14:textId="77777777" w:rsidR="00C735DC" w:rsidRPr="00ED79B6" w:rsidRDefault="00C735D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C7B6" w14:textId="77777777" w:rsidR="00C735DC" w:rsidRPr="00ED79B6" w:rsidRDefault="00C735D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8F63" w14:textId="1228D41A" w:rsidR="00C735DC" w:rsidRDefault="00C735DC" w:rsidP="002564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DDAF3F" w14:textId="28196367" w:rsidR="00C735DC" w:rsidRDefault="00C735DC" w:rsidP="002564C2">
    <w:pPr>
      <w:rPr>
        <w:sz w:val="20"/>
      </w:rPr>
    </w:pPr>
    <w:r w:rsidRPr="007A1328">
      <w:rPr>
        <w:b/>
        <w:sz w:val="20"/>
      </w:rPr>
      <w:fldChar w:fldCharType="begin"/>
    </w:r>
    <w:r w:rsidRPr="007A1328">
      <w:rPr>
        <w:b/>
        <w:sz w:val="20"/>
      </w:rPr>
      <w:instrText xml:space="preserve"> STYLEREF CharPartNo </w:instrText>
    </w:r>
    <w:r w:rsidR="005722DF">
      <w:rPr>
        <w:b/>
        <w:sz w:val="20"/>
      </w:rPr>
      <w:fldChar w:fldCharType="separate"/>
    </w:r>
    <w:r w:rsidR="005722D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722DF">
      <w:rPr>
        <w:sz w:val="20"/>
      </w:rPr>
      <w:fldChar w:fldCharType="separate"/>
    </w:r>
    <w:r w:rsidR="005722DF">
      <w:rPr>
        <w:noProof/>
        <w:sz w:val="20"/>
      </w:rPr>
      <w:t>Special arrangement supplies of HSD pharmaceutical benefits</w:t>
    </w:r>
    <w:r>
      <w:rPr>
        <w:sz w:val="20"/>
      </w:rPr>
      <w:fldChar w:fldCharType="end"/>
    </w:r>
  </w:p>
  <w:p w14:paraId="0D98B50B" w14:textId="79A9993C" w:rsidR="00C735DC" w:rsidRPr="007A1328" w:rsidRDefault="00C735DC" w:rsidP="002564C2">
    <w:pPr>
      <w:rPr>
        <w:sz w:val="20"/>
      </w:rPr>
    </w:pPr>
    <w:r>
      <w:rPr>
        <w:b/>
        <w:sz w:val="20"/>
      </w:rPr>
      <w:fldChar w:fldCharType="begin"/>
    </w:r>
    <w:r>
      <w:rPr>
        <w:b/>
        <w:sz w:val="20"/>
      </w:rPr>
      <w:instrText xml:space="preserve"> STYLEREF CharDivNo </w:instrText>
    </w:r>
    <w:r w:rsidR="005722DF">
      <w:rPr>
        <w:b/>
        <w:sz w:val="20"/>
      </w:rPr>
      <w:fldChar w:fldCharType="separate"/>
    </w:r>
    <w:r w:rsidR="005722DF">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722DF">
      <w:rPr>
        <w:sz w:val="20"/>
      </w:rPr>
      <w:fldChar w:fldCharType="separate"/>
    </w:r>
    <w:r w:rsidR="005722DF">
      <w:rPr>
        <w:noProof/>
        <w:sz w:val="20"/>
      </w:rPr>
      <w:t>Prescribing of HSD pharmaceutical benefits</w:t>
    </w:r>
    <w:r>
      <w:rPr>
        <w:sz w:val="20"/>
      </w:rPr>
      <w:fldChar w:fldCharType="end"/>
    </w:r>
  </w:p>
  <w:p w14:paraId="36662078" w14:textId="77777777" w:rsidR="00C735DC" w:rsidRPr="007A1328" w:rsidRDefault="00C735DC" w:rsidP="004D681E">
    <w:pPr>
      <w:rPr>
        <w:b/>
        <w:sz w:val="24"/>
      </w:rPr>
    </w:pPr>
  </w:p>
  <w:p w14:paraId="06F8724A" w14:textId="1966328B" w:rsidR="00C735DC" w:rsidRPr="007A1328" w:rsidRDefault="00C735DC" w:rsidP="00BE599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722D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22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549E" w14:textId="0339CA97" w:rsidR="00C735DC" w:rsidRPr="007A1328" w:rsidRDefault="00C735DC" w:rsidP="004D681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8BE1641" w14:textId="34FB30B8" w:rsidR="00C735DC" w:rsidRPr="007A1328" w:rsidRDefault="00C735DC" w:rsidP="004D681E">
    <w:pPr>
      <w:jc w:val="right"/>
      <w:rPr>
        <w:sz w:val="20"/>
      </w:rPr>
    </w:pPr>
    <w:r w:rsidRPr="007A1328">
      <w:rPr>
        <w:sz w:val="20"/>
      </w:rPr>
      <w:fldChar w:fldCharType="begin"/>
    </w:r>
    <w:r w:rsidRPr="007A1328">
      <w:rPr>
        <w:sz w:val="20"/>
      </w:rPr>
      <w:instrText xml:space="preserve"> STYLEREF CharPartText </w:instrText>
    </w:r>
    <w:r w:rsidR="005722DF">
      <w:rPr>
        <w:sz w:val="20"/>
      </w:rPr>
      <w:fldChar w:fldCharType="separate"/>
    </w:r>
    <w:r w:rsidR="005722DF">
      <w:rPr>
        <w:noProof/>
        <w:sz w:val="20"/>
      </w:rPr>
      <w:t>Special arrangement supplies of HSD 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722DF">
      <w:rPr>
        <w:b/>
        <w:sz w:val="20"/>
      </w:rPr>
      <w:fldChar w:fldCharType="separate"/>
    </w:r>
    <w:r w:rsidR="005722DF">
      <w:rPr>
        <w:b/>
        <w:noProof/>
        <w:sz w:val="20"/>
      </w:rPr>
      <w:t>Part 2</w:t>
    </w:r>
    <w:r>
      <w:rPr>
        <w:b/>
        <w:sz w:val="20"/>
      </w:rPr>
      <w:fldChar w:fldCharType="end"/>
    </w:r>
  </w:p>
  <w:p w14:paraId="7F6881F8" w14:textId="47DCE6AB" w:rsidR="00C735DC" w:rsidRPr="007A1328" w:rsidRDefault="00C735DC" w:rsidP="004D681E">
    <w:pPr>
      <w:jc w:val="right"/>
      <w:rPr>
        <w:sz w:val="20"/>
      </w:rPr>
    </w:pPr>
    <w:r w:rsidRPr="007A1328">
      <w:rPr>
        <w:sz w:val="20"/>
      </w:rPr>
      <w:fldChar w:fldCharType="begin"/>
    </w:r>
    <w:r w:rsidRPr="007A1328">
      <w:rPr>
        <w:sz w:val="20"/>
      </w:rPr>
      <w:instrText xml:space="preserve"> STYLEREF CharDivText </w:instrText>
    </w:r>
    <w:r w:rsidR="005722DF">
      <w:rPr>
        <w:sz w:val="20"/>
      </w:rPr>
      <w:fldChar w:fldCharType="separate"/>
    </w:r>
    <w:r w:rsidR="005722DF">
      <w:rPr>
        <w:noProof/>
        <w:sz w:val="20"/>
      </w:rPr>
      <w:t>Supplying HSD pharmaceutical benefits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722DF">
      <w:rPr>
        <w:b/>
        <w:sz w:val="20"/>
      </w:rPr>
      <w:fldChar w:fldCharType="separate"/>
    </w:r>
    <w:r w:rsidR="005722DF">
      <w:rPr>
        <w:b/>
        <w:noProof/>
        <w:sz w:val="20"/>
      </w:rPr>
      <w:t>Division 3</w:t>
    </w:r>
    <w:r>
      <w:rPr>
        <w:b/>
        <w:sz w:val="20"/>
      </w:rPr>
      <w:fldChar w:fldCharType="end"/>
    </w:r>
  </w:p>
  <w:p w14:paraId="674EF66F" w14:textId="77777777" w:rsidR="00C735DC" w:rsidRPr="007A1328" w:rsidRDefault="00C735DC" w:rsidP="004D681E">
    <w:pPr>
      <w:jc w:val="right"/>
      <w:rPr>
        <w:b/>
        <w:sz w:val="24"/>
      </w:rPr>
    </w:pPr>
  </w:p>
  <w:p w14:paraId="5B50FD87" w14:textId="4A437B55" w:rsidR="00C735DC" w:rsidRPr="007A1328" w:rsidRDefault="00C735DC" w:rsidP="00BE599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722D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722DF">
      <w:rPr>
        <w:noProof/>
        <w:sz w:val="24"/>
      </w:rPr>
      <w:t>24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3AB6" w14:textId="77777777" w:rsidR="00C735DC" w:rsidRPr="007A1328" w:rsidRDefault="00C735DC" w:rsidP="004D6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581FFA"/>
    <w:multiLevelType w:val="hybridMultilevel"/>
    <w:tmpl w:val="D54C451E"/>
    <w:lvl w:ilvl="0" w:tplc="B49EB21C">
      <w:numFmt w:val="bullet"/>
      <w:lvlText w:val=""/>
      <w:lvlJc w:val="left"/>
      <w:pPr>
        <w:ind w:left="2628" w:hanging="360"/>
      </w:pPr>
      <w:rPr>
        <w:rFonts w:ascii="Symbol" w:eastAsia="Times New Roman" w:hAnsi="Symbol" w:cs="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4F7DC7"/>
    <w:multiLevelType w:val="hybridMultilevel"/>
    <w:tmpl w:val="2E5848C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E6A026A"/>
    <w:multiLevelType w:val="hybridMultilevel"/>
    <w:tmpl w:val="54080FA4"/>
    <w:lvl w:ilvl="0" w:tplc="B49EB21C">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57F93986"/>
    <w:multiLevelType w:val="hybridMultilevel"/>
    <w:tmpl w:val="7DD0152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9274F"/>
    <w:multiLevelType w:val="multilevel"/>
    <w:tmpl w:val="AB020324"/>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324515"/>
    <w:multiLevelType w:val="multilevel"/>
    <w:tmpl w:val="AB020324"/>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4"/>
  </w:num>
  <w:num w:numId="16">
    <w:abstractNumId w:val="10"/>
  </w:num>
  <w:num w:numId="17">
    <w:abstractNumId w:val="20"/>
  </w:num>
  <w:num w:numId="18">
    <w:abstractNumId w:val="19"/>
  </w:num>
  <w:num w:numId="19">
    <w:abstractNumId w:val="18"/>
  </w:num>
  <w:num w:numId="20">
    <w:abstractNumId w:val="15"/>
  </w:num>
  <w:num w:numId="21">
    <w:abstractNumId w:val="22"/>
  </w:num>
  <w:num w:numId="22">
    <w:abstractNumId w:val="23"/>
  </w:num>
  <w:num w:numId="23">
    <w:abstractNumId w:val="24"/>
  </w:num>
  <w:num w:numId="24">
    <w:abstractNumId w:val="2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2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abstractNumId w:val="25"/>
  </w:num>
  <w:num w:numId="27">
    <w:abstractNumId w:val="17"/>
  </w:num>
  <w:num w:numId="28">
    <w:abstractNumId w:val="21"/>
  </w:num>
  <w:num w:numId="29">
    <w:abstractNumId w:val="13"/>
  </w:num>
  <w:num w:numId="30">
    <w:abstractNumId w:val="26"/>
  </w:num>
  <w:num w:numId="31">
    <w:abstractNumId w:val="2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2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26"/>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D02"/>
    <w:rsid w:val="00000211"/>
    <w:rsid w:val="0000206D"/>
    <w:rsid w:val="00003428"/>
    <w:rsid w:val="000034F6"/>
    <w:rsid w:val="00004470"/>
    <w:rsid w:val="000061B9"/>
    <w:rsid w:val="000069DF"/>
    <w:rsid w:val="0001057D"/>
    <w:rsid w:val="00010BED"/>
    <w:rsid w:val="000110A3"/>
    <w:rsid w:val="000136AF"/>
    <w:rsid w:val="00014102"/>
    <w:rsid w:val="000142F1"/>
    <w:rsid w:val="000173EB"/>
    <w:rsid w:val="000212B3"/>
    <w:rsid w:val="00022238"/>
    <w:rsid w:val="00024287"/>
    <w:rsid w:val="00024CED"/>
    <w:rsid w:val="00025F05"/>
    <w:rsid w:val="00026A35"/>
    <w:rsid w:val="00027341"/>
    <w:rsid w:val="0002736E"/>
    <w:rsid w:val="00027BE0"/>
    <w:rsid w:val="00033CD5"/>
    <w:rsid w:val="00036379"/>
    <w:rsid w:val="000367B8"/>
    <w:rsid w:val="000369A9"/>
    <w:rsid w:val="0003700E"/>
    <w:rsid w:val="00040812"/>
    <w:rsid w:val="00042E1A"/>
    <w:rsid w:val="000437C1"/>
    <w:rsid w:val="00043E43"/>
    <w:rsid w:val="00043FD4"/>
    <w:rsid w:val="00044FF4"/>
    <w:rsid w:val="0005048E"/>
    <w:rsid w:val="00051B7E"/>
    <w:rsid w:val="0005271D"/>
    <w:rsid w:val="0005365D"/>
    <w:rsid w:val="00053EE3"/>
    <w:rsid w:val="00055B8A"/>
    <w:rsid w:val="000568D6"/>
    <w:rsid w:val="00056C90"/>
    <w:rsid w:val="000571AB"/>
    <w:rsid w:val="00057B83"/>
    <w:rsid w:val="00060D0D"/>
    <w:rsid w:val="000614BF"/>
    <w:rsid w:val="0006259F"/>
    <w:rsid w:val="000645BB"/>
    <w:rsid w:val="00064B85"/>
    <w:rsid w:val="00065517"/>
    <w:rsid w:val="00065F36"/>
    <w:rsid w:val="000661DC"/>
    <w:rsid w:val="00071A14"/>
    <w:rsid w:val="00071A86"/>
    <w:rsid w:val="00073AD0"/>
    <w:rsid w:val="0007542C"/>
    <w:rsid w:val="00075A07"/>
    <w:rsid w:val="0007695F"/>
    <w:rsid w:val="00076F46"/>
    <w:rsid w:val="00082A66"/>
    <w:rsid w:val="00083CB3"/>
    <w:rsid w:val="00084639"/>
    <w:rsid w:val="0008496F"/>
    <w:rsid w:val="000862D2"/>
    <w:rsid w:val="00087113"/>
    <w:rsid w:val="00087D47"/>
    <w:rsid w:val="00091363"/>
    <w:rsid w:val="0009292A"/>
    <w:rsid w:val="0009368D"/>
    <w:rsid w:val="000945E4"/>
    <w:rsid w:val="00094659"/>
    <w:rsid w:val="000A1F8E"/>
    <w:rsid w:val="000A32BD"/>
    <w:rsid w:val="000A382E"/>
    <w:rsid w:val="000A4F8A"/>
    <w:rsid w:val="000A7DB2"/>
    <w:rsid w:val="000B0A11"/>
    <w:rsid w:val="000B14CF"/>
    <w:rsid w:val="000B49C6"/>
    <w:rsid w:val="000B58FA"/>
    <w:rsid w:val="000B5EE2"/>
    <w:rsid w:val="000B6459"/>
    <w:rsid w:val="000B6A22"/>
    <w:rsid w:val="000B7004"/>
    <w:rsid w:val="000B748E"/>
    <w:rsid w:val="000B7E30"/>
    <w:rsid w:val="000C1898"/>
    <w:rsid w:val="000C190D"/>
    <w:rsid w:val="000C2086"/>
    <w:rsid w:val="000C20C6"/>
    <w:rsid w:val="000C3639"/>
    <w:rsid w:val="000C5009"/>
    <w:rsid w:val="000C57D1"/>
    <w:rsid w:val="000C702D"/>
    <w:rsid w:val="000D05EF"/>
    <w:rsid w:val="000D062E"/>
    <w:rsid w:val="000D1512"/>
    <w:rsid w:val="000D2CD8"/>
    <w:rsid w:val="000D39C2"/>
    <w:rsid w:val="000D4508"/>
    <w:rsid w:val="000D60EA"/>
    <w:rsid w:val="000D6FD1"/>
    <w:rsid w:val="000E21CE"/>
    <w:rsid w:val="000E2261"/>
    <w:rsid w:val="000E2607"/>
    <w:rsid w:val="000E4159"/>
    <w:rsid w:val="000E4B5B"/>
    <w:rsid w:val="000E4FB0"/>
    <w:rsid w:val="000F2106"/>
    <w:rsid w:val="000F21C1"/>
    <w:rsid w:val="000F2240"/>
    <w:rsid w:val="000F6114"/>
    <w:rsid w:val="000F620C"/>
    <w:rsid w:val="000F7E49"/>
    <w:rsid w:val="001002ED"/>
    <w:rsid w:val="00100D3B"/>
    <w:rsid w:val="00100D65"/>
    <w:rsid w:val="001023C3"/>
    <w:rsid w:val="00102815"/>
    <w:rsid w:val="00103162"/>
    <w:rsid w:val="00103B26"/>
    <w:rsid w:val="0010581E"/>
    <w:rsid w:val="001071FD"/>
    <w:rsid w:val="001072ED"/>
    <w:rsid w:val="0010745C"/>
    <w:rsid w:val="0011052E"/>
    <w:rsid w:val="00110E4B"/>
    <w:rsid w:val="0011143B"/>
    <w:rsid w:val="0011471E"/>
    <w:rsid w:val="001149B7"/>
    <w:rsid w:val="00115647"/>
    <w:rsid w:val="00115665"/>
    <w:rsid w:val="00115D2E"/>
    <w:rsid w:val="00116192"/>
    <w:rsid w:val="001173EC"/>
    <w:rsid w:val="00122128"/>
    <w:rsid w:val="00124D54"/>
    <w:rsid w:val="00127792"/>
    <w:rsid w:val="001279D1"/>
    <w:rsid w:val="00127DD5"/>
    <w:rsid w:val="00132616"/>
    <w:rsid w:val="00132CEB"/>
    <w:rsid w:val="00132D9B"/>
    <w:rsid w:val="00133E1E"/>
    <w:rsid w:val="00134961"/>
    <w:rsid w:val="001356DA"/>
    <w:rsid w:val="00140CF6"/>
    <w:rsid w:val="00142832"/>
    <w:rsid w:val="00142B62"/>
    <w:rsid w:val="00143204"/>
    <w:rsid w:val="0014539C"/>
    <w:rsid w:val="00146812"/>
    <w:rsid w:val="00146D0B"/>
    <w:rsid w:val="00147AEC"/>
    <w:rsid w:val="001503A9"/>
    <w:rsid w:val="00152E3D"/>
    <w:rsid w:val="00153893"/>
    <w:rsid w:val="001556AA"/>
    <w:rsid w:val="00157B8B"/>
    <w:rsid w:val="00163972"/>
    <w:rsid w:val="001648BD"/>
    <w:rsid w:val="00164DDD"/>
    <w:rsid w:val="00165889"/>
    <w:rsid w:val="001663A4"/>
    <w:rsid w:val="00166C2F"/>
    <w:rsid w:val="0016763C"/>
    <w:rsid w:val="00170696"/>
    <w:rsid w:val="00170F5A"/>
    <w:rsid w:val="0017547C"/>
    <w:rsid w:val="001773B8"/>
    <w:rsid w:val="001809D7"/>
    <w:rsid w:val="00180AB4"/>
    <w:rsid w:val="00181D55"/>
    <w:rsid w:val="00182472"/>
    <w:rsid w:val="0018419E"/>
    <w:rsid w:val="00184BE2"/>
    <w:rsid w:val="00186A3C"/>
    <w:rsid w:val="00190D02"/>
    <w:rsid w:val="001913DB"/>
    <w:rsid w:val="00191D5F"/>
    <w:rsid w:val="00193169"/>
    <w:rsid w:val="001938B1"/>
    <w:rsid w:val="001939E1"/>
    <w:rsid w:val="00194B0E"/>
    <w:rsid w:val="00194C3E"/>
    <w:rsid w:val="00195382"/>
    <w:rsid w:val="001A1467"/>
    <w:rsid w:val="001A1EB0"/>
    <w:rsid w:val="001A1FF3"/>
    <w:rsid w:val="001A38B2"/>
    <w:rsid w:val="001A6A99"/>
    <w:rsid w:val="001A6F31"/>
    <w:rsid w:val="001A7319"/>
    <w:rsid w:val="001A743B"/>
    <w:rsid w:val="001B0D5B"/>
    <w:rsid w:val="001B2BFB"/>
    <w:rsid w:val="001B68C4"/>
    <w:rsid w:val="001B68EF"/>
    <w:rsid w:val="001B7602"/>
    <w:rsid w:val="001B7697"/>
    <w:rsid w:val="001B772C"/>
    <w:rsid w:val="001C1630"/>
    <w:rsid w:val="001C61C5"/>
    <w:rsid w:val="001C69C4"/>
    <w:rsid w:val="001C7C14"/>
    <w:rsid w:val="001D0B87"/>
    <w:rsid w:val="001D0EFF"/>
    <w:rsid w:val="001D37EF"/>
    <w:rsid w:val="001D39ED"/>
    <w:rsid w:val="001D7482"/>
    <w:rsid w:val="001E0F91"/>
    <w:rsid w:val="001E224D"/>
    <w:rsid w:val="001E3590"/>
    <w:rsid w:val="001E7407"/>
    <w:rsid w:val="001F1908"/>
    <w:rsid w:val="001F1FBC"/>
    <w:rsid w:val="001F3FBF"/>
    <w:rsid w:val="001F4ECF"/>
    <w:rsid w:val="001F50A4"/>
    <w:rsid w:val="001F58FE"/>
    <w:rsid w:val="001F5D5E"/>
    <w:rsid w:val="001F6065"/>
    <w:rsid w:val="001F6219"/>
    <w:rsid w:val="001F6A01"/>
    <w:rsid w:val="001F6CD4"/>
    <w:rsid w:val="002006D0"/>
    <w:rsid w:val="00201C0C"/>
    <w:rsid w:val="002023E0"/>
    <w:rsid w:val="00206C4D"/>
    <w:rsid w:val="002070FD"/>
    <w:rsid w:val="00207A2B"/>
    <w:rsid w:val="0021053C"/>
    <w:rsid w:val="002115C1"/>
    <w:rsid w:val="0021272A"/>
    <w:rsid w:val="00212C57"/>
    <w:rsid w:val="00214258"/>
    <w:rsid w:val="00214278"/>
    <w:rsid w:val="002150FD"/>
    <w:rsid w:val="00215AF1"/>
    <w:rsid w:val="002162E1"/>
    <w:rsid w:val="00221594"/>
    <w:rsid w:val="00221876"/>
    <w:rsid w:val="002228AA"/>
    <w:rsid w:val="00222A0E"/>
    <w:rsid w:val="00223BF5"/>
    <w:rsid w:val="002252C3"/>
    <w:rsid w:val="00226562"/>
    <w:rsid w:val="002267EC"/>
    <w:rsid w:val="00226B12"/>
    <w:rsid w:val="00231612"/>
    <w:rsid w:val="002318FE"/>
    <w:rsid w:val="002321E8"/>
    <w:rsid w:val="00232291"/>
    <w:rsid w:val="00233E97"/>
    <w:rsid w:val="00235D06"/>
    <w:rsid w:val="00236EEC"/>
    <w:rsid w:val="0024010F"/>
    <w:rsid w:val="002403D1"/>
    <w:rsid w:val="00240749"/>
    <w:rsid w:val="002420EB"/>
    <w:rsid w:val="00243018"/>
    <w:rsid w:val="00246B66"/>
    <w:rsid w:val="00246E35"/>
    <w:rsid w:val="0025030D"/>
    <w:rsid w:val="00251313"/>
    <w:rsid w:val="002540F0"/>
    <w:rsid w:val="00254945"/>
    <w:rsid w:val="002564A4"/>
    <w:rsid w:val="002564C2"/>
    <w:rsid w:val="00256E48"/>
    <w:rsid w:val="002572A9"/>
    <w:rsid w:val="0026055A"/>
    <w:rsid w:val="00260EC2"/>
    <w:rsid w:val="0026100E"/>
    <w:rsid w:val="00261428"/>
    <w:rsid w:val="00262A13"/>
    <w:rsid w:val="002633BF"/>
    <w:rsid w:val="00264962"/>
    <w:rsid w:val="00266D8F"/>
    <w:rsid w:val="0026736C"/>
    <w:rsid w:val="0026774A"/>
    <w:rsid w:val="002720D8"/>
    <w:rsid w:val="002723FF"/>
    <w:rsid w:val="00272D02"/>
    <w:rsid w:val="00273883"/>
    <w:rsid w:val="00273BB1"/>
    <w:rsid w:val="00274054"/>
    <w:rsid w:val="00274472"/>
    <w:rsid w:val="00276936"/>
    <w:rsid w:val="00281308"/>
    <w:rsid w:val="00282C33"/>
    <w:rsid w:val="00283E35"/>
    <w:rsid w:val="002842F9"/>
    <w:rsid w:val="00284719"/>
    <w:rsid w:val="00284BCA"/>
    <w:rsid w:val="0028523B"/>
    <w:rsid w:val="002854B4"/>
    <w:rsid w:val="002863A0"/>
    <w:rsid w:val="00286B97"/>
    <w:rsid w:val="00291EE7"/>
    <w:rsid w:val="00291FB6"/>
    <w:rsid w:val="00292668"/>
    <w:rsid w:val="00293CEC"/>
    <w:rsid w:val="002946EC"/>
    <w:rsid w:val="00297ECB"/>
    <w:rsid w:val="002A0085"/>
    <w:rsid w:val="002A05DA"/>
    <w:rsid w:val="002A3C3C"/>
    <w:rsid w:val="002A44F6"/>
    <w:rsid w:val="002A460D"/>
    <w:rsid w:val="002A6327"/>
    <w:rsid w:val="002A7B2E"/>
    <w:rsid w:val="002A7BCF"/>
    <w:rsid w:val="002A7E61"/>
    <w:rsid w:val="002B04F5"/>
    <w:rsid w:val="002B2518"/>
    <w:rsid w:val="002B3056"/>
    <w:rsid w:val="002B351F"/>
    <w:rsid w:val="002B39B9"/>
    <w:rsid w:val="002B3C88"/>
    <w:rsid w:val="002B5A5A"/>
    <w:rsid w:val="002B5D68"/>
    <w:rsid w:val="002B720F"/>
    <w:rsid w:val="002B7A29"/>
    <w:rsid w:val="002C123B"/>
    <w:rsid w:val="002C130E"/>
    <w:rsid w:val="002C14DC"/>
    <w:rsid w:val="002C3EFA"/>
    <w:rsid w:val="002C4A40"/>
    <w:rsid w:val="002C4C12"/>
    <w:rsid w:val="002D043A"/>
    <w:rsid w:val="002D06E6"/>
    <w:rsid w:val="002D10D8"/>
    <w:rsid w:val="002D3819"/>
    <w:rsid w:val="002D5524"/>
    <w:rsid w:val="002D6218"/>
    <w:rsid w:val="002D6224"/>
    <w:rsid w:val="002D6E82"/>
    <w:rsid w:val="002D73EA"/>
    <w:rsid w:val="002D7A4F"/>
    <w:rsid w:val="002E02BD"/>
    <w:rsid w:val="002E177C"/>
    <w:rsid w:val="002E3480"/>
    <w:rsid w:val="002E3F4B"/>
    <w:rsid w:val="002E434C"/>
    <w:rsid w:val="002E44A1"/>
    <w:rsid w:val="002E6E77"/>
    <w:rsid w:val="002E7C9B"/>
    <w:rsid w:val="002F111F"/>
    <w:rsid w:val="002F21E8"/>
    <w:rsid w:val="002F375D"/>
    <w:rsid w:val="002F3E66"/>
    <w:rsid w:val="002F66A7"/>
    <w:rsid w:val="002F6709"/>
    <w:rsid w:val="002F67A9"/>
    <w:rsid w:val="00300085"/>
    <w:rsid w:val="00300FAA"/>
    <w:rsid w:val="00304491"/>
    <w:rsid w:val="00304F8B"/>
    <w:rsid w:val="00305234"/>
    <w:rsid w:val="00305DB4"/>
    <w:rsid w:val="00311EE1"/>
    <w:rsid w:val="00313F71"/>
    <w:rsid w:val="00314E89"/>
    <w:rsid w:val="00314FE4"/>
    <w:rsid w:val="003151E4"/>
    <w:rsid w:val="00317421"/>
    <w:rsid w:val="0032007B"/>
    <w:rsid w:val="003207A5"/>
    <w:rsid w:val="003230E8"/>
    <w:rsid w:val="00324288"/>
    <w:rsid w:val="00334D26"/>
    <w:rsid w:val="00334D7D"/>
    <w:rsid w:val="003354D2"/>
    <w:rsid w:val="00335BC6"/>
    <w:rsid w:val="00336E5A"/>
    <w:rsid w:val="003413D6"/>
    <w:rsid w:val="003415D3"/>
    <w:rsid w:val="0034256E"/>
    <w:rsid w:val="003428A1"/>
    <w:rsid w:val="00343BFB"/>
    <w:rsid w:val="0034455C"/>
    <w:rsid w:val="00344701"/>
    <w:rsid w:val="0034668B"/>
    <w:rsid w:val="00347549"/>
    <w:rsid w:val="003506F5"/>
    <w:rsid w:val="0035128F"/>
    <w:rsid w:val="0035214A"/>
    <w:rsid w:val="00352A50"/>
    <w:rsid w:val="00352B0F"/>
    <w:rsid w:val="0035342A"/>
    <w:rsid w:val="00356690"/>
    <w:rsid w:val="00360459"/>
    <w:rsid w:val="003607ED"/>
    <w:rsid w:val="00361CE9"/>
    <w:rsid w:val="00363025"/>
    <w:rsid w:val="003634A5"/>
    <w:rsid w:val="003640D7"/>
    <w:rsid w:val="00365C1A"/>
    <w:rsid w:val="00365F36"/>
    <w:rsid w:val="00366F36"/>
    <w:rsid w:val="00367223"/>
    <w:rsid w:val="00367A70"/>
    <w:rsid w:val="00367BDE"/>
    <w:rsid w:val="00371DB5"/>
    <w:rsid w:val="003739C6"/>
    <w:rsid w:val="00374866"/>
    <w:rsid w:val="00374CD3"/>
    <w:rsid w:val="00375059"/>
    <w:rsid w:val="0037528A"/>
    <w:rsid w:val="00375702"/>
    <w:rsid w:val="003760D6"/>
    <w:rsid w:val="00376BA4"/>
    <w:rsid w:val="00377845"/>
    <w:rsid w:val="00381952"/>
    <w:rsid w:val="003825DE"/>
    <w:rsid w:val="00382CE1"/>
    <w:rsid w:val="003836AC"/>
    <w:rsid w:val="003838A8"/>
    <w:rsid w:val="003878EA"/>
    <w:rsid w:val="0039203E"/>
    <w:rsid w:val="0039306E"/>
    <w:rsid w:val="003963FF"/>
    <w:rsid w:val="0039768D"/>
    <w:rsid w:val="003A0136"/>
    <w:rsid w:val="003A05B6"/>
    <w:rsid w:val="003A285D"/>
    <w:rsid w:val="003A3A28"/>
    <w:rsid w:val="003A411C"/>
    <w:rsid w:val="003A72B6"/>
    <w:rsid w:val="003B1ACD"/>
    <w:rsid w:val="003B34D1"/>
    <w:rsid w:val="003B65A9"/>
    <w:rsid w:val="003B77A7"/>
    <w:rsid w:val="003C02E8"/>
    <w:rsid w:val="003C0922"/>
    <w:rsid w:val="003C0A3D"/>
    <w:rsid w:val="003C286D"/>
    <w:rsid w:val="003C39F7"/>
    <w:rsid w:val="003C3A09"/>
    <w:rsid w:val="003C6231"/>
    <w:rsid w:val="003D0BFE"/>
    <w:rsid w:val="003D312F"/>
    <w:rsid w:val="003D5700"/>
    <w:rsid w:val="003D7D16"/>
    <w:rsid w:val="003E047E"/>
    <w:rsid w:val="003E082A"/>
    <w:rsid w:val="003E341B"/>
    <w:rsid w:val="003E451E"/>
    <w:rsid w:val="003E7161"/>
    <w:rsid w:val="003F0B33"/>
    <w:rsid w:val="003F152C"/>
    <w:rsid w:val="003F5224"/>
    <w:rsid w:val="003F687C"/>
    <w:rsid w:val="003F7CB2"/>
    <w:rsid w:val="003F7E50"/>
    <w:rsid w:val="00401B8F"/>
    <w:rsid w:val="0040360A"/>
    <w:rsid w:val="00403CB1"/>
    <w:rsid w:val="00404364"/>
    <w:rsid w:val="00405095"/>
    <w:rsid w:val="0040658A"/>
    <w:rsid w:val="00410C74"/>
    <w:rsid w:val="004116CD"/>
    <w:rsid w:val="004144E1"/>
    <w:rsid w:val="004144EC"/>
    <w:rsid w:val="004146AB"/>
    <w:rsid w:val="00414D7B"/>
    <w:rsid w:val="00415386"/>
    <w:rsid w:val="00416D1F"/>
    <w:rsid w:val="00417B9F"/>
    <w:rsid w:val="00417DFE"/>
    <w:rsid w:val="00417EB9"/>
    <w:rsid w:val="00421EEE"/>
    <w:rsid w:val="00424CA9"/>
    <w:rsid w:val="00425335"/>
    <w:rsid w:val="0042736C"/>
    <w:rsid w:val="004276DB"/>
    <w:rsid w:val="00427B48"/>
    <w:rsid w:val="0043091C"/>
    <w:rsid w:val="0043096E"/>
    <w:rsid w:val="004315AC"/>
    <w:rsid w:val="00431E9B"/>
    <w:rsid w:val="0043376F"/>
    <w:rsid w:val="00435A5C"/>
    <w:rsid w:val="00435D90"/>
    <w:rsid w:val="004379E3"/>
    <w:rsid w:val="0044015E"/>
    <w:rsid w:val="00440AFB"/>
    <w:rsid w:val="0044144A"/>
    <w:rsid w:val="004424F8"/>
    <w:rsid w:val="0044291A"/>
    <w:rsid w:val="0044370B"/>
    <w:rsid w:val="0044450D"/>
    <w:rsid w:val="00444ABD"/>
    <w:rsid w:val="00447CFC"/>
    <w:rsid w:val="0045136A"/>
    <w:rsid w:val="00451948"/>
    <w:rsid w:val="004538F1"/>
    <w:rsid w:val="00453CF6"/>
    <w:rsid w:val="00454474"/>
    <w:rsid w:val="0045522D"/>
    <w:rsid w:val="0045566F"/>
    <w:rsid w:val="00456034"/>
    <w:rsid w:val="00456A9F"/>
    <w:rsid w:val="00461075"/>
    <w:rsid w:val="00461C81"/>
    <w:rsid w:val="00463672"/>
    <w:rsid w:val="00465B0E"/>
    <w:rsid w:val="00466353"/>
    <w:rsid w:val="00466505"/>
    <w:rsid w:val="00467661"/>
    <w:rsid w:val="0047016E"/>
    <w:rsid w:val="004705B7"/>
    <w:rsid w:val="00470F02"/>
    <w:rsid w:val="00472DBE"/>
    <w:rsid w:val="00473151"/>
    <w:rsid w:val="0047359F"/>
    <w:rsid w:val="00474749"/>
    <w:rsid w:val="00474A19"/>
    <w:rsid w:val="00477B07"/>
    <w:rsid w:val="004807BA"/>
    <w:rsid w:val="00480EF7"/>
    <w:rsid w:val="004823B8"/>
    <w:rsid w:val="00482CB4"/>
    <w:rsid w:val="00483BD3"/>
    <w:rsid w:val="00484CB2"/>
    <w:rsid w:val="00491505"/>
    <w:rsid w:val="00492219"/>
    <w:rsid w:val="00494250"/>
    <w:rsid w:val="004950AF"/>
    <w:rsid w:val="00495B52"/>
    <w:rsid w:val="00496C56"/>
    <w:rsid w:val="00496F97"/>
    <w:rsid w:val="004A2982"/>
    <w:rsid w:val="004A2AA2"/>
    <w:rsid w:val="004A31BF"/>
    <w:rsid w:val="004A47FF"/>
    <w:rsid w:val="004A62D6"/>
    <w:rsid w:val="004A7628"/>
    <w:rsid w:val="004A7D7D"/>
    <w:rsid w:val="004B19DE"/>
    <w:rsid w:val="004B46D4"/>
    <w:rsid w:val="004B5654"/>
    <w:rsid w:val="004C0D05"/>
    <w:rsid w:val="004C31FB"/>
    <w:rsid w:val="004C48BD"/>
    <w:rsid w:val="004C6AE8"/>
    <w:rsid w:val="004C6C82"/>
    <w:rsid w:val="004C753E"/>
    <w:rsid w:val="004C774F"/>
    <w:rsid w:val="004C7828"/>
    <w:rsid w:val="004D099D"/>
    <w:rsid w:val="004D1804"/>
    <w:rsid w:val="004D1AAE"/>
    <w:rsid w:val="004D1CBA"/>
    <w:rsid w:val="004D3593"/>
    <w:rsid w:val="004D57FB"/>
    <w:rsid w:val="004D67C8"/>
    <w:rsid w:val="004D681E"/>
    <w:rsid w:val="004D6C4B"/>
    <w:rsid w:val="004D7146"/>
    <w:rsid w:val="004D733A"/>
    <w:rsid w:val="004E063A"/>
    <w:rsid w:val="004E1DAA"/>
    <w:rsid w:val="004E3385"/>
    <w:rsid w:val="004E3ED1"/>
    <w:rsid w:val="004E43C0"/>
    <w:rsid w:val="004E5C16"/>
    <w:rsid w:val="004E5D92"/>
    <w:rsid w:val="004E5FE5"/>
    <w:rsid w:val="004E7BEC"/>
    <w:rsid w:val="004E7EA3"/>
    <w:rsid w:val="004F3A61"/>
    <w:rsid w:val="004F444D"/>
    <w:rsid w:val="004F48EC"/>
    <w:rsid w:val="004F53FA"/>
    <w:rsid w:val="004F63EB"/>
    <w:rsid w:val="004F69DB"/>
    <w:rsid w:val="004F7814"/>
    <w:rsid w:val="005008B3"/>
    <w:rsid w:val="0050289D"/>
    <w:rsid w:val="00503989"/>
    <w:rsid w:val="00505992"/>
    <w:rsid w:val="00505D3D"/>
    <w:rsid w:val="005068B5"/>
    <w:rsid w:val="00506AF6"/>
    <w:rsid w:val="00512490"/>
    <w:rsid w:val="00512B53"/>
    <w:rsid w:val="00512CDB"/>
    <w:rsid w:val="0051394D"/>
    <w:rsid w:val="005141C8"/>
    <w:rsid w:val="00515018"/>
    <w:rsid w:val="00516B8D"/>
    <w:rsid w:val="00516D4F"/>
    <w:rsid w:val="0051730C"/>
    <w:rsid w:val="00520779"/>
    <w:rsid w:val="0052158E"/>
    <w:rsid w:val="0052372C"/>
    <w:rsid w:val="00524CEC"/>
    <w:rsid w:val="005251F2"/>
    <w:rsid w:val="00525348"/>
    <w:rsid w:val="0053115C"/>
    <w:rsid w:val="00534D2E"/>
    <w:rsid w:val="0053676B"/>
    <w:rsid w:val="0053766F"/>
    <w:rsid w:val="00537FBC"/>
    <w:rsid w:val="00541D87"/>
    <w:rsid w:val="00541E98"/>
    <w:rsid w:val="005455E0"/>
    <w:rsid w:val="00552164"/>
    <w:rsid w:val="0055274A"/>
    <w:rsid w:val="0055284E"/>
    <w:rsid w:val="00553B5F"/>
    <w:rsid w:val="00554842"/>
    <w:rsid w:val="00554954"/>
    <w:rsid w:val="00556913"/>
    <w:rsid w:val="005574D1"/>
    <w:rsid w:val="0055757A"/>
    <w:rsid w:val="005602F1"/>
    <w:rsid w:val="0056048B"/>
    <w:rsid w:val="00562EA9"/>
    <w:rsid w:val="00564951"/>
    <w:rsid w:val="00565765"/>
    <w:rsid w:val="00566E0C"/>
    <w:rsid w:val="0057112A"/>
    <w:rsid w:val="0057152A"/>
    <w:rsid w:val="00571CD9"/>
    <w:rsid w:val="005722DF"/>
    <w:rsid w:val="00572D56"/>
    <w:rsid w:val="0057435B"/>
    <w:rsid w:val="00575214"/>
    <w:rsid w:val="00575608"/>
    <w:rsid w:val="0057711D"/>
    <w:rsid w:val="00577C12"/>
    <w:rsid w:val="00580C3F"/>
    <w:rsid w:val="00584811"/>
    <w:rsid w:val="00584DEC"/>
    <w:rsid w:val="00585784"/>
    <w:rsid w:val="005870FC"/>
    <w:rsid w:val="005878CA"/>
    <w:rsid w:val="005913D3"/>
    <w:rsid w:val="00592DAA"/>
    <w:rsid w:val="00593AA6"/>
    <w:rsid w:val="00593F05"/>
    <w:rsid w:val="00594161"/>
    <w:rsid w:val="00594749"/>
    <w:rsid w:val="00595FED"/>
    <w:rsid w:val="005974D1"/>
    <w:rsid w:val="005A1227"/>
    <w:rsid w:val="005A1962"/>
    <w:rsid w:val="005A2B82"/>
    <w:rsid w:val="005A34F9"/>
    <w:rsid w:val="005A3572"/>
    <w:rsid w:val="005A4943"/>
    <w:rsid w:val="005A4A04"/>
    <w:rsid w:val="005B35AC"/>
    <w:rsid w:val="005B4067"/>
    <w:rsid w:val="005B71FA"/>
    <w:rsid w:val="005C3F41"/>
    <w:rsid w:val="005D04D0"/>
    <w:rsid w:val="005D2A52"/>
    <w:rsid w:val="005D2D09"/>
    <w:rsid w:val="005D437C"/>
    <w:rsid w:val="005D43EA"/>
    <w:rsid w:val="005D5E0D"/>
    <w:rsid w:val="005D6845"/>
    <w:rsid w:val="005D6E16"/>
    <w:rsid w:val="005D796E"/>
    <w:rsid w:val="005D7994"/>
    <w:rsid w:val="005E1E3B"/>
    <w:rsid w:val="005E2762"/>
    <w:rsid w:val="005E2D24"/>
    <w:rsid w:val="005E36D6"/>
    <w:rsid w:val="005E3BB3"/>
    <w:rsid w:val="005E559F"/>
    <w:rsid w:val="005E6CB2"/>
    <w:rsid w:val="005F0118"/>
    <w:rsid w:val="005F27FA"/>
    <w:rsid w:val="005F355B"/>
    <w:rsid w:val="005F407C"/>
    <w:rsid w:val="005F5DA2"/>
    <w:rsid w:val="005F60CE"/>
    <w:rsid w:val="005F77A4"/>
    <w:rsid w:val="005F7B84"/>
    <w:rsid w:val="00600219"/>
    <w:rsid w:val="00602ED7"/>
    <w:rsid w:val="006033FC"/>
    <w:rsid w:val="00603DC4"/>
    <w:rsid w:val="00603E73"/>
    <w:rsid w:val="00604421"/>
    <w:rsid w:val="00604CB3"/>
    <w:rsid w:val="00605C7B"/>
    <w:rsid w:val="006078D4"/>
    <w:rsid w:val="006105AF"/>
    <w:rsid w:val="0061068E"/>
    <w:rsid w:val="00613FB6"/>
    <w:rsid w:val="00615D53"/>
    <w:rsid w:val="00617ECD"/>
    <w:rsid w:val="00620076"/>
    <w:rsid w:val="0062015B"/>
    <w:rsid w:val="0062115B"/>
    <w:rsid w:val="0062175C"/>
    <w:rsid w:val="006225B2"/>
    <w:rsid w:val="00622E25"/>
    <w:rsid w:val="00625CE4"/>
    <w:rsid w:val="00626EA8"/>
    <w:rsid w:val="006338E5"/>
    <w:rsid w:val="00633F73"/>
    <w:rsid w:val="006347C7"/>
    <w:rsid w:val="00634C1E"/>
    <w:rsid w:val="00635021"/>
    <w:rsid w:val="00635AD8"/>
    <w:rsid w:val="00637B3E"/>
    <w:rsid w:val="00637F56"/>
    <w:rsid w:val="00645AD9"/>
    <w:rsid w:val="006511CB"/>
    <w:rsid w:val="006517D8"/>
    <w:rsid w:val="00651C04"/>
    <w:rsid w:val="00651F0A"/>
    <w:rsid w:val="00656445"/>
    <w:rsid w:val="006624ED"/>
    <w:rsid w:val="006625FC"/>
    <w:rsid w:val="00662920"/>
    <w:rsid w:val="006635D5"/>
    <w:rsid w:val="006636F4"/>
    <w:rsid w:val="00664730"/>
    <w:rsid w:val="00666777"/>
    <w:rsid w:val="00666A0F"/>
    <w:rsid w:val="006675BD"/>
    <w:rsid w:val="00670651"/>
    <w:rsid w:val="00670EA1"/>
    <w:rsid w:val="006716AA"/>
    <w:rsid w:val="006762A5"/>
    <w:rsid w:val="00677CC2"/>
    <w:rsid w:val="0068050E"/>
    <w:rsid w:val="00680615"/>
    <w:rsid w:val="00684A58"/>
    <w:rsid w:val="006866B9"/>
    <w:rsid w:val="00687702"/>
    <w:rsid w:val="00687BE5"/>
    <w:rsid w:val="006905DE"/>
    <w:rsid w:val="0069207B"/>
    <w:rsid w:val="00692CFA"/>
    <w:rsid w:val="006944A8"/>
    <w:rsid w:val="006A0257"/>
    <w:rsid w:val="006A1E2A"/>
    <w:rsid w:val="006A6220"/>
    <w:rsid w:val="006A794D"/>
    <w:rsid w:val="006B0D76"/>
    <w:rsid w:val="006B1B30"/>
    <w:rsid w:val="006B44AE"/>
    <w:rsid w:val="006B5789"/>
    <w:rsid w:val="006B794C"/>
    <w:rsid w:val="006B7C22"/>
    <w:rsid w:val="006C17AC"/>
    <w:rsid w:val="006C26BF"/>
    <w:rsid w:val="006C30C5"/>
    <w:rsid w:val="006C3A6B"/>
    <w:rsid w:val="006C3E2D"/>
    <w:rsid w:val="006C5899"/>
    <w:rsid w:val="006C69F1"/>
    <w:rsid w:val="006C7F8C"/>
    <w:rsid w:val="006D0448"/>
    <w:rsid w:val="006D1FC9"/>
    <w:rsid w:val="006D2729"/>
    <w:rsid w:val="006D33F4"/>
    <w:rsid w:val="006D52A9"/>
    <w:rsid w:val="006D64B2"/>
    <w:rsid w:val="006E02F7"/>
    <w:rsid w:val="006E0B5C"/>
    <w:rsid w:val="006E0E36"/>
    <w:rsid w:val="006E17AD"/>
    <w:rsid w:val="006E1C59"/>
    <w:rsid w:val="006E29BF"/>
    <w:rsid w:val="006E3141"/>
    <w:rsid w:val="006E5AC1"/>
    <w:rsid w:val="006E6246"/>
    <w:rsid w:val="006E6BAD"/>
    <w:rsid w:val="006E6FE0"/>
    <w:rsid w:val="006F0454"/>
    <w:rsid w:val="006F318F"/>
    <w:rsid w:val="006F339D"/>
    <w:rsid w:val="006F3DC6"/>
    <w:rsid w:val="006F4226"/>
    <w:rsid w:val="006F6964"/>
    <w:rsid w:val="006F6A77"/>
    <w:rsid w:val="006F7375"/>
    <w:rsid w:val="006F7FE0"/>
    <w:rsid w:val="0070017E"/>
    <w:rsid w:val="007008C3"/>
    <w:rsid w:val="007008E2"/>
    <w:rsid w:val="00700B2C"/>
    <w:rsid w:val="00701D01"/>
    <w:rsid w:val="00702976"/>
    <w:rsid w:val="007033FC"/>
    <w:rsid w:val="007050A2"/>
    <w:rsid w:val="00705AD8"/>
    <w:rsid w:val="00706833"/>
    <w:rsid w:val="00706888"/>
    <w:rsid w:val="0070698D"/>
    <w:rsid w:val="00706EA7"/>
    <w:rsid w:val="00707BAA"/>
    <w:rsid w:val="00710A8A"/>
    <w:rsid w:val="00710C07"/>
    <w:rsid w:val="007113CA"/>
    <w:rsid w:val="00711BA9"/>
    <w:rsid w:val="00712989"/>
    <w:rsid w:val="00713084"/>
    <w:rsid w:val="00713339"/>
    <w:rsid w:val="00714F20"/>
    <w:rsid w:val="00715101"/>
    <w:rsid w:val="0071590F"/>
    <w:rsid w:val="00715914"/>
    <w:rsid w:val="007165B5"/>
    <w:rsid w:val="00720574"/>
    <w:rsid w:val="00721E61"/>
    <w:rsid w:val="00722EA9"/>
    <w:rsid w:val="00724081"/>
    <w:rsid w:val="007241DE"/>
    <w:rsid w:val="007243EB"/>
    <w:rsid w:val="00725BD7"/>
    <w:rsid w:val="00727AE8"/>
    <w:rsid w:val="0073026A"/>
    <w:rsid w:val="00731E00"/>
    <w:rsid w:val="00734BD3"/>
    <w:rsid w:val="00735276"/>
    <w:rsid w:val="00735974"/>
    <w:rsid w:val="00736844"/>
    <w:rsid w:val="007435F5"/>
    <w:rsid w:val="007440B7"/>
    <w:rsid w:val="007455E5"/>
    <w:rsid w:val="007465ED"/>
    <w:rsid w:val="00747DD0"/>
    <w:rsid w:val="007500C8"/>
    <w:rsid w:val="0075122D"/>
    <w:rsid w:val="00751752"/>
    <w:rsid w:val="007523D3"/>
    <w:rsid w:val="00756272"/>
    <w:rsid w:val="00761F47"/>
    <w:rsid w:val="0076380F"/>
    <w:rsid w:val="00763C9C"/>
    <w:rsid w:val="0076585F"/>
    <w:rsid w:val="00765E66"/>
    <w:rsid w:val="0076681A"/>
    <w:rsid w:val="00767336"/>
    <w:rsid w:val="007715C9"/>
    <w:rsid w:val="00771613"/>
    <w:rsid w:val="0077212B"/>
    <w:rsid w:val="0077247D"/>
    <w:rsid w:val="00774A9A"/>
    <w:rsid w:val="00774EDD"/>
    <w:rsid w:val="0077514D"/>
    <w:rsid w:val="007757EC"/>
    <w:rsid w:val="00777EBF"/>
    <w:rsid w:val="00777F48"/>
    <w:rsid w:val="0078244A"/>
    <w:rsid w:val="007838AB"/>
    <w:rsid w:val="00783E89"/>
    <w:rsid w:val="00786028"/>
    <w:rsid w:val="00792117"/>
    <w:rsid w:val="007936CA"/>
    <w:rsid w:val="007938FE"/>
    <w:rsid w:val="00793915"/>
    <w:rsid w:val="0079395D"/>
    <w:rsid w:val="0079472F"/>
    <w:rsid w:val="007966EC"/>
    <w:rsid w:val="00797098"/>
    <w:rsid w:val="007A0DFA"/>
    <w:rsid w:val="007A1255"/>
    <w:rsid w:val="007A22C0"/>
    <w:rsid w:val="007A2423"/>
    <w:rsid w:val="007A2C61"/>
    <w:rsid w:val="007A5EB7"/>
    <w:rsid w:val="007A6F70"/>
    <w:rsid w:val="007B14F6"/>
    <w:rsid w:val="007B39CE"/>
    <w:rsid w:val="007B6B52"/>
    <w:rsid w:val="007B6C3F"/>
    <w:rsid w:val="007B6D47"/>
    <w:rsid w:val="007B77FA"/>
    <w:rsid w:val="007C2253"/>
    <w:rsid w:val="007C45F1"/>
    <w:rsid w:val="007C48CC"/>
    <w:rsid w:val="007C62D8"/>
    <w:rsid w:val="007C66C3"/>
    <w:rsid w:val="007C7747"/>
    <w:rsid w:val="007D05A9"/>
    <w:rsid w:val="007D1D3D"/>
    <w:rsid w:val="007D465C"/>
    <w:rsid w:val="007D5A63"/>
    <w:rsid w:val="007D708A"/>
    <w:rsid w:val="007D74C5"/>
    <w:rsid w:val="007D7B81"/>
    <w:rsid w:val="007E00AB"/>
    <w:rsid w:val="007E163D"/>
    <w:rsid w:val="007E35A0"/>
    <w:rsid w:val="007E3A67"/>
    <w:rsid w:val="007E667A"/>
    <w:rsid w:val="007E7313"/>
    <w:rsid w:val="007E765E"/>
    <w:rsid w:val="007E7DA0"/>
    <w:rsid w:val="007F08E8"/>
    <w:rsid w:val="007F0F7E"/>
    <w:rsid w:val="007F28C9"/>
    <w:rsid w:val="007F57A9"/>
    <w:rsid w:val="007F5D17"/>
    <w:rsid w:val="007F5D85"/>
    <w:rsid w:val="00803587"/>
    <w:rsid w:val="0080663A"/>
    <w:rsid w:val="00807626"/>
    <w:rsid w:val="0080796F"/>
    <w:rsid w:val="00807CEF"/>
    <w:rsid w:val="00811690"/>
    <w:rsid w:val="008117E9"/>
    <w:rsid w:val="008138B3"/>
    <w:rsid w:val="0081458A"/>
    <w:rsid w:val="00814720"/>
    <w:rsid w:val="00815C6A"/>
    <w:rsid w:val="00822C78"/>
    <w:rsid w:val="008233FF"/>
    <w:rsid w:val="00824498"/>
    <w:rsid w:val="00824536"/>
    <w:rsid w:val="00825092"/>
    <w:rsid w:val="00826534"/>
    <w:rsid w:val="00827C30"/>
    <w:rsid w:val="00827CA6"/>
    <w:rsid w:val="00827DD3"/>
    <w:rsid w:val="0083071F"/>
    <w:rsid w:val="0083128C"/>
    <w:rsid w:val="00831432"/>
    <w:rsid w:val="00833513"/>
    <w:rsid w:val="00833F83"/>
    <w:rsid w:val="0083606C"/>
    <w:rsid w:val="008404E4"/>
    <w:rsid w:val="00842518"/>
    <w:rsid w:val="0084431A"/>
    <w:rsid w:val="00844923"/>
    <w:rsid w:val="008458BD"/>
    <w:rsid w:val="00847282"/>
    <w:rsid w:val="0085209E"/>
    <w:rsid w:val="00853660"/>
    <w:rsid w:val="008539D6"/>
    <w:rsid w:val="00854A52"/>
    <w:rsid w:val="00854DD9"/>
    <w:rsid w:val="00856A31"/>
    <w:rsid w:val="008571CC"/>
    <w:rsid w:val="008572AB"/>
    <w:rsid w:val="00861996"/>
    <w:rsid w:val="0086228D"/>
    <w:rsid w:val="00863C00"/>
    <w:rsid w:val="008641B6"/>
    <w:rsid w:val="00864AB4"/>
    <w:rsid w:val="00864B24"/>
    <w:rsid w:val="008667E6"/>
    <w:rsid w:val="00867038"/>
    <w:rsid w:val="00867B37"/>
    <w:rsid w:val="0087049C"/>
    <w:rsid w:val="00870703"/>
    <w:rsid w:val="00871FBF"/>
    <w:rsid w:val="0087239C"/>
    <w:rsid w:val="008754D0"/>
    <w:rsid w:val="00876CBE"/>
    <w:rsid w:val="008855C9"/>
    <w:rsid w:val="008856C2"/>
    <w:rsid w:val="008858E4"/>
    <w:rsid w:val="00886456"/>
    <w:rsid w:val="00886F8F"/>
    <w:rsid w:val="008938DA"/>
    <w:rsid w:val="00893AF3"/>
    <w:rsid w:val="00895AA3"/>
    <w:rsid w:val="00896258"/>
    <w:rsid w:val="00897090"/>
    <w:rsid w:val="008A1454"/>
    <w:rsid w:val="008A2C6A"/>
    <w:rsid w:val="008A3D12"/>
    <w:rsid w:val="008A46E1"/>
    <w:rsid w:val="008A4F43"/>
    <w:rsid w:val="008A544E"/>
    <w:rsid w:val="008A6199"/>
    <w:rsid w:val="008A6A0F"/>
    <w:rsid w:val="008B1437"/>
    <w:rsid w:val="008B1571"/>
    <w:rsid w:val="008B2706"/>
    <w:rsid w:val="008B5544"/>
    <w:rsid w:val="008B6FC8"/>
    <w:rsid w:val="008C2529"/>
    <w:rsid w:val="008C2568"/>
    <w:rsid w:val="008C2842"/>
    <w:rsid w:val="008C4C24"/>
    <w:rsid w:val="008C539C"/>
    <w:rsid w:val="008C57D5"/>
    <w:rsid w:val="008C6418"/>
    <w:rsid w:val="008C69AB"/>
    <w:rsid w:val="008C7D13"/>
    <w:rsid w:val="008C7EEA"/>
    <w:rsid w:val="008D0EE0"/>
    <w:rsid w:val="008D0F8C"/>
    <w:rsid w:val="008D1A37"/>
    <w:rsid w:val="008D38CD"/>
    <w:rsid w:val="008D551D"/>
    <w:rsid w:val="008D5FDC"/>
    <w:rsid w:val="008E0E2B"/>
    <w:rsid w:val="008E10C0"/>
    <w:rsid w:val="008E412B"/>
    <w:rsid w:val="008E4220"/>
    <w:rsid w:val="008E4897"/>
    <w:rsid w:val="008E568E"/>
    <w:rsid w:val="008E57BE"/>
    <w:rsid w:val="008E6067"/>
    <w:rsid w:val="008E73CD"/>
    <w:rsid w:val="008F1CA9"/>
    <w:rsid w:val="008F319D"/>
    <w:rsid w:val="008F411F"/>
    <w:rsid w:val="008F47B8"/>
    <w:rsid w:val="008F54E7"/>
    <w:rsid w:val="008F58D2"/>
    <w:rsid w:val="008F69CE"/>
    <w:rsid w:val="009001C4"/>
    <w:rsid w:val="00901F03"/>
    <w:rsid w:val="00902C1C"/>
    <w:rsid w:val="00903422"/>
    <w:rsid w:val="00906AFC"/>
    <w:rsid w:val="00910B81"/>
    <w:rsid w:val="0091402E"/>
    <w:rsid w:val="0091563B"/>
    <w:rsid w:val="00915DF9"/>
    <w:rsid w:val="00916EA7"/>
    <w:rsid w:val="0092004C"/>
    <w:rsid w:val="00920D6B"/>
    <w:rsid w:val="00924D33"/>
    <w:rsid w:val="009254C3"/>
    <w:rsid w:val="0092602E"/>
    <w:rsid w:val="00932377"/>
    <w:rsid w:val="00932785"/>
    <w:rsid w:val="009329B3"/>
    <w:rsid w:val="009333A2"/>
    <w:rsid w:val="009342DB"/>
    <w:rsid w:val="0093697B"/>
    <w:rsid w:val="00936A9B"/>
    <w:rsid w:val="0093702D"/>
    <w:rsid w:val="00937802"/>
    <w:rsid w:val="00942996"/>
    <w:rsid w:val="009435E3"/>
    <w:rsid w:val="0094417C"/>
    <w:rsid w:val="00944D6C"/>
    <w:rsid w:val="00945F11"/>
    <w:rsid w:val="00946849"/>
    <w:rsid w:val="00947C78"/>
    <w:rsid w:val="00947D5A"/>
    <w:rsid w:val="009509F9"/>
    <w:rsid w:val="00950E6D"/>
    <w:rsid w:val="00950F96"/>
    <w:rsid w:val="0095180B"/>
    <w:rsid w:val="009532A5"/>
    <w:rsid w:val="00954771"/>
    <w:rsid w:val="00955264"/>
    <w:rsid w:val="009569AA"/>
    <w:rsid w:val="009572C2"/>
    <w:rsid w:val="00960019"/>
    <w:rsid w:val="009607C5"/>
    <w:rsid w:val="00961473"/>
    <w:rsid w:val="009615E9"/>
    <w:rsid w:val="0096247D"/>
    <w:rsid w:val="009638C0"/>
    <w:rsid w:val="00965EC0"/>
    <w:rsid w:val="00965F9F"/>
    <w:rsid w:val="00966844"/>
    <w:rsid w:val="009670B2"/>
    <w:rsid w:val="009715B0"/>
    <w:rsid w:val="00971C2F"/>
    <w:rsid w:val="00974298"/>
    <w:rsid w:val="009743BB"/>
    <w:rsid w:val="009744D6"/>
    <w:rsid w:val="00974C87"/>
    <w:rsid w:val="0097502C"/>
    <w:rsid w:val="00975395"/>
    <w:rsid w:val="00977918"/>
    <w:rsid w:val="0098077C"/>
    <w:rsid w:val="009821AB"/>
    <w:rsid w:val="00982242"/>
    <w:rsid w:val="00982AD5"/>
    <w:rsid w:val="00982F3D"/>
    <w:rsid w:val="009868B9"/>
    <w:rsid w:val="009868E9"/>
    <w:rsid w:val="00993C95"/>
    <w:rsid w:val="00995C53"/>
    <w:rsid w:val="00996BF9"/>
    <w:rsid w:val="0099763E"/>
    <w:rsid w:val="00997AE4"/>
    <w:rsid w:val="009A1FEB"/>
    <w:rsid w:val="009A31D4"/>
    <w:rsid w:val="009A62A4"/>
    <w:rsid w:val="009A6A57"/>
    <w:rsid w:val="009A6D6D"/>
    <w:rsid w:val="009B0279"/>
    <w:rsid w:val="009B2068"/>
    <w:rsid w:val="009B39F2"/>
    <w:rsid w:val="009B3B07"/>
    <w:rsid w:val="009B43AE"/>
    <w:rsid w:val="009B70FF"/>
    <w:rsid w:val="009B765E"/>
    <w:rsid w:val="009C0422"/>
    <w:rsid w:val="009C1DE0"/>
    <w:rsid w:val="009C2886"/>
    <w:rsid w:val="009C2E5B"/>
    <w:rsid w:val="009C2F10"/>
    <w:rsid w:val="009C3BEF"/>
    <w:rsid w:val="009C5966"/>
    <w:rsid w:val="009C5E0E"/>
    <w:rsid w:val="009C63B0"/>
    <w:rsid w:val="009C6D53"/>
    <w:rsid w:val="009D1794"/>
    <w:rsid w:val="009D5061"/>
    <w:rsid w:val="009D5278"/>
    <w:rsid w:val="009E0D5F"/>
    <w:rsid w:val="009E1DBB"/>
    <w:rsid w:val="009E1F58"/>
    <w:rsid w:val="009E37D4"/>
    <w:rsid w:val="009E4C3B"/>
    <w:rsid w:val="009E570D"/>
    <w:rsid w:val="009E5CFC"/>
    <w:rsid w:val="009E6542"/>
    <w:rsid w:val="009E6F78"/>
    <w:rsid w:val="009F253C"/>
    <w:rsid w:val="009F43FD"/>
    <w:rsid w:val="009F4E00"/>
    <w:rsid w:val="00A00AF0"/>
    <w:rsid w:val="00A0239A"/>
    <w:rsid w:val="00A02D16"/>
    <w:rsid w:val="00A02DBF"/>
    <w:rsid w:val="00A05587"/>
    <w:rsid w:val="00A079CB"/>
    <w:rsid w:val="00A11102"/>
    <w:rsid w:val="00A12128"/>
    <w:rsid w:val="00A133E1"/>
    <w:rsid w:val="00A13966"/>
    <w:rsid w:val="00A14F73"/>
    <w:rsid w:val="00A15DDC"/>
    <w:rsid w:val="00A16D81"/>
    <w:rsid w:val="00A21981"/>
    <w:rsid w:val="00A224EB"/>
    <w:rsid w:val="00A22C98"/>
    <w:rsid w:val="00A231E2"/>
    <w:rsid w:val="00A2474F"/>
    <w:rsid w:val="00A311B6"/>
    <w:rsid w:val="00A333A3"/>
    <w:rsid w:val="00A34151"/>
    <w:rsid w:val="00A344BE"/>
    <w:rsid w:val="00A37705"/>
    <w:rsid w:val="00A40FBA"/>
    <w:rsid w:val="00A43422"/>
    <w:rsid w:val="00A45628"/>
    <w:rsid w:val="00A51363"/>
    <w:rsid w:val="00A518DF"/>
    <w:rsid w:val="00A523A8"/>
    <w:rsid w:val="00A530B6"/>
    <w:rsid w:val="00A53B88"/>
    <w:rsid w:val="00A544F8"/>
    <w:rsid w:val="00A546EE"/>
    <w:rsid w:val="00A549A1"/>
    <w:rsid w:val="00A554E2"/>
    <w:rsid w:val="00A57DDB"/>
    <w:rsid w:val="00A61CA1"/>
    <w:rsid w:val="00A635F8"/>
    <w:rsid w:val="00A64429"/>
    <w:rsid w:val="00A647CC"/>
    <w:rsid w:val="00A64912"/>
    <w:rsid w:val="00A66117"/>
    <w:rsid w:val="00A6741F"/>
    <w:rsid w:val="00A675AC"/>
    <w:rsid w:val="00A70A3E"/>
    <w:rsid w:val="00A70A74"/>
    <w:rsid w:val="00A7123F"/>
    <w:rsid w:val="00A71814"/>
    <w:rsid w:val="00A72F25"/>
    <w:rsid w:val="00A757E4"/>
    <w:rsid w:val="00A77811"/>
    <w:rsid w:val="00A808F7"/>
    <w:rsid w:val="00A90751"/>
    <w:rsid w:val="00A91628"/>
    <w:rsid w:val="00A91A36"/>
    <w:rsid w:val="00A92441"/>
    <w:rsid w:val="00A9253B"/>
    <w:rsid w:val="00A93621"/>
    <w:rsid w:val="00A93EFC"/>
    <w:rsid w:val="00A951F0"/>
    <w:rsid w:val="00A96280"/>
    <w:rsid w:val="00A97153"/>
    <w:rsid w:val="00AA0360"/>
    <w:rsid w:val="00AA09A8"/>
    <w:rsid w:val="00AA24F9"/>
    <w:rsid w:val="00AA37E3"/>
    <w:rsid w:val="00AA63BB"/>
    <w:rsid w:val="00AB07FB"/>
    <w:rsid w:val="00AB108C"/>
    <w:rsid w:val="00AB39D6"/>
    <w:rsid w:val="00AB4035"/>
    <w:rsid w:val="00AB7409"/>
    <w:rsid w:val="00AC2079"/>
    <w:rsid w:val="00AC22E8"/>
    <w:rsid w:val="00AC2EFA"/>
    <w:rsid w:val="00AC2F05"/>
    <w:rsid w:val="00AC3CCD"/>
    <w:rsid w:val="00AC4340"/>
    <w:rsid w:val="00AC53C9"/>
    <w:rsid w:val="00AC60F6"/>
    <w:rsid w:val="00AD0EBF"/>
    <w:rsid w:val="00AD159B"/>
    <w:rsid w:val="00AD1F12"/>
    <w:rsid w:val="00AD416D"/>
    <w:rsid w:val="00AD48CB"/>
    <w:rsid w:val="00AD53D6"/>
    <w:rsid w:val="00AD5641"/>
    <w:rsid w:val="00AD668B"/>
    <w:rsid w:val="00AD7889"/>
    <w:rsid w:val="00AE251A"/>
    <w:rsid w:val="00AE3652"/>
    <w:rsid w:val="00AE6392"/>
    <w:rsid w:val="00AE6795"/>
    <w:rsid w:val="00AE788B"/>
    <w:rsid w:val="00AF021B"/>
    <w:rsid w:val="00AF06CF"/>
    <w:rsid w:val="00AF0A39"/>
    <w:rsid w:val="00AF1061"/>
    <w:rsid w:val="00AF29F3"/>
    <w:rsid w:val="00AF3E9E"/>
    <w:rsid w:val="00AF57C5"/>
    <w:rsid w:val="00AF5E8C"/>
    <w:rsid w:val="00AF6F4C"/>
    <w:rsid w:val="00B048AF"/>
    <w:rsid w:val="00B0544E"/>
    <w:rsid w:val="00B05CF4"/>
    <w:rsid w:val="00B06241"/>
    <w:rsid w:val="00B07262"/>
    <w:rsid w:val="00B07CDB"/>
    <w:rsid w:val="00B10DE5"/>
    <w:rsid w:val="00B111ED"/>
    <w:rsid w:val="00B117E2"/>
    <w:rsid w:val="00B12001"/>
    <w:rsid w:val="00B121BA"/>
    <w:rsid w:val="00B13E05"/>
    <w:rsid w:val="00B14778"/>
    <w:rsid w:val="00B15918"/>
    <w:rsid w:val="00B16A31"/>
    <w:rsid w:val="00B17216"/>
    <w:rsid w:val="00B17DFD"/>
    <w:rsid w:val="00B223F4"/>
    <w:rsid w:val="00B236AD"/>
    <w:rsid w:val="00B245AB"/>
    <w:rsid w:val="00B25C08"/>
    <w:rsid w:val="00B261D9"/>
    <w:rsid w:val="00B2686D"/>
    <w:rsid w:val="00B308FE"/>
    <w:rsid w:val="00B31A6E"/>
    <w:rsid w:val="00B3261B"/>
    <w:rsid w:val="00B32960"/>
    <w:rsid w:val="00B33709"/>
    <w:rsid w:val="00B33B3C"/>
    <w:rsid w:val="00B33E34"/>
    <w:rsid w:val="00B3666E"/>
    <w:rsid w:val="00B37A13"/>
    <w:rsid w:val="00B40493"/>
    <w:rsid w:val="00B408C2"/>
    <w:rsid w:val="00B4102B"/>
    <w:rsid w:val="00B4538B"/>
    <w:rsid w:val="00B456DC"/>
    <w:rsid w:val="00B50ADC"/>
    <w:rsid w:val="00B5229E"/>
    <w:rsid w:val="00B540ED"/>
    <w:rsid w:val="00B54FF9"/>
    <w:rsid w:val="00B555CD"/>
    <w:rsid w:val="00B5584C"/>
    <w:rsid w:val="00B566B1"/>
    <w:rsid w:val="00B567DB"/>
    <w:rsid w:val="00B57450"/>
    <w:rsid w:val="00B61744"/>
    <w:rsid w:val="00B61C90"/>
    <w:rsid w:val="00B63047"/>
    <w:rsid w:val="00B63834"/>
    <w:rsid w:val="00B63EF7"/>
    <w:rsid w:val="00B64E42"/>
    <w:rsid w:val="00B64FF7"/>
    <w:rsid w:val="00B65BA7"/>
    <w:rsid w:val="00B65F8A"/>
    <w:rsid w:val="00B66C92"/>
    <w:rsid w:val="00B67BEC"/>
    <w:rsid w:val="00B7124B"/>
    <w:rsid w:val="00B72734"/>
    <w:rsid w:val="00B73E68"/>
    <w:rsid w:val="00B74976"/>
    <w:rsid w:val="00B763F3"/>
    <w:rsid w:val="00B7645A"/>
    <w:rsid w:val="00B76D00"/>
    <w:rsid w:val="00B76EDB"/>
    <w:rsid w:val="00B80199"/>
    <w:rsid w:val="00B81263"/>
    <w:rsid w:val="00B83204"/>
    <w:rsid w:val="00B84333"/>
    <w:rsid w:val="00B85925"/>
    <w:rsid w:val="00B8758F"/>
    <w:rsid w:val="00B875AB"/>
    <w:rsid w:val="00B93B64"/>
    <w:rsid w:val="00B97939"/>
    <w:rsid w:val="00BA0521"/>
    <w:rsid w:val="00BA0C87"/>
    <w:rsid w:val="00BA16B6"/>
    <w:rsid w:val="00BA17BC"/>
    <w:rsid w:val="00BA1F2D"/>
    <w:rsid w:val="00BA1F8C"/>
    <w:rsid w:val="00BA220B"/>
    <w:rsid w:val="00BA3A57"/>
    <w:rsid w:val="00BA4139"/>
    <w:rsid w:val="00BA4F19"/>
    <w:rsid w:val="00BA4FC4"/>
    <w:rsid w:val="00BA691F"/>
    <w:rsid w:val="00BA734E"/>
    <w:rsid w:val="00BA78D4"/>
    <w:rsid w:val="00BB2037"/>
    <w:rsid w:val="00BB21E1"/>
    <w:rsid w:val="00BB225C"/>
    <w:rsid w:val="00BB4E1A"/>
    <w:rsid w:val="00BB5C4F"/>
    <w:rsid w:val="00BB7199"/>
    <w:rsid w:val="00BC015E"/>
    <w:rsid w:val="00BC0A50"/>
    <w:rsid w:val="00BC1699"/>
    <w:rsid w:val="00BC1716"/>
    <w:rsid w:val="00BC2F14"/>
    <w:rsid w:val="00BC5430"/>
    <w:rsid w:val="00BC57AC"/>
    <w:rsid w:val="00BC76AC"/>
    <w:rsid w:val="00BD0AA6"/>
    <w:rsid w:val="00BD0ECB"/>
    <w:rsid w:val="00BD5042"/>
    <w:rsid w:val="00BD6B6D"/>
    <w:rsid w:val="00BD7BBF"/>
    <w:rsid w:val="00BE0BD2"/>
    <w:rsid w:val="00BE116B"/>
    <w:rsid w:val="00BE2155"/>
    <w:rsid w:val="00BE2213"/>
    <w:rsid w:val="00BE2654"/>
    <w:rsid w:val="00BE29F7"/>
    <w:rsid w:val="00BE4B16"/>
    <w:rsid w:val="00BE56D1"/>
    <w:rsid w:val="00BE5990"/>
    <w:rsid w:val="00BE719A"/>
    <w:rsid w:val="00BE720A"/>
    <w:rsid w:val="00BE77C3"/>
    <w:rsid w:val="00BE7C97"/>
    <w:rsid w:val="00BF0C4F"/>
    <w:rsid w:val="00BF0D73"/>
    <w:rsid w:val="00BF2465"/>
    <w:rsid w:val="00BF2535"/>
    <w:rsid w:val="00BF3EBC"/>
    <w:rsid w:val="00BF5458"/>
    <w:rsid w:val="00BF5CB4"/>
    <w:rsid w:val="00BF7AD4"/>
    <w:rsid w:val="00C04008"/>
    <w:rsid w:val="00C05693"/>
    <w:rsid w:val="00C06023"/>
    <w:rsid w:val="00C063DE"/>
    <w:rsid w:val="00C07890"/>
    <w:rsid w:val="00C103A5"/>
    <w:rsid w:val="00C10896"/>
    <w:rsid w:val="00C111FB"/>
    <w:rsid w:val="00C11F62"/>
    <w:rsid w:val="00C14473"/>
    <w:rsid w:val="00C14EA1"/>
    <w:rsid w:val="00C15332"/>
    <w:rsid w:val="00C1541F"/>
    <w:rsid w:val="00C200A7"/>
    <w:rsid w:val="00C219E9"/>
    <w:rsid w:val="00C22D2B"/>
    <w:rsid w:val="00C25E1F"/>
    <w:rsid w:val="00C25E7F"/>
    <w:rsid w:val="00C2746F"/>
    <w:rsid w:val="00C274B8"/>
    <w:rsid w:val="00C2796F"/>
    <w:rsid w:val="00C31538"/>
    <w:rsid w:val="00C324A0"/>
    <w:rsid w:val="00C32F48"/>
    <w:rsid w:val="00C3300F"/>
    <w:rsid w:val="00C336A8"/>
    <w:rsid w:val="00C35643"/>
    <w:rsid w:val="00C36F6B"/>
    <w:rsid w:val="00C42BF8"/>
    <w:rsid w:val="00C4625E"/>
    <w:rsid w:val="00C46CD3"/>
    <w:rsid w:val="00C4758D"/>
    <w:rsid w:val="00C47EAA"/>
    <w:rsid w:val="00C50043"/>
    <w:rsid w:val="00C5174E"/>
    <w:rsid w:val="00C5229D"/>
    <w:rsid w:val="00C53DC8"/>
    <w:rsid w:val="00C54B02"/>
    <w:rsid w:val="00C558BF"/>
    <w:rsid w:val="00C60B3B"/>
    <w:rsid w:val="00C6161E"/>
    <w:rsid w:val="00C62422"/>
    <w:rsid w:val="00C62660"/>
    <w:rsid w:val="00C63623"/>
    <w:rsid w:val="00C63D57"/>
    <w:rsid w:val="00C65839"/>
    <w:rsid w:val="00C6675E"/>
    <w:rsid w:val="00C71894"/>
    <w:rsid w:val="00C727C8"/>
    <w:rsid w:val="00C735DC"/>
    <w:rsid w:val="00C7573B"/>
    <w:rsid w:val="00C81362"/>
    <w:rsid w:val="00C81484"/>
    <w:rsid w:val="00C82189"/>
    <w:rsid w:val="00C85018"/>
    <w:rsid w:val="00C85225"/>
    <w:rsid w:val="00C85632"/>
    <w:rsid w:val="00C87851"/>
    <w:rsid w:val="00C906DD"/>
    <w:rsid w:val="00C90733"/>
    <w:rsid w:val="00C92168"/>
    <w:rsid w:val="00C9293F"/>
    <w:rsid w:val="00C93AAB"/>
    <w:rsid w:val="00C93C03"/>
    <w:rsid w:val="00CA1C83"/>
    <w:rsid w:val="00CA231E"/>
    <w:rsid w:val="00CA33F0"/>
    <w:rsid w:val="00CA40E6"/>
    <w:rsid w:val="00CA4D7F"/>
    <w:rsid w:val="00CA566B"/>
    <w:rsid w:val="00CB0967"/>
    <w:rsid w:val="00CB1592"/>
    <w:rsid w:val="00CB1F4F"/>
    <w:rsid w:val="00CB2C8E"/>
    <w:rsid w:val="00CB5864"/>
    <w:rsid w:val="00CB602E"/>
    <w:rsid w:val="00CC01CF"/>
    <w:rsid w:val="00CC2102"/>
    <w:rsid w:val="00CC3C40"/>
    <w:rsid w:val="00CC589E"/>
    <w:rsid w:val="00CC7787"/>
    <w:rsid w:val="00CC7A62"/>
    <w:rsid w:val="00CD1BEF"/>
    <w:rsid w:val="00CD28D4"/>
    <w:rsid w:val="00CD3597"/>
    <w:rsid w:val="00CD4285"/>
    <w:rsid w:val="00CD4AA3"/>
    <w:rsid w:val="00CD4B97"/>
    <w:rsid w:val="00CD4E16"/>
    <w:rsid w:val="00CD5988"/>
    <w:rsid w:val="00CD5E34"/>
    <w:rsid w:val="00CD6AF2"/>
    <w:rsid w:val="00CE051D"/>
    <w:rsid w:val="00CE0DC7"/>
    <w:rsid w:val="00CE1335"/>
    <w:rsid w:val="00CE13EF"/>
    <w:rsid w:val="00CE493D"/>
    <w:rsid w:val="00CF07FA"/>
    <w:rsid w:val="00CF0B55"/>
    <w:rsid w:val="00CF0BB2"/>
    <w:rsid w:val="00CF2479"/>
    <w:rsid w:val="00CF321B"/>
    <w:rsid w:val="00CF3E26"/>
    <w:rsid w:val="00CF3EE8"/>
    <w:rsid w:val="00CF66E6"/>
    <w:rsid w:val="00CF6B57"/>
    <w:rsid w:val="00CF6F83"/>
    <w:rsid w:val="00CF74DB"/>
    <w:rsid w:val="00CF7AA9"/>
    <w:rsid w:val="00D00664"/>
    <w:rsid w:val="00D009C7"/>
    <w:rsid w:val="00D0157C"/>
    <w:rsid w:val="00D04FA4"/>
    <w:rsid w:val="00D050E6"/>
    <w:rsid w:val="00D05485"/>
    <w:rsid w:val="00D069B9"/>
    <w:rsid w:val="00D06DF4"/>
    <w:rsid w:val="00D0758B"/>
    <w:rsid w:val="00D1158F"/>
    <w:rsid w:val="00D1232B"/>
    <w:rsid w:val="00D12684"/>
    <w:rsid w:val="00D12C32"/>
    <w:rsid w:val="00D13441"/>
    <w:rsid w:val="00D14BAF"/>
    <w:rsid w:val="00D150E7"/>
    <w:rsid w:val="00D1548B"/>
    <w:rsid w:val="00D158D6"/>
    <w:rsid w:val="00D2150A"/>
    <w:rsid w:val="00D2419D"/>
    <w:rsid w:val="00D260C7"/>
    <w:rsid w:val="00D26501"/>
    <w:rsid w:val="00D2714D"/>
    <w:rsid w:val="00D27966"/>
    <w:rsid w:val="00D3022A"/>
    <w:rsid w:val="00D30418"/>
    <w:rsid w:val="00D309EE"/>
    <w:rsid w:val="00D30B89"/>
    <w:rsid w:val="00D32F65"/>
    <w:rsid w:val="00D37184"/>
    <w:rsid w:val="00D37410"/>
    <w:rsid w:val="00D37797"/>
    <w:rsid w:val="00D41A1E"/>
    <w:rsid w:val="00D431FB"/>
    <w:rsid w:val="00D4341A"/>
    <w:rsid w:val="00D4391D"/>
    <w:rsid w:val="00D44FC9"/>
    <w:rsid w:val="00D47103"/>
    <w:rsid w:val="00D518D9"/>
    <w:rsid w:val="00D51A41"/>
    <w:rsid w:val="00D52DC2"/>
    <w:rsid w:val="00D5394B"/>
    <w:rsid w:val="00D53BCC"/>
    <w:rsid w:val="00D565CC"/>
    <w:rsid w:val="00D5666F"/>
    <w:rsid w:val="00D63B70"/>
    <w:rsid w:val="00D63E51"/>
    <w:rsid w:val="00D65467"/>
    <w:rsid w:val="00D6597C"/>
    <w:rsid w:val="00D66D59"/>
    <w:rsid w:val="00D66DFC"/>
    <w:rsid w:val="00D70DFB"/>
    <w:rsid w:val="00D72F83"/>
    <w:rsid w:val="00D7406F"/>
    <w:rsid w:val="00D75AE9"/>
    <w:rsid w:val="00D766DF"/>
    <w:rsid w:val="00D7767A"/>
    <w:rsid w:val="00D779A2"/>
    <w:rsid w:val="00D80509"/>
    <w:rsid w:val="00D82F65"/>
    <w:rsid w:val="00D85462"/>
    <w:rsid w:val="00D857B0"/>
    <w:rsid w:val="00D86F1F"/>
    <w:rsid w:val="00D8774A"/>
    <w:rsid w:val="00D91927"/>
    <w:rsid w:val="00D91DBD"/>
    <w:rsid w:val="00D932F8"/>
    <w:rsid w:val="00D93733"/>
    <w:rsid w:val="00D93B56"/>
    <w:rsid w:val="00D94E7C"/>
    <w:rsid w:val="00D95A49"/>
    <w:rsid w:val="00D963CD"/>
    <w:rsid w:val="00D9743F"/>
    <w:rsid w:val="00DA133D"/>
    <w:rsid w:val="00DA186E"/>
    <w:rsid w:val="00DA2857"/>
    <w:rsid w:val="00DA2D57"/>
    <w:rsid w:val="00DA4116"/>
    <w:rsid w:val="00DA4ED6"/>
    <w:rsid w:val="00DA6A5F"/>
    <w:rsid w:val="00DB023F"/>
    <w:rsid w:val="00DB251C"/>
    <w:rsid w:val="00DB4630"/>
    <w:rsid w:val="00DB5F77"/>
    <w:rsid w:val="00DB6D35"/>
    <w:rsid w:val="00DB708C"/>
    <w:rsid w:val="00DB7334"/>
    <w:rsid w:val="00DC08BF"/>
    <w:rsid w:val="00DC0B36"/>
    <w:rsid w:val="00DC0EDD"/>
    <w:rsid w:val="00DC1FDE"/>
    <w:rsid w:val="00DC3392"/>
    <w:rsid w:val="00DC35C8"/>
    <w:rsid w:val="00DC40B9"/>
    <w:rsid w:val="00DC4644"/>
    <w:rsid w:val="00DC4F88"/>
    <w:rsid w:val="00DC5F4F"/>
    <w:rsid w:val="00DC7439"/>
    <w:rsid w:val="00DD0D3D"/>
    <w:rsid w:val="00DD0DAD"/>
    <w:rsid w:val="00DD0FEA"/>
    <w:rsid w:val="00DD1401"/>
    <w:rsid w:val="00DD3A20"/>
    <w:rsid w:val="00DD48FF"/>
    <w:rsid w:val="00DD499B"/>
    <w:rsid w:val="00DD6539"/>
    <w:rsid w:val="00DE0C2D"/>
    <w:rsid w:val="00DE1C9E"/>
    <w:rsid w:val="00DE2285"/>
    <w:rsid w:val="00DE25A7"/>
    <w:rsid w:val="00DE4D45"/>
    <w:rsid w:val="00DE5465"/>
    <w:rsid w:val="00DE5A80"/>
    <w:rsid w:val="00DE620A"/>
    <w:rsid w:val="00DE79C8"/>
    <w:rsid w:val="00DF1346"/>
    <w:rsid w:val="00DF1D21"/>
    <w:rsid w:val="00DF3D05"/>
    <w:rsid w:val="00DF441E"/>
    <w:rsid w:val="00DF7871"/>
    <w:rsid w:val="00DF7C2A"/>
    <w:rsid w:val="00E023C9"/>
    <w:rsid w:val="00E025CC"/>
    <w:rsid w:val="00E0271B"/>
    <w:rsid w:val="00E05704"/>
    <w:rsid w:val="00E07F3D"/>
    <w:rsid w:val="00E105F0"/>
    <w:rsid w:val="00E10778"/>
    <w:rsid w:val="00E114E6"/>
    <w:rsid w:val="00E11E44"/>
    <w:rsid w:val="00E11FFE"/>
    <w:rsid w:val="00E141DF"/>
    <w:rsid w:val="00E15DDF"/>
    <w:rsid w:val="00E17B44"/>
    <w:rsid w:val="00E20CD1"/>
    <w:rsid w:val="00E26914"/>
    <w:rsid w:val="00E27547"/>
    <w:rsid w:val="00E30043"/>
    <w:rsid w:val="00E310CA"/>
    <w:rsid w:val="00E322E6"/>
    <w:rsid w:val="00E3270E"/>
    <w:rsid w:val="00E338EF"/>
    <w:rsid w:val="00E3779E"/>
    <w:rsid w:val="00E37941"/>
    <w:rsid w:val="00E437E3"/>
    <w:rsid w:val="00E440C1"/>
    <w:rsid w:val="00E441BD"/>
    <w:rsid w:val="00E44F21"/>
    <w:rsid w:val="00E47B1D"/>
    <w:rsid w:val="00E5072B"/>
    <w:rsid w:val="00E52732"/>
    <w:rsid w:val="00E544BB"/>
    <w:rsid w:val="00E54778"/>
    <w:rsid w:val="00E563B5"/>
    <w:rsid w:val="00E569BB"/>
    <w:rsid w:val="00E61B71"/>
    <w:rsid w:val="00E61FB6"/>
    <w:rsid w:val="00E63733"/>
    <w:rsid w:val="00E64469"/>
    <w:rsid w:val="00E64888"/>
    <w:rsid w:val="00E654C7"/>
    <w:rsid w:val="00E662CB"/>
    <w:rsid w:val="00E66EA5"/>
    <w:rsid w:val="00E670E5"/>
    <w:rsid w:val="00E7074D"/>
    <w:rsid w:val="00E724CC"/>
    <w:rsid w:val="00E74DC7"/>
    <w:rsid w:val="00E7558A"/>
    <w:rsid w:val="00E76806"/>
    <w:rsid w:val="00E7727D"/>
    <w:rsid w:val="00E8075A"/>
    <w:rsid w:val="00E80E58"/>
    <w:rsid w:val="00E82D8A"/>
    <w:rsid w:val="00E840CC"/>
    <w:rsid w:val="00E85A67"/>
    <w:rsid w:val="00E87372"/>
    <w:rsid w:val="00E91244"/>
    <w:rsid w:val="00E91C87"/>
    <w:rsid w:val="00E91DF8"/>
    <w:rsid w:val="00E9270F"/>
    <w:rsid w:val="00E9297A"/>
    <w:rsid w:val="00E93B2B"/>
    <w:rsid w:val="00E93BA4"/>
    <w:rsid w:val="00E93D53"/>
    <w:rsid w:val="00E94A81"/>
    <w:rsid w:val="00E94D5E"/>
    <w:rsid w:val="00E9630E"/>
    <w:rsid w:val="00EA0695"/>
    <w:rsid w:val="00EA0FAB"/>
    <w:rsid w:val="00EA2A11"/>
    <w:rsid w:val="00EA33C3"/>
    <w:rsid w:val="00EA4D28"/>
    <w:rsid w:val="00EA57EB"/>
    <w:rsid w:val="00EA5A86"/>
    <w:rsid w:val="00EA6100"/>
    <w:rsid w:val="00EA7100"/>
    <w:rsid w:val="00EA7F9F"/>
    <w:rsid w:val="00EB0FE9"/>
    <w:rsid w:val="00EB1274"/>
    <w:rsid w:val="00EB2FF1"/>
    <w:rsid w:val="00EB4C3A"/>
    <w:rsid w:val="00EB6AD0"/>
    <w:rsid w:val="00EB79AD"/>
    <w:rsid w:val="00EB7E3A"/>
    <w:rsid w:val="00EC1D7C"/>
    <w:rsid w:val="00EC2F8A"/>
    <w:rsid w:val="00EC5B03"/>
    <w:rsid w:val="00ED19EC"/>
    <w:rsid w:val="00ED25A8"/>
    <w:rsid w:val="00ED2BB6"/>
    <w:rsid w:val="00ED34E1"/>
    <w:rsid w:val="00ED3B8D"/>
    <w:rsid w:val="00ED5221"/>
    <w:rsid w:val="00ED659C"/>
    <w:rsid w:val="00ED7916"/>
    <w:rsid w:val="00ED7A4B"/>
    <w:rsid w:val="00EE049D"/>
    <w:rsid w:val="00EE086C"/>
    <w:rsid w:val="00EE341E"/>
    <w:rsid w:val="00EE45A1"/>
    <w:rsid w:val="00EE4D96"/>
    <w:rsid w:val="00EE5C1E"/>
    <w:rsid w:val="00EE5FD7"/>
    <w:rsid w:val="00EE6B5D"/>
    <w:rsid w:val="00EE7728"/>
    <w:rsid w:val="00EF062A"/>
    <w:rsid w:val="00EF0717"/>
    <w:rsid w:val="00EF2515"/>
    <w:rsid w:val="00EF2E3A"/>
    <w:rsid w:val="00EF5087"/>
    <w:rsid w:val="00EF595C"/>
    <w:rsid w:val="00EF5AAF"/>
    <w:rsid w:val="00EF610D"/>
    <w:rsid w:val="00EF677B"/>
    <w:rsid w:val="00EF6B2E"/>
    <w:rsid w:val="00EF7CD8"/>
    <w:rsid w:val="00F01725"/>
    <w:rsid w:val="00F01D20"/>
    <w:rsid w:val="00F072A7"/>
    <w:rsid w:val="00F078DC"/>
    <w:rsid w:val="00F07A13"/>
    <w:rsid w:val="00F117BC"/>
    <w:rsid w:val="00F130E3"/>
    <w:rsid w:val="00F163D4"/>
    <w:rsid w:val="00F17FEE"/>
    <w:rsid w:val="00F20065"/>
    <w:rsid w:val="00F20D45"/>
    <w:rsid w:val="00F2307F"/>
    <w:rsid w:val="00F231D9"/>
    <w:rsid w:val="00F26B0F"/>
    <w:rsid w:val="00F30046"/>
    <w:rsid w:val="00F32BA8"/>
    <w:rsid w:val="00F342EA"/>
    <w:rsid w:val="00F349F1"/>
    <w:rsid w:val="00F351C5"/>
    <w:rsid w:val="00F411D1"/>
    <w:rsid w:val="00F4199A"/>
    <w:rsid w:val="00F4350D"/>
    <w:rsid w:val="00F4373B"/>
    <w:rsid w:val="00F46970"/>
    <w:rsid w:val="00F46E6D"/>
    <w:rsid w:val="00F47785"/>
    <w:rsid w:val="00F50C1F"/>
    <w:rsid w:val="00F50F2A"/>
    <w:rsid w:val="00F5215D"/>
    <w:rsid w:val="00F533D3"/>
    <w:rsid w:val="00F53D86"/>
    <w:rsid w:val="00F54582"/>
    <w:rsid w:val="00F547AF"/>
    <w:rsid w:val="00F54DF5"/>
    <w:rsid w:val="00F54F0A"/>
    <w:rsid w:val="00F55AA1"/>
    <w:rsid w:val="00F567F7"/>
    <w:rsid w:val="00F614A7"/>
    <w:rsid w:val="00F61AA3"/>
    <w:rsid w:val="00F62036"/>
    <w:rsid w:val="00F6229F"/>
    <w:rsid w:val="00F62CF6"/>
    <w:rsid w:val="00F62F57"/>
    <w:rsid w:val="00F6597C"/>
    <w:rsid w:val="00F65B52"/>
    <w:rsid w:val="00F67BCA"/>
    <w:rsid w:val="00F722B0"/>
    <w:rsid w:val="00F73BD6"/>
    <w:rsid w:val="00F82323"/>
    <w:rsid w:val="00F82A71"/>
    <w:rsid w:val="00F83989"/>
    <w:rsid w:val="00F85099"/>
    <w:rsid w:val="00F9181B"/>
    <w:rsid w:val="00F9298B"/>
    <w:rsid w:val="00F92C77"/>
    <w:rsid w:val="00F9379C"/>
    <w:rsid w:val="00F9632C"/>
    <w:rsid w:val="00F96935"/>
    <w:rsid w:val="00F97AC1"/>
    <w:rsid w:val="00FA1E52"/>
    <w:rsid w:val="00FA20E0"/>
    <w:rsid w:val="00FA5856"/>
    <w:rsid w:val="00FA6A19"/>
    <w:rsid w:val="00FA7919"/>
    <w:rsid w:val="00FB00F1"/>
    <w:rsid w:val="00FB1409"/>
    <w:rsid w:val="00FB3777"/>
    <w:rsid w:val="00FB5A0F"/>
    <w:rsid w:val="00FB5CF5"/>
    <w:rsid w:val="00FB64CD"/>
    <w:rsid w:val="00FB6D2D"/>
    <w:rsid w:val="00FC2F54"/>
    <w:rsid w:val="00FC487B"/>
    <w:rsid w:val="00FC4AE3"/>
    <w:rsid w:val="00FC57E7"/>
    <w:rsid w:val="00FC5A21"/>
    <w:rsid w:val="00FC614B"/>
    <w:rsid w:val="00FC6846"/>
    <w:rsid w:val="00FC6AE5"/>
    <w:rsid w:val="00FC7C88"/>
    <w:rsid w:val="00FD04F7"/>
    <w:rsid w:val="00FD29E6"/>
    <w:rsid w:val="00FD426E"/>
    <w:rsid w:val="00FD5202"/>
    <w:rsid w:val="00FD5CDE"/>
    <w:rsid w:val="00FD5E09"/>
    <w:rsid w:val="00FD619A"/>
    <w:rsid w:val="00FD69B0"/>
    <w:rsid w:val="00FD7AA8"/>
    <w:rsid w:val="00FE29F2"/>
    <w:rsid w:val="00FE2C06"/>
    <w:rsid w:val="00FE379C"/>
    <w:rsid w:val="00FE4688"/>
    <w:rsid w:val="00FE71FD"/>
    <w:rsid w:val="00FF0007"/>
    <w:rsid w:val="00FF2305"/>
    <w:rsid w:val="00FF4095"/>
    <w:rsid w:val="00FF4356"/>
    <w:rsid w:val="00FF6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3649"/>
    <o:shapelayout v:ext="edit">
      <o:idmap v:ext="edit" data="1"/>
    </o:shapelayout>
  </w:shapeDefaults>
  <w:decimalSymbol w:val="."/>
  <w:listSeparator w:val=","/>
  <w14:docId w14:val="60F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6100E"/>
    <w:pPr>
      <w:spacing w:line="260" w:lineRule="atLeast"/>
    </w:pPr>
    <w:rPr>
      <w:sz w:val="22"/>
    </w:rPr>
  </w:style>
  <w:style w:type="paragraph" w:styleId="Heading1">
    <w:name w:val="heading 1"/>
    <w:basedOn w:val="Normal"/>
    <w:next w:val="Normal"/>
    <w:link w:val="Heading1Char"/>
    <w:uiPriority w:val="9"/>
    <w:qFormat/>
    <w:rsid w:val="0026100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00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100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100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100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100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100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100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6100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6100E"/>
  </w:style>
  <w:style w:type="paragraph" w:customStyle="1" w:styleId="OPCParaBase">
    <w:name w:val="OPCParaBase"/>
    <w:qFormat/>
    <w:rsid w:val="0026100E"/>
    <w:pPr>
      <w:spacing w:line="260" w:lineRule="atLeast"/>
    </w:pPr>
    <w:rPr>
      <w:rFonts w:eastAsia="Times New Roman" w:cs="Times New Roman"/>
      <w:sz w:val="22"/>
      <w:lang w:eastAsia="en-AU"/>
    </w:rPr>
  </w:style>
  <w:style w:type="paragraph" w:customStyle="1" w:styleId="ShortT">
    <w:name w:val="ShortT"/>
    <w:basedOn w:val="OPCParaBase"/>
    <w:next w:val="Normal"/>
    <w:qFormat/>
    <w:rsid w:val="0026100E"/>
    <w:pPr>
      <w:spacing w:line="240" w:lineRule="auto"/>
    </w:pPr>
    <w:rPr>
      <w:b/>
      <w:sz w:val="40"/>
    </w:rPr>
  </w:style>
  <w:style w:type="paragraph" w:customStyle="1" w:styleId="ActHead1">
    <w:name w:val="ActHead 1"/>
    <w:aliases w:val="c"/>
    <w:basedOn w:val="OPCParaBase"/>
    <w:next w:val="Normal"/>
    <w:qFormat/>
    <w:rsid w:val="002610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610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10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10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610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10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10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10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100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100E"/>
  </w:style>
  <w:style w:type="paragraph" w:customStyle="1" w:styleId="Blocks">
    <w:name w:val="Blocks"/>
    <w:aliases w:val="bb"/>
    <w:basedOn w:val="OPCParaBase"/>
    <w:qFormat/>
    <w:rsid w:val="0026100E"/>
    <w:pPr>
      <w:spacing w:line="240" w:lineRule="auto"/>
    </w:pPr>
    <w:rPr>
      <w:sz w:val="24"/>
    </w:rPr>
  </w:style>
  <w:style w:type="paragraph" w:customStyle="1" w:styleId="BoxText">
    <w:name w:val="BoxText"/>
    <w:aliases w:val="bt"/>
    <w:basedOn w:val="OPCParaBase"/>
    <w:qFormat/>
    <w:rsid w:val="002610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100E"/>
    <w:rPr>
      <w:b/>
    </w:rPr>
  </w:style>
  <w:style w:type="paragraph" w:customStyle="1" w:styleId="BoxHeadItalic">
    <w:name w:val="BoxHeadItalic"/>
    <w:aliases w:val="bhi"/>
    <w:basedOn w:val="BoxText"/>
    <w:next w:val="BoxStep"/>
    <w:qFormat/>
    <w:rsid w:val="0026100E"/>
    <w:rPr>
      <w:i/>
    </w:rPr>
  </w:style>
  <w:style w:type="paragraph" w:customStyle="1" w:styleId="BoxList">
    <w:name w:val="BoxList"/>
    <w:aliases w:val="bl"/>
    <w:basedOn w:val="BoxText"/>
    <w:qFormat/>
    <w:rsid w:val="0026100E"/>
    <w:pPr>
      <w:ind w:left="1559" w:hanging="425"/>
    </w:pPr>
  </w:style>
  <w:style w:type="paragraph" w:customStyle="1" w:styleId="BoxNote">
    <w:name w:val="BoxNote"/>
    <w:aliases w:val="bn"/>
    <w:basedOn w:val="BoxText"/>
    <w:qFormat/>
    <w:rsid w:val="0026100E"/>
    <w:pPr>
      <w:tabs>
        <w:tab w:val="left" w:pos="1985"/>
      </w:tabs>
      <w:spacing w:before="122" w:line="198" w:lineRule="exact"/>
      <w:ind w:left="2948" w:hanging="1814"/>
    </w:pPr>
    <w:rPr>
      <w:sz w:val="18"/>
    </w:rPr>
  </w:style>
  <w:style w:type="paragraph" w:customStyle="1" w:styleId="BoxPara">
    <w:name w:val="BoxPara"/>
    <w:aliases w:val="bp"/>
    <w:basedOn w:val="BoxText"/>
    <w:qFormat/>
    <w:rsid w:val="0026100E"/>
    <w:pPr>
      <w:tabs>
        <w:tab w:val="right" w:pos="2268"/>
      </w:tabs>
      <w:ind w:left="2552" w:hanging="1418"/>
    </w:pPr>
  </w:style>
  <w:style w:type="paragraph" w:customStyle="1" w:styleId="BoxStep">
    <w:name w:val="BoxStep"/>
    <w:aliases w:val="bs"/>
    <w:basedOn w:val="BoxText"/>
    <w:qFormat/>
    <w:rsid w:val="0026100E"/>
    <w:pPr>
      <w:ind w:left="1985" w:hanging="851"/>
    </w:pPr>
  </w:style>
  <w:style w:type="character" w:customStyle="1" w:styleId="CharAmPartNo">
    <w:name w:val="CharAmPartNo"/>
    <w:basedOn w:val="OPCCharBase"/>
    <w:qFormat/>
    <w:rsid w:val="0026100E"/>
  </w:style>
  <w:style w:type="character" w:customStyle="1" w:styleId="CharAmPartText">
    <w:name w:val="CharAmPartText"/>
    <w:basedOn w:val="OPCCharBase"/>
    <w:qFormat/>
    <w:rsid w:val="0026100E"/>
  </w:style>
  <w:style w:type="character" w:customStyle="1" w:styleId="CharAmSchNo">
    <w:name w:val="CharAmSchNo"/>
    <w:basedOn w:val="OPCCharBase"/>
    <w:qFormat/>
    <w:rsid w:val="0026100E"/>
  </w:style>
  <w:style w:type="character" w:customStyle="1" w:styleId="CharAmSchText">
    <w:name w:val="CharAmSchText"/>
    <w:basedOn w:val="OPCCharBase"/>
    <w:qFormat/>
    <w:rsid w:val="0026100E"/>
  </w:style>
  <w:style w:type="character" w:customStyle="1" w:styleId="CharBoldItalic">
    <w:name w:val="CharBoldItalic"/>
    <w:basedOn w:val="OPCCharBase"/>
    <w:uiPriority w:val="1"/>
    <w:qFormat/>
    <w:rsid w:val="0026100E"/>
    <w:rPr>
      <w:b/>
      <w:i/>
    </w:rPr>
  </w:style>
  <w:style w:type="character" w:customStyle="1" w:styleId="CharChapNo">
    <w:name w:val="CharChapNo"/>
    <w:basedOn w:val="OPCCharBase"/>
    <w:uiPriority w:val="1"/>
    <w:qFormat/>
    <w:rsid w:val="0026100E"/>
  </w:style>
  <w:style w:type="character" w:customStyle="1" w:styleId="CharChapText">
    <w:name w:val="CharChapText"/>
    <w:basedOn w:val="OPCCharBase"/>
    <w:uiPriority w:val="1"/>
    <w:qFormat/>
    <w:rsid w:val="0026100E"/>
  </w:style>
  <w:style w:type="character" w:customStyle="1" w:styleId="CharDivNo">
    <w:name w:val="CharDivNo"/>
    <w:basedOn w:val="OPCCharBase"/>
    <w:uiPriority w:val="1"/>
    <w:qFormat/>
    <w:rsid w:val="0026100E"/>
  </w:style>
  <w:style w:type="character" w:customStyle="1" w:styleId="CharDivText">
    <w:name w:val="CharDivText"/>
    <w:basedOn w:val="OPCCharBase"/>
    <w:uiPriority w:val="1"/>
    <w:qFormat/>
    <w:rsid w:val="0026100E"/>
  </w:style>
  <w:style w:type="character" w:customStyle="1" w:styleId="CharItalic">
    <w:name w:val="CharItalic"/>
    <w:basedOn w:val="OPCCharBase"/>
    <w:uiPriority w:val="1"/>
    <w:qFormat/>
    <w:rsid w:val="0026100E"/>
    <w:rPr>
      <w:i/>
    </w:rPr>
  </w:style>
  <w:style w:type="character" w:customStyle="1" w:styleId="CharPartNo">
    <w:name w:val="CharPartNo"/>
    <w:basedOn w:val="OPCCharBase"/>
    <w:uiPriority w:val="1"/>
    <w:qFormat/>
    <w:rsid w:val="0026100E"/>
  </w:style>
  <w:style w:type="character" w:customStyle="1" w:styleId="CharPartText">
    <w:name w:val="CharPartText"/>
    <w:basedOn w:val="OPCCharBase"/>
    <w:uiPriority w:val="1"/>
    <w:qFormat/>
    <w:rsid w:val="0026100E"/>
  </w:style>
  <w:style w:type="character" w:customStyle="1" w:styleId="CharSectno">
    <w:name w:val="CharSectno"/>
    <w:basedOn w:val="OPCCharBase"/>
    <w:qFormat/>
    <w:rsid w:val="0026100E"/>
  </w:style>
  <w:style w:type="character" w:customStyle="1" w:styleId="CharSubdNo">
    <w:name w:val="CharSubdNo"/>
    <w:basedOn w:val="OPCCharBase"/>
    <w:uiPriority w:val="1"/>
    <w:qFormat/>
    <w:rsid w:val="0026100E"/>
  </w:style>
  <w:style w:type="character" w:customStyle="1" w:styleId="CharSubdText">
    <w:name w:val="CharSubdText"/>
    <w:basedOn w:val="OPCCharBase"/>
    <w:uiPriority w:val="1"/>
    <w:qFormat/>
    <w:rsid w:val="0026100E"/>
  </w:style>
  <w:style w:type="paragraph" w:customStyle="1" w:styleId="CTA--">
    <w:name w:val="CTA --"/>
    <w:basedOn w:val="OPCParaBase"/>
    <w:next w:val="Normal"/>
    <w:rsid w:val="0026100E"/>
    <w:pPr>
      <w:spacing w:before="60" w:line="240" w:lineRule="atLeast"/>
      <w:ind w:left="142" w:hanging="142"/>
    </w:pPr>
    <w:rPr>
      <w:sz w:val="20"/>
    </w:rPr>
  </w:style>
  <w:style w:type="paragraph" w:customStyle="1" w:styleId="CTA-">
    <w:name w:val="CTA -"/>
    <w:basedOn w:val="OPCParaBase"/>
    <w:rsid w:val="0026100E"/>
    <w:pPr>
      <w:spacing w:before="60" w:line="240" w:lineRule="atLeast"/>
      <w:ind w:left="85" w:hanging="85"/>
    </w:pPr>
    <w:rPr>
      <w:sz w:val="20"/>
    </w:rPr>
  </w:style>
  <w:style w:type="paragraph" w:customStyle="1" w:styleId="CTA---">
    <w:name w:val="CTA ---"/>
    <w:basedOn w:val="OPCParaBase"/>
    <w:next w:val="Normal"/>
    <w:rsid w:val="0026100E"/>
    <w:pPr>
      <w:spacing w:before="60" w:line="240" w:lineRule="atLeast"/>
      <w:ind w:left="198" w:hanging="198"/>
    </w:pPr>
    <w:rPr>
      <w:sz w:val="20"/>
    </w:rPr>
  </w:style>
  <w:style w:type="paragraph" w:customStyle="1" w:styleId="CTA----">
    <w:name w:val="CTA ----"/>
    <w:basedOn w:val="OPCParaBase"/>
    <w:next w:val="Normal"/>
    <w:rsid w:val="0026100E"/>
    <w:pPr>
      <w:spacing w:before="60" w:line="240" w:lineRule="atLeast"/>
      <w:ind w:left="255" w:hanging="255"/>
    </w:pPr>
    <w:rPr>
      <w:sz w:val="20"/>
    </w:rPr>
  </w:style>
  <w:style w:type="paragraph" w:customStyle="1" w:styleId="CTA1a">
    <w:name w:val="CTA 1(a)"/>
    <w:basedOn w:val="OPCParaBase"/>
    <w:rsid w:val="0026100E"/>
    <w:pPr>
      <w:tabs>
        <w:tab w:val="right" w:pos="414"/>
      </w:tabs>
      <w:spacing w:before="40" w:line="240" w:lineRule="atLeast"/>
      <w:ind w:left="675" w:hanging="675"/>
    </w:pPr>
    <w:rPr>
      <w:sz w:val="20"/>
    </w:rPr>
  </w:style>
  <w:style w:type="paragraph" w:customStyle="1" w:styleId="CTA1ai">
    <w:name w:val="CTA 1(a)(i)"/>
    <w:basedOn w:val="OPCParaBase"/>
    <w:rsid w:val="0026100E"/>
    <w:pPr>
      <w:tabs>
        <w:tab w:val="right" w:pos="1004"/>
      </w:tabs>
      <w:spacing w:before="40" w:line="240" w:lineRule="atLeast"/>
      <w:ind w:left="1253" w:hanging="1253"/>
    </w:pPr>
    <w:rPr>
      <w:sz w:val="20"/>
    </w:rPr>
  </w:style>
  <w:style w:type="paragraph" w:customStyle="1" w:styleId="CTA2a">
    <w:name w:val="CTA 2(a)"/>
    <w:basedOn w:val="OPCParaBase"/>
    <w:rsid w:val="0026100E"/>
    <w:pPr>
      <w:tabs>
        <w:tab w:val="right" w:pos="482"/>
      </w:tabs>
      <w:spacing w:before="40" w:line="240" w:lineRule="atLeast"/>
      <w:ind w:left="748" w:hanging="748"/>
    </w:pPr>
    <w:rPr>
      <w:sz w:val="20"/>
    </w:rPr>
  </w:style>
  <w:style w:type="paragraph" w:customStyle="1" w:styleId="CTA2ai">
    <w:name w:val="CTA 2(a)(i)"/>
    <w:basedOn w:val="OPCParaBase"/>
    <w:rsid w:val="0026100E"/>
    <w:pPr>
      <w:tabs>
        <w:tab w:val="right" w:pos="1089"/>
      </w:tabs>
      <w:spacing w:before="40" w:line="240" w:lineRule="atLeast"/>
      <w:ind w:left="1327" w:hanging="1327"/>
    </w:pPr>
    <w:rPr>
      <w:sz w:val="20"/>
    </w:rPr>
  </w:style>
  <w:style w:type="paragraph" w:customStyle="1" w:styleId="CTA3a">
    <w:name w:val="CTA 3(a)"/>
    <w:basedOn w:val="OPCParaBase"/>
    <w:rsid w:val="0026100E"/>
    <w:pPr>
      <w:tabs>
        <w:tab w:val="right" w:pos="556"/>
      </w:tabs>
      <w:spacing w:before="40" w:line="240" w:lineRule="atLeast"/>
      <w:ind w:left="805" w:hanging="805"/>
    </w:pPr>
    <w:rPr>
      <w:sz w:val="20"/>
    </w:rPr>
  </w:style>
  <w:style w:type="paragraph" w:customStyle="1" w:styleId="CTA3ai">
    <w:name w:val="CTA 3(a)(i)"/>
    <w:basedOn w:val="OPCParaBase"/>
    <w:rsid w:val="0026100E"/>
    <w:pPr>
      <w:tabs>
        <w:tab w:val="right" w:pos="1140"/>
      </w:tabs>
      <w:spacing w:before="40" w:line="240" w:lineRule="atLeast"/>
      <w:ind w:left="1361" w:hanging="1361"/>
    </w:pPr>
    <w:rPr>
      <w:sz w:val="20"/>
    </w:rPr>
  </w:style>
  <w:style w:type="paragraph" w:customStyle="1" w:styleId="CTA4a">
    <w:name w:val="CTA 4(a)"/>
    <w:basedOn w:val="OPCParaBase"/>
    <w:rsid w:val="0026100E"/>
    <w:pPr>
      <w:tabs>
        <w:tab w:val="right" w:pos="624"/>
      </w:tabs>
      <w:spacing w:before="40" w:line="240" w:lineRule="atLeast"/>
      <w:ind w:left="873" w:hanging="873"/>
    </w:pPr>
    <w:rPr>
      <w:sz w:val="20"/>
    </w:rPr>
  </w:style>
  <w:style w:type="paragraph" w:customStyle="1" w:styleId="CTA4ai">
    <w:name w:val="CTA 4(a)(i)"/>
    <w:basedOn w:val="OPCParaBase"/>
    <w:rsid w:val="0026100E"/>
    <w:pPr>
      <w:tabs>
        <w:tab w:val="right" w:pos="1213"/>
      </w:tabs>
      <w:spacing w:before="40" w:line="240" w:lineRule="atLeast"/>
      <w:ind w:left="1452" w:hanging="1452"/>
    </w:pPr>
    <w:rPr>
      <w:sz w:val="20"/>
    </w:rPr>
  </w:style>
  <w:style w:type="paragraph" w:customStyle="1" w:styleId="CTACAPS">
    <w:name w:val="CTA CAPS"/>
    <w:basedOn w:val="OPCParaBase"/>
    <w:rsid w:val="0026100E"/>
    <w:pPr>
      <w:spacing w:before="60" w:line="240" w:lineRule="atLeast"/>
    </w:pPr>
    <w:rPr>
      <w:sz w:val="20"/>
    </w:rPr>
  </w:style>
  <w:style w:type="paragraph" w:customStyle="1" w:styleId="CTAright">
    <w:name w:val="CTA right"/>
    <w:basedOn w:val="OPCParaBase"/>
    <w:rsid w:val="0026100E"/>
    <w:pPr>
      <w:spacing w:before="60" w:line="240" w:lineRule="auto"/>
      <w:jc w:val="right"/>
    </w:pPr>
    <w:rPr>
      <w:sz w:val="20"/>
    </w:rPr>
  </w:style>
  <w:style w:type="paragraph" w:customStyle="1" w:styleId="subsection">
    <w:name w:val="subsection"/>
    <w:aliases w:val="ss,Subsection"/>
    <w:basedOn w:val="OPCParaBase"/>
    <w:link w:val="subsectionChar"/>
    <w:rsid w:val="0026100E"/>
    <w:pPr>
      <w:tabs>
        <w:tab w:val="right" w:pos="1021"/>
      </w:tabs>
      <w:spacing w:before="180" w:line="240" w:lineRule="auto"/>
      <w:ind w:left="1134" w:hanging="1134"/>
    </w:pPr>
  </w:style>
  <w:style w:type="paragraph" w:customStyle="1" w:styleId="Definition">
    <w:name w:val="Definition"/>
    <w:aliases w:val="dd"/>
    <w:basedOn w:val="OPCParaBase"/>
    <w:rsid w:val="0026100E"/>
    <w:pPr>
      <w:spacing w:before="180" w:line="240" w:lineRule="auto"/>
      <w:ind w:left="1134"/>
    </w:pPr>
  </w:style>
  <w:style w:type="paragraph" w:customStyle="1" w:styleId="EndNotespara">
    <w:name w:val="EndNotes(para)"/>
    <w:aliases w:val="eta"/>
    <w:basedOn w:val="OPCParaBase"/>
    <w:next w:val="EndNotessubpara"/>
    <w:rsid w:val="002610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10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10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100E"/>
    <w:pPr>
      <w:tabs>
        <w:tab w:val="right" w:pos="1412"/>
      </w:tabs>
      <w:spacing w:before="60" w:line="240" w:lineRule="auto"/>
      <w:ind w:left="1525" w:hanging="1525"/>
    </w:pPr>
    <w:rPr>
      <w:sz w:val="20"/>
    </w:rPr>
  </w:style>
  <w:style w:type="paragraph" w:customStyle="1" w:styleId="Formula">
    <w:name w:val="Formula"/>
    <w:basedOn w:val="OPCParaBase"/>
    <w:rsid w:val="0026100E"/>
    <w:pPr>
      <w:spacing w:line="240" w:lineRule="auto"/>
      <w:ind w:left="1134"/>
    </w:pPr>
    <w:rPr>
      <w:sz w:val="20"/>
    </w:rPr>
  </w:style>
  <w:style w:type="paragraph" w:styleId="Header">
    <w:name w:val="header"/>
    <w:basedOn w:val="OPCParaBase"/>
    <w:link w:val="HeaderChar"/>
    <w:unhideWhenUsed/>
    <w:rsid w:val="002610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100E"/>
    <w:rPr>
      <w:rFonts w:eastAsia="Times New Roman" w:cs="Times New Roman"/>
      <w:sz w:val="16"/>
      <w:lang w:eastAsia="en-AU"/>
    </w:rPr>
  </w:style>
  <w:style w:type="paragraph" w:customStyle="1" w:styleId="House">
    <w:name w:val="House"/>
    <w:basedOn w:val="OPCParaBase"/>
    <w:rsid w:val="0026100E"/>
    <w:pPr>
      <w:spacing w:line="240" w:lineRule="auto"/>
    </w:pPr>
    <w:rPr>
      <w:sz w:val="28"/>
    </w:rPr>
  </w:style>
  <w:style w:type="paragraph" w:customStyle="1" w:styleId="Item">
    <w:name w:val="Item"/>
    <w:aliases w:val="i"/>
    <w:basedOn w:val="OPCParaBase"/>
    <w:next w:val="ItemHead"/>
    <w:rsid w:val="0026100E"/>
    <w:pPr>
      <w:keepLines/>
      <w:spacing w:before="80" w:line="240" w:lineRule="auto"/>
      <w:ind w:left="709"/>
    </w:pPr>
  </w:style>
  <w:style w:type="paragraph" w:customStyle="1" w:styleId="ItemHead">
    <w:name w:val="ItemHead"/>
    <w:aliases w:val="ih"/>
    <w:basedOn w:val="OPCParaBase"/>
    <w:next w:val="Item"/>
    <w:rsid w:val="002610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100E"/>
    <w:pPr>
      <w:spacing w:line="240" w:lineRule="auto"/>
    </w:pPr>
    <w:rPr>
      <w:b/>
      <w:sz w:val="32"/>
    </w:rPr>
  </w:style>
  <w:style w:type="paragraph" w:customStyle="1" w:styleId="notedraft">
    <w:name w:val="note(draft)"/>
    <w:aliases w:val="nd"/>
    <w:basedOn w:val="OPCParaBase"/>
    <w:rsid w:val="0026100E"/>
    <w:pPr>
      <w:spacing w:before="240" w:line="240" w:lineRule="auto"/>
      <w:ind w:left="284" w:hanging="284"/>
    </w:pPr>
    <w:rPr>
      <w:i/>
      <w:sz w:val="24"/>
    </w:rPr>
  </w:style>
  <w:style w:type="paragraph" w:customStyle="1" w:styleId="notemargin">
    <w:name w:val="note(margin)"/>
    <w:aliases w:val="nm"/>
    <w:basedOn w:val="OPCParaBase"/>
    <w:rsid w:val="0026100E"/>
    <w:pPr>
      <w:tabs>
        <w:tab w:val="left" w:pos="709"/>
      </w:tabs>
      <w:spacing w:before="122" w:line="198" w:lineRule="exact"/>
      <w:ind w:left="709" w:hanging="709"/>
    </w:pPr>
    <w:rPr>
      <w:sz w:val="18"/>
    </w:rPr>
  </w:style>
  <w:style w:type="paragraph" w:customStyle="1" w:styleId="noteToPara">
    <w:name w:val="noteToPara"/>
    <w:aliases w:val="ntp"/>
    <w:basedOn w:val="OPCParaBase"/>
    <w:rsid w:val="0026100E"/>
    <w:pPr>
      <w:spacing w:before="122" w:line="198" w:lineRule="exact"/>
      <w:ind w:left="2353" w:hanging="709"/>
    </w:pPr>
    <w:rPr>
      <w:sz w:val="18"/>
    </w:rPr>
  </w:style>
  <w:style w:type="paragraph" w:customStyle="1" w:styleId="noteParlAmend">
    <w:name w:val="note(ParlAmend)"/>
    <w:aliases w:val="npp"/>
    <w:basedOn w:val="OPCParaBase"/>
    <w:next w:val="ParlAmend"/>
    <w:rsid w:val="0026100E"/>
    <w:pPr>
      <w:spacing w:line="240" w:lineRule="auto"/>
      <w:jc w:val="right"/>
    </w:pPr>
    <w:rPr>
      <w:rFonts w:ascii="Arial" w:hAnsi="Arial"/>
      <w:b/>
      <w:i/>
    </w:rPr>
  </w:style>
  <w:style w:type="paragraph" w:customStyle="1" w:styleId="Page1">
    <w:name w:val="Page1"/>
    <w:basedOn w:val="OPCParaBase"/>
    <w:rsid w:val="0026100E"/>
    <w:pPr>
      <w:spacing w:before="5600" w:line="240" w:lineRule="auto"/>
    </w:pPr>
    <w:rPr>
      <w:b/>
      <w:sz w:val="32"/>
    </w:rPr>
  </w:style>
  <w:style w:type="paragraph" w:customStyle="1" w:styleId="PageBreak">
    <w:name w:val="PageBreak"/>
    <w:aliases w:val="pb"/>
    <w:basedOn w:val="OPCParaBase"/>
    <w:rsid w:val="0026100E"/>
    <w:pPr>
      <w:spacing w:line="240" w:lineRule="auto"/>
    </w:pPr>
    <w:rPr>
      <w:sz w:val="20"/>
    </w:rPr>
  </w:style>
  <w:style w:type="paragraph" w:customStyle="1" w:styleId="paragraphsub">
    <w:name w:val="paragraph(sub)"/>
    <w:aliases w:val="aa"/>
    <w:basedOn w:val="OPCParaBase"/>
    <w:rsid w:val="0026100E"/>
    <w:pPr>
      <w:tabs>
        <w:tab w:val="right" w:pos="1985"/>
      </w:tabs>
      <w:spacing w:before="40" w:line="240" w:lineRule="auto"/>
      <w:ind w:left="2098" w:hanging="2098"/>
    </w:pPr>
  </w:style>
  <w:style w:type="paragraph" w:customStyle="1" w:styleId="paragraphsub-sub">
    <w:name w:val="paragraph(sub-sub)"/>
    <w:aliases w:val="aaa"/>
    <w:basedOn w:val="OPCParaBase"/>
    <w:rsid w:val="0026100E"/>
    <w:pPr>
      <w:tabs>
        <w:tab w:val="right" w:pos="2722"/>
      </w:tabs>
      <w:spacing w:before="40" w:line="240" w:lineRule="auto"/>
      <w:ind w:left="2835" w:hanging="2835"/>
    </w:pPr>
  </w:style>
  <w:style w:type="paragraph" w:customStyle="1" w:styleId="paragraph">
    <w:name w:val="paragraph"/>
    <w:aliases w:val="a"/>
    <w:basedOn w:val="OPCParaBase"/>
    <w:link w:val="paragraphChar"/>
    <w:rsid w:val="0026100E"/>
    <w:pPr>
      <w:tabs>
        <w:tab w:val="right" w:pos="1531"/>
      </w:tabs>
      <w:spacing w:before="40" w:line="240" w:lineRule="auto"/>
      <w:ind w:left="1644" w:hanging="1644"/>
    </w:pPr>
  </w:style>
  <w:style w:type="paragraph" w:customStyle="1" w:styleId="ParlAmend">
    <w:name w:val="ParlAmend"/>
    <w:aliases w:val="pp"/>
    <w:basedOn w:val="OPCParaBase"/>
    <w:rsid w:val="0026100E"/>
    <w:pPr>
      <w:spacing w:before="240" w:line="240" w:lineRule="atLeast"/>
      <w:ind w:hanging="567"/>
    </w:pPr>
    <w:rPr>
      <w:sz w:val="24"/>
    </w:rPr>
  </w:style>
  <w:style w:type="paragraph" w:customStyle="1" w:styleId="Penalty">
    <w:name w:val="Penalty"/>
    <w:basedOn w:val="OPCParaBase"/>
    <w:rsid w:val="0026100E"/>
    <w:pPr>
      <w:tabs>
        <w:tab w:val="left" w:pos="2977"/>
      </w:tabs>
      <w:spacing w:before="180" w:line="240" w:lineRule="auto"/>
      <w:ind w:left="1985" w:hanging="851"/>
    </w:pPr>
  </w:style>
  <w:style w:type="paragraph" w:customStyle="1" w:styleId="Portfolio">
    <w:name w:val="Portfolio"/>
    <w:basedOn w:val="OPCParaBase"/>
    <w:rsid w:val="0026100E"/>
    <w:pPr>
      <w:spacing w:line="240" w:lineRule="auto"/>
    </w:pPr>
    <w:rPr>
      <w:i/>
      <w:sz w:val="20"/>
    </w:rPr>
  </w:style>
  <w:style w:type="paragraph" w:customStyle="1" w:styleId="Preamble">
    <w:name w:val="Preamble"/>
    <w:basedOn w:val="OPCParaBase"/>
    <w:next w:val="Normal"/>
    <w:rsid w:val="002610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100E"/>
    <w:pPr>
      <w:spacing w:line="240" w:lineRule="auto"/>
    </w:pPr>
    <w:rPr>
      <w:i/>
      <w:sz w:val="20"/>
    </w:rPr>
  </w:style>
  <w:style w:type="paragraph" w:customStyle="1" w:styleId="Session">
    <w:name w:val="Session"/>
    <w:basedOn w:val="OPCParaBase"/>
    <w:rsid w:val="0026100E"/>
    <w:pPr>
      <w:spacing w:line="240" w:lineRule="auto"/>
    </w:pPr>
    <w:rPr>
      <w:sz w:val="28"/>
    </w:rPr>
  </w:style>
  <w:style w:type="paragraph" w:customStyle="1" w:styleId="Sponsor">
    <w:name w:val="Sponsor"/>
    <w:basedOn w:val="OPCParaBase"/>
    <w:rsid w:val="0026100E"/>
    <w:pPr>
      <w:spacing w:line="240" w:lineRule="auto"/>
    </w:pPr>
    <w:rPr>
      <w:i/>
    </w:rPr>
  </w:style>
  <w:style w:type="paragraph" w:customStyle="1" w:styleId="Subitem">
    <w:name w:val="Subitem"/>
    <w:aliases w:val="iss"/>
    <w:basedOn w:val="OPCParaBase"/>
    <w:rsid w:val="0026100E"/>
    <w:pPr>
      <w:spacing w:before="180" w:line="240" w:lineRule="auto"/>
      <w:ind w:left="709" w:hanging="709"/>
    </w:pPr>
  </w:style>
  <w:style w:type="paragraph" w:customStyle="1" w:styleId="SubitemHead">
    <w:name w:val="SubitemHead"/>
    <w:aliases w:val="issh"/>
    <w:basedOn w:val="OPCParaBase"/>
    <w:rsid w:val="002610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100E"/>
    <w:pPr>
      <w:spacing w:before="40" w:line="240" w:lineRule="auto"/>
      <w:ind w:left="1134"/>
    </w:pPr>
  </w:style>
  <w:style w:type="paragraph" w:customStyle="1" w:styleId="SubsectionHead">
    <w:name w:val="SubsectionHead"/>
    <w:aliases w:val="ssh"/>
    <w:basedOn w:val="OPCParaBase"/>
    <w:next w:val="subsection"/>
    <w:rsid w:val="0026100E"/>
    <w:pPr>
      <w:keepNext/>
      <w:keepLines/>
      <w:spacing w:before="240" w:line="240" w:lineRule="auto"/>
      <w:ind w:left="1134"/>
    </w:pPr>
    <w:rPr>
      <w:i/>
    </w:rPr>
  </w:style>
  <w:style w:type="paragraph" w:customStyle="1" w:styleId="Tablea">
    <w:name w:val="Table(a)"/>
    <w:aliases w:val="ta"/>
    <w:basedOn w:val="OPCParaBase"/>
    <w:rsid w:val="0026100E"/>
    <w:pPr>
      <w:spacing w:before="60" w:line="240" w:lineRule="auto"/>
      <w:ind w:left="284" w:hanging="284"/>
    </w:pPr>
    <w:rPr>
      <w:sz w:val="20"/>
    </w:rPr>
  </w:style>
  <w:style w:type="paragraph" w:customStyle="1" w:styleId="TableAA">
    <w:name w:val="Table(AA)"/>
    <w:aliases w:val="taaa"/>
    <w:basedOn w:val="OPCParaBase"/>
    <w:rsid w:val="002610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10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6100E"/>
    <w:pPr>
      <w:spacing w:before="60" w:line="240" w:lineRule="atLeast"/>
    </w:pPr>
    <w:rPr>
      <w:sz w:val="20"/>
    </w:rPr>
  </w:style>
  <w:style w:type="paragraph" w:customStyle="1" w:styleId="TLPBoxTextnote">
    <w:name w:val="TLPBoxText(note"/>
    <w:aliases w:val="right)"/>
    <w:basedOn w:val="OPCParaBase"/>
    <w:rsid w:val="002610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10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100E"/>
    <w:pPr>
      <w:spacing w:before="122" w:line="198" w:lineRule="exact"/>
      <w:ind w:left="1985" w:hanging="851"/>
      <w:jc w:val="right"/>
    </w:pPr>
    <w:rPr>
      <w:sz w:val="18"/>
    </w:rPr>
  </w:style>
  <w:style w:type="paragraph" w:customStyle="1" w:styleId="TLPTableBullet">
    <w:name w:val="TLPTableBullet"/>
    <w:aliases w:val="ttb"/>
    <w:basedOn w:val="OPCParaBase"/>
    <w:rsid w:val="0026100E"/>
    <w:pPr>
      <w:spacing w:line="240" w:lineRule="exact"/>
      <w:ind w:left="284" w:hanging="284"/>
    </w:pPr>
    <w:rPr>
      <w:sz w:val="20"/>
    </w:rPr>
  </w:style>
  <w:style w:type="paragraph" w:styleId="TOC1">
    <w:name w:val="toc 1"/>
    <w:basedOn w:val="Normal"/>
    <w:next w:val="Normal"/>
    <w:uiPriority w:val="39"/>
    <w:unhideWhenUsed/>
    <w:rsid w:val="0026100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6100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6100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6100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6100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6100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6100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6100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6100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6100E"/>
    <w:pPr>
      <w:keepLines/>
      <w:spacing w:before="240" w:after="120" w:line="240" w:lineRule="auto"/>
      <w:ind w:left="794"/>
    </w:pPr>
    <w:rPr>
      <w:b/>
      <w:kern w:val="28"/>
      <w:sz w:val="20"/>
    </w:rPr>
  </w:style>
  <w:style w:type="paragraph" w:customStyle="1" w:styleId="TofSectsHeading">
    <w:name w:val="TofSects(Heading)"/>
    <w:basedOn w:val="OPCParaBase"/>
    <w:rsid w:val="0026100E"/>
    <w:pPr>
      <w:spacing w:before="240" w:after="120" w:line="240" w:lineRule="auto"/>
    </w:pPr>
    <w:rPr>
      <w:b/>
      <w:sz w:val="24"/>
    </w:rPr>
  </w:style>
  <w:style w:type="paragraph" w:customStyle="1" w:styleId="TofSectsSection">
    <w:name w:val="TofSects(Section)"/>
    <w:basedOn w:val="OPCParaBase"/>
    <w:rsid w:val="0026100E"/>
    <w:pPr>
      <w:keepLines/>
      <w:spacing w:before="40" w:line="240" w:lineRule="auto"/>
      <w:ind w:left="1588" w:hanging="794"/>
    </w:pPr>
    <w:rPr>
      <w:kern w:val="28"/>
      <w:sz w:val="18"/>
    </w:rPr>
  </w:style>
  <w:style w:type="paragraph" w:customStyle="1" w:styleId="TofSectsSubdiv">
    <w:name w:val="TofSects(Subdiv)"/>
    <w:basedOn w:val="OPCParaBase"/>
    <w:rsid w:val="0026100E"/>
    <w:pPr>
      <w:keepLines/>
      <w:spacing w:before="80" w:line="240" w:lineRule="auto"/>
      <w:ind w:left="1588" w:hanging="794"/>
    </w:pPr>
    <w:rPr>
      <w:kern w:val="28"/>
    </w:rPr>
  </w:style>
  <w:style w:type="paragraph" w:customStyle="1" w:styleId="WRStyle">
    <w:name w:val="WR Style"/>
    <w:aliases w:val="WR"/>
    <w:basedOn w:val="OPCParaBase"/>
    <w:rsid w:val="0026100E"/>
    <w:pPr>
      <w:spacing w:before="240" w:line="240" w:lineRule="auto"/>
      <w:ind w:left="284" w:hanging="284"/>
    </w:pPr>
    <w:rPr>
      <w:b/>
      <w:i/>
      <w:kern w:val="28"/>
      <w:sz w:val="24"/>
    </w:rPr>
  </w:style>
  <w:style w:type="paragraph" w:customStyle="1" w:styleId="notepara">
    <w:name w:val="note(para)"/>
    <w:aliases w:val="na"/>
    <w:basedOn w:val="OPCParaBase"/>
    <w:rsid w:val="0026100E"/>
    <w:pPr>
      <w:spacing w:before="40" w:line="198" w:lineRule="exact"/>
      <w:ind w:left="2354" w:hanging="369"/>
    </w:pPr>
    <w:rPr>
      <w:sz w:val="18"/>
    </w:rPr>
  </w:style>
  <w:style w:type="paragraph" w:styleId="Footer">
    <w:name w:val="footer"/>
    <w:link w:val="FooterChar"/>
    <w:rsid w:val="002610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100E"/>
    <w:rPr>
      <w:rFonts w:eastAsia="Times New Roman" w:cs="Times New Roman"/>
      <w:sz w:val="22"/>
      <w:szCs w:val="24"/>
      <w:lang w:eastAsia="en-AU"/>
    </w:rPr>
  </w:style>
  <w:style w:type="character" w:styleId="LineNumber">
    <w:name w:val="line number"/>
    <w:basedOn w:val="OPCCharBase"/>
    <w:uiPriority w:val="99"/>
    <w:unhideWhenUsed/>
    <w:rsid w:val="0026100E"/>
    <w:rPr>
      <w:sz w:val="16"/>
    </w:rPr>
  </w:style>
  <w:style w:type="table" w:customStyle="1" w:styleId="CFlag">
    <w:name w:val="CFlag"/>
    <w:basedOn w:val="TableNormal"/>
    <w:uiPriority w:val="99"/>
    <w:rsid w:val="0026100E"/>
    <w:rPr>
      <w:rFonts w:eastAsia="Times New Roman" w:cs="Times New Roman"/>
      <w:lang w:eastAsia="en-AU"/>
    </w:rPr>
    <w:tblPr/>
  </w:style>
  <w:style w:type="paragraph" w:styleId="BalloonText">
    <w:name w:val="Balloon Text"/>
    <w:basedOn w:val="Normal"/>
    <w:link w:val="BalloonTextChar"/>
    <w:uiPriority w:val="99"/>
    <w:unhideWhenUsed/>
    <w:rsid w:val="002610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100E"/>
    <w:rPr>
      <w:rFonts w:ascii="Tahoma" w:hAnsi="Tahoma" w:cs="Tahoma"/>
      <w:sz w:val="16"/>
      <w:szCs w:val="16"/>
    </w:rPr>
  </w:style>
  <w:style w:type="table" w:styleId="TableGrid">
    <w:name w:val="Table Grid"/>
    <w:aliases w:val="Summary box"/>
    <w:basedOn w:val="TableNormal"/>
    <w:uiPriority w:val="59"/>
    <w:rsid w:val="0026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6100E"/>
    <w:rPr>
      <w:b/>
      <w:sz w:val="28"/>
      <w:szCs w:val="32"/>
    </w:rPr>
  </w:style>
  <w:style w:type="paragraph" w:customStyle="1" w:styleId="LegislationMadeUnder">
    <w:name w:val="LegislationMadeUnder"/>
    <w:basedOn w:val="OPCParaBase"/>
    <w:next w:val="Normal"/>
    <w:rsid w:val="0026100E"/>
    <w:rPr>
      <w:i/>
      <w:sz w:val="32"/>
      <w:szCs w:val="32"/>
    </w:rPr>
  </w:style>
  <w:style w:type="paragraph" w:customStyle="1" w:styleId="SignCoverPageEnd">
    <w:name w:val="SignCoverPageEnd"/>
    <w:basedOn w:val="OPCParaBase"/>
    <w:next w:val="Normal"/>
    <w:rsid w:val="002610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100E"/>
    <w:pPr>
      <w:pBdr>
        <w:top w:val="single" w:sz="4" w:space="1" w:color="auto"/>
      </w:pBdr>
      <w:spacing w:before="360"/>
      <w:ind w:right="397"/>
      <w:jc w:val="both"/>
    </w:pPr>
  </w:style>
  <w:style w:type="paragraph" w:customStyle="1" w:styleId="NotesHeading1">
    <w:name w:val="NotesHeading 1"/>
    <w:basedOn w:val="OPCParaBase"/>
    <w:next w:val="Normal"/>
    <w:rsid w:val="0026100E"/>
    <w:rPr>
      <w:b/>
      <w:sz w:val="28"/>
      <w:szCs w:val="28"/>
    </w:rPr>
  </w:style>
  <w:style w:type="paragraph" w:customStyle="1" w:styleId="NotesHeading2">
    <w:name w:val="NotesHeading 2"/>
    <w:basedOn w:val="OPCParaBase"/>
    <w:next w:val="Normal"/>
    <w:rsid w:val="0026100E"/>
    <w:rPr>
      <w:b/>
      <w:sz w:val="28"/>
      <w:szCs w:val="28"/>
    </w:rPr>
  </w:style>
  <w:style w:type="paragraph" w:customStyle="1" w:styleId="CompiledActNo">
    <w:name w:val="CompiledActNo"/>
    <w:basedOn w:val="OPCParaBase"/>
    <w:next w:val="Normal"/>
    <w:rsid w:val="0026100E"/>
    <w:rPr>
      <w:b/>
      <w:sz w:val="24"/>
      <w:szCs w:val="24"/>
    </w:rPr>
  </w:style>
  <w:style w:type="paragraph" w:customStyle="1" w:styleId="ENotesText">
    <w:name w:val="ENotesText"/>
    <w:aliases w:val="Ent"/>
    <w:basedOn w:val="OPCParaBase"/>
    <w:next w:val="Normal"/>
    <w:rsid w:val="0026100E"/>
    <w:pPr>
      <w:spacing w:before="120"/>
    </w:pPr>
  </w:style>
  <w:style w:type="paragraph" w:customStyle="1" w:styleId="CompiledMadeUnder">
    <w:name w:val="CompiledMadeUnder"/>
    <w:basedOn w:val="OPCParaBase"/>
    <w:next w:val="Normal"/>
    <w:rsid w:val="0026100E"/>
    <w:rPr>
      <w:i/>
      <w:sz w:val="24"/>
      <w:szCs w:val="24"/>
    </w:rPr>
  </w:style>
  <w:style w:type="paragraph" w:customStyle="1" w:styleId="Paragraphsub-sub-sub">
    <w:name w:val="Paragraph(sub-sub-sub)"/>
    <w:aliases w:val="aaaa"/>
    <w:basedOn w:val="OPCParaBase"/>
    <w:rsid w:val="0026100E"/>
    <w:pPr>
      <w:tabs>
        <w:tab w:val="right" w:pos="3402"/>
      </w:tabs>
      <w:spacing w:before="40" w:line="240" w:lineRule="auto"/>
      <w:ind w:left="3402" w:hanging="3402"/>
    </w:pPr>
  </w:style>
  <w:style w:type="paragraph" w:customStyle="1" w:styleId="TableTextEndNotes">
    <w:name w:val="TableTextEndNotes"/>
    <w:aliases w:val="Tten"/>
    <w:basedOn w:val="Normal"/>
    <w:rsid w:val="0026100E"/>
    <w:pPr>
      <w:spacing w:before="60" w:line="240" w:lineRule="auto"/>
    </w:pPr>
    <w:rPr>
      <w:rFonts w:cs="Arial"/>
      <w:sz w:val="20"/>
      <w:szCs w:val="22"/>
    </w:rPr>
  </w:style>
  <w:style w:type="paragraph" w:customStyle="1" w:styleId="NoteToSubpara">
    <w:name w:val="NoteToSubpara"/>
    <w:aliases w:val="nts"/>
    <w:basedOn w:val="OPCParaBase"/>
    <w:rsid w:val="0026100E"/>
    <w:pPr>
      <w:spacing w:before="40" w:line="198" w:lineRule="exact"/>
      <w:ind w:left="2835" w:hanging="709"/>
    </w:pPr>
    <w:rPr>
      <w:sz w:val="18"/>
    </w:rPr>
  </w:style>
  <w:style w:type="paragraph" w:customStyle="1" w:styleId="ENoteTableHeading">
    <w:name w:val="ENoteTableHeading"/>
    <w:aliases w:val="enth"/>
    <w:basedOn w:val="OPCParaBase"/>
    <w:rsid w:val="0026100E"/>
    <w:pPr>
      <w:keepNext/>
      <w:spacing w:before="60" w:line="240" w:lineRule="atLeast"/>
    </w:pPr>
    <w:rPr>
      <w:rFonts w:ascii="Arial" w:hAnsi="Arial"/>
      <w:b/>
      <w:sz w:val="16"/>
    </w:rPr>
  </w:style>
  <w:style w:type="paragraph" w:customStyle="1" w:styleId="ENoteTTi">
    <w:name w:val="ENoteTTi"/>
    <w:aliases w:val="entti"/>
    <w:basedOn w:val="OPCParaBase"/>
    <w:rsid w:val="0026100E"/>
    <w:pPr>
      <w:keepNext/>
      <w:spacing w:before="60" w:line="240" w:lineRule="atLeast"/>
      <w:ind w:left="170"/>
    </w:pPr>
    <w:rPr>
      <w:sz w:val="16"/>
    </w:rPr>
  </w:style>
  <w:style w:type="paragraph" w:customStyle="1" w:styleId="ENotesHeading1">
    <w:name w:val="ENotesHeading 1"/>
    <w:aliases w:val="Enh1"/>
    <w:basedOn w:val="OPCParaBase"/>
    <w:next w:val="Normal"/>
    <w:rsid w:val="0026100E"/>
    <w:pPr>
      <w:spacing w:before="120"/>
      <w:outlineLvl w:val="1"/>
    </w:pPr>
    <w:rPr>
      <w:b/>
      <w:sz w:val="28"/>
      <w:szCs w:val="28"/>
    </w:rPr>
  </w:style>
  <w:style w:type="paragraph" w:customStyle="1" w:styleId="ENotesHeading2">
    <w:name w:val="ENotesHeading 2"/>
    <w:aliases w:val="Enh2"/>
    <w:basedOn w:val="OPCParaBase"/>
    <w:next w:val="Normal"/>
    <w:rsid w:val="0026100E"/>
    <w:pPr>
      <w:spacing w:before="120" w:after="120"/>
      <w:outlineLvl w:val="2"/>
    </w:pPr>
    <w:rPr>
      <w:b/>
      <w:sz w:val="24"/>
      <w:szCs w:val="28"/>
    </w:rPr>
  </w:style>
  <w:style w:type="paragraph" w:customStyle="1" w:styleId="ENoteTTIndentHeading">
    <w:name w:val="ENoteTTIndentHeading"/>
    <w:aliases w:val="enTTHi"/>
    <w:basedOn w:val="OPCParaBase"/>
    <w:rsid w:val="002610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6100E"/>
    <w:pPr>
      <w:spacing w:before="60" w:line="240" w:lineRule="atLeast"/>
    </w:pPr>
    <w:rPr>
      <w:sz w:val="16"/>
    </w:rPr>
  </w:style>
  <w:style w:type="paragraph" w:customStyle="1" w:styleId="MadeunderText">
    <w:name w:val="MadeunderText"/>
    <w:basedOn w:val="OPCParaBase"/>
    <w:next w:val="Normal"/>
    <w:rsid w:val="0026100E"/>
    <w:pPr>
      <w:spacing w:before="240"/>
    </w:pPr>
    <w:rPr>
      <w:sz w:val="24"/>
      <w:szCs w:val="24"/>
    </w:rPr>
  </w:style>
  <w:style w:type="paragraph" w:customStyle="1" w:styleId="ENotesHeading3">
    <w:name w:val="ENotesHeading 3"/>
    <w:aliases w:val="Enh3"/>
    <w:basedOn w:val="OPCParaBase"/>
    <w:next w:val="Normal"/>
    <w:rsid w:val="0026100E"/>
    <w:pPr>
      <w:keepNext/>
      <w:spacing w:before="120" w:line="240" w:lineRule="auto"/>
      <w:outlineLvl w:val="4"/>
    </w:pPr>
    <w:rPr>
      <w:b/>
      <w:szCs w:val="24"/>
    </w:rPr>
  </w:style>
  <w:style w:type="character" w:customStyle="1" w:styleId="CharSubPartTextCASA">
    <w:name w:val="CharSubPartText(CASA)"/>
    <w:basedOn w:val="OPCCharBase"/>
    <w:uiPriority w:val="1"/>
    <w:rsid w:val="0026100E"/>
  </w:style>
  <w:style w:type="character" w:customStyle="1" w:styleId="CharSubPartNoCASA">
    <w:name w:val="CharSubPartNo(CASA)"/>
    <w:basedOn w:val="OPCCharBase"/>
    <w:uiPriority w:val="1"/>
    <w:rsid w:val="0026100E"/>
  </w:style>
  <w:style w:type="paragraph" w:customStyle="1" w:styleId="ENoteTTIndentHeadingSub">
    <w:name w:val="ENoteTTIndentHeadingSub"/>
    <w:aliases w:val="enTTHis"/>
    <w:basedOn w:val="OPCParaBase"/>
    <w:rsid w:val="0026100E"/>
    <w:pPr>
      <w:keepNext/>
      <w:spacing w:before="60" w:line="240" w:lineRule="atLeast"/>
      <w:ind w:left="340"/>
    </w:pPr>
    <w:rPr>
      <w:b/>
      <w:sz w:val="16"/>
    </w:rPr>
  </w:style>
  <w:style w:type="paragraph" w:customStyle="1" w:styleId="ENoteTTiSub">
    <w:name w:val="ENoteTTiSub"/>
    <w:aliases w:val="enttis"/>
    <w:basedOn w:val="OPCParaBase"/>
    <w:rsid w:val="0026100E"/>
    <w:pPr>
      <w:keepNext/>
      <w:spacing w:before="60" w:line="240" w:lineRule="atLeast"/>
      <w:ind w:left="340"/>
    </w:pPr>
    <w:rPr>
      <w:sz w:val="16"/>
    </w:rPr>
  </w:style>
  <w:style w:type="paragraph" w:customStyle="1" w:styleId="SubDivisionMigration">
    <w:name w:val="SubDivisionMigration"/>
    <w:aliases w:val="sdm"/>
    <w:basedOn w:val="OPCParaBase"/>
    <w:rsid w:val="002610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10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6100E"/>
    <w:pPr>
      <w:spacing w:before="122" w:line="240" w:lineRule="auto"/>
      <w:ind w:left="1985" w:hanging="851"/>
    </w:pPr>
    <w:rPr>
      <w:sz w:val="18"/>
    </w:rPr>
  </w:style>
  <w:style w:type="paragraph" w:customStyle="1" w:styleId="FreeForm">
    <w:name w:val="FreeForm"/>
    <w:rsid w:val="0026100E"/>
    <w:rPr>
      <w:rFonts w:ascii="Arial" w:hAnsi="Arial"/>
      <w:sz w:val="22"/>
    </w:rPr>
  </w:style>
  <w:style w:type="paragraph" w:customStyle="1" w:styleId="SOText">
    <w:name w:val="SO Text"/>
    <w:aliases w:val="sot"/>
    <w:link w:val="SOTextChar"/>
    <w:rsid w:val="002610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100E"/>
    <w:rPr>
      <w:sz w:val="22"/>
    </w:rPr>
  </w:style>
  <w:style w:type="paragraph" w:customStyle="1" w:styleId="SOTextNote">
    <w:name w:val="SO TextNote"/>
    <w:aliases w:val="sont"/>
    <w:basedOn w:val="SOText"/>
    <w:qFormat/>
    <w:rsid w:val="0026100E"/>
    <w:pPr>
      <w:spacing w:before="122" w:line="198" w:lineRule="exact"/>
      <w:ind w:left="1843" w:hanging="709"/>
    </w:pPr>
    <w:rPr>
      <w:sz w:val="18"/>
    </w:rPr>
  </w:style>
  <w:style w:type="paragraph" w:customStyle="1" w:styleId="SOPara">
    <w:name w:val="SO Para"/>
    <w:aliases w:val="soa"/>
    <w:basedOn w:val="SOText"/>
    <w:link w:val="SOParaChar"/>
    <w:qFormat/>
    <w:rsid w:val="0026100E"/>
    <w:pPr>
      <w:tabs>
        <w:tab w:val="right" w:pos="1786"/>
      </w:tabs>
      <w:spacing w:before="40"/>
      <w:ind w:left="2070" w:hanging="936"/>
    </w:pPr>
  </w:style>
  <w:style w:type="character" w:customStyle="1" w:styleId="SOParaChar">
    <w:name w:val="SO Para Char"/>
    <w:aliases w:val="soa Char"/>
    <w:basedOn w:val="DefaultParagraphFont"/>
    <w:link w:val="SOPara"/>
    <w:rsid w:val="0026100E"/>
    <w:rPr>
      <w:sz w:val="22"/>
    </w:rPr>
  </w:style>
  <w:style w:type="paragraph" w:customStyle="1" w:styleId="FileName">
    <w:name w:val="FileName"/>
    <w:basedOn w:val="Normal"/>
    <w:rsid w:val="0026100E"/>
  </w:style>
  <w:style w:type="paragraph" w:customStyle="1" w:styleId="TableHeading">
    <w:name w:val="TableHeading"/>
    <w:aliases w:val="th"/>
    <w:basedOn w:val="OPCParaBase"/>
    <w:next w:val="Tabletext"/>
    <w:rsid w:val="0026100E"/>
    <w:pPr>
      <w:keepNext/>
      <w:spacing w:before="60" w:line="240" w:lineRule="atLeast"/>
    </w:pPr>
    <w:rPr>
      <w:b/>
      <w:sz w:val="20"/>
    </w:rPr>
  </w:style>
  <w:style w:type="paragraph" w:customStyle="1" w:styleId="SOHeadBold">
    <w:name w:val="SO HeadBold"/>
    <w:aliases w:val="sohb"/>
    <w:basedOn w:val="SOText"/>
    <w:next w:val="SOText"/>
    <w:link w:val="SOHeadBoldChar"/>
    <w:qFormat/>
    <w:rsid w:val="0026100E"/>
    <w:rPr>
      <w:b/>
    </w:rPr>
  </w:style>
  <w:style w:type="character" w:customStyle="1" w:styleId="SOHeadBoldChar">
    <w:name w:val="SO HeadBold Char"/>
    <w:aliases w:val="sohb Char"/>
    <w:basedOn w:val="DefaultParagraphFont"/>
    <w:link w:val="SOHeadBold"/>
    <w:rsid w:val="0026100E"/>
    <w:rPr>
      <w:b/>
      <w:sz w:val="22"/>
    </w:rPr>
  </w:style>
  <w:style w:type="paragraph" w:customStyle="1" w:styleId="SOHeadItalic">
    <w:name w:val="SO HeadItalic"/>
    <w:aliases w:val="sohi"/>
    <w:basedOn w:val="SOText"/>
    <w:next w:val="SOText"/>
    <w:link w:val="SOHeadItalicChar"/>
    <w:qFormat/>
    <w:rsid w:val="0026100E"/>
    <w:rPr>
      <w:i/>
    </w:rPr>
  </w:style>
  <w:style w:type="character" w:customStyle="1" w:styleId="SOHeadItalicChar">
    <w:name w:val="SO HeadItalic Char"/>
    <w:aliases w:val="sohi Char"/>
    <w:basedOn w:val="DefaultParagraphFont"/>
    <w:link w:val="SOHeadItalic"/>
    <w:rsid w:val="0026100E"/>
    <w:rPr>
      <w:i/>
      <w:sz w:val="22"/>
    </w:rPr>
  </w:style>
  <w:style w:type="paragraph" w:customStyle="1" w:styleId="SOBullet">
    <w:name w:val="SO Bullet"/>
    <w:aliases w:val="sotb"/>
    <w:basedOn w:val="SOText"/>
    <w:link w:val="SOBulletChar"/>
    <w:qFormat/>
    <w:rsid w:val="0026100E"/>
    <w:pPr>
      <w:ind w:left="1559" w:hanging="425"/>
    </w:pPr>
  </w:style>
  <w:style w:type="character" w:customStyle="1" w:styleId="SOBulletChar">
    <w:name w:val="SO Bullet Char"/>
    <w:aliases w:val="sotb Char"/>
    <w:basedOn w:val="DefaultParagraphFont"/>
    <w:link w:val="SOBullet"/>
    <w:rsid w:val="0026100E"/>
    <w:rPr>
      <w:sz w:val="22"/>
    </w:rPr>
  </w:style>
  <w:style w:type="paragraph" w:customStyle="1" w:styleId="SOBulletNote">
    <w:name w:val="SO BulletNote"/>
    <w:aliases w:val="sonb"/>
    <w:basedOn w:val="SOTextNote"/>
    <w:link w:val="SOBulletNoteChar"/>
    <w:qFormat/>
    <w:rsid w:val="0026100E"/>
    <w:pPr>
      <w:tabs>
        <w:tab w:val="left" w:pos="1560"/>
      </w:tabs>
      <w:ind w:left="2268" w:hanging="1134"/>
    </w:pPr>
  </w:style>
  <w:style w:type="character" w:customStyle="1" w:styleId="SOBulletNoteChar">
    <w:name w:val="SO BulletNote Char"/>
    <w:aliases w:val="sonb Char"/>
    <w:basedOn w:val="DefaultParagraphFont"/>
    <w:link w:val="SOBulletNote"/>
    <w:rsid w:val="0026100E"/>
    <w:rPr>
      <w:sz w:val="18"/>
    </w:rPr>
  </w:style>
  <w:style w:type="paragraph" w:customStyle="1" w:styleId="SOText2">
    <w:name w:val="SO Text2"/>
    <w:aliases w:val="sot2"/>
    <w:basedOn w:val="Normal"/>
    <w:next w:val="SOText"/>
    <w:link w:val="SOText2Char"/>
    <w:rsid w:val="002610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6100E"/>
    <w:rPr>
      <w:sz w:val="22"/>
    </w:rPr>
  </w:style>
  <w:style w:type="paragraph" w:customStyle="1" w:styleId="SubPartCASA">
    <w:name w:val="SubPart(CASA)"/>
    <w:aliases w:val="csp"/>
    <w:basedOn w:val="OPCParaBase"/>
    <w:next w:val="ActHead3"/>
    <w:rsid w:val="0026100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6100E"/>
    <w:rPr>
      <w:rFonts w:eastAsia="Times New Roman" w:cs="Times New Roman"/>
      <w:sz w:val="22"/>
      <w:lang w:eastAsia="en-AU"/>
    </w:rPr>
  </w:style>
  <w:style w:type="character" w:customStyle="1" w:styleId="notetextChar">
    <w:name w:val="note(text) Char"/>
    <w:aliases w:val="n Char"/>
    <w:basedOn w:val="DefaultParagraphFont"/>
    <w:link w:val="notetext"/>
    <w:rsid w:val="0026100E"/>
    <w:rPr>
      <w:rFonts w:eastAsia="Times New Roman" w:cs="Times New Roman"/>
      <w:sz w:val="18"/>
      <w:lang w:eastAsia="en-AU"/>
    </w:rPr>
  </w:style>
  <w:style w:type="character" w:customStyle="1" w:styleId="Heading1Char">
    <w:name w:val="Heading 1 Char"/>
    <w:basedOn w:val="DefaultParagraphFont"/>
    <w:link w:val="Heading1"/>
    <w:uiPriority w:val="9"/>
    <w:rsid w:val="002610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0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100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6100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6100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6100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6100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6100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6100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6100E"/>
    <w:rPr>
      <w:rFonts w:ascii="Arial" w:hAnsi="Arial" w:cs="Arial" w:hint="default"/>
      <w:b/>
      <w:bCs/>
      <w:sz w:val="28"/>
      <w:szCs w:val="28"/>
    </w:rPr>
  </w:style>
  <w:style w:type="paragraph" w:styleId="Index1">
    <w:name w:val="index 1"/>
    <w:basedOn w:val="Normal"/>
    <w:next w:val="Normal"/>
    <w:autoRedefine/>
    <w:rsid w:val="0026100E"/>
    <w:pPr>
      <w:ind w:left="240" w:hanging="240"/>
    </w:pPr>
  </w:style>
  <w:style w:type="paragraph" w:styleId="Index2">
    <w:name w:val="index 2"/>
    <w:basedOn w:val="Normal"/>
    <w:next w:val="Normal"/>
    <w:autoRedefine/>
    <w:rsid w:val="0026100E"/>
    <w:pPr>
      <w:ind w:left="480" w:hanging="240"/>
    </w:pPr>
  </w:style>
  <w:style w:type="paragraph" w:styleId="Index3">
    <w:name w:val="index 3"/>
    <w:basedOn w:val="Normal"/>
    <w:next w:val="Normal"/>
    <w:autoRedefine/>
    <w:rsid w:val="0026100E"/>
    <w:pPr>
      <w:ind w:left="720" w:hanging="240"/>
    </w:pPr>
  </w:style>
  <w:style w:type="paragraph" w:styleId="Index4">
    <w:name w:val="index 4"/>
    <w:basedOn w:val="Normal"/>
    <w:next w:val="Normal"/>
    <w:autoRedefine/>
    <w:rsid w:val="0026100E"/>
    <w:pPr>
      <w:ind w:left="960" w:hanging="240"/>
    </w:pPr>
  </w:style>
  <w:style w:type="paragraph" w:styleId="Index5">
    <w:name w:val="index 5"/>
    <w:basedOn w:val="Normal"/>
    <w:next w:val="Normal"/>
    <w:autoRedefine/>
    <w:rsid w:val="0026100E"/>
    <w:pPr>
      <w:ind w:left="1200" w:hanging="240"/>
    </w:pPr>
  </w:style>
  <w:style w:type="paragraph" w:styleId="Index6">
    <w:name w:val="index 6"/>
    <w:basedOn w:val="Normal"/>
    <w:next w:val="Normal"/>
    <w:autoRedefine/>
    <w:rsid w:val="0026100E"/>
    <w:pPr>
      <w:ind w:left="1440" w:hanging="240"/>
    </w:pPr>
  </w:style>
  <w:style w:type="paragraph" w:styleId="Index7">
    <w:name w:val="index 7"/>
    <w:basedOn w:val="Normal"/>
    <w:next w:val="Normal"/>
    <w:autoRedefine/>
    <w:rsid w:val="0026100E"/>
    <w:pPr>
      <w:ind w:left="1680" w:hanging="240"/>
    </w:pPr>
  </w:style>
  <w:style w:type="paragraph" w:styleId="Index8">
    <w:name w:val="index 8"/>
    <w:basedOn w:val="Normal"/>
    <w:next w:val="Normal"/>
    <w:autoRedefine/>
    <w:rsid w:val="0026100E"/>
    <w:pPr>
      <w:ind w:left="1920" w:hanging="240"/>
    </w:pPr>
  </w:style>
  <w:style w:type="paragraph" w:styleId="Index9">
    <w:name w:val="index 9"/>
    <w:basedOn w:val="Normal"/>
    <w:next w:val="Normal"/>
    <w:autoRedefine/>
    <w:rsid w:val="0026100E"/>
    <w:pPr>
      <w:ind w:left="2160" w:hanging="240"/>
    </w:pPr>
  </w:style>
  <w:style w:type="paragraph" w:styleId="NormalIndent">
    <w:name w:val="Normal Indent"/>
    <w:basedOn w:val="Normal"/>
    <w:rsid w:val="0026100E"/>
    <w:pPr>
      <w:ind w:left="720"/>
    </w:pPr>
  </w:style>
  <w:style w:type="paragraph" w:styleId="FootnoteText">
    <w:name w:val="footnote text"/>
    <w:basedOn w:val="Normal"/>
    <w:link w:val="FootnoteTextChar"/>
    <w:rsid w:val="0026100E"/>
    <w:rPr>
      <w:sz w:val="20"/>
    </w:rPr>
  </w:style>
  <w:style w:type="character" w:customStyle="1" w:styleId="FootnoteTextChar">
    <w:name w:val="Footnote Text Char"/>
    <w:basedOn w:val="DefaultParagraphFont"/>
    <w:link w:val="FootnoteText"/>
    <w:rsid w:val="0026100E"/>
  </w:style>
  <w:style w:type="paragraph" w:styleId="CommentText">
    <w:name w:val="annotation text"/>
    <w:basedOn w:val="Normal"/>
    <w:link w:val="CommentTextChar"/>
    <w:rsid w:val="0026100E"/>
    <w:rPr>
      <w:sz w:val="20"/>
    </w:rPr>
  </w:style>
  <w:style w:type="character" w:customStyle="1" w:styleId="CommentTextChar">
    <w:name w:val="Comment Text Char"/>
    <w:basedOn w:val="DefaultParagraphFont"/>
    <w:link w:val="CommentText"/>
    <w:rsid w:val="0026100E"/>
  </w:style>
  <w:style w:type="paragraph" w:styleId="IndexHeading">
    <w:name w:val="index heading"/>
    <w:basedOn w:val="Normal"/>
    <w:next w:val="Index1"/>
    <w:rsid w:val="0026100E"/>
    <w:rPr>
      <w:rFonts w:ascii="Arial" w:hAnsi="Arial" w:cs="Arial"/>
      <w:b/>
      <w:bCs/>
    </w:rPr>
  </w:style>
  <w:style w:type="paragraph" w:styleId="Caption">
    <w:name w:val="caption"/>
    <w:basedOn w:val="Normal"/>
    <w:next w:val="Normal"/>
    <w:qFormat/>
    <w:rsid w:val="0026100E"/>
    <w:pPr>
      <w:spacing w:before="120" w:after="120"/>
    </w:pPr>
    <w:rPr>
      <w:b/>
      <w:bCs/>
      <w:sz w:val="20"/>
    </w:rPr>
  </w:style>
  <w:style w:type="paragraph" w:styleId="TableofFigures">
    <w:name w:val="table of figures"/>
    <w:basedOn w:val="Normal"/>
    <w:next w:val="Normal"/>
    <w:rsid w:val="0026100E"/>
    <w:pPr>
      <w:ind w:left="480" w:hanging="480"/>
    </w:pPr>
  </w:style>
  <w:style w:type="paragraph" w:styleId="EnvelopeAddress">
    <w:name w:val="envelope address"/>
    <w:basedOn w:val="Normal"/>
    <w:rsid w:val="00261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100E"/>
    <w:rPr>
      <w:rFonts w:ascii="Arial" w:hAnsi="Arial" w:cs="Arial"/>
      <w:sz w:val="20"/>
    </w:rPr>
  </w:style>
  <w:style w:type="character" w:styleId="FootnoteReference">
    <w:name w:val="footnote reference"/>
    <w:basedOn w:val="DefaultParagraphFont"/>
    <w:rsid w:val="0026100E"/>
    <w:rPr>
      <w:rFonts w:ascii="Times New Roman" w:hAnsi="Times New Roman"/>
      <w:sz w:val="20"/>
      <w:vertAlign w:val="superscript"/>
    </w:rPr>
  </w:style>
  <w:style w:type="character" w:styleId="CommentReference">
    <w:name w:val="annotation reference"/>
    <w:basedOn w:val="DefaultParagraphFont"/>
    <w:rsid w:val="0026100E"/>
    <w:rPr>
      <w:sz w:val="16"/>
      <w:szCs w:val="16"/>
    </w:rPr>
  </w:style>
  <w:style w:type="character" w:styleId="PageNumber">
    <w:name w:val="page number"/>
    <w:basedOn w:val="DefaultParagraphFont"/>
    <w:rsid w:val="0026100E"/>
  </w:style>
  <w:style w:type="character" w:styleId="EndnoteReference">
    <w:name w:val="endnote reference"/>
    <w:basedOn w:val="DefaultParagraphFont"/>
    <w:rsid w:val="0026100E"/>
    <w:rPr>
      <w:vertAlign w:val="superscript"/>
    </w:rPr>
  </w:style>
  <w:style w:type="paragraph" w:styleId="EndnoteText">
    <w:name w:val="endnote text"/>
    <w:basedOn w:val="Normal"/>
    <w:link w:val="EndnoteTextChar"/>
    <w:rsid w:val="0026100E"/>
    <w:rPr>
      <w:sz w:val="20"/>
    </w:rPr>
  </w:style>
  <w:style w:type="character" w:customStyle="1" w:styleId="EndnoteTextChar">
    <w:name w:val="Endnote Text Char"/>
    <w:basedOn w:val="DefaultParagraphFont"/>
    <w:link w:val="EndnoteText"/>
    <w:rsid w:val="0026100E"/>
  </w:style>
  <w:style w:type="paragraph" w:styleId="TableofAuthorities">
    <w:name w:val="table of authorities"/>
    <w:basedOn w:val="Normal"/>
    <w:next w:val="Normal"/>
    <w:rsid w:val="0026100E"/>
    <w:pPr>
      <w:ind w:left="240" w:hanging="240"/>
    </w:pPr>
  </w:style>
  <w:style w:type="paragraph" w:styleId="MacroText">
    <w:name w:val="macro"/>
    <w:link w:val="MacroTextChar"/>
    <w:rsid w:val="0026100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6100E"/>
    <w:rPr>
      <w:rFonts w:ascii="Courier New" w:eastAsia="Times New Roman" w:hAnsi="Courier New" w:cs="Courier New"/>
      <w:lang w:eastAsia="en-AU"/>
    </w:rPr>
  </w:style>
  <w:style w:type="paragraph" w:styleId="TOAHeading">
    <w:name w:val="toa heading"/>
    <w:basedOn w:val="Normal"/>
    <w:next w:val="Normal"/>
    <w:rsid w:val="0026100E"/>
    <w:pPr>
      <w:spacing w:before="120"/>
    </w:pPr>
    <w:rPr>
      <w:rFonts w:ascii="Arial" w:hAnsi="Arial" w:cs="Arial"/>
      <w:b/>
      <w:bCs/>
    </w:rPr>
  </w:style>
  <w:style w:type="paragraph" w:styleId="List">
    <w:name w:val="List"/>
    <w:basedOn w:val="Normal"/>
    <w:rsid w:val="0026100E"/>
    <w:pPr>
      <w:ind w:left="283" w:hanging="283"/>
    </w:pPr>
  </w:style>
  <w:style w:type="paragraph" w:styleId="ListBullet">
    <w:name w:val="List Bullet"/>
    <w:basedOn w:val="Normal"/>
    <w:autoRedefine/>
    <w:rsid w:val="0026100E"/>
    <w:pPr>
      <w:tabs>
        <w:tab w:val="num" w:pos="360"/>
      </w:tabs>
      <w:ind w:left="360" w:hanging="360"/>
    </w:pPr>
  </w:style>
  <w:style w:type="paragraph" w:styleId="ListNumber">
    <w:name w:val="List Number"/>
    <w:basedOn w:val="Normal"/>
    <w:rsid w:val="0026100E"/>
    <w:pPr>
      <w:tabs>
        <w:tab w:val="num" w:pos="360"/>
      </w:tabs>
      <w:ind w:left="360" w:hanging="360"/>
    </w:pPr>
  </w:style>
  <w:style w:type="paragraph" w:styleId="List2">
    <w:name w:val="List 2"/>
    <w:basedOn w:val="Normal"/>
    <w:rsid w:val="0026100E"/>
    <w:pPr>
      <w:ind w:left="566" w:hanging="283"/>
    </w:pPr>
  </w:style>
  <w:style w:type="paragraph" w:styleId="List3">
    <w:name w:val="List 3"/>
    <w:basedOn w:val="Normal"/>
    <w:rsid w:val="0026100E"/>
    <w:pPr>
      <w:ind w:left="849" w:hanging="283"/>
    </w:pPr>
  </w:style>
  <w:style w:type="paragraph" w:styleId="List4">
    <w:name w:val="List 4"/>
    <w:basedOn w:val="Normal"/>
    <w:rsid w:val="0026100E"/>
    <w:pPr>
      <w:ind w:left="1132" w:hanging="283"/>
    </w:pPr>
  </w:style>
  <w:style w:type="paragraph" w:styleId="List5">
    <w:name w:val="List 5"/>
    <w:basedOn w:val="Normal"/>
    <w:rsid w:val="0026100E"/>
    <w:pPr>
      <w:ind w:left="1415" w:hanging="283"/>
    </w:pPr>
  </w:style>
  <w:style w:type="paragraph" w:styleId="ListBullet2">
    <w:name w:val="List Bullet 2"/>
    <w:basedOn w:val="Normal"/>
    <w:autoRedefine/>
    <w:rsid w:val="0026100E"/>
    <w:pPr>
      <w:tabs>
        <w:tab w:val="num" w:pos="360"/>
      </w:tabs>
    </w:pPr>
  </w:style>
  <w:style w:type="paragraph" w:styleId="ListBullet3">
    <w:name w:val="List Bullet 3"/>
    <w:basedOn w:val="Normal"/>
    <w:autoRedefine/>
    <w:rsid w:val="0026100E"/>
    <w:pPr>
      <w:tabs>
        <w:tab w:val="num" w:pos="926"/>
      </w:tabs>
      <w:ind w:left="926" w:hanging="360"/>
    </w:pPr>
  </w:style>
  <w:style w:type="paragraph" w:styleId="ListBullet4">
    <w:name w:val="List Bullet 4"/>
    <w:basedOn w:val="Normal"/>
    <w:autoRedefine/>
    <w:rsid w:val="0026100E"/>
    <w:pPr>
      <w:tabs>
        <w:tab w:val="num" w:pos="1209"/>
      </w:tabs>
      <w:ind w:left="1209" w:hanging="360"/>
    </w:pPr>
  </w:style>
  <w:style w:type="paragraph" w:styleId="ListBullet5">
    <w:name w:val="List Bullet 5"/>
    <w:basedOn w:val="Normal"/>
    <w:autoRedefine/>
    <w:rsid w:val="0026100E"/>
    <w:pPr>
      <w:tabs>
        <w:tab w:val="num" w:pos="1492"/>
      </w:tabs>
      <w:ind w:left="1492" w:hanging="360"/>
    </w:pPr>
  </w:style>
  <w:style w:type="paragraph" w:styleId="ListNumber2">
    <w:name w:val="List Number 2"/>
    <w:basedOn w:val="Normal"/>
    <w:link w:val="ListNumber2Char"/>
    <w:rsid w:val="0026100E"/>
    <w:pPr>
      <w:tabs>
        <w:tab w:val="num" w:pos="643"/>
      </w:tabs>
      <w:ind w:left="643" w:hanging="360"/>
    </w:pPr>
  </w:style>
  <w:style w:type="paragraph" w:styleId="ListNumber3">
    <w:name w:val="List Number 3"/>
    <w:basedOn w:val="Normal"/>
    <w:rsid w:val="0026100E"/>
    <w:pPr>
      <w:tabs>
        <w:tab w:val="num" w:pos="926"/>
      </w:tabs>
      <w:ind w:left="926" w:hanging="360"/>
    </w:pPr>
  </w:style>
  <w:style w:type="paragraph" w:styleId="ListNumber4">
    <w:name w:val="List Number 4"/>
    <w:basedOn w:val="Normal"/>
    <w:rsid w:val="0026100E"/>
    <w:pPr>
      <w:tabs>
        <w:tab w:val="num" w:pos="1209"/>
      </w:tabs>
      <w:ind w:left="1209" w:hanging="360"/>
    </w:pPr>
  </w:style>
  <w:style w:type="paragraph" w:styleId="ListNumber5">
    <w:name w:val="List Number 5"/>
    <w:basedOn w:val="Normal"/>
    <w:rsid w:val="0026100E"/>
    <w:pPr>
      <w:tabs>
        <w:tab w:val="num" w:pos="1492"/>
      </w:tabs>
      <w:ind w:left="1492" w:hanging="360"/>
    </w:pPr>
  </w:style>
  <w:style w:type="paragraph" w:styleId="Title">
    <w:name w:val="Title"/>
    <w:basedOn w:val="Normal"/>
    <w:link w:val="TitleChar"/>
    <w:qFormat/>
    <w:rsid w:val="0026100E"/>
    <w:pPr>
      <w:spacing w:before="240" w:after="60"/>
    </w:pPr>
    <w:rPr>
      <w:rFonts w:ascii="Arial" w:hAnsi="Arial" w:cs="Arial"/>
      <w:b/>
      <w:bCs/>
      <w:sz w:val="40"/>
      <w:szCs w:val="40"/>
    </w:rPr>
  </w:style>
  <w:style w:type="character" w:customStyle="1" w:styleId="TitleChar">
    <w:name w:val="Title Char"/>
    <w:basedOn w:val="DefaultParagraphFont"/>
    <w:link w:val="Title"/>
    <w:rsid w:val="0026100E"/>
    <w:rPr>
      <w:rFonts w:ascii="Arial" w:hAnsi="Arial" w:cs="Arial"/>
      <w:b/>
      <w:bCs/>
      <w:sz w:val="40"/>
      <w:szCs w:val="40"/>
    </w:rPr>
  </w:style>
  <w:style w:type="paragraph" w:styleId="Closing">
    <w:name w:val="Closing"/>
    <w:basedOn w:val="Normal"/>
    <w:link w:val="ClosingChar"/>
    <w:rsid w:val="0026100E"/>
    <w:pPr>
      <w:ind w:left="4252"/>
    </w:pPr>
  </w:style>
  <w:style w:type="character" w:customStyle="1" w:styleId="ClosingChar">
    <w:name w:val="Closing Char"/>
    <w:basedOn w:val="DefaultParagraphFont"/>
    <w:link w:val="Closing"/>
    <w:rsid w:val="0026100E"/>
    <w:rPr>
      <w:sz w:val="22"/>
    </w:rPr>
  </w:style>
  <w:style w:type="paragraph" w:styleId="Signature">
    <w:name w:val="Signature"/>
    <w:basedOn w:val="Normal"/>
    <w:link w:val="SignatureChar"/>
    <w:rsid w:val="0026100E"/>
    <w:pPr>
      <w:ind w:left="4252"/>
    </w:pPr>
  </w:style>
  <w:style w:type="character" w:customStyle="1" w:styleId="SignatureChar">
    <w:name w:val="Signature Char"/>
    <w:basedOn w:val="DefaultParagraphFont"/>
    <w:link w:val="Signature"/>
    <w:rsid w:val="0026100E"/>
    <w:rPr>
      <w:sz w:val="22"/>
    </w:rPr>
  </w:style>
  <w:style w:type="paragraph" w:styleId="BodyText">
    <w:name w:val="Body Text"/>
    <w:basedOn w:val="Normal"/>
    <w:link w:val="BodyTextChar"/>
    <w:rsid w:val="0026100E"/>
    <w:pPr>
      <w:spacing w:after="120"/>
    </w:pPr>
  </w:style>
  <w:style w:type="character" w:customStyle="1" w:styleId="BodyTextChar">
    <w:name w:val="Body Text Char"/>
    <w:basedOn w:val="DefaultParagraphFont"/>
    <w:link w:val="BodyText"/>
    <w:rsid w:val="0026100E"/>
    <w:rPr>
      <w:sz w:val="22"/>
    </w:rPr>
  </w:style>
  <w:style w:type="paragraph" w:styleId="BodyTextIndent">
    <w:name w:val="Body Text Indent"/>
    <w:basedOn w:val="Normal"/>
    <w:link w:val="BodyTextIndentChar"/>
    <w:rsid w:val="0026100E"/>
    <w:pPr>
      <w:spacing w:after="120"/>
      <w:ind w:left="283"/>
    </w:pPr>
  </w:style>
  <w:style w:type="character" w:customStyle="1" w:styleId="BodyTextIndentChar">
    <w:name w:val="Body Text Indent Char"/>
    <w:basedOn w:val="DefaultParagraphFont"/>
    <w:link w:val="BodyTextIndent"/>
    <w:rsid w:val="0026100E"/>
    <w:rPr>
      <w:sz w:val="22"/>
    </w:rPr>
  </w:style>
  <w:style w:type="paragraph" w:styleId="ListContinue">
    <w:name w:val="List Continue"/>
    <w:basedOn w:val="Normal"/>
    <w:rsid w:val="0026100E"/>
    <w:pPr>
      <w:spacing w:after="120"/>
      <w:ind w:left="283"/>
    </w:pPr>
  </w:style>
  <w:style w:type="paragraph" w:styleId="ListContinue2">
    <w:name w:val="List Continue 2"/>
    <w:basedOn w:val="Normal"/>
    <w:rsid w:val="0026100E"/>
    <w:pPr>
      <w:spacing w:after="120"/>
      <w:ind w:left="566"/>
    </w:pPr>
  </w:style>
  <w:style w:type="paragraph" w:styleId="ListContinue3">
    <w:name w:val="List Continue 3"/>
    <w:basedOn w:val="Normal"/>
    <w:rsid w:val="0026100E"/>
    <w:pPr>
      <w:spacing w:after="120"/>
      <w:ind w:left="849"/>
    </w:pPr>
  </w:style>
  <w:style w:type="paragraph" w:styleId="ListContinue4">
    <w:name w:val="List Continue 4"/>
    <w:basedOn w:val="Normal"/>
    <w:rsid w:val="0026100E"/>
    <w:pPr>
      <w:spacing w:after="120"/>
      <w:ind w:left="1132"/>
    </w:pPr>
  </w:style>
  <w:style w:type="paragraph" w:styleId="ListContinue5">
    <w:name w:val="List Continue 5"/>
    <w:basedOn w:val="Normal"/>
    <w:rsid w:val="0026100E"/>
    <w:pPr>
      <w:spacing w:after="120"/>
      <w:ind w:left="1415"/>
    </w:pPr>
  </w:style>
  <w:style w:type="paragraph" w:styleId="MessageHeader">
    <w:name w:val="Message Header"/>
    <w:basedOn w:val="Normal"/>
    <w:link w:val="MessageHeaderChar"/>
    <w:rsid w:val="002610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6100E"/>
    <w:rPr>
      <w:rFonts w:ascii="Arial" w:hAnsi="Arial" w:cs="Arial"/>
      <w:sz w:val="22"/>
      <w:shd w:val="pct20" w:color="auto" w:fill="auto"/>
    </w:rPr>
  </w:style>
  <w:style w:type="paragraph" w:styleId="Subtitle">
    <w:name w:val="Subtitle"/>
    <w:basedOn w:val="Normal"/>
    <w:link w:val="SubtitleChar"/>
    <w:qFormat/>
    <w:rsid w:val="0026100E"/>
    <w:pPr>
      <w:spacing w:after="60"/>
      <w:jc w:val="center"/>
      <w:outlineLvl w:val="1"/>
    </w:pPr>
    <w:rPr>
      <w:rFonts w:ascii="Arial" w:hAnsi="Arial" w:cs="Arial"/>
    </w:rPr>
  </w:style>
  <w:style w:type="character" w:customStyle="1" w:styleId="SubtitleChar">
    <w:name w:val="Subtitle Char"/>
    <w:basedOn w:val="DefaultParagraphFont"/>
    <w:link w:val="Subtitle"/>
    <w:rsid w:val="0026100E"/>
    <w:rPr>
      <w:rFonts w:ascii="Arial" w:hAnsi="Arial" w:cs="Arial"/>
      <w:sz w:val="22"/>
    </w:rPr>
  </w:style>
  <w:style w:type="paragraph" w:styleId="Salutation">
    <w:name w:val="Salutation"/>
    <w:basedOn w:val="Normal"/>
    <w:next w:val="Normal"/>
    <w:link w:val="SalutationChar"/>
    <w:rsid w:val="0026100E"/>
  </w:style>
  <w:style w:type="character" w:customStyle="1" w:styleId="SalutationChar">
    <w:name w:val="Salutation Char"/>
    <w:basedOn w:val="DefaultParagraphFont"/>
    <w:link w:val="Salutation"/>
    <w:rsid w:val="0026100E"/>
    <w:rPr>
      <w:sz w:val="22"/>
    </w:rPr>
  </w:style>
  <w:style w:type="paragraph" w:styleId="Date">
    <w:name w:val="Date"/>
    <w:basedOn w:val="Normal"/>
    <w:next w:val="Normal"/>
    <w:link w:val="DateChar"/>
    <w:rsid w:val="0026100E"/>
  </w:style>
  <w:style w:type="character" w:customStyle="1" w:styleId="DateChar">
    <w:name w:val="Date Char"/>
    <w:basedOn w:val="DefaultParagraphFont"/>
    <w:link w:val="Date"/>
    <w:rsid w:val="0026100E"/>
    <w:rPr>
      <w:sz w:val="22"/>
    </w:rPr>
  </w:style>
  <w:style w:type="paragraph" w:styleId="BodyTextFirstIndent">
    <w:name w:val="Body Text First Indent"/>
    <w:basedOn w:val="BodyText"/>
    <w:link w:val="BodyTextFirstIndentChar"/>
    <w:rsid w:val="0026100E"/>
    <w:pPr>
      <w:ind w:firstLine="210"/>
    </w:pPr>
  </w:style>
  <w:style w:type="character" w:customStyle="1" w:styleId="BodyTextFirstIndentChar">
    <w:name w:val="Body Text First Indent Char"/>
    <w:basedOn w:val="BodyTextChar"/>
    <w:link w:val="BodyTextFirstIndent"/>
    <w:rsid w:val="0026100E"/>
    <w:rPr>
      <w:sz w:val="22"/>
    </w:rPr>
  </w:style>
  <w:style w:type="paragraph" w:styleId="BodyTextFirstIndent2">
    <w:name w:val="Body Text First Indent 2"/>
    <w:basedOn w:val="BodyTextIndent"/>
    <w:link w:val="BodyTextFirstIndent2Char"/>
    <w:rsid w:val="0026100E"/>
    <w:pPr>
      <w:ind w:firstLine="210"/>
    </w:pPr>
  </w:style>
  <w:style w:type="character" w:customStyle="1" w:styleId="BodyTextFirstIndent2Char">
    <w:name w:val="Body Text First Indent 2 Char"/>
    <w:basedOn w:val="BodyTextIndentChar"/>
    <w:link w:val="BodyTextFirstIndent2"/>
    <w:rsid w:val="0026100E"/>
    <w:rPr>
      <w:sz w:val="22"/>
    </w:rPr>
  </w:style>
  <w:style w:type="paragraph" w:styleId="BodyText2">
    <w:name w:val="Body Text 2"/>
    <w:basedOn w:val="Normal"/>
    <w:link w:val="BodyText2Char"/>
    <w:rsid w:val="0026100E"/>
    <w:pPr>
      <w:spacing w:after="120" w:line="480" w:lineRule="auto"/>
    </w:pPr>
  </w:style>
  <w:style w:type="character" w:customStyle="1" w:styleId="BodyText2Char">
    <w:name w:val="Body Text 2 Char"/>
    <w:basedOn w:val="DefaultParagraphFont"/>
    <w:link w:val="BodyText2"/>
    <w:rsid w:val="0026100E"/>
    <w:rPr>
      <w:sz w:val="22"/>
    </w:rPr>
  </w:style>
  <w:style w:type="paragraph" w:styleId="BodyText3">
    <w:name w:val="Body Text 3"/>
    <w:basedOn w:val="Normal"/>
    <w:link w:val="BodyText3Char"/>
    <w:rsid w:val="0026100E"/>
    <w:pPr>
      <w:spacing w:after="120"/>
    </w:pPr>
    <w:rPr>
      <w:sz w:val="16"/>
      <w:szCs w:val="16"/>
    </w:rPr>
  </w:style>
  <w:style w:type="character" w:customStyle="1" w:styleId="BodyText3Char">
    <w:name w:val="Body Text 3 Char"/>
    <w:basedOn w:val="DefaultParagraphFont"/>
    <w:link w:val="BodyText3"/>
    <w:rsid w:val="0026100E"/>
    <w:rPr>
      <w:sz w:val="16"/>
      <w:szCs w:val="16"/>
    </w:rPr>
  </w:style>
  <w:style w:type="paragraph" w:styleId="BodyTextIndent2">
    <w:name w:val="Body Text Indent 2"/>
    <w:basedOn w:val="Normal"/>
    <w:link w:val="BodyTextIndent2Char"/>
    <w:rsid w:val="0026100E"/>
    <w:pPr>
      <w:spacing w:after="120" w:line="480" w:lineRule="auto"/>
      <w:ind w:left="283"/>
    </w:pPr>
  </w:style>
  <w:style w:type="character" w:customStyle="1" w:styleId="BodyTextIndent2Char">
    <w:name w:val="Body Text Indent 2 Char"/>
    <w:basedOn w:val="DefaultParagraphFont"/>
    <w:link w:val="BodyTextIndent2"/>
    <w:rsid w:val="0026100E"/>
    <w:rPr>
      <w:sz w:val="22"/>
    </w:rPr>
  </w:style>
  <w:style w:type="paragraph" w:styleId="BodyTextIndent3">
    <w:name w:val="Body Text Indent 3"/>
    <w:basedOn w:val="Normal"/>
    <w:link w:val="BodyTextIndent3Char"/>
    <w:rsid w:val="0026100E"/>
    <w:pPr>
      <w:spacing w:after="120"/>
      <w:ind w:left="283"/>
    </w:pPr>
    <w:rPr>
      <w:sz w:val="16"/>
      <w:szCs w:val="16"/>
    </w:rPr>
  </w:style>
  <w:style w:type="character" w:customStyle="1" w:styleId="BodyTextIndent3Char">
    <w:name w:val="Body Text Indent 3 Char"/>
    <w:basedOn w:val="DefaultParagraphFont"/>
    <w:link w:val="BodyTextIndent3"/>
    <w:rsid w:val="0026100E"/>
    <w:rPr>
      <w:sz w:val="16"/>
      <w:szCs w:val="16"/>
    </w:rPr>
  </w:style>
  <w:style w:type="paragraph" w:styleId="BlockText">
    <w:name w:val="Block Text"/>
    <w:basedOn w:val="Normal"/>
    <w:rsid w:val="0026100E"/>
    <w:pPr>
      <w:spacing w:after="120"/>
      <w:ind w:left="1440" w:right="1440"/>
    </w:pPr>
  </w:style>
  <w:style w:type="character" w:styleId="Hyperlink">
    <w:name w:val="Hyperlink"/>
    <w:basedOn w:val="DefaultParagraphFont"/>
    <w:rsid w:val="0026100E"/>
    <w:rPr>
      <w:color w:val="0000FF"/>
      <w:u w:val="single"/>
    </w:rPr>
  </w:style>
  <w:style w:type="character" w:styleId="FollowedHyperlink">
    <w:name w:val="FollowedHyperlink"/>
    <w:basedOn w:val="DefaultParagraphFont"/>
    <w:rsid w:val="0026100E"/>
    <w:rPr>
      <w:color w:val="800080"/>
      <w:u w:val="single"/>
    </w:rPr>
  </w:style>
  <w:style w:type="character" w:styleId="Strong">
    <w:name w:val="Strong"/>
    <w:basedOn w:val="DefaultParagraphFont"/>
    <w:qFormat/>
    <w:rsid w:val="0026100E"/>
    <w:rPr>
      <w:b/>
      <w:bCs/>
    </w:rPr>
  </w:style>
  <w:style w:type="character" w:styleId="Emphasis">
    <w:name w:val="Emphasis"/>
    <w:basedOn w:val="DefaultParagraphFont"/>
    <w:qFormat/>
    <w:rsid w:val="0026100E"/>
    <w:rPr>
      <w:i/>
      <w:iCs/>
    </w:rPr>
  </w:style>
  <w:style w:type="paragraph" w:styleId="DocumentMap">
    <w:name w:val="Document Map"/>
    <w:basedOn w:val="Normal"/>
    <w:link w:val="DocumentMapChar"/>
    <w:rsid w:val="0026100E"/>
    <w:pPr>
      <w:shd w:val="clear" w:color="auto" w:fill="000080"/>
    </w:pPr>
    <w:rPr>
      <w:rFonts w:ascii="Tahoma" w:hAnsi="Tahoma" w:cs="Tahoma"/>
    </w:rPr>
  </w:style>
  <w:style w:type="character" w:customStyle="1" w:styleId="DocumentMapChar">
    <w:name w:val="Document Map Char"/>
    <w:basedOn w:val="DefaultParagraphFont"/>
    <w:link w:val="DocumentMap"/>
    <w:rsid w:val="0026100E"/>
    <w:rPr>
      <w:rFonts w:ascii="Tahoma" w:hAnsi="Tahoma" w:cs="Tahoma"/>
      <w:sz w:val="22"/>
      <w:shd w:val="clear" w:color="auto" w:fill="000080"/>
    </w:rPr>
  </w:style>
  <w:style w:type="paragraph" w:styleId="PlainText">
    <w:name w:val="Plain Text"/>
    <w:basedOn w:val="Normal"/>
    <w:link w:val="PlainTextChar"/>
    <w:rsid w:val="0026100E"/>
    <w:rPr>
      <w:rFonts w:ascii="Courier New" w:hAnsi="Courier New" w:cs="Courier New"/>
      <w:sz w:val="20"/>
    </w:rPr>
  </w:style>
  <w:style w:type="character" w:customStyle="1" w:styleId="PlainTextChar">
    <w:name w:val="Plain Text Char"/>
    <w:basedOn w:val="DefaultParagraphFont"/>
    <w:link w:val="PlainText"/>
    <w:rsid w:val="0026100E"/>
    <w:rPr>
      <w:rFonts w:ascii="Courier New" w:hAnsi="Courier New" w:cs="Courier New"/>
    </w:rPr>
  </w:style>
  <w:style w:type="paragraph" w:styleId="E-mailSignature">
    <w:name w:val="E-mail Signature"/>
    <w:basedOn w:val="Normal"/>
    <w:link w:val="E-mailSignatureChar"/>
    <w:rsid w:val="0026100E"/>
  </w:style>
  <w:style w:type="character" w:customStyle="1" w:styleId="E-mailSignatureChar">
    <w:name w:val="E-mail Signature Char"/>
    <w:basedOn w:val="DefaultParagraphFont"/>
    <w:link w:val="E-mailSignature"/>
    <w:rsid w:val="0026100E"/>
    <w:rPr>
      <w:sz w:val="22"/>
    </w:rPr>
  </w:style>
  <w:style w:type="paragraph" w:styleId="NormalWeb">
    <w:name w:val="Normal (Web)"/>
    <w:basedOn w:val="Normal"/>
    <w:rsid w:val="0026100E"/>
  </w:style>
  <w:style w:type="character" w:styleId="HTMLAcronym">
    <w:name w:val="HTML Acronym"/>
    <w:basedOn w:val="DefaultParagraphFont"/>
    <w:rsid w:val="0026100E"/>
  </w:style>
  <w:style w:type="paragraph" w:styleId="HTMLAddress">
    <w:name w:val="HTML Address"/>
    <w:basedOn w:val="Normal"/>
    <w:link w:val="HTMLAddressChar"/>
    <w:rsid w:val="0026100E"/>
    <w:rPr>
      <w:i/>
      <w:iCs/>
    </w:rPr>
  </w:style>
  <w:style w:type="character" w:customStyle="1" w:styleId="HTMLAddressChar">
    <w:name w:val="HTML Address Char"/>
    <w:basedOn w:val="DefaultParagraphFont"/>
    <w:link w:val="HTMLAddress"/>
    <w:rsid w:val="0026100E"/>
    <w:rPr>
      <w:i/>
      <w:iCs/>
      <w:sz w:val="22"/>
    </w:rPr>
  </w:style>
  <w:style w:type="character" w:styleId="HTMLCite">
    <w:name w:val="HTML Cite"/>
    <w:basedOn w:val="DefaultParagraphFont"/>
    <w:rsid w:val="0026100E"/>
    <w:rPr>
      <w:i/>
      <w:iCs/>
    </w:rPr>
  </w:style>
  <w:style w:type="character" w:styleId="HTMLCode">
    <w:name w:val="HTML Code"/>
    <w:basedOn w:val="DefaultParagraphFont"/>
    <w:rsid w:val="0026100E"/>
    <w:rPr>
      <w:rFonts w:ascii="Courier New" w:hAnsi="Courier New" w:cs="Courier New"/>
      <w:sz w:val="20"/>
      <w:szCs w:val="20"/>
    </w:rPr>
  </w:style>
  <w:style w:type="character" w:styleId="HTMLDefinition">
    <w:name w:val="HTML Definition"/>
    <w:basedOn w:val="DefaultParagraphFont"/>
    <w:rsid w:val="0026100E"/>
    <w:rPr>
      <w:i/>
      <w:iCs/>
    </w:rPr>
  </w:style>
  <w:style w:type="character" w:styleId="HTMLKeyboard">
    <w:name w:val="HTML Keyboard"/>
    <w:basedOn w:val="DefaultParagraphFont"/>
    <w:rsid w:val="0026100E"/>
    <w:rPr>
      <w:rFonts w:ascii="Courier New" w:hAnsi="Courier New" w:cs="Courier New"/>
      <w:sz w:val="20"/>
      <w:szCs w:val="20"/>
    </w:rPr>
  </w:style>
  <w:style w:type="paragraph" w:styleId="HTMLPreformatted">
    <w:name w:val="HTML Preformatted"/>
    <w:basedOn w:val="Normal"/>
    <w:link w:val="HTMLPreformattedChar"/>
    <w:rsid w:val="0026100E"/>
    <w:rPr>
      <w:rFonts w:ascii="Courier New" w:hAnsi="Courier New" w:cs="Courier New"/>
      <w:sz w:val="20"/>
    </w:rPr>
  </w:style>
  <w:style w:type="character" w:customStyle="1" w:styleId="HTMLPreformattedChar">
    <w:name w:val="HTML Preformatted Char"/>
    <w:basedOn w:val="DefaultParagraphFont"/>
    <w:link w:val="HTMLPreformatted"/>
    <w:rsid w:val="0026100E"/>
    <w:rPr>
      <w:rFonts w:ascii="Courier New" w:hAnsi="Courier New" w:cs="Courier New"/>
    </w:rPr>
  </w:style>
  <w:style w:type="character" w:styleId="HTMLSample">
    <w:name w:val="HTML Sample"/>
    <w:basedOn w:val="DefaultParagraphFont"/>
    <w:rsid w:val="0026100E"/>
    <w:rPr>
      <w:rFonts w:ascii="Courier New" w:hAnsi="Courier New" w:cs="Courier New"/>
    </w:rPr>
  </w:style>
  <w:style w:type="character" w:styleId="HTMLTypewriter">
    <w:name w:val="HTML Typewriter"/>
    <w:basedOn w:val="DefaultParagraphFont"/>
    <w:rsid w:val="0026100E"/>
    <w:rPr>
      <w:rFonts w:ascii="Courier New" w:hAnsi="Courier New" w:cs="Courier New"/>
      <w:sz w:val="20"/>
      <w:szCs w:val="20"/>
    </w:rPr>
  </w:style>
  <w:style w:type="character" w:styleId="HTMLVariable">
    <w:name w:val="HTML Variable"/>
    <w:basedOn w:val="DefaultParagraphFont"/>
    <w:rsid w:val="0026100E"/>
    <w:rPr>
      <w:i/>
      <w:iCs/>
    </w:rPr>
  </w:style>
  <w:style w:type="paragraph" w:styleId="CommentSubject">
    <w:name w:val="annotation subject"/>
    <w:basedOn w:val="CommentText"/>
    <w:next w:val="CommentText"/>
    <w:link w:val="CommentSubjectChar"/>
    <w:rsid w:val="0026100E"/>
    <w:rPr>
      <w:b/>
      <w:bCs/>
    </w:rPr>
  </w:style>
  <w:style w:type="character" w:customStyle="1" w:styleId="CommentSubjectChar">
    <w:name w:val="Comment Subject Char"/>
    <w:basedOn w:val="CommentTextChar"/>
    <w:link w:val="CommentSubject"/>
    <w:rsid w:val="0026100E"/>
    <w:rPr>
      <w:b/>
      <w:bCs/>
    </w:rPr>
  </w:style>
  <w:style w:type="numbering" w:styleId="1ai">
    <w:name w:val="Outline List 1"/>
    <w:basedOn w:val="NoList"/>
    <w:rsid w:val="0026100E"/>
    <w:pPr>
      <w:numPr>
        <w:numId w:val="14"/>
      </w:numPr>
    </w:pPr>
  </w:style>
  <w:style w:type="numbering" w:styleId="111111">
    <w:name w:val="Outline List 2"/>
    <w:basedOn w:val="NoList"/>
    <w:rsid w:val="0026100E"/>
    <w:pPr>
      <w:numPr>
        <w:numId w:val="15"/>
      </w:numPr>
    </w:pPr>
  </w:style>
  <w:style w:type="numbering" w:styleId="ArticleSection">
    <w:name w:val="Outline List 3"/>
    <w:basedOn w:val="NoList"/>
    <w:rsid w:val="0026100E"/>
    <w:pPr>
      <w:numPr>
        <w:numId w:val="17"/>
      </w:numPr>
    </w:pPr>
  </w:style>
  <w:style w:type="table" w:styleId="TableSimple1">
    <w:name w:val="Table Simple 1"/>
    <w:basedOn w:val="TableNormal"/>
    <w:rsid w:val="0026100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100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10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6100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100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100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100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100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100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100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100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100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100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100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100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610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100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100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100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10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10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100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100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100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100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100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100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10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100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100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100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6100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100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100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6100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100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6100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100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100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6100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100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100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610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6100E"/>
    <w:rPr>
      <w:rFonts w:eastAsia="Times New Roman" w:cs="Times New Roman"/>
      <w:b/>
      <w:kern w:val="28"/>
      <w:sz w:val="24"/>
      <w:lang w:eastAsia="en-AU"/>
    </w:rPr>
  </w:style>
  <w:style w:type="paragraph" w:customStyle="1" w:styleId="ETAsubitem">
    <w:name w:val="ETA(subitem)"/>
    <w:basedOn w:val="OPCParaBase"/>
    <w:rsid w:val="0026100E"/>
    <w:pPr>
      <w:tabs>
        <w:tab w:val="right" w:pos="340"/>
      </w:tabs>
      <w:spacing w:before="60" w:line="240" w:lineRule="auto"/>
      <w:ind w:left="454" w:hanging="454"/>
    </w:pPr>
    <w:rPr>
      <w:sz w:val="20"/>
    </w:rPr>
  </w:style>
  <w:style w:type="paragraph" w:customStyle="1" w:styleId="ETApara">
    <w:name w:val="ETA(para)"/>
    <w:basedOn w:val="OPCParaBase"/>
    <w:rsid w:val="0026100E"/>
    <w:pPr>
      <w:tabs>
        <w:tab w:val="right" w:pos="754"/>
      </w:tabs>
      <w:spacing w:before="60" w:line="240" w:lineRule="auto"/>
      <w:ind w:left="828" w:hanging="828"/>
    </w:pPr>
    <w:rPr>
      <w:sz w:val="20"/>
    </w:rPr>
  </w:style>
  <w:style w:type="paragraph" w:customStyle="1" w:styleId="ETAsubpara">
    <w:name w:val="ETA(subpara)"/>
    <w:basedOn w:val="OPCParaBase"/>
    <w:rsid w:val="0026100E"/>
    <w:pPr>
      <w:tabs>
        <w:tab w:val="right" w:pos="1083"/>
      </w:tabs>
      <w:spacing w:before="60" w:line="240" w:lineRule="auto"/>
      <w:ind w:left="1191" w:hanging="1191"/>
    </w:pPr>
    <w:rPr>
      <w:sz w:val="20"/>
    </w:rPr>
  </w:style>
  <w:style w:type="paragraph" w:customStyle="1" w:styleId="ETAsub-subpara">
    <w:name w:val="ETA(sub-subpara)"/>
    <w:basedOn w:val="OPCParaBase"/>
    <w:rsid w:val="0026100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6100E"/>
  </w:style>
  <w:style w:type="character" w:customStyle="1" w:styleId="ListNumber2Char">
    <w:name w:val="List Number 2 Char"/>
    <w:link w:val="ListNumber2"/>
    <w:rsid w:val="006B0D76"/>
    <w:rPr>
      <w:sz w:val="22"/>
    </w:rPr>
  </w:style>
  <w:style w:type="paragraph" w:styleId="Revision">
    <w:name w:val="Revision"/>
    <w:hidden/>
    <w:semiHidden/>
    <w:rsid w:val="006B0D76"/>
    <w:rPr>
      <w:rFonts w:eastAsia="Times New Roman" w:cs="Times New Roman"/>
      <w:sz w:val="24"/>
      <w:szCs w:val="24"/>
      <w:lang w:eastAsia="en-AU"/>
    </w:rPr>
  </w:style>
  <w:style w:type="paragraph" w:styleId="ListParagraph">
    <w:name w:val="List Paragraph"/>
    <w:basedOn w:val="Normal"/>
    <w:link w:val="ListParagraphChar"/>
    <w:uiPriority w:val="34"/>
    <w:qFormat/>
    <w:rsid w:val="006B0D76"/>
    <w:pPr>
      <w:ind w:left="720"/>
      <w:contextualSpacing/>
    </w:pPr>
    <w:rPr>
      <w:rFonts w:eastAsia="Calibri" w:cs="Times New Roman"/>
    </w:rPr>
  </w:style>
  <w:style w:type="character" w:customStyle="1" w:styleId="paragraphChar">
    <w:name w:val="paragraph Char"/>
    <w:aliases w:val="a Char"/>
    <w:link w:val="paragraph"/>
    <w:rsid w:val="006B0D76"/>
    <w:rPr>
      <w:rFonts w:eastAsia="Times New Roman" w:cs="Times New Roman"/>
      <w:sz w:val="22"/>
      <w:lang w:eastAsia="en-AU"/>
    </w:rPr>
  </w:style>
  <w:style w:type="numbering" w:customStyle="1" w:styleId="OPCBodyList">
    <w:name w:val="OPCBodyList"/>
    <w:uiPriority w:val="99"/>
    <w:rsid w:val="006B0D76"/>
    <w:pPr>
      <w:numPr>
        <w:numId w:val="20"/>
      </w:numPr>
    </w:pPr>
  </w:style>
  <w:style w:type="paragraph" w:customStyle="1" w:styleId="Body">
    <w:name w:val="Body"/>
    <w:aliases w:val="b"/>
    <w:basedOn w:val="OPCParaBase"/>
    <w:rsid w:val="006B0D76"/>
    <w:pPr>
      <w:spacing w:before="240" w:line="240" w:lineRule="auto"/>
    </w:pPr>
    <w:rPr>
      <w:sz w:val="24"/>
    </w:rPr>
  </w:style>
  <w:style w:type="paragraph" w:customStyle="1" w:styleId="BodyNum">
    <w:name w:val="BodyNum"/>
    <w:aliases w:val="b1"/>
    <w:basedOn w:val="OPCParaBase"/>
    <w:rsid w:val="006B0D76"/>
    <w:pPr>
      <w:numPr>
        <w:numId w:val="20"/>
      </w:numPr>
      <w:spacing w:before="240" w:line="240" w:lineRule="auto"/>
    </w:pPr>
    <w:rPr>
      <w:sz w:val="24"/>
    </w:rPr>
  </w:style>
  <w:style w:type="paragraph" w:customStyle="1" w:styleId="BodyPara">
    <w:name w:val="BodyPara"/>
    <w:aliases w:val="ba"/>
    <w:basedOn w:val="OPCParaBase"/>
    <w:rsid w:val="006B0D76"/>
    <w:pPr>
      <w:numPr>
        <w:ilvl w:val="1"/>
        <w:numId w:val="20"/>
      </w:numPr>
      <w:spacing w:before="240" w:line="240" w:lineRule="auto"/>
    </w:pPr>
    <w:rPr>
      <w:sz w:val="24"/>
    </w:rPr>
  </w:style>
  <w:style w:type="paragraph" w:customStyle="1" w:styleId="BodyParaBullet">
    <w:name w:val="BodyParaBullet"/>
    <w:aliases w:val="bpb"/>
    <w:basedOn w:val="OPCParaBase"/>
    <w:rsid w:val="006B0D76"/>
    <w:pPr>
      <w:numPr>
        <w:ilvl w:val="2"/>
        <w:numId w:val="20"/>
      </w:numPr>
      <w:tabs>
        <w:tab w:val="left" w:pos="2160"/>
      </w:tabs>
      <w:spacing w:before="240" w:line="240" w:lineRule="auto"/>
    </w:pPr>
    <w:rPr>
      <w:sz w:val="24"/>
    </w:rPr>
  </w:style>
  <w:style w:type="paragraph" w:customStyle="1" w:styleId="BodySubPara">
    <w:name w:val="BodySubPara"/>
    <w:aliases w:val="bi"/>
    <w:basedOn w:val="OPCParaBase"/>
    <w:rsid w:val="006B0D76"/>
    <w:pPr>
      <w:numPr>
        <w:ilvl w:val="3"/>
        <w:numId w:val="20"/>
      </w:numPr>
      <w:spacing w:before="240" w:line="240" w:lineRule="auto"/>
    </w:pPr>
    <w:rPr>
      <w:sz w:val="24"/>
    </w:rPr>
  </w:style>
  <w:style w:type="paragraph" w:customStyle="1" w:styleId="Head1">
    <w:name w:val="Head 1"/>
    <w:aliases w:val="1"/>
    <w:basedOn w:val="OPCParaBase"/>
    <w:next w:val="BodyNum"/>
    <w:rsid w:val="006B0D7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B0D7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B0D7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B0D7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B0D76"/>
    <w:pPr>
      <w:keepNext/>
      <w:spacing w:before="240" w:after="60" w:line="240" w:lineRule="auto"/>
      <w:outlineLvl w:val="4"/>
    </w:pPr>
    <w:rPr>
      <w:rFonts w:ascii="Arial" w:hAnsi="Arial"/>
      <w:b/>
      <w:i/>
      <w:kern w:val="28"/>
    </w:rPr>
  </w:style>
  <w:style w:type="paragraph" w:customStyle="1" w:styleId="2ndRd">
    <w:name w:val="2ndRd"/>
    <w:basedOn w:val="OPCParaBase"/>
    <w:rsid w:val="006B0D76"/>
    <w:pPr>
      <w:spacing w:line="240" w:lineRule="auto"/>
    </w:pPr>
    <w:rPr>
      <w:sz w:val="20"/>
    </w:rPr>
  </w:style>
  <w:style w:type="paragraph" w:customStyle="1" w:styleId="ActNoP1">
    <w:name w:val="ActNoP1"/>
    <w:basedOn w:val="OPCParaBase"/>
    <w:rsid w:val="006B0D76"/>
    <w:pPr>
      <w:spacing w:before="800" w:line="240" w:lineRule="auto"/>
    </w:pPr>
    <w:rPr>
      <w:b/>
      <w:sz w:val="28"/>
    </w:rPr>
  </w:style>
  <w:style w:type="paragraph" w:customStyle="1" w:styleId="mps3-data">
    <w:name w:val="mps3-data"/>
    <w:basedOn w:val="Normal"/>
    <w:qFormat/>
    <w:rsid w:val="006B0D76"/>
    <w:pPr>
      <w:spacing w:before="60" w:after="60" w:line="240" w:lineRule="auto"/>
    </w:pPr>
    <w:rPr>
      <w:rFonts w:ascii="Arial" w:eastAsia="Arial" w:hAnsi="Arial" w:cs="Arial"/>
      <w:sz w:val="16"/>
      <w:szCs w:val="22"/>
      <w:lang w:eastAsia="zh-CN"/>
    </w:rPr>
  </w:style>
  <w:style w:type="paragraph" w:customStyle="1" w:styleId="AssentBk">
    <w:name w:val="AssentBk"/>
    <w:basedOn w:val="OPCParaBase"/>
    <w:rsid w:val="006B0D76"/>
    <w:pPr>
      <w:spacing w:line="240" w:lineRule="auto"/>
    </w:pPr>
    <w:rPr>
      <w:sz w:val="20"/>
    </w:rPr>
  </w:style>
  <w:style w:type="paragraph" w:customStyle="1" w:styleId="AssentDt">
    <w:name w:val="AssentDt"/>
    <w:basedOn w:val="OPCParaBase"/>
    <w:rsid w:val="006B0D76"/>
    <w:pPr>
      <w:spacing w:line="240" w:lineRule="auto"/>
    </w:pPr>
    <w:rPr>
      <w:sz w:val="20"/>
    </w:rPr>
  </w:style>
  <w:style w:type="paragraph" w:customStyle="1" w:styleId="p1LinesAfter">
    <w:name w:val="p1LinesAfter"/>
    <w:basedOn w:val="OPCParaBase"/>
    <w:rsid w:val="006B0D76"/>
    <w:pPr>
      <w:pBdr>
        <w:top w:val="single" w:sz="12" w:space="0" w:color="auto"/>
      </w:pBdr>
      <w:spacing w:line="240" w:lineRule="auto"/>
    </w:pPr>
    <w:rPr>
      <w:b/>
      <w:sz w:val="28"/>
    </w:rPr>
  </w:style>
  <w:style w:type="paragraph" w:customStyle="1" w:styleId="p1LinesBef">
    <w:name w:val="p1LinesBef"/>
    <w:basedOn w:val="OPCParaBase"/>
    <w:rsid w:val="006B0D76"/>
    <w:pPr>
      <w:pBdr>
        <w:bottom w:val="single" w:sz="6" w:space="0" w:color="auto"/>
      </w:pBdr>
      <w:spacing w:before="400" w:line="240" w:lineRule="auto"/>
    </w:pPr>
    <w:rPr>
      <w:b/>
      <w:sz w:val="28"/>
    </w:rPr>
  </w:style>
  <w:style w:type="paragraph" w:customStyle="1" w:styleId="UpdateDate">
    <w:name w:val="UpdateDate"/>
    <w:basedOn w:val="OPCParaBase"/>
    <w:rsid w:val="006B0D76"/>
    <w:pPr>
      <w:spacing w:before="240"/>
    </w:pPr>
    <w:rPr>
      <w:sz w:val="24"/>
    </w:rPr>
  </w:style>
  <w:style w:type="paragraph" w:customStyle="1" w:styleId="Autotext">
    <w:name w:val="Autotext"/>
    <w:basedOn w:val="OPCParaBase"/>
    <w:rsid w:val="006B0D76"/>
    <w:pPr>
      <w:spacing w:line="240" w:lineRule="auto"/>
      <w:outlineLvl w:val="0"/>
    </w:pPr>
    <w:rPr>
      <w:color w:val="FF0000"/>
      <w:position w:val="6"/>
      <w:sz w:val="16"/>
    </w:rPr>
  </w:style>
  <w:style w:type="paragraph" w:customStyle="1" w:styleId="ClerkBlock">
    <w:name w:val="ClerkBlock"/>
    <w:basedOn w:val="OPCParaBase"/>
    <w:rsid w:val="006B0D76"/>
    <w:pPr>
      <w:spacing w:line="200" w:lineRule="atLeast"/>
      <w:ind w:right="3827"/>
    </w:pPr>
    <w:rPr>
      <w:sz w:val="20"/>
    </w:rPr>
  </w:style>
  <w:style w:type="paragraph" w:customStyle="1" w:styleId="ScalePlusRef">
    <w:name w:val="ScalePlusRef"/>
    <w:basedOn w:val="OPCParaBase"/>
    <w:rsid w:val="006B0D76"/>
    <w:pPr>
      <w:spacing w:line="240" w:lineRule="auto"/>
    </w:pPr>
    <w:rPr>
      <w:sz w:val="18"/>
    </w:rPr>
  </w:style>
  <w:style w:type="paragraph" w:customStyle="1" w:styleId="MessageNotice">
    <w:name w:val="MessageNotice"/>
    <w:aliases w:val="mn"/>
    <w:basedOn w:val="OPCParaBase"/>
    <w:rsid w:val="006B0D76"/>
    <w:pPr>
      <w:tabs>
        <w:tab w:val="left" w:pos="0"/>
      </w:tabs>
      <w:suppressAutoHyphens/>
      <w:jc w:val="both"/>
    </w:pPr>
    <w:rPr>
      <w:spacing w:val="-3"/>
      <w:sz w:val="28"/>
    </w:rPr>
  </w:style>
  <w:style w:type="character" w:customStyle="1" w:styleId="ListParagraphChar">
    <w:name w:val="List Paragraph Char"/>
    <w:link w:val="ListParagraph"/>
    <w:uiPriority w:val="34"/>
    <w:rsid w:val="006B0D76"/>
    <w:rPr>
      <w:rFonts w:eastAsia="Calibri" w:cs="Times New Roman"/>
      <w:sz w:val="22"/>
    </w:rPr>
  </w:style>
  <w:style w:type="paragraph" w:customStyle="1" w:styleId="Specials">
    <w:name w:val="Special s"/>
    <w:basedOn w:val="ActHead5"/>
    <w:link w:val="SpecialsChar"/>
    <w:rsid w:val="006B0D76"/>
    <w:pPr>
      <w:outlineLvl w:val="9"/>
    </w:pPr>
  </w:style>
  <w:style w:type="character" w:customStyle="1" w:styleId="SpecialsChar">
    <w:name w:val="Special s Char"/>
    <w:link w:val="Specials"/>
    <w:rsid w:val="006B0D7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6B0D76"/>
    <w:rPr>
      <w:rFonts w:eastAsia="Times New Roman" w:cs="Times New Roman"/>
      <w:lang w:eastAsia="en-AU"/>
    </w:rPr>
  </w:style>
  <w:style w:type="paragraph" w:customStyle="1" w:styleId="Page1Pam">
    <w:name w:val="Page1Pam"/>
    <w:basedOn w:val="OPCParaBase"/>
    <w:next w:val="ShortT"/>
    <w:rsid w:val="006B0D76"/>
    <w:pPr>
      <w:spacing w:before="1600" w:line="240" w:lineRule="auto"/>
    </w:pPr>
  </w:style>
  <w:style w:type="paragraph" w:styleId="NoteHeading">
    <w:name w:val="Note Heading"/>
    <w:basedOn w:val="Normal"/>
    <w:next w:val="Normal"/>
    <w:link w:val="NoteHeadingChar"/>
    <w:semiHidden/>
    <w:unhideWhenUsed/>
    <w:rsid w:val="006B0D76"/>
    <w:pPr>
      <w:spacing w:line="240" w:lineRule="auto"/>
    </w:pPr>
    <w:rPr>
      <w:rFonts w:eastAsia="Calibri" w:cs="Times New Roman"/>
    </w:rPr>
  </w:style>
  <w:style w:type="character" w:customStyle="1" w:styleId="NoteHeadingChar">
    <w:name w:val="Note Heading Char"/>
    <w:basedOn w:val="DefaultParagraphFont"/>
    <w:link w:val="NoteHeading"/>
    <w:semiHidden/>
    <w:rsid w:val="006B0D76"/>
    <w:rPr>
      <w:rFonts w:eastAsia="Calibri" w:cs="Times New Roman"/>
      <w:sz w:val="22"/>
    </w:rPr>
  </w:style>
  <w:style w:type="paragraph" w:customStyle="1" w:styleId="MessShortTitle">
    <w:name w:val="MessShortTitle"/>
    <w:basedOn w:val="Head2"/>
    <w:rsid w:val="003F687C"/>
  </w:style>
  <w:style w:type="paragraph" w:customStyle="1" w:styleId="SundryBoxBullet">
    <w:name w:val="SundryBoxBullet"/>
    <w:aliases w:val="sbb"/>
    <w:basedOn w:val="Normal"/>
    <w:rsid w:val="003F687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3F687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5210">
      <w:bodyDiv w:val="1"/>
      <w:marLeft w:val="0"/>
      <w:marRight w:val="0"/>
      <w:marTop w:val="0"/>
      <w:marBottom w:val="0"/>
      <w:divBdr>
        <w:top w:val="none" w:sz="0" w:space="0" w:color="auto"/>
        <w:left w:val="none" w:sz="0" w:space="0" w:color="auto"/>
        <w:bottom w:val="none" w:sz="0" w:space="0" w:color="auto"/>
        <w:right w:val="none" w:sz="0" w:space="0" w:color="auto"/>
      </w:divBdr>
    </w:div>
    <w:div w:id="1911885109">
      <w:bodyDiv w:val="1"/>
      <w:marLeft w:val="0"/>
      <w:marRight w:val="0"/>
      <w:marTop w:val="0"/>
      <w:marBottom w:val="0"/>
      <w:divBdr>
        <w:top w:val="none" w:sz="0" w:space="0" w:color="auto"/>
        <w:left w:val="none" w:sz="0" w:space="0" w:color="auto"/>
        <w:bottom w:val="none" w:sz="0" w:space="0" w:color="auto"/>
        <w:right w:val="none" w:sz="0" w:space="0" w:color="auto"/>
      </w:divBdr>
    </w:div>
    <w:div w:id="207068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header" Target="header24.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9DE0-5C22-4786-BAC5-987444C2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424</Pages>
  <Words>175290</Words>
  <Characters>965883</Characters>
  <Application>Microsoft Office Word</Application>
  <DocSecurity>0</DocSecurity>
  <PresentationFormat/>
  <Lines>23395</Lines>
  <Paragraphs>6135</Paragraphs>
  <ScaleCrop>false</ScaleCrop>
  <HeadingPairs>
    <vt:vector size="2" baseType="variant">
      <vt:variant>
        <vt:lpstr>Title</vt:lpstr>
      </vt:variant>
      <vt:variant>
        <vt:i4>1</vt:i4>
      </vt:variant>
    </vt:vector>
  </HeadingPairs>
  <TitlesOfParts>
    <vt:vector size="1" baseType="lpstr">
      <vt:lpstr>National Health (Highly Specialised Drugs Program) Special Arrangement 2021</vt:lpstr>
    </vt:vector>
  </TitlesOfParts>
  <Manager/>
  <Company/>
  <LinksUpToDate>false</LinksUpToDate>
  <CharactersWithSpaces>1135406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2020-11-19T06:02:00Z</cp:lastPrinted>
  <dcterms:created xsi:type="dcterms:W3CDTF">2021-03-29T03:46:00Z</dcterms:created>
  <dcterms:modified xsi:type="dcterms:W3CDTF">2021-03-29T03:51:00Z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(Highly Specialised Drugs Program) Special Arrangement 2021</vt:lpwstr>
  </property>
  <property fmtid="{D5CDD505-2E9C-101B-9397-08002B2CF9AE}" pid="4" name="Header">
    <vt:lpwstr>Section</vt:lpwstr>
  </property>
  <property fmtid="{D5CDD505-2E9C-101B-9397-08002B2CF9AE}" pid="5" name="Class">
    <vt:lpwstr>Special Arrangement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OPC64690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25 March 2021</vt:lpwstr>
  </property>
</Properties>
</file>