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3077" w14:textId="77777777" w:rsidR="00636A5D" w:rsidRPr="00CC60A7" w:rsidRDefault="00636A5D" w:rsidP="00636A5D">
      <w:pPr>
        <w:pStyle w:val="Heading1"/>
        <w:rPr>
          <w:sz w:val="28"/>
          <w:szCs w:val="28"/>
        </w:rPr>
      </w:pPr>
      <w:r w:rsidRPr="00CC60A7">
        <w:rPr>
          <w:sz w:val="28"/>
          <w:szCs w:val="28"/>
        </w:rPr>
        <w:t>EXPLANATORY STATEMENT</w:t>
      </w:r>
    </w:p>
    <w:p w14:paraId="768A1327" w14:textId="77777777" w:rsidR="00636A5D" w:rsidRDefault="00636A5D" w:rsidP="00636A5D">
      <w:pPr>
        <w:jc w:val="center"/>
        <w:rPr>
          <w:sz w:val="24"/>
        </w:rPr>
      </w:pPr>
    </w:p>
    <w:p w14:paraId="2A0DBBC6" w14:textId="77777777" w:rsidR="00636A5D" w:rsidRDefault="00636A5D" w:rsidP="00636A5D">
      <w:pPr>
        <w:pStyle w:val="Heading2"/>
        <w:spacing w:before="120" w:after="240"/>
        <w:ind w:left="0" w:firstLine="0"/>
      </w:pPr>
      <w:r>
        <w:rPr>
          <w:i/>
        </w:rPr>
        <w:t>Telecommunications (Interception and Access) Act 1979</w:t>
      </w:r>
    </w:p>
    <w:p w14:paraId="6BE97777" w14:textId="77777777" w:rsidR="00636A5D" w:rsidRDefault="00636A5D" w:rsidP="00636A5D">
      <w:pPr>
        <w:pStyle w:val="Heading2"/>
        <w:ind w:left="0" w:firstLine="0"/>
        <w:rPr>
          <w:b/>
          <w:caps/>
        </w:rPr>
      </w:pPr>
      <w:r w:rsidRPr="00B21011">
        <w:rPr>
          <w:b/>
          <w:caps/>
        </w:rPr>
        <w:t>Telecommunications (Interception and Access) (Communications Acce</w:t>
      </w:r>
      <w:r>
        <w:rPr>
          <w:b/>
          <w:caps/>
        </w:rPr>
        <w:t xml:space="preserve">ss Co-ordinator) AMENDMENT Instrument </w:t>
      </w:r>
      <w:r w:rsidRPr="00AC6E1D">
        <w:rPr>
          <w:b/>
          <w:caps/>
        </w:rPr>
        <w:t>20</w:t>
      </w:r>
      <w:r w:rsidR="007D094B">
        <w:rPr>
          <w:b/>
          <w:caps/>
        </w:rPr>
        <w:t>21 (No. 1)</w:t>
      </w:r>
    </w:p>
    <w:p w14:paraId="7698F694" w14:textId="77777777" w:rsidR="00636A5D" w:rsidRPr="00A64E53" w:rsidRDefault="00636A5D" w:rsidP="00636A5D">
      <w:pPr>
        <w:spacing w:before="240"/>
        <w:ind w:left="418" w:right="288"/>
        <w:jc w:val="center"/>
        <w:rPr>
          <w:i/>
        </w:rPr>
      </w:pPr>
      <w:r w:rsidRPr="00A64E53">
        <w:rPr>
          <w:i/>
        </w:rPr>
        <w:t xml:space="preserve">(Subsection </w:t>
      </w:r>
      <w:proofErr w:type="gramStart"/>
      <w:r w:rsidRPr="00A64E53">
        <w:rPr>
          <w:i/>
        </w:rPr>
        <w:t>6R(</w:t>
      </w:r>
      <w:proofErr w:type="gramEnd"/>
      <w:r w:rsidRPr="00A64E53">
        <w:rPr>
          <w:i/>
        </w:rPr>
        <w:t>2))</w:t>
      </w:r>
    </w:p>
    <w:p w14:paraId="653890C3" w14:textId="77777777" w:rsidR="00636A5D" w:rsidRPr="00B21011" w:rsidRDefault="00636A5D" w:rsidP="00636A5D"/>
    <w:p w14:paraId="46167290" w14:textId="77777777" w:rsidR="00636A5D" w:rsidRDefault="00636A5D" w:rsidP="00636A5D">
      <w:pPr>
        <w:rPr>
          <w:sz w:val="22"/>
        </w:rPr>
      </w:pPr>
    </w:p>
    <w:p w14:paraId="6635E377" w14:textId="77777777" w:rsidR="00636A5D" w:rsidRPr="00B21011" w:rsidRDefault="00636A5D" w:rsidP="00636A5D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720" w:hanging="6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C6E1D">
        <w:rPr>
          <w:i/>
          <w:sz w:val="24"/>
          <w:szCs w:val="24"/>
        </w:rPr>
        <w:t>Telecommunications (Interception and Access)</w:t>
      </w:r>
      <w:r>
        <w:rPr>
          <w:i/>
          <w:sz w:val="24"/>
          <w:szCs w:val="24"/>
        </w:rPr>
        <w:t xml:space="preserve"> </w:t>
      </w:r>
      <w:r w:rsidRPr="00AC6E1D">
        <w:rPr>
          <w:i/>
          <w:sz w:val="24"/>
          <w:szCs w:val="24"/>
        </w:rPr>
        <w:t>(Communications Access          Co-</w:t>
      </w:r>
      <w:proofErr w:type="spellStart"/>
      <w:r w:rsidRPr="00AC6E1D">
        <w:rPr>
          <w:i/>
          <w:sz w:val="24"/>
          <w:szCs w:val="24"/>
        </w:rPr>
        <w:t>ordinator</w:t>
      </w:r>
      <w:proofErr w:type="spellEnd"/>
      <w:r w:rsidRPr="00AC6E1D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Amendment </w:t>
      </w:r>
      <w:r w:rsidRPr="00AC6E1D">
        <w:rPr>
          <w:i/>
          <w:sz w:val="24"/>
          <w:szCs w:val="24"/>
        </w:rPr>
        <w:t>Instrument 20</w:t>
      </w:r>
      <w:r w:rsidR="007D094B">
        <w:rPr>
          <w:i/>
          <w:sz w:val="24"/>
          <w:szCs w:val="24"/>
        </w:rPr>
        <w:t>21 (No. 1)</w:t>
      </w:r>
      <w:r w:rsidRPr="00AC6E1D">
        <w:rPr>
          <w:sz w:val="24"/>
          <w:szCs w:val="24"/>
        </w:rPr>
        <w:t xml:space="preserve"> </w:t>
      </w:r>
      <w:r w:rsidRPr="0054395F">
        <w:rPr>
          <w:sz w:val="24"/>
          <w:szCs w:val="24"/>
        </w:rPr>
        <w:t>(LIN</w:t>
      </w:r>
      <w:r w:rsidR="007D094B">
        <w:rPr>
          <w:sz w:val="24"/>
          <w:szCs w:val="24"/>
        </w:rPr>
        <w:t xml:space="preserve"> 21/022</w:t>
      </w:r>
      <w:r w:rsidRPr="0054395F">
        <w:rPr>
          <w:sz w:val="24"/>
          <w:szCs w:val="24"/>
        </w:rPr>
        <w:t>)</w:t>
      </w:r>
      <w:r w:rsidRPr="00AC6E1D">
        <w:rPr>
          <w:sz w:val="24"/>
          <w:szCs w:val="24"/>
        </w:rPr>
        <w:t xml:space="preserve"> (“the </w:t>
      </w:r>
      <w:r>
        <w:rPr>
          <w:sz w:val="24"/>
          <w:szCs w:val="24"/>
        </w:rPr>
        <w:t xml:space="preserve">Amendment </w:t>
      </w:r>
      <w:r w:rsidRPr="00AC6E1D">
        <w:rPr>
          <w:sz w:val="24"/>
          <w:szCs w:val="24"/>
        </w:rPr>
        <w:t>Instrument”)</w:t>
      </w:r>
      <w:r>
        <w:rPr>
          <w:sz w:val="24"/>
          <w:szCs w:val="24"/>
        </w:rPr>
        <w:t xml:space="preserve"> </w:t>
      </w:r>
      <w:r w:rsidRPr="00B21011">
        <w:rPr>
          <w:sz w:val="24"/>
          <w:szCs w:val="24"/>
        </w:rPr>
        <w:t xml:space="preserve">is made under subsection </w:t>
      </w:r>
      <w:proofErr w:type="gramStart"/>
      <w:r w:rsidRPr="00B21011">
        <w:rPr>
          <w:sz w:val="24"/>
          <w:szCs w:val="24"/>
        </w:rPr>
        <w:t>6R(</w:t>
      </w:r>
      <w:proofErr w:type="gramEnd"/>
      <w:r w:rsidRPr="00B21011">
        <w:rPr>
          <w:sz w:val="24"/>
          <w:szCs w:val="24"/>
        </w:rPr>
        <w:t xml:space="preserve">2) of the </w:t>
      </w:r>
      <w:r w:rsidRPr="00B21011">
        <w:rPr>
          <w:i/>
          <w:sz w:val="24"/>
          <w:szCs w:val="24"/>
        </w:rPr>
        <w:t xml:space="preserve">Telecommunications (Interception and Access) Act 1979 </w:t>
      </w:r>
      <w:r>
        <w:rPr>
          <w:sz w:val="24"/>
          <w:szCs w:val="24"/>
        </w:rPr>
        <w:t>(“the TIA Act”) and</w:t>
      </w:r>
      <w:r w:rsidRPr="00D778AA">
        <w:rPr>
          <w:sz w:val="24"/>
        </w:rPr>
        <w:t xml:space="preserve"> </w:t>
      </w:r>
      <w:r>
        <w:rPr>
          <w:sz w:val="24"/>
        </w:rPr>
        <w:t xml:space="preserve">subsection 33(3) of the </w:t>
      </w:r>
      <w:r w:rsidRPr="00824A82">
        <w:rPr>
          <w:i/>
          <w:sz w:val="24"/>
        </w:rPr>
        <w:t>Acts Interpretation Act 1901</w:t>
      </w:r>
      <w:r>
        <w:rPr>
          <w:sz w:val="24"/>
        </w:rPr>
        <w:t>.</w:t>
      </w:r>
    </w:p>
    <w:p w14:paraId="3C642E50" w14:textId="77777777" w:rsidR="00636A5D" w:rsidRDefault="00636A5D" w:rsidP="00636A5D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>
        <w:rPr>
          <w:sz w:val="24"/>
        </w:rPr>
        <w:t>The Amendment I</w:t>
      </w:r>
      <w:r w:rsidRPr="0042381C">
        <w:rPr>
          <w:sz w:val="24"/>
        </w:rPr>
        <w:t xml:space="preserve">nstrument </w:t>
      </w:r>
      <w:bookmarkStart w:id="0" w:name="_Toc522101289"/>
      <w:r>
        <w:rPr>
          <w:sz w:val="24"/>
        </w:rPr>
        <w:t xml:space="preserve">amends the </w:t>
      </w:r>
      <w:r w:rsidRPr="002A0409">
        <w:rPr>
          <w:i/>
          <w:sz w:val="24"/>
        </w:rPr>
        <w:t>Telecommunications (Interception and Access) (Communications Access Co-</w:t>
      </w:r>
      <w:proofErr w:type="spellStart"/>
      <w:r w:rsidRPr="002A0409">
        <w:rPr>
          <w:i/>
          <w:sz w:val="24"/>
        </w:rPr>
        <w:t>ordinator</w:t>
      </w:r>
      <w:proofErr w:type="spellEnd"/>
      <w:r w:rsidRPr="002A0409">
        <w:rPr>
          <w:i/>
          <w:sz w:val="24"/>
        </w:rPr>
        <w:t>) Instrument 201</w:t>
      </w:r>
      <w:r>
        <w:rPr>
          <w:i/>
          <w:sz w:val="24"/>
        </w:rPr>
        <w:t>9</w:t>
      </w:r>
      <w:bookmarkEnd w:id="0"/>
      <w:r w:rsidRPr="00824A82">
        <w:rPr>
          <w:sz w:val="24"/>
        </w:rPr>
        <w:t xml:space="preserve"> </w:t>
      </w:r>
      <w:r>
        <w:rPr>
          <w:sz w:val="24"/>
        </w:rPr>
        <w:t>(“the 2019 Instrument”).</w:t>
      </w:r>
    </w:p>
    <w:p w14:paraId="3AF2E009" w14:textId="77777777" w:rsidR="008C13F5" w:rsidRDefault="00636A5D" w:rsidP="008C13F5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 w:rsidRPr="00B21011">
        <w:rPr>
          <w:sz w:val="24"/>
          <w:szCs w:val="24"/>
        </w:rPr>
        <w:t xml:space="preserve">The </w:t>
      </w:r>
      <w:r>
        <w:rPr>
          <w:sz w:val="24"/>
          <w:szCs w:val="24"/>
        </w:rPr>
        <w:t>TIA Act</w:t>
      </w:r>
      <w:r w:rsidRPr="00B21011">
        <w:rPr>
          <w:sz w:val="24"/>
          <w:szCs w:val="24"/>
        </w:rPr>
        <w:t xml:space="preserve"> establishes the position of </w:t>
      </w:r>
      <w:r w:rsidRPr="00DD2539">
        <w:rPr>
          <w:i/>
          <w:sz w:val="24"/>
          <w:szCs w:val="24"/>
        </w:rPr>
        <w:t>Communications Access Co-</w:t>
      </w:r>
      <w:proofErr w:type="spellStart"/>
      <w:r w:rsidRPr="00DD2539">
        <w:rPr>
          <w:i/>
          <w:sz w:val="24"/>
          <w:szCs w:val="24"/>
        </w:rPr>
        <w:t>ordinator</w:t>
      </w:r>
      <w:proofErr w:type="spellEnd"/>
      <w:r w:rsidRPr="00B21011">
        <w:rPr>
          <w:sz w:val="24"/>
          <w:szCs w:val="24"/>
        </w:rPr>
        <w:t xml:space="preserve"> as the primary point of liaison for</w:t>
      </w:r>
      <w:r>
        <w:rPr>
          <w:sz w:val="24"/>
          <w:szCs w:val="24"/>
        </w:rPr>
        <w:t xml:space="preserve"> law enforcement agencies,</w:t>
      </w:r>
      <w:r w:rsidRPr="00B21011">
        <w:rPr>
          <w:sz w:val="24"/>
          <w:szCs w:val="24"/>
        </w:rPr>
        <w:t xml:space="preserve"> interception agencies, telecommunications carriers and carriage service providers in relation to </w:t>
      </w:r>
      <w:r w:rsidRPr="00C15AA1">
        <w:rPr>
          <w:sz w:val="24"/>
          <w:szCs w:val="24"/>
        </w:rPr>
        <w:t>telecommunications interception and data retention issues.</w:t>
      </w:r>
    </w:p>
    <w:p w14:paraId="4C9E37BA" w14:textId="7EFFEB4D" w:rsidR="008C13F5" w:rsidRPr="008C13F5" w:rsidRDefault="008C13F5" w:rsidP="008C13F5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 w:rsidRPr="008C13F5">
        <w:rPr>
          <w:iCs/>
          <w:sz w:val="24"/>
          <w:szCs w:val="24"/>
        </w:rPr>
        <w:t xml:space="preserve">Under section 6R of the TIA Act, </w:t>
      </w:r>
      <w:r w:rsidRPr="008C13F5">
        <w:rPr>
          <w:i/>
          <w:iCs/>
          <w:sz w:val="24"/>
          <w:szCs w:val="24"/>
        </w:rPr>
        <w:t>Communications Access Co-</w:t>
      </w:r>
      <w:proofErr w:type="spellStart"/>
      <w:r w:rsidRPr="008C13F5">
        <w:rPr>
          <w:i/>
          <w:iCs/>
          <w:sz w:val="24"/>
          <w:szCs w:val="24"/>
        </w:rPr>
        <w:t>ordinator</w:t>
      </w:r>
      <w:proofErr w:type="spellEnd"/>
      <w:r w:rsidRPr="008C13F5">
        <w:rPr>
          <w:iCs/>
          <w:sz w:val="24"/>
          <w:szCs w:val="24"/>
        </w:rPr>
        <w:t xml:space="preserve"> </w:t>
      </w:r>
      <w:proofErr w:type="gramStart"/>
      <w:r w:rsidRPr="008C13F5">
        <w:rPr>
          <w:iCs/>
          <w:sz w:val="24"/>
          <w:szCs w:val="24"/>
        </w:rPr>
        <w:t>is taken</w:t>
      </w:r>
      <w:proofErr w:type="gramEnd"/>
      <w:r w:rsidRPr="008C13F5">
        <w:rPr>
          <w:iCs/>
          <w:sz w:val="24"/>
          <w:szCs w:val="24"/>
        </w:rPr>
        <w:t xml:space="preserve"> to mean the Secretary of the Department of Home Affairs or a person or body specified by the Minister in a legislative instrument under that section.</w:t>
      </w:r>
      <w:r w:rsidRPr="008C13F5">
        <w:rPr>
          <w:sz w:val="24"/>
          <w:szCs w:val="24"/>
        </w:rPr>
        <w:t xml:space="preserve"> </w:t>
      </w:r>
    </w:p>
    <w:p w14:paraId="54413AFB" w14:textId="2005E832" w:rsidR="007D094B" w:rsidRPr="00C15AA1" w:rsidRDefault="007D094B" w:rsidP="00636A5D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15AA1">
        <w:rPr>
          <w:sz w:val="24"/>
          <w:szCs w:val="24"/>
        </w:rPr>
        <w:t>2019 Instrument specifies</w:t>
      </w:r>
      <w:r w:rsidR="002D5514">
        <w:rPr>
          <w:sz w:val="24"/>
          <w:szCs w:val="24"/>
        </w:rPr>
        <w:t xml:space="preserve">, as </w:t>
      </w:r>
      <w:r w:rsidR="002D5514" w:rsidRPr="00DD2539">
        <w:rPr>
          <w:i/>
          <w:sz w:val="24"/>
          <w:szCs w:val="24"/>
        </w:rPr>
        <w:t>Communications Access Co-</w:t>
      </w:r>
      <w:proofErr w:type="spellStart"/>
      <w:r w:rsidR="002D5514" w:rsidRPr="00DD2539">
        <w:rPr>
          <w:i/>
          <w:sz w:val="24"/>
          <w:szCs w:val="24"/>
        </w:rPr>
        <w:t>ordinator</w:t>
      </w:r>
      <w:proofErr w:type="spellEnd"/>
      <w:r w:rsidR="002D5514">
        <w:rPr>
          <w:sz w:val="24"/>
          <w:szCs w:val="24"/>
        </w:rPr>
        <w:t>,</w:t>
      </w:r>
      <w:r w:rsidRPr="00C15AA1">
        <w:rPr>
          <w:sz w:val="24"/>
          <w:szCs w:val="24"/>
        </w:rPr>
        <w:t xml:space="preserve"> persons who hold, occupy or perform the duties of certain positions in </w:t>
      </w:r>
      <w:r w:rsidR="002D5514">
        <w:rPr>
          <w:sz w:val="24"/>
          <w:szCs w:val="24"/>
        </w:rPr>
        <w:t xml:space="preserve">certain work areas, including </w:t>
      </w:r>
      <w:r w:rsidRPr="00C15AA1">
        <w:rPr>
          <w:sz w:val="24"/>
          <w:szCs w:val="24"/>
        </w:rPr>
        <w:t>the</w:t>
      </w:r>
      <w:r w:rsidR="002D5514">
        <w:rPr>
          <w:sz w:val="24"/>
          <w:szCs w:val="24"/>
        </w:rPr>
        <w:t xml:space="preserve"> National Security Policy Branch </w:t>
      </w:r>
      <w:r w:rsidR="00F12CC4">
        <w:rPr>
          <w:sz w:val="24"/>
          <w:szCs w:val="24"/>
        </w:rPr>
        <w:t>of</w:t>
      </w:r>
      <w:r w:rsidR="002D5514">
        <w:rPr>
          <w:sz w:val="24"/>
          <w:szCs w:val="24"/>
        </w:rPr>
        <w:t xml:space="preserve"> the </w:t>
      </w:r>
      <w:r w:rsidR="00C15AA1" w:rsidRPr="00C15AA1">
        <w:rPr>
          <w:sz w:val="24"/>
          <w:szCs w:val="24"/>
        </w:rPr>
        <w:t xml:space="preserve">Strategy and </w:t>
      </w:r>
      <w:r w:rsidRPr="00C15AA1">
        <w:rPr>
          <w:sz w:val="24"/>
          <w:szCs w:val="24"/>
        </w:rPr>
        <w:t>Law Enforcement Group.</w:t>
      </w:r>
    </w:p>
    <w:p w14:paraId="4C2CEA1D" w14:textId="5D885CDD" w:rsidR="00313C56" w:rsidRDefault="007D094B" w:rsidP="00D768F3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As a result</w:t>
      </w:r>
      <w:proofErr w:type="gramEnd"/>
      <w:r>
        <w:rPr>
          <w:sz w:val="24"/>
          <w:szCs w:val="24"/>
        </w:rPr>
        <w:t xml:space="preserve"> of a </w:t>
      </w:r>
      <w:r w:rsidRPr="007B5A78">
        <w:rPr>
          <w:sz w:val="24"/>
        </w:rPr>
        <w:t>Departmental restructure</w:t>
      </w:r>
      <w:r>
        <w:rPr>
          <w:sz w:val="24"/>
          <w:szCs w:val="24"/>
        </w:rPr>
        <w:t xml:space="preserve">, </w:t>
      </w:r>
      <w:r w:rsidR="00F12CC4">
        <w:rPr>
          <w:sz w:val="24"/>
          <w:szCs w:val="24"/>
        </w:rPr>
        <w:t xml:space="preserve">responsibility for </w:t>
      </w:r>
      <w:r>
        <w:rPr>
          <w:sz w:val="24"/>
          <w:szCs w:val="24"/>
        </w:rPr>
        <w:t xml:space="preserve">the </w:t>
      </w:r>
      <w:r w:rsidR="00456FA1">
        <w:rPr>
          <w:sz w:val="24"/>
          <w:szCs w:val="24"/>
        </w:rPr>
        <w:t>National Security Pol</w:t>
      </w:r>
      <w:r w:rsidR="0011151D">
        <w:rPr>
          <w:sz w:val="24"/>
          <w:szCs w:val="24"/>
        </w:rPr>
        <w:t xml:space="preserve">icy Branch has been </w:t>
      </w:r>
      <w:r w:rsidR="00C15AA1">
        <w:rPr>
          <w:sz w:val="24"/>
          <w:szCs w:val="24"/>
        </w:rPr>
        <w:t xml:space="preserve">transferred </w:t>
      </w:r>
      <w:r w:rsidR="002627A0">
        <w:rPr>
          <w:sz w:val="24"/>
          <w:szCs w:val="24"/>
        </w:rPr>
        <w:t xml:space="preserve">from Law Enforcement Policy Division </w:t>
      </w:r>
      <w:r w:rsidR="001A378C" w:rsidRPr="001A378C">
        <w:rPr>
          <w:sz w:val="24"/>
          <w:szCs w:val="24"/>
          <w:lang w:val="en-AU"/>
        </w:rPr>
        <w:t>(while still remaining in Strategy and Law Enforcement Group)</w:t>
      </w:r>
      <w:r w:rsidR="00456FA1">
        <w:rPr>
          <w:sz w:val="24"/>
          <w:szCs w:val="24"/>
        </w:rPr>
        <w:t>.</w:t>
      </w:r>
      <w:r w:rsidR="00364E00">
        <w:rPr>
          <w:sz w:val="24"/>
          <w:szCs w:val="24"/>
        </w:rPr>
        <w:t xml:space="preserve"> The </w:t>
      </w:r>
      <w:r w:rsidR="00F728E4">
        <w:rPr>
          <w:sz w:val="24"/>
          <w:szCs w:val="24"/>
        </w:rPr>
        <w:t xml:space="preserve">2019 </w:t>
      </w:r>
      <w:r w:rsidR="00364E00">
        <w:rPr>
          <w:sz w:val="24"/>
          <w:szCs w:val="24"/>
        </w:rPr>
        <w:t xml:space="preserve">Instrument </w:t>
      </w:r>
      <w:proofErr w:type="gramStart"/>
      <w:r w:rsidR="00364E00">
        <w:rPr>
          <w:sz w:val="24"/>
          <w:szCs w:val="24"/>
        </w:rPr>
        <w:t>has been amended</w:t>
      </w:r>
      <w:proofErr w:type="gramEnd"/>
      <w:r w:rsidR="00364E00">
        <w:rPr>
          <w:sz w:val="24"/>
          <w:szCs w:val="24"/>
        </w:rPr>
        <w:t xml:space="preserve"> to </w:t>
      </w:r>
      <w:r w:rsidR="00F12CC4">
        <w:rPr>
          <w:sz w:val="24"/>
          <w:szCs w:val="24"/>
        </w:rPr>
        <w:t xml:space="preserve">reflect this change. It </w:t>
      </w:r>
      <w:proofErr w:type="gramStart"/>
      <w:r w:rsidR="00F12CC4">
        <w:rPr>
          <w:sz w:val="24"/>
          <w:szCs w:val="24"/>
        </w:rPr>
        <w:t>has also been simplified</w:t>
      </w:r>
      <w:proofErr w:type="gramEnd"/>
      <w:r w:rsidR="00F12CC4">
        <w:rPr>
          <w:sz w:val="24"/>
          <w:szCs w:val="24"/>
        </w:rPr>
        <w:t xml:space="preserve"> to combine references to persons holding positions at the SES Band 2 and SES Band 3 classifications </w:t>
      </w:r>
      <w:r w:rsidR="00FA73BB">
        <w:rPr>
          <w:sz w:val="24"/>
          <w:szCs w:val="24"/>
        </w:rPr>
        <w:t xml:space="preserve">with </w:t>
      </w:r>
      <w:r w:rsidR="00FA73BB">
        <w:rPr>
          <w:sz w:val="24"/>
          <w:szCs w:val="24"/>
        </w:rPr>
        <w:lastRenderedPageBreak/>
        <w:t>responsibility for the National Security Policy Branch.</w:t>
      </w:r>
    </w:p>
    <w:p w14:paraId="535F71FC" w14:textId="79BB5C18" w:rsidR="00AA2B69" w:rsidRPr="00B34207" w:rsidRDefault="00AA2B69" w:rsidP="00D768F3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 w:rsidRPr="00B34207">
        <w:rPr>
          <w:sz w:val="24"/>
          <w:szCs w:val="24"/>
        </w:rPr>
        <w:t xml:space="preserve">As a result of a concurrent structural change, the Telecommunications and Technology Branch </w:t>
      </w:r>
      <w:r w:rsidR="00C67579" w:rsidRPr="00B34207">
        <w:rPr>
          <w:sz w:val="24"/>
          <w:szCs w:val="24"/>
        </w:rPr>
        <w:t>in the Critical Infrastructure Security Division of the National Resilience and Cyber Security Group</w:t>
      </w:r>
      <w:r w:rsidR="00C67579" w:rsidRPr="00B34207">
        <w:rPr>
          <w:rFonts w:ascii="Arial" w:hAnsi="Arial" w:cs="Arial"/>
          <w:sz w:val="19"/>
          <w:szCs w:val="19"/>
        </w:rPr>
        <w:t xml:space="preserve"> </w:t>
      </w:r>
      <w:r w:rsidRPr="00B34207">
        <w:rPr>
          <w:sz w:val="24"/>
          <w:szCs w:val="24"/>
        </w:rPr>
        <w:t xml:space="preserve">has been renamed the Risk and Strategic Analysis </w:t>
      </w:r>
      <w:r w:rsidR="00BA1D73" w:rsidRPr="00B34207">
        <w:rPr>
          <w:sz w:val="24"/>
          <w:szCs w:val="24"/>
        </w:rPr>
        <w:t xml:space="preserve">Branch. </w:t>
      </w:r>
      <w:r w:rsidR="00BA1D73" w:rsidRPr="00B34207">
        <w:rPr>
          <w:sz w:val="24"/>
          <w:szCs w:val="24"/>
          <w:lang w:val="en-AU"/>
        </w:rPr>
        <w:t xml:space="preserve">The 2019 Instrument </w:t>
      </w:r>
      <w:proofErr w:type="gramStart"/>
      <w:r w:rsidR="00BA1D73" w:rsidRPr="00B34207">
        <w:rPr>
          <w:sz w:val="24"/>
          <w:szCs w:val="24"/>
          <w:lang w:val="en-AU"/>
        </w:rPr>
        <w:t>has been amended</w:t>
      </w:r>
      <w:proofErr w:type="gramEnd"/>
      <w:r w:rsidR="00BA1D73" w:rsidRPr="00B34207">
        <w:rPr>
          <w:sz w:val="24"/>
          <w:szCs w:val="24"/>
          <w:lang w:val="en-AU"/>
        </w:rPr>
        <w:t xml:space="preserve"> to reflect this change.</w:t>
      </w:r>
    </w:p>
    <w:p w14:paraId="0DC52BFC" w14:textId="06320F24" w:rsidR="00636A5D" w:rsidRPr="00DD2539" w:rsidRDefault="00313C56" w:rsidP="00DD2539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>
        <w:rPr>
          <w:sz w:val="24"/>
          <w:szCs w:val="24"/>
        </w:rPr>
        <w:t>There are no other changes to the number of people, positions, classification levels or work areas resulting from the making of the Amendment Instrument.</w:t>
      </w:r>
    </w:p>
    <w:p w14:paraId="60352B60" w14:textId="77777777" w:rsidR="00636A5D" w:rsidRPr="00456FA1" w:rsidRDefault="00636A5D" w:rsidP="00636A5D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 w:rsidRPr="00456FA1">
        <w:rPr>
          <w:sz w:val="24"/>
          <w:szCs w:val="24"/>
        </w:rPr>
        <w:t xml:space="preserve">In accordance with paragraph </w:t>
      </w:r>
      <w:proofErr w:type="gramStart"/>
      <w:r w:rsidRPr="00456FA1">
        <w:rPr>
          <w:sz w:val="24"/>
          <w:szCs w:val="24"/>
        </w:rPr>
        <w:t>15J(</w:t>
      </w:r>
      <w:proofErr w:type="gramEnd"/>
      <w:r w:rsidRPr="00456FA1">
        <w:rPr>
          <w:sz w:val="24"/>
          <w:szCs w:val="24"/>
        </w:rPr>
        <w:t xml:space="preserve">2)(e) of the </w:t>
      </w:r>
      <w:r w:rsidRPr="00456FA1">
        <w:rPr>
          <w:i/>
          <w:iCs/>
          <w:sz w:val="24"/>
          <w:szCs w:val="24"/>
        </w:rPr>
        <w:t>Legislation Act 2003</w:t>
      </w:r>
      <w:r w:rsidRPr="00456FA1">
        <w:rPr>
          <w:sz w:val="24"/>
          <w:szCs w:val="24"/>
        </w:rPr>
        <w:t xml:space="preserve">, consultation was not necessary. This instrument </w:t>
      </w:r>
      <w:r w:rsidRPr="00456FA1">
        <w:rPr>
          <w:kern w:val="2"/>
          <w:sz w:val="24"/>
          <w:szCs w:val="24"/>
        </w:rPr>
        <w:t xml:space="preserve">corrects </w:t>
      </w:r>
      <w:proofErr w:type="spellStart"/>
      <w:r w:rsidRPr="00456FA1">
        <w:rPr>
          <w:kern w:val="2"/>
          <w:sz w:val="24"/>
          <w:szCs w:val="24"/>
        </w:rPr>
        <w:t>organisational</w:t>
      </w:r>
      <w:proofErr w:type="spellEnd"/>
      <w:r w:rsidRPr="00456FA1">
        <w:rPr>
          <w:kern w:val="2"/>
          <w:sz w:val="24"/>
          <w:szCs w:val="24"/>
        </w:rPr>
        <w:t xml:space="preserve"> references</w:t>
      </w:r>
      <w:r w:rsidR="00456FA1">
        <w:rPr>
          <w:kern w:val="2"/>
          <w:sz w:val="24"/>
          <w:szCs w:val="24"/>
        </w:rPr>
        <w:t xml:space="preserve"> following a D</w:t>
      </w:r>
      <w:r w:rsidRPr="00456FA1">
        <w:rPr>
          <w:kern w:val="2"/>
          <w:sz w:val="24"/>
          <w:szCs w:val="24"/>
        </w:rPr>
        <w:t>epartmental restructure</w:t>
      </w:r>
      <w:r w:rsidRPr="00456FA1">
        <w:rPr>
          <w:sz w:val="24"/>
          <w:szCs w:val="24"/>
        </w:rPr>
        <w:t>.</w:t>
      </w:r>
    </w:p>
    <w:p w14:paraId="72CDF0FE" w14:textId="77777777" w:rsidR="00636A5D" w:rsidRPr="00AC6E1D" w:rsidRDefault="00636A5D" w:rsidP="00636A5D">
      <w:pPr>
        <w:pStyle w:val="ListParagraph"/>
        <w:numPr>
          <w:ilvl w:val="0"/>
          <w:numId w:val="1"/>
        </w:numPr>
        <w:tabs>
          <w:tab w:val="left" w:pos="686"/>
        </w:tabs>
        <w:spacing w:after="240" w:line="360" w:lineRule="auto"/>
        <w:ind w:left="685" w:hanging="567"/>
        <w:jc w:val="left"/>
        <w:rPr>
          <w:sz w:val="24"/>
          <w:szCs w:val="24"/>
        </w:rPr>
      </w:pPr>
      <w:r w:rsidRPr="00AC6E1D">
        <w:rPr>
          <w:sz w:val="24"/>
          <w:szCs w:val="24"/>
        </w:rPr>
        <w:t xml:space="preserve">A Statement of Compatibility with Human Rights has been prepared in accordance with the </w:t>
      </w:r>
      <w:r w:rsidRPr="00AC6E1D">
        <w:rPr>
          <w:i/>
          <w:sz w:val="24"/>
          <w:szCs w:val="24"/>
        </w:rPr>
        <w:t>Human Rights (Parliamentary Scrutiny) Act 2011</w:t>
      </w:r>
      <w:r w:rsidRPr="00AC6E1D">
        <w:rPr>
          <w:sz w:val="24"/>
          <w:szCs w:val="24"/>
        </w:rPr>
        <w:t>, and is at Attachment A.</w:t>
      </w:r>
    </w:p>
    <w:p w14:paraId="61A3286C" w14:textId="77777777" w:rsidR="00636A5D" w:rsidRPr="00B21011" w:rsidRDefault="00636A5D" w:rsidP="00636A5D">
      <w:pPr>
        <w:pStyle w:val="ListParagraph"/>
        <w:numPr>
          <w:ilvl w:val="0"/>
          <w:numId w:val="1"/>
        </w:numPr>
        <w:tabs>
          <w:tab w:val="left" w:pos="686"/>
        </w:tabs>
        <w:spacing w:line="360" w:lineRule="auto"/>
        <w:ind w:left="685" w:hanging="567"/>
        <w:jc w:val="left"/>
        <w:rPr>
          <w:sz w:val="24"/>
          <w:szCs w:val="24"/>
        </w:rPr>
      </w:pPr>
      <w:r w:rsidRPr="00AC6E1D">
        <w:rPr>
          <w:sz w:val="24"/>
          <w:szCs w:val="24"/>
        </w:rPr>
        <w:t xml:space="preserve">The </w:t>
      </w:r>
      <w:r>
        <w:rPr>
          <w:sz w:val="24"/>
          <w:szCs w:val="24"/>
        </w:rPr>
        <w:t>Amendment I</w:t>
      </w:r>
      <w:r w:rsidRPr="00B21011">
        <w:rPr>
          <w:sz w:val="24"/>
          <w:szCs w:val="24"/>
        </w:rPr>
        <w:t xml:space="preserve">nstrument commences </w:t>
      </w:r>
      <w:r>
        <w:rPr>
          <w:sz w:val="24"/>
          <w:szCs w:val="24"/>
        </w:rPr>
        <w:t>the day</w:t>
      </w:r>
      <w:r w:rsidR="007D094B">
        <w:rPr>
          <w:sz w:val="24"/>
          <w:szCs w:val="24"/>
        </w:rPr>
        <w:t xml:space="preserve"> after</w:t>
      </w:r>
      <w:r>
        <w:rPr>
          <w:sz w:val="24"/>
          <w:szCs w:val="24"/>
        </w:rPr>
        <w:t xml:space="preserve"> it </w:t>
      </w:r>
      <w:proofErr w:type="gramStart"/>
      <w:r>
        <w:rPr>
          <w:sz w:val="24"/>
          <w:szCs w:val="24"/>
        </w:rPr>
        <w:t>is registered</w:t>
      </w:r>
      <w:proofErr w:type="gramEnd"/>
      <w:r>
        <w:rPr>
          <w:sz w:val="24"/>
          <w:szCs w:val="24"/>
        </w:rPr>
        <w:t xml:space="preserve"> on the Federal Register of Legislation</w:t>
      </w:r>
      <w:r>
        <w:rPr>
          <w:i/>
          <w:sz w:val="24"/>
          <w:szCs w:val="24"/>
          <w:lang w:val="en-AU"/>
        </w:rPr>
        <w:t>.</w:t>
      </w:r>
    </w:p>
    <w:p w14:paraId="4B52A3A8" w14:textId="77777777" w:rsidR="00636A5D" w:rsidRPr="00AC6E1D" w:rsidRDefault="00636A5D" w:rsidP="00636A5D">
      <w:pPr>
        <w:tabs>
          <w:tab w:val="left" w:pos="567"/>
        </w:tabs>
        <w:spacing w:before="360"/>
        <w:jc w:val="right"/>
        <w:rPr>
          <w:b/>
          <w:sz w:val="24"/>
          <w:szCs w:val="24"/>
        </w:rPr>
      </w:pPr>
      <w:r w:rsidRPr="00B21011">
        <w:rPr>
          <w:b/>
          <w:sz w:val="24"/>
          <w:szCs w:val="24"/>
        </w:rPr>
        <w:br w:type="page"/>
      </w:r>
      <w:r w:rsidRPr="00AC6E1D">
        <w:rPr>
          <w:b/>
          <w:sz w:val="24"/>
          <w:szCs w:val="24"/>
        </w:rPr>
        <w:lastRenderedPageBreak/>
        <w:t>Attachment A</w:t>
      </w:r>
    </w:p>
    <w:p w14:paraId="3C5D3780" w14:textId="77777777" w:rsidR="00636A5D" w:rsidRPr="00AC6E1D" w:rsidRDefault="00636A5D" w:rsidP="00636A5D">
      <w:pPr>
        <w:tabs>
          <w:tab w:val="left" w:pos="567"/>
        </w:tabs>
        <w:spacing w:before="360"/>
        <w:jc w:val="center"/>
        <w:rPr>
          <w:b/>
          <w:kern w:val="2"/>
          <w:sz w:val="24"/>
          <w:szCs w:val="24"/>
        </w:rPr>
      </w:pPr>
      <w:r w:rsidRPr="00AC6E1D">
        <w:rPr>
          <w:b/>
          <w:kern w:val="2"/>
          <w:sz w:val="24"/>
          <w:szCs w:val="24"/>
        </w:rPr>
        <w:t>Statement of Compatibility with Human Rights</w:t>
      </w:r>
    </w:p>
    <w:p w14:paraId="5F2710AD" w14:textId="77777777" w:rsidR="00636A5D" w:rsidRPr="00AC6E1D" w:rsidRDefault="00636A5D" w:rsidP="00636A5D">
      <w:pPr>
        <w:tabs>
          <w:tab w:val="left" w:pos="567"/>
        </w:tabs>
        <w:spacing w:before="360"/>
        <w:jc w:val="center"/>
        <w:rPr>
          <w:i/>
          <w:kern w:val="2"/>
          <w:sz w:val="24"/>
          <w:szCs w:val="24"/>
        </w:rPr>
      </w:pPr>
      <w:r w:rsidRPr="00AC6E1D">
        <w:rPr>
          <w:i/>
          <w:kern w:val="2"/>
          <w:sz w:val="24"/>
          <w:szCs w:val="24"/>
        </w:rPr>
        <w:t>Prepared in accordance with Part 3 of the Human Rights (Parliamentary Scrutiny) Act 2011.</w:t>
      </w:r>
    </w:p>
    <w:p w14:paraId="78B79B41" w14:textId="6D0806BE" w:rsidR="00636A5D" w:rsidRDefault="00636A5D" w:rsidP="00636A5D">
      <w:pPr>
        <w:tabs>
          <w:tab w:val="left" w:pos="567"/>
        </w:tabs>
        <w:spacing w:before="360"/>
        <w:jc w:val="center"/>
        <w:rPr>
          <w:b/>
          <w:kern w:val="2"/>
          <w:sz w:val="24"/>
          <w:szCs w:val="24"/>
        </w:rPr>
      </w:pPr>
      <w:r w:rsidRPr="00AC6E1D">
        <w:rPr>
          <w:b/>
          <w:kern w:val="2"/>
          <w:sz w:val="24"/>
          <w:szCs w:val="24"/>
        </w:rPr>
        <w:t xml:space="preserve">Telecommunications (Interception and Access) (Communications Access Co-ordinator) </w:t>
      </w:r>
      <w:r>
        <w:rPr>
          <w:b/>
          <w:kern w:val="2"/>
          <w:sz w:val="24"/>
          <w:szCs w:val="24"/>
        </w:rPr>
        <w:t xml:space="preserve">Amendment </w:t>
      </w:r>
      <w:r w:rsidR="00364E00">
        <w:rPr>
          <w:b/>
          <w:kern w:val="2"/>
          <w:sz w:val="24"/>
          <w:szCs w:val="24"/>
        </w:rPr>
        <w:t>Instrument 2021 (No. 1)</w:t>
      </w:r>
      <w:r>
        <w:rPr>
          <w:b/>
          <w:kern w:val="2"/>
          <w:sz w:val="24"/>
          <w:szCs w:val="24"/>
        </w:rPr>
        <w:t xml:space="preserve"> </w:t>
      </w:r>
    </w:p>
    <w:p w14:paraId="36CC07B9" w14:textId="46D16BEA" w:rsidR="00636A5D" w:rsidRDefault="00636A5D" w:rsidP="00636A5D">
      <w:pPr>
        <w:tabs>
          <w:tab w:val="left" w:pos="567"/>
        </w:tabs>
        <w:spacing w:before="360"/>
        <w:rPr>
          <w:i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This </w:t>
      </w:r>
      <w:r w:rsidR="00752460">
        <w:rPr>
          <w:kern w:val="2"/>
          <w:sz w:val="24"/>
          <w:szCs w:val="24"/>
        </w:rPr>
        <w:t>Disallowable L</w:t>
      </w:r>
      <w:r>
        <w:rPr>
          <w:kern w:val="2"/>
          <w:sz w:val="24"/>
          <w:szCs w:val="24"/>
        </w:rPr>
        <w:t xml:space="preserve">egislative </w:t>
      </w:r>
      <w:r w:rsidR="00752460">
        <w:rPr>
          <w:kern w:val="2"/>
          <w:sz w:val="24"/>
          <w:szCs w:val="24"/>
        </w:rPr>
        <w:t>I</w:t>
      </w:r>
      <w:r>
        <w:rPr>
          <w:kern w:val="2"/>
          <w:sz w:val="24"/>
          <w:szCs w:val="24"/>
        </w:rPr>
        <w:t xml:space="preserve">nstrument is compatible with the human rights and freedoms recognised or declared in the international instruments listed in section 3 of the </w:t>
      </w:r>
      <w:r>
        <w:rPr>
          <w:i/>
          <w:kern w:val="2"/>
          <w:sz w:val="24"/>
          <w:szCs w:val="24"/>
        </w:rPr>
        <w:t>Human Rights (Parliamentary Scrutiny) Act 2011.</w:t>
      </w:r>
    </w:p>
    <w:p w14:paraId="4C510877" w14:textId="5FA01827" w:rsidR="00636A5D" w:rsidRDefault="00636A5D" w:rsidP="00636A5D">
      <w:pPr>
        <w:keepNext/>
        <w:tabs>
          <w:tab w:val="left" w:pos="567"/>
        </w:tabs>
        <w:spacing w:before="360"/>
        <w:rPr>
          <w:i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Overview of the </w:t>
      </w:r>
      <w:r w:rsidR="00752460">
        <w:rPr>
          <w:b/>
          <w:kern w:val="2"/>
          <w:sz w:val="24"/>
          <w:szCs w:val="24"/>
        </w:rPr>
        <w:t>Disallowable L</w:t>
      </w:r>
      <w:r>
        <w:rPr>
          <w:b/>
          <w:kern w:val="2"/>
          <w:sz w:val="24"/>
          <w:szCs w:val="24"/>
        </w:rPr>
        <w:t xml:space="preserve">egislative </w:t>
      </w:r>
      <w:r w:rsidR="00752460">
        <w:rPr>
          <w:b/>
          <w:kern w:val="2"/>
          <w:sz w:val="24"/>
          <w:szCs w:val="24"/>
        </w:rPr>
        <w:t>I</w:t>
      </w:r>
      <w:r>
        <w:rPr>
          <w:b/>
          <w:kern w:val="2"/>
          <w:sz w:val="24"/>
          <w:szCs w:val="24"/>
        </w:rPr>
        <w:t>nstrument</w:t>
      </w:r>
    </w:p>
    <w:p w14:paraId="19641906" w14:textId="4C8A1C83" w:rsidR="00957500" w:rsidRPr="00957500" w:rsidRDefault="00957500" w:rsidP="00957500">
      <w:pPr>
        <w:tabs>
          <w:tab w:val="left" w:pos="567"/>
        </w:tabs>
        <w:spacing w:before="360"/>
        <w:rPr>
          <w:kern w:val="2"/>
          <w:sz w:val="24"/>
          <w:szCs w:val="24"/>
        </w:rPr>
      </w:pPr>
      <w:r w:rsidRPr="00957500">
        <w:rPr>
          <w:kern w:val="2"/>
          <w:sz w:val="24"/>
          <w:szCs w:val="24"/>
        </w:rPr>
        <w:t xml:space="preserve">The </w:t>
      </w:r>
      <w:r w:rsidRPr="00957500">
        <w:rPr>
          <w:i/>
          <w:kern w:val="2"/>
          <w:sz w:val="24"/>
          <w:szCs w:val="24"/>
        </w:rPr>
        <w:t xml:space="preserve">Telecommunications (Interception and Access) (Communications Access Co-Ordinator) Amendment Instrument 2021 (No. 1) </w:t>
      </w:r>
      <w:r w:rsidRPr="00957500">
        <w:rPr>
          <w:kern w:val="2"/>
          <w:sz w:val="24"/>
          <w:szCs w:val="24"/>
        </w:rPr>
        <w:t xml:space="preserve">("the Amendment Instrument") is made under subsection </w:t>
      </w:r>
      <w:proofErr w:type="gramStart"/>
      <w:r w:rsidRPr="00957500">
        <w:rPr>
          <w:kern w:val="2"/>
          <w:sz w:val="24"/>
          <w:szCs w:val="24"/>
        </w:rPr>
        <w:t>6R(</w:t>
      </w:r>
      <w:proofErr w:type="gramEnd"/>
      <w:r w:rsidRPr="00957500">
        <w:rPr>
          <w:kern w:val="2"/>
          <w:sz w:val="24"/>
          <w:szCs w:val="24"/>
        </w:rPr>
        <w:t xml:space="preserve">2) of the </w:t>
      </w:r>
      <w:r w:rsidRPr="00957500">
        <w:rPr>
          <w:i/>
          <w:kern w:val="2"/>
          <w:sz w:val="24"/>
          <w:szCs w:val="24"/>
        </w:rPr>
        <w:t xml:space="preserve">Telecommunications (Interception and Access) Act 1979 </w:t>
      </w:r>
      <w:r w:rsidRPr="00957500">
        <w:rPr>
          <w:kern w:val="2"/>
          <w:sz w:val="24"/>
          <w:szCs w:val="24"/>
        </w:rPr>
        <w:t xml:space="preserve">(“the TIA Act”). </w:t>
      </w:r>
      <w:r w:rsidR="00B87D34" w:rsidRPr="00B87D34">
        <w:rPr>
          <w:kern w:val="2"/>
          <w:sz w:val="24"/>
          <w:szCs w:val="24"/>
        </w:rPr>
        <w:t xml:space="preserve">Under section 6R of the TIA Act, </w:t>
      </w:r>
      <w:r w:rsidR="00B87D34" w:rsidRPr="00FE64FB">
        <w:rPr>
          <w:i/>
          <w:kern w:val="2"/>
          <w:sz w:val="24"/>
          <w:szCs w:val="24"/>
        </w:rPr>
        <w:t>Communications Access Co-ordinator</w:t>
      </w:r>
      <w:r w:rsidR="00B87D34" w:rsidRPr="00B87D34">
        <w:rPr>
          <w:kern w:val="2"/>
          <w:sz w:val="24"/>
          <w:szCs w:val="24"/>
        </w:rPr>
        <w:t xml:space="preserve"> </w:t>
      </w:r>
      <w:proofErr w:type="gramStart"/>
      <w:r w:rsidR="00B87D34" w:rsidRPr="00B87D34">
        <w:rPr>
          <w:kern w:val="2"/>
          <w:sz w:val="24"/>
          <w:szCs w:val="24"/>
        </w:rPr>
        <w:t>is taken</w:t>
      </w:r>
      <w:proofErr w:type="gramEnd"/>
      <w:r w:rsidR="00B87D34" w:rsidRPr="00B87D34">
        <w:rPr>
          <w:kern w:val="2"/>
          <w:sz w:val="24"/>
          <w:szCs w:val="24"/>
        </w:rPr>
        <w:t xml:space="preserve"> to mean the Secretary of the Department of Home Affairs or a person or body specified by the Minister in a legislative instrument under that section.</w:t>
      </w:r>
    </w:p>
    <w:p w14:paraId="376647F9" w14:textId="0EB90781" w:rsidR="00957500" w:rsidRDefault="00957500" w:rsidP="00636A5D">
      <w:pPr>
        <w:tabs>
          <w:tab w:val="left" w:pos="567"/>
        </w:tabs>
        <w:spacing w:before="360"/>
        <w:rPr>
          <w:kern w:val="2"/>
          <w:sz w:val="24"/>
          <w:szCs w:val="24"/>
        </w:rPr>
      </w:pPr>
      <w:r w:rsidRPr="00957500">
        <w:rPr>
          <w:kern w:val="2"/>
          <w:sz w:val="24"/>
          <w:szCs w:val="24"/>
        </w:rPr>
        <w:t xml:space="preserve">The </w:t>
      </w:r>
      <w:r w:rsidRPr="00957500">
        <w:rPr>
          <w:i/>
          <w:kern w:val="2"/>
          <w:sz w:val="24"/>
          <w:szCs w:val="24"/>
        </w:rPr>
        <w:t xml:space="preserve">Telecommunications (Interception and Access) </w:t>
      </w:r>
      <w:r w:rsidRPr="002A0409">
        <w:rPr>
          <w:i/>
          <w:sz w:val="24"/>
        </w:rPr>
        <w:t>(Comm</w:t>
      </w:r>
      <w:r>
        <w:rPr>
          <w:i/>
          <w:sz w:val="24"/>
        </w:rPr>
        <w:t xml:space="preserve">unications Access Co-ordinator) </w:t>
      </w:r>
      <w:r w:rsidRPr="00957500">
        <w:rPr>
          <w:i/>
          <w:kern w:val="2"/>
          <w:sz w:val="24"/>
          <w:szCs w:val="24"/>
        </w:rPr>
        <w:t>Instrument 2019</w:t>
      </w:r>
      <w:r w:rsidRPr="00957500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(“the 2019 </w:t>
      </w:r>
      <w:r w:rsidRPr="00957500">
        <w:rPr>
          <w:kern w:val="2"/>
          <w:sz w:val="24"/>
          <w:szCs w:val="24"/>
        </w:rPr>
        <w:t>Instrument</w:t>
      </w:r>
      <w:r>
        <w:rPr>
          <w:kern w:val="2"/>
          <w:sz w:val="24"/>
          <w:szCs w:val="24"/>
        </w:rPr>
        <w:t>”)</w:t>
      </w:r>
      <w:r w:rsidRPr="00957500">
        <w:rPr>
          <w:kern w:val="2"/>
          <w:sz w:val="24"/>
          <w:szCs w:val="24"/>
        </w:rPr>
        <w:t xml:space="preserve"> specifies, as </w:t>
      </w:r>
      <w:r w:rsidRPr="00957500">
        <w:rPr>
          <w:i/>
          <w:kern w:val="2"/>
          <w:sz w:val="24"/>
          <w:szCs w:val="24"/>
        </w:rPr>
        <w:t>Comm</w:t>
      </w:r>
      <w:bookmarkStart w:id="1" w:name="_GoBack"/>
      <w:bookmarkEnd w:id="1"/>
      <w:r w:rsidRPr="00957500">
        <w:rPr>
          <w:i/>
          <w:kern w:val="2"/>
          <w:sz w:val="24"/>
          <w:szCs w:val="24"/>
        </w:rPr>
        <w:t>unications Access Co-ordinator</w:t>
      </w:r>
      <w:r w:rsidRPr="00957500">
        <w:rPr>
          <w:kern w:val="2"/>
          <w:sz w:val="24"/>
          <w:szCs w:val="24"/>
        </w:rPr>
        <w:t>, persons who hold, occupy or perform the duties of certain positions in certain work areas, including the National Security Policy Branch of the Strategy and Law Enforcement Group.</w:t>
      </w:r>
    </w:p>
    <w:p w14:paraId="6826C336" w14:textId="19505AB0" w:rsidR="00957500" w:rsidRDefault="00957500" w:rsidP="00636A5D">
      <w:pPr>
        <w:tabs>
          <w:tab w:val="left" w:pos="567"/>
        </w:tabs>
        <w:spacing w:before="360"/>
        <w:rPr>
          <w:kern w:val="2"/>
          <w:sz w:val="24"/>
          <w:szCs w:val="24"/>
        </w:rPr>
      </w:pPr>
      <w:proofErr w:type="gramStart"/>
      <w:r w:rsidRPr="00957500">
        <w:rPr>
          <w:kern w:val="2"/>
          <w:sz w:val="24"/>
          <w:szCs w:val="24"/>
        </w:rPr>
        <w:t>As a result</w:t>
      </w:r>
      <w:proofErr w:type="gramEnd"/>
      <w:r w:rsidRPr="00957500">
        <w:rPr>
          <w:kern w:val="2"/>
          <w:sz w:val="24"/>
          <w:szCs w:val="24"/>
        </w:rPr>
        <w:t xml:space="preserve"> of a </w:t>
      </w:r>
      <w:r w:rsidRPr="007B5A78">
        <w:rPr>
          <w:kern w:val="2"/>
          <w:sz w:val="24"/>
        </w:rPr>
        <w:t>Departmental restructure</w:t>
      </w:r>
      <w:r w:rsidRPr="00957500">
        <w:rPr>
          <w:kern w:val="2"/>
          <w:sz w:val="24"/>
          <w:szCs w:val="24"/>
        </w:rPr>
        <w:t xml:space="preserve">, responsibility for the National Security Policy Branch has been transferred </w:t>
      </w:r>
      <w:r w:rsidR="002627A0">
        <w:rPr>
          <w:kern w:val="2"/>
          <w:sz w:val="24"/>
          <w:szCs w:val="24"/>
        </w:rPr>
        <w:t>from Law Enforcement Policy Division</w:t>
      </w:r>
      <w:r w:rsidR="001A378C">
        <w:rPr>
          <w:kern w:val="2"/>
          <w:sz w:val="24"/>
          <w:szCs w:val="24"/>
        </w:rPr>
        <w:t>,</w:t>
      </w:r>
      <w:r w:rsidR="002627A0">
        <w:rPr>
          <w:kern w:val="2"/>
          <w:sz w:val="24"/>
          <w:szCs w:val="24"/>
        </w:rPr>
        <w:t xml:space="preserve"> </w:t>
      </w:r>
      <w:r w:rsidR="001A378C" w:rsidRPr="001A378C">
        <w:rPr>
          <w:kern w:val="2"/>
          <w:sz w:val="24"/>
          <w:szCs w:val="24"/>
        </w:rPr>
        <w:t>while still remaining within Strategy and Law Enforcement Group</w:t>
      </w:r>
      <w:r w:rsidRPr="00957500">
        <w:rPr>
          <w:kern w:val="2"/>
          <w:sz w:val="24"/>
          <w:szCs w:val="24"/>
        </w:rPr>
        <w:t xml:space="preserve">. The 2019 Instrument </w:t>
      </w:r>
      <w:proofErr w:type="gramStart"/>
      <w:r w:rsidRPr="00957500">
        <w:rPr>
          <w:kern w:val="2"/>
          <w:sz w:val="24"/>
          <w:szCs w:val="24"/>
        </w:rPr>
        <w:t>has been amended</w:t>
      </w:r>
      <w:proofErr w:type="gramEnd"/>
      <w:r w:rsidRPr="00957500">
        <w:rPr>
          <w:kern w:val="2"/>
          <w:sz w:val="24"/>
          <w:szCs w:val="24"/>
        </w:rPr>
        <w:t xml:space="preserve"> to reflect this change. It </w:t>
      </w:r>
      <w:proofErr w:type="gramStart"/>
      <w:r w:rsidRPr="00957500">
        <w:rPr>
          <w:kern w:val="2"/>
          <w:sz w:val="24"/>
          <w:szCs w:val="24"/>
        </w:rPr>
        <w:t>has also been simplified</w:t>
      </w:r>
      <w:proofErr w:type="gramEnd"/>
      <w:r w:rsidRPr="00957500">
        <w:rPr>
          <w:kern w:val="2"/>
          <w:sz w:val="24"/>
          <w:szCs w:val="24"/>
        </w:rPr>
        <w:t xml:space="preserve"> to combine references to persons holding positions at the SES Band 2 and SES Band 3 classifications with responsibility for the National Security Policy Branch.</w:t>
      </w:r>
    </w:p>
    <w:p w14:paraId="3AB3DCCB" w14:textId="19D2A4A9" w:rsidR="00BA1D73" w:rsidRDefault="00BA1D73" w:rsidP="00636A5D">
      <w:pPr>
        <w:tabs>
          <w:tab w:val="left" w:pos="567"/>
        </w:tabs>
        <w:spacing w:before="360"/>
        <w:rPr>
          <w:kern w:val="2"/>
          <w:sz w:val="24"/>
          <w:szCs w:val="24"/>
        </w:rPr>
      </w:pPr>
      <w:r w:rsidRPr="007F46F5">
        <w:rPr>
          <w:kern w:val="2"/>
          <w:sz w:val="24"/>
          <w:szCs w:val="24"/>
        </w:rPr>
        <w:t xml:space="preserve">As a result of a concurrent structural change, the Telecommunications and Technology Branch </w:t>
      </w:r>
      <w:r w:rsidR="00C67579" w:rsidRPr="007F46F5">
        <w:rPr>
          <w:kern w:val="2"/>
          <w:sz w:val="24"/>
          <w:szCs w:val="24"/>
        </w:rPr>
        <w:t xml:space="preserve">in the </w:t>
      </w:r>
      <w:r w:rsidR="00C67579" w:rsidRPr="007F46F5">
        <w:rPr>
          <w:sz w:val="24"/>
          <w:szCs w:val="24"/>
        </w:rPr>
        <w:t xml:space="preserve">Critical Infrastructure Security Division of the National Resilience and Cyber Security Group </w:t>
      </w:r>
      <w:r w:rsidRPr="007F46F5">
        <w:rPr>
          <w:kern w:val="2"/>
          <w:sz w:val="24"/>
          <w:szCs w:val="24"/>
        </w:rPr>
        <w:t xml:space="preserve">has been renamed the Risk and Strategic Analysis Branch. The 2019 Instrument </w:t>
      </w:r>
      <w:proofErr w:type="gramStart"/>
      <w:r w:rsidRPr="007F46F5">
        <w:rPr>
          <w:kern w:val="2"/>
          <w:sz w:val="24"/>
          <w:szCs w:val="24"/>
        </w:rPr>
        <w:t>has been amended</w:t>
      </w:r>
      <w:proofErr w:type="gramEnd"/>
      <w:r w:rsidRPr="007F46F5">
        <w:rPr>
          <w:kern w:val="2"/>
          <w:sz w:val="24"/>
          <w:szCs w:val="24"/>
        </w:rPr>
        <w:t xml:space="preserve"> to reflect this change.</w:t>
      </w:r>
    </w:p>
    <w:p w14:paraId="0003EEEF" w14:textId="63B55C93" w:rsidR="00957500" w:rsidRDefault="00957500" w:rsidP="00636A5D">
      <w:pPr>
        <w:tabs>
          <w:tab w:val="left" w:pos="567"/>
        </w:tabs>
        <w:spacing w:before="360"/>
        <w:rPr>
          <w:kern w:val="2"/>
          <w:sz w:val="24"/>
          <w:szCs w:val="24"/>
        </w:rPr>
      </w:pPr>
      <w:r w:rsidRPr="007B5A78">
        <w:rPr>
          <w:kern w:val="2"/>
          <w:sz w:val="24"/>
        </w:rPr>
        <w:t>There are no other changes to the number of people, positions, classification levels or work areas resulting from the making of the Amendment Instrument.</w:t>
      </w:r>
    </w:p>
    <w:p w14:paraId="5C124432" w14:textId="1E699A25" w:rsidR="00636A5D" w:rsidRDefault="00636A5D" w:rsidP="00636A5D">
      <w:pPr>
        <w:tabs>
          <w:tab w:val="left" w:pos="567"/>
        </w:tabs>
        <w:spacing w:before="36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The </w:t>
      </w:r>
      <w:r w:rsidR="00102099">
        <w:rPr>
          <w:kern w:val="2"/>
          <w:sz w:val="24"/>
          <w:szCs w:val="24"/>
        </w:rPr>
        <w:t xml:space="preserve">Amendment </w:t>
      </w:r>
      <w:r>
        <w:rPr>
          <w:kern w:val="2"/>
          <w:sz w:val="24"/>
          <w:szCs w:val="24"/>
        </w:rPr>
        <w:t xml:space="preserve">Instrument is technical in nature, and does not affect the functions </w:t>
      </w:r>
      <w:r w:rsidR="00957500">
        <w:rPr>
          <w:kern w:val="2"/>
          <w:sz w:val="24"/>
          <w:szCs w:val="24"/>
        </w:rPr>
        <w:t xml:space="preserve">or powers </w:t>
      </w:r>
      <w:r>
        <w:rPr>
          <w:kern w:val="2"/>
          <w:sz w:val="24"/>
          <w:szCs w:val="24"/>
        </w:rPr>
        <w:t xml:space="preserve">of a </w:t>
      </w:r>
      <w:r w:rsidRPr="00FE64FB">
        <w:rPr>
          <w:i/>
          <w:kern w:val="2"/>
          <w:sz w:val="24"/>
          <w:szCs w:val="24"/>
        </w:rPr>
        <w:t>Communications Access Co</w:t>
      </w:r>
      <w:r w:rsidRPr="00FE64FB">
        <w:rPr>
          <w:i/>
          <w:kern w:val="2"/>
          <w:sz w:val="24"/>
          <w:szCs w:val="24"/>
        </w:rPr>
        <w:noBreakHyphen/>
        <w:t>ordinator</w:t>
      </w:r>
      <w:r>
        <w:rPr>
          <w:kern w:val="2"/>
          <w:sz w:val="24"/>
          <w:szCs w:val="24"/>
        </w:rPr>
        <w:t xml:space="preserve">, which </w:t>
      </w:r>
      <w:proofErr w:type="gramStart"/>
      <w:r>
        <w:rPr>
          <w:kern w:val="2"/>
          <w:sz w:val="24"/>
          <w:szCs w:val="24"/>
        </w:rPr>
        <w:t>are governed</w:t>
      </w:r>
      <w:proofErr w:type="gramEnd"/>
      <w:r>
        <w:rPr>
          <w:kern w:val="2"/>
          <w:sz w:val="24"/>
          <w:szCs w:val="24"/>
        </w:rPr>
        <w:t xml:space="preserve"> by the </w:t>
      </w:r>
      <w:r>
        <w:rPr>
          <w:i/>
          <w:kern w:val="2"/>
          <w:sz w:val="24"/>
          <w:szCs w:val="24"/>
        </w:rPr>
        <w:t xml:space="preserve">Telecommunications (Interception and Access) Act 1979 </w:t>
      </w:r>
      <w:r>
        <w:rPr>
          <w:kern w:val="2"/>
          <w:sz w:val="24"/>
          <w:szCs w:val="24"/>
        </w:rPr>
        <w:t xml:space="preserve">and the </w:t>
      </w:r>
      <w:r>
        <w:rPr>
          <w:i/>
          <w:kern w:val="2"/>
          <w:sz w:val="24"/>
          <w:szCs w:val="24"/>
        </w:rPr>
        <w:t>Telecommunications Act 1997</w:t>
      </w:r>
      <w:r>
        <w:rPr>
          <w:kern w:val="2"/>
          <w:sz w:val="24"/>
          <w:szCs w:val="24"/>
        </w:rPr>
        <w:t>.</w:t>
      </w:r>
    </w:p>
    <w:p w14:paraId="43CF179E" w14:textId="77777777" w:rsidR="00636A5D" w:rsidRDefault="00636A5D" w:rsidP="00636A5D">
      <w:pPr>
        <w:keepNext/>
        <w:tabs>
          <w:tab w:val="left" w:pos="567"/>
        </w:tabs>
        <w:spacing w:before="360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lastRenderedPageBreak/>
        <w:t>Human rights implications</w:t>
      </w:r>
    </w:p>
    <w:p w14:paraId="7AC9DFFD" w14:textId="3BA8AEA1" w:rsidR="00636A5D" w:rsidRDefault="00636A5D" w:rsidP="00636A5D">
      <w:pPr>
        <w:tabs>
          <w:tab w:val="left" w:pos="567"/>
        </w:tabs>
        <w:spacing w:before="36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The </w:t>
      </w:r>
      <w:r w:rsidR="00102099">
        <w:rPr>
          <w:kern w:val="2"/>
          <w:sz w:val="24"/>
          <w:szCs w:val="24"/>
        </w:rPr>
        <w:t xml:space="preserve">Amendment </w:t>
      </w:r>
      <w:r>
        <w:rPr>
          <w:kern w:val="2"/>
          <w:sz w:val="24"/>
          <w:szCs w:val="24"/>
        </w:rPr>
        <w:t xml:space="preserve">Instrument corrects organisational references following </w:t>
      </w:r>
      <w:r w:rsidR="00F83FBB">
        <w:rPr>
          <w:kern w:val="2"/>
          <w:sz w:val="24"/>
          <w:szCs w:val="24"/>
        </w:rPr>
        <w:t>D</w:t>
      </w:r>
      <w:r>
        <w:rPr>
          <w:kern w:val="2"/>
          <w:sz w:val="24"/>
          <w:szCs w:val="24"/>
        </w:rPr>
        <w:t>epartmental restructure</w:t>
      </w:r>
      <w:r w:rsidR="00BA1D73">
        <w:rPr>
          <w:kern w:val="2"/>
          <w:sz w:val="24"/>
          <w:szCs w:val="24"/>
        </w:rPr>
        <w:t>s</w:t>
      </w:r>
      <w:r>
        <w:rPr>
          <w:kern w:val="2"/>
          <w:sz w:val="24"/>
          <w:szCs w:val="24"/>
        </w:rPr>
        <w:t xml:space="preserve">, and </w:t>
      </w:r>
      <w:r w:rsidR="00957500">
        <w:rPr>
          <w:kern w:val="2"/>
          <w:sz w:val="24"/>
          <w:szCs w:val="24"/>
        </w:rPr>
        <w:t xml:space="preserve">is consistent with </w:t>
      </w:r>
      <w:r>
        <w:rPr>
          <w:kern w:val="2"/>
          <w:sz w:val="24"/>
          <w:szCs w:val="24"/>
        </w:rPr>
        <w:t>the original intent of the 2019 Instrument. As such, th</w:t>
      </w:r>
      <w:r w:rsidR="00752460">
        <w:rPr>
          <w:kern w:val="2"/>
          <w:sz w:val="24"/>
          <w:szCs w:val="24"/>
        </w:rPr>
        <w:t>is</w:t>
      </w:r>
      <w:r>
        <w:rPr>
          <w:kern w:val="2"/>
          <w:sz w:val="24"/>
          <w:szCs w:val="24"/>
        </w:rPr>
        <w:t xml:space="preserve"> </w:t>
      </w:r>
      <w:r w:rsidR="00752460">
        <w:rPr>
          <w:kern w:val="2"/>
          <w:sz w:val="24"/>
          <w:szCs w:val="24"/>
        </w:rPr>
        <w:t>Disallowable Legislative</w:t>
      </w:r>
      <w:r>
        <w:rPr>
          <w:kern w:val="2"/>
          <w:sz w:val="24"/>
          <w:szCs w:val="24"/>
        </w:rPr>
        <w:t xml:space="preserve"> Instrument </w:t>
      </w:r>
      <w:r w:rsidR="00752460">
        <w:rPr>
          <w:kern w:val="2"/>
          <w:sz w:val="24"/>
          <w:szCs w:val="24"/>
        </w:rPr>
        <w:t xml:space="preserve">is a technical amendment only and </w:t>
      </w:r>
      <w:r>
        <w:rPr>
          <w:kern w:val="2"/>
          <w:sz w:val="24"/>
          <w:szCs w:val="24"/>
        </w:rPr>
        <w:t>does not engage any of the applicable rights or freedoms.</w:t>
      </w:r>
    </w:p>
    <w:p w14:paraId="2DA2D3B7" w14:textId="77777777" w:rsidR="00636A5D" w:rsidRDefault="00636A5D" w:rsidP="00636A5D">
      <w:pPr>
        <w:keepNext/>
        <w:tabs>
          <w:tab w:val="left" w:pos="567"/>
        </w:tabs>
        <w:spacing w:before="240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Conclusion</w:t>
      </w:r>
    </w:p>
    <w:p w14:paraId="5AA0CF0C" w14:textId="1ED36C4D" w:rsidR="00636A5D" w:rsidRDefault="00636A5D" w:rsidP="00636A5D">
      <w:pPr>
        <w:tabs>
          <w:tab w:val="left" w:pos="567"/>
        </w:tabs>
        <w:spacing w:before="240"/>
        <w:rPr>
          <w:sz w:val="22"/>
          <w:szCs w:val="24"/>
        </w:rPr>
      </w:pPr>
      <w:r>
        <w:rPr>
          <w:kern w:val="2"/>
          <w:sz w:val="24"/>
          <w:szCs w:val="24"/>
        </w:rPr>
        <w:t xml:space="preserve">This </w:t>
      </w:r>
      <w:r w:rsidR="008C13F5">
        <w:rPr>
          <w:kern w:val="2"/>
          <w:sz w:val="24"/>
          <w:szCs w:val="24"/>
        </w:rPr>
        <w:t>A</w:t>
      </w:r>
      <w:r>
        <w:rPr>
          <w:kern w:val="2"/>
          <w:sz w:val="24"/>
          <w:szCs w:val="24"/>
        </w:rPr>
        <w:t xml:space="preserve">mendment </w:t>
      </w:r>
      <w:r w:rsidR="008C13F5">
        <w:rPr>
          <w:kern w:val="2"/>
          <w:sz w:val="24"/>
          <w:szCs w:val="24"/>
        </w:rPr>
        <w:t xml:space="preserve">Instrument </w:t>
      </w:r>
      <w:r>
        <w:rPr>
          <w:kern w:val="2"/>
          <w:sz w:val="24"/>
          <w:szCs w:val="24"/>
        </w:rPr>
        <w:t xml:space="preserve">is compatible with human </w:t>
      </w:r>
      <w:proofErr w:type="gramStart"/>
      <w:r>
        <w:rPr>
          <w:kern w:val="2"/>
          <w:sz w:val="24"/>
          <w:szCs w:val="24"/>
        </w:rPr>
        <w:t>rights</w:t>
      </w:r>
      <w:proofErr w:type="gramEnd"/>
      <w:r>
        <w:rPr>
          <w:kern w:val="2"/>
          <w:sz w:val="24"/>
          <w:szCs w:val="24"/>
        </w:rPr>
        <w:t xml:space="preserve"> as it does not raise any human rights issues.</w:t>
      </w:r>
      <w:r>
        <w:rPr>
          <w:sz w:val="22"/>
          <w:szCs w:val="24"/>
        </w:rPr>
        <w:t xml:space="preserve"> </w:t>
      </w:r>
    </w:p>
    <w:p w14:paraId="6633E8B5" w14:textId="77777777" w:rsidR="00636A5D" w:rsidRDefault="00636A5D" w:rsidP="00636A5D">
      <w:pPr>
        <w:tabs>
          <w:tab w:val="left" w:pos="567"/>
        </w:tabs>
        <w:spacing w:before="360" w:after="120"/>
        <w:rPr>
          <w:kern w:val="2"/>
          <w:sz w:val="24"/>
          <w:szCs w:val="24"/>
        </w:rPr>
      </w:pPr>
    </w:p>
    <w:p w14:paraId="7073506D" w14:textId="77777777" w:rsidR="00636A5D" w:rsidRDefault="00636A5D" w:rsidP="00636A5D">
      <w:pPr>
        <w:tabs>
          <w:tab w:val="left" w:pos="567"/>
        </w:tabs>
        <w:spacing w:before="360" w:after="120"/>
        <w:rPr>
          <w:kern w:val="2"/>
          <w:sz w:val="24"/>
          <w:szCs w:val="24"/>
        </w:rPr>
      </w:pPr>
    </w:p>
    <w:p w14:paraId="12E15C4A" w14:textId="77777777" w:rsidR="00636A5D" w:rsidRDefault="00636A5D" w:rsidP="00636A5D">
      <w:pPr>
        <w:tabs>
          <w:tab w:val="left" w:pos="567"/>
        </w:tabs>
        <w:spacing w:before="360" w:after="120"/>
        <w:rPr>
          <w:kern w:val="2"/>
          <w:sz w:val="24"/>
          <w:szCs w:val="24"/>
        </w:rPr>
      </w:pPr>
    </w:p>
    <w:p w14:paraId="6A9E2B91" w14:textId="77777777" w:rsidR="00636A5D" w:rsidRDefault="00636A5D" w:rsidP="00636A5D">
      <w:pPr>
        <w:tabs>
          <w:tab w:val="left" w:pos="567"/>
        </w:tabs>
        <w:spacing w:before="360" w:after="120"/>
        <w:rPr>
          <w:kern w:val="2"/>
          <w:sz w:val="24"/>
          <w:szCs w:val="24"/>
        </w:rPr>
      </w:pPr>
    </w:p>
    <w:p w14:paraId="50FA4BB7" w14:textId="77777777" w:rsidR="00636A5D" w:rsidRPr="00ED1FA9" w:rsidRDefault="00636A5D" w:rsidP="00636A5D">
      <w:pPr>
        <w:tabs>
          <w:tab w:val="left" w:pos="567"/>
        </w:tabs>
        <w:spacing w:before="360"/>
        <w:rPr>
          <w:sz w:val="22"/>
          <w:szCs w:val="24"/>
        </w:rPr>
      </w:pPr>
    </w:p>
    <w:p w14:paraId="2D3796DB" w14:textId="77777777" w:rsidR="00F27037" w:rsidRDefault="007F46F5"/>
    <w:sectPr w:rsidR="00F27037" w:rsidSect="00C85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C9EF" w14:textId="77777777" w:rsidR="007B5A78" w:rsidRDefault="007B5A78">
      <w:r>
        <w:separator/>
      </w:r>
    </w:p>
  </w:endnote>
  <w:endnote w:type="continuationSeparator" w:id="0">
    <w:p w14:paraId="6105C5A7" w14:textId="77777777" w:rsidR="007B5A78" w:rsidRDefault="007B5A78">
      <w:r>
        <w:continuationSeparator/>
      </w:r>
    </w:p>
  </w:endnote>
  <w:endnote w:type="continuationNotice" w:id="1">
    <w:p w14:paraId="2E1F4607" w14:textId="77777777" w:rsidR="007B5A78" w:rsidRDefault="007B5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DAB2" w14:textId="77777777" w:rsidR="002100B7" w:rsidRDefault="007F4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329F" w14:textId="77777777" w:rsidR="002100B7" w:rsidRDefault="007F4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A7A8" w14:textId="77777777" w:rsidR="002100B7" w:rsidRDefault="007F4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4AC80" w14:textId="77777777" w:rsidR="007B5A78" w:rsidRDefault="007B5A78">
      <w:r>
        <w:separator/>
      </w:r>
    </w:p>
  </w:footnote>
  <w:footnote w:type="continuationSeparator" w:id="0">
    <w:p w14:paraId="6BABEC6F" w14:textId="77777777" w:rsidR="007B5A78" w:rsidRDefault="007B5A78">
      <w:r>
        <w:continuationSeparator/>
      </w:r>
    </w:p>
  </w:footnote>
  <w:footnote w:type="continuationNotice" w:id="1">
    <w:p w14:paraId="45C5E1B4" w14:textId="77777777" w:rsidR="007B5A78" w:rsidRDefault="007B5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69A2" w14:textId="77777777" w:rsidR="002100B7" w:rsidRDefault="007F4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E41" w14:textId="77777777" w:rsidR="002100B7" w:rsidRDefault="007F4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112B" w14:textId="77777777" w:rsidR="002100B7" w:rsidRDefault="007F4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771"/>
    <w:multiLevelType w:val="hybridMultilevel"/>
    <w:tmpl w:val="0A2EE028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-6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714" w:hanging="360"/>
      </w:pPr>
    </w:lvl>
    <w:lvl w:ilvl="2" w:tplc="0C09001B" w:tentative="1">
      <w:start w:val="1"/>
      <w:numFmt w:val="lowerRoman"/>
      <w:lvlText w:val="%3."/>
      <w:lvlJc w:val="right"/>
      <w:pPr>
        <w:ind w:left="1434" w:hanging="180"/>
      </w:pPr>
    </w:lvl>
    <w:lvl w:ilvl="3" w:tplc="0C09000F" w:tentative="1">
      <w:start w:val="1"/>
      <w:numFmt w:val="decimal"/>
      <w:lvlText w:val="%4."/>
      <w:lvlJc w:val="left"/>
      <w:pPr>
        <w:ind w:left="2154" w:hanging="360"/>
      </w:pPr>
    </w:lvl>
    <w:lvl w:ilvl="4" w:tplc="0C090019" w:tentative="1">
      <w:start w:val="1"/>
      <w:numFmt w:val="lowerLetter"/>
      <w:lvlText w:val="%5."/>
      <w:lvlJc w:val="left"/>
      <w:pPr>
        <w:ind w:left="2874" w:hanging="360"/>
      </w:pPr>
    </w:lvl>
    <w:lvl w:ilvl="5" w:tplc="0C09001B" w:tentative="1">
      <w:start w:val="1"/>
      <w:numFmt w:val="lowerRoman"/>
      <w:lvlText w:val="%6."/>
      <w:lvlJc w:val="right"/>
      <w:pPr>
        <w:ind w:left="3594" w:hanging="180"/>
      </w:pPr>
    </w:lvl>
    <w:lvl w:ilvl="6" w:tplc="0C09000F" w:tentative="1">
      <w:start w:val="1"/>
      <w:numFmt w:val="decimal"/>
      <w:lvlText w:val="%7."/>
      <w:lvlJc w:val="left"/>
      <w:pPr>
        <w:ind w:left="4314" w:hanging="360"/>
      </w:pPr>
    </w:lvl>
    <w:lvl w:ilvl="7" w:tplc="0C090019" w:tentative="1">
      <w:start w:val="1"/>
      <w:numFmt w:val="lowerLetter"/>
      <w:lvlText w:val="%8."/>
      <w:lvlJc w:val="left"/>
      <w:pPr>
        <w:ind w:left="5034" w:hanging="360"/>
      </w:pPr>
    </w:lvl>
    <w:lvl w:ilvl="8" w:tplc="0C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" w15:restartNumberingAfterBreak="0">
    <w:nsid w:val="22A83092"/>
    <w:multiLevelType w:val="hybridMultilevel"/>
    <w:tmpl w:val="82C41CBC"/>
    <w:lvl w:ilvl="0" w:tplc="7F6CF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5D"/>
    <w:rsid w:val="0002275F"/>
    <w:rsid w:val="00026250"/>
    <w:rsid w:val="00100CA4"/>
    <w:rsid w:val="00102099"/>
    <w:rsid w:val="0011151D"/>
    <w:rsid w:val="001A378C"/>
    <w:rsid w:val="001F78E3"/>
    <w:rsid w:val="00253B4C"/>
    <w:rsid w:val="002627A0"/>
    <w:rsid w:val="002D5514"/>
    <w:rsid w:val="00313C56"/>
    <w:rsid w:val="00364E00"/>
    <w:rsid w:val="00394A19"/>
    <w:rsid w:val="00456FA1"/>
    <w:rsid w:val="004839DE"/>
    <w:rsid w:val="004F32CB"/>
    <w:rsid w:val="00523D51"/>
    <w:rsid w:val="00541BDC"/>
    <w:rsid w:val="00576E96"/>
    <w:rsid w:val="00636A5D"/>
    <w:rsid w:val="00752460"/>
    <w:rsid w:val="007B5A78"/>
    <w:rsid w:val="007D094B"/>
    <w:rsid w:val="007D3110"/>
    <w:rsid w:val="007F46F5"/>
    <w:rsid w:val="00814D95"/>
    <w:rsid w:val="008C13F5"/>
    <w:rsid w:val="008D6361"/>
    <w:rsid w:val="00957500"/>
    <w:rsid w:val="00990B9B"/>
    <w:rsid w:val="009B16F7"/>
    <w:rsid w:val="00A10E79"/>
    <w:rsid w:val="00A40881"/>
    <w:rsid w:val="00A91A82"/>
    <w:rsid w:val="00AA2B69"/>
    <w:rsid w:val="00B34207"/>
    <w:rsid w:val="00B87D34"/>
    <w:rsid w:val="00BA1D73"/>
    <w:rsid w:val="00C15AA1"/>
    <w:rsid w:val="00C67579"/>
    <w:rsid w:val="00C91622"/>
    <w:rsid w:val="00D768F3"/>
    <w:rsid w:val="00DC1F0D"/>
    <w:rsid w:val="00DD2539"/>
    <w:rsid w:val="00E759E5"/>
    <w:rsid w:val="00F0183C"/>
    <w:rsid w:val="00F12CC4"/>
    <w:rsid w:val="00F335D6"/>
    <w:rsid w:val="00F728E4"/>
    <w:rsid w:val="00F83FBB"/>
    <w:rsid w:val="00FA73BB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ACB3"/>
  <w15:chartTrackingRefBased/>
  <w15:docId w15:val="{BF3E9617-0890-40D7-87EB-DDDFA1D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636A5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36A5D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5D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636A5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636A5D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36A5D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636A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6A5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CharChar">
    <w:name w:val="Char Char"/>
    <w:basedOn w:val="Normal"/>
    <w:rsid w:val="00636A5D"/>
    <w:pPr>
      <w:spacing w:before="120" w:after="120"/>
    </w:pPr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636A5D"/>
    <w:pPr>
      <w:widowControl w:val="0"/>
      <w:autoSpaceDE w:val="0"/>
      <w:autoSpaceDN w:val="0"/>
      <w:ind w:left="685" w:right="115" w:hanging="567"/>
      <w:jc w:val="both"/>
    </w:pPr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1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1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1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Ngaire RALPH</dc:creator>
  <cp:keywords/>
  <dc:description/>
  <cp:lastModifiedBy>Nicholas Anderson</cp:lastModifiedBy>
  <cp:revision>7</cp:revision>
  <dcterms:created xsi:type="dcterms:W3CDTF">2021-02-17T22:22:00Z</dcterms:created>
  <dcterms:modified xsi:type="dcterms:W3CDTF">2021-03-10T23:00:00Z</dcterms:modified>
</cp:coreProperties>
</file>