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0BA7E" w14:textId="77777777" w:rsidR="00B32BDB" w:rsidRDefault="00B32BDB" w:rsidP="0089778B">
      <w:pPr>
        <w:rPr>
          <w:sz w:val="28"/>
        </w:rPr>
      </w:pPr>
    </w:p>
    <w:p w14:paraId="5CBF50C2" w14:textId="77777777" w:rsidR="0089778B" w:rsidRDefault="0089778B" w:rsidP="0089778B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261FF02" wp14:editId="4480BE7A">
            <wp:extent cx="1504950" cy="11055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A0C47" w14:textId="77777777" w:rsidR="0089778B" w:rsidRDefault="0089778B" w:rsidP="0089778B">
      <w:pPr>
        <w:rPr>
          <w:sz w:val="19"/>
        </w:rPr>
      </w:pPr>
    </w:p>
    <w:p w14:paraId="7505C58C" w14:textId="77777777" w:rsidR="0089778B" w:rsidRDefault="0089778B" w:rsidP="0089778B">
      <w:pPr>
        <w:pStyle w:val="ShortT"/>
      </w:pPr>
      <w:r>
        <w:t>Road Vehicle Standards (Additional Matters Relating to Eligibility for a Road Vehicle to be Entered on the Specialist and Enthusiast Vehicles Register) Determination 202</w:t>
      </w:r>
      <w:r w:rsidR="00120305">
        <w:t>1</w:t>
      </w:r>
      <w:r>
        <w:t xml:space="preserve"> </w:t>
      </w:r>
    </w:p>
    <w:p w14:paraId="7978902E" w14:textId="77777777" w:rsidR="0089778B" w:rsidRDefault="0089778B" w:rsidP="0089778B">
      <w:pPr>
        <w:pStyle w:val="SignCoverPageStart"/>
        <w:spacing w:before="240"/>
        <w:rPr>
          <w:szCs w:val="22"/>
        </w:rPr>
      </w:pPr>
      <w:r>
        <w:rPr>
          <w:szCs w:val="22"/>
        </w:rPr>
        <w:t>I, Michael McCormack, Deputy Prime Minister and Minister for Infrastructure, Transport and Regional Development, make the following determination.</w:t>
      </w:r>
    </w:p>
    <w:p w14:paraId="21402C86" w14:textId="3FD27D67" w:rsidR="0089778B" w:rsidRDefault="0089778B" w:rsidP="0089778B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F76B38">
        <w:rPr>
          <w:szCs w:val="22"/>
        </w:rPr>
        <w:t>25/3/</w:t>
      </w:r>
      <w:bookmarkStart w:id="0" w:name="_GoBack"/>
      <w:bookmarkEnd w:id="0"/>
      <w:r>
        <w:rPr>
          <w:szCs w:val="22"/>
        </w:rPr>
        <w:t>202</w:t>
      </w:r>
      <w:r w:rsidR="00120305">
        <w:rPr>
          <w:szCs w:val="22"/>
        </w:rPr>
        <w:t>1</w:t>
      </w:r>
    </w:p>
    <w:p w14:paraId="35F8D53D" w14:textId="77777777" w:rsidR="0089778B" w:rsidRDefault="0089778B" w:rsidP="0089778B">
      <w:pPr>
        <w:keepNext/>
        <w:tabs>
          <w:tab w:val="left" w:pos="6300"/>
        </w:tabs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ab/>
      </w:r>
    </w:p>
    <w:p w14:paraId="261966B8" w14:textId="77777777" w:rsidR="0089778B" w:rsidRDefault="0089778B" w:rsidP="0089778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Michael McCormack</w:t>
      </w:r>
      <w:r>
        <w:t xml:space="preserve"> </w:t>
      </w:r>
    </w:p>
    <w:p w14:paraId="3786675A" w14:textId="77777777" w:rsidR="0089778B" w:rsidRDefault="0089778B" w:rsidP="0089778B">
      <w:pPr>
        <w:pStyle w:val="SignCoverPageEnd"/>
        <w:ind w:right="794"/>
        <w:rPr>
          <w:szCs w:val="22"/>
        </w:rPr>
      </w:pPr>
      <w:r>
        <w:rPr>
          <w:szCs w:val="22"/>
        </w:rPr>
        <w:t>Deputy Prime Minister and Minister for Infrastructure, Transport and Regional Development</w:t>
      </w:r>
    </w:p>
    <w:p w14:paraId="3A37BE9D" w14:textId="77777777" w:rsidR="0089778B" w:rsidRDefault="0089778B" w:rsidP="0089778B">
      <w:pPr>
        <w:rPr>
          <w:rStyle w:val="CharAmSchNo"/>
        </w:rPr>
      </w:pPr>
    </w:p>
    <w:p w14:paraId="07985B7D" w14:textId="77777777" w:rsidR="0089778B" w:rsidRDefault="0089778B" w:rsidP="0089778B">
      <w:pPr>
        <w:pStyle w:val="Header"/>
        <w:tabs>
          <w:tab w:val="clear" w:pos="4150"/>
          <w:tab w:val="left" w:pos="6720"/>
        </w:tabs>
      </w:pPr>
      <w:r>
        <w:rPr>
          <w:rStyle w:val="CharChapNo"/>
        </w:rPr>
        <w:t xml:space="preserve"> </w:t>
      </w:r>
      <w:r>
        <w:rPr>
          <w:rStyle w:val="CharChapText"/>
        </w:rPr>
        <w:t xml:space="preserve"> </w:t>
      </w:r>
      <w:r>
        <w:rPr>
          <w:rStyle w:val="CharChapText"/>
        </w:rPr>
        <w:tab/>
      </w:r>
    </w:p>
    <w:p w14:paraId="7AFA84B3" w14:textId="77777777" w:rsidR="0089778B" w:rsidRDefault="0089778B" w:rsidP="0089778B">
      <w:pPr>
        <w:pStyle w:val="Header"/>
        <w:tabs>
          <w:tab w:val="left" w:pos="720"/>
        </w:tabs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</w:p>
    <w:p w14:paraId="77C1D35D" w14:textId="77777777" w:rsidR="0089778B" w:rsidRDefault="0089778B" w:rsidP="0089778B">
      <w:pPr>
        <w:pStyle w:val="Header"/>
        <w:tabs>
          <w:tab w:val="left" w:pos="720"/>
        </w:tabs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14:paraId="61D69F3A" w14:textId="77777777" w:rsidR="00715914" w:rsidRPr="00ED79B6" w:rsidRDefault="00715914" w:rsidP="00715914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01A76B6F" w14:textId="77777777" w:rsidR="00075F6B" w:rsidRDefault="00075F6B" w:rsidP="00715914"/>
    <w:p w14:paraId="0ED1425E" w14:textId="77777777" w:rsidR="00075F6B" w:rsidRPr="00075F6B" w:rsidRDefault="00075F6B" w:rsidP="00075F6B"/>
    <w:p w14:paraId="0CEBB6BE" w14:textId="77777777" w:rsidR="00075F6B" w:rsidRPr="00075F6B" w:rsidRDefault="00075F6B" w:rsidP="00075F6B"/>
    <w:p w14:paraId="49CE448B" w14:textId="77777777" w:rsidR="00075F6B" w:rsidRPr="00075F6B" w:rsidRDefault="00075F6B" w:rsidP="00075F6B"/>
    <w:p w14:paraId="09285C75" w14:textId="77777777" w:rsidR="00075F6B" w:rsidRDefault="00075F6B" w:rsidP="00075F6B">
      <w:pPr>
        <w:tabs>
          <w:tab w:val="left" w:pos="3339"/>
        </w:tabs>
      </w:pPr>
      <w:r>
        <w:tab/>
      </w:r>
    </w:p>
    <w:p w14:paraId="0759EBEE" w14:textId="77777777" w:rsidR="00715914" w:rsidRPr="00075F6B" w:rsidRDefault="00075F6B" w:rsidP="00075F6B">
      <w:pPr>
        <w:tabs>
          <w:tab w:val="left" w:pos="3339"/>
        </w:tabs>
        <w:sectPr w:rsidR="00715914" w:rsidRPr="00075F6B" w:rsidSect="00FA1E5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  <w:r>
        <w:tab/>
      </w:r>
    </w:p>
    <w:p w14:paraId="1FBCBC0A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686966A" w14:textId="77777777" w:rsidR="00004035" w:rsidRDefault="00EC3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GB" w:eastAsia="en-GB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004035">
        <w:rPr>
          <w:noProof/>
        </w:rPr>
        <w:t>Part 1—Preliminary</w:t>
      </w:r>
      <w:r w:rsidR="00004035">
        <w:rPr>
          <w:noProof/>
        </w:rPr>
        <w:tab/>
      </w:r>
      <w:r w:rsidR="00004035">
        <w:rPr>
          <w:noProof/>
        </w:rPr>
        <w:fldChar w:fldCharType="begin"/>
      </w:r>
      <w:r w:rsidR="00004035">
        <w:rPr>
          <w:noProof/>
        </w:rPr>
        <w:instrText xml:space="preserve"> PAGEREF _Toc66792155 \h </w:instrText>
      </w:r>
      <w:r w:rsidR="00004035">
        <w:rPr>
          <w:noProof/>
        </w:rPr>
      </w:r>
      <w:r w:rsidR="00004035">
        <w:rPr>
          <w:noProof/>
        </w:rPr>
        <w:fldChar w:fldCharType="separate"/>
      </w:r>
      <w:r w:rsidR="00847B35">
        <w:rPr>
          <w:noProof/>
        </w:rPr>
        <w:t>1</w:t>
      </w:r>
      <w:r w:rsidR="00004035">
        <w:rPr>
          <w:noProof/>
        </w:rPr>
        <w:fldChar w:fldCharType="end"/>
      </w:r>
    </w:p>
    <w:p w14:paraId="14451EA0" w14:textId="77777777" w:rsidR="00004035" w:rsidRDefault="00004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_Toc66792156 \h </w:instrText>
      </w:r>
      <w:r>
        <w:rPr>
          <w:noProof/>
        </w:rPr>
      </w:r>
      <w:r>
        <w:rPr>
          <w:noProof/>
        </w:rPr>
        <w:fldChar w:fldCharType="separate"/>
      </w:r>
      <w:r w:rsidR="00847B35">
        <w:rPr>
          <w:noProof/>
        </w:rPr>
        <w:t>1</w:t>
      </w:r>
      <w:r>
        <w:rPr>
          <w:noProof/>
        </w:rPr>
        <w:fldChar w:fldCharType="end"/>
      </w:r>
    </w:p>
    <w:p w14:paraId="3AB4A9DB" w14:textId="77777777" w:rsidR="00004035" w:rsidRDefault="00004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_Toc66792157 \h </w:instrText>
      </w:r>
      <w:r>
        <w:rPr>
          <w:noProof/>
        </w:rPr>
      </w:r>
      <w:r>
        <w:rPr>
          <w:noProof/>
        </w:rPr>
        <w:fldChar w:fldCharType="separate"/>
      </w:r>
      <w:r w:rsidR="00847B35">
        <w:rPr>
          <w:noProof/>
        </w:rPr>
        <w:t>1</w:t>
      </w:r>
      <w:r>
        <w:rPr>
          <w:noProof/>
        </w:rPr>
        <w:fldChar w:fldCharType="end"/>
      </w:r>
    </w:p>
    <w:p w14:paraId="3FE50635" w14:textId="77777777" w:rsidR="00004035" w:rsidRDefault="00004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_Toc66792158 \h </w:instrText>
      </w:r>
      <w:r>
        <w:rPr>
          <w:noProof/>
        </w:rPr>
      </w:r>
      <w:r>
        <w:rPr>
          <w:noProof/>
        </w:rPr>
        <w:fldChar w:fldCharType="separate"/>
      </w:r>
      <w:r w:rsidR="00847B35">
        <w:rPr>
          <w:noProof/>
        </w:rPr>
        <w:t>1</w:t>
      </w:r>
      <w:r>
        <w:rPr>
          <w:noProof/>
        </w:rPr>
        <w:fldChar w:fldCharType="end"/>
      </w:r>
    </w:p>
    <w:p w14:paraId="502BFC50" w14:textId="77777777" w:rsidR="00004035" w:rsidRDefault="00004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_Toc66792159 \h </w:instrText>
      </w:r>
      <w:r>
        <w:rPr>
          <w:noProof/>
        </w:rPr>
      </w:r>
      <w:r>
        <w:rPr>
          <w:noProof/>
        </w:rPr>
        <w:fldChar w:fldCharType="separate"/>
      </w:r>
      <w:r w:rsidR="00847B35">
        <w:rPr>
          <w:noProof/>
        </w:rPr>
        <w:t>1</w:t>
      </w:r>
      <w:r>
        <w:rPr>
          <w:noProof/>
        </w:rPr>
        <w:fldChar w:fldCharType="end"/>
      </w:r>
    </w:p>
    <w:p w14:paraId="427B79D4" w14:textId="77777777" w:rsidR="00004035" w:rsidRDefault="0000403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Part 2—Significant differences in design characteristics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_Toc66792160 \h </w:instrText>
      </w:r>
      <w:r>
        <w:rPr>
          <w:noProof/>
        </w:rPr>
      </w:r>
      <w:r>
        <w:rPr>
          <w:noProof/>
        </w:rPr>
        <w:fldChar w:fldCharType="separate"/>
      </w:r>
      <w:r w:rsidR="00847B35">
        <w:rPr>
          <w:noProof/>
        </w:rPr>
        <w:t>2</w:t>
      </w:r>
      <w:r>
        <w:rPr>
          <w:noProof/>
        </w:rPr>
        <w:fldChar w:fldCharType="end"/>
      </w:r>
    </w:p>
    <w:p w14:paraId="15FDA205" w14:textId="77777777" w:rsidR="00004035" w:rsidRDefault="00004035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  <w:lang w:val="en-GB" w:eastAsia="en-GB"/>
        </w:rPr>
      </w:pPr>
      <w:r>
        <w:rPr>
          <w:noProof/>
        </w:rPr>
        <w:t>Division 1—Preliminary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_Toc66792161 \h </w:instrText>
      </w:r>
      <w:r>
        <w:rPr>
          <w:noProof/>
        </w:rPr>
      </w:r>
      <w:r>
        <w:rPr>
          <w:noProof/>
        </w:rPr>
        <w:fldChar w:fldCharType="separate"/>
      </w:r>
      <w:r w:rsidR="00847B35">
        <w:rPr>
          <w:noProof/>
        </w:rPr>
        <w:t>2</w:t>
      </w:r>
      <w:r>
        <w:rPr>
          <w:noProof/>
        </w:rPr>
        <w:fldChar w:fldCharType="end"/>
      </w:r>
    </w:p>
    <w:p w14:paraId="3E3D51CA" w14:textId="77777777" w:rsidR="00004035" w:rsidRDefault="00004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5  Simplified outline of this Part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_Toc66792162 \h </w:instrText>
      </w:r>
      <w:r>
        <w:rPr>
          <w:noProof/>
        </w:rPr>
      </w:r>
      <w:r>
        <w:rPr>
          <w:noProof/>
        </w:rPr>
        <w:fldChar w:fldCharType="separate"/>
      </w:r>
      <w:r w:rsidR="00847B35">
        <w:rPr>
          <w:noProof/>
        </w:rPr>
        <w:t>2</w:t>
      </w:r>
      <w:r>
        <w:rPr>
          <w:noProof/>
        </w:rPr>
        <w:fldChar w:fldCharType="end"/>
      </w:r>
    </w:p>
    <w:p w14:paraId="51778028" w14:textId="77777777" w:rsidR="00004035" w:rsidRDefault="00004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6  Purpose of this Part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_Toc66792163 \h </w:instrText>
      </w:r>
      <w:r>
        <w:rPr>
          <w:noProof/>
        </w:rPr>
      </w:r>
      <w:r>
        <w:rPr>
          <w:noProof/>
        </w:rPr>
        <w:fldChar w:fldCharType="separate"/>
      </w:r>
      <w:r w:rsidR="00847B35">
        <w:rPr>
          <w:noProof/>
        </w:rPr>
        <w:t>2</w:t>
      </w:r>
      <w:r>
        <w:rPr>
          <w:noProof/>
        </w:rPr>
        <w:fldChar w:fldCharType="end"/>
      </w:r>
    </w:p>
    <w:p w14:paraId="707C6D33" w14:textId="77777777" w:rsidR="00004035" w:rsidRDefault="00004035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  <w:lang w:val="en-GB" w:eastAsia="en-GB"/>
        </w:rPr>
      </w:pPr>
      <w:r>
        <w:rPr>
          <w:noProof/>
        </w:rPr>
        <w:t>Division 2—Prescription of significant differences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_Toc66792164 \h </w:instrText>
      </w:r>
      <w:r>
        <w:rPr>
          <w:noProof/>
        </w:rPr>
      </w:r>
      <w:r>
        <w:rPr>
          <w:noProof/>
        </w:rPr>
        <w:fldChar w:fldCharType="separate"/>
      </w:r>
      <w:r w:rsidR="00847B35">
        <w:rPr>
          <w:noProof/>
        </w:rPr>
        <w:t>3</w:t>
      </w:r>
      <w:r>
        <w:rPr>
          <w:noProof/>
        </w:rPr>
        <w:fldChar w:fldCharType="end"/>
      </w:r>
    </w:p>
    <w:p w14:paraId="7076223A" w14:textId="77777777" w:rsidR="00004035" w:rsidRDefault="00004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7  Significant differences—L-group and MA, MB and MC category vehicles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_Toc66792165 \h </w:instrText>
      </w:r>
      <w:r>
        <w:rPr>
          <w:noProof/>
        </w:rPr>
      </w:r>
      <w:r>
        <w:rPr>
          <w:noProof/>
        </w:rPr>
        <w:fldChar w:fldCharType="separate"/>
      </w:r>
      <w:r w:rsidR="00847B35">
        <w:rPr>
          <w:noProof/>
        </w:rPr>
        <w:t>3</w:t>
      </w:r>
      <w:r>
        <w:rPr>
          <w:noProof/>
        </w:rPr>
        <w:fldChar w:fldCharType="end"/>
      </w:r>
    </w:p>
    <w:p w14:paraId="7F0C1011" w14:textId="77777777" w:rsidR="00004035" w:rsidRDefault="00004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8  Significant differences—MD, ME (with a gross vehicle mass of 12 tonnes or less), NA and NB category vehicles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_Toc66792166 \h </w:instrText>
      </w:r>
      <w:r>
        <w:rPr>
          <w:noProof/>
        </w:rPr>
      </w:r>
      <w:r>
        <w:rPr>
          <w:noProof/>
        </w:rPr>
        <w:fldChar w:fldCharType="separate"/>
      </w:r>
      <w:r w:rsidR="00847B35">
        <w:rPr>
          <w:noProof/>
        </w:rPr>
        <w:t>4</w:t>
      </w:r>
      <w:r>
        <w:rPr>
          <w:noProof/>
        </w:rPr>
        <w:fldChar w:fldCharType="end"/>
      </w:r>
    </w:p>
    <w:p w14:paraId="0CD145E7" w14:textId="77777777" w:rsidR="00004035" w:rsidRDefault="00004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 xml:space="preserve">9  Significant differences—ME (with a </w:t>
      </w:r>
      <w:r w:rsidRPr="005242C5">
        <w:rPr>
          <w:rFonts w:eastAsia="Arial"/>
          <w:noProof/>
          <w:color w:val="000000"/>
          <w:spacing w:val="-1"/>
          <w:lang w:val="en-US"/>
        </w:rPr>
        <w:t>gross vehicle mass greater than</w:t>
      </w:r>
      <w:r>
        <w:rPr>
          <w:noProof/>
        </w:rPr>
        <w:t xml:space="preserve"> 12 tonnes) and NC category vehicles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_Toc66792167 \h </w:instrText>
      </w:r>
      <w:r>
        <w:rPr>
          <w:noProof/>
        </w:rPr>
      </w:r>
      <w:r>
        <w:rPr>
          <w:noProof/>
        </w:rPr>
        <w:fldChar w:fldCharType="separate"/>
      </w:r>
      <w:r w:rsidR="00847B35">
        <w:rPr>
          <w:noProof/>
        </w:rPr>
        <w:t>4</w:t>
      </w:r>
      <w:r>
        <w:rPr>
          <w:noProof/>
        </w:rPr>
        <w:fldChar w:fldCharType="end"/>
      </w:r>
    </w:p>
    <w:p w14:paraId="53736DC8" w14:textId="77777777" w:rsidR="00004035" w:rsidRDefault="00004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10  Circumstances in which combinations of differences are significant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_Toc66792168 \h </w:instrText>
      </w:r>
      <w:r>
        <w:rPr>
          <w:noProof/>
        </w:rPr>
      </w:r>
      <w:r>
        <w:rPr>
          <w:noProof/>
        </w:rPr>
        <w:fldChar w:fldCharType="separate"/>
      </w:r>
      <w:r w:rsidR="00847B35">
        <w:rPr>
          <w:noProof/>
        </w:rPr>
        <w:t>5</w:t>
      </w:r>
      <w:r>
        <w:rPr>
          <w:noProof/>
        </w:rPr>
        <w:fldChar w:fldCharType="end"/>
      </w:r>
    </w:p>
    <w:p w14:paraId="0E477AB6" w14:textId="77777777" w:rsidR="00004035" w:rsidRDefault="00004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11  Differences in design characteristics that are not significant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_Toc66792169 \h </w:instrText>
      </w:r>
      <w:r>
        <w:rPr>
          <w:noProof/>
        </w:rPr>
      </w:r>
      <w:r>
        <w:rPr>
          <w:noProof/>
        </w:rPr>
        <w:fldChar w:fldCharType="separate"/>
      </w:r>
      <w:r w:rsidR="00847B35">
        <w:rPr>
          <w:noProof/>
        </w:rPr>
        <w:t>6</w:t>
      </w:r>
      <w:r>
        <w:rPr>
          <w:noProof/>
        </w:rPr>
        <w:fldChar w:fldCharType="end"/>
      </w:r>
    </w:p>
    <w:p w14:paraId="673B3E8E" w14:textId="77777777" w:rsidR="00004035" w:rsidRDefault="0000403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Part 3—Matters relating to entry on the SEVs Register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_Toc66792170 \h </w:instrText>
      </w:r>
      <w:r>
        <w:rPr>
          <w:noProof/>
        </w:rPr>
      </w:r>
      <w:r>
        <w:rPr>
          <w:noProof/>
        </w:rPr>
        <w:fldChar w:fldCharType="separate"/>
      </w:r>
      <w:r w:rsidR="00847B35">
        <w:rPr>
          <w:noProof/>
        </w:rPr>
        <w:t>7</w:t>
      </w:r>
      <w:r>
        <w:rPr>
          <w:noProof/>
        </w:rPr>
        <w:fldChar w:fldCharType="end"/>
      </w:r>
    </w:p>
    <w:p w14:paraId="66DBAE64" w14:textId="77777777" w:rsidR="00004035" w:rsidRDefault="00004035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  <w:lang w:val="en-GB" w:eastAsia="en-GB"/>
        </w:rPr>
      </w:pPr>
      <w:r>
        <w:rPr>
          <w:noProof/>
        </w:rPr>
        <w:t>Division 1—Preliminary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_Toc66792171 \h </w:instrText>
      </w:r>
      <w:r>
        <w:rPr>
          <w:noProof/>
        </w:rPr>
      </w:r>
      <w:r>
        <w:rPr>
          <w:noProof/>
        </w:rPr>
        <w:fldChar w:fldCharType="separate"/>
      </w:r>
      <w:r w:rsidR="00847B35">
        <w:rPr>
          <w:noProof/>
        </w:rPr>
        <w:t>7</w:t>
      </w:r>
      <w:r>
        <w:rPr>
          <w:noProof/>
        </w:rPr>
        <w:fldChar w:fldCharType="end"/>
      </w:r>
    </w:p>
    <w:p w14:paraId="14BE263F" w14:textId="77777777" w:rsidR="00004035" w:rsidRDefault="00004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12  Simplified outline of this Part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_Toc66792172 \h </w:instrText>
      </w:r>
      <w:r>
        <w:rPr>
          <w:noProof/>
        </w:rPr>
      </w:r>
      <w:r>
        <w:rPr>
          <w:noProof/>
        </w:rPr>
        <w:fldChar w:fldCharType="separate"/>
      </w:r>
      <w:r w:rsidR="00847B35">
        <w:rPr>
          <w:noProof/>
        </w:rPr>
        <w:t>7</w:t>
      </w:r>
      <w:r>
        <w:rPr>
          <w:noProof/>
        </w:rPr>
        <w:fldChar w:fldCharType="end"/>
      </w:r>
    </w:p>
    <w:p w14:paraId="5DCDF249" w14:textId="77777777" w:rsidR="00004035" w:rsidRDefault="00004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13  Purpose of this Part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_Toc66792173 \h </w:instrText>
      </w:r>
      <w:r>
        <w:rPr>
          <w:noProof/>
        </w:rPr>
      </w:r>
      <w:r>
        <w:rPr>
          <w:noProof/>
        </w:rPr>
        <w:fldChar w:fldCharType="separate"/>
      </w:r>
      <w:r w:rsidR="00847B35">
        <w:rPr>
          <w:noProof/>
        </w:rPr>
        <w:t>7</w:t>
      </w:r>
      <w:r>
        <w:rPr>
          <w:noProof/>
        </w:rPr>
        <w:fldChar w:fldCharType="end"/>
      </w:r>
    </w:p>
    <w:p w14:paraId="40D4CB96" w14:textId="77777777" w:rsidR="00004035" w:rsidRDefault="00004035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  <w:lang w:val="en-GB" w:eastAsia="en-GB"/>
        </w:rPr>
      </w:pPr>
      <w:r>
        <w:rPr>
          <w:noProof/>
        </w:rPr>
        <w:t>Division 2—Matters relating to the performance criterion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_Toc66792174 \h </w:instrText>
      </w:r>
      <w:r>
        <w:rPr>
          <w:noProof/>
        </w:rPr>
      </w:r>
      <w:r>
        <w:rPr>
          <w:noProof/>
        </w:rPr>
        <w:fldChar w:fldCharType="separate"/>
      </w:r>
      <w:r w:rsidR="00847B35">
        <w:rPr>
          <w:noProof/>
        </w:rPr>
        <w:t>8</w:t>
      </w:r>
      <w:r>
        <w:rPr>
          <w:noProof/>
        </w:rPr>
        <w:fldChar w:fldCharType="end"/>
      </w:r>
    </w:p>
    <w:p w14:paraId="3E931701" w14:textId="77777777" w:rsidR="00004035" w:rsidRDefault="00004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14  Performance criterion—how to calculate power to weight ratio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_Toc66792175 \h </w:instrText>
      </w:r>
      <w:r>
        <w:rPr>
          <w:noProof/>
        </w:rPr>
      </w:r>
      <w:r>
        <w:rPr>
          <w:noProof/>
        </w:rPr>
        <w:fldChar w:fldCharType="separate"/>
      </w:r>
      <w:r w:rsidR="00847B35">
        <w:rPr>
          <w:noProof/>
        </w:rPr>
        <w:t>8</w:t>
      </w:r>
      <w:r>
        <w:rPr>
          <w:noProof/>
        </w:rPr>
        <w:fldChar w:fldCharType="end"/>
      </w:r>
    </w:p>
    <w:p w14:paraId="2BE64F37" w14:textId="77777777" w:rsidR="00004035" w:rsidRDefault="00004035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  <w:lang w:val="en-GB" w:eastAsia="en-GB"/>
        </w:rPr>
      </w:pPr>
      <w:r>
        <w:rPr>
          <w:noProof/>
        </w:rPr>
        <w:t>Division 3—Matters relating to the environmental criterion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_Toc66792176 \h </w:instrText>
      </w:r>
      <w:r>
        <w:rPr>
          <w:noProof/>
        </w:rPr>
      </w:r>
      <w:r>
        <w:rPr>
          <w:noProof/>
        </w:rPr>
        <w:fldChar w:fldCharType="separate"/>
      </w:r>
      <w:r w:rsidR="00847B35">
        <w:rPr>
          <w:noProof/>
        </w:rPr>
        <w:t>9</w:t>
      </w:r>
      <w:r>
        <w:rPr>
          <w:noProof/>
        </w:rPr>
        <w:fldChar w:fldCharType="end"/>
      </w:r>
    </w:p>
    <w:p w14:paraId="3D79C041" w14:textId="77777777" w:rsidR="00004035" w:rsidRDefault="00004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15  Environmental criterion—limitations on eligibility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_Toc66792177 \h </w:instrText>
      </w:r>
      <w:r>
        <w:rPr>
          <w:noProof/>
        </w:rPr>
      </w:r>
      <w:r>
        <w:rPr>
          <w:noProof/>
        </w:rPr>
        <w:fldChar w:fldCharType="separate"/>
      </w:r>
      <w:r w:rsidR="00847B35">
        <w:rPr>
          <w:noProof/>
        </w:rPr>
        <w:t>9</w:t>
      </w:r>
      <w:r>
        <w:rPr>
          <w:noProof/>
        </w:rPr>
        <w:fldChar w:fldCharType="end"/>
      </w:r>
    </w:p>
    <w:p w14:paraId="02D15E33" w14:textId="77777777" w:rsidR="00004035" w:rsidRDefault="00004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16  Environmental criterion—equivalent standards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_Toc66792178 \h </w:instrText>
      </w:r>
      <w:r>
        <w:rPr>
          <w:noProof/>
        </w:rPr>
      </w:r>
      <w:r>
        <w:rPr>
          <w:noProof/>
        </w:rPr>
        <w:fldChar w:fldCharType="separate"/>
      </w:r>
      <w:r w:rsidR="00847B35">
        <w:rPr>
          <w:noProof/>
        </w:rPr>
        <w:t>9</w:t>
      </w:r>
      <w:r>
        <w:rPr>
          <w:noProof/>
        </w:rPr>
        <w:fldChar w:fldCharType="end"/>
      </w:r>
    </w:p>
    <w:p w14:paraId="3517832D" w14:textId="77777777" w:rsidR="00004035" w:rsidRDefault="00004035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  <w:lang w:val="en-GB" w:eastAsia="en-GB"/>
        </w:rPr>
      </w:pPr>
      <w:r>
        <w:rPr>
          <w:noProof/>
        </w:rPr>
        <w:t>Division 4—Matters relating to the campervans and motorhomes criterion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_Toc66792179 \h </w:instrText>
      </w:r>
      <w:r>
        <w:rPr>
          <w:noProof/>
        </w:rPr>
      </w:r>
      <w:r>
        <w:rPr>
          <w:noProof/>
        </w:rPr>
        <w:fldChar w:fldCharType="separate"/>
      </w:r>
      <w:r w:rsidR="00847B35">
        <w:rPr>
          <w:noProof/>
        </w:rPr>
        <w:t>11</w:t>
      </w:r>
      <w:r>
        <w:rPr>
          <w:noProof/>
        </w:rPr>
        <w:fldChar w:fldCharType="end"/>
      </w:r>
    </w:p>
    <w:p w14:paraId="6210151D" w14:textId="77777777" w:rsidR="00004035" w:rsidRDefault="00004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17  Campervans and motorhomes criterion—identifying when a vehicle is a campervan or motorhome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_Toc66792180 \h </w:instrText>
      </w:r>
      <w:r>
        <w:rPr>
          <w:noProof/>
        </w:rPr>
      </w:r>
      <w:r>
        <w:rPr>
          <w:noProof/>
        </w:rPr>
        <w:fldChar w:fldCharType="separate"/>
      </w:r>
      <w:r w:rsidR="00847B35">
        <w:rPr>
          <w:noProof/>
        </w:rPr>
        <w:t>11</w:t>
      </w:r>
      <w:r>
        <w:rPr>
          <w:noProof/>
        </w:rPr>
        <w:fldChar w:fldCharType="end"/>
      </w:r>
    </w:p>
    <w:p w14:paraId="1E06DA1F" w14:textId="77777777" w:rsidR="00AE1A82" w:rsidRDefault="00EC38CB" w:rsidP="00715914">
      <w:r>
        <w:fldChar w:fldCharType="end"/>
      </w:r>
    </w:p>
    <w:p w14:paraId="3C8667E1" w14:textId="77777777" w:rsidR="00670EA1" w:rsidRDefault="00670EA1" w:rsidP="00715914">
      <w:pPr>
        <w:sectPr w:rsidR="00670EA1" w:rsidSect="0024301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B4BF324" w14:textId="77777777" w:rsidR="00715914" w:rsidRDefault="00715914" w:rsidP="00715914">
      <w:pPr>
        <w:pStyle w:val="ActHead2"/>
      </w:pPr>
      <w:bookmarkStart w:id="1" w:name="_Toc66792155"/>
      <w:r w:rsidRPr="00A33A60">
        <w:rPr>
          <w:rStyle w:val="CharPartNo"/>
        </w:rPr>
        <w:lastRenderedPageBreak/>
        <w:t>Part 1</w:t>
      </w:r>
      <w:r>
        <w:t>—</w:t>
      </w:r>
      <w:r w:rsidRPr="00A33A60">
        <w:rPr>
          <w:rStyle w:val="CharPartText"/>
        </w:rPr>
        <w:t>Preliminary</w:t>
      </w:r>
      <w:bookmarkEnd w:id="1"/>
    </w:p>
    <w:p w14:paraId="7BBB5BBB" w14:textId="77777777" w:rsidR="00715914" w:rsidRDefault="00715914" w:rsidP="00715914">
      <w:pPr>
        <w:pStyle w:val="ActHead5"/>
      </w:pPr>
      <w:bookmarkStart w:id="2" w:name="_Toc66792156"/>
      <w:r w:rsidRPr="00C2746F">
        <w:rPr>
          <w:rStyle w:val="CharSectno"/>
        </w:rPr>
        <w:t>1</w:t>
      </w:r>
      <w:r>
        <w:t xml:space="preserve">  </w:t>
      </w:r>
      <w:r w:rsidR="00CE493D">
        <w:t>Name</w:t>
      </w:r>
      <w:bookmarkEnd w:id="2"/>
    </w:p>
    <w:p w14:paraId="5DBB02DA" w14:textId="77777777"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D54A90">
        <w:t xml:space="preserve">This </w:t>
      </w:r>
      <w:r w:rsidR="005D0E7B">
        <w:t xml:space="preserve">instrument </w:t>
      </w:r>
      <w:r w:rsidR="00D54A90">
        <w:t>is</w:t>
      </w:r>
      <w:r w:rsidR="00CE493D">
        <w:t xml:space="preserve"> the</w:t>
      </w:r>
      <w:r w:rsidR="0089778B" w:rsidRPr="0089778B">
        <w:t xml:space="preserve"> </w:t>
      </w:r>
      <w:r w:rsidR="0089778B" w:rsidRPr="0089778B">
        <w:rPr>
          <w:i/>
        </w:rPr>
        <w:t>Road Vehicle Standards (Additional Matters Relating to Eligibility for a Road Vehicle to be Entered on the Specialist and Enthusiast Vehicles Register) Determination 202</w:t>
      </w:r>
      <w:r w:rsidR="00120305">
        <w:rPr>
          <w:i/>
        </w:rPr>
        <w:t>1</w:t>
      </w:r>
      <w:r w:rsidRPr="009A038B">
        <w:t>.</w:t>
      </w:r>
    </w:p>
    <w:p w14:paraId="6A695104" w14:textId="77777777" w:rsidR="00715914" w:rsidRDefault="00715914" w:rsidP="00715914">
      <w:pPr>
        <w:pStyle w:val="ActHead5"/>
      </w:pPr>
      <w:bookmarkStart w:id="3" w:name="_Toc66792157"/>
      <w:r w:rsidRPr="009A038B">
        <w:rPr>
          <w:rStyle w:val="CharSectno"/>
        </w:rPr>
        <w:t>2</w:t>
      </w:r>
      <w:r w:rsidRPr="009A038B">
        <w:t xml:space="preserve">  Commencement</w:t>
      </w:r>
      <w:bookmarkEnd w:id="3"/>
    </w:p>
    <w:p w14:paraId="6555EEE7" w14:textId="77777777" w:rsidR="0089778B" w:rsidRDefault="00BA0C87" w:rsidP="0089778B">
      <w:pPr>
        <w:pStyle w:val="subsection"/>
      </w:pPr>
      <w:r>
        <w:tab/>
      </w:r>
      <w:r>
        <w:tab/>
      </w:r>
      <w:r w:rsidR="0089778B">
        <w:t xml:space="preserve">This instrument commences at the same time as section 136 of the </w:t>
      </w:r>
      <w:r w:rsidR="0089778B">
        <w:rPr>
          <w:i/>
        </w:rPr>
        <w:t>Road</w:t>
      </w:r>
      <w:r w:rsidR="0089778B">
        <w:t xml:space="preserve"> </w:t>
      </w:r>
      <w:r w:rsidR="0089778B">
        <w:rPr>
          <w:i/>
        </w:rPr>
        <w:t xml:space="preserve">Vehicle Standards Rules 2019. </w:t>
      </w:r>
    </w:p>
    <w:p w14:paraId="2CBAF5B3" w14:textId="77777777" w:rsidR="007500C8" w:rsidRDefault="007500C8" w:rsidP="007500C8">
      <w:pPr>
        <w:pStyle w:val="ActHead5"/>
      </w:pPr>
      <w:bookmarkStart w:id="4" w:name="_Toc66792158"/>
      <w:r w:rsidRPr="00C2746F">
        <w:rPr>
          <w:rStyle w:val="CharSectno"/>
        </w:rPr>
        <w:t>3</w:t>
      </w:r>
      <w:r>
        <w:t xml:space="preserve">  Authority</w:t>
      </w:r>
      <w:bookmarkEnd w:id="4"/>
    </w:p>
    <w:p w14:paraId="1B70AF71" w14:textId="77777777" w:rsidR="00157B8B" w:rsidRDefault="007500C8" w:rsidP="007E667A">
      <w:pPr>
        <w:pStyle w:val="subsection"/>
      </w:pPr>
      <w:r>
        <w:tab/>
      </w:r>
      <w:r>
        <w:tab/>
        <w:t xml:space="preserve">This </w:t>
      </w:r>
      <w:r w:rsidR="00D54A90">
        <w:t>instrument</w:t>
      </w:r>
      <w:r>
        <w:t xml:space="preserve"> is made under </w:t>
      </w:r>
      <w:r w:rsidR="0089778B">
        <w:t xml:space="preserve">section 136 of the </w:t>
      </w:r>
      <w:r w:rsidR="0089778B">
        <w:rPr>
          <w:i/>
        </w:rPr>
        <w:t>Road</w:t>
      </w:r>
      <w:r w:rsidR="0089778B">
        <w:t xml:space="preserve"> </w:t>
      </w:r>
      <w:r w:rsidR="00FE1CE0">
        <w:rPr>
          <w:i/>
        </w:rPr>
        <w:t>Vehicle Standards Rules </w:t>
      </w:r>
      <w:r w:rsidR="0089778B">
        <w:rPr>
          <w:i/>
        </w:rPr>
        <w:t>2019</w:t>
      </w:r>
      <w:r w:rsidR="0089778B">
        <w:t>.</w:t>
      </w:r>
    </w:p>
    <w:p w14:paraId="4D074C9B" w14:textId="77777777" w:rsidR="003F4611" w:rsidRDefault="00A669FE" w:rsidP="003F4611">
      <w:pPr>
        <w:pStyle w:val="ActHead5"/>
      </w:pPr>
      <w:bookmarkStart w:id="5" w:name="_Toc66792159"/>
      <w:r w:rsidRPr="00A669FE">
        <w:rPr>
          <w:rStyle w:val="CharSectno"/>
        </w:rPr>
        <w:t>4</w:t>
      </w:r>
      <w:r w:rsidR="003F4611">
        <w:t xml:space="preserve">  Definitions</w:t>
      </w:r>
      <w:bookmarkEnd w:id="5"/>
      <w:r w:rsidR="003F4611">
        <w:t xml:space="preserve"> </w:t>
      </w:r>
    </w:p>
    <w:p w14:paraId="2C12A5E2" w14:textId="77777777" w:rsidR="00D007BA" w:rsidRDefault="00D007BA" w:rsidP="00D007BA">
      <w:pPr>
        <w:pStyle w:val="notetext"/>
      </w:pPr>
      <w:r>
        <w:t>Note:</w:t>
      </w:r>
      <w:r>
        <w:tab/>
        <w:t>A number of expressions used in this instrument are defined in the Rules, including the following:</w:t>
      </w:r>
    </w:p>
    <w:p w14:paraId="6272A531" w14:textId="77777777" w:rsidR="00635F01" w:rsidRDefault="00635F01" w:rsidP="00D007BA">
      <w:pPr>
        <w:pStyle w:val="notepara"/>
      </w:pPr>
      <w:r>
        <w:t>(a)</w:t>
      </w:r>
      <w:r>
        <w:tab/>
        <w:t>campervans and motorhomes criterion;</w:t>
      </w:r>
    </w:p>
    <w:p w14:paraId="63383DB0" w14:textId="77777777" w:rsidR="00635F01" w:rsidRDefault="00635F01" w:rsidP="00D007BA">
      <w:pPr>
        <w:pStyle w:val="notepara"/>
      </w:pPr>
      <w:r>
        <w:t>(b)</w:t>
      </w:r>
      <w:r>
        <w:tab/>
        <w:t>environmental criterion;</w:t>
      </w:r>
    </w:p>
    <w:p w14:paraId="7FA3708F" w14:textId="77777777" w:rsidR="00D007BA" w:rsidRDefault="00D007BA" w:rsidP="00D007BA">
      <w:pPr>
        <w:pStyle w:val="notepara"/>
      </w:pPr>
      <w:r>
        <w:t>(</w:t>
      </w:r>
      <w:r w:rsidR="00635F01">
        <w:t>c</w:t>
      </w:r>
      <w:r>
        <w:t>)</w:t>
      </w:r>
      <w:r>
        <w:tab/>
        <w:t>gross vehicle mass;</w:t>
      </w:r>
    </w:p>
    <w:p w14:paraId="3C22262B" w14:textId="77777777" w:rsidR="00635F01" w:rsidRDefault="00635F01" w:rsidP="00D007BA">
      <w:pPr>
        <w:pStyle w:val="notepara"/>
      </w:pPr>
      <w:r>
        <w:t>(d)</w:t>
      </w:r>
      <w:r>
        <w:tab/>
        <w:t>performance criterion;</w:t>
      </w:r>
    </w:p>
    <w:p w14:paraId="051F2228" w14:textId="77777777" w:rsidR="00D007BA" w:rsidRDefault="00D007BA" w:rsidP="00D007BA">
      <w:pPr>
        <w:pStyle w:val="notepara"/>
      </w:pPr>
      <w:r>
        <w:t>(</w:t>
      </w:r>
      <w:r w:rsidR="00635F01">
        <w:t>e</w:t>
      </w:r>
      <w:r>
        <w:t>)</w:t>
      </w:r>
      <w:r>
        <w:tab/>
        <w:t>vehicle category;</w:t>
      </w:r>
    </w:p>
    <w:p w14:paraId="166E068A" w14:textId="77777777" w:rsidR="00D007BA" w:rsidRDefault="00635F01" w:rsidP="00D007BA">
      <w:pPr>
        <w:pStyle w:val="notepara"/>
      </w:pPr>
      <w:r>
        <w:t>(f</w:t>
      </w:r>
      <w:r w:rsidR="00D007BA">
        <w:t>)</w:t>
      </w:r>
      <w:r w:rsidR="00D007BA">
        <w:tab/>
        <w:t>SEVs Register.</w:t>
      </w:r>
    </w:p>
    <w:p w14:paraId="15FDA3D8" w14:textId="77777777" w:rsidR="00D007BA" w:rsidRDefault="00D007BA" w:rsidP="00D007BA">
      <w:pPr>
        <w:pStyle w:val="subsection"/>
      </w:pPr>
      <w:r>
        <w:tab/>
      </w:r>
      <w:r>
        <w:tab/>
        <w:t>In this instrument:</w:t>
      </w:r>
    </w:p>
    <w:p w14:paraId="3E83426D" w14:textId="77777777" w:rsidR="009574A7" w:rsidRPr="009574A7" w:rsidRDefault="009574A7" w:rsidP="009574A7">
      <w:pPr>
        <w:pStyle w:val="subsection"/>
      </w:pPr>
      <w:r>
        <w:rPr>
          <w:b/>
          <w:i/>
        </w:rPr>
        <w:tab/>
      </w:r>
      <w:r>
        <w:rPr>
          <w:b/>
          <w:i/>
        </w:rPr>
        <w:tab/>
        <w:t xml:space="preserve">electric-only </w:t>
      </w:r>
      <w:r>
        <w:t xml:space="preserve">vehicle does not include a petrol-electric or other hybrid vehicle. </w:t>
      </w:r>
    </w:p>
    <w:p w14:paraId="4C9828D6" w14:textId="77777777" w:rsidR="00752B39" w:rsidRDefault="00752B39" w:rsidP="00D007BA">
      <w:pPr>
        <w:pStyle w:val="subsection"/>
      </w:pPr>
      <w:r>
        <w:tab/>
      </w:r>
      <w:r>
        <w:tab/>
      </w:r>
      <w:r>
        <w:rPr>
          <w:b/>
          <w:i/>
        </w:rPr>
        <w:t xml:space="preserve">L-group vehicle </w:t>
      </w:r>
      <w:r>
        <w:t xml:space="preserve">has the same meaning as in the </w:t>
      </w:r>
      <w:r w:rsidRPr="00752B39">
        <w:rPr>
          <w:i/>
        </w:rPr>
        <w:t>Vehicle Standard (Australian Design Rule—Definitions and Vehicle Categories) 2005</w:t>
      </w:r>
      <w:r w:rsidRPr="00752B39">
        <w:t>.</w:t>
      </w:r>
    </w:p>
    <w:p w14:paraId="04638066" w14:textId="77777777" w:rsidR="00822144" w:rsidRDefault="00822144" w:rsidP="00822144">
      <w:pPr>
        <w:pStyle w:val="Definition"/>
        <w:rPr>
          <w:i/>
        </w:rPr>
      </w:pPr>
      <w:r>
        <w:rPr>
          <w:b/>
          <w:i/>
        </w:rPr>
        <w:t xml:space="preserve">Rules </w:t>
      </w:r>
      <w:r>
        <w:t xml:space="preserve">means the </w:t>
      </w:r>
      <w:r>
        <w:rPr>
          <w:i/>
        </w:rPr>
        <w:t xml:space="preserve">Road Vehicle Standards Rules 2019. </w:t>
      </w:r>
    </w:p>
    <w:p w14:paraId="784176AF" w14:textId="77777777" w:rsidR="003F4611" w:rsidRDefault="003F4611" w:rsidP="00D54E39">
      <w:pPr>
        <w:pStyle w:val="subsection"/>
        <w:ind w:left="0" w:firstLine="0"/>
      </w:pPr>
    </w:p>
    <w:p w14:paraId="0273092B" w14:textId="77777777" w:rsidR="008318BD" w:rsidRDefault="008318BD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12337830" w14:textId="77777777" w:rsidR="008318BD" w:rsidRPr="00D54E39" w:rsidRDefault="008318BD" w:rsidP="008318BD">
      <w:pPr>
        <w:pStyle w:val="ActHead2"/>
      </w:pPr>
      <w:bookmarkStart w:id="6" w:name="_Toc66792160"/>
      <w:r w:rsidRPr="00A33A60">
        <w:rPr>
          <w:rStyle w:val="CharPartNo"/>
        </w:rPr>
        <w:lastRenderedPageBreak/>
        <w:t>Part 2</w:t>
      </w:r>
      <w:r>
        <w:t>—</w:t>
      </w:r>
      <w:r w:rsidR="001C0B09" w:rsidRPr="00A33A60">
        <w:rPr>
          <w:rStyle w:val="CharPartText"/>
        </w:rPr>
        <w:t xml:space="preserve">Significant </w:t>
      </w:r>
      <w:r w:rsidR="00731474" w:rsidRPr="00A33A60">
        <w:rPr>
          <w:rStyle w:val="CharPartText"/>
        </w:rPr>
        <w:t>differences in design characteristics</w:t>
      </w:r>
      <w:bookmarkEnd w:id="6"/>
    </w:p>
    <w:p w14:paraId="5B967A71" w14:textId="77777777" w:rsidR="00D54E39" w:rsidRPr="00D54E39" w:rsidRDefault="00D54E39" w:rsidP="00D54E39">
      <w:pPr>
        <w:pStyle w:val="ActHead3"/>
      </w:pPr>
      <w:bookmarkStart w:id="7" w:name="_Toc66792161"/>
      <w:r w:rsidRPr="00A33A60">
        <w:rPr>
          <w:rStyle w:val="CharDivNo"/>
        </w:rPr>
        <w:t>Division 1</w:t>
      </w:r>
      <w:r>
        <w:t>—</w:t>
      </w:r>
      <w:r w:rsidRPr="00A33A60">
        <w:rPr>
          <w:rStyle w:val="CharDivText"/>
        </w:rPr>
        <w:t>Preliminary</w:t>
      </w:r>
      <w:bookmarkEnd w:id="7"/>
    </w:p>
    <w:p w14:paraId="36E429F4" w14:textId="77777777" w:rsidR="008E024A" w:rsidRPr="00676843" w:rsidRDefault="008E024A" w:rsidP="008E024A">
      <w:pPr>
        <w:pStyle w:val="ActHead5"/>
      </w:pPr>
      <w:bookmarkStart w:id="8" w:name="_Toc532465552"/>
      <w:bookmarkStart w:id="9" w:name="_Toc36818154"/>
      <w:bookmarkStart w:id="10" w:name="_Toc66792162"/>
      <w:r>
        <w:rPr>
          <w:rStyle w:val="CharSectno"/>
        </w:rPr>
        <w:t>5</w:t>
      </w:r>
      <w:r w:rsidRPr="00676843">
        <w:t xml:space="preserve">  Simplified outline of this </w:t>
      </w:r>
      <w:bookmarkEnd w:id="8"/>
      <w:bookmarkEnd w:id="9"/>
      <w:r w:rsidR="00045AE4">
        <w:t>Part</w:t>
      </w:r>
      <w:bookmarkEnd w:id="10"/>
    </w:p>
    <w:p w14:paraId="6A2A3481" w14:textId="77777777" w:rsidR="00F67940" w:rsidRPr="00310330" w:rsidRDefault="00045AE4" w:rsidP="008E024A">
      <w:pPr>
        <w:pStyle w:val="SOText"/>
        <w:rPr>
          <w:i/>
        </w:rPr>
      </w:pPr>
      <w:r>
        <w:t xml:space="preserve">Division 6 of Part 4 of the Rules provides for the entry of road vehicles on the SEVs Register. </w:t>
      </w:r>
      <w:r w:rsidR="00F67940">
        <w:t xml:space="preserve">A person may apply for a </w:t>
      </w:r>
      <w:r w:rsidR="00705F09">
        <w:t xml:space="preserve">make and model, or </w:t>
      </w:r>
      <w:r w:rsidR="00310330">
        <w:t xml:space="preserve">one or more </w:t>
      </w:r>
      <w:r w:rsidR="00F67940">
        <w:t>variant</w:t>
      </w:r>
      <w:r w:rsidR="00310330">
        <w:t>s</w:t>
      </w:r>
      <w:r w:rsidR="00F67940">
        <w:t xml:space="preserve"> of a model</w:t>
      </w:r>
      <w:r w:rsidR="00705F09">
        <w:t>,</w:t>
      </w:r>
      <w:r w:rsidR="00F67940">
        <w:t xml:space="preserve"> of a road vehicle to be entered on </w:t>
      </w:r>
      <w:r w:rsidR="00670FA4">
        <w:t>the R</w:t>
      </w:r>
      <w:r w:rsidR="00F67940">
        <w:t xml:space="preserve">egister. </w:t>
      </w:r>
    </w:p>
    <w:p w14:paraId="702D21E9" w14:textId="77777777" w:rsidR="008E024A" w:rsidRDefault="00F67940" w:rsidP="008E024A">
      <w:pPr>
        <w:pStyle w:val="SOText"/>
        <w:rPr>
          <w:color w:val="000000"/>
          <w:szCs w:val="22"/>
          <w:shd w:val="clear" w:color="auto" w:fill="FFFFFF"/>
        </w:rPr>
      </w:pPr>
      <w:r>
        <w:t>Subsection 128(1) of the Rules</w:t>
      </w:r>
      <w:r w:rsidR="00E53994">
        <w:t xml:space="preserve"> defines ‘variant’. It </w:t>
      </w:r>
      <w:r>
        <w:t xml:space="preserve">provides that road vehicles of a particular kind </w:t>
      </w:r>
      <w:r>
        <w:rPr>
          <w:color w:val="000000"/>
          <w:szCs w:val="22"/>
          <w:shd w:val="clear" w:color="auto" w:fill="FFFFFF"/>
        </w:rPr>
        <w:t>constitute a variant of a model of a road vehicle </w:t>
      </w:r>
      <w:r>
        <w:rPr>
          <w:rStyle w:val="subsectionchar0"/>
          <w:color w:val="000000"/>
          <w:szCs w:val="22"/>
          <w:shd w:val="clear" w:color="auto" w:fill="FFFFFF"/>
        </w:rPr>
        <w:t>if their</w:t>
      </w:r>
      <w:r>
        <w:rPr>
          <w:color w:val="000000"/>
          <w:szCs w:val="22"/>
          <w:shd w:val="clear" w:color="auto" w:fill="FFFFFF"/>
        </w:rPr>
        <w:t xml:space="preserve"> design characteristics are significantly different from those of other vehicles of that model of road vehicle. Without limiting that </w:t>
      </w:r>
      <w:r w:rsidR="00077BFA">
        <w:rPr>
          <w:color w:val="000000"/>
          <w:szCs w:val="22"/>
          <w:shd w:val="clear" w:color="auto" w:fill="FFFFFF"/>
        </w:rPr>
        <w:t>definition</w:t>
      </w:r>
      <w:r>
        <w:rPr>
          <w:color w:val="000000"/>
          <w:szCs w:val="22"/>
          <w:shd w:val="clear" w:color="auto" w:fill="FFFFFF"/>
        </w:rPr>
        <w:t>, s</w:t>
      </w:r>
      <w:r w:rsidR="00635F01">
        <w:rPr>
          <w:color w:val="000000"/>
          <w:szCs w:val="22"/>
          <w:shd w:val="clear" w:color="auto" w:fill="FFFFFF"/>
        </w:rPr>
        <w:t>ubsections 128(3) and </w:t>
      </w:r>
      <w:r>
        <w:rPr>
          <w:color w:val="000000"/>
          <w:szCs w:val="22"/>
          <w:shd w:val="clear" w:color="auto" w:fill="FFFFFF"/>
        </w:rPr>
        <w:t xml:space="preserve">(5) specify particular kinds of differences in design characteristics that are significant for that purpose. </w:t>
      </w:r>
    </w:p>
    <w:p w14:paraId="0E7ADAD0" w14:textId="77777777" w:rsidR="00F67940" w:rsidRDefault="00F67940" w:rsidP="008E024A">
      <w:pPr>
        <w:pStyle w:val="SOText"/>
        <w:rPr>
          <w:color w:val="000000"/>
          <w:szCs w:val="22"/>
          <w:shd w:val="clear" w:color="auto" w:fill="FFFFFF"/>
        </w:rPr>
      </w:pPr>
      <w:r>
        <w:rPr>
          <w:color w:val="000000"/>
          <w:szCs w:val="22"/>
          <w:shd w:val="clear" w:color="auto" w:fill="FFFFFF"/>
        </w:rPr>
        <w:t xml:space="preserve">This Part sets out further differences in the design characteristics of </w:t>
      </w:r>
      <w:r w:rsidR="00C80309">
        <w:rPr>
          <w:color w:val="000000"/>
          <w:szCs w:val="22"/>
          <w:shd w:val="clear" w:color="auto" w:fill="FFFFFF"/>
        </w:rPr>
        <w:t xml:space="preserve">road </w:t>
      </w:r>
      <w:r>
        <w:rPr>
          <w:color w:val="000000"/>
          <w:szCs w:val="22"/>
          <w:shd w:val="clear" w:color="auto" w:fill="FFFFFF"/>
        </w:rPr>
        <w:t>vehicles that will be significant for the purposes of subsection 128(1) of the Rules.</w:t>
      </w:r>
      <w:r w:rsidR="00D86D91">
        <w:rPr>
          <w:color w:val="000000"/>
          <w:szCs w:val="22"/>
          <w:shd w:val="clear" w:color="auto" w:fill="FFFFFF"/>
        </w:rPr>
        <w:t xml:space="preserve"> Neither section 128 of the Rules nor this instrument provide an exhaustive list of </w:t>
      </w:r>
      <w:r>
        <w:rPr>
          <w:color w:val="000000"/>
          <w:szCs w:val="22"/>
          <w:shd w:val="clear" w:color="auto" w:fill="FFFFFF"/>
        </w:rPr>
        <w:t xml:space="preserve">the </w:t>
      </w:r>
      <w:r w:rsidR="00D86D91">
        <w:rPr>
          <w:color w:val="000000"/>
          <w:szCs w:val="22"/>
          <w:shd w:val="clear" w:color="auto" w:fill="FFFFFF"/>
        </w:rPr>
        <w:t xml:space="preserve">differences </w:t>
      </w:r>
      <w:r>
        <w:rPr>
          <w:color w:val="000000"/>
          <w:szCs w:val="22"/>
          <w:shd w:val="clear" w:color="auto" w:fill="FFFFFF"/>
        </w:rPr>
        <w:t xml:space="preserve">that </w:t>
      </w:r>
      <w:r w:rsidR="00D86D91">
        <w:rPr>
          <w:color w:val="000000"/>
          <w:szCs w:val="22"/>
          <w:shd w:val="clear" w:color="auto" w:fill="FFFFFF"/>
        </w:rPr>
        <w:t xml:space="preserve">are </w:t>
      </w:r>
      <w:r>
        <w:rPr>
          <w:color w:val="000000"/>
          <w:szCs w:val="22"/>
          <w:shd w:val="clear" w:color="auto" w:fill="FFFFFF"/>
        </w:rPr>
        <w:t xml:space="preserve">significant for that purpose. </w:t>
      </w:r>
    </w:p>
    <w:p w14:paraId="1A291816" w14:textId="77777777" w:rsidR="00F67940" w:rsidRDefault="00F67940" w:rsidP="008E024A">
      <w:pPr>
        <w:pStyle w:val="SOText"/>
        <w:rPr>
          <w:color w:val="000000"/>
          <w:szCs w:val="22"/>
          <w:shd w:val="clear" w:color="auto" w:fill="FFFFFF"/>
        </w:rPr>
      </w:pPr>
      <w:r>
        <w:rPr>
          <w:color w:val="000000"/>
          <w:szCs w:val="22"/>
          <w:shd w:val="clear" w:color="auto" w:fill="FFFFFF"/>
        </w:rPr>
        <w:t xml:space="preserve">This Part also </w:t>
      </w:r>
      <w:r w:rsidR="009A7A11">
        <w:rPr>
          <w:color w:val="000000"/>
          <w:szCs w:val="22"/>
          <w:shd w:val="clear" w:color="auto" w:fill="FFFFFF"/>
        </w:rPr>
        <w:t>clarifies</w:t>
      </w:r>
      <w:r>
        <w:rPr>
          <w:color w:val="000000"/>
          <w:szCs w:val="22"/>
          <w:shd w:val="clear" w:color="auto" w:fill="FFFFFF"/>
        </w:rPr>
        <w:t xml:space="preserve"> when a combination of individual differences that are not, themselves, significant, can nonetheless </w:t>
      </w:r>
      <w:r w:rsidR="00D54E39">
        <w:rPr>
          <w:color w:val="000000"/>
          <w:szCs w:val="22"/>
          <w:shd w:val="clear" w:color="auto" w:fill="FFFFFF"/>
        </w:rPr>
        <w:t>render the design characteristics of road vehicles of a particular kind significantly different</w:t>
      </w:r>
      <w:r w:rsidR="00635F01">
        <w:rPr>
          <w:color w:val="000000"/>
          <w:szCs w:val="22"/>
          <w:shd w:val="clear" w:color="auto" w:fill="FFFFFF"/>
        </w:rPr>
        <w:t xml:space="preserve"> </w:t>
      </w:r>
      <w:r w:rsidR="00D54E39">
        <w:rPr>
          <w:color w:val="000000"/>
          <w:szCs w:val="22"/>
          <w:shd w:val="clear" w:color="auto" w:fill="FFFFFF"/>
        </w:rPr>
        <w:t xml:space="preserve">from those of other vehicles of the </w:t>
      </w:r>
      <w:r w:rsidR="00077BFA">
        <w:rPr>
          <w:color w:val="000000"/>
          <w:szCs w:val="22"/>
          <w:shd w:val="clear" w:color="auto" w:fill="FFFFFF"/>
        </w:rPr>
        <w:t>same</w:t>
      </w:r>
      <w:r w:rsidR="00D54E39">
        <w:rPr>
          <w:color w:val="000000"/>
          <w:szCs w:val="22"/>
          <w:shd w:val="clear" w:color="auto" w:fill="FFFFFF"/>
        </w:rPr>
        <w:t xml:space="preserve"> model</w:t>
      </w:r>
      <w:r>
        <w:rPr>
          <w:color w:val="000000"/>
          <w:szCs w:val="22"/>
          <w:shd w:val="clear" w:color="auto" w:fill="FFFFFF"/>
        </w:rPr>
        <w:t xml:space="preserve"> for the purposes of subsection 128(1) of the Rules when considered together. </w:t>
      </w:r>
    </w:p>
    <w:p w14:paraId="358DB226" w14:textId="77777777" w:rsidR="00731474" w:rsidRDefault="00D54E39" w:rsidP="00731474">
      <w:pPr>
        <w:pStyle w:val="ActHead5"/>
      </w:pPr>
      <w:bookmarkStart w:id="11" w:name="_Toc66792163"/>
      <w:r>
        <w:t>6</w:t>
      </w:r>
      <w:r w:rsidR="00731474">
        <w:t xml:space="preserve">  Purpose of this Part</w:t>
      </w:r>
      <w:bookmarkEnd w:id="11"/>
    </w:p>
    <w:p w14:paraId="17F83173" w14:textId="77777777" w:rsidR="00731474" w:rsidRDefault="00731474" w:rsidP="00731474">
      <w:pPr>
        <w:pStyle w:val="subsection"/>
      </w:pPr>
      <w:r>
        <w:tab/>
      </w:r>
      <w:r>
        <w:tab/>
        <w:t xml:space="preserve">For paragraph 136(2)(c) of the Rules, this </w:t>
      </w:r>
      <w:r w:rsidR="003F4611">
        <w:t>Part</w:t>
      </w:r>
      <w:r>
        <w:t xml:space="preserve"> </w:t>
      </w:r>
      <w:r w:rsidR="0045779B">
        <w:t>specifies</w:t>
      </w:r>
      <w:r>
        <w:t xml:space="preserve"> when differences in the design characteristics of </w:t>
      </w:r>
      <w:r w:rsidR="00C80309">
        <w:t xml:space="preserve">road </w:t>
      </w:r>
      <w:r>
        <w:t>vehicles will</w:t>
      </w:r>
      <w:r w:rsidR="00077BFA">
        <w:t xml:space="preserve">, or will not, </w:t>
      </w:r>
      <w:r>
        <w:t xml:space="preserve">be significant for the purposes of subsection 128(1) of the Rules. </w:t>
      </w:r>
    </w:p>
    <w:p w14:paraId="278DD3DB" w14:textId="77777777" w:rsidR="00143905" w:rsidRDefault="00143905" w:rsidP="00143905">
      <w:pPr>
        <w:pStyle w:val="notetext"/>
      </w:pPr>
      <w:r>
        <w:t>Note</w:t>
      </w:r>
      <w:r w:rsidR="008848C6">
        <w:t xml:space="preserve"> 1</w:t>
      </w:r>
      <w:r>
        <w:t>:</w:t>
      </w:r>
      <w:r>
        <w:tab/>
        <w:t xml:space="preserve">Subsection 128(1) of the Rules provides that road vehicles of a particular kind constitute a variant of a model of road vehicle if their design characteristics are significantly different from those of other vehicles of that model. </w:t>
      </w:r>
    </w:p>
    <w:p w14:paraId="0705528D" w14:textId="77777777" w:rsidR="008848C6" w:rsidRDefault="008848C6" w:rsidP="005D1B10">
      <w:pPr>
        <w:pStyle w:val="notetext"/>
      </w:pPr>
      <w:r>
        <w:t>Note 2:</w:t>
      </w:r>
      <w:r>
        <w:tab/>
      </w:r>
      <w:r w:rsidR="00143905">
        <w:t>Subsections 128(3)</w:t>
      </w:r>
      <w:r>
        <w:t xml:space="preserve"> and (5) of the Rules provide that differences in certain kinds of design characteristics are significant for the purposes of subsection 128(1)</w:t>
      </w:r>
      <w:r w:rsidR="00150346">
        <w:t>, while subsections 128(4) and (6) prescribe differences that are not significant</w:t>
      </w:r>
      <w:r>
        <w:t xml:space="preserve">. </w:t>
      </w:r>
      <w:r w:rsidR="005D1B10">
        <w:t>Without limiting subsection 128(1), t</w:t>
      </w:r>
      <w:r>
        <w:t xml:space="preserve">his instrument specifies further </w:t>
      </w:r>
      <w:r w:rsidR="00150346">
        <w:t>cases in which differences in the design characteristics of vehicles</w:t>
      </w:r>
      <w:r>
        <w:t xml:space="preserve"> </w:t>
      </w:r>
      <w:r w:rsidR="00150346">
        <w:t xml:space="preserve">will, or will not, be </w:t>
      </w:r>
      <w:r>
        <w:t>significant for that purpose</w:t>
      </w:r>
      <w:r w:rsidR="00D3452C">
        <w:t>.</w:t>
      </w:r>
      <w:r>
        <w:t xml:space="preserve"> </w:t>
      </w:r>
    </w:p>
    <w:p w14:paraId="723CA477" w14:textId="77777777" w:rsidR="00D54E39" w:rsidRPr="00D54E39" w:rsidRDefault="00D54E39" w:rsidP="00D54E39">
      <w:pPr>
        <w:pStyle w:val="ActHead3"/>
      </w:pPr>
      <w:r>
        <w:rPr>
          <w:rStyle w:val="CharDivNo"/>
        </w:rPr>
        <w:br w:type="column"/>
      </w:r>
      <w:bookmarkStart w:id="12" w:name="_Toc66792164"/>
      <w:r>
        <w:rPr>
          <w:rStyle w:val="CharDivNo"/>
        </w:rPr>
        <w:lastRenderedPageBreak/>
        <w:t>Division 2</w:t>
      </w:r>
      <w:r>
        <w:t>—</w:t>
      </w:r>
      <w:r w:rsidRPr="00D54E39">
        <w:rPr>
          <w:rStyle w:val="CharDivText"/>
        </w:rPr>
        <w:t>Prescription of significant differences</w:t>
      </w:r>
      <w:bookmarkEnd w:id="12"/>
      <w:r>
        <w:rPr>
          <w:rStyle w:val="CharDivText"/>
        </w:rPr>
        <w:t xml:space="preserve"> </w:t>
      </w:r>
    </w:p>
    <w:p w14:paraId="1B7E60BE" w14:textId="77777777" w:rsidR="00143905" w:rsidRDefault="00D54E39" w:rsidP="00143905">
      <w:pPr>
        <w:pStyle w:val="ActHead5"/>
      </w:pPr>
      <w:bookmarkStart w:id="13" w:name="_Toc66792165"/>
      <w:r w:rsidRPr="00A13326">
        <w:rPr>
          <w:rStyle w:val="CharSectno"/>
        </w:rPr>
        <w:t>7</w:t>
      </w:r>
      <w:r w:rsidR="00143905">
        <w:t xml:space="preserve"> </w:t>
      </w:r>
      <w:r w:rsidR="002C617E">
        <w:t xml:space="preserve"> </w:t>
      </w:r>
      <w:r w:rsidR="00235AD2">
        <w:t>Significant differences</w:t>
      </w:r>
      <w:r w:rsidR="008C01AC">
        <w:t>—L-group and MA, MB and MC</w:t>
      </w:r>
      <w:r w:rsidR="007C1CB2">
        <w:t xml:space="preserve"> </w:t>
      </w:r>
      <w:r w:rsidR="008C01AC">
        <w:t>category vehicles</w:t>
      </w:r>
      <w:bookmarkEnd w:id="13"/>
    </w:p>
    <w:p w14:paraId="5A522812" w14:textId="77777777" w:rsidR="00EA20C5" w:rsidRPr="00EA20C5" w:rsidRDefault="00EA20C5" w:rsidP="00EA20C5">
      <w:pPr>
        <w:pStyle w:val="SubsectionHead"/>
      </w:pPr>
      <w:r>
        <w:t xml:space="preserve">Application of this section </w:t>
      </w:r>
    </w:p>
    <w:p w14:paraId="1CD82C95" w14:textId="77777777" w:rsidR="008C01AC" w:rsidRDefault="00FC0AC8" w:rsidP="00731474">
      <w:pPr>
        <w:pStyle w:val="subsection"/>
      </w:pPr>
      <w:r>
        <w:tab/>
      </w:r>
      <w:r w:rsidR="008C01AC">
        <w:t>(1)</w:t>
      </w:r>
      <w:r w:rsidR="008C01AC">
        <w:tab/>
        <w:t>This section applies to:</w:t>
      </w:r>
    </w:p>
    <w:p w14:paraId="2C331524" w14:textId="77777777" w:rsidR="008C01AC" w:rsidRDefault="008C01AC" w:rsidP="008C01AC">
      <w:pPr>
        <w:pStyle w:val="paragraph"/>
      </w:pPr>
      <w:r>
        <w:tab/>
        <w:t>(a)</w:t>
      </w:r>
      <w:r>
        <w:tab/>
        <w:t>L-group vehicles; and</w:t>
      </w:r>
    </w:p>
    <w:p w14:paraId="3EBEC4B8" w14:textId="77777777" w:rsidR="00752B39" w:rsidRDefault="008C01AC" w:rsidP="008C01AC">
      <w:pPr>
        <w:pStyle w:val="paragraph"/>
      </w:pPr>
      <w:r>
        <w:tab/>
        <w:t>(b)</w:t>
      </w:r>
      <w:r>
        <w:tab/>
      </w:r>
      <w:r w:rsidR="00752B39">
        <w:t>vehicles in the following vehicle categories:</w:t>
      </w:r>
    </w:p>
    <w:p w14:paraId="378D9AFD" w14:textId="77777777" w:rsidR="00BF3FC7" w:rsidRDefault="00752B39" w:rsidP="00752B39">
      <w:pPr>
        <w:pStyle w:val="parasub"/>
      </w:pPr>
      <w:r>
        <w:tab/>
        <w:t>(i)</w:t>
      </w:r>
      <w:r>
        <w:tab/>
      </w:r>
      <w:r w:rsidR="00BF3FC7">
        <w:t>passenger car (MA);</w:t>
      </w:r>
    </w:p>
    <w:p w14:paraId="4E7FB513" w14:textId="77777777" w:rsidR="00BF3FC7" w:rsidRDefault="00BF3FC7" w:rsidP="00752B39">
      <w:pPr>
        <w:pStyle w:val="parasub"/>
      </w:pPr>
      <w:r>
        <w:tab/>
        <w:t>(ii)</w:t>
      </w:r>
      <w:r>
        <w:tab/>
        <w:t>forward-control passenger vehicle (MB);</w:t>
      </w:r>
    </w:p>
    <w:p w14:paraId="14527997" w14:textId="77777777" w:rsidR="008C01AC" w:rsidRDefault="00BF3FC7" w:rsidP="00752B39">
      <w:pPr>
        <w:pStyle w:val="parasub"/>
      </w:pPr>
      <w:r>
        <w:tab/>
        <w:t>(iii)</w:t>
      </w:r>
      <w:r>
        <w:tab/>
        <w:t xml:space="preserve">off-road passenger vehicle (MC).  </w:t>
      </w:r>
      <w:r w:rsidR="008C01AC">
        <w:t xml:space="preserve"> </w:t>
      </w:r>
    </w:p>
    <w:p w14:paraId="3B0F479C" w14:textId="77777777" w:rsidR="00143905" w:rsidRDefault="008C01AC" w:rsidP="008C01AC">
      <w:pPr>
        <w:pStyle w:val="notetext"/>
        <w:rPr>
          <w:i/>
        </w:rPr>
      </w:pPr>
      <w:r>
        <w:t>Note:</w:t>
      </w:r>
      <w:r>
        <w:tab/>
        <w:t xml:space="preserve">These </w:t>
      </w:r>
      <w:r w:rsidR="00C34216">
        <w:t xml:space="preserve">vehicle </w:t>
      </w:r>
      <w:r>
        <w:t xml:space="preserve">categories are defined in </w:t>
      </w:r>
      <w:r w:rsidRPr="008C01AC">
        <w:rPr>
          <w:i/>
        </w:rPr>
        <w:t>Vehicle Sta</w:t>
      </w:r>
      <w:r w:rsidR="00216BAD">
        <w:rPr>
          <w:i/>
        </w:rPr>
        <w:t>ndard (Australian Design Rule—</w:t>
      </w:r>
      <w:r w:rsidRPr="008C01AC">
        <w:rPr>
          <w:i/>
        </w:rPr>
        <w:t>Definitions and Vehicle Categories) 2005</w:t>
      </w:r>
      <w:r>
        <w:rPr>
          <w:i/>
        </w:rPr>
        <w:t xml:space="preserve">. </w:t>
      </w:r>
    </w:p>
    <w:p w14:paraId="543AF686" w14:textId="77777777" w:rsidR="00EA20C5" w:rsidRDefault="00EA20C5" w:rsidP="00EA20C5">
      <w:pPr>
        <w:pStyle w:val="SubsectionHead"/>
      </w:pPr>
      <w:r>
        <w:t xml:space="preserve">Differences concerning internal combustion engine </w:t>
      </w:r>
    </w:p>
    <w:p w14:paraId="75105E20" w14:textId="77777777" w:rsidR="00042F4E" w:rsidRDefault="00042F4E" w:rsidP="00042F4E">
      <w:pPr>
        <w:pStyle w:val="subsection"/>
      </w:pPr>
      <w:r>
        <w:tab/>
        <w:t>(</w:t>
      </w:r>
      <w:r w:rsidR="00831323">
        <w:t>2</w:t>
      </w:r>
      <w:r>
        <w:t>)</w:t>
      </w:r>
      <w:r>
        <w:tab/>
      </w:r>
      <w:r w:rsidR="001569E4">
        <w:t>For a vehicle with an internal combustion engine,</w:t>
      </w:r>
      <w:r w:rsidR="006F6713">
        <w:t xml:space="preserve"> the following</w:t>
      </w:r>
      <w:r w:rsidR="001569E4">
        <w:t xml:space="preserve"> differences in design characteristics are significant:</w:t>
      </w:r>
    </w:p>
    <w:p w14:paraId="0FF7DD9A" w14:textId="77777777" w:rsidR="006F6713" w:rsidRDefault="006F6713" w:rsidP="001569E4">
      <w:pPr>
        <w:pStyle w:val="paragraph"/>
      </w:pPr>
      <w:r>
        <w:tab/>
        <w:t>(</w:t>
      </w:r>
      <w:r w:rsidR="00831323">
        <w:t>a</w:t>
      </w:r>
      <w:r>
        <w:t>)</w:t>
      </w:r>
      <w:r>
        <w:tab/>
        <w:t>th</w:t>
      </w:r>
      <w:r w:rsidR="00D704AE">
        <w:t>e use of a different fuel type (unless the only difference is in fuel grade)</w:t>
      </w:r>
      <w:r>
        <w:t>;</w:t>
      </w:r>
    </w:p>
    <w:p w14:paraId="32FD06AE" w14:textId="77777777" w:rsidR="006F6713" w:rsidRDefault="006F6713" w:rsidP="001569E4">
      <w:pPr>
        <w:pStyle w:val="paragraph"/>
      </w:pPr>
      <w:r>
        <w:tab/>
        <w:t>(</w:t>
      </w:r>
      <w:r w:rsidR="00831323">
        <w:t>b</w:t>
      </w:r>
      <w:r>
        <w:t>)</w:t>
      </w:r>
      <w:r>
        <w:tab/>
        <w:t>a difference in engine capacity of:</w:t>
      </w:r>
    </w:p>
    <w:p w14:paraId="2FF621B8" w14:textId="77777777" w:rsidR="006F6713" w:rsidRDefault="006F6713" w:rsidP="006F6713">
      <w:pPr>
        <w:pStyle w:val="parasub"/>
      </w:pPr>
      <w:r>
        <w:tab/>
        <w:t>(i)</w:t>
      </w:r>
      <w:r>
        <w:tab/>
        <w:t>30</w:t>
      </w:r>
      <w:r w:rsidR="007E3BD6">
        <w:t>%</w:t>
      </w:r>
      <w:r>
        <w:t xml:space="preserve"> or more for an L-group vehicle; or</w:t>
      </w:r>
    </w:p>
    <w:p w14:paraId="107867E3" w14:textId="77777777" w:rsidR="006F6713" w:rsidRDefault="006F6713" w:rsidP="006F6713">
      <w:pPr>
        <w:pStyle w:val="parasub"/>
      </w:pPr>
      <w:r>
        <w:tab/>
        <w:t>(ii)</w:t>
      </w:r>
      <w:r>
        <w:tab/>
        <w:t>20</w:t>
      </w:r>
      <w:r w:rsidR="007E3BD6">
        <w:t>%</w:t>
      </w:r>
      <w:r>
        <w:t xml:space="preserve"> or more for </w:t>
      </w:r>
      <w:r w:rsidR="00EB0738">
        <w:t>an</w:t>
      </w:r>
      <w:r>
        <w:t xml:space="preserve"> M-group vehicle. </w:t>
      </w:r>
    </w:p>
    <w:p w14:paraId="76363359" w14:textId="77777777" w:rsidR="006F6713" w:rsidRDefault="006F6713" w:rsidP="006F6713">
      <w:pPr>
        <w:pStyle w:val="notetext"/>
      </w:pPr>
      <w:r>
        <w:t>Example:</w:t>
      </w:r>
      <w:r>
        <w:tab/>
        <w:t>For paragraph (</w:t>
      </w:r>
      <w:r w:rsidR="00831323">
        <w:t>2</w:t>
      </w:r>
      <w:r>
        <w:t>)(</w:t>
      </w:r>
      <w:r w:rsidR="00831323">
        <w:t>a</w:t>
      </w:r>
      <w:r>
        <w:t>), a</w:t>
      </w:r>
      <w:r w:rsidR="00705F09">
        <w:t>n</w:t>
      </w:r>
      <w:r>
        <w:t xml:space="preserve"> engine that runs on diesel uses a different fuel type to an engine that runs on LPG. However, a difference in fuel grade is not </w:t>
      </w:r>
      <w:r w:rsidR="0020150C">
        <w:t>captured</w:t>
      </w:r>
      <w:r>
        <w:t xml:space="preserve"> – for example, an engine that runs on regular unleaded as compared to premium unleaded petrol. </w:t>
      </w:r>
    </w:p>
    <w:p w14:paraId="185CCCE7" w14:textId="77777777" w:rsidR="00C8314D" w:rsidRDefault="00C8314D" w:rsidP="00C8314D">
      <w:pPr>
        <w:pStyle w:val="SubsectionHead"/>
      </w:pPr>
      <w:r>
        <w:t xml:space="preserve">Difference in maximum range of electric vehicle </w:t>
      </w:r>
    </w:p>
    <w:p w14:paraId="3B2D7F3A" w14:textId="77777777" w:rsidR="005174BE" w:rsidRDefault="00D704AE" w:rsidP="006467D5">
      <w:pPr>
        <w:pStyle w:val="subsection"/>
      </w:pPr>
      <w:r>
        <w:tab/>
      </w:r>
      <w:r w:rsidR="006467D5">
        <w:t>(</w:t>
      </w:r>
      <w:r w:rsidR="00831323">
        <w:t>3</w:t>
      </w:r>
      <w:r w:rsidR="006467D5">
        <w:t>)</w:t>
      </w:r>
      <w:r w:rsidR="006467D5">
        <w:tab/>
        <w:t xml:space="preserve">For an electric-only vehicle, a difference </w:t>
      </w:r>
      <w:r w:rsidR="00E40B3F">
        <w:t xml:space="preserve">of </w:t>
      </w:r>
      <w:r w:rsidR="00D00DBA">
        <w:t>10</w:t>
      </w:r>
      <w:r w:rsidR="00E40B3F">
        <w:t xml:space="preserve">% or more </w:t>
      </w:r>
      <w:r w:rsidR="006467D5">
        <w:t>in the maximum driving range from a single charge is significant.</w:t>
      </w:r>
    </w:p>
    <w:p w14:paraId="5B76AE95" w14:textId="77777777" w:rsidR="00596CBD" w:rsidRDefault="003223B2" w:rsidP="00596CBD">
      <w:pPr>
        <w:pStyle w:val="SubsectionHead"/>
      </w:pPr>
      <w:r>
        <w:t xml:space="preserve">Increase </w:t>
      </w:r>
      <w:r w:rsidR="00596CBD">
        <w:t>in maximum power</w:t>
      </w:r>
    </w:p>
    <w:p w14:paraId="73147426" w14:textId="77777777" w:rsidR="006467D5" w:rsidRDefault="006467D5" w:rsidP="006467D5">
      <w:pPr>
        <w:pStyle w:val="subsection"/>
      </w:pPr>
      <w:r>
        <w:tab/>
        <w:t>(</w:t>
      </w:r>
      <w:r w:rsidR="00831323">
        <w:t>4</w:t>
      </w:r>
      <w:r>
        <w:t>)</w:t>
      </w:r>
      <w:r>
        <w:tab/>
        <w:t xml:space="preserve">A </w:t>
      </w:r>
      <w:r w:rsidR="00E40B3F">
        <w:t xml:space="preserve">difference </w:t>
      </w:r>
      <w:r w:rsidR="00831323">
        <w:t xml:space="preserve">that consists of an increase </w:t>
      </w:r>
      <w:r w:rsidR="00E40B3F">
        <w:t xml:space="preserve">in maximum power </w:t>
      </w:r>
      <w:r w:rsidRPr="006467D5">
        <w:t>of at least 30% is significant.</w:t>
      </w:r>
    </w:p>
    <w:p w14:paraId="72B8D6D4" w14:textId="77777777" w:rsidR="00DE4382" w:rsidRDefault="00DE4382" w:rsidP="00DE4382">
      <w:pPr>
        <w:pStyle w:val="SubsectionHead"/>
      </w:pPr>
      <w:r>
        <w:t xml:space="preserve">Difference in number of seating positions </w:t>
      </w:r>
    </w:p>
    <w:p w14:paraId="38167B20" w14:textId="77777777" w:rsidR="007C23D2" w:rsidRDefault="00DE4382" w:rsidP="007C23D2">
      <w:pPr>
        <w:pStyle w:val="subsection"/>
      </w:pPr>
      <w:r>
        <w:tab/>
        <w:t>(</w:t>
      </w:r>
      <w:r w:rsidR="00831323">
        <w:t>5</w:t>
      </w:r>
      <w:r>
        <w:t>)</w:t>
      </w:r>
      <w:r>
        <w:tab/>
      </w:r>
      <w:r w:rsidR="007C23D2">
        <w:t xml:space="preserve">A </w:t>
      </w:r>
      <w:r w:rsidR="007C23D2" w:rsidRPr="00E40B3F">
        <w:t>difference of at least 50% in the maximum number of seating positions, as compared to other vehicles of the relevant model of road vehicle that are available in Australia, is significant</w:t>
      </w:r>
      <w:r w:rsidR="007C23D2">
        <w:t>.</w:t>
      </w:r>
    </w:p>
    <w:p w14:paraId="517E5B0F" w14:textId="77777777" w:rsidR="007C23D2" w:rsidRPr="00231759" w:rsidRDefault="007C23D2" w:rsidP="007C23D2">
      <w:pPr>
        <w:pStyle w:val="notetext"/>
      </w:pPr>
      <w:r>
        <w:t>Example:</w:t>
      </w:r>
      <w:r>
        <w:tab/>
        <w:t xml:space="preserve">A 3-seater vehicle has 50% more seats than a 2-seater vehicle available in Australia. A 2-seater vehicle has 50% fewer seats than a 4-seater vehicle available in Australia. </w:t>
      </w:r>
    </w:p>
    <w:p w14:paraId="77781F85" w14:textId="77777777" w:rsidR="007C23D2" w:rsidRDefault="007C23D2" w:rsidP="007C23D2">
      <w:pPr>
        <w:pStyle w:val="subsection"/>
        <w:ind w:left="2155"/>
        <w:rPr>
          <w:i/>
        </w:rPr>
      </w:pPr>
    </w:p>
    <w:p w14:paraId="565E1FAF" w14:textId="77777777" w:rsidR="00596CBD" w:rsidRPr="005039A4" w:rsidRDefault="00596CBD" w:rsidP="007C23D2">
      <w:pPr>
        <w:pStyle w:val="subsection"/>
        <w:ind w:left="2155"/>
        <w:rPr>
          <w:i/>
        </w:rPr>
      </w:pPr>
      <w:r w:rsidRPr="005039A4">
        <w:rPr>
          <w:i/>
        </w:rPr>
        <w:lastRenderedPageBreak/>
        <w:t>Difference in</w:t>
      </w:r>
      <w:r w:rsidR="00DA0A52" w:rsidRPr="005039A4">
        <w:rPr>
          <w:i/>
        </w:rPr>
        <w:t xml:space="preserve"> </w:t>
      </w:r>
      <w:r w:rsidR="00F37227" w:rsidRPr="005039A4">
        <w:rPr>
          <w:i/>
        </w:rPr>
        <w:t xml:space="preserve">number of steered axles </w:t>
      </w:r>
    </w:p>
    <w:p w14:paraId="73F26BD7" w14:textId="77777777" w:rsidR="006467D5" w:rsidRPr="00831323" w:rsidRDefault="006467D5" w:rsidP="006467D5">
      <w:pPr>
        <w:pStyle w:val="subsection"/>
      </w:pPr>
      <w:r w:rsidRPr="00831323">
        <w:tab/>
      </w:r>
      <w:r w:rsidR="00DE4382" w:rsidRPr="00831323">
        <w:t>(</w:t>
      </w:r>
      <w:r w:rsidR="00831323" w:rsidRPr="00831323">
        <w:t>6</w:t>
      </w:r>
      <w:r w:rsidRPr="00831323">
        <w:t>)</w:t>
      </w:r>
      <w:r w:rsidRPr="00831323">
        <w:tab/>
      </w:r>
      <w:r w:rsidR="00831323">
        <w:t>A difference</w:t>
      </w:r>
      <w:r w:rsidRPr="00831323">
        <w:t xml:space="preserve"> in the </w:t>
      </w:r>
      <w:r w:rsidR="00831323">
        <w:t xml:space="preserve">number of steered axles </w:t>
      </w:r>
      <w:r w:rsidR="00F37227">
        <w:t xml:space="preserve">is </w:t>
      </w:r>
      <w:r w:rsidRPr="00831323">
        <w:t>significant</w:t>
      </w:r>
      <w:r w:rsidR="00831323">
        <w:t>.</w:t>
      </w:r>
    </w:p>
    <w:p w14:paraId="36200D32" w14:textId="77777777" w:rsidR="00B23BCE" w:rsidRDefault="00D54E39" w:rsidP="00B23BCE">
      <w:pPr>
        <w:pStyle w:val="ActHead5"/>
      </w:pPr>
      <w:bookmarkStart w:id="14" w:name="_Toc66792166"/>
      <w:r>
        <w:rPr>
          <w:rStyle w:val="CharSectno"/>
        </w:rPr>
        <w:t>8</w:t>
      </w:r>
      <w:r w:rsidR="00B23BCE">
        <w:t xml:space="preserve">  Significant differences—</w:t>
      </w:r>
      <w:r w:rsidR="007C1CB2">
        <w:t xml:space="preserve">MD, </w:t>
      </w:r>
      <w:r w:rsidR="007C1CB2" w:rsidRPr="007C1CB2">
        <w:t xml:space="preserve">ME </w:t>
      </w:r>
      <w:r w:rsidR="00EA77E7" w:rsidRPr="007C1CB2">
        <w:t>(</w:t>
      </w:r>
      <w:r w:rsidR="00EA77E7">
        <w:t>with a gross vehicle mass of</w:t>
      </w:r>
      <w:r w:rsidR="00EA77E7" w:rsidRPr="007C1CB2">
        <w:t xml:space="preserve"> </w:t>
      </w:r>
      <w:r w:rsidR="007C1CB2" w:rsidRPr="007C1CB2">
        <w:t>12 tonnes</w:t>
      </w:r>
      <w:r w:rsidR="00EA77E7">
        <w:t xml:space="preserve"> or less</w:t>
      </w:r>
      <w:r w:rsidR="007C1CB2" w:rsidRPr="007C1CB2">
        <w:t>), NA and NB</w:t>
      </w:r>
      <w:r w:rsidR="007C1CB2">
        <w:t xml:space="preserve"> </w:t>
      </w:r>
      <w:r w:rsidR="00B23BCE">
        <w:t>category vehicles</w:t>
      </w:r>
      <w:bookmarkEnd w:id="14"/>
    </w:p>
    <w:p w14:paraId="06A6F4D5" w14:textId="77777777" w:rsidR="00AD022B" w:rsidRPr="00EA20C5" w:rsidRDefault="00AD022B" w:rsidP="00AD022B">
      <w:pPr>
        <w:pStyle w:val="SubsectionHead"/>
      </w:pPr>
      <w:r>
        <w:t xml:space="preserve">Application of this section </w:t>
      </w:r>
    </w:p>
    <w:p w14:paraId="4E0B55A9" w14:textId="77777777" w:rsidR="00BB140F" w:rsidRDefault="00BB140F" w:rsidP="00BB140F">
      <w:pPr>
        <w:pStyle w:val="subsection"/>
      </w:pPr>
      <w:r>
        <w:tab/>
        <w:t>(1)</w:t>
      </w:r>
      <w:r>
        <w:tab/>
        <w:t xml:space="preserve">This section applies to vehicles in the following vehicle categories: </w:t>
      </w:r>
    </w:p>
    <w:p w14:paraId="23E21CC6" w14:textId="77777777" w:rsidR="00BB140F" w:rsidRDefault="00BB140F" w:rsidP="00BB140F">
      <w:pPr>
        <w:pStyle w:val="paragraph"/>
      </w:pPr>
      <w:r>
        <w:tab/>
        <w:t>(a)</w:t>
      </w:r>
      <w:r>
        <w:tab/>
      </w:r>
      <w:r w:rsidR="0057624C">
        <w:t>light omnibus (</w:t>
      </w:r>
      <w:r>
        <w:t>MD</w:t>
      </w:r>
      <w:r w:rsidR="0057624C">
        <w:t>)</w:t>
      </w:r>
      <w:r>
        <w:t xml:space="preserve">; </w:t>
      </w:r>
    </w:p>
    <w:p w14:paraId="34768C61" w14:textId="77777777" w:rsidR="00BB140F" w:rsidRDefault="00BB140F" w:rsidP="00BB140F">
      <w:pPr>
        <w:pStyle w:val="paragraph"/>
      </w:pPr>
      <w:r>
        <w:tab/>
        <w:t>(b)</w:t>
      </w:r>
      <w:r>
        <w:tab/>
      </w:r>
      <w:r w:rsidR="0057624C">
        <w:t>heavy omnibus (</w:t>
      </w:r>
      <w:r>
        <w:t>ME</w:t>
      </w:r>
      <w:r w:rsidR="0057624C">
        <w:t xml:space="preserve">), </w:t>
      </w:r>
      <w:r w:rsidR="00E05E12">
        <w:t>where</w:t>
      </w:r>
      <w:r w:rsidR="0057624C">
        <w:t xml:space="preserve"> the gross vehicle mass is 12 tonnes or less; </w:t>
      </w:r>
    </w:p>
    <w:p w14:paraId="42F444C6" w14:textId="77777777" w:rsidR="00BB140F" w:rsidRDefault="00BB140F" w:rsidP="00BB140F">
      <w:pPr>
        <w:pStyle w:val="paragraph"/>
      </w:pPr>
      <w:r>
        <w:tab/>
        <w:t>(c)</w:t>
      </w:r>
      <w:r>
        <w:tab/>
      </w:r>
      <w:r w:rsidR="0057624C">
        <w:t>light goods vehicle (</w:t>
      </w:r>
      <w:r>
        <w:t>NA</w:t>
      </w:r>
      <w:r w:rsidR="0057624C">
        <w:t>)</w:t>
      </w:r>
      <w:r>
        <w:t>;</w:t>
      </w:r>
    </w:p>
    <w:p w14:paraId="2FFF2A1C" w14:textId="77777777" w:rsidR="00BB140F" w:rsidRPr="00D72AFB" w:rsidRDefault="00BB140F" w:rsidP="00BB140F">
      <w:pPr>
        <w:pStyle w:val="paragraph"/>
      </w:pPr>
      <w:r>
        <w:tab/>
        <w:t>(d)</w:t>
      </w:r>
      <w:r>
        <w:tab/>
      </w:r>
      <w:r w:rsidR="0057624C">
        <w:t>medium goods vehicle (</w:t>
      </w:r>
      <w:r>
        <w:t>NB</w:t>
      </w:r>
      <w:r w:rsidR="0057624C">
        <w:t>).</w:t>
      </w:r>
      <w:r w:rsidR="00446848" w:rsidRPr="00D72AFB">
        <w:t xml:space="preserve"> </w:t>
      </w:r>
    </w:p>
    <w:p w14:paraId="6AFF4744" w14:textId="77777777" w:rsidR="00AD022B" w:rsidRDefault="00AD022B" w:rsidP="00AD022B">
      <w:pPr>
        <w:pStyle w:val="SubsectionHead"/>
      </w:pPr>
      <w:r>
        <w:t xml:space="preserve">Differences concerning internal combustion engine </w:t>
      </w:r>
    </w:p>
    <w:p w14:paraId="5E5DE666" w14:textId="77777777" w:rsidR="00E05E12" w:rsidRDefault="00AD022B" w:rsidP="00E05E12">
      <w:pPr>
        <w:pStyle w:val="subsection"/>
      </w:pPr>
      <w:r>
        <w:tab/>
        <w:t>(</w:t>
      </w:r>
      <w:r w:rsidR="00F37227">
        <w:t>2</w:t>
      </w:r>
      <w:r w:rsidR="00E05E12">
        <w:t>)</w:t>
      </w:r>
      <w:r w:rsidR="00E05E12">
        <w:tab/>
        <w:t>For a vehicle with an internal combustion engine, the following differences in design characteristics are significant:</w:t>
      </w:r>
    </w:p>
    <w:p w14:paraId="535CCA12" w14:textId="77777777" w:rsidR="00AD022B" w:rsidRDefault="00AD022B" w:rsidP="00AD022B">
      <w:pPr>
        <w:pStyle w:val="paragraph"/>
      </w:pPr>
      <w:r>
        <w:tab/>
        <w:t>(</w:t>
      </w:r>
      <w:r w:rsidR="00F37227">
        <w:t>a</w:t>
      </w:r>
      <w:r>
        <w:t>)</w:t>
      </w:r>
      <w:r>
        <w:tab/>
        <w:t>the use of a different fuel type (unless the only difference is in fuel grade);</w:t>
      </w:r>
    </w:p>
    <w:p w14:paraId="29C0E769" w14:textId="77777777" w:rsidR="00E05E12" w:rsidRDefault="00E05E12" w:rsidP="00E05E12">
      <w:pPr>
        <w:pStyle w:val="paragraph"/>
      </w:pPr>
      <w:r>
        <w:tab/>
        <w:t>(</w:t>
      </w:r>
      <w:r w:rsidR="00F37227">
        <w:t>b</w:t>
      </w:r>
      <w:r>
        <w:t>)</w:t>
      </w:r>
      <w:r>
        <w:tab/>
        <w:t xml:space="preserve">a difference in engine capacity of </w:t>
      </w:r>
      <w:r w:rsidR="00D00DBA">
        <w:t>5</w:t>
      </w:r>
      <w:r>
        <w:t xml:space="preserve">0% or more.  </w:t>
      </w:r>
    </w:p>
    <w:p w14:paraId="687A7CEF" w14:textId="77777777" w:rsidR="00E05E12" w:rsidRDefault="00AD022B" w:rsidP="00E05E12">
      <w:pPr>
        <w:pStyle w:val="notetext"/>
      </w:pPr>
      <w:r>
        <w:t>Example</w:t>
      </w:r>
      <w:r w:rsidR="00E05E12">
        <w:t>:</w:t>
      </w:r>
      <w:r w:rsidR="00E05E12">
        <w:tab/>
        <w:t>For paragraph (</w:t>
      </w:r>
      <w:r w:rsidR="00F37227">
        <w:t>2</w:t>
      </w:r>
      <w:r w:rsidR="00E05E12">
        <w:t>)(</w:t>
      </w:r>
      <w:r w:rsidR="00F37227">
        <w:t>a</w:t>
      </w:r>
      <w:r w:rsidR="00E05E12">
        <w:t>), a</w:t>
      </w:r>
      <w:r w:rsidR="0064022F">
        <w:t>n</w:t>
      </w:r>
      <w:r w:rsidR="00E05E12">
        <w:t xml:space="preserve"> engine that runs on diesel uses a different fuel type to an engine that runs on LPG. However, a difference in fuel grade is not </w:t>
      </w:r>
      <w:r w:rsidR="00D12ACB">
        <w:t>captured</w:t>
      </w:r>
      <w:r w:rsidR="00E05E12">
        <w:t xml:space="preserve"> – for example, an engine that runs on regular unleaded as compared to premium unleaded petrol. </w:t>
      </w:r>
    </w:p>
    <w:p w14:paraId="3E17DC34" w14:textId="77777777" w:rsidR="00AD022B" w:rsidRDefault="00AD022B" w:rsidP="00AD022B">
      <w:pPr>
        <w:pStyle w:val="SubsectionHead"/>
      </w:pPr>
      <w:r>
        <w:t xml:space="preserve">Difference in maximum range of electric vehicle </w:t>
      </w:r>
    </w:p>
    <w:p w14:paraId="346788A3" w14:textId="77777777" w:rsidR="00BC0FBF" w:rsidRDefault="00BC0FBF" w:rsidP="00BC0FBF">
      <w:pPr>
        <w:pStyle w:val="subsection"/>
      </w:pPr>
      <w:r>
        <w:tab/>
        <w:t>(</w:t>
      </w:r>
      <w:r w:rsidR="00F37227">
        <w:t>3</w:t>
      </w:r>
      <w:r>
        <w:t>)</w:t>
      </w:r>
      <w:r>
        <w:tab/>
        <w:t xml:space="preserve">For an electric-only vehicle, a difference of </w:t>
      </w:r>
      <w:r w:rsidR="00D00DBA">
        <w:t>10</w:t>
      </w:r>
      <w:r>
        <w:t>% or more in the maximum driving range from a single charge is significant.</w:t>
      </w:r>
    </w:p>
    <w:p w14:paraId="02F1B594" w14:textId="77777777" w:rsidR="00BF6156" w:rsidRDefault="003223B2" w:rsidP="00BF6156">
      <w:pPr>
        <w:pStyle w:val="SubsectionHead"/>
      </w:pPr>
      <w:r>
        <w:t xml:space="preserve">Increase </w:t>
      </w:r>
      <w:r w:rsidR="00BF6156">
        <w:t>in maximum power</w:t>
      </w:r>
    </w:p>
    <w:p w14:paraId="0DCF9283" w14:textId="77777777" w:rsidR="00E05E12" w:rsidRDefault="00E05E12" w:rsidP="00E05E12">
      <w:pPr>
        <w:pStyle w:val="subsection"/>
      </w:pPr>
      <w:r>
        <w:tab/>
        <w:t>(</w:t>
      </w:r>
      <w:r w:rsidR="00F37227">
        <w:t>4</w:t>
      </w:r>
      <w:r>
        <w:t>)</w:t>
      </w:r>
      <w:r>
        <w:tab/>
        <w:t xml:space="preserve">A </w:t>
      </w:r>
      <w:r w:rsidR="00BF6156">
        <w:t xml:space="preserve">difference </w:t>
      </w:r>
      <w:r w:rsidR="00F37227">
        <w:t xml:space="preserve">that consists of an increase </w:t>
      </w:r>
      <w:r w:rsidR="00BF6156">
        <w:t>in maximum power o</w:t>
      </w:r>
      <w:r>
        <w:t>f at least 5</w:t>
      </w:r>
      <w:r w:rsidRPr="006467D5">
        <w:t>0% is significant.</w:t>
      </w:r>
    </w:p>
    <w:p w14:paraId="6F34515A" w14:textId="77777777" w:rsidR="00D900CF" w:rsidRDefault="00D900CF" w:rsidP="00D900CF">
      <w:pPr>
        <w:pStyle w:val="SubsectionHead"/>
      </w:pPr>
      <w:r>
        <w:t xml:space="preserve">Difference in number of seating positions </w:t>
      </w:r>
    </w:p>
    <w:p w14:paraId="4521EF84" w14:textId="77777777" w:rsidR="007C23D2" w:rsidRDefault="00D900CF" w:rsidP="007C23D2">
      <w:pPr>
        <w:pStyle w:val="subsection"/>
      </w:pPr>
      <w:r>
        <w:tab/>
        <w:t>(</w:t>
      </w:r>
      <w:r w:rsidR="00F37227">
        <w:t>5</w:t>
      </w:r>
      <w:r>
        <w:t>)</w:t>
      </w:r>
      <w:r>
        <w:tab/>
      </w:r>
      <w:r w:rsidR="007C23D2">
        <w:t xml:space="preserve">A </w:t>
      </w:r>
      <w:r w:rsidR="007C23D2" w:rsidRPr="00E40B3F">
        <w:t>difference of at least 50% in the maximum number of seating positions, as compared to other vehicles of the relevant model of road vehicle that are available in Australia, is significant</w:t>
      </w:r>
      <w:r w:rsidR="007C23D2">
        <w:t>.</w:t>
      </w:r>
    </w:p>
    <w:p w14:paraId="41EE84AD" w14:textId="77777777" w:rsidR="007C23D2" w:rsidRPr="00231759" w:rsidRDefault="007C23D2" w:rsidP="007C23D2">
      <w:pPr>
        <w:pStyle w:val="notetext"/>
      </w:pPr>
      <w:r>
        <w:t>Example:</w:t>
      </w:r>
      <w:r>
        <w:tab/>
        <w:t xml:space="preserve">A 3-seater vehicle has 50% more seats than a 2-seater vehicle available in Australia. A 2-seater vehicle has 50% fewer seats than a 4-seater vehicle available in Australia. </w:t>
      </w:r>
    </w:p>
    <w:p w14:paraId="7664C5FF" w14:textId="77777777" w:rsidR="00F37227" w:rsidRDefault="00F37227" w:rsidP="00F37227">
      <w:pPr>
        <w:pStyle w:val="SubsectionHead"/>
      </w:pPr>
      <w:r>
        <w:t xml:space="preserve">Difference in number of steered axles </w:t>
      </w:r>
    </w:p>
    <w:p w14:paraId="130CD016" w14:textId="77777777" w:rsidR="00F37227" w:rsidRPr="00831323" w:rsidRDefault="00F37227" w:rsidP="00F37227">
      <w:pPr>
        <w:pStyle w:val="subsection"/>
      </w:pPr>
      <w:r w:rsidRPr="00831323">
        <w:tab/>
        <w:t>(6)</w:t>
      </w:r>
      <w:r w:rsidRPr="00831323">
        <w:tab/>
      </w:r>
      <w:r>
        <w:t>A difference</w:t>
      </w:r>
      <w:r w:rsidRPr="00831323">
        <w:t xml:space="preserve"> in the </w:t>
      </w:r>
      <w:r>
        <w:t xml:space="preserve">number of steered axles is </w:t>
      </w:r>
      <w:r w:rsidRPr="00831323">
        <w:t>significant</w:t>
      </w:r>
      <w:r>
        <w:t>.</w:t>
      </w:r>
    </w:p>
    <w:p w14:paraId="6D9786A0" w14:textId="77777777" w:rsidR="00E05E12" w:rsidRDefault="00D54E39" w:rsidP="00E05E12">
      <w:pPr>
        <w:pStyle w:val="ActHead5"/>
      </w:pPr>
      <w:bookmarkStart w:id="15" w:name="_Toc66792167"/>
      <w:r>
        <w:rPr>
          <w:rStyle w:val="CharSectno"/>
        </w:rPr>
        <w:lastRenderedPageBreak/>
        <w:t>9</w:t>
      </w:r>
      <w:r w:rsidR="00E05E12">
        <w:t xml:space="preserve">  Significant differences—</w:t>
      </w:r>
      <w:r w:rsidR="00E05E12" w:rsidRPr="007C1CB2">
        <w:t xml:space="preserve">ME </w:t>
      </w:r>
      <w:r w:rsidR="00EA77E7" w:rsidRPr="00EC105E">
        <w:t>(</w:t>
      </w:r>
      <w:r w:rsidR="00EC105E">
        <w:t xml:space="preserve">with a </w:t>
      </w:r>
      <w:r w:rsidR="00EA77E7" w:rsidRPr="00EC105E">
        <w:rPr>
          <w:rFonts w:eastAsia="Arial"/>
          <w:color w:val="000000"/>
          <w:spacing w:val="-1"/>
          <w:lang w:val="en-US"/>
        </w:rPr>
        <w:t>gross vehicle mass greater than</w:t>
      </w:r>
      <w:r w:rsidR="00EA77E7" w:rsidRPr="00EC105E">
        <w:t xml:space="preserve"> </w:t>
      </w:r>
      <w:r w:rsidR="00E05E12" w:rsidRPr="00EC105E">
        <w:t xml:space="preserve">12 </w:t>
      </w:r>
      <w:r w:rsidR="00E05E12">
        <w:t>tonnes) and NC category vehicles</w:t>
      </w:r>
      <w:bookmarkEnd w:id="15"/>
    </w:p>
    <w:p w14:paraId="69148F86" w14:textId="77777777" w:rsidR="00F12EFB" w:rsidRPr="00EA20C5" w:rsidRDefault="00F12EFB" w:rsidP="00F12EFB">
      <w:pPr>
        <w:pStyle w:val="SubsectionHead"/>
      </w:pPr>
      <w:r>
        <w:t xml:space="preserve">Application of this section </w:t>
      </w:r>
    </w:p>
    <w:p w14:paraId="54D2FAFE" w14:textId="77777777" w:rsidR="00E05E12" w:rsidRDefault="00F12EFB" w:rsidP="00E05E12">
      <w:pPr>
        <w:pStyle w:val="subsection"/>
      </w:pPr>
      <w:r>
        <w:tab/>
      </w:r>
      <w:r w:rsidR="00E05E12">
        <w:t>(1)</w:t>
      </w:r>
      <w:r w:rsidR="00E05E12">
        <w:tab/>
        <w:t xml:space="preserve">This section applies to </w:t>
      </w:r>
      <w:r w:rsidR="00C80309">
        <w:t xml:space="preserve">road </w:t>
      </w:r>
      <w:r w:rsidR="00E05E12">
        <w:t xml:space="preserve">vehicles in the following vehicle categories: </w:t>
      </w:r>
    </w:p>
    <w:p w14:paraId="3CF3D105" w14:textId="77777777" w:rsidR="00E05E12" w:rsidRDefault="00E05E12" w:rsidP="00E05E12">
      <w:pPr>
        <w:pStyle w:val="paragraph"/>
      </w:pPr>
      <w:r>
        <w:tab/>
        <w:t>(a)</w:t>
      </w:r>
      <w:r>
        <w:tab/>
        <w:t xml:space="preserve">heavy omnibus (ME), where the gross vehicle mass </w:t>
      </w:r>
      <w:r w:rsidR="00921EB6">
        <w:t xml:space="preserve">exceeds </w:t>
      </w:r>
      <w:r>
        <w:t xml:space="preserve">12 tonnes; </w:t>
      </w:r>
    </w:p>
    <w:p w14:paraId="70A6721F" w14:textId="77777777" w:rsidR="00E05E12" w:rsidRDefault="00E05E12" w:rsidP="00E05E12">
      <w:pPr>
        <w:pStyle w:val="paragraph"/>
      </w:pPr>
      <w:r>
        <w:tab/>
        <w:t>(b)</w:t>
      </w:r>
      <w:r>
        <w:tab/>
        <w:t>heavy goods vehicle (NC).</w:t>
      </w:r>
    </w:p>
    <w:p w14:paraId="3C751024" w14:textId="77777777" w:rsidR="007B1ABE" w:rsidRDefault="007B1ABE" w:rsidP="007B1ABE">
      <w:pPr>
        <w:pStyle w:val="SubsectionHead"/>
      </w:pPr>
      <w:r>
        <w:t xml:space="preserve">Differences concerning internal combustion engine </w:t>
      </w:r>
    </w:p>
    <w:p w14:paraId="71F8F8BC" w14:textId="77777777" w:rsidR="00E05E12" w:rsidRDefault="007B1ABE" w:rsidP="00E05E12">
      <w:pPr>
        <w:pStyle w:val="subsection"/>
      </w:pPr>
      <w:r>
        <w:tab/>
      </w:r>
      <w:r w:rsidR="00E05E12">
        <w:t>(</w:t>
      </w:r>
      <w:r w:rsidR="00F37227">
        <w:t>2</w:t>
      </w:r>
      <w:r w:rsidR="00E05E12">
        <w:t>)</w:t>
      </w:r>
      <w:r w:rsidR="00E05E12">
        <w:tab/>
        <w:t>For a vehicle with an internal combustion engine, the following differences in design characteristics are significant:</w:t>
      </w:r>
    </w:p>
    <w:p w14:paraId="776B4552" w14:textId="77777777" w:rsidR="00E05E12" w:rsidRDefault="00E05E12" w:rsidP="00E05E12">
      <w:pPr>
        <w:pStyle w:val="paragraph"/>
      </w:pPr>
      <w:r>
        <w:tab/>
        <w:t>(a)</w:t>
      </w:r>
      <w:r>
        <w:tab/>
        <w:t>a difference in engine configuration (including a difference in the number or arrangement of cylinders);</w:t>
      </w:r>
    </w:p>
    <w:p w14:paraId="694F52E6" w14:textId="77777777" w:rsidR="00E05E12" w:rsidRDefault="00E05E12" w:rsidP="00E05E12">
      <w:pPr>
        <w:pStyle w:val="paragraph"/>
      </w:pPr>
      <w:r>
        <w:tab/>
        <w:t>(b)</w:t>
      </w:r>
      <w:r>
        <w:tab/>
        <w:t>the use of a different fuel type (</w:t>
      </w:r>
      <w:r w:rsidR="007B1ABE">
        <w:t>unless the only difference is in fuel grade</w:t>
      </w:r>
      <w:r>
        <w:t>);</w:t>
      </w:r>
    </w:p>
    <w:p w14:paraId="232C21FD" w14:textId="77777777" w:rsidR="00E05E12" w:rsidRDefault="00E05E12" w:rsidP="00E05E12">
      <w:pPr>
        <w:pStyle w:val="paragraph"/>
      </w:pPr>
      <w:r>
        <w:tab/>
        <w:t>(c)</w:t>
      </w:r>
      <w:r>
        <w:tab/>
        <w:t xml:space="preserve">a difference in engine capacity of </w:t>
      </w:r>
      <w:r w:rsidR="00D00DBA">
        <w:t>5</w:t>
      </w:r>
      <w:r>
        <w:t xml:space="preserve">0% or more.  </w:t>
      </w:r>
    </w:p>
    <w:p w14:paraId="6F20B7FB" w14:textId="77777777" w:rsidR="00E05E12" w:rsidRDefault="00E05E12" w:rsidP="00E05E12">
      <w:pPr>
        <w:pStyle w:val="notetext"/>
      </w:pPr>
      <w:r>
        <w:t>Example:</w:t>
      </w:r>
      <w:r>
        <w:tab/>
        <w:t>For paragraph (</w:t>
      </w:r>
      <w:r w:rsidR="00F37227">
        <w:t>2</w:t>
      </w:r>
      <w:r>
        <w:t>)(b), a</w:t>
      </w:r>
      <w:r w:rsidR="0064022F">
        <w:t>n</w:t>
      </w:r>
      <w:r>
        <w:t xml:space="preserve"> engine that runs on diesel uses a different fuel type to an engine that runs on LPG. However, a difference in fuel grade is not </w:t>
      </w:r>
      <w:r w:rsidR="00850A60">
        <w:t>captured</w:t>
      </w:r>
      <w:r>
        <w:t xml:space="preserve"> – for example, an engine that runs on regular unleaded as compared to premium unleaded petrol. </w:t>
      </w:r>
    </w:p>
    <w:p w14:paraId="553F068D" w14:textId="77777777" w:rsidR="007B1ABE" w:rsidRDefault="007B1ABE" w:rsidP="007B1ABE">
      <w:pPr>
        <w:pStyle w:val="SubsectionHead"/>
      </w:pPr>
      <w:r>
        <w:t xml:space="preserve">Difference in maximum range of electric vehicle </w:t>
      </w:r>
    </w:p>
    <w:p w14:paraId="6DEB3E7D" w14:textId="77777777" w:rsidR="00BC0FBF" w:rsidRDefault="00BC0FBF" w:rsidP="00BC0FBF">
      <w:pPr>
        <w:pStyle w:val="subsection"/>
      </w:pPr>
      <w:r>
        <w:tab/>
        <w:t>(</w:t>
      </w:r>
      <w:r w:rsidR="00F37227">
        <w:t>3</w:t>
      </w:r>
      <w:r>
        <w:t>)</w:t>
      </w:r>
      <w:r>
        <w:tab/>
        <w:t xml:space="preserve">For an electric-only vehicle, a difference of </w:t>
      </w:r>
      <w:r w:rsidR="00D00DBA">
        <w:t>10</w:t>
      </w:r>
      <w:r>
        <w:t>% or more in the maximum driving range from a single charge is significant.</w:t>
      </w:r>
    </w:p>
    <w:p w14:paraId="74C9377F" w14:textId="77777777" w:rsidR="007B1ABE" w:rsidRDefault="003223B2" w:rsidP="007B1ABE">
      <w:pPr>
        <w:pStyle w:val="SubsectionHead"/>
      </w:pPr>
      <w:r>
        <w:t xml:space="preserve">Increase </w:t>
      </w:r>
      <w:r w:rsidR="007B1ABE">
        <w:t>in maximum power</w:t>
      </w:r>
    </w:p>
    <w:p w14:paraId="6662E72A" w14:textId="77777777" w:rsidR="007B1ABE" w:rsidRDefault="007B1ABE" w:rsidP="007B1ABE">
      <w:pPr>
        <w:pStyle w:val="subsection"/>
      </w:pPr>
      <w:r>
        <w:tab/>
        <w:t>(</w:t>
      </w:r>
      <w:r w:rsidR="00F37227">
        <w:t>4</w:t>
      </w:r>
      <w:r>
        <w:t>)</w:t>
      </w:r>
      <w:r>
        <w:tab/>
        <w:t xml:space="preserve">A difference </w:t>
      </w:r>
      <w:r w:rsidR="00F37227">
        <w:t xml:space="preserve">that consists of an increase </w:t>
      </w:r>
      <w:r>
        <w:t>in maximum power of at least 5</w:t>
      </w:r>
      <w:r w:rsidRPr="006467D5">
        <w:t>0% is significant.</w:t>
      </w:r>
    </w:p>
    <w:p w14:paraId="7B4B22FA" w14:textId="77777777" w:rsidR="007B1ABE" w:rsidRDefault="007B1ABE" w:rsidP="007B1ABE">
      <w:pPr>
        <w:pStyle w:val="SubsectionHead"/>
      </w:pPr>
      <w:r>
        <w:t xml:space="preserve">Difference in </w:t>
      </w:r>
      <w:r w:rsidR="003223B2">
        <w:t xml:space="preserve">other design characteristics </w:t>
      </w:r>
    </w:p>
    <w:p w14:paraId="0C89C02B" w14:textId="77777777" w:rsidR="00E05E12" w:rsidRDefault="00E05E12" w:rsidP="00E05E12">
      <w:pPr>
        <w:pStyle w:val="subsection"/>
      </w:pPr>
      <w:r>
        <w:tab/>
        <w:t>(</w:t>
      </w:r>
      <w:r w:rsidR="00F37227">
        <w:t>5</w:t>
      </w:r>
      <w:r>
        <w:t>)</w:t>
      </w:r>
      <w:r>
        <w:tab/>
        <w:t>Differences in the following design characteristics are significant:</w:t>
      </w:r>
    </w:p>
    <w:p w14:paraId="1B9DE21A" w14:textId="77777777" w:rsidR="00E05E12" w:rsidRDefault="00E05E12" w:rsidP="00E05E12">
      <w:pPr>
        <w:pStyle w:val="paragraph"/>
      </w:pPr>
      <w:r>
        <w:tab/>
        <w:t>(a)</w:t>
      </w:r>
      <w:r>
        <w:tab/>
      </w:r>
      <w:r w:rsidR="007B1ABE">
        <w:t xml:space="preserve">the </w:t>
      </w:r>
      <w:r>
        <w:t>number or position of powered axles;</w:t>
      </w:r>
    </w:p>
    <w:p w14:paraId="12F7C6EE" w14:textId="77777777" w:rsidR="00E05E12" w:rsidRPr="00D72AFB" w:rsidRDefault="00E05E12" w:rsidP="00E05E12">
      <w:pPr>
        <w:pStyle w:val="paragraph"/>
      </w:pPr>
      <w:r>
        <w:tab/>
        <w:t>(b)</w:t>
      </w:r>
      <w:r>
        <w:tab/>
      </w:r>
      <w:r w:rsidR="007B1ABE">
        <w:t xml:space="preserve">the </w:t>
      </w:r>
      <w:r>
        <w:t xml:space="preserve">number of steered axles; </w:t>
      </w:r>
    </w:p>
    <w:p w14:paraId="469756E0" w14:textId="77777777" w:rsidR="00E05E12" w:rsidRPr="00D72AFB" w:rsidRDefault="00E05E12" w:rsidP="00E05E12">
      <w:pPr>
        <w:pStyle w:val="paragraph"/>
      </w:pPr>
      <w:r>
        <w:tab/>
        <w:t>(c)</w:t>
      </w:r>
      <w:r>
        <w:tab/>
      </w:r>
      <w:r w:rsidR="007B1ABE">
        <w:t xml:space="preserve">the </w:t>
      </w:r>
      <w:r>
        <w:t xml:space="preserve">vehicle category. </w:t>
      </w:r>
    </w:p>
    <w:p w14:paraId="36ECB4FB" w14:textId="77777777" w:rsidR="00E05E12" w:rsidRDefault="00E05E12" w:rsidP="00E05E12">
      <w:pPr>
        <w:pStyle w:val="notetext"/>
      </w:pPr>
      <w:r>
        <w:t>Example:</w:t>
      </w:r>
      <w:r>
        <w:tab/>
        <w:t xml:space="preserve">For paragraph </w:t>
      </w:r>
      <w:r w:rsidR="00850A60">
        <w:t>(</w:t>
      </w:r>
      <w:r w:rsidR="00277A66">
        <w:t>5</w:t>
      </w:r>
      <w:r w:rsidR="00850A60">
        <w:t>)</w:t>
      </w:r>
      <w:r>
        <w:t>(</w:t>
      </w:r>
      <w:r w:rsidR="0043052A">
        <w:t>a</w:t>
      </w:r>
      <w:r>
        <w:t xml:space="preserve">), the powered axles of a front-wheel drive vehicle are in a different position to the powered axles of a rear-wheel drive vehicle. The number of powered axles of an all-wheel drive vehicle is different to the number of powered axles of a rear-wheel drive vehicle. </w:t>
      </w:r>
    </w:p>
    <w:p w14:paraId="31E7C059" w14:textId="77777777" w:rsidR="00FC0AC8" w:rsidRDefault="00D54E39" w:rsidP="00FC0AC8">
      <w:pPr>
        <w:pStyle w:val="ActHead5"/>
      </w:pPr>
      <w:bookmarkStart w:id="16" w:name="_Toc66792168"/>
      <w:r>
        <w:rPr>
          <w:rStyle w:val="CharSectno"/>
        </w:rPr>
        <w:t>10</w:t>
      </w:r>
      <w:r w:rsidR="00FC0AC8">
        <w:t xml:space="preserve">  Circumstances in which combinations of differences are significant</w:t>
      </w:r>
      <w:bookmarkEnd w:id="16"/>
      <w:r w:rsidR="00FC0AC8">
        <w:t xml:space="preserve"> </w:t>
      </w:r>
    </w:p>
    <w:p w14:paraId="22CAF4E5" w14:textId="77777777" w:rsidR="00A903A0" w:rsidRDefault="009848B5" w:rsidP="009848B5">
      <w:pPr>
        <w:pStyle w:val="subsection"/>
      </w:pPr>
      <w:r>
        <w:tab/>
        <w:t>(1)</w:t>
      </w:r>
      <w:r>
        <w:tab/>
      </w:r>
      <w:r w:rsidR="00A903A0">
        <w:t xml:space="preserve">Differences in the design characteristics of </w:t>
      </w:r>
      <w:r w:rsidR="00C80309">
        <w:t xml:space="preserve">road </w:t>
      </w:r>
      <w:r w:rsidR="00A903A0">
        <w:t xml:space="preserve">vehicles </w:t>
      </w:r>
      <w:r w:rsidR="00C00EAC">
        <w:t>are</w:t>
      </w:r>
      <w:r w:rsidR="00A903A0">
        <w:t xml:space="preserve"> significant for the purposes of subsection 128(1) where multiple differences that are not, of themselves, significant, are significant when considered in combination.</w:t>
      </w:r>
    </w:p>
    <w:p w14:paraId="5F21B182" w14:textId="77777777" w:rsidR="00365495" w:rsidRDefault="00365495" w:rsidP="00365495">
      <w:pPr>
        <w:pStyle w:val="notetext"/>
      </w:pPr>
      <w:r>
        <w:lastRenderedPageBreak/>
        <w:t>Note:</w:t>
      </w:r>
      <w:r>
        <w:tab/>
        <w:t xml:space="preserve">Subsections 128(4) and (6) </w:t>
      </w:r>
      <w:r w:rsidR="00140941">
        <w:t xml:space="preserve">of the Rules set out differences in design characteristics of road vehicles that, considered individually, are not significant. </w:t>
      </w:r>
    </w:p>
    <w:p w14:paraId="2AA3AA89" w14:textId="77777777" w:rsidR="006A7786" w:rsidRDefault="009B7A6E" w:rsidP="006A7786">
      <w:pPr>
        <w:pStyle w:val="subsection"/>
      </w:pPr>
      <w:r>
        <w:rPr>
          <w:rStyle w:val="subsectionChar"/>
        </w:rPr>
        <w:tab/>
      </w:r>
      <w:r w:rsidR="006A7786" w:rsidRPr="00944303">
        <w:rPr>
          <w:rStyle w:val="subsectionChar"/>
        </w:rPr>
        <w:t>(2)</w:t>
      </w:r>
      <w:r w:rsidR="006A7786" w:rsidRPr="00944303">
        <w:rPr>
          <w:rStyle w:val="subsectionChar"/>
        </w:rPr>
        <w:tab/>
      </w:r>
      <w:r w:rsidR="006A7786">
        <w:rPr>
          <w:rStyle w:val="subsectionChar"/>
        </w:rPr>
        <w:t>Without limiting subsection (1), t</w:t>
      </w:r>
      <w:r w:rsidR="006A7786" w:rsidRPr="00944303">
        <w:rPr>
          <w:rStyle w:val="subsectionChar"/>
        </w:rPr>
        <w:t xml:space="preserve">he significance of differences, when considered in combination, </w:t>
      </w:r>
      <w:r w:rsidR="006A7786">
        <w:t>must be assessed by reference to:</w:t>
      </w:r>
    </w:p>
    <w:p w14:paraId="63D2093B" w14:textId="77777777" w:rsidR="006A7786" w:rsidRDefault="006A7786" w:rsidP="006A7786">
      <w:pPr>
        <w:pStyle w:val="paragraph"/>
      </w:pPr>
      <w:r>
        <w:tab/>
        <w:t>(a)</w:t>
      </w:r>
      <w:r>
        <w:tab/>
        <w:t>their impact on:</w:t>
      </w:r>
    </w:p>
    <w:p w14:paraId="0BB916DF" w14:textId="77777777" w:rsidR="006A7786" w:rsidRDefault="006A7786" w:rsidP="006A7786">
      <w:pPr>
        <w:pStyle w:val="parasub"/>
      </w:pPr>
      <w:r>
        <w:tab/>
        <w:t>(i)</w:t>
      </w:r>
      <w:r>
        <w:tab/>
        <w:t>the vehicle as a whole; and</w:t>
      </w:r>
    </w:p>
    <w:p w14:paraId="56AF14D8" w14:textId="77777777" w:rsidR="006A7786" w:rsidRDefault="006A7786" w:rsidP="006A7786">
      <w:pPr>
        <w:pStyle w:val="parasub"/>
      </w:pPr>
      <w:r>
        <w:tab/>
        <w:t>(ii)</w:t>
      </w:r>
      <w:r>
        <w:tab/>
        <w:t xml:space="preserve">the operational performance of the vehicle; and </w:t>
      </w:r>
    </w:p>
    <w:p w14:paraId="15BF8647" w14:textId="77777777" w:rsidR="006A7786" w:rsidRDefault="006A7786" w:rsidP="006A7786">
      <w:pPr>
        <w:pStyle w:val="paragraph"/>
      </w:pPr>
      <w:r>
        <w:tab/>
        <w:t>(</w:t>
      </w:r>
      <w:r w:rsidR="00EA0F6D">
        <w:t>b</w:t>
      </w:r>
      <w:r>
        <w:t>)</w:t>
      </w:r>
      <w:r>
        <w:tab/>
        <w:t>the following principles:</w:t>
      </w:r>
    </w:p>
    <w:p w14:paraId="6F8F032B" w14:textId="77777777" w:rsidR="006A7786" w:rsidRDefault="006A7786" w:rsidP="006A7786">
      <w:pPr>
        <w:pStyle w:val="parasub"/>
      </w:pPr>
      <w:r>
        <w:tab/>
        <w:t>(i)</w:t>
      </w:r>
      <w:r>
        <w:tab/>
        <w:t xml:space="preserve">hardware or mechanical differences </w:t>
      </w:r>
      <w:r w:rsidR="0064022F">
        <w:t xml:space="preserve">are more likely to be </w:t>
      </w:r>
      <w:r>
        <w:t xml:space="preserve">significant than differences in software and tuning; and </w:t>
      </w:r>
    </w:p>
    <w:p w14:paraId="5C797D5C" w14:textId="77777777" w:rsidR="006A7786" w:rsidRDefault="006A7786" w:rsidP="006A7786">
      <w:pPr>
        <w:pStyle w:val="parasub"/>
      </w:pPr>
      <w:r>
        <w:tab/>
        <w:t>(ii)</w:t>
      </w:r>
      <w:r>
        <w:tab/>
        <w:t xml:space="preserve">differences in software and tuning </w:t>
      </w:r>
      <w:r w:rsidR="0064022F">
        <w:t xml:space="preserve">are more likely to be </w:t>
      </w:r>
      <w:r>
        <w:t>significant than cosmetic differences; and</w:t>
      </w:r>
    </w:p>
    <w:p w14:paraId="3BCB0C43" w14:textId="77777777" w:rsidR="006A7786" w:rsidRDefault="006A7786" w:rsidP="006A7786">
      <w:pPr>
        <w:pStyle w:val="parasub"/>
      </w:pPr>
      <w:r>
        <w:tab/>
        <w:t>(iii)</w:t>
      </w:r>
      <w:r>
        <w:tab/>
        <w:t xml:space="preserve">differences are more likely to be significant if they </w:t>
      </w:r>
      <w:r w:rsidR="00EA0F6D">
        <w:t xml:space="preserve">materially relate to the eligibility criteria on the basis of which entry on the SEVs Register is sought. </w:t>
      </w:r>
    </w:p>
    <w:p w14:paraId="77A23802" w14:textId="77777777" w:rsidR="0019132E" w:rsidRDefault="00EA0F6D" w:rsidP="00507EB7">
      <w:pPr>
        <w:pStyle w:val="notetext"/>
      </w:pPr>
      <w:r w:rsidRPr="00507EB7">
        <w:t>Example:</w:t>
      </w:r>
      <w:r w:rsidRPr="00507EB7">
        <w:tab/>
        <w:t xml:space="preserve">For </w:t>
      </w:r>
      <w:r w:rsidR="00831B50" w:rsidRPr="00507EB7">
        <w:t>sub</w:t>
      </w:r>
      <w:r w:rsidRPr="00507EB7">
        <w:t xml:space="preserve">paragraph (2)(b)(iii), where a person applies for </w:t>
      </w:r>
      <w:r w:rsidR="003B2CBD">
        <w:t xml:space="preserve">the </w:t>
      </w:r>
      <w:r w:rsidRPr="00507EB7">
        <w:t xml:space="preserve">entry of </w:t>
      </w:r>
      <w:r w:rsidR="00780DFF">
        <w:t>road vehicles</w:t>
      </w:r>
      <w:r w:rsidR="003B2CBD">
        <w:t xml:space="preserve"> of a particular kind</w:t>
      </w:r>
      <w:r w:rsidR="00075F6B">
        <w:t xml:space="preserve"> </w:t>
      </w:r>
      <w:r w:rsidRPr="00507EB7">
        <w:t xml:space="preserve">on the SEVs Register on the basis of the environmental criterion in section 131 of the Rules, </w:t>
      </w:r>
      <w:r w:rsidRPr="00DD4A47">
        <w:t xml:space="preserve">the differences are more likely to be significant if they improve the </w:t>
      </w:r>
      <w:r w:rsidR="00E44DC3" w:rsidRPr="00DD4A47">
        <w:t xml:space="preserve">emissions performance </w:t>
      </w:r>
      <w:r w:rsidRPr="00DD4A47">
        <w:t>of the</w:t>
      </w:r>
      <w:r w:rsidR="005630A6" w:rsidRPr="00DD4A47">
        <w:t xml:space="preserve"> road vehicles in question. </w:t>
      </w:r>
      <w:r w:rsidRPr="00DD4A47">
        <w:t xml:space="preserve"> </w:t>
      </w:r>
    </w:p>
    <w:p w14:paraId="254BA47B" w14:textId="77777777" w:rsidR="004369B1" w:rsidRDefault="00260528">
      <w:pPr>
        <w:pStyle w:val="subsection"/>
      </w:pPr>
      <w:r>
        <w:tab/>
      </w:r>
      <w:r w:rsidR="004369B1">
        <w:t>(3)</w:t>
      </w:r>
      <w:r w:rsidR="004369B1">
        <w:tab/>
      </w:r>
      <w:r w:rsidR="004369B1" w:rsidRPr="004369B1">
        <w:rPr>
          <w:b/>
          <w:i/>
        </w:rPr>
        <w:t>Operational performance</w:t>
      </w:r>
      <w:r w:rsidR="004369B1">
        <w:t xml:space="preserve"> means any of the following:</w:t>
      </w:r>
    </w:p>
    <w:p w14:paraId="61F1D0FB" w14:textId="77777777" w:rsidR="004369B1" w:rsidRDefault="004369B1" w:rsidP="00EA0F6D">
      <w:pPr>
        <w:pStyle w:val="paragraph"/>
      </w:pPr>
      <w:r>
        <w:tab/>
        <w:t>(a)</w:t>
      </w:r>
      <w:r>
        <w:tab/>
        <w:t>acceleration and braking;</w:t>
      </w:r>
    </w:p>
    <w:p w14:paraId="14EB2645" w14:textId="77777777" w:rsidR="004369B1" w:rsidRDefault="004369B1" w:rsidP="00EA0F6D">
      <w:pPr>
        <w:pStyle w:val="paragraph"/>
      </w:pPr>
      <w:r>
        <w:tab/>
        <w:t>(b)</w:t>
      </w:r>
      <w:r>
        <w:tab/>
        <w:t>energy efficiency;</w:t>
      </w:r>
    </w:p>
    <w:p w14:paraId="1C27ECED" w14:textId="77777777" w:rsidR="004369B1" w:rsidRDefault="004369B1" w:rsidP="00EA0F6D">
      <w:pPr>
        <w:pStyle w:val="paragraph"/>
      </w:pPr>
      <w:r>
        <w:tab/>
        <w:t>(c)</w:t>
      </w:r>
      <w:r>
        <w:tab/>
        <w:t>lateral adhesion or roadholding;</w:t>
      </w:r>
    </w:p>
    <w:p w14:paraId="42B8FAFE" w14:textId="77777777" w:rsidR="004369B1" w:rsidRDefault="004369B1" w:rsidP="00EA0F6D">
      <w:pPr>
        <w:pStyle w:val="paragraph"/>
      </w:pPr>
      <w:r>
        <w:tab/>
        <w:t>(d)</w:t>
      </w:r>
      <w:r>
        <w:tab/>
        <w:t>vehicle safety rating or crashworthiness;</w:t>
      </w:r>
    </w:p>
    <w:p w14:paraId="4D81B345" w14:textId="77777777" w:rsidR="004369B1" w:rsidRPr="00AD0354" w:rsidRDefault="004369B1" w:rsidP="00EA0F6D">
      <w:pPr>
        <w:pStyle w:val="paragraph"/>
      </w:pPr>
      <w:r>
        <w:tab/>
        <w:t>(e)</w:t>
      </w:r>
      <w:r>
        <w:tab/>
      </w:r>
      <w:r w:rsidR="008463DF">
        <w:t xml:space="preserve">in relation to </w:t>
      </w:r>
      <w:r w:rsidR="00780DFF">
        <w:t>road vehicles</w:t>
      </w:r>
      <w:r>
        <w:t xml:space="preserve"> </w:t>
      </w:r>
      <w:r w:rsidR="003B2CBD">
        <w:t xml:space="preserve">of a particular kind </w:t>
      </w:r>
      <w:r>
        <w:t xml:space="preserve">for which entry on the SEVs Register is sought </w:t>
      </w:r>
      <w:r w:rsidR="008463DF">
        <w:t>under</w:t>
      </w:r>
      <w:r w:rsidR="000F024C">
        <w:t xml:space="preserve"> </w:t>
      </w:r>
      <w:r>
        <w:t xml:space="preserve">the mobility criterion—ability to assist people with </w:t>
      </w:r>
      <w:r w:rsidR="00705F09">
        <w:t xml:space="preserve">a </w:t>
      </w:r>
      <w:r>
        <w:t>disability.</w:t>
      </w:r>
    </w:p>
    <w:p w14:paraId="03C74579" w14:textId="77777777" w:rsidR="00980D80" w:rsidRDefault="00980D80" w:rsidP="00980D80">
      <w:pPr>
        <w:pStyle w:val="ActHead5"/>
      </w:pPr>
      <w:bookmarkStart w:id="17" w:name="_Toc66792169"/>
      <w:r>
        <w:rPr>
          <w:rStyle w:val="CharSectno"/>
        </w:rPr>
        <w:t>1</w:t>
      </w:r>
      <w:r w:rsidR="00D54E39">
        <w:rPr>
          <w:rStyle w:val="CharSectno"/>
        </w:rPr>
        <w:t>1</w:t>
      </w:r>
      <w:r>
        <w:t xml:space="preserve">  </w:t>
      </w:r>
      <w:r w:rsidR="005A30C1">
        <w:t>D</w:t>
      </w:r>
      <w:r>
        <w:t xml:space="preserve">ifferences in design characteristics </w:t>
      </w:r>
      <w:r w:rsidR="00AD0E85">
        <w:t>that are not significant</w:t>
      </w:r>
      <w:bookmarkEnd w:id="17"/>
      <w:r>
        <w:t xml:space="preserve"> </w:t>
      </w:r>
    </w:p>
    <w:p w14:paraId="0EC0D98C" w14:textId="77777777" w:rsidR="00980D80" w:rsidRDefault="00980D80" w:rsidP="00980D80">
      <w:pPr>
        <w:pStyle w:val="subsection"/>
      </w:pPr>
      <w:r>
        <w:tab/>
        <w:t>(1)</w:t>
      </w:r>
      <w:r>
        <w:tab/>
      </w:r>
      <w:r w:rsidR="00A13910">
        <w:t>Subject to subsection (2), this instrument does not limit the kinds of differences in design characteristics that could</w:t>
      </w:r>
      <w:r w:rsidR="00AD0E85">
        <w:t xml:space="preserve"> </w:t>
      </w:r>
      <w:r w:rsidR="00A13910">
        <w:t xml:space="preserve">be </w:t>
      </w:r>
      <w:r w:rsidR="00ED4F9B">
        <w:t xml:space="preserve">considered </w:t>
      </w:r>
      <w:r w:rsidR="00A13910">
        <w:t xml:space="preserve">significant for the purposes of subsection 128(1). </w:t>
      </w:r>
    </w:p>
    <w:p w14:paraId="1766983E" w14:textId="77777777" w:rsidR="005A30C1" w:rsidRDefault="00A13910" w:rsidP="005A30C1">
      <w:pPr>
        <w:pStyle w:val="subsection"/>
      </w:pPr>
      <w:r>
        <w:tab/>
        <w:t>(2)</w:t>
      </w:r>
      <w:r>
        <w:tab/>
      </w:r>
      <w:r w:rsidR="00AD0E85">
        <w:t>For paragraph 136(2)(c), d</w:t>
      </w:r>
      <w:r w:rsidR="005A30C1">
        <w:t xml:space="preserve">ifferences in the design characteristics of </w:t>
      </w:r>
      <w:r w:rsidR="00260528">
        <w:t xml:space="preserve">road </w:t>
      </w:r>
      <w:r w:rsidR="005A30C1">
        <w:t>vehicles will not be significant where they result only from the use of different:</w:t>
      </w:r>
    </w:p>
    <w:p w14:paraId="55EB47D5" w14:textId="77777777" w:rsidR="005A30C1" w:rsidRDefault="005A30C1" w:rsidP="005A30C1">
      <w:pPr>
        <w:pStyle w:val="paragraph"/>
        <w:rPr>
          <w:color w:val="FF0000"/>
        </w:rPr>
      </w:pPr>
      <w:r>
        <w:tab/>
        <w:t>(a)</w:t>
      </w:r>
      <w:r>
        <w:tab/>
        <w:t>reference standards; or</w:t>
      </w:r>
    </w:p>
    <w:p w14:paraId="3E2F90E5" w14:textId="77777777" w:rsidR="005A30C1" w:rsidRDefault="005A30C1" w:rsidP="005A30C1">
      <w:pPr>
        <w:pStyle w:val="paragraph"/>
      </w:pPr>
      <w:r w:rsidRPr="004C3806">
        <w:tab/>
        <w:t>(b)</w:t>
      </w:r>
      <w:r w:rsidRPr="004C3806">
        <w:tab/>
      </w:r>
      <w:r>
        <w:t>marketing specifications; or</w:t>
      </w:r>
    </w:p>
    <w:p w14:paraId="41D664DA" w14:textId="77777777" w:rsidR="005A30C1" w:rsidRDefault="005A30C1" w:rsidP="005A30C1">
      <w:pPr>
        <w:pStyle w:val="paragraph"/>
      </w:pPr>
      <w:r>
        <w:tab/>
        <w:t>(c)</w:t>
      </w:r>
      <w:r>
        <w:tab/>
        <w:t>measurement or testing methods;</w:t>
      </w:r>
    </w:p>
    <w:p w14:paraId="58E7D9DB" w14:textId="77777777" w:rsidR="005A30C1" w:rsidRDefault="005A30C1" w:rsidP="005A30C1">
      <w:pPr>
        <w:pStyle w:val="subsection2"/>
      </w:pPr>
      <w:r>
        <w:t xml:space="preserve">to </w:t>
      </w:r>
      <w:r w:rsidRPr="00365489">
        <w:t>measure</w:t>
      </w:r>
      <w:r>
        <w:t>, test, describe or classify a road vehicle or element thereof.</w:t>
      </w:r>
    </w:p>
    <w:p w14:paraId="519D9E85" w14:textId="77777777" w:rsidR="00365495" w:rsidRDefault="00365495" w:rsidP="00493B90">
      <w:pPr>
        <w:pStyle w:val="subsection"/>
        <w:rPr>
          <w:color w:val="0070C0"/>
        </w:rPr>
      </w:pPr>
      <w:r>
        <w:rPr>
          <w:color w:val="0070C0"/>
        </w:rPr>
        <w:br w:type="page"/>
      </w:r>
    </w:p>
    <w:p w14:paraId="26D726BD" w14:textId="77777777" w:rsidR="003D3847" w:rsidRDefault="003D3847" w:rsidP="003D3847">
      <w:pPr>
        <w:pStyle w:val="ActHead2"/>
        <w:ind w:left="0" w:firstLine="0"/>
      </w:pPr>
      <w:bookmarkStart w:id="18" w:name="_Toc66792170"/>
      <w:r w:rsidRPr="00A33A60">
        <w:rPr>
          <w:rStyle w:val="CharPartNo"/>
        </w:rPr>
        <w:lastRenderedPageBreak/>
        <w:t>Part 3</w:t>
      </w:r>
      <w:r>
        <w:t>—</w:t>
      </w:r>
      <w:r w:rsidR="00C9562F" w:rsidRPr="00A13326">
        <w:rPr>
          <w:rStyle w:val="CharPartText"/>
        </w:rPr>
        <w:t>Matters relating to e</w:t>
      </w:r>
      <w:r w:rsidRPr="00A13326">
        <w:rPr>
          <w:rStyle w:val="CharPartText"/>
        </w:rPr>
        <w:t>ntry on the SEVs Register</w:t>
      </w:r>
      <w:bookmarkEnd w:id="18"/>
      <w:r>
        <w:t xml:space="preserve"> </w:t>
      </w:r>
    </w:p>
    <w:p w14:paraId="26F5F302" w14:textId="77777777" w:rsidR="003C22E7" w:rsidRPr="00C9562F" w:rsidRDefault="003C22E7" w:rsidP="003C22E7">
      <w:pPr>
        <w:pStyle w:val="ActHead3"/>
      </w:pPr>
      <w:bookmarkStart w:id="19" w:name="_Toc66792171"/>
      <w:r w:rsidRPr="00A33A60">
        <w:rPr>
          <w:rStyle w:val="CharDivNo"/>
        </w:rPr>
        <w:t>Division 1</w:t>
      </w:r>
      <w:r>
        <w:t>—</w:t>
      </w:r>
      <w:r w:rsidRPr="00A33A60">
        <w:rPr>
          <w:rStyle w:val="CharDivText"/>
        </w:rPr>
        <w:t>Preliminary</w:t>
      </w:r>
      <w:bookmarkEnd w:id="19"/>
    </w:p>
    <w:p w14:paraId="44785F1B" w14:textId="77777777" w:rsidR="00D54E39" w:rsidRPr="00676843" w:rsidRDefault="00D54E39" w:rsidP="00D54E39">
      <w:pPr>
        <w:pStyle w:val="ActHead5"/>
      </w:pPr>
      <w:bookmarkStart w:id="20" w:name="_Toc66792172"/>
      <w:r>
        <w:rPr>
          <w:rStyle w:val="CharSectno"/>
        </w:rPr>
        <w:t>12</w:t>
      </w:r>
      <w:r w:rsidRPr="00676843">
        <w:t xml:space="preserve">  Simplified outline of this </w:t>
      </w:r>
      <w:r>
        <w:t>Part</w:t>
      </w:r>
      <w:bookmarkEnd w:id="20"/>
    </w:p>
    <w:p w14:paraId="58E55E4E" w14:textId="77777777" w:rsidR="006B7901" w:rsidRDefault="006B7901" w:rsidP="006B7901">
      <w:pPr>
        <w:pStyle w:val="SOText"/>
      </w:pPr>
      <w:r>
        <w:t>This Part prescribes additional matters relating to the performance criterion, environmental criterion and campervans and motorhomes criterion for the purposes of subsection 136(1) of the Rules.</w:t>
      </w:r>
    </w:p>
    <w:p w14:paraId="725FCBD2" w14:textId="77777777" w:rsidR="00D54E39" w:rsidRPr="006B7901" w:rsidRDefault="006B7901" w:rsidP="006B7901">
      <w:pPr>
        <w:pStyle w:val="SOText"/>
      </w:pPr>
      <w:r>
        <w:t xml:space="preserve">In respect of the performance criterion (section 130 of the Rules), it sets out a formula for </w:t>
      </w:r>
      <w:r w:rsidR="00033CB2">
        <w:t>calculating</w:t>
      </w:r>
      <w:r>
        <w:t xml:space="preserve"> the power to weight </w:t>
      </w:r>
      <w:r w:rsidR="006947A8">
        <w:t xml:space="preserve">ratio </w:t>
      </w:r>
      <w:r>
        <w:t>of a variant</w:t>
      </w:r>
      <w:r w:rsidR="009B7A6E">
        <w:t xml:space="preserve"> of a model, or a make and model, of a road vehicle</w:t>
      </w:r>
      <w:r w:rsidR="00BF1AB9">
        <w:t>.</w:t>
      </w:r>
      <w:r>
        <w:t xml:space="preserve"> </w:t>
      </w:r>
    </w:p>
    <w:p w14:paraId="601B304C" w14:textId="77777777" w:rsidR="006B7901" w:rsidRDefault="009B7A6E" w:rsidP="00D54E39">
      <w:pPr>
        <w:pStyle w:val="SOText"/>
      </w:pPr>
      <w:r>
        <w:t>T</w:t>
      </w:r>
      <w:r w:rsidR="000C1E2D">
        <w:t xml:space="preserve">his Part </w:t>
      </w:r>
      <w:r>
        <w:t xml:space="preserve">also </w:t>
      </w:r>
      <w:r w:rsidR="000C1E2D">
        <w:t xml:space="preserve">limits the categories of </w:t>
      </w:r>
      <w:r w:rsidR="00FF375D">
        <w:t xml:space="preserve">road </w:t>
      </w:r>
      <w:r w:rsidR="000C1E2D">
        <w:t xml:space="preserve">vehicle that can be entered on the SEVs Register </w:t>
      </w:r>
      <w:r>
        <w:t xml:space="preserve">under one of the </w:t>
      </w:r>
      <w:r w:rsidR="000C1E2D">
        <w:t>pathway</w:t>
      </w:r>
      <w:r>
        <w:t>s within the environmental</w:t>
      </w:r>
      <w:r w:rsidR="00BF1AB9">
        <w:t xml:space="preserve"> criterion</w:t>
      </w:r>
      <w:r w:rsidR="000C1E2D">
        <w:t xml:space="preserve">. </w:t>
      </w:r>
      <w:r w:rsidR="00827B65">
        <w:t>Further, i</w:t>
      </w:r>
      <w:r w:rsidR="000C1E2D">
        <w:t xml:space="preserve">t specifies emissions standards </w:t>
      </w:r>
      <w:r w:rsidR="006B7901" w:rsidRPr="006B7901">
        <w:t>that are comparable to the national road vehicle standards mentioned in subparagraph 131(a)(i) of the Rules</w:t>
      </w:r>
      <w:r>
        <w:t xml:space="preserve"> for the purposes of the environmental criterion</w:t>
      </w:r>
      <w:r w:rsidR="006B7901" w:rsidRPr="006B7901">
        <w:t>.</w:t>
      </w:r>
    </w:p>
    <w:p w14:paraId="0E18BAF0" w14:textId="77777777" w:rsidR="006B7901" w:rsidRDefault="000C1E2D" w:rsidP="00635F01">
      <w:pPr>
        <w:pStyle w:val="SOText"/>
        <w:rPr>
          <w:color w:val="000000"/>
          <w:szCs w:val="22"/>
          <w:shd w:val="clear" w:color="auto" w:fill="FFFFFF"/>
        </w:rPr>
      </w:pPr>
      <w:r>
        <w:t xml:space="preserve">Finally, this Part provides additional guidance on when a vehicle will be a campervan or a motorhome for the purposes of section 134 of the Rules. </w:t>
      </w:r>
    </w:p>
    <w:p w14:paraId="65C84F2B" w14:textId="77777777" w:rsidR="003645EB" w:rsidRDefault="00CE4532" w:rsidP="003645EB">
      <w:pPr>
        <w:pStyle w:val="ActHead5"/>
      </w:pPr>
      <w:bookmarkStart w:id="21" w:name="_Toc66792173"/>
      <w:r w:rsidRPr="00A669FE">
        <w:rPr>
          <w:rStyle w:val="CharSectno"/>
        </w:rPr>
        <w:t>1</w:t>
      </w:r>
      <w:r w:rsidR="00D54E39">
        <w:rPr>
          <w:rStyle w:val="CharSectno"/>
        </w:rPr>
        <w:t>3</w:t>
      </w:r>
      <w:r w:rsidR="003645EB">
        <w:t xml:space="preserve">  Purpose of this Part</w:t>
      </w:r>
      <w:bookmarkEnd w:id="21"/>
    </w:p>
    <w:p w14:paraId="5092177C" w14:textId="77777777" w:rsidR="003645EB" w:rsidRDefault="003645EB" w:rsidP="003645EB">
      <w:pPr>
        <w:pStyle w:val="subsection"/>
      </w:pPr>
      <w:r>
        <w:tab/>
      </w:r>
      <w:r>
        <w:tab/>
      </w:r>
      <w:r w:rsidR="00427755">
        <w:t>For the purposes of subsection 136(1) of the Rules, t</w:t>
      </w:r>
      <w:r>
        <w:t xml:space="preserve">his Part sets out </w:t>
      </w:r>
      <w:r w:rsidR="00365495">
        <w:t xml:space="preserve">additional </w:t>
      </w:r>
      <w:r>
        <w:t xml:space="preserve">matters relating to the </w:t>
      </w:r>
      <w:r w:rsidR="009B7A6E">
        <w:t xml:space="preserve">eligibility </w:t>
      </w:r>
      <w:r>
        <w:t>criteria</w:t>
      </w:r>
      <w:r w:rsidR="00365495">
        <w:t xml:space="preserve"> in sections 130, 131 and 134 of the Rules</w:t>
      </w:r>
      <w:r w:rsidR="009B7A6E">
        <w:t>.</w:t>
      </w:r>
    </w:p>
    <w:p w14:paraId="0F9BDB59" w14:textId="77777777" w:rsidR="00C9562F" w:rsidRPr="00C9562F" w:rsidRDefault="00D54E39" w:rsidP="00C9562F">
      <w:pPr>
        <w:pStyle w:val="ActHead3"/>
      </w:pPr>
      <w:r>
        <w:rPr>
          <w:rStyle w:val="CharDivNo"/>
        </w:rPr>
        <w:br w:type="column"/>
      </w:r>
      <w:bookmarkStart w:id="22" w:name="_Toc66792174"/>
      <w:r w:rsidR="00C9562F" w:rsidRPr="00A33A60">
        <w:rPr>
          <w:rStyle w:val="CharDivNo"/>
        </w:rPr>
        <w:lastRenderedPageBreak/>
        <w:t xml:space="preserve">Division </w:t>
      </w:r>
      <w:r w:rsidR="003C22E7" w:rsidRPr="00A33A60">
        <w:rPr>
          <w:rStyle w:val="CharDivNo"/>
        </w:rPr>
        <w:t>2</w:t>
      </w:r>
      <w:r w:rsidR="00C9562F">
        <w:t>—</w:t>
      </w:r>
      <w:r w:rsidR="00C9562F" w:rsidRPr="004B5499">
        <w:rPr>
          <w:rStyle w:val="CharDivText"/>
        </w:rPr>
        <w:t>Matters relating to the performance criterion</w:t>
      </w:r>
      <w:bookmarkEnd w:id="22"/>
      <w:r w:rsidR="00C9562F">
        <w:t xml:space="preserve"> </w:t>
      </w:r>
    </w:p>
    <w:p w14:paraId="693A9D00" w14:textId="77777777" w:rsidR="00E44900" w:rsidRDefault="00CE4532" w:rsidP="00E44900">
      <w:pPr>
        <w:pStyle w:val="ActHead5"/>
      </w:pPr>
      <w:bookmarkStart w:id="23" w:name="_Toc66792175"/>
      <w:r w:rsidRPr="00A669FE">
        <w:rPr>
          <w:rStyle w:val="CharSectno"/>
        </w:rPr>
        <w:t>1</w:t>
      </w:r>
      <w:r w:rsidR="00D54E39">
        <w:rPr>
          <w:rStyle w:val="CharSectno"/>
        </w:rPr>
        <w:t>4</w:t>
      </w:r>
      <w:r w:rsidR="00E44900">
        <w:t xml:space="preserve">  Performance criterion—how to </w:t>
      </w:r>
      <w:r w:rsidR="00B318F7">
        <w:t>calculate</w:t>
      </w:r>
      <w:r w:rsidR="00E44900">
        <w:t xml:space="preserve"> power to weight </w:t>
      </w:r>
      <w:r w:rsidR="00247685">
        <w:t>ratio</w:t>
      </w:r>
      <w:bookmarkEnd w:id="23"/>
    </w:p>
    <w:p w14:paraId="08A607A2" w14:textId="77777777" w:rsidR="00731772" w:rsidRDefault="00B318F7" w:rsidP="000963AE">
      <w:pPr>
        <w:pStyle w:val="subsection"/>
      </w:pPr>
      <w:r>
        <w:tab/>
        <w:t>(1</w:t>
      </w:r>
      <w:r w:rsidR="000963AE">
        <w:t>)</w:t>
      </w:r>
      <w:r w:rsidR="000963AE">
        <w:tab/>
      </w:r>
      <w:r>
        <w:t>For section 130 of the Rules, t</w:t>
      </w:r>
      <w:r w:rsidR="00731772">
        <w:t xml:space="preserve">he power to weight </w:t>
      </w:r>
      <w:r w:rsidR="00A332D7">
        <w:t xml:space="preserve">ratio </w:t>
      </w:r>
      <w:r w:rsidR="00731772">
        <w:t xml:space="preserve">is to be </w:t>
      </w:r>
      <w:r w:rsidR="000B0C6F">
        <w:t>calculated</w:t>
      </w:r>
      <w:r w:rsidR="00731772">
        <w:t xml:space="preserve"> according to the following formula: </w:t>
      </w:r>
    </w:p>
    <w:p w14:paraId="647F8447" w14:textId="77777777" w:rsidR="00731772" w:rsidRPr="00731772" w:rsidRDefault="00731772" w:rsidP="00731772">
      <w:pPr>
        <w:pStyle w:val="Formula"/>
      </w:pPr>
    </w:p>
    <w:p w14:paraId="0B027B00" w14:textId="77777777" w:rsidR="008B2527" w:rsidRPr="008B2527" w:rsidRDefault="00731772" w:rsidP="00731772">
      <w:pPr>
        <w:pStyle w:val="Formula"/>
      </w:pPr>
      <w:r w:rsidRPr="00731772">
        <w:t xml:space="preserve">Power to weight </w:t>
      </w:r>
      <w:r w:rsidR="00A332D7">
        <w:t>ratio</w:t>
      </w:r>
      <w:r w:rsidR="00A332D7" w:rsidRPr="00731772">
        <w:t xml:space="preserve"> </w:t>
      </w:r>
      <w:r w:rsidRPr="00731772">
        <w:t>=</w:t>
      </w:r>
      <w:r w:rsidR="008B2527">
        <w:t xml:space="preserve"> </w:t>
      </w:r>
      <w:r w:rsidRPr="00731772">
        <w:t xml:space="preserve"> </w:t>
      </w:r>
      <m:oMath>
        <m:f>
          <m:fPr>
            <m:ctrlPr>
              <w:rPr>
                <w:rStyle w:val="subsectionChar"/>
                <w:rFonts w:ascii="Cambria Math" w:hAnsi="Cambria Math"/>
              </w:rPr>
            </m:ctrlPr>
          </m:fPr>
          <m:num>
            <m:r>
              <w:rPr>
                <w:rStyle w:val="subsectionChar"/>
                <w:rFonts w:ascii="Cambria Math" w:hAnsi="Cambria Math"/>
              </w:rPr>
              <m:t>manufacturer's</m:t>
            </m:r>
            <m:r>
              <m:rPr>
                <m:sty m:val="p"/>
              </m:rPr>
              <w:rPr>
                <w:rStyle w:val="subsectionChar"/>
                <w:rFonts w:ascii="Cambria Math" w:hAnsi="Cambria Math"/>
              </w:rPr>
              <m:t xml:space="preserve"> </m:t>
            </m:r>
            <m:r>
              <w:rPr>
                <w:rStyle w:val="subsectionChar"/>
                <w:rFonts w:ascii="Cambria Math" w:hAnsi="Cambria Math"/>
              </w:rPr>
              <m:t>nominal</m:t>
            </m:r>
            <m:r>
              <m:rPr>
                <m:sty m:val="p"/>
              </m:rPr>
              <w:rPr>
                <w:rStyle w:val="subsectionChar"/>
                <w:rFonts w:ascii="Cambria Math" w:hAnsi="Cambria Math"/>
              </w:rPr>
              <m:t xml:space="preserve"> </m:t>
            </m:r>
            <m:r>
              <w:rPr>
                <w:rStyle w:val="subsectionChar"/>
                <w:rFonts w:ascii="Cambria Math" w:hAnsi="Cambria Math"/>
              </w:rPr>
              <m:t>net</m:t>
            </m:r>
            <m:r>
              <m:rPr>
                <m:sty m:val="p"/>
              </m:rPr>
              <w:rPr>
                <w:rStyle w:val="subsectionChar"/>
                <w:rFonts w:ascii="Cambria Math" w:hAnsi="Cambria Math"/>
              </w:rPr>
              <m:t xml:space="preserve"> </m:t>
            </m:r>
            <m:r>
              <w:rPr>
                <w:rStyle w:val="subsectionChar"/>
                <w:rFonts w:ascii="Cambria Math" w:hAnsi="Cambria Math"/>
              </w:rPr>
              <m:t>engine</m:t>
            </m:r>
            <m:r>
              <m:rPr>
                <m:sty m:val="p"/>
              </m:rPr>
              <w:rPr>
                <w:rStyle w:val="subsectionChar"/>
                <w:rFonts w:ascii="Cambria Math" w:hAnsi="Cambria Math"/>
              </w:rPr>
              <m:t xml:space="preserve"> </m:t>
            </m:r>
            <m:r>
              <w:rPr>
                <w:rStyle w:val="subsectionChar"/>
                <w:rFonts w:ascii="Cambria Math" w:hAnsi="Cambria Math"/>
              </w:rPr>
              <m:t>power</m:t>
            </m:r>
          </m:num>
          <m:den>
            <m:r>
              <w:rPr>
                <w:rStyle w:val="subsectionChar"/>
                <w:rFonts w:ascii="Cambria Math" w:hAnsi="Cambria Math"/>
              </w:rPr>
              <m:t>tare</m:t>
            </m:r>
            <m:r>
              <m:rPr>
                <m:sty m:val="p"/>
              </m:rPr>
              <w:rPr>
                <w:rStyle w:val="subsectionChar"/>
                <w:rFonts w:ascii="Cambria Math" w:hAnsi="Cambria Math"/>
              </w:rPr>
              <m:t xml:space="preserve"> </m:t>
            </m:r>
            <m:r>
              <w:rPr>
                <w:rStyle w:val="subsectionChar"/>
                <w:rFonts w:ascii="Cambria Math" w:hAnsi="Cambria Math"/>
              </w:rPr>
              <m:t>mass</m:t>
            </m:r>
          </m:den>
        </m:f>
      </m:oMath>
    </w:p>
    <w:p w14:paraId="6EA99F11" w14:textId="77777777" w:rsidR="008B2527" w:rsidRDefault="008B2527" w:rsidP="00731772">
      <w:pPr>
        <w:pStyle w:val="Formula"/>
      </w:pPr>
    </w:p>
    <w:p w14:paraId="7C4834C6" w14:textId="77777777" w:rsidR="00731772" w:rsidRPr="00D72AFB" w:rsidRDefault="008B2527" w:rsidP="001D1EC8">
      <w:pPr>
        <w:pStyle w:val="subsection"/>
      </w:pPr>
      <w:r>
        <w:tab/>
        <w:t>(</w:t>
      </w:r>
      <w:r w:rsidR="00B318F7">
        <w:t>2</w:t>
      </w:r>
      <w:r>
        <w:t>)</w:t>
      </w:r>
      <w:r>
        <w:tab/>
      </w:r>
      <w:r>
        <w:rPr>
          <w:b/>
          <w:i/>
        </w:rPr>
        <w:t>Manufacturer’s nominal net engine power</w:t>
      </w:r>
      <w:r>
        <w:t xml:space="preserve"> is the value measured by </w:t>
      </w:r>
      <w:r w:rsidRPr="000963AE">
        <w:t xml:space="preserve">the original </w:t>
      </w:r>
      <w:r>
        <w:t>manufacturer</w:t>
      </w:r>
      <w:r w:rsidR="001D1EC8">
        <w:t>.</w:t>
      </w:r>
      <w:r w:rsidR="00731772">
        <w:t xml:space="preserve"> </w:t>
      </w:r>
    </w:p>
    <w:p w14:paraId="791D9BD1" w14:textId="77777777" w:rsidR="00731772" w:rsidRDefault="001D1EC8" w:rsidP="001D1EC8">
      <w:pPr>
        <w:pStyle w:val="subsection"/>
      </w:pPr>
      <w:r w:rsidRPr="001D1EC8">
        <w:tab/>
        <w:t>(</w:t>
      </w:r>
      <w:r w:rsidR="00B318F7">
        <w:t>3</w:t>
      </w:r>
      <w:r w:rsidRPr="001D1EC8">
        <w:t>)</w:t>
      </w:r>
      <w:r w:rsidRPr="001D1EC8">
        <w:tab/>
      </w:r>
      <w:r w:rsidRPr="001D1EC8">
        <w:rPr>
          <w:b/>
          <w:i/>
        </w:rPr>
        <w:t>Tare mass</w:t>
      </w:r>
      <w:r w:rsidRPr="001D1EC8">
        <w:t xml:space="preserve"> has the meaning given by the</w:t>
      </w:r>
      <w:r w:rsidR="00731772" w:rsidRPr="001D1EC8">
        <w:t xml:space="preserve"> </w:t>
      </w:r>
      <w:r w:rsidR="00731772" w:rsidRPr="001D1EC8">
        <w:rPr>
          <w:i/>
        </w:rPr>
        <w:t xml:space="preserve">Vehicle Standard (Australian Design Rule </w:t>
      </w:r>
      <w:r w:rsidR="00A00F39">
        <w:rPr>
          <w:i/>
        </w:rPr>
        <w:t>–</w:t>
      </w:r>
      <w:r w:rsidR="00731772" w:rsidRPr="001D1EC8">
        <w:rPr>
          <w:i/>
        </w:rPr>
        <w:t xml:space="preserve"> Definitions and Vehicle Categories) 2005</w:t>
      </w:r>
      <w:r w:rsidR="00731772" w:rsidRPr="001D1EC8">
        <w:t>,</w:t>
      </w:r>
      <w:r w:rsidRPr="001D1EC8">
        <w:t xml:space="preserve"> and </w:t>
      </w:r>
      <w:r>
        <w:t>include</w:t>
      </w:r>
      <w:r w:rsidR="000963AE">
        <w:t>s</w:t>
      </w:r>
      <w:r>
        <w:t xml:space="preserve"> </w:t>
      </w:r>
      <w:r w:rsidRPr="001D1EC8">
        <w:t>the</w:t>
      </w:r>
      <w:r w:rsidR="000963AE">
        <w:t xml:space="preserve"> mass of all </w:t>
      </w:r>
      <w:r>
        <w:t xml:space="preserve">trim and options fitted to the </w:t>
      </w:r>
      <w:r w:rsidR="009B7A6E">
        <w:t>vehicle</w:t>
      </w:r>
      <w:r>
        <w:t xml:space="preserve">. </w:t>
      </w:r>
    </w:p>
    <w:p w14:paraId="7FEFA5EC" w14:textId="77777777" w:rsidR="00A33A60" w:rsidRPr="00C9562F" w:rsidRDefault="00D54E39" w:rsidP="00A33A60">
      <w:pPr>
        <w:pStyle w:val="ActHead3"/>
      </w:pPr>
      <w:r>
        <w:rPr>
          <w:rStyle w:val="CharDivNo"/>
        </w:rPr>
        <w:br w:type="column"/>
      </w:r>
      <w:bookmarkStart w:id="24" w:name="_Toc66792176"/>
      <w:r w:rsidR="00A33A60" w:rsidRPr="00A33A60">
        <w:rPr>
          <w:rStyle w:val="CharDivNo"/>
        </w:rPr>
        <w:lastRenderedPageBreak/>
        <w:t xml:space="preserve">Division </w:t>
      </w:r>
      <w:r w:rsidR="00A33A60">
        <w:rPr>
          <w:rStyle w:val="CharDivNo"/>
        </w:rPr>
        <w:t>3</w:t>
      </w:r>
      <w:r w:rsidR="00A33A60">
        <w:t>—</w:t>
      </w:r>
      <w:r w:rsidR="00A33A60" w:rsidRPr="00A33A60">
        <w:rPr>
          <w:rStyle w:val="CharDivText"/>
        </w:rPr>
        <w:t xml:space="preserve">Matters relating to the </w:t>
      </w:r>
      <w:r w:rsidR="00A33A60">
        <w:rPr>
          <w:rStyle w:val="CharDivText"/>
        </w:rPr>
        <w:t>environmental</w:t>
      </w:r>
      <w:r w:rsidR="00A33A60" w:rsidRPr="00A33A60">
        <w:rPr>
          <w:rStyle w:val="CharDivText"/>
        </w:rPr>
        <w:t xml:space="preserve"> criterion</w:t>
      </w:r>
      <w:bookmarkEnd w:id="24"/>
      <w:r w:rsidR="00A33A60">
        <w:t xml:space="preserve"> </w:t>
      </w:r>
    </w:p>
    <w:p w14:paraId="27BD3876" w14:textId="77777777" w:rsidR="00466D64" w:rsidRDefault="004500B3" w:rsidP="00466D64">
      <w:pPr>
        <w:pStyle w:val="ActHead5"/>
      </w:pPr>
      <w:bookmarkStart w:id="25" w:name="_Toc66792177"/>
      <w:r w:rsidRPr="004B5499">
        <w:rPr>
          <w:rStyle w:val="CharSectno"/>
        </w:rPr>
        <w:t>15</w:t>
      </w:r>
      <w:r>
        <w:t xml:space="preserve">  </w:t>
      </w:r>
      <w:r w:rsidR="00466D64">
        <w:t>Environmental criterion—limitations on eligibility</w:t>
      </w:r>
      <w:bookmarkEnd w:id="25"/>
      <w:r w:rsidR="00466D64">
        <w:t xml:space="preserve"> </w:t>
      </w:r>
    </w:p>
    <w:p w14:paraId="212BC5BC" w14:textId="77777777" w:rsidR="00466D64" w:rsidRDefault="00466D64" w:rsidP="00466D64">
      <w:pPr>
        <w:pStyle w:val="subsection"/>
      </w:pPr>
      <w:r>
        <w:tab/>
      </w:r>
      <w:r>
        <w:tab/>
        <w:t>For paragraph 136(2)(d) of the Rules,</w:t>
      </w:r>
      <w:r w:rsidR="00FC269B" w:rsidRPr="00FC269B">
        <w:t xml:space="preserve"> </w:t>
      </w:r>
      <w:r w:rsidR="00D7283D">
        <w:t>subparagraph</w:t>
      </w:r>
      <w:r w:rsidR="00705F09">
        <w:t> </w:t>
      </w:r>
      <w:r w:rsidR="00D7283D">
        <w:t xml:space="preserve">131(b)(ii) of the Rules </w:t>
      </w:r>
      <w:r w:rsidR="004B5499">
        <w:t xml:space="preserve">(under the </w:t>
      </w:r>
      <w:r>
        <w:t>environmental criterion</w:t>
      </w:r>
      <w:r w:rsidR="004B5499">
        <w:t>)</w:t>
      </w:r>
      <w:r>
        <w:t xml:space="preserve"> applies only to road vehicles in the following vehicle categories:</w:t>
      </w:r>
    </w:p>
    <w:p w14:paraId="274D7FFC" w14:textId="77777777" w:rsidR="00466D64" w:rsidRDefault="00466D64" w:rsidP="00466D64">
      <w:pPr>
        <w:pStyle w:val="paragraph"/>
      </w:pPr>
      <w:r>
        <w:tab/>
        <w:t>(a)</w:t>
      </w:r>
      <w:r>
        <w:tab/>
      </w:r>
      <w:r w:rsidR="0030239A">
        <w:t>MA, MB, MC, MD and ME (</w:t>
      </w:r>
      <w:r>
        <w:t>passenger vehicles</w:t>
      </w:r>
      <w:r w:rsidR="0030239A">
        <w:t>)</w:t>
      </w:r>
      <w:r>
        <w:t>;</w:t>
      </w:r>
    </w:p>
    <w:p w14:paraId="6333B359" w14:textId="77777777" w:rsidR="00466D64" w:rsidRPr="00466D64" w:rsidRDefault="00466D64" w:rsidP="00466D64">
      <w:pPr>
        <w:pStyle w:val="paragraph"/>
      </w:pPr>
      <w:r>
        <w:tab/>
        <w:t>(b)</w:t>
      </w:r>
      <w:r>
        <w:tab/>
      </w:r>
      <w:r w:rsidR="003D2A11">
        <w:t>NA, NB and NC (</w:t>
      </w:r>
      <w:r>
        <w:t>goods vehicles</w:t>
      </w:r>
      <w:r w:rsidR="003D2A11">
        <w:t>)</w:t>
      </w:r>
      <w:r>
        <w:t>.</w:t>
      </w:r>
    </w:p>
    <w:p w14:paraId="51743E23" w14:textId="77777777" w:rsidR="004500B3" w:rsidRDefault="00466D64" w:rsidP="00466D64">
      <w:pPr>
        <w:pStyle w:val="notetext"/>
      </w:pPr>
      <w:r>
        <w:t>Note:</w:t>
      </w:r>
      <w:r>
        <w:tab/>
      </w:r>
      <w:r w:rsidRPr="00466D64">
        <w:t xml:space="preserve">The Rules provide that ‘vehicle category’ means a vehicle category set out in the </w:t>
      </w:r>
      <w:r w:rsidRPr="00466D64">
        <w:rPr>
          <w:i/>
        </w:rPr>
        <w:t>Vehicle Standard (Australian Design Rule—Definitions and Vehicle Categories) 2005</w:t>
      </w:r>
      <w:r w:rsidRPr="00466D64">
        <w:t>.</w:t>
      </w:r>
    </w:p>
    <w:p w14:paraId="7380B8A0" w14:textId="77777777" w:rsidR="00A33A60" w:rsidRDefault="004500B3" w:rsidP="00A33A60">
      <w:pPr>
        <w:pStyle w:val="ActHead5"/>
      </w:pPr>
      <w:bookmarkStart w:id="26" w:name="_Toc66792178"/>
      <w:r w:rsidRPr="004B5499">
        <w:rPr>
          <w:rStyle w:val="CharSectno"/>
        </w:rPr>
        <w:t>16</w:t>
      </w:r>
      <w:r>
        <w:t xml:space="preserve">  </w:t>
      </w:r>
      <w:r w:rsidR="00A33A60">
        <w:t>Environmental criterion—</w:t>
      </w:r>
      <w:r w:rsidR="00466D64">
        <w:t>equivalent standards</w:t>
      </w:r>
      <w:bookmarkEnd w:id="26"/>
      <w:r w:rsidR="00466D64">
        <w:t xml:space="preserve"> </w:t>
      </w:r>
    </w:p>
    <w:p w14:paraId="2C37D241" w14:textId="77777777" w:rsidR="0026361D" w:rsidRPr="0026361D" w:rsidRDefault="0026361D" w:rsidP="006C1C30">
      <w:pPr>
        <w:pStyle w:val="SubsectionHead"/>
      </w:pPr>
      <w:r>
        <w:t>Comparable emissions standards</w:t>
      </w:r>
    </w:p>
    <w:p w14:paraId="7489D277" w14:textId="77777777" w:rsidR="00A33A60" w:rsidRDefault="00A33A60" w:rsidP="00A33A60">
      <w:pPr>
        <w:pStyle w:val="subsection"/>
      </w:pPr>
      <w:r>
        <w:tab/>
        <w:t>(1)</w:t>
      </w:r>
      <w:r>
        <w:tab/>
        <w:t>For</w:t>
      </w:r>
      <w:r w:rsidR="00466D64">
        <w:t xml:space="preserve"> </w:t>
      </w:r>
      <w:r w:rsidR="00075F6B">
        <w:t xml:space="preserve">paragraph </w:t>
      </w:r>
      <w:r w:rsidR="00466D64">
        <w:t>136(2)(f)</w:t>
      </w:r>
      <w:r w:rsidR="00AC7E67">
        <w:t xml:space="preserve"> of the Rules</w:t>
      </w:r>
      <w:r w:rsidR="00466D64">
        <w:t xml:space="preserve">, this section </w:t>
      </w:r>
      <w:r w:rsidR="0045779B">
        <w:t>prescribes</w:t>
      </w:r>
      <w:r w:rsidR="00466D64">
        <w:t xml:space="preserve"> emissions standards that are comparable to the national road vehicle standards mentioned in subparagraph 131(a)(i) of the Rules.</w:t>
      </w:r>
    </w:p>
    <w:p w14:paraId="665C0AAD" w14:textId="77777777" w:rsidR="00466D64" w:rsidRDefault="00466D64" w:rsidP="00A33A60">
      <w:pPr>
        <w:pStyle w:val="subsection"/>
      </w:pPr>
      <w:r>
        <w:tab/>
        <w:t>(2)</w:t>
      </w:r>
      <w:r>
        <w:tab/>
        <w:t>The standards are standards that require emissions performance</w:t>
      </w:r>
      <w:r w:rsidR="00D54E88">
        <w:t xml:space="preserve"> that is similar to or better than the performance required by </w:t>
      </w:r>
      <w:r w:rsidR="00846D37">
        <w:t xml:space="preserve">the latest applicable </w:t>
      </w:r>
      <w:r w:rsidR="008A49C2">
        <w:t xml:space="preserve">national road vehicle </w:t>
      </w:r>
      <w:r w:rsidR="00846D37">
        <w:t xml:space="preserve">standard. </w:t>
      </w:r>
    </w:p>
    <w:p w14:paraId="74127AF7" w14:textId="77777777" w:rsidR="0026361D" w:rsidRDefault="00AE028B" w:rsidP="00AE028B">
      <w:pPr>
        <w:pStyle w:val="SubsectionHead"/>
      </w:pPr>
      <w:r>
        <w:t>What is the l</w:t>
      </w:r>
      <w:r w:rsidR="0026361D">
        <w:t>atest applicable national road vehicle standard</w:t>
      </w:r>
      <w:r>
        <w:t>?</w:t>
      </w:r>
    </w:p>
    <w:p w14:paraId="04045A0F" w14:textId="77777777" w:rsidR="00846D37" w:rsidRDefault="00846D37" w:rsidP="00A33A60">
      <w:pPr>
        <w:pStyle w:val="subsection"/>
      </w:pPr>
      <w:r>
        <w:tab/>
        <w:t>(3)</w:t>
      </w:r>
      <w:r>
        <w:tab/>
        <w:t xml:space="preserve">The </w:t>
      </w:r>
      <w:r>
        <w:rPr>
          <w:b/>
          <w:i/>
        </w:rPr>
        <w:t>latest applicable</w:t>
      </w:r>
      <w:r w:rsidR="008A49C2">
        <w:rPr>
          <w:b/>
          <w:i/>
        </w:rPr>
        <w:t xml:space="preserve"> national road vehicle </w:t>
      </w:r>
      <w:r>
        <w:rPr>
          <w:b/>
          <w:i/>
        </w:rPr>
        <w:t xml:space="preserve">standard </w:t>
      </w:r>
      <w:r>
        <w:t xml:space="preserve">is the most recent </w:t>
      </w:r>
      <w:r w:rsidR="004E03D3">
        <w:t xml:space="preserve">version of a </w:t>
      </w:r>
      <w:r>
        <w:t>national road vehicle standard relating to emissions</w:t>
      </w:r>
      <w:r w:rsidR="004E03D3">
        <w:t xml:space="preserve"> that applies to the </w:t>
      </w:r>
      <w:r w:rsidR="00A13326">
        <w:t>relevant model or variant</w:t>
      </w:r>
      <w:r w:rsidR="004E03D3">
        <w:t xml:space="preserve">. </w:t>
      </w:r>
    </w:p>
    <w:p w14:paraId="35FF9C89" w14:textId="77777777" w:rsidR="00A13326" w:rsidRPr="00A13326" w:rsidRDefault="00A13326" w:rsidP="00A13326">
      <w:pPr>
        <w:pStyle w:val="notetext"/>
      </w:pPr>
      <w:r>
        <w:t>Note:</w:t>
      </w:r>
      <w:r>
        <w:tab/>
        <w:t xml:space="preserve">‘Relevant model or variant’ is defined in subsection (5). </w:t>
      </w:r>
    </w:p>
    <w:p w14:paraId="2A24F841" w14:textId="77777777" w:rsidR="0026361D" w:rsidRDefault="0026361D" w:rsidP="00AE028B">
      <w:pPr>
        <w:pStyle w:val="SubsectionHead"/>
      </w:pPr>
      <w:r>
        <w:t xml:space="preserve">Date of </w:t>
      </w:r>
      <w:r w:rsidR="00AE028B">
        <w:t xml:space="preserve">SEVs Register application taken to be date of </w:t>
      </w:r>
      <w:r>
        <w:t xml:space="preserve">manufacture </w:t>
      </w:r>
    </w:p>
    <w:p w14:paraId="6754B033" w14:textId="77777777" w:rsidR="00116D47" w:rsidRDefault="004E03D3" w:rsidP="007E4DD7">
      <w:pPr>
        <w:pStyle w:val="subsection"/>
      </w:pPr>
      <w:r>
        <w:tab/>
        <w:t>(4)</w:t>
      </w:r>
      <w:r>
        <w:tab/>
        <w:t xml:space="preserve">In determining which version of a national road vehicle </w:t>
      </w:r>
      <w:r w:rsidR="00116D47">
        <w:t>st</w:t>
      </w:r>
      <w:r w:rsidR="007E4DD7">
        <w:t xml:space="preserve">andard applies to the </w:t>
      </w:r>
      <w:r w:rsidR="00A13326">
        <w:t>relevant model or variant</w:t>
      </w:r>
      <w:r w:rsidR="007E4DD7">
        <w:t xml:space="preserve">, </w:t>
      </w:r>
      <w:r w:rsidR="00116D47">
        <w:t xml:space="preserve">a reference in the standard to </w:t>
      </w:r>
      <w:r>
        <w:t xml:space="preserve">the date of manufacture </w:t>
      </w:r>
      <w:r w:rsidR="00116D47">
        <w:t xml:space="preserve">of a vehicle is to be read as the date of the application for entry on the SEVs Register of the relevant </w:t>
      </w:r>
      <w:r w:rsidR="00A13326">
        <w:t xml:space="preserve">model or </w:t>
      </w:r>
      <w:r w:rsidR="00116D47">
        <w:t>variant</w:t>
      </w:r>
      <w:r w:rsidR="007E4DD7">
        <w:t>.</w:t>
      </w:r>
    </w:p>
    <w:p w14:paraId="36F88585" w14:textId="77777777" w:rsidR="006C1C30" w:rsidRDefault="00AE028B" w:rsidP="00AE028B">
      <w:pPr>
        <w:pStyle w:val="notetext"/>
      </w:pPr>
      <w:r>
        <w:t>Example:</w:t>
      </w:r>
      <w:r>
        <w:tab/>
      </w:r>
      <w:r w:rsidR="006C1C30">
        <w:t>A</w:t>
      </w:r>
      <w:r>
        <w:t xml:space="preserve"> national road vehicle standard relating to emissions</w:t>
      </w:r>
      <w:r w:rsidR="00B13D23">
        <w:t xml:space="preserve"> applies to</w:t>
      </w:r>
      <w:r w:rsidR="006C1C30">
        <w:t xml:space="preserve"> M-category vehicles with a gross vehicle mass </w:t>
      </w:r>
      <w:r w:rsidR="00614D33">
        <w:t>of</w:t>
      </w:r>
      <w:r w:rsidR="00663657">
        <w:t xml:space="preserve"> 3</w:t>
      </w:r>
      <w:r w:rsidR="006C1C30">
        <w:t xml:space="preserve"> tonnes</w:t>
      </w:r>
      <w:r w:rsidR="00614D33">
        <w:t xml:space="preserve"> or less</w:t>
      </w:r>
      <w:r w:rsidR="006C1C30">
        <w:t xml:space="preserve">. </w:t>
      </w:r>
      <w:r w:rsidR="00E657FB">
        <w:t>A</w:t>
      </w:r>
      <w:r w:rsidR="006C1C30">
        <w:t xml:space="preserve"> relevant </w:t>
      </w:r>
      <w:r w:rsidR="00212446">
        <w:t xml:space="preserve">model or </w:t>
      </w:r>
      <w:r w:rsidR="006C1C30">
        <w:t xml:space="preserve">variant meets those criteria. As such, on its face, the standard applies to the </w:t>
      </w:r>
      <w:r w:rsidR="00212446">
        <w:t xml:space="preserve">model or </w:t>
      </w:r>
      <w:r w:rsidR="006C1C30">
        <w:t xml:space="preserve">variant.  </w:t>
      </w:r>
    </w:p>
    <w:p w14:paraId="772715DB" w14:textId="77777777" w:rsidR="00AE028B" w:rsidRDefault="006C1C30" w:rsidP="006C1C30">
      <w:pPr>
        <w:pStyle w:val="notetext"/>
        <w:ind w:firstLine="0"/>
      </w:pPr>
      <w:r>
        <w:t>There are two versions of the standard</w:t>
      </w:r>
      <w:r w:rsidR="00AE028B">
        <w:t xml:space="preserve">. </w:t>
      </w:r>
      <w:r w:rsidR="00C53009">
        <w:t xml:space="preserve">The first version </w:t>
      </w:r>
      <w:r w:rsidR="00AE028B">
        <w:t>applies to vehicles with a ‘date of manufacture’ on or after 1 July 201</w:t>
      </w:r>
      <w:r w:rsidR="00B13D23">
        <w:t>7</w:t>
      </w:r>
      <w:r w:rsidR="00AE028B">
        <w:t xml:space="preserve">, while </w:t>
      </w:r>
      <w:r w:rsidR="00C53009">
        <w:t xml:space="preserve">the </w:t>
      </w:r>
      <w:r w:rsidR="00AE028B">
        <w:t xml:space="preserve">later version applies to vehicles with a ‘date of manufacture’ on or after 1 July 2020. </w:t>
      </w:r>
    </w:p>
    <w:p w14:paraId="317E6AE5" w14:textId="77777777" w:rsidR="0026361D" w:rsidRDefault="00B13D23" w:rsidP="00AE028B">
      <w:pPr>
        <w:pStyle w:val="notetext"/>
        <w:ind w:firstLine="0"/>
      </w:pPr>
      <w:r>
        <w:t xml:space="preserve">Vehicles of the relevant </w:t>
      </w:r>
      <w:r w:rsidR="00212446">
        <w:t xml:space="preserve">model or </w:t>
      </w:r>
      <w:r w:rsidR="00AE028B">
        <w:t xml:space="preserve">variant </w:t>
      </w:r>
      <w:r>
        <w:t xml:space="preserve">were </w:t>
      </w:r>
      <w:r w:rsidR="00AE028B">
        <w:t>manufactured</w:t>
      </w:r>
      <w:r w:rsidR="00633C44">
        <w:t xml:space="preserve"> across 2018</w:t>
      </w:r>
      <w:r w:rsidR="00AE028B">
        <w:t xml:space="preserve">. However, the application for entry </w:t>
      </w:r>
      <w:r>
        <w:t xml:space="preserve">of the </w:t>
      </w:r>
      <w:r w:rsidR="00212446">
        <w:t xml:space="preserve">model or </w:t>
      </w:r>
      <w:r>
        <w:t xml:space="preserve">variant </w:t>
      </w:r>
      <w:r w:rsidR="00AE028B">
        <w:t>on the SEVs Registe</w:t>
      </w:r>
      <w:r w:rsidR="00EF6BA0">
        <w:t>r is made on 1 </w:t>
      </w:r>
      <w:r w:rsidR="00633C44">
        <w:t>December 202</w:t>
      </w:r>
      <w:r w:rsidR="00A36F3C">
        <w:t>1</w:t>
      </w:r>
      <w:r w:rsidR="00AE028B">
        <w:t xml:space="preserve">. </w:t>
      </w:r>
      <w:r>
        <w:t>Accordingly, 1 </w:t>
      </w:r>
      <w:r w:rsidR="004B2168">
        <w:t>December 202</w:t>
      </w:r>
      <w:r w:rsidR="00A36F3C">
        <w:t>1</w:t>
      </w:r>
      <w:r w:rsidR="004B2168">
        <w:t xml:space="preserve"> </w:t>
      </w:r>
      <w:r>
        <w:t>is taken to be the ‘date of manufacture</w:t>
      </w:r>
      <w:r w:rsidR="00B662CE">
        <w:t xml:space="preserve">’, and the </w:t>
      </w:r>
      <w:r>
        <w:t xml:space="preserve">later version of the standard applies. </w:t>
      </w:r>
    </w:p>
    <w:p w14:paraId="59D7A23D" w14:textId="77777777" w:rsidR="003C7549" w:rsidRPr="00AE028B" w:rsidRDefault="007A041D" w:rsidP="00AE028B">
      <w:pPr>
        <w:pStyle w:val="notetext"/>
        <w:ind w:firstLine="0"/>
      </w:pPr>
      <w:r>
        <w:lastRenderedPageBreak/>
        <w:t xml:space="preserve">As such, </w:t>
      </w:r>
      <w:r w:rsidR="004E026D">
        <w:t xml:space="preserve">to be considered ‘comparable’ for the purposes of subparagraph 131(a)(ii) of the Rules, </w:t>
      </w:r>
      <w:r>
        <w:t>the</w:t>
      </w:r>
      <w:r w:rsidR="003C7549">
        <w:t xml:space="preserve"> alternative standard </w:t>
      </w:r>
      <w:r>
        <w:t xml:space="preserve">must require emissions performance that is similar to or better than </w:t>
      </w:r>
      <w:r w:rsidR="003C7549">
        <w:t xml:space="preserve">the later version of the national road vehicle standard. </w:t>
      </w:r>
    </w:p>
    <w:p w14:paraId="4077F034" w14:textId="77777777" w:rsidR="00E84BD1" w:rsidRDefault="00A13326" w:rsidP="00507EB7">
      <w:pPr>
        <w:pStyle w:val="subsection"/>
      </w:pPr>
      <w:r w:rsidRPr="00507EB7">
        <w:rPr>
          <w:rStyle w:val="subsectionChar"/>
        </w:rPr>
        <w:tab/>
        <w:t>(5)</w:t>
      </w:r>
      <w:r w:rsidRPr="00507EB7">
        <w:rPr>
          <w:rStyle w:val="subsectionChar"/>
        </w:rPr>
        <w:tab/>
      </w:r>
      <w:r w:rsidR="00981552" w:rsidRPr="00507EB7">
        <w:rPr>
          <w:rStyle w:val="subsectionChar"/>
        </w:rPr>
        <w:t xml:space="preserve">The </w:t>
      </w:r>
      <w:r w:rsidR="00981552" w:rsidRPr="009B7A6E">
        <w:rPr>
          <w:rStyle w:val="subsectionChar"/>
          <w:b/>
          <w:i/>
        </w:rPr>
        <w:t>r</w:t>
      </w:r>
      <w:r w:rsidRPr="009B7A6E">
        <w:rPr>
          <w:rStyle w:val="subsectionChar"/>
          <w:b/>
          <w:i/>
        </w:rPr>
        <w:t>elevant model or variant</w:t>
      </w:r>
      <w:r w:rsidRPr="00507EB7">
        <w:rPr>
          <w:rStyle w:val="subsectionChar"/>
        </w:rPr>
        <w:t xml:space="preserve"> </w:t>
      </w:r>
      <w:r w:rsidR="00981552" w:rsidRPr="00507EB7">
        <w:rPr>
          <w:rStyle w:val="subsectionChar"/>
        </w:rPr>
        <w:t xml:space="preserve">is </w:t>
      </w:r>
      <w:r w:rsidRPr="00507EB7">
        <w:rPr>
          <w:rStyle w:val="subsectionChar"/>
        </w:rPr>
        <w:t>the make and model</w:t>
      </w:r>
      <w:r w:rsidR="009B7A6E">
        <w:rPr>
          <w:rStyle w:val="subsectionChar"/>
        </w:rPr>
        <w:t xml:space="preserve">, or variant of a model, </w:t>
      </w:r>
      <w:r w:rsidR="009656B1" w:rsidRPr="00507EB7">
        <w:rPr>
          <w:rStyle w:val="subsectionChar"/>
        </w:rPr>
        <w:t>of a road vehicle</w:t>
      </w:r>
      <w:r w:rsidRPr="00507EB7">
        <w:rPr>
          <w:rStyle w:val="subsectionChar"/>
        </w:rPr>
        <w:t xml:space="preserve"> to which the application for entry on the</w:t>
      </w:r>
      <w:r>
        <w:t xml:space="preserve"> SEVs Register relates. </w:t>
      </w:r>
    </w:p>
    <w:p w14:paraId="5446BFE6" w14:textId="77777777" w:rsidR="0023610A" w:rsidRDefault="0023610A" w:rsidP="00A13326">
      <w:pPr>
        <w:pStyle w:val="notedraft"/>
      </w:pPr>
    </w:p>
    <w:p w14:paraId="393CBF8F" w14:textId="77777777" w:rsidR="0023610A" w:rsidRDefault="0023610A">
      <w:pPr>
        <w:spacing w:line="240" w:lineRule="auto"/>
        <w:rPr>
          <w:rFonts w:eastAsia="Times New Roman" w:cs="Times New Roman"/>
          <w:i/>
          <w:sz w:val="24"/>
          <w:lang w:eastAsia="en-AU"/>
        </w:rPr>
      </w:pPr>
      <w:r>
        <w:br w:type="page"/>
      </w:r>
    </w:p>
    <w:p w14:paraId="6A8DA517" w14:textId="77777777" w:rsidR="009D05CA" w:rsidRPr="00C9562F" w:rsidRDefault="009D05CA" w:rsidP="009D05CA">
      <w:pPr>
        <w:pStyle w:val="ActHead3"/>
      </w:pPr>
      <w:bookmarkStart w:id="27" w:name="_Toc66792179"/>
      <w:r w:rsidRPr="00A33A60">
        <w:rPr>
          <w:rStyle w:val="CharDivNo"/>
        </w:rPr>
        <w:lastRenderedPageBreak/>
        <w:t xml:space="preserve">Division </w:t>
      </w:r>
      <w:r>
        <w:rPr>
          <w:rStyle w:val="CharDivNo"/>
        </w:rPr>
        <w:t>4</w:t>
      </w:r>
      <w:r>
        <w:t>—</w:t>
      </w:r>
      <w:r w:rsidRPr="00A33A60">
        <w:rPr>
          <w:rStyle w:val="CharDivText"/>
        </w:rPr>
        <w:t xml:space="preserve">Matters relating to the </w:t>
      </w:r>
      <w:r>
        <w:rPr>
          <w:rStyle w:val="CharDivText"/>
        </w:rPr>
        <w:t xml:space="preserve">campervans and motorhomes </w:t>
      </w:r>
      <w:r w:rsidRPr="00A33A60">
        <w:rPr>
          <w:rStyle w:val="CharDivText"/>
        </w:rPr>
        <w:t>criterion</w:t>
      </w:r>
      <w:bookmarkEnd w:id="27"/>
      <w:r>
        <w:t xml:space="preserve"> </w:t>
      </w:r>
    </w:p>
    <w:p w14:paraId="570362E2" w14:textId="77777777" w:rsidR="00900FFC" w:rsidRDefault="00900FFC" w:rsidP="00900FFC">
      <w:pPr>
        <w:pStyle w:val="ActHead5"/>
      </w:pPr>
      <w:bookmarkStart w:id="28" w:name="_Toc66792180"/>
      <w:r w:rsidRPr="00A669FE">
        <w:rPr>
          <w:rStyle w:val="CharSectno"/>
        </w:rPr>
        <w:t>1</w:t>
      </w:r>
      <w:r>
        <w:rPr>
          <w:rStyle w:val="CharSectno"/>
        </w:rPr>
        <w:t>7</w:t>
      </w:r>
      <w:r>
        <w:t xml:space="preserve">  Campervans and motorhomes criterion—</w:t>
      </w:r>
      <w:r w:rsidR="007D3E67">
        <w:t>identifying when a vehicle is a campervan or motorhome</w:t>
      </w:r>
      <w:bookmarkEnd w:id="28"/>
      <w:r w:rsidR="007D3E67">
        <w:t xml:space="preserve"> </w:t>
      </w:r>
    </w:p>
    <w:p w14:paraId="37F557C9" w14:textId="77777777" w:rsidR="00900FFC" w:rsidRDefault="00900FFC" w:rsidP="00900FFC">
      <w:pPr>
        <w:pStyle w:val="subsection"/>
      </w:pPr>
      <w:r>
        <w:tab/>
        <w:t>(1)</w:t>
      </w:r>
      <w:r>
        <w:tab/>
        <w:t>For paragraph 136(2)(h) of the Rules, this section</w:t>
      </w:r>
      <w:r w:rsidR="0045779B">
        <w:t xml:space="preserve"> prescribes</w:t>
      </w:r>
      <w:r>
        <w:t>:</w:t>
      </w:r>
    </w:p>
    <w:p w14:paraId="5A359222" w14:textId="77777777" w:rsidR="00900FFC" w:rsidRDefault="00900FFC" w:rsidP="00900FFC">
      <w:pPr>
        <w:pStyle w:val="paragraph"/>
      </w:pPr>
      <w:r>
        <w:tab/>
        <w:t>(a)</w:t>
      </w:r>
      <w:r>
        <w:tab/>
        <w:t xml:space="preserve">road vehicles that are not campervans or motorhomes; and </w:t>
      </w:r>
    </w:p>
    <w:p w14:paraId="54341391" w14:textId="77777777" w:rsidR="00900FFC" w:rsidRDefault="00900FFC" w:rsidP="00900FFC">
      <w:pPr>
        <w:pStyle w:val="paragraph"/>
      </w:pPr>
      <w:r>
        <w:tab/>
        <w:t>(b)</w:t>
      </w:r>
      <w:r>
        <w:tab/>
        <w:t xml:space="preserve">factors relevant to determining whether a road vehicle is a campervan or motorhome.  </w:t>
      </w:r>
    </w:p>
    <w:p w14:paraId="6CDF8D1F" w14:textId="77777777" w:rsidR="00900FFC" w:rsidRDefault="00900FFC" w:rsidP="00900FFC">
      <w:pPr>
        <w:pStyle w:val="subsection"/>
      </w:pPr>
      <w:r>
        <w:tab/>
        <w:t>(2)</w:t>
      </w:r>
      <w:r>
        <w:tab/>
        <w:t>A vehicle is not a campervan if it has a gross vehicle mass of more than 3.5 tonnes.</w:t>
      </w:r>
    </w:p>
    <w:p w14:paraId="5735CA3B" w14:textId="77777777" w:rsidR="00900FFC" w:rsidRDefault="00900FFC" w:rsidP="00900FFC">
      <w:pPr>
        <w:pStyle w:val="subsection"/>
      </w:pPr>
      <w:r>
        <w:tab/>
        <w:t>(3)</w:t>
      </w:r>
      <w:r>
        <w:tab/>
        <w:t>A vehicle can only be a campervan or motorhome if it has one of the following body shapes:</w:t>
      </w:r>
    </w:p>
    <w:p w14:paraId="459C2FE5" w14:textId="77777777" w:rsidR="00900FFC" w:rsidRDefault="00900FFC" w:rsidP="00900FFC">
      <w:pPr>
        <w:pStyle w:val="paragraph"/>
      </w:pPr>
      <w:r>
        <w:tab/>
        <w:t>(a)</w:t>
      </w:r>
      <w:r>
        <w:tab/>
        <w:t>bus;</w:t>
      </w:r>
    </w:p>
    <w:p w14:paraId="13E644B4" w14:textId="77777777" w:rsidR="00900FFC" w:rsidRDefault="00900FFC" w:rsidP="00900FFC">
      <w:pPr>
        <w:pStyle w:val="paragraph"/>
      </w:pPr>
      <w:r>
        <w:tab/>
        <w:t>(b)</w:t>
      </w:r>
      <w:r>
        <w:tab/>
        <w:t>cab chassis;</w:t>
      </w:r>
    </w:p>
    <w:p w14:paraId="03E65F12" w14:textId="77777777" w:rsidR="00900FFC" w:rsidRDefault="00900FFC" w:rsidP="00900FFC">
      <w:pPr>
        <w:pStyle w:val="paragraph"/>
      </w:pPr>
      <w:r>
        <w:tab/>
        <w:t>(c)</w:t>
      </w:r>
      <w:r>
        <w:tab/>
        <w:t>truck;</w:t>
      </w:r>
    </w:p>
    <w:p w14:paraId="37D9F96D" w14:textId="77777777" w:rsidR="00900FFC" w:rsidRDefault="00900FFC" w:rsidP="00900FFC">
      <w:pPr>
        <w:pStyle w:val="paragraph"/>
      </w:pPr>
      <w:r>
        <w:tab/>
        <w:t>(d)</w:t>
      </w:r>
      <w:r>
        <w:tab/>
        <w:t xml:space="preserve">utility vehicle; </w:t>
      </w:r>
    </w:p>
    <w:p w14:paraId="404293CE" w14:textId="77777777" w:rsidR="0089778B" w:rsidRPr="00AE1A82" w:rsidRDefault="00900FFC" w:rsidP="00900FFC">
      <w:pPr>
        <w:pStyle w:val="paragraph"/>
        <w:rPr>
          <w:highlight w:val="yellow"/>
        </w:rPr>
      </w:pPr>
      <w:r>
        <w:tab/>
        <w:t>(e)</w:t>
      </w:r>
      <w:r>
        <w:tab/>
        <w:t>van or people-mover.</w:t>
      </w:r>
    </w:p>
    <w:sectPr w:rsidR="0089778B" w:rsidRPr="00AE1A82" w:rsidSect="0024301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2C671" w14:textId="77777777" w:rsidR="004724FE" w:rsidRDefault="004724FE" w:rsidP="00715914">
      <w:pPr>
        <w:spacing w:line="240" w:lineRule="auto"/>
      </w:pPr>
      <w:r>
        <w:separator/>
      </w:r>
    </w:p>
  </w:endnote>
  <w:endnote w:type="continuationSeparator" w:id="0">
    <w:p w14:paraId="6D3FB0E9" w14:textId="77777777" w:rsidR="004724FE" w:rsidRDefault="004724F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D14F0A" w14:paraId="50340E6D" w14:textId="77777777" w:rsidTr="00F51A29">
      <w:tc>
        <w:tcPr>
          <w:tcW w:w="8472" w:type="dxa"/>
        </w:tcPr>
        <w:p w14:paraId="685A15CA" w14:textId="690EFDBB" w:rsidR="00D14F0A" w:rsidRDefault="00D14F0A" w:rsidP="00335BC6">
          <w:pPr>
            <w:jc w:val="right"/>
            <w:rPr>
              <w:sz w:val="18"/>
            </w:rPr>
          </w:pPr>
          <w:r>
            <w:rPr>
              <w:i/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3632" behindDoc="1" locked="0" layoutInCell="1" allowOverlap="1" wp14:anchorId="4ACF764C" wp14:editId="13FA28E7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5B8618" w14:textId="77777777" w:rsidR="00D14F0A" w:rsidRPr="00284719" w:rsidRDefault="00D14F0A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C022BE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>Error! Unknown document property name.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CF764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7" type="#_x0000_t202" style="position:absolute;left:0;text-align:left;margin-left:0;margin-top:793.7pt;width:347.25pt;height:31.5pt;z-index:-2516628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" stroked="f">
                    <v:stroke joinstyle="round"/>
                    <v:path arrowok="t"/>
                    <v:textbox>
                      <w:txbxContent>
                        <w:p w14:paraId="165B8618" w14:textId="77777777" w:rsidR="00D14F0A" w:rsidRPr="00284719" w:rsidRDefault="00D14F0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22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04035">
            <w:rPr>
              <w:i/>
              <w:noProof/>
              <w:sz w:val="18"/>
            </w:rPr>
            <w:t>H:\My Documents\20210316 For Signature - Road Vehicle Standards (Additional Matters Relating to Eligibility for a Road Vehicle to be Entered on the Specialist and Enthusiast Vehicles Register) Determination 2021.docx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76B38">
            <w:rPr>
              <w:i/>
              <w:noProof/>
              <w:sz w:val="18"/>
            </w:rPr>
            <w:t>30/3/2021 11:28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1A3EEA" w14:textId="77777777" w:rsidR="00D14F0A" w:rsidRPr="007500C8" w:rsidRDefault="00D14F0A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AC567" w14:textId="77777777" w:rsidR="00D14F0A" w:rsidRDefault="00D14F0A" w:rsidP="007500C8">
    <w:pPr>
      <w:pStyle w:val="Footer"/>
    </w:pPr>
  </w:p>
  <w:p w14:paraId="1153B505" w14:textId="77777777" w:rsidR="00D14F0A" w:rsidRDefault="00D14F0A" w:rsidP="003050E4">
    <w:pPr>
      <w:pStyle w:val="Footer"/>
    </w:pPr>
  </w:p>
  <w:p w14:paraId="535447EC" w14:textId="77777777" w:rsidR="00682629" w:rsidRPr="00682629" w:rsidRDefault="00682629" w:rsidP="00682629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9979C" w14:textId="77777777" w:rsidR="00D14F0A" w:rsidRPr="00ED79B6" w:rsidRDefault="00D14F0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6D56" w14:textId="77777777" w:rsidR="00D14F0A" w:rsidRPr="00E33C1C" w:rsidRDefault="00D14F0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615E1FB" wp14:editId="408B49D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26226E" w14:textId="77777777" w:rsidR="00D14F0A" w:rsidRPr="00284719" w:rsidRDefault="00D14F0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22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15E1FB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margin-left:0;margin-top:793.7pt;width:347.25pt;height:31.5pt;z-index:-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" stroked="f">
              <v:stroke joinstyle="round"/>
              <v:path arrowok="t"/>
              <v:textbox>
                <w:txbxContent>
                  <w:p w14:paraId="3126226E" w14:textId="77777777" w:rsidR="00D14F0A" w:rsidRPr="00284719" w:rsidRDefault="00D14F0A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22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14F0A" w14:paraId="2275E7B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03ABC2" w14:textId="77777777" w:rsidR="00D14F0A" w:rsidRDefault="00D14F0A" w:rsidP="00F51A2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403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E0E420" w14:textId="77777777" w:rsidR="00D14F0A" w:rsidRDefault="00D14F0A" w:rsidP="00F51A2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04035">
            <w:rPr>
              <w:i/>
              <w:noProof/>
              <w:sz w:val="18"/>
            </w:rPr>
            <w:t>Road Vehicle Standards (Additional Matters Relating to Eligibility for a Road Vehicle to be Entered on the Specialist and Enthusiast Vehicles Register) Determination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09C97BC" w14:textId="77777777" w:rsidR="00D14F0A" w:rsidRDefault="00D14F0A" w:rsidP="00F51A29">
          <w:pPr>
            <w:spacing w:line="0" w:lineRule="atLeast"/>
            <w:jc w:val="right"/>
            <w:rPr>
              <w:sz w:val="18"/>
            </w:rPr>
          </w:pPr>
        </w:p>
      </w:tc>
    </w:tr>
    <w:tr w:rsidR="00D14F0A" w14:paraId="7BEA8EB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47C202" w14:textId="31606165" w:rsidR="00D14F0A" w:rsidRDefault="00D14F0A" w:rsidP="00F51A2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04035">
            <w:rPr>
              <w:i/>
              <w:noProof/>
              <w:sz w:val="18"/>
            </w:rPr>
            <w:t>H:\My Documents\20210316 For Signature - Road Vehicle Standards (Additional Matters Relating to Eligibility for a Road Vehicle to be Entered on the Specialist and Enthusiast Vehicles Register) Determination 2021.docx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76B38">
            <w:rPr>
              <w:i/>
              <w:noProof/>
              <w:sz w:val="18"/>
            </w:rPr>
            <w:t>30/3/2021 11:28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728B20" w14:textId="77777777" w:rsidR="00D14F0A" w:rsidRPr="00ED79B6" w:rsidRDefault="00D14F0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41640" w14:textId="77777777" w:rsidR="00D14F0A" w:rsidRPr="00E33C1C" w:rsidRDefault="00D14F0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D14F0A" w14:paraId="2E9C3BFE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A966233" w14:textId="77777777" w:rsidR="00D14F0A" w:rsidRDefault="00D14F0A" w:rsidP="00F51A2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6422D45" w14:textId="158879B2" w:rsidR="00D14F0A" w:rsidRDefault="00D14F0A" w:rsidP="00F51A2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76B38">
            <w:rPr>
              <w:i/>
              <w:noProof/>
              <w:sz w:val="18"/>
            </w:rPr>
            <w:t>Road Vehicle Standards (Additional Matters Relating to Eligibility for a Road Vehicle to be Entered on the Specialist and Enthusiast Vehicles Register) Determination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CF9BE3" w14:textId="448BB02D" w:rsidR="00D14F0A" w:rsidRDefault="00D14F0A" w:rsidP="00F51A2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6B3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B641A9" w14:textId="77777777" w:rsidR="00D14F0A" w:rsidRDefault="00D14F0A" w:rsidP="00120305"/>
  <w:p w14:paraId="7D01C7AF" w14:textId="77777777" w:rsidR="00682629" w:rsidRPr="00682629" w:rsidRDefault="00682629" w:rsidP="00682629">
    <w:pPr>
      <w:pStyle w:val="Footer"/>
      <w:rPr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B918C" w14:textId="77777777" w:rsidR="00D14F0A" w:rsidRPr="00E33C1C" w:rsidRDefault="00D14F0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14F0A" w14:paraId="12BFA5C2" w14:textId="77777777" w:rsidTr="00A541C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EB6D9F" w14:textId="6CEED401" w:rsidR="00D14F0A" w:rsidRDefault="00D14F0A" w:rsidP="00F51A2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6B38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D9245C" w14:textId="642F011E" w:rsidR="00D14F0A" w:rsidRDefault="00D14F0A" w:rsidP="00F51A2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76B38">
            <w:rPr>
              <w:i/>
              <w:noProof/>
              <w:sz w:val="18"/>
            </w:rPr>
            <w:t>Road Vehicle Standards (Additional Matters Relating to Eligibility for a Road Vehicle to be Entered on the Specialist and Enthusiast Vehicles Register) Determination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54AEB7" w14:textId="77777777" w:rsidR="00D14F0A" w:rsidRDefault="00D14F0A" w:rsidP="00F51A29">
          <w:pPr>
            <w:spacing w:line="0" w:lineRule="atLeast"/>
            <w:jc w:val="right"/>
            <w:rPr>
              <w:sz w:val="18"/>
            </w:rPr>
          </w:pPr>
        </w:p>
      </w:tc>
    </w:tr>
  </w:tbl>
  <w:p w14:paraId="5D46BFF1" w14:textId="77777777" w:rsidR="00D14F0A" w:rsidRPr="00ED79B6" w:rsidRDefault="00D14F0A" w:rsidP="007500C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9F955" w14:textId="77777777" w:rsidR="00D14F0A" w:rsidRPr="00E33C1C" w:rsidRDefault="00D14F0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D14F0A" w14:paraId="6E2B88CF" w14:textId="77777777" w:rsidTr="00F51A2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5F06C6" w14:textId="77777777" w:rsidR="00D14F0A" w:rsidRDefault="00D14F0A" w:rsidP="00F51A2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93AC0E" w14:textId="3007D16A" w:rsidR="00D14F0A" w:rsidRDefault="00D14F0A" w:rsidP="00F51A2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76B38">
            <w:rPr>
              <w:i/>
              <w:noProof/>
              <w:sz w:val="18"/>
            </w:rPr>
            <w:t>Road Vehicle Standards (Additional Matters Relating to Eligibility for a Road Vehicle to be Entered on the Specialist and Enthusiast Vehicles Register) Determination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3C4B8F" w14:textId="1E3F626B" w:rsidR="00D14F0A" w:rsidRDefault="00D14F0A" w:rsidP="00F51A2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6B38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72C6191" w14:textId="77777777" w:rsidR="00D14F0A" w:rsidRDefault="00D14F0A" w:rsidP="00472DBE">
    <w:pPr>
      <w:rPr>
        <w:i/>
        <w:sz w:val="18"/>
      </w:rPr>
    </w:pPr>
  </w:p>
  <w:p w14:paraId="1CA7AE9A" w14:textId="77777777" w:rsidR="00D14F0A" w:rsidRDefault="00D14F0A" w:rsidP="00120305"/>
  <w:p w14:paraId="67E202E4" w14:textId="77777777" w:rsidR="00682629" w:rsidRPr="00682629" w:rsidRDefault="00682629" w:rsidP="00682629">
    <w:pPr>
      <w:pStyle w:val="Footer"/>
      <w:rPr>
        <w:sz w:val="16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811CE" w14:textId="77777777" w:rsidR="00D14F0A" w:rsidRPr="00E33C1C" w:rsidRDefault="00D14F0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14F0A" w14:paraId="1207CC9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3FF629" w14:textId="77777777" w:rsidR="00D14F0A" w:rsidRDefault="00D14F0A" w:rsidP="00F51A2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D35311" w14:textId="77777777" w:rsidR="00D14F0A" w:rsidRDefault="00D14F0A" w:rsidP="00F51A2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403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269AA8" w14:textId="77777777" w:rsidR="00D14F0A" w:rsidRDefault="00D14F0A" w:rsidP="00F51A2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403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14F0A" w14:paraId="55A6219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40811D" w14:textId="2595922D" w:rsidR="00D14F0A" w:rsidRDefault="00D14F0A" w:rsidP="00F51A29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04035">
            <w:rPr>
              <w:i/>
              <w:noProof/>
              <w:sz w:val="18"/>
            </w:rPr>
            <w:t>H:\My Documents\20210316 For Signature - Road Vehicle Standards (Additional Matters Relating to Eligibility for a Road Vehicle to be Entered on the Specialist and Enthusiast Vehicles Register) Determination 2021.docx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76B38">
            <w:rPr>
              <w:i/>
              <w:noProof/>
              <w:sz w:val="18"/>
            </w:rPr>
            <w:t>30/3/2021 11:28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63281E" w14:textId="77777777" w:rsidR="00D14F0A" w:rsidRPr="00ED79B6" w:rsidRDefault="00D14F0A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C7129" w14:textId="77777777" w:rsidR="004724FE" w:rsidRDefault="004724FE" w:rsidP="00715914">
      <w:pPr>
        <w:spacing w:line="240" w:lineRule="auto"/>
      </w:pPr>
      <w:r>
        <w:separator/>
      </w:r>
    </w:p>
  </w:footnote>
  <w:footnote w:type="continuationSeparator" w:id="0">
    <w:p w14:paraId="0D3F9881" w14:textId="77777777" w:rsidR="004724FE" w:rsidRDefault="004724F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737EB" w14:textId="77777777" w:rsidR="00D14F0A" w:rsidRPr="005F1388" w:rsidRDefault="00D14F0A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16CFDB3F" wp14:editId="3F1AC5C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FB082C" w14:textId="77777777" w:rsidR="00D14F0A" w:rsidRPr="00284719" w:rsidRDefault="00D14F0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22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CFDB3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" stroked="f">
              <v:stroke joinstyle="round"/>
              <v:path arrowok="t"/>
              <v:textbox>
                <w:txbxContent>
                  <w:p w14:paraId="68FB082C" w14:textId="77777777" w:rsidR="00D14F0A" w:rsidRPr="00284719" w:rsidRDefault="00D14F0A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22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0CEC0" w14:textId="77777777" w:rsidR="00D14F0A" w:rsidRPr="005F1388" w:rsidRDefault="00D14F0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25A1D" w14:textId="77777777" w:rsidR="00D14F0A" w:rsidRPr="005F1388" w:rsidRDefault="00D14F0A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F9D68" w14:textId="77777777" w:rsidR="00D14F0A" w:rsidRPr="00ED79B6" w:rsidRDefault="00D14F0A" w:rsidP="00F67BC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A700E43" wp14:editId="67E0074A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1BAA76" w14:textId="77777777" w:rsidR="00D14F0A" w:rsidRPr="00284719" w:rsidRDefault="00D14F0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22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700E4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" stroked="f">
              <v:stroke joinstyle="round"/>
              <v:path arrowok="t"/>
              <v:textbox>
                <w:txbxContent>
                  <w:p w14:paraId="2C1BAA76" w14:textId="77777777" w:rsidR="00D14F0A" w:rsidRPr="00284719" w:rsidRDefault="00D14F0A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22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EF5C" w14:textId="77777777" w:rsidR="00D14F0A" w:rsidRPr="00ED79B6" w:rsidRDefault="00D14F0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491B4" w14:textId="77777777" w:rsidR="00D14F0A" w:rsidRPr="00ED79B6" w:rsidRDefault="00D14F0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E8516" w14:textId="03E5D96C" w:rsidR="00D14F0A" w:rsidRDefault="00D14F0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41464C7" w14:textId="06C8B120" w:rsidR="00D14F0A" w:rsidRDefault="00D14F0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F76B38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F76B38">
      <w:rPr>
        <w:noProof/>
        <w:sz w:val="20"/>
      </w:rPr>
      <w:t>Matters relating to entry on the SEVs Register</w:t>
    </w:r>
    <w:r>
      <w:rPr>
        <w:sz w:val="20"/>
      </w:rPr>
      <w:fldChar w:fldCharType="end"/>
    </w:r>
  </w:p>
  <w:p w14:paraId="6D6ADA37" w14:textId="30C5ABCC" w:rsidR="00D14F0A" w:rsidRPr="007A1328" w:rsidRDefault="00D14F0A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F76B38">
      <w:rPr>
        <w:b/>
        <w:noProof/>
        <w:sz w:val="20"/>
      </w:rPr>
      <w:t>Division 3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F76B38">
      <w:rPr>
        <w:noProof/>
        <w:sz w:val="20"/>
      </w:rPr>
      <w:t>Matters relating to the environmental criterion</w:t>
    </w:r>
    <w:r>
      <w:rPr>
        <w:sz w:val="20"/>
      </w:rPr>
      <w:fldChar w:fldCharType="end"/>
    </w:r>
  </w:p>
  <w:p w14:paraId="37426B77" w14:textId="77777777" w:rsidR="00D14F0A" w:rsidRPr="007A1328" w:rsidRDefault="00D14F0A" w:rsidP="00715914">
    <w:pPr>
      <w:rPr>
        <w:b/>
        <w:sz w:val="24"/>
      </w:rPr>
    </w:pPr>
  </w:p>
  <w:p w14:paraId="0A2174E6" w14:textId="3849009C" w:rsidR="00D14F0A" w:rsidRPr="007A1328" w:rsidRDefault="00D14F0A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76B38">
      <w:rPr>
        <w:noProof/>
        <w:sz w:val="24"/>
      </w:rPr>
      <w:t>16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67BF" w14:textId="57FADCED" w:rsidR="00D14F0A" w:rsidRPr="007A1328" w:rsidRDefault="00D14F0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C7FCDD2" w14:textId="2A179D2E" w:rsidR="00D14F0A" w:rsidRPr="007A1328" w:rsidRDefault="00D14F0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F76B38">
      <w:rPr>
        <w:sz w:val="20"/>
      </w:rPr>
      <w:fldChar w:fldCharType="separate"/>
    </w:r>
    <w:r w:rsidR="00F76B38">
      <w:rPr>
        <w:noProof/>
        <w:sz w:val="20"/>
      </w:rPr>
      <w:t>Matters relating to entry on the SEVs Register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F76B38">
      <w:rPr>
        <w:b/>
        <w:sz w:val="20"/>
      </w:rPr>
      <w:fldChar w:fldCharType="separate"/>
    </w:r>
    <w:r w:rsidR="00F76B38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2E07DD69" w14:textId="6A6971DE" w:rsidR="00D14F0A" w:rsidRPr="007A1328" w:rsidRDefault="00D14F0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="00F76B38">
      <w:rPr>
        <w:sz w:val="20"/>
      </w:rPr>
      <w:fldChar w:fldCharType="separate"/>
    </w:r>
    <w:r w:rsidR="00F76B38">
      <w:rPr>
        <w:noProof/>
        <w:sz w:val="20"/>
      </w:rPr>
      <w:t>Matters relating to the campervans and motorhomes criterion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F76B38">
      <w:rPr>
        <w:b/>
        <w:sz w:val="20"/>
      </w:rPr>
      <w:fldChar w:fldCharType="separate"/>
    </w:r>
    <w:r w:rsidR="00F76B38">
      <w:rPr>
        <w:b/>
        <w:noProof/>
        <w:sz w:val="20"/>
      </w:rPr>
      <w:t>Division 4</w:t>
    </w:r>
    <w:r>
      <w:rPr>
        <w:b/>
        <w:sz w:val="20"/>
      </w:rPr>
      <w:fldChar w:fldCharType="end"/>
    </w:r>
  </w:p>
  <w:p w14:paraId="7EC5E31A" w14:textId="77777777" w:rsidR="00D14F0A" w:rsidRPr="007A1328" w:rsidRDefault="00D14F0A" w:rsidP="00715914">
    <w:pPr>
      <w:jc w:val="right"/>
      <w:rPr>
        <w:b/>
        <w:sz w:val="24"/>
      </w:rPr>
    </w:pPr>
  </w:p>
  <w:p w14:paraId="08A6541C" w14:textId="0D1A0C12" w:rsidR="00D14F0A" w:rsidRPr="007A1328" w:rsidRDefault="00D14F0A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</w:t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76B38">
      <w:rPr>
        <w:noProof/>
        <w:sz w:val="24"/>
      </w:rPr>
      <w:t>17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574B0" w14:textId="77777777" w:rsidR="00D14F0A" w:rsidRPr="007A1328" w:rsidRDefault="00D14F0A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09464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4D6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CCC3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8E9C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87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5E2A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CECD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22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26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344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EF58D6"/>
    <w:multiLevelType w:val="hybridMultilevel"/>
    <w:tmpl w:val="D39E0C46"/>
    <w:lvl w:ilvl="0" w:tplc="0CDA88A0">
      <w:start w:val="1"/>
      <w:numFmt w:val="lowerLetter"/>
      <w:lvlText w:val="(%1)"/>
      <w:lvlJc w:val="left"/>
      <w:pPr>
        <w:ind w:left="855" w:hanging="360"/>
      </w:pPr>
    </w:lvl>
    <w:lvl w:ilvl="1" w:tplc="0C090019">
      <w:start w:val="1"/>
      <w:numFmt w:val="lowerLetter"/>
      <w:lvlText w:val="%2."/>
      <w:lvlJc w:val="left"/>
      <w:pPr>
        <w:ind w:left="1575" w:hanging="360"/>
      </w:pPr>
    </w:lvl>
    <w:lvl w:ilvl="2" w:tplc="0C09001B">
      <w:start w:val="1"/>
      <w:numFmt w:val="lowerRoman"/>
      <w:lvlText w:val="%3."/>
      <w:lvlJc w:val="right"/>
      <w:pPr>
        <w:ind w:left="2295" w:hanging="180"/>
      </w:pPr>
    </w:lvl>
    <w:lvl w:ilvl="3" w:tplc="0C09000F">
      <w:start w:val="1"/>
      <w:numFmt w:val="decimal"/>
      <w:lvlText w:val="%4."/>
      <w:lvlJc w:val="left"/>
      <w:pPr>
        <w:ind w:left="3015" w:hanging="360"/>
      </w:pPr>
    </w:lvl>
    <w:lvl w:ilvl="4" w:tplc="0C090019">
      <w:start w:val="1"/>
      <w:numFmt w:val="lowerLetter"/>
      <w:lvlText w:val="%5."/>
      <w:lvlJc w:val="left"/>
      <w:pPr>
        <w:ind w:left="3735" w:hanging="360"/>
      </w:pPr>
    </w:lvl>
    <w:lvl w:ilvl="5" w:tplc="0C09001B">
      <w:start w:val="1"/>
      <w:numFmt w:val="lowerRoman"/>
      <w:lvlText w:val="%6."/>
      <w:lvlJc w:val="right"/>
      <w:pPr>
        <w:ind w:left="4455" w:hanging="180"/>
      </w:pPr>
    </w:lvl>
    <w:lvl w:ilvl="6" w:tplc="0C09000F">
      <w:start w:val="1"/>
      <w:numFmt w:val="decimal"/>
      <w:lvlText w:val="%7."/>
      <w:lvlJc w:val="left"/>
      <w:pPr>
        <w:ind w:left="5175" w:hanging="360"/>
      </w:pPr>
    </w:lvl>
    <w:lvl w:ilvl="7" w:tplc="0C090019">
      <w:start w:val="1"/>
      <w:numFmt w:val="lowerLetter"/>
      <w:lvlText w:val="%8."/>
      <w:lvlJc w:val="left"/>
      <w:pPr>
        <w:ind w:left="5895" w:hanging="360"/>
      </w:pPr>
    </w:lvl>
    <w:lvl w:ilvl="8" w:tplc="0C09001B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11797E02"/>
    <w:multiLevelType w:val="hybridMultilevel"/>
    <w:tmpl w:val="D90C33FE"/>
    <w:lvl w:ilvl="0" w:tplc="0C09000F">
      <w:start w:val="1"/>
      <w:numFmt w:val="decimal"/>
      <w:lvlText w:val="%1."/>
      <w:lvlJc w:val="left"/>
      <w:pPr>
        <w:ind w:left="495" w:hanging="495"/>
      </w:pPr>
    </w:lvl>
    <w:lvl w:ilvl="1" w:tplc="0CDA88A0">
      <w:start w:val="1"/>
      <w:numFmt w:val="lowerLetter"/>
      <w:lvlText w:val="(%2)"/>
      <w:lvlJc w:val="left"/>
      <w:pPr>
        <w:ind w:left="1800" w:hanging="72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CF7528"/>
    <w:multiLevelType w:val="hybridMultilevel"/>
    <w:tmpl w:val="BC00C9F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A015D76"/>
    <w:multiLevelType w:val="hybridMultilevel"/>
    <w:tmpl w:val="D39E0C46"/>
    <w:lvl w:ilvl="0" w:tplc="0CDA88A0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5B2794"/>
    <w:multiLevelType w:val="multilevel"/>
    <w:tmpl w:val="2FE02ABC"/>
    <w:lvl w:ilvl="0">
      <w:start w:val="1"/>
      <w:numFmt w:val="lowerRoman"/>
      <w:lvlText w:val="%1."/>
      <w:lvlJc w:val="right"/>
      <w:pPr>
        <w:tabs>
          <w:tab w:val="left" w:pos="360"/>
        </w:tabs>
        <w:ind w:left="0" w:firstLine="0"/>
      </w:pPr>
      <w:rPr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87D7585"/>
    <w:multiLevelType w:val="hybridMultilevel"/>
    <w:tmpl w:val="62280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34500"/>
    <w:multiLevelType w:val="hybridMultilevel"/>
    <w:tmpl w:val="D90C33FE"/>
    <w:lvl w:ilvl="0" w:tplc="0C09000F">
      <w:start w:val="1"/>
      <w:numFmt w:val="decimal"/>
      <w:lvlText w:val="%1."/>
      <w:lvlJc w:val="left"/>
      <w:pPr>
        <w:ind w:left="495" w:hanging="495"/>
      </w:pPr>
    </w:lvl>
    <w:lvl w:ilvl="1" w:tplc="0CDA88A0">
      <w:start w:val="1"/>
      <w:numFmt w:val="lowerLetter"/>
      <w:lvlText w:val="(%2)"/>
      <w:lvlJc w:val="left"/>
      <w:pPr>
        <w:ind w:left="1800" w:hanging="72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3077E"/>
    <w:multiLevelType w:val="hybridMultilevel"/>
    <w:tmpl w:val="D39E0C46"/>
    <w:lvl w:ilvl="0" w:tplc="0CDA88A0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F76103"/>
    <w:multiLevelType w:val="hybridMultilevel"/>
    <w:tmpl w:val="9D32F756"/>
    <w:lvl w:ilvl="0" w:tplc="FBAC7B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D757EDF"/>
    <w:multiLevelType w:val="hybridMultilevel"/>
    <w:tmpl w:val="87F4078C"/>
    <w:lvl w:ilvl="0" w:tplc="474EF11C">
      <w:start w:val="1"/>
      <w:numFmt w:val="lowerLetter"/>
      <w:lvlText w:val="(%1)"/>
      <w:lvlJc w:val="left"/>
      <w:pPr>
        <w:ind w:left="16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360" w:hanging="360"/>
      </w:pPr>
    </w:lvl>
    <w:lvl w:ilvl="2" w:tplc="0809001B" w:tentative="1">
      <w:start w:val="1"/>
      <w:numFmt w:val="lowerRoman"/>
      <w:lvlText w:val="%3."/>
      <w:lvlJc w:val="right"/>
      <w:pPr>
        <w:ind w:left="3080" w:hanging="180"/>
      </w:pPr>
    </w:lvl>
    <w:lvl w:ilvl="3" w:tplc="0809000F" w:tentative="1">
      <w:start w:val="1"/>
      <w:numFmt w:val="decimal"/>
      <w:lvlText w:val="%4."/>
      <w:lvlJc w:val="left"/>
      <w:pPr>
        <w:ind w:left="3800" w:hanging="360"/>
      </w:pPr>
    </w:lvl>
    <w:lvl w:ilvl="4" w:tplc="08090019" w:tentative="1">
      <w:start w:val="1"/>
      <w:numFmt w:val="lowerLetter"/>
      <w:lvlText w:val="%5."/>
      <w:lvlJc w:val="left"/>
      <w:pPr>
        <w:ind w:left="4520" w:hanging="360"/>
      </w:pPr>
    </w:lvl>
    <w:lvl w:ilvl="5" w:tplc="0809001B" w:tentative="1">
      <w:start w:val="1"/>
      <w:numFmt w:val="lowerRoman"/>
      <w:lvlText w:val="%6."/>
      <w:lvlJc w:val="right"/>
      <w:pPr>
        <w:ind w:left="5240" w:hanging="180"/>
      </w:pPr>
    </w:lvl>
    <w:lvl w:ilvl="6" w:tplc="0809000F" w:tentative="1">
      <w:start w:val="1"/>
      <w:numFmt w:val="decimal"/>
      <w:lvlText w:val="%7."/>
      <w:lvlJc w:val="left"/>
      <w:pPr>
        <w:ind w:left="5960" w:hanging="360"/>
      </w:pPr>
    </w:lvl>
    <w:lvl w:ilvl="7" w:tplc="08090019" w:tentative="1">
      <w:start w:val="1"/>
      <w:numFmt w:val="lowerLetter"/>
      <w:lvlText w:val="%8."/>
      <w:lvlJc w:val="left"/>
      <w:pPr>
        <w:ind w:left="6680" w:hanging="360"/>
      </w:pPr>
    </w:lvl>
    <w:lvl w:ilvl="8" w:tplc="08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22" w15:restartNumberingAfterBreak="0">
    <w:nsid w:val="46A31A00"/>
    <w:multiLevelType w:val="hybridMultilevel"/>
    <w:tmpl w:val="D39E0C46"/>
    <w:lvl w:ilvl="0" w:tplc="0CDA88A0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FE0F8A"/>
    <w:multiLevelType w:val="hybridMultilevel"/>
    <w:tmpl w:val="D90C33FE"/>
    <w:lvl w:ilvl="0" w:tplc="0C09000F">
      <w:start w:val="1"/>
      <w:numFmt w:val="decimal"/>
      <w:lvlText w:val="%1."/>
      <w:lvlJc w:val="left"/>
      <w:pPr>
        <w:ind w:left="495" w:hanging="495"/>
      </w:pPr>
    </w:lvl>
    <w:lvl w:ilvl="1" w:tplc="0CDA88A0">
      <w:start w:val="1"/>
      <w:numFmt w:val="lowerLetter"/>
      <w:lvlText w:val="(%2)"/>
      <w:lvlJc w:val="left"/>
      <w:pPr>
        <w:ind w:left="1800" w:hanging="72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70D4B"/>
    <w:multiLevelType w:val="hybridMultilevel"/>
    <w:tmpl w:val="79AE9C02"/>
    <w:lvl w:ilvl="0" w:tplc="0C09000F">
      <w:start w:val="1"/>
      <w:numFmt w:val="decimal"/>
      <w:lvlText w:val="%1."/>
      <w:lvlJc w:val="left"/>
      <w:pPr>
        <w:ind w:left="495" w:hanging="495"/>
      </w:pPr>
    </w:lvl>
    <w:lvl w:ilvl="1" w:tplc="0CDA88A0">
      <w:start w:val="1"/>
      <w:numFmt w:val="lowerLetter"/>
      <w:lvlText w:val="(%2)"/>
      <w:lvlJc w:val="left"/>
      <w:pPr>
        <w:ind w:left="1800" w:hanging="72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757F1"/>
    <w:multiLevelType w:val="hybridMultilevel"/>
    <w:tmpl w:val="F6001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B7788"/>
    <w:multiLevelType w:val="multilevel"/>
    <w:tmpl w:val="160ABFBC"/>
    <w:lvl w:ilvl="0">
      <w:start w:val="1"/>
      <w:numFmt w:val="lowerRoman"/>
      <w:lvlText w:val="(%1)"/>
      <w:lvlJc w:val="right"/>
      <w:pPr>
        <w:tabs>
          <w:tab w:val="num" w:pos="926"/>
        </w:tabs>
        <w:ind w:left="710" w:firstLine="0"/>
      </w:pPr>
      <w:rPr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7BE6159"/>
    <w:multiLevelType w:val="hybridMultilevel"/>
    <w:tmpl w:val="D39E0C46"/>
    <w:lvl w:ilvl="0" w:tplc="0CDA88A0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24394D"/>
    <w:multiLevelType w:val="hybridMultilevel"/>
    <w:tmpl w:val="D39E0C46"/>
    <w:lvl w:ilvl="0" w:tplc="0CDA88A0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447067"/>
    <w:multiLevelType w:val="hybridMultilevel"/>
    <w:tmpl w:val="BCF6BEE6"/>
    <w:lvl w:ilvl="0" w:tplc="0CDA88A0">
      <w:start w:val="1"/>
      <w:numFmt w:val="lowerLetter"/>
      <w:lvlText w:val="(%1)"/>
      <w:lvlJc w:val="left"/>
      <w:pPr>
        <w:ind w:left="855" w:hanging="360"/>
      </w:pPr>
    </w:lvl>
    <w:lvl w:ilvl="1" w:tplc="0C090019">
      <w:start w:val="1"/>
      <w:numFmt w:val="lowerLetter"/>
      <w:lvlText w:val="%2."/>
      <w:lvlJc w:val="left"/>
      <w:pPr>
        <w:ind w:left="1575" w:hanging="360"/>
      </w:pPr>
    </w:lvl>
    <w:lvl w:ilvl="2" w:tplc="0C09001B">
      <w:start w:val="1"/>
      <w:numFmt w:val="lowerRoman"/>
      <w:lvlText w:val="%3."/>
      <w:lvlJc w:val="right"/>
      <w:pPr>
        <w:ind w:left="2295" w:hanging="180"/>
      </w:pPr>
    </w:lvl>
    <w:lvl w:ilvl="3" w:tplc="0C09000F">
      <w:start w:val="1"/>
      <w:numFmt w:val="decimal"/>
      <w:lvlText w:val="%4."/>
      <w:lvlJc w:val="left"/>
      <w:pPr>
        <w:ind w:left="3015" w:hanging="360"/>
      </w:pPr>
    </w:lvl>
    <w:lvl w:ilvl="4" w:tplc="0C090019">
      <w:start w:val="1"/>
      <w:numFmt w:val="lowerLetter"/>
      <w:lvlText w:val="%5."/>
      <w:lvlJc w:val="left"/>
      <w:pPr>
        <w:ind w:left="3735" w:hanging="360"/>
      </w:pPr>
    </w:lvl>
    <w:lvl w:ilvl="5" w:tplc="0C09001B">
      <w:start w:val="1"/>
      <w:numFmt w:val="lowerRoman"/>
      <w:lvlText w:val="%6."/>
      <w:lvlJc w:val="right"/>
      <w:pPr>
        <w:ind w:left="4455" w:hanging="180"/>
      </w:pPr>
    </w:lvl>
    <w:lvl w:ilvl="6" w:tplc="0C09000F">
      <w:start w:val="1"/>
      <w:numFmt w:val="decimal"/>
      <w:lvlText w:val="%7."/>
      <w:lvlJc w:val="left"/>
      <w:pPr>
        <w:ind w:left="5175" w:hanging="360"/>
      </w:pPr>
    </w:lvl>
    <w:lvl w:ilvl="7" w:tplc="0C090019">
      <w:start w:val="1"/>
      <w:numFmt w:val="lowerLetter"/>
      <w:lvlText w:val="%8."/>
      <w:lvlJc w:val="left"/>
      <w:pPr>
        <w:ind w:left="5895" w:hanging="360"/>
      </w:pPr>
    </w:lvl>
    <w:lvl w:ilvl="8" w:tplc="0C09001B">
      <w:start w:val="1"/>
      <w:numFmt w:val="lowerRoman"/>
      <w:lvlText w:val="%9."/>
      <w:lvlJc w:val="right"/>
      <w:pPr>
        <w:ind w:left="6615" w:hanging="180"/>
      </w:pPr>
    </w:lvl>
  </w:abstractNum>
  <w:abstractNum w:abstractNumId="30" w15:restartNumberingAfterBreak="0">
    <w:nsid w:val="79754A42"/>
    <w:multiLevelType w:val="hybridMultilevel"/>
    <w:tmpl w:val="D39E0C46"/>
    <w:lvl w:ilvl="0" w:tplc="0CDA88A0">
      <w:start w:val="1"/>
      <w:numFmt w:val="lowerLetter"/>
      <w:lvlText w:val="(%1)"/>
      <w:lvlJc w:val="left"/>
      <w:pPr>
        <w:ind w:left="855" w:hanging="360"/>
      </w:pPr>
    </w:lvl>
    <w:lvl w:ilvl="1" w:tplc="0C090019">
      <w:start w:val="1"/>
      <w:numFmt w:val="lowerLetter"/>
      <w:lvlText w:val="%2."/>
      <w:lvlJc w:val="left"/>
      <w:pPr>
        <w:ind w:left="1575" w:hanging="360"/>
      </w:pPr>
    </w:lvl>
    <w:lvl w:ilvl="2" w:tplc="0C09001B">
      <w:start w:val="1"/>
      <w:numFmt w:val="lowerRoman"/>
      <w:lvlText w:val="%3."/>
      <w:lvlJc w:val="right"/>
      <w:pPr>
        <w:ind w:left="2295" w:hanging="180"/>
      </w:pPr>
    </w:lvl>
    <w:lvl w:ilvl="3" w:tplc="0C09000F">
      <w:start w:val="1"/>
      <w:numFmt w:val="decimal"/>
      <w:lvlText w:val="%4."/>
      <w:lvlJc w:val="left"/>
      <w:pPr>
        <w:ind w:left="3015" w:hanging="360"/>
      </w:pPr>
    </w:lvl>
    <w:lvl w:ilvl="4" w:tplc="0C090019">
      <w:start w:val="1"/>
      <w:numFmt w:val="lowerLetter"/>
      <w:lvlText w:val="%5."/>
      <w:lvlJc w:val="left"/>
      <w:pPr>
        <w:ind w:left="3735" w:hanging="360"/>
      </w:pPr>
    </w:lvl>
    <w:lvl w:ilvl="5" w:tplc="0C09001B">
      <w:start w:val="1"/>
      <w:numFmt w:val="lowerRoman"/>
      <w:lvlText w:val="%6."/>
      <w:lvlJc w:val="right"/>
      <w:pPr>
        <w:ind w:left="4455" w:hanging="180"/>
      </w:pPr>
    </w:lvl>
    <w:lvl w:ilvl="6" w:tplc="0C09000F">
      <w:start w:val="1"/>
      <w:numFmt w:val="decimal"/>
      <w:lvlText w:val="%7."/>
      <w:lvlJc w:val="left"/>
      <w:pPr>
        <w:ind w:left="5175" w:hanging="360"/>
      </w:pPr>
    </w:lvl>
    <w:lvl w:ilvl="7" w:tplc="0C090019">
      <w:start w:val="1"/>
      <w:numFmt w:val="lowerLetter"/>
      <w:lvlText w:val="%8."/>
      <w:lvlJc w:val="left"/>
      <w:pPr>
        <w:ind w:left="5895" w:hanging="360"/>
      </w:pPr>
    </w:lvl>
    <w:lvl w:ilvl="8" w:tplc="0C09001B">
      <w:start w:val="1"/>
      <w:numFmt w:val="lowerRoman"/>
      <w:lvlText w:val="%9."/>
      <w:lvlJc w:val="right"/>
      <w:pPr>
        <w:ind w:left="6615" w:hanging="180"/>
      </w:pPr>
    </w:lvl>
  </w:abstractNum>
  <w:abstractNum w:abstractNumId="31" w15:restartNumberingAfterBreak="0">
    <w:nsid w:val="7A875976"/>
    <w:multiLevelType w:val="hybridMultilevel"/>
    <w:tmpl w:val="9202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44AB1"/>
    <w:multiLevelType w:val="hybridMultilevel"/>
    <w:tmpl w:val="48680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6"/>
  </w:num>
  <w:num w:numId="30">
    <w:abstractNumId w:val="21"/>
  </w:num>
  <w:num w:numId="31">
    <w:abstractNumId w:val="32"/>
  </w:num>
  <w:num w:numId="32">
    <w:abstractNumId w:val="31"/>
  </w:num>
  <w:num w:numId="33">
    <w:abstractNumId w:val="1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E1"/>
    <w:rsid w:val="00004035"/>
    <w:rsid w:val="00004470"/>
    <w:rsid w:val="0000737C"/>
    <w:rsid w:val="000136AF"/>
    <w:rsid w:val="00022B10"/>
    <w:rsid w:val="00033CB2"/>
    <w:rsid w:val="00034199"/>
    <w:rsid w:val="00041B81"/>
    <w:rsid w:val="000421AD"/>
    <w:rsid w:val="00042F4E"/>
    <w:rsid w:val="000431B3"/>
    <w:rsid w:val="000437C1"/>
    <w:rsid w:val="00045AE4"/>
    <w:rsid w:val="0005365D"/>
    <w:rsid w:val="000614BF"/>
    <w:rsid w:val="00071646"/>
    <w:rsid w:val="00075F6B"/>
    <w:rsid w:val="00077BFA"/>
    <w:rsid w:val="000903A8"/>
    <w:rsid w:val="000963AE"/>
    <w:rsid w:val="000A06F9"/>
    <w:rsid w:val="000A2580"/>
    <w:rsid w:val="000A40AC"/>
    <w:rsid w:val="000A568A"/>
    <w:rsid w:val="000A76B9"/>
    <w:rsid w:val="000B0C6F"/>
    <w:rsid w:val="000B58FA"/>
    <w:rsid w:val="000C1E2D"/>
    <w:rsid w:val="000C5AA8"/>
    <w:rsid w:val="000D05EF"/>
    <w:rsid w:val="000D1DF3"/>
    <w:rsid w:val="000E2261"/>
    <w:rsid w:val="000E482A"/>
    <w:rsid w:val="000F024C"/>
    <w:rsid w:val="000F21C1"/>
    <w:rsid w:val="0010572C"/>
    <w:rsid w:val="0010745C"/>
    <w:rsid w:val="00107E7F"/>
    <w:rsid w:val="00112009"/>
    <w:rsid w:val="00115D0A"/>
    <w:rsid w:val="00116121"/>
    <w:rsid w:val="00116D47"/>
    <w:rsid w:val="00120305"/>
    <w:rsid w:val="00127548"/>
    <w:rsid w:val="00132CEB"/>
    <w:rsid w:val="00140941"/>
    <w:rsid w:val="00142B62"/>
    <w:rsid w:val="00143905"/>
    <w:rsid w:val="0014539C"/>
    <w:rsid w:val="00150346"/>
    <w:rsid w:val="0015399B"/>
    <w:rsid w:val="001569E4"/>
    <w:rsid w:val="0015722B"/>
    <w:rsid w:val="00157B8B"/>
    <w:rsid w:val="001626D8"/>
    <w:rsid w:val="00166C2F"/>
    <w:rsid w:val="001779A1"/>
    <w:rsid w:val="001809D7"/>
    <w:rsid w:val="00182ADA"/>
    <w:rsid w:val="00186952"/>
    <w:rsid w:val="0019132E"/>
    <w:rsid w:val="001939E1"/>
    <w:rsid w:val="00194C3E"/>
    <w:rsid w:val="00195382"/>
    <w:rsid w:val="001A6F2E"/>
    <w:rsid w:val="001B053D"/>
    <w:rsid w:val="001B1A5C"/>
    <w:rsid w:val="001C0B09"/>
    <w:rsid w:val="001C61C5"/>
    <w:rsid w:val="001C69C4"/>
    <w:rsid w:val="001C7D3B"/>
    <w:rsid w:val="001D1EC8"/>
    <w:rsid w:val="001D37EF"/>
    <w:rsid w:val="001E3590"/>
    <w:rsid w:val="001E7407"/>
    <w:rsid w:val="001F5D5E"/>
    <w:rsid w:val="001F6219"/>
    <w:rsid w:val="001F6CD4"/>
    <w:rsid w:val="001F6D97"/>
    <w:rsid w:val="001F7B43"/>
    <w:rsid w:val="0020150C"/>
    <w:rsid w:val="00206C4D"/>
    <w:rsid w:val="0021053C"/>
    <w:rsid w:val="00212446"/>
    <w:rsid w:val="00215AF1"/>
    <w:rsid w:val="00215E69"/>
    <w:rsid w:val="00216BAD"/>
    <w:rsid w:val="00231759"/>
    <w:rsid w:val="002321E8"/>
    <w:rsid w:val="002341CE"/>
    <w:rsid w:val="00235AD2"/>
    <w:rsid w:val="0023610A"/>
    <w:rsid w:val="00236EEC"/>
    <w:rsid w:val="00237E55"/>
    <w:rsid w:val="0024010F"/>
    <w:rsid w:val="00240749"/>
    <w:rsid w:val="00243018"/>
    <w:rsid w:val="00247685"/>
    <w:rsid w:val="00253BB2"/>
    <w:rsid w:val="002564A4"/>
    <w:rsid w:val="00260528"/>
    <w:rsid w:val="00260F7F"/>
    <w:rsid w:val="0026361D"/>
    <w:rsid w:val="00265E0A"/>
    <w:rsid w:val="0026736C"/>
    <w:rsid w:val="00277920"/>
    <w:rsid w:val="00277A66"/>
    <w:rsid w:val="00280EC4"/>
    <w:rsid w:val="00281308"/>
    <w:rsid w:val="00281D47"/>
    <w:rsid w:val="00283A71"/>
    <w:rsid w:val="00284719"/>
    <w:rsid w:val="002879B6"/>
    <w:rsid w:val="00294D3D"/>
    <w:rsid w:val="00297647"/>
    <w:rsid w:val="00297ECB"/>
    <w:rsid w:val="002A1024"/>
    <w:rsid w:val="002A3054"/>
    <w:rsid w:val="002A4662"/>
    <w:rsid w:val="002A7BCF"/>
    <w:rsid w:val="002B5749"/>
    <w:rsid w:val="002C617E"/>
    <w:rsid w:val="002D043A"/>
    <w:rsid w:val="002D45B1"/>
    <w:rsid w:val="002D6224"/>
    <w:rsid w:val="002E01E3"/>
    <w:rsid w:val="002E3F4B"/>
    <w:rsid w:val="002F2796"/>
    <w:rsid w:val="002F3B19"/>
    <w:rsid w:val="00301B44"/>
    <w:rsid w:val="0030239A"/>
    <w:rsid w:val="00303445"/>
    <w:rsid w:val="00304F8B"/>
    <w:rsid w:val="003050E4"/>
    <w:rsid w:val="003074D7"/>
    <w:rsid w:val="00310330"/>
    <w:rsid w:val="003223B2"/>
    <w:rsid w:val="003262CB"/>
    <w:rsid w:val="003354D2"/>
    <w:rsid w:val="00335BC6"/>
    <w:rsid w:val="003415D3"/>
    <w:rsid w:val="00344701"/>
    <w:rsid w:val="00350706"/>
    <w:rsid w:val="00352B0F"/>
    <w:rsid w:val="00356690"/>
    <w:rsid w:val="00360459"/>
    <w:rsid w:val="0036279C"/>
    <w:rsid w:val="003645EB"/>
    <w:rsid w:val="00365489"/>
    <w:rsid w:val="00365495"/>
    <w:rsid w:val="003712A7"/>
    <w:rsid w:val="00371818"/>
    <w:rsid w:val="003817E5"/>
    <w:rsid w:val="003972AB"/>
    <w:rsid w:val="003B1E0E"/>
    <w:rsid w:val="003B2CBD"/>
    <w:rsid w:val="003C22E7"/>
    <w:rsid w:val="003C6231"/>
    <w:rsid w:val="003C7549"/>
    <w:rsid w:val="003D0BFE"/>
    <w:rsid w:val="003D2A11"/>
    <w:rsid w:val="003D3847"/>
    <w:rsid w:val="003D5700"/>
    <w:rsid w:val="003E341B"/>
    <w:rsid w:val="003F34E6"/>
    <w:rsid w:val="003F4611"/>
    <w:rsid w:val="004116CD"/>
    <w:rsid w:val="004144EC"/>
    <w:rsid w:val="00417EB9"/>
    <w:rsid w:val="00422553"/>
    <w:rsid w:val="00424CA9"/>
    <w:rsid w:val="00427755"/>
    <w:rsid w:val="004277FE"/>
    <w:rsid w:val="0043052A"/>
    <w:rsid w:val="00431E9B"/>
    <w:rsid w:val="004369B1"/>
    <w:rsid w:val="004379E3"/>
    <w:rsid w:val="0044015E"/>
    <w:rsid w:val="0044291A"/>
    <w:rsid w:val="00444ABD"/>
    <w:rsid w:val="00446848"/>
    <w:rsid w:val="004500B3"/>
    <w:rsid w:val="00451B5C"/>
    <w:rsid w:val="0045779B"/>
    <w:rsid w:val="00461C81"/>
    <w:rsid w:val="00465700"/>
    <w:rsid w:val="004668DF"/>
    <w:rsid w:val="00466D64"/>
    <w:rsid w:val="00467661"/>
    <w:rsid w:val="00467B83"/>
    <w:rsid w:val="004705B7"/>
    <w:rsid w:val="004724FE"/>
    <w:rsid w:val="00472DBE"/>
    <w:rsid w:val="00474A19"/>
    <w:rsid w:val="004778FE"/>
    <w:rsid w:val="00493B90"/>
    <w:rsid w:val="00496F97"/>
    <w:rsid w:val="004A2118"/>
    <w:rsid w:val="004A34B7"/>
    <w:rsid w:val="004B2168"/>
    <w:rsid w:val="004B5499"/>
    <w:rsid w:val="004C0764"/>
    <w:rsid w:val="004C1F71"/>
    <w:rsid w:val="004C1F73"/>
    <w:rsid w:val="004C3806"/>
    <w:rsid w:val="004C6AE8"/>
    <w:rsid w:val="004E026D"/>
    <w:rsid w:val="004E03D3"/>
    <w:rsid w:val="004E063A"/>
    <w:rsid w:val="004E7BEC"/>
    <w:rsid w:val="005026C6"/>
    <w:rsid w:val="00503918"/>
    <w:rsid w:val="005039A4"/>
    <w:rsid w:val="00505D3D"/>
    <w:rsid w:val="00506AF6"/>
    <w:rsid w:val="0050785A"/>
    <w:rsid w:val="00507EB7"/>
    <w:rsid w:val="005116BC"/>
    <w:rsid w:val="00516B8D"/>
    <w:rsid w:val="005174BE"/>
    <w:rsid w:val="00537FBC"/>
    <w:rsid w:val="00541A42"/>
    <w:rsid w:val="005432DB"/>
    <w:rsid w:val="00543DF6"/>
    <w:rsid w:val="00553C56"/>
    <w:rsid w:val="005574D1"/>
    <w:rsid w:val="005630A6"/>
    <w:rsid w:val="0056663C"/>
    <w:rsid w:val="0057624C"/>
    <w:rsid w:val="005819F5"/>
    <w:rsid w:val="00584811"/>
    <w:rsid w:val="00585296"/>
    <w:rsid w:val="00585784"/>
    <w:rsid w:val="00586E3F"/>
    <w:rsid w:val="00593AA6"/>
    <w:rsid w:val="00594161"/>
    <w:rsid w:val="00594749"/>
    <w:rsid w:val="00596CBD"/>
    <w:rsid w:val="005A1B03"/>
    <w:rsid w:val="005A30C1"/>
    <w:rsid w:val="005A7CA8"/>
    <w:rsid w:val="005B3D17"/>
    <w:rsid w:val="005B4067"/>
    <w:rsid w:val="005C3F41"/>
    <w:rsid w:val="005C591B"/>
    <w:rsid w:val="005D0E7B"/>
    <w:rsid w:val="005D1B10"/>
    <w:rsid w:val="005D2D09"/>
    <w:rsid w:val="005D75EA"/>
    <w:rsid w:val="005F35D5"/>
    <w:rsid w:val="00600219"/>
    <w:rsid w:val="00600BA9"/>
    <w:rsid w:val="00603DC4"/>
    <w:rsid w:val="0061073C"/>
    <w:rsid w:val="00613039"/>
    <w:rsid w:val="00614D33"/>
    <w:rsid w:val="00615EA3"/>
    <w:rsid w:val="00620076"/>
    <w:rsid w:val="00623214"/>
    <w:rsid w:val="006305FD"/>
    <w:rsid w:val="00632B2B"/>
    <w:rsid w:val="00633C44"/>
    <w:rsid w:val="006346E0"/>
    <w:rsid w:val="00635F01"/>
    <w:rsid w:val="0064022F"/>
    <w:rsid w:val="006467D5"/>
    <w:rsid w:val="006500F9"/>
    <w:rsid w:val="00651277"/>
    <w:rsid w:val="00663657"/>
    <w:rsid w:val="00663BD8"/>
    <w:rsid w:val="00670EA1"/>
    <w:rsid w:val="00670FA4"/>
    <w:rsid w:val="006742C5"/>
    <w:rsid w:val="006756FE"/>
    <w:rsid w:val="00675FE6"/>
    <w:rsid w:val="00677CC2"/>
    <w:rsid w:val="00677E24"/>
    <w:rsid w:val="00682629"/>
    <w:rsid w:val="006843EE"/>
    <w:rsid w:val="0068586A"/>
    <w:rsid w:val="0069011F"/>
    <w:rsid w:val="006905DE"/>
    <w:rsid w:val="00691A38"/>
    <w:rsid w:val="0069207B"/>
    <w:rsid w:val="006947A8"/>
    <w:rsid w:val="006A7786"/>
    <w:rsid w:val="006A79F9"/>
    <w:rsid w:val="006B1B86"/>
    <w:rsid w:val="006B303E"/>
    <w:rsid w:val="006B4E23"/>
    <w:rsid w:val="006B5789"/>
    <w:rsid w:val="006B70B7"/>
    <w:rsid w:val="006B7901"/>
    <w:rsid w:val="006C1C30"/>
    <w:rsid w:val="006C30C5"/>
    <w:rsid w:val="006C406B"/>
    <w:rsid w:val="006C7F8C"/>
    <w:rsid w:val="006E352A"/>
    <w:rsid w:val="006E5320"/>
    <w:rsid w:val="006E5F2F"/>
    <w:rsid w:val="006E6246"/>
    <w:rsid w:val="006E72C4"/>
    <w:rsid w:val="006F318F"/>
    <w:rsid w:val="006F4226"/>
    <w:rsid w:val="006F6713"/>
    <w:rsid w:val="006F6D81"/>
    <w:rsid w:val="006F70A1"/>
    <w:rsid w:val="0070017E"/>
    <w:rsid w:val="007007A5"/>
    <w:rsid w:val="00700B2C"/>
    <w:rsid w:val="007050A2"/>
    <w:rsid w:val="00705F09"/>
    <w:rsid w:val="00706CFF"/>
    <w:rsid w:val="00713084"/>
    <w:rsid w:val="00714F20"/>
    <w:rsid w:val="0071590F"/>
    <w:rsid w:val="00715914"/>
    <w:rsid w:val="00717D73"/>
    <w:rsid w:val="00725441"/>
    <w:rsid w:val="00731474"/>
    <w:rsid w:val="00731772"/>
    <w:rsid w:val="00731E00"/>
    <w:rsid w:val="007328CF"/>
    <w:rsid w:val="00732DBC"/>
    <w:rsid w:val="007440B7"/>
    <w:rsid w:val="007500C8"/>
    <w:rsid w:val="0075108F"/>
    <w:rsid w:val="0075281B"/>
    <w:rsid w:val="00752B39"/>
    <w:rsid w:val="00755678"/>
    <w:rsid w:val="00756272"/>
    <w:rsid w:val="0076681A"/>
    <w:rsid w:val="007715C9"/>
    <w:rsid w:val="00771613"/>
    <w:rsid w:val="00774EDD"/>
    <w:rsid w:val="00775408"/>
    <w:rsid w:val="007757EC"/>
    <w:rsid w:val="00780C08"/>
    <w:rsid w:val="00780DFF"/>
    <w:rsid w:val="00783E89"/>
    <w:rsid w:val="00784D93"/>
    <w:rsid w:val="00786EAE"/>
    <w:rsid w:val="00793915"/>
    <w:rsid w:val="007A041D"/>
    <w:rsid w:val="007B1ABE"/>
    <w:rsid w:val="007B30EE"/>
    <w:rsid w:val="007C1CB2"/>
    <w:rsid w:val="007C2253"/>
    <w:rsid w:val="007C23D2"/>
    <w:rsid w:val="007C2566"/>
    <w:rsid w:val="007C2B29"/>
    <w:rsid w:val="007C334F"/>
    <w:rsid w:val="007C48F7"/>
    <w:rsid w:val="007D08E1"/>
    <w:rsid w:val="007D3E67"/>
    <w:rsid w:val="007D4627"/>
    <w:rsid w:val="007D5A63"/>
    <w:rsid w:val="007D7B81"/>
    <w:rsid w:val="007E163D"/>
    <w:rsid w:val="007E3BD6"/>
    <w:rsid w:val="007E4DD7"/>
    <w:rsid w:val="007E667A"/>
    <w:rsid w:val="007F28C9"/>
    <w:rsid w:val="007F6990"/>
    <w:rsid w:val="00803587"/>
    <w:rsid w:val="00810796"/>
    <w:rsid w:val="008117E9"/>
    <w:rsid w:val="0081758D"/>
    <w:rsid w:val="00820B99"/>
    <w:rsid w:val="00822144"/>
    <w:rsid w:val="00824498"/>
    <w:rsid w:val="00827B65"/>
    <w:rsid w:val="00830534"/>
    <w:rsid w:val="00831323"/>
    <w:rsid w:val="008318BD"/>
    <w:rsid w:val="00831B50"/>
    <w:rsid w:val="008429C9"/>
    <w:rsid w:val="0084396B"/>
    <w:rsid w:val="008463DF"/>
    <w:rsid w:val="00846D37"/>
    <w:rsid w:val="00847B35"/>
    <w:rsid w:val="00850A60"/>
    <w:rsid w:val="008532E1"/>
    <w:rsid w:val="00856075"/>
    <w:rsid w:val="00856A31"/>
    <w:rsid w:val="00856B67"/>
    <w:rsid w:val="0086201D"/>
    <w:rsid w:val="008645F7"/>
    <w:rsid w:val="00864B24"/>
    <w:rsid w:val="00867B37"/>
    <w:rsid w:val="008754D0"/>
    <w:rsid w:val="008848C6"/>
    <w:rsid w:val="008855C9"/>
    <w:rsid w:val="00886456"/>
    <w:rsid w:val="00886F15"/>
    <w:rsid w:val="00887398"/>
    <w:rsid w:val="00896F4D"/>
    <w:rsid w:val="0089778B"/>
    <w:rsid w:val="008A21BE"/>
    <w:rsid w:val="008A46E1"/>
    <w:rsid w:val="008A49C2"/>
    <w:rsid w:val="008A4F43"/>
    <w:rsid w:val="008B2527"/>
    <w:rsid w:val="008B2706"/>
    <w:rsid w:val="008C01AC"/>
    <w:rsid w:val="008C3BF4"/>
    <w:rsid w:val="008D03F9"/>
    <w:rsid w:val="008D0EE0"/>
    <w:rsid w:val="008D2C83"/>
    <w:rsid w:val="008E024A"/>
    <w:rsid w:val="008E2A54"/>
    <w:rsid w:val="008E6067"/>
    <w:rsid w:val="008E7EC8"/>
    <w:rsid w:val="008F4768"/>
    <w:rsid w:val="008F54E7"/>
    <w:rsid w:val="00900FFC"/>
    <w:rsid w:val="009028B1"/>
    <w:rsid w:val="00903422"/>
    <w:rsid w:val="00912529"/>
    <w:rsid w:val="00913A32"/>
    <w:rsid w:val="0091551B"/>
    <w:rsid w:val="00915DF9"/>
    <w:rsid w:val="00916C78"/>
    <w:rsid w:val="00920762"/>
    <w:rsid w:val="00921EB6"/>
    <w:rsid w:val="009223BB"/>
    <w:rsid w:val="009254C3"/>
    <w:rsid w:val="009255C6"/>
    <w:rsid w:val="009262D6"/>
    <w:rsid w:val="00932377"/>
    <w:rsid w:val="00944303"/>
    <w:rsid w:val="00947D5A"/>
    <w:rsid w:val="009532A5"/>
    <w:rsid w:val="00955EF8"/>
    <w:rsid w:val="00956A6C"/>
    <w:rsid w:val="009574A7"/>
    <w:rsid w:val="00957E95"/>
    <w:rsid w:val="009656B1"/>
    <w:rsid w:val="00973834"/>
    <w:rsid w:val="00976C8E"/>
    <w:rsid w:val="00980D80"/>
    <w:rsid w:val="00981552"/>
    <w:rsid w:val="00982242"/>
    <w:rsid w:val="009848B5"/>
    <w:rsid w:val="009868E9"/>
    <w:rsid w:val="00993B26"/>
    <w:rsid w:val="00997BE1"/>
    <w:rsid w:val="009A524B"/>
    <w:rsid w:val="009A7449"/>
    <w:rsid w:val="009A7A11"/>
    <w:rsid w:val="009B7A6E"/>
    <w:rsid w:val="009D05CA"/>
    <w:rsid w:val="009D38A1"/>
    <w:rsid w:val="009E25A8"/>
    <w:rsid w:val="009E5CFC"/>
    <w:rsid w:val="009F443A"/>
    <w:rsid w:val="00A00F39"/>
    <w:rsid w:val="00A079CB"/>
    <w:rsid w:val="00A12128"/>
    <w:rsid w:val="00A13326"/>
    <w:rsid w:val="00A13910"/>
    <w:rsid w:val="00A169A5"/>
    <w:rsid w:val="00A16D0F"/>
    <w:rsid w:val="00A22C98"/>
    <w:rsid w:val="00A231E2"/>
    <w:rsid w:val="00A233E5"/>
    <w:rsid w:val="00A332D7"/>
    <w:rsid w:val="00A3359F"/>
    <w:rsid w:val="00A33A60"/>
    <w:rsid w:val="00A341AB"/>
    <w:rsid w:val="00A36F3C"/>
    <w:rsid w:val="00A53BE8"/>
    <w:rsid w:val="00A541C6"/>
    <w:rsid w:val="00A64912"/>
    <w:rsid w:val="00A669FE"/>
    <w:rsid w:val="00A70195"/>
    <w:rsid w:val="00A70A74"/>
    <w:rsid w:val="00A7133F"/>
    <w:rsid w:val="00A71435"/>
    <w:rsid w:val="00A71F64"/>
    <w:rsid w:val="00A75E0A"/>
    <w:rsid w:val="00A8159D"/>
    <w:rsid w:val="00A8535B"/>
    <w:rsid w:val="00A903A0"/>
    <w:rsid w:val="00A95B50"/>
    <w:rsid w:val="00AA13A2"/>
    <w:rsid w:val="00AC0FA3"/>
    <w:rsid w:val="00AC7E67"/>
    <w:rsid w:val="00AD022B"/>
    <w:rsid w:val="00AD0354"/>
    <w:rsid w:val="00AD0E85"/>
    <w:rsid w:val="00AD3219"/>
    <w:rsid w:val="00AD5641"/>
    <w:rsid w:val="00AD7889"/>
    <w:rsid w:val="00AE028B"/>
    <w:rsid w:val="00AE0677"/>
    <w:rsid w:val="00AE09C7"/>
    <w:rsid w:val="00AE1A82"/>
    <w:rsid w:val="00AF021B"/>
    <w:rsid w:val="00AF06CF"/>
    <w:rsid w:val="00AF1E81"/>
    <w:rsid w:val="00AF250A"/>
    <w:rsid w:val="00B02BA3"/>
    <w:rsid w:val="00B03CBE"/>
    <w:rsid w:val="00B05CF4"/>
    <w:rsid w:val="00B07361"/>
    <w:rsid w:val="00B07CDB"/>
    <w:rsid w:val="00B13D23"/>
    <w:rsid w:val="00B16A31"/>
    <w:rsid w:val="00B176B9"/>
    <w:rsid w:val="00B17DFD"/>
    <w:rsid w:val="00B21469"/>
    <w:rsid w:val="00B23BCE"/>
    <w:rsid w:val="00B25065"/>
    <w:rsid w:val="00B25F57"/>
    <w:rsid w:val="00B308FE"/>
    <w:rsid w:val="00B318F7"/>
    <w:rsid w:val="00B32BDB"/>
    <w:rsid w:val="00B32FAD"/>
    <w:rsid w:val="00B33709"/>
    <w:rsid w:val="00B33B3C"/>
    <w:rsid w:val="00B41F45"/>
    <w:rsid w:val="00B50ADC"/>
    <w:rsid w:val="00B566B1"/>
    <w:rsid w:val="00B63834"/>
    <w:rsid w:val="00B638AD"/>
    <w:rsid w:val="00B64F52"/>
    <w:rsid w:val="00B65F8A"/>
    <w:rsid w:val="00B662CE"/>
    <w:rsid w:val="00B72734"/>
    <w:rsid w:val="00B80199"/>
    <w:rsid w:val="00B83204"/>
    <w:rsid w:val="00B930FA"/>
    <w:rsid w:val="00BA0C87"/>
    <w:rsid w:val="00BA220B"/>
    <w:rsid w:val="00BA3A57"/>
    <w:rsid w:val="00BA691F"/>
    <w:rsid w:val="00BB140F"/>
    <w:rsid w:val="00BB4E1A"/>
    <w:rsid w:val="00BB502C"/>
    <w:rsid w:val="00BC015E"/>
    <w:rsid w:val="00BC0FBF"/>
    <w:rsid w:val="00BC76AC"/>
    <w:rsid w:val="00BD0ECB"/>
    <w:rsid w:val="00BD59A7"/>
    <w:rsid w:val="00BE2155"/>
    <w:rsid w:val="00BE2213"/>
    <w:rsid w:val="00BE719A"/>
    <w:rsid w:val="00BE720A"/>
    <w:rsid w:val="00BF0D73"/>
    <w:rsid w:val="00BF1AB9"/>
    <w:rsid w:val="00BF2465"/>
    <w:rsid w:val="00BF3FC7"/>
    <w:rsid w:val="00BF6156"/>
    <w:rsid w:val="00BF63D9"/>
    <w:rsid w:val="00C00EAC"/>
    <w:rsid w:val="00C022BE"/>
    <w:rsid w:val="00C072A7"/>
    <w:rsid w:val="00C13768"/>
    <w:rsid w:val="00C170CC"/>
    <w:rsid w:val="00C25E7F"/>
    <w:rsid w:val="00C2746F"/>
    <w:rsid w:val="00C324A0"/>
    <w:rsid w:val="00C32F9E"/>
    <w:rsid w:val="00C3300F"/>
    <w:rsid w:val="00C34216"/>
    <w:rsid w:val="00C34EE5"/>
    <w:rsid w:val="00C35C5E"/>
    <w:rsid w:val="00C42BF8"/>
    <w:rsid w:val="00C50043"/>
    <w:rsid w:val="00C53009"/>
    <w:rsid w:val="00C54252"/>
    <w:rsid w:val="00C54EA9"/>
    <w:rsid w:val="00C57FE7"/>
    <w:rsid w:val="00C67DF0"/>
    <w:rsid w:val="00C7573B"/>
    <w:rsid w:val="00C80309"/>
    <w:rsid w:val="00C8314D"/>
    <w:rsid w:val="00C86380"/>
    <w:rsid w:val="00C93C03"/>
    <w:rsid w:val="00C9562F"/>
    <w:rsid w:val="00CA2B60"/>
    <w:rsid w:val="00CB2C8E"/>
    <w:rsid w:val="00CB5A77"/>
    <w:rsid w:val="00CB602E"/>
    <w:rsid w:val="00CC36CB"/>
    <w:rsid w:val="00CD64AE"/>
    <w:rsid w:val="00CD7997"/>
    <w:rsid w:val="00CE051D"/>
    <w:rsid w:val="00CE0C94"/>
    <w:rsid w:val="00CE1335"/>
    <w:rsid w:val="00CE4532"/>
    <w:rsid w:val="00CE493D"/>
    <w:rsid w:val="00CE5B3E"/>
    <w:rsid w:val="00CF07FA"/>
    <w:rsid w:val="00CF0BB2"/>
    <w:rsid w:val="00CF0DED"/>
    <w:rsid w:val="00CF3EE8"/>
    <w:rsid w:val="00D007BA"/>
    <w:rsid w:val="00D00DBA"/>
    <w:rsid w:val="00D050E6"/>
    <w:rsid w:val="00D12ACB"/>
    <w:rsid w:val="00D13441"/>
    <w:rsid w:val="00D14F0A"/>
    <w:rsid w:val="00D150E7"/>
    <w:rsid w:val="00D168B0"/>
    <w:rsid w:val="00D2340C"/>
    <w:rsid w:val="00D3066E"/>
    <w:rsid w:val="00D32F65"/>
    <w:rsid w:val="00D3452C"/>
    <w:rsid w:val="00D40787"/>
    <w:rsid w:val="00D51D1B"/>
    <w:rsid w:val="00D52CED"/>
    <w:rsid w:val="00D52DC2"/>
    <w:rsid w:val="00D53BCC"/>
    <w:rsid w:val="00D54A90"/>
    <w:rsid w:val="00D54E39"/>
    <w:rsid w:val="00D54E88"/>
    <w:rsid w:val="00D65D0B"/>
    <w:rsid w:val="00D704AE"/>
    <w:rsid w:val="00D70DFB"/>
    <w:rsid w:val="00D7283D"/>
    <w:rsid w:val="00D72AFB"/>
    <w:rsid w:val="00D75637"/>
    <w:rsid w:val="00D766DF"/>
    <w:rsid w:val="00D807D9"/>
    <w:rsid w:val="00D86D91"/>
    <w:rsid w:val="00D900CF"/>
    <w:rsid w:val="00D955AE"/>
    <w:rsid w:val="00DA0A52"/>
    <w:rsid w:val="00DA186E"/>
    <w:rsid w:val="00DA4116"/>
    <w:rsid w:val="00DB251C"/>
    <w:rsid w:val="00DB4630"/>
    <w:rsid w:val="00DC46B4"/>
    <w:rsid w:val="00DC4F88"/>
    <w:rsid w:val="00DD3FC0"/>
    <w:rsid w:val="00DD4734"/>
    <w:rsid w:val="00DD4A47"/>
    <w:rsid w:val="00DE4382"/>
    <w:rsid w:val="00E05567"/>
    <w:rsid w:val="00E05704"/>
    <w:rsid w:val="00E0579E"/>
    <w:rsid w:val="00E05E12"/>
    <w:rsid w:val="00E107EF"/>
    <w:rsid w:val="00E11E44"/>
    <w:rsid w:val="00E2380D"/>
    <w:rsid w:val="00E326BA"/>
    <w:rsid w:val="00E3270E"/>
    <w:rsid w:val="00E338EF"/>
    <w:rsid w:val="00E4080E"/>
    <w:rsid w:val="00E40B3F"/>
    <w:rsid w:val="00E44900"/>
    <w:rsid w:val="00E44DC3"/>
    <w:rsid w:val="00E53994"/>
    <w:rsid w:val="00E544BB"/>
    <w:rsid w:val="00E657FB"/>
    <w:rsid w:val="00E662CB"/>
    <w:rsid w:val="00E66C30"/>
    <w:rsid w:val="00E70B68"/>
    <w:rsid w:val="00E74DC7"/>
    <w:rsid w:val="00E80152"/>
    <w:rsid w:val="00E8075A"/>
    <w:rsid w:val="00E84BD1"/>
    <w:rsid w:val="00E85D3E"/>
    <w:rsid w:val="00E932D3"/>
    <w:rsid w:val="00E93FB4"/>
    <w:rsid w:val="00E94D5E"/>
    <w:rsid w:val="00E972A4"/>
    <w:rsid w:val="00EA0F6D"/>
    <w:rsid w:val="00EA20C5"/>
    <w:rsid w:val="00EA4BB4"/>
    <w:rsid w:val="00EA6626"/>
    <w:rsid w:val="00EA7100"/>
    <w:rsid w:val="00EA77E7"/>
    <w:rsid w:val="00EA7F9F"/>
    <w:rsid w:val="00EB0738"/>
    <w:rsid w:val="00EB1274"/>
    <w:rsid w:val="00EB6AD0"/>
    <w:rsid w:val="00EC105E"/>
    <w:rsid w:val="00EC38CB"/>
    <w:rsid w:val="00ED2BB6"/>
    <w:rsid w:val="00ED34E1"/>
    <w:rsid w:val="00ED3B8D"/>
    <w:rsid w:val="00ED4F9B"/>
    <w:rsid w:val="00ED659C"/>
    <w:rsid w:val="00EE19F3"/>
    <w:rsid w:val="00EE1A4E"/>
    <w:rsid w:val="00EF2E3A"/>
    <w:rsid w:val="00EF6BA0"/>
    <w:rsid w:val="00F072A7"/>
    <w:rsid w:val="00F078DC"/>
    <w:rsid w:val="00F079C0"/>
    <w:rsid w:val="00F103C2"/>
    <w:rsid w:val="00F12EFB"/>
    <w:rsid w:val="00F314F8"/>
    <w:rsid w:val="00F32BA8"/>
    <w:rsid w:val="00F349F1"/>
    <w:rsid w:val="00F37227"/>
    <w:rsid w:val="00F4350D"/>
    <w:rsid w:val="00F45867"/>
    <w:rsid w:val="00F51A29"/>
    <w:rsid w:val="00F567F7"/>
    <w:rsid w:val="00F62036"/>
    <w:rsid w:val="00F65B52"/>
    <w:rsid w:val="00F67940"/>
    <w:rsid w:val="00F67BCA"/>
    <w:rsid w:val="00F73BD6"/>
    <w:rsid w:val="00F760B5"/>
    <w:rsid w:val="00F76B38"/>
    <w:rsid w:val="00F83356"/>
    <w:rsid w:val="00F83989"/>
    <w:rsid w:val="00F85099"/>
    <w:rsid w:val="00F852A1"/>
    <w:rsid w:val="00F9379C"/>
    <w:rsid w:val="00F9632C"/>
    <w:rsid w:val="00FA0B9D"/>
    <w:rsid w:val="00FA1CF5"/>
    <w:rsid w:val="00FA1E52"/>
    <w:rsid w:val="00FA2845"/>
    <w:rsid w:val="00FC0AC8"/>
    <w:rsid w:val="00FC219D"/>
    <w:rsid w:val="00FC269B"/>
    <w:rsid w:val="00FC3ED0"/>
    <w:rsid w:val="00FD0410"/>
    <w:rsid w:val="00FD30C3"/>
    <w:rsid w:val="00FD59D3"/>
    <w:rsid w:val="00FD7406"/>
    <w:rsid w:val="00FE19C7"/>
    <w:rsid w:val="00FE1CE0"/>
    <w:rsid w:val="00FE4688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8B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C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C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C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C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C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C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C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sub">
    <w:name w:val="parasub)"/>
    <w:aliases w:val="aa,paragraph(sub)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E606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32F6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574D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144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144EC"/>
    <w:rPr>
      <w:sz w:val="22"/>
    </w:rPr>
  </w:style>
  <w:style w:type="paragraph" w:customStyle="1" w:styleId="SOTextNote">
    <w:name w:val="SO TextNote"/>
    <w:aliases w:val="sont"/>
    <w:basedOn w:val="SOText"/>
    <w:qFormat/>
    <w:rsid w:val="00C330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F42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F4226"/>
    <w:rPr>
      <w:sz w:val="22"/>
    </w:rPr>
  </w:style>
  <w:style w:type="paragraph" w:customStyle="1" w:styleId="FileName">
    <w:name w:val="FileName"/>
    <w:basedOn w:val="Normal"/>
    <w:rsid w:val="00E662CB"/>
  </w:style>
  <w:style w:type="paragraph" w:customStyle="1" w:styleId="TableHeading">
    <w:name w:val="TableHeading"/>
    <w:aliases w:val="th"/>
    <w:basedOn w:val="OPCParaBase"/>
    <w:next w:val="Tabletext"/>
    <w:rsid w:val="009E5CF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2C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2C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65B5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65B5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36EE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36EE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079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079C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15D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15DF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A691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A0C8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A0C8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A0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C8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C8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C8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C8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C8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C8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C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umberLevel1">
    <w:name w:val="Number Level 1"/>
    <w:aliases w:val="N1"/>
    <w:basedOn w:val="Normal"/>
    <w:uiPriority w:val="1"/>
    <w:qFormat/>
    <w:rsid w:val="00731474"/>
    <w:p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4">
    <w:name w:val="Number Level 4"/>
    <w:aliases w:val="N4"/>
    <w:basedOn w:val="Normal"/>
    <w:uiPriority w:val="1"/>
    <w:qFormat/>
    <w:rsid w:val="00731474"/>
    <w:p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Praa">
    <w:name w:val="Praa"/>
    <w:basedOn w:val="subsection"/>
    <w:rsid w:val="00DC46B4"/>
  </w:style>
  <w:style w:type="character" w:customStyle="1" w:styleId="ListParagraphChar">
    <w:name w:val="List Paragraph Char"/>
    <w:aliases w:val="Bullets Char,#List Paragraph Char"/>
    <w:link w:val="ListParagraph"/>
    <w:uiPriority w:val="34"/>
    <w:locked/>
    <w:rsid w:val="008C01AC"/>
    <w:rPr>
      <w:rFonts w:ascii="Arial" w:hAnsi="Arial" w:cs="Arial"/>
      <w:sz w:val="22"/>
      <w:szCs w:val="22"/>
    </w:rPr>
  </w:style>
  <w:style w:type="paragraph" w:styleId="ListParagraph">
    <w:name w:val="List Paragraph"/>
    <w:aliases w:val="Bullets,#List Paragraph"/>
    <w:basedOn w:val="Normal"/>
    <w:link w:val="ListParagraphChar"/>
    <w:uiPriority w:val="34"/>
    <w:qFormat/>
    <w:rsid w:val="008C01AC"/>
    <w:pPr>
      <w:spacing w:line="240" w:lineRule="auto"/>
      <w:ind w:left="720"/>
    </w:pPr>
    <w:rPr>
      <w:rFonts w:ascii="Arial" w:hAnsi="Arial" w:cs="Arial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8C01A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1AC"/>
  </w:style>
  <w:style w:type="character" w:styleId="CommentReference">
    <w:name w:val="annotation reference"/>
    <w:basedOn w:val="DefaultParagraphFont"/>
    <w:uiPriority w:val="99"/>
    <w:semiHidden/>
    <w:unhideWhenUsed/>
    <w:rsid w:val="008C01A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7E5"/>
    <w:rPr>
      <w:b/>
      <w:bCs/>
    </w:rPr>
  </w:style>
  <w:style w:type="character" w:customStyle="1" w:styleId="ActHead5Char">
    <w:name w:val="ActHead 5 Char"/>
    <w:aliases w:val="s Char"/>
    <w:basedOn w:val="DefaultParagraphFont"/>
    <w:link w:val="ActHead5"/>
    <w:locked/>
    <w:rsid w:val="008E024A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char0">
    <w:name w:val="subsectionchar"/>
    <w:basedOn w:val="DefaultParagraphFont"/>
    <w:rsid w:val="00F67940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7F699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7F6990"/>
    <w:rPr>
      <w:sz w:val="22"/>
    </w:rPr>
  </w:style>
  <w:style w:type="paragraph" w:styleId="Revision">
    <w:name w:val="Revision"/>
    <w:hidden/>
    <w:uiPriority w:val="99"/>
    <w:semiHidden/>
    <w:rsid w:val="007B30EE"/>
    <w:rPr>
      <w:sz w:val="22"/>
    </w:rPr>
  </w:style>
  <w:style w:type="paragraph" w:customStyle="1" w:styleId="subse">
    <w:name w:val="subse"/>
    <w:basedOn w:val="subsection"/>
    <w:rsid w:val="0026361D"/>
    <w:rPr>
      <w:b/>
      <w:kern w:val="28"/>
      <w:sz w:val="24"/>
    </w:rPr>
  </w:style>
  <w:style w:type="character" w:customStyle="1" w:styleId="paragraphChar">
    <w:name w:val="paragraph Char"/>
    <w:aliases w:val="a Char"/>
    <w:link w:val="paragraph"/>
    <w:locked/>
    <w:rsid w:val="005819F5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302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CC6BC2A7E60914F8F07590107636792" ma:contentTypeVersion="" ma:contentTypeDescription="PDMS Document Site Content Type" ma:contentTypeScope="" ma:versionID="8a864ca16da904bd765c819b46c42e46">
  <xsd:schema xmlns:xsd="http://www.w3.org/2001/XMLSchema" xmlns:xs="http://www.w3.org/2001/XMLSchema" xmlns:p="http://schemas.microsoft.com/office/2006/metadata/properties" xmlns:ns2="479673DD-B42C-447B-83BB-C665E4FBE352" targetNamespace="http://schemas.microsoft.com/office/2006/metadata/properties" ma:root="true" ma:fieldsID="6f26cbcae32677022c0710fab61f51a8" ns2:_="">
    <xsd:import namespace="479673DD-B42C-447B-83BB-C665E4FBE35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673DD-B42C-447B-83BB-C665E4FBE35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79673DD-B42C-447B-83BB-C665E4FBE3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C107-0570-421D-8FCA-67CEBD56C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DCE15-6DE1-424C-8380-6AC97C413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673DD-B42C-447B-83BB-C665E4FBE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D7F750-5818-4EB9-A3A4-7B5BD317DF79}">
  <ds:schemaRefs>
    <ds:schemaRef ds:uri="http://schemas.microsoft.com/office/2006/metadata/properties"/>
    <ds:schemaRef ds:uri="http://schemas.microsoft.com/office/infopath/2007/PartnerControls"/>
    <ds:schemaRef ds:uri="479673DD-B42C-447B-83BB-C665E4FBE352"/>
  </ds:schemaRefs>
</ds:datastoreItem>
</file>

<file path=customXml/itemProps4.xml><?xml version="1.0" encoding="utf-8"?>
<ds:datastoreItem xmlns:ds="http://schemas.openxmlformats.org/officeDocument/2006/customXml" ds:itemID="{9218953D-BB56-4D60-832E-2D0CCD11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2902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2021-03-29T05:34:00Z</dcterms:created>
  <dcterms:modified xsi:type="dcterms:W3CDTF">2021-03-30T00:29:00Z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0x010100266966F133664895A6EE3632470D45F5007CC6BC2A7E60914F8F07590107636792</vt:lpwstr>
  </property>
</Properties>
</file>