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46" w:rsidRPr="00D1260E" w:rsidRDefault="007C1946">
      <w:pPr>
        <w:pStyle w:val="Heading5"/>
        <w:rPr>
          <w:sz w:val="28"/>
          <w:szCs w:val="28"/>
        </w:rPr>
      </w:pPr>
      <w:r w:rsidRPr="00D1260E">
        <w:rPr>
          <w:sz w:val="28"/>
          <w:szCs w:val="28"/>
        </w:rPr>
        <w:t>EXPLANATORY STATEMENT</w:t>
      </w:r>
    </w:p>
    <w:p w:rsidR="007C1946" w:rsidRDefault="007C1946">
      <w:pPr>
        <w:rPr>
          <w:color w:val="000000"/>
          <w:sz w:val="28"/>
        </w:rPr>
      </w:pPr>
    </w:p>
    <w:p w:rsidR="007C1946" w:rsidRPr="00D1260E" w:rsidRDefault="007C1946">
      <w:pPr>
        <w:pStyle w:val="BodyText"/>
        <w:rPr>
          <w:b/>
          <w:sz w:val="28"/>
          <w:szCs w:val="28"/>
        </w:rPr>
      </w:pPr>
      <w:bookmarkStart w:id="0" w:name="OLE_LINK8"/>
      <w:bookmarkStart w:id="1" w:name="OLE_LINK10"/>
      <w:bookmarkStart w:id="2" w:name="OLE_LINK11"/>
      <w:r w:rsidRPr="00D1260E">
        <w:rPr>
          <w:b/>
          <w:sz w:val="28"/>
          <w:szCs w:val="28"/>
        </w:rPr>
        <w:t>Veterans’ Children Education Scheme</w:t>
      </w:r>
      <w:r w:rsidR="00FF018D" w:rsidRPr="00D1260E">
        <w:rPr>
          <w:b/>
          <w:sz w:val="28"/>
          <w:szCs w:val="28"/>
        </w:rPr>
        <w:t>s</w:t>
      </w:r>
      <w:r w:rsidRPr="00D1260E">
        <w:rPr>
          <w:b/>
          <w:sz w:val="28"/>
          <w:szCs w:val="28"/>
        </w:rPr>
        <w:t xml:space="preserve"> </w:t>
      </w:r>
      <w:r w:rsidR="00FF018D" w:rsidRPr="00D1260E">
        <w:rPr>
          <w:b/>
          <w:sz w:val="28"/>
          <w:szCs w:val="28"/>
        </w:rPr>
        <w:t>(</w:t>
      </w:r>
      <w:r w:rsidR="00FD21C1">
        <w:rPr>
          <w:b/>
          <w:sz w:val="28"/>
          <w:szCs w:val="28"/>
        </w:rPr>
        <w:t>Updated Allowances</w:t>
      </w:r>
      <w:r w:rsidR="00FF018D" w:rsidRPr="00D1260E">
        <w:rPr>
          <w:b/>
          <w:sz w:val="28"/>
          <w:szCs w:val="28"/>
        </w:rPr>
        <w:t>)</w:t>
      </w:r>
      <w:r w:rsidRPr="00D1260E">
        <w:rPr>
          <w:b/>
          <w:sz w:val="28"/>
          <w:szCs w:val="28"/>
        </w:rPr>
        <w:t xml:space="preserve"> </w:t>
      </w:r>
      <w:r w:rsidR="00FF018D" w:rsidRPr="00D1260E">
        <w:rPr>
          <w:b/>
          <w:sz w:val="28"/>
          <w:szCs w:val="28"/>
        </w:rPr>
        <w:t xml:space="preserve">Amendment </w:t>
      </w:r>
      <w:r w:rsidR="00DA29B2">
        <w:rPr>
          <w:b/>
          <w:sz w:val="28"/>
          <w:szCs w:val="28"/>
        </w:rPr>
        <w:t>Determination</w:t>
      </w:r>
      <w:r w:rsidRPr="00D1260E">
        <w:rPr>
          <w:b/>
          <w:sz w:val="28"/>
          <w:szCs w:val="28"/>
        </w:rPr>
        <w:t xml:space="preserve"> 20</w:t>
      </w:r>
      <w:r w:rsidR="00FF018D" w:rsidRPr="00D1260E">
        <w:rPr>
          <w:b/>
          <w:sz w:val="28"/>
          <w:szCs w:val="28"/>
        </w:rPr>
        <w:t>2</w:t>
      </w:r>
      <w:r w:rsidR="00FD21C1">
        <w:rPr>
          <w:b/>
          <w:sz w:val="28"/>
          <w:szCs w:val="28"/>
        </w:rPr>
        <w:t>1</w:t>
      </w:r>
    </w:p>
    <w:p w:rsidR="00FF018D" w:rsidRPr="00FF018D" w:rsidRDefault="00FF018D">
      <w:pPr>
        <w:pStyle w:val="BodyText"/>
        <w:rPr>
          <w:sz w:val="24"/>
          <w:szCs w:val="24"/>
          <w:u w:val="single"/>
        </w:rPr>
      </w:pPr>
      <w:r w:rsidRPr="00FF018D">
        <w:rPr>
          <w:sz w:val="24"/>
          <w:szCs w:val="24"/>
          <w:u w:val="single"/>
        </w:rPr>
        <w:t>Instrument 202</w:t>
      </w:r>
      <w:r w:rsidR="00FD21C1">
        <w:rPr>
          <w:sz w:val="24"/>
          <w:szCs w:val="24"/>
          <w:u w:val="single"/>
        </w:rPr>
        <w:t>1</w:t>
      </w:r>
      <w:r w:rsidRPr="00FF018D">
        <w:rPr>
          <w:sz w:val="24"/>
          <w:szCs w:val="24"/>
          <w:u w:val="single"/>
        </w:rPr>
        <w:t xml:space="preserve"> No. R1</w:t>
      </w:r>
      <w:r w:rsidR="00FD21C1">
        <w:rPr>
          <w:sz w:val="24"/>
          <w:szCs w:val="24"/>
          <w:u w:val="single"/>
        </w:rPr>
        <w:t>2</w:t>
      </w:r>
      <w:r w:rsidRPr="00FF018D">
        <w:rPr>
          <w:sz w:val="24"/>
          <w:szCs w:val="24"/>
          <w:u w:val="single"/>
        </w:rPr>
        <w:t>/MRCC1</w:t>
      </w:r>
      <w:r w:rsidR="00FD21C1">
        <w:rPr>
          <w:sz w:val="24"/>
          <w:szCs w:val="24"/>
          <w:u w:val="single"/>
        </w:rPr>
        <w:t>2</w:t>
      </w:r>
    </w:p>
    <w:bookmarkEnd w:id="0"/>
    <w:bookmarkEnd w:id="1"/>
    <w:bookmarkEnd w:id="2"/>
    <w:p w:rsidR="007C1946" w:rsidRDefault="007C1946">
      <w:pPr>
        <w:rPr>
          <w:b/>
          <w:color w:val="000000"/>
          <w:sz w:val="28"/>
        </w:rPr>
      </w:pPr>
    </w:p>
    <w:p w:rsidR="007C1946" w:rsidRPr="00D1260E" w:rsidRDefault="007C1946">
      <w:pPr>
        <w:rPr>
          <w:b/>
          <w:color w:val="000000"/>
          <w:sz w:val="24"/>
          <w:szCs w:val="24"/>
        </w:rPr>
      </w:pPr>
      <w:r w:rsidRPr="00D1260E">
        <w:rPr>
          <w:b/>
          <w:color w:val="000000"/>
          <w:sz w:val="24"/>
          <w:szCs w:val="24"/>
        </w:rPr>
        <w:t>EMPOWERING PROVISION</w:t>
      </w:r>
      <w:r w:rsidR="00FF018D" w:rsidRPr="00D1260E">
        <w:rPr>
          <w:b/>
          <w:color w:val="000000"/>
          <w:sz w:val="24"/>
          <w:szCs w:val="24"/>
        </w:rPr>
        <w:t>S</w:t>
      </w:r>
    </w:p>
    <w:p w:rsidR="007C1946" w:rsidRDefault="007C1946">
      <w:pPr>
        <w:rPr>
          <w:color w:val="000000"/>
          <w:sz w:val="28"/>
        </w:rPr>
      </w:pPr>
    </w:p>
    <w:p w:rsidR="001511EC" w:rsidRDefault="007C1946" w:rsidP="001511EC">
      <w:pPr>
        <w:spacing w:after="240"/>
        <w:rPr>
          <w:color w:val="000000"/>
          <w:sz w:val="24"/>
          <w:szCs w:val="24"/>
        </w:rPr>
      </w:pPr>
      <w:r w:rsidRPr="00D1260E">
        <w:rPr>
          <w:sz w:val="24"/>
          <w:szCs w:val="24"/>
        </w:rPr>
        <w:t xml:space="preserve">Subsection 117(3) of the </w:t>
      </w:r>
      <w:r w:rsidRPr="00D1260E">
        <w:rPr>
          <w:i/>
          <w:sz w:val="24"/>
          <w:szCs w:val="24"/>
        </w:rPr>
        <w:t>Veterans’ Entitlements Act</w:t>
      </w:r>
      <w:r w:rsidRPr="00D1260E">
        <w:rPr>
          <w:i/>
          <w:caps/>
          <w:sz w:val="24"/>
          <w:szCs w:val="24"/>
        </w:rPr>
        <w:t xml:space="preserve"> 1986</w:t>
      </w:r>
      <w:r w:rsidRPr="00D1260E">
        <w:rPr>
          <w:color w:val="000000"/>
          <w:sz w:val="24"/>
          <w:szCs w:val="24"/>
        </w:rPr>
        <w:t xml:space="preserve"> (the </w:t>
      </w:r>
      <w:r w:rsidR="00FF018D" w:rsidRPr="00D1260E">
        <w:rPr>
          <w:color w:val="000000"/>
          <w:sz w:val="24"/>
          <w:szCs w:val="24"/>
        </w:rPr>
        <w:t>VE</w:t>
      </w:r>
      <w:r w:rsidRPr="00D1260E">
        <w:rPr>
          <w:color w:val="000000"/>
          <w:sz w:val="24"/>
          <w:szCs w:val="24"/>
        </w:rPr>
        <w:t>A)</w:t>
      </w:r>
      <w:r w:rsidR="00FF018D" w:rsidRPr="00D1260E">
        <w:rPr>
          <w:color w:val="000000"/>
          <w:sz w:val="24"/>
          <w:szCs w:val="24"/>
        </w:rPr>
        <w:t xml:space="preserve"> and subsection 258(5) of the </w:t>
      </w:r>
      <w:r w:rsidR="00FF018D" w:rsidRPr="00D1260E">
        <w:rPr>
          <w:i/>
          <w:color w:val="000000"/>
          <w:sz w:val="24"/>
          <w:szCs w:val="24"/>
        </w:rPr>
        <w:t xml:space="preserve">Military Rehabilitation and Compensation Act 2004 </w:t>
      </w:r>
      <w:r w:rsidR="00FF018D" w:rsidRPr="00D1260E">
        <w:rPr>
          <w:color w:val="000000"/>
          <w:sz w:val="24"/>
          <w:szCs w:val="24"/>
        </w:rPr>
        <w:t>(the MRCA).</w:t>
      </w:r>
    </w:p>
    <w:p w:rsidR="007C1946" w:rsidRDefault="007C1946" w:rsidP="001511EC">
      <w:pPr>
        <w:spacing w:after="240"/>
        <w:rPr>
          <w:b/>
          <w:sz w:val="24"/>
          <w:szCs w:val="24"/>
        </w:rPr>
      </w:pPr>
      <w:r w:rsidRPr="001511EC">
        <w:rPr>
          <w:b/>
          <w:sz w:val="24"/>
          <w:szCs w:val="24"/>
        </w:rPr>
        <w:t>PURPOSE</w:t>
      </w:r>
    </w:p>
    <w:p w:rsidR="004D6817" w:rsidRDefault="004D6817" w:rsidP="004D6817">
      <w:pPr>
        <w:spacing w:after="240"/>
        <w:rPr>
          <w:sz w:val="24"/>
          <w:szCs w:val="24"/>
        </w:rPr>
      </w:pPr>
      <w:r w:rsidRPr="00D1260E">
        <w:rPr>
          <w:sz w:val="24"/>
          <w:szCs w:val="24"/>
        </w:rPr>
        <w:t xml:space="preserve">The instrument </w:t>
      </w:r>
      <w:r w:rsidRPr="00D1260E">
        <w:rPr>
          <w:color w:val="000000"/>
          <w:sz w:val="24"/>
          <w:szCs w:val="24"/>
        </w:rPr>
        <w:t>(202</w:t>
      </w:r>
      <w:r>
        <w:rPr>
          <w:color w:val="000000"/>
          <w:sz w:val="24"/>
          <w:szCs w:val="24"/>
        </w:rPr>
        <w:t>1</w:t>
      </w:r>
      <w:r w:rsidRPr="00D1260E">
        <w:rPr>
          <w:color w:val="000000"/>
          <w:sz w:val="24"/>
          <w:szCs w:val="24"/>
        </w:rPr>
        <w:t xml:space="preserve"> No. R1</w:t>
      </w:r>
      <w:r>
        <w:rPr>
          <w:color w:val="000000"/>
          <w:sz w:val="24"/>
          <w:szCs w:val="24"/>
        </w:rPr>
        <w:t>2</w:t>
      </w:r>
      <w:r w:rsidRPr="00D1260E">
        <w:rPr>
          <w:color w:val="000000"/>
          <w:sz w:val="24"/>
          <w:szCs w:val="24"/>
        </w:rPr>
        <w:t>/ MRCC1</w:t>
      </w:r>
      <w:r>
        <w:rPr>
          <w:color w:val="000000"/>
          <w:sz w:val="24"/>
          <w:szCs w:val="24"/>
        </w:rPr>
        <w:t>2</w:t>
      </w:r>
      <w:r w:rsidRPr="00D1260E">
        <w:rPr>
          <w:color w:val="000000"/>
          <w:sz w:val="24"/>
          <w:szCs w:val="24"/>
        </w:rPr>
        <w:t xml:space="preserve">) </w:t>
      </w:r>
      <w:r>
        <w:rPr>
          <w:color w:val="000000"/>
          <w:sz w:val="24"/>
          <w:szCs w:val="24"/>
        </w:rPr>
        <w:t xml:space="preserve">increases payments to certain recipients receiving benefits under </w:t>
      </w:r>
      <w:r>
        <w:rPr>
          <w:sz w:val="24"/>
          <w:szCs w:val="24"/>
        </w:rPr>
        <w:t xml:space="preserve">the </w:t>
      </w:r>
      <w:r w:rsidRPr="00A46BD1">
        <w:rPr>
          <w:i/>
          <w:sz w:val="24"/>
          <w:szCs w:val="24"/>
        </w:rPr>
        <w:t>Veterans’ Children Education Scheme</w:t>
      </w:r>
      <w:r w:rsidRPr="00A46BD1">
        <w:rPr>
          <w:sz w:val="24"/>
          <w:szCs w:val="24"/>
        </w:rPr>
        <w:t xml:space="preserve"> (VCES) and the </w:t>
      </w:r>
      <w:r w:rsidRPr="00A46BD1">
        <w:rPr>
          <w:i/>
          <w:sz w:val="24"/>
          <w:szCs w:val="24"/>
        </w:rPr>
        <w:t>MRCA Education and Training Scheme</w:t>
      </w:r>
      <w:r w:rsidRPr="00A46BD1">
        <w:rPr>
          <w:sz w:val="24"/>
          <w:szCs w:val="24"/>
        </w:rPr>
        <w:t xml:space="preserve"> (MRCAETS)</w:t>
      </w:r>
      <w:r>
        <w:rPr>
          <w:sz w:val="24"/>
          <w:szCs w:val="24"/>
        </w:rPr>
        <w:t xml:space="preserve"> (the Education Schemes).</w:t>
      </w:r>
    </w:p>
    <w:p w:rsidR="004D6817" w:rsidRDefault="004D6817" w:rsidP="004D6817">
      <w:pPr>
        <w:spacing w:after="240"/>
        <w:rPr>
          <w:sz w:val="24"/>
          <w:szCs w:val="24"/>
        </w:rPr>
      </w:pPr>
      <w:r w:rsidRPr="00A46BD1">
        <w:rPr>
          <w:sz w:val="24"/>
          <w:szCs w:val="24"/>
        </w:rPr>
        <w:t xml:space="preserve">The </w:t>
      </w:r>
      <w:r>
        <w:rPr>
          <w:sz w:val="24"/>
          <w:szCs w:val="24"/>
        </w:rPr>
        <w:t>Education Schemes</w:t>
      </w:r>
      <w:r w:rsidRPr="00A46BD1">
        <w:rPr>
          <w:sz w:val="24"/>
          <w:szCs w:val="24"/>
        </w:rPr>
        <w:t xml:space="preserve"> are</w:t>
      </w:r>
      <w:r>
        <w:rPr>
          <w:sz w:val="24"/>
          <w:szCs w:val="24"/>
        </w:rPr>
        <w:t xml:space="preserve"> provided through</w:t>
      </w:r>
      <w:r w:rsidRPr="00A46BD1">
        <w:rPr>
          <w:sz w:val="24"/>
          <w:szCs w:val="24"/>
        </w:rPr>
        <w:t xml:space="preserve"> legislative instruments made under the </w:t>
      </w:r>
      <w:r w:rsidRPr="00A46BD1">
        <w:rPr>
          <w:i/>
          <w:sz w:val="24"/>
          <w:szCs w:val="24"/>
        </w:rPr>
        <w:t>Veterans’ Entitlements Act 1986</w:t>
      </w:r>
      <w:r>
        <w:rPr>
          <w:sz w:val="24"/>
          <w:szCs w:val="24"/>
        </w:rPr>
        <w:t xml:space="preserve"> (the </w:t>
      </w:r>
      <w:r w:rsidRPr="00A46BD1">
        <w:rPr>
          <w:sz w:val="24"/>
          <w:szCs w:val="24"/>
        </w:rPr>
        <w:t>VEA</w:t>
      </w:r>
      <w:r>
        <w:rPr>
          <w:sz w:val="24"/>
          <w:szCs w:val="24"/>
        </w:rPr>
        <w:t>)</w:t>
      </w:r>
      <w:r w:rsidRPr="00A46BD1">
        <w:rPr>
          <w:sz w:val="24"/>
          <w:szCs w:val="24"/>
        </w:rPr>
        <w:t xml:space="preserve"> and the </w:t>
      </w:r>
      <w:r w:rsidRPr="00A46BD1">
        <w:rPr>
          <w:i/>
          <w:sz w:val="24"/>
          <w:szCs w:val="24"/>
        </w:rPr>
        <w:t>Military Rehabilitation and Compensation Act 2004</w:t>
      </w:r>
      <w:r>
        <w:rPr>
          <w:sz w:val="24"/>
          <w:szCs w:val="24"/>
        </w:rPr>
        <w:t xml:space="preserve"> (the </w:t>
      </w:r>
      <w:r w:rsidRPr="00A46BD1">
        <w:rPr>
          <w:sz w:val="24"/>
          <w:szCs w:val="24"/>
        </w:rPr>
        <w:t>MRCA</w:t>
      </w:r>
      <w:r>
        <w:rPr>
          <w:sz w:val="24"/>
          <w:szCs w:val="24"/>
        </w:rPr>
        <w:t>) respectively.</w:t>
      </w:r>
      <w:r w:rsidRPr="00A46BD1">
        <w:rPr>
          <w:sz w:val="24"/>
          <w:szCs w:val="24"/>
        </w:rPr>
        <w:t xml:space="preserve"> </w:t>
      </w:r>
    </w:p>
    <w:p w:rsidR="004D6817" w:rsidRPr="004D6817" w:rsidRDefault="004D6817" w:rsidP="004D6817">
      <w:pPr>
        <w:spacing w:after="240"/>
        <w:rPr>
          <w:sz w:val="24"/>
          <w:szCs w:val="24"/>
        </w:rPr>
      </w:pPr>
      <w:r w:rsidRPr="004D6817">
        <w:rPr>
          <w:sz w:val="24"/>
          <w:szCs w:val="24"/>
        </w:rPr>
        <w:t>The Education Schemes enable the Repatriation Commission and the Military Rehabilitation and Compensation Commission to pay education allowances to the eligible children and dependents of severely injured veterans and veterans who have died as a result of their service.  Assistance under the Education Schemes is available to eligible primary, secondary and tertiary students to help them achieve their full potential in education or career training.</w:t>
      </w:r>
    </w:p>
    <w:p w:rsidR="004D6817" w:rsidRDefault="004D6817" w:rsidP="004D6817">
      <w:pPr>
        <w:spacing w:after="240"/>
        <w:rPr>
          <w:sz w:val="24"/>
          <w:szCs w:val="24"/>
        </w:rPr>
      </w:pPr>
      <w:r>
        <w:rPr>
          <w:sz w:val="24"/>
          <w:szCs w:val="24"/>
        </w:rPr>
        <w:t xml:space="preserve">On 23 February 2021, the Government announced a measure to increase the base rates of certain payments, such as </w:t>
      </w:r>
      <w:proofErr w:type="spellStart"/>
      <w:r>
        <w:rPr>
          <w:sz w:val="24"/>
          <w:szCs w:val="24"/>
        </w:rPr>
        <w:t>JobSeeker</w:t>
      </w:r>
      <w:proofErr w:type="spellEnd"/>
      <w:r>
        <w:rPr>
          <w:sz w:val="24"/>
          <w:szCs w:val="24"/>
        </w:rPr>
        <w:t xml:space="preserve"> Payment and Youth Allowance</w:t>
      </w:r>
      <w:r w:rsidRPr="008A62A9">
        <w:rPr>
          <w:sz w:val="24"/>
          <w:szCs w:val="24"/>
        </w:rPr>
        <w:t xml:space="preserve"> </w:t>
      </w:r>
      <w:r>
        <w:rPr>
          <w:sz w:val="24"/>
          <w:szCs w:val="24"/>
        </w:rPr>
        <w:t xml:space="preserve">under the </w:t>
      </w:r>
      <w:r w:rsidRPr="00FD21C1">
        <w:rPr>
          <w:i/>
          <w:sz w:val="24"/>
          <w:szCs w:val="24"/>
        </w:rPr>
        <w:t>Social Security Act 1991</w:t>
      </w:r>
      <w:r>
        <w:rPr>
          <w:sz w:val="24"/>
          <w:szCs w:val="24"/>
        </w:rPr>
        <w:t xml:space="preserve"> (SSA), by $50 per fortnight with effect from 1 April 2021.  As part of that measure, rates of DVA’s education allowance that are linked to Youth Allowance are also to increase by $50 per fortnight.</w:t>
      </w:r>
    </w:p>
    <w:p w:rsidR="004D6817" w:rsidRDefault="004D6817" w:rsidP="004D6817">
      <w:pPr>
        <w:spacing w:after="240"/>
        <w:rPr>
          <w:sz w:val="24"/>
          <w:szCs w:val="24"/>
        </w:rPr>
      </w:pPr>
      <w:r>
        <w:rPr>
          <w:sz w:val="24"/>
          <w:szCs w:val="24"/>
        </w:rPr>
        <w:t xml:space="preserve">The </w:t>
      </w:r>
      <w:r w:rsidRPr="005E0111">
        <w:rPr>
          <w:i/>
          <w:sz w:val="24"/>
          <w:szCs w:val="24"/>
        </w:rPr>
        <w:t xml:space="preserve">Social Security Legislation Amendment (Strengthening Income Support) </w:t>
      </w:r>
      <w:r w:rsidR="00D40648">
        <w:rPr>
          <w:i/>
          <w:sz w:val="24"/>
          <w:szCs w:val="24"/>
        </w:rPr>
        <w:t>Act</w:t>
      </w:r>
      <w:r w:rsidRPr="005E0111">
        <w:rPr>
          <w:i/>
          <w:sz w:val="24"/>
          <w:szCs w:val="24"/>
        </w:rPr>
        <w:t xml:space="preserve"> 2021</w:t>
      </w:r>
      <w:r>
        <w:rPr>
          <w:sz w:val="24"/>
          <w:szCs w:val="24"/>
        </w:rPr>
        <w:t xml:space="preserve">, which </w:t>
      </w:r>
      <w:r w:rsidR="00D40648">
        <w:rPr>
          <w:sz w:val="24"/>
          <w:szCs w:val="24"/>
        </w:rPr>
        <w:t xml:space="preserve">received Royal Assent </w:t>
      </w:r>
      <w:r>
        <w:rPr>
          <w:sz w:val="24"/>
          <w:szCs w:val="24"/>
        </w:rPr>
        <w:t xml:space="preserve">on </w:t>
      </w:r>
      <w:r w:rsidR="007E127E">
        <w:rPr>
          <w:sz w:val="24"/>
          <w:szCs w:val="24"/>
        </w:rPr>
        <w:t>22</w:t>
      </w:r>
      <w:r>
        <w:rPr>
          <w:sz w:val="24"/>
          <w:szCs w:val="24"/>
        </w:rPr>
        <w:t xml:space="preserve"> </w:t>
      </w:r>
      <w:r w:rsidR="00D40648">
        <w:rPr>
          <w:sz w:val="24"/>
          <w:szCs w:val="24"/>
        </w:rPr>
        <w:t>March</w:t>
      </w:r>
      <w:r>
        <w:rPr>
          <w:sz w:val="24"/>
          <w:szCs w:val="24"/>
        </w:rPr>
        <w:t xml:space="preserve"> 2021, amend</w:t>
      </w:r>
      <w:r w:rsidR="00D40648">
        <w:rPr>
          <w:sz w:val="24"/>
          <w:szCs w:val="24"/>
        </w:rPr>
        <w:t>ed</w:t>
      </w:r>
      <w:r>
        <w:rPr>
          <w:sz w:val="24"/>
          <w:szCs w:val="24"/>
        </w:rPr>
        <w:t xml:space="preserve"> the SSA to increase the rates of Youth Allowance and other working age payments by $50 per fortnight from 1 April 2021.</w:t>
      </w:r>
    </w:p>
    <w:p w:rsidR="007C6C49" w:rsidRDefault="007C6C49" w:rsidP="007C6C49">
      <w:pPr>
        <w:spacing w:after="240"/>
        <w:rPr>
          <w:sz w:val="24"/>
          <w:szCs w:val="24"/>
        </w:rPr>
      </w:pPr>
      <w:r>
        <w:rPr>
          <w:sz w:val="24"/>
          <w:szCs w:val="24"/>
        </w:rPr>
        <w:t>T</w:t>
      </w:r>
      <w:r w:rsidRPr="00D1260E">
        <w:rPr>
          <w:sz w:val="24"/>
          <w:szCs w:val="24"/>
        </w:rPr>
        <w:t>he</w:t>
      </w:r>
      <w:r>
        <w:rPr>
          <w:sz w:val="24"/>
          <w:szCs w:val="24"/>
        </w:rPr>
        <w:t>se</w:t>
      </w:r>
      <w:r w:rsidRPr="00D1260E">
        <w:rPr>
          <w:sz w:val="24"/>
          <w:szCs w:val="24"/>
        </w:rPr>
        <w:t xml:space="preserve"> </w:t>
      </w:r>
      <w:r>
        <w:rPr>
          <w:sz w:val="24"/>
          <w:szCs w:val="24"/>
        </w:rPr>
        <w:t>amendments to the SSA will automatically flow through to increase the amount of</w:t>
      </w:r>
      <w:r w:rsidRPr="00D1260E">
        <w:rPr>
          <w:sz w:val="24"/>
          <w:szCs w:val="24"/>
        </w:rPr>
        <w:t xml:space="preserve"> education allowance </w:t>
      </w:r>
      <w:r>
        <w:rPr>
          <w:sz w:val="24"/>
          <w:szCs w:val="24"/>
        </w:rPr>
        <w:t xml:space="preserve">payable to students aged 16 years or more </w:t>
      </w:r>
      <w:r w:rsidRPr="00D1260E">
        <w:rPr>
          <w:sz w:val="24"/>
          <w:szCs w:val="24"/>
        </w:rPr>
        <w:t xml:space="preserve">under the </w:t>
      </w:r>
      <w:r>
        <w:rPr>
          <w:sz w:val="24"/>
          <w:szCs w:val="24"/>
        </w:rPr>
        <w:t>Education Schemes and to the homeless student education allowance and the rate for double orphans.</w:t>
      </w:r>
    </w:p>
    <w:p w:rsidR="007C6C49" w:rsidRDefault="007C6C49" w:rsidP="007C6C49">
      <w:pPr>
        <w:spacing w:after="240"/>
        <w:rPr>
          <w:sz w:val="24"/>
          <w:szCs w:val="24"/>
        </w:rPr>
      </w:pPr>
      <w:r>
        <w:rPr>
          <w:sz w:val="24"/>
          <w:szCs w:val="24"/>
        </w:rPr>
        <w:t>This instrument ensures that other rates of education allowance will also receive the $50 per fortnight rate increase, as was intended.  These are rates for secondary students under 16 years who live away from home who currently receive an indexed payment of $388.30 per fortnight (plus energy supplement of $5.90 per fortnight).</w:t>
      </w:r>
    </w:p>
    <w:p w:rsidR="004D6817" w:rsidRDefault="007C6C49" w:rsidP="007C6C49">
      <w:pPr>
        <w:spacing w:after="240"/>
        <w:rPr>
          <w:b/>
          <w:sz w:val="24"/>
          <w:szCs w:val="24"/>
        </w:rPr>
      </w:pPr>
      <w:r>
        <w:rPr>
          <w:sz w:val="24"/>
          <w:szCs w:val="24"/>
        </w:rPr>
        <w:t>Consequential amendments have also been made to the rates of education allowance payable to primary students and secondary students who live at home to reflect the current indexed rate.</w:t>
      </w:r>
    </w:p>
    <w:p w:rsidR="007C1946" w:rsidRPr="001511EC" w:rsidRDefault="007C1946" w:rsidP="001511EC">
      <w:pPr>
        <w:spacing w:after="240"/>
        <w:rPr>
          <w:b/>
          <w:sz w:val="24"/>
          <w:szCs w:val="24"/>
        </w:rPr>
      </w:pPr>
      <w:r w:rsidRPr="001511EC">
        <w:rPr>
          <w:b/>
          <w:bCs/>
          <w:sz w:val="24"/>
          <w:szCs w:val="24"/>
        </w:rPr>
        <w:lastRenderedPageBreak/>
        <w:t>CONSULTATION</w:t>
      </w:r>
    </w:p>
    <w:p w:rsidR="00C5282D" w:rsidRDefault="00C5282D" w:rsidP="00C5282D">
      <w:pPr>
        <w:autoSpaceDE w:val="0"/>
        <w:autoSpaceDN w:val="0"/>
        <w:adjustRightInd w:val="0"/>
        <w:spacing w:after="240"/>
        <w:rPr>
          <w:bCs/>
          <w:color w:val="000000"/>
          <w:sz w:val="24"/>
          <w:szCs w:val="24"/>
        </w:rPr>
      </w:pPr>
      <w:r w:rsidRPr="00C5282D">
        <w:rPr>
          <w:bCs/>
          <w:color w:val="000000"/>
          <w:sz w:val="24"/>
          <w:szCs w:val="24"/>
        </w:rPr>
        <w:t xml:space="preserve">Section 17 of the </w:t>
      </w:r>
      <w:r w:rsidRPr="00C5282D">
        <w:rPr>
          <w:bCs/>
          <w:i/>
          <w:color w:val="000000"/>
          <w:sz w:val="24"/>
          <w:szCs w:val="24"/>
        </w:rPr>
        <w:t>Legislation Act 2003</w:t>
      </w:r>
      <w:r w:rsidRPr="00C5282D">
        <w:rPr>
          <w:bCs/>
          <w:color w:val="000000"/>
          <w:sz w:val="24"/>
          <w:szCs w:val="24"/>
        </w:rPr>
        <w:t xml:space="preserve"> requires a rule-maker to be satisfied, before making a legislative instrument that any consultation the rule-maker considered appropriate and reasonably practicable, has been undertaken.</w:t>
      </w:r>
    </w:p>
    <w:p w:rsidR="00396887" w:rsidRPr="00396887" w:rsidRDefault="007C6C49" w:rsidP="00396887">
      <w:pPr>
        <w:autoSpaceDE w:val="0"/>
        <w:autoSpaceDN w:val="0"/>
        <w:adjustRightInd w:val="0"/>
        <w:spacing w:after="240"/>
        <w:rPr>
          <w:bCs/>
          <w:color w:val="000000"/>
          <w:sz w:val="24"/>
          <w:szCs w:val="24"/>
        </w:rPr>
      </w:pPr>
      <w:r>
        <w:rPr>
          <w:bCs/>
          <w:color w:val="000000"/>
          <w:sz w:val="24"/>
          <w:szCs w:val="24"/>
        </w:rPr>
        <w:t xml:space="preserve">The policies surrounding </w:t>
      </w:r>
      <w:r w:rsidR="00396887">
        <w:rPr>
          <w:bCs/>
          <w:color w:val="000000"/>
          <w:sz w:val="24"/>
          <w:szCs w:val="24"/>
        </w:rPr>
        <w:t>Education Schemes are</w:t>
      </w:r>
      <w:r w:rsidR="00396887" w:rsidRPr="00396887">
        <w:rPr>
          <w:bCs/>
          <w:color w:val="000000"/>
          <w:sz w:val="24"/>
          <w:szCs w:val="24"/>
        </w:rPr>
        <w:t xml:space="preserve"> the responsibility of the </w:t>
      </w:r>
      <w:r w:rsidR="00396887">
        <w:rPr>
          <w:bCs/>
          <w:color w:val="000000"/>
          <w:sz w:val="24"/>
          <w:szCs w:val="24"/>
        </w:rPr>
        <w:t xml:space="preserve">Policy Implementation, Evaluation and Families Section of the Policy Development Branch of the Veterans’ </w:t>
      </w:r>
      <w:r>
        <w:rPr>
          <w:bCs/>
          <w:color w:val="000000"/>
          <w:sz w:val="24"/>
          <w:szCs w:val="24"/>
        </w:rPr>
        <w:t xml:space="preserve">and Families Policy </w:t>
      </w:r>
      <w:r w:rsidR="00396887" w:rsidRPr="00396887">
        <w:rPr>
          <w:bCs/>
          <w:color w:val="000000"/>
          <w:sz w:val="24"/>
          <w:szCs w:val="24"/>
        </w:rPr>
        <w:t>Division.</w:t>
      </w:r>
    </w:p>
    <w:p w:rsidR="00D6193A" w:rsidRDefault="00396887" w:rsidP="00D6193A">
      <w:pPr>
        <w:autoSpaceDE w:val="0"/>
        <w:autoSpaceDN w:val="0"/>
        <w:adjustRightInd w:val="0"/>
        <w:rPr>
          <w:bCs/>
          <w:color w:val="000000"/>
          <w:sz w:val="24"/>
          <w:szCs w:val="24"/>
        </w:rPr>
      </w:pPr>
      <w:r w:rsidRPr="00396887">
        <w:rPr>
          <w:bCs/>
          <w:color w:val="000000"/>
          <w:sz w:val="24"/>
          <w:szCs w:val="24"/>
        </w:rPr>
        <w:t xml:space="preserve">The proposal to </w:t>
      </w:r>
      <w:r>
        <w:rPr>
          <w:bCs/>
          <w:color w:val="000000"/>
          <w:sz w:val="24"/>
          <w:szCs w:val="24"/>
        </w:rPr>
        <w:t>increase the rate of education allowance has</w:t>
      </w:r>
      <w:r w:rsidRPr="00396887">
        <w:rPr>
          <w:bCs/>
          <w:color w:val="000000"/>
          <w:sz w:val="24"/>
          <w:szCs w:val="24"/>
        </w:rPr>
        <w:t xml:space="preserve"> been referred to </w:t>
      </w:r>
      <w:r w:rsidR="00D6193A">
        <w:rPr>
          <w:bCs/>
          <w:color w:val="000000"/>
          <w:sz w:val="24"/>
          <w:szCs w:val="24"/>
        </w:rPr>
        <w:t xml:space="preserve">the </w:t>
      </w:r>
    </w:p>
    <w:p w:rsidR="00396887" w:rsidRDefault="00396887" w:rsidP="00D6193A">
      <w:pPr>
        <w:autoSpaceDE w:val="0"/>
        <w:autoSpaceDN w:val="0"/>
        <w:adjustRightInd w:val="0"/>
        <w:rPr>
          <w:bCs/>
          <w:color w:val="000000"/>
          <w:sz w:val="24"/>
          <w:szCs w:val="24"/>
        </w:rPr>
      </w:pPr>
      <w:r w:rsidRPr="00396887">
        <w:rPr>
          <w:bCs/>
          <w:color w:val="000000"/>
          <w:sz w:val="24"/>
          <w:szCs w:val="24"/>
        </w:rPr>
        <w:t>Ex-Service Organisation Round Table (ESORT).</w:t>
      </w:r>
    </w:p>
    <w:p w:rsidR="00D6193A" w:rsidRPr="00396887" w:rsidRDefault="00D6193A" w:rsidP="00D6193A">
      <w:pPr>
        <w:autoSpaceDE w:val="0"/>
        <w:autoSpaceDN w:val="0"/>
        <w:adjustRightInd w:val="0"/>
        <w:rPr>
          <w:bCs/>
          <w:color w:val="000000"/>
          <w:sz w:val="24"/>
          <w:szCs w:val="24"/>
        </w:rPr>
      </w:pPr>
    </w:p>
    <w:p w:rsidR="00396887" w:rsidRPr="00396887" w:rsidRDefault="00396887" w:rsidP="00396887">
      <w:pPr>
        <w:autoSpaceDE w:val="0"/>
        <w:autoSpaceDN w:val="0"/>
        <w:adjustRightInd w:val="0"/>
        <w:spacing w:after="240"/>
        <w:rPr>
          <w:bCs/>
          <w:color w:val="000000"/>
          <w:sz w:val="24"/>
          <w:szCs w:val="24"/>
        </w:rPr>
      </w:pPr>
      <w:r w:rsidRPr="00396887">
        <w:rPr>
          <w:bCs/>
          <w:color w:val="000000"/>
          <w:sz w:val="24"/>
          <w:szCs w:val="24"/>
        </w:rPr>
        <w:t>The ESORT is a forum intended to enhance the capacity of the Repatriation Commission and Military Rehabilitation and Compensation Commission (the MRCC) by addressing issues of strategic importance to the ex-service and defence communities and assist in setting directions for the medium to long term.</w:t>
      </w:r>
    </w:p>
    <w:p w:rsidR="00C5282D" w:rsidRPr="00C5282D" w:rsidRDefault="007E6D61" w:rsidP="00C5282D">
      <w:pPr>
        <w:autoSpaceDE w:val="0"/>
        <w:autoSpaceDN w:val="0"/>
        <w:adjustRightInd w:val="0"/>
        <w:spacing w:after="240"/>
        <w:rPr>
          <w:bCs/>
          <w:color w:val="000000"/>
          <w:sz w:val="24"/>
          <w:szCs w:val="24"/>
        </w:rPr>
      </w:pPr>
      <w:r>
        <w:rPr>
          <w:bCs/>
          <w:color w:val="000000"/>
          <w:sz w:val="24"/>
          <w:szCs w:val="24"/>
        </w:rPr>
        <w:t>E</w:t>
      </w:r>
      <w:r w:rsidR="00C5282D" w:rsidRPr="00C5282D">
        <w:rPr>
          <w:bCs/>
          <w:color w:val="000000"/>
          <w:sz w:val="24"/>
          <w:szCs w:val="24"/>
        </w:rPr>
        <w:t xml:space="preserve">xternal consultation was undertaken </w:t>
      </w:r>
      <w:r>
        <w:rPr>
          <w:bCs/>
          <w:color w:val="000000"/>
          <w:sz w:val="24"/>
          <w:szCs w:val="24"/>
        </w:rPr>
        <w:t>with the Department</w:t>
      </w:r>
      <w:r w:rsidR="001511EC">
        <w:rPr>
          <w:bCs/>
          <w:color w:val="000000"/>
          <w:sz w:val="24"/>
          <w:szCs w:val="24"/>
        </w:rPr>
        <w:t xml:space="preserve"> of </w:t>
      </w:r>
      <w:r w:rsidR="007C6C49">
        <w:rPr>
          <w:bCs/>
          <w:color w:val="000000"/>
          <w:sz w:val="24"/>
          <w:szCs w:val="24"/>
        </w:rPr>
        <w:t>Social Services</w:t>
      </w:r>
      <w:r w:rsidR="004D75DB">
        <w:rPr>
          <w:bCs/>
          <w:color w:val="000000"/>
          <w:sz w:val="24"/>
          <w:szCs w:val="24"/>
        </w:rPr>
        <w:t>.</w:t>
      </w:r>
    </w:p>
    <w:p w:rsidR="00C5282D" w:rsidRDefault="00C5282D" w:rsidP="00C5282D">
      <w:pPr>
        <w:autoSpaceDE w:val="0"/>
        <w:autoSpaceDN w:val="0"/>
        <w:adjustRightInd w:val="0"/>
        <w:rPr>
          <w:bCs/>
          <w:color w:val="000000"/>
          <w:sz w:val="24"/>
          <w:szCs w:val="24"/>
        </w:rPr>
      </w:pPr>
      <w:r w:rsidRPr="00C5282D">
        <w:rPr>
          <w:bCs/>
          <w:color w:val="000000"/>
          <w:sz w:val="24"/>
          <w:szCs w:val="24"/>
        </w:rPr>
        <w:t>Accordingly, it is considered the requirements of section 17 of the</w:t>
      </w:r>
      <w:r w:rsidRPr="00C5282D">
        <w:rPr>
          <w:bCs/>
          <w:i/>
          <w:color w:val="000000"/>
          <w:sz w:val="24"/>
          <w:szCs w:val="24"/>
        </w:rPr>
        <w:t xml:space="preserve"> Legislation Act 2003</w:t>
      </w:r>
      <w:r w:rsidRPr="00C5282D">
        <w:rPr>
          <w:bCs/>
          <w:color w:val="000000"/>
          <w:sz w:val="24"/>
          <w:szCs w:val="24"/>
        </w:rPr>
        <w:t xml:space="preserve"> have been met.</w:t>
      </w:r>
    </w:p>
    <w:p w:rsidR="000C33BB" w:rsidRDefault="000C33BB" w:rsidP="00C5282D">
      <w:pPr>
        <w:autoSpaceDE w:val="0"/>
        <w:autoSpaceDN w:val="0"/>
        <w:adjustRightInd w:val="0"/>
        <w:rPr>
          <w:bCs/>
          <w:color w:val="000000"/>
          <w:sz w:val="24"/>
          <w:szCs w:val="24"/>
        </w:rPr>
      </w:pPr>
    </w:p>
    <w:p w:rsidR="000C33BB" w:rsidRPr="005F376B" w:rsidRDefault="000C33BB" w:rsidP="00C5282D">
      <w:pPr>
        <w:autoSpaceDE w:val="0"/>
        <w:autoSpaceDN w:val="0"/>
        <w:adjustRightInd w:val="0"/>
        <w:rPr>
          <w:b/>
          <w:bCs/>
          <w:color w:val="000000"/>
          <w:sz w:val="24"/>
          <w:szCs w:val="24"/>
        </w:rPr>
      </w:pPr>
      <w:r w:rsidRPr="005F376B">
        <w:rPr>
          <w:b/>
          <w:bCs/>
          <w:color w:val="000000"/>
          <w:sz w:val="24"/>
          <w:szCs w:val="24"/>
        </w:rPr>
        <w:t>REGULATORY IMPACT</w:t>
      </w:r>
    </w:p>
    <w:p w:rsidR="000C33BB" w:rsidRDefault="000C33BB" w:rsidP="00C5282D">
      <w:pPr>
        <w:autoSpaceDE w:val="0"/>
        <w:autoSpaceDN w:val="0"/>
        <w:adjustRightInd w:val="0"/>
        <w:rPr>
          <w:bCs/>
          <w:color w:val="000000"/>
          <w:sz w:val="24"/>
          <w:szCs w:val="24"/>
        </w:rPr>
      </w:pPr>
    </w:p>
    <w:p w:rsidR="000C33BB" w:rsidRPr="000C33BB" w:rsidRDefault="000C33BB" w:rsidP="000C33BB">
      <w:pPr>
        <w:autoSpaceDE w:val="0"/>
        <w:autoSpaceDN w:val="0"/>
        <w:adjustRightInd w:val="0"/>
        <w:rPr>
          <w:bCs/>
          <w:color w:val="000000"/>
          <w:sz w:val="24"/>
          <w:szCs w:val="24"/>
        </w:rPr>
      </w:pPr>
      <w:r>
        <w:rPr>
          <w:bCs/>
          <w:color w:val="000000"/>
          <w:sz w:val="24"/>
          <w:szCs w:val="24"/>
        </w:rPr>
        <w:t xml:space="preserve">The proposed amendments concern </w:t>
      </w:r>
      <w:r w:rsidR="005F376B">
        <w:rPr>
          <w:bCs/>
          <w:color w:val="000000"/>
          <w:sz w:val="24"/>
          <w:szCs w:val="24"/>
        </w:rPr>
        <w:t xml:space="preserve">the implementation of </w:t>
      </w:r>
      <w:r>
        <w:rPr>
          <w:bCs/>
          <w:color w:val="000000"/>
          <w:sz w:val="24"/>
          <w:szCs w:val="24"/>
        </w:rPr>
        <w:t xml:space="preserve">a measure that relates to the </w:t>
      </w:r>
      <w:r w:rsidRPr="000C33BB">
        <w:rPr>
          <w:bCs/>
          <w:color w:val="000000"/>
          <w:sz w:val="24"/>
          <w:szCs w:val="24"/>
        </w:rPr>
        <w:t>i</w:t>
      </w:r>
      <w:r w:rsidR="005F376B">
        <w:rPr>
          <w:bCs/>
          <w:color w:val="000000"/>
          <w:sz w:val="24"/>
          <w:szCs w:val="24"/>
        </w:rPr>
        <w:t>mpacts of the COVID-19 pandemic.  As such a</w:t>
      </w:r>
      <w:r w:rsidRPr="000C33BB">
        <w:rPr>
          <w:bCs/>
          <w:color w:val="000000"/>
          <w:sz w:val="24"/>
          <w:szCs w:val="24"/>
        </w:rPr>
        <w:t>n exemption from the Regulation Impact Statement requirements was granted by the Prime Minister as there wer</w:t>
      </w:r>
      <w:r w:rsidR="005F376B">
        <w:rPr>
          <w:bCs/>
          <w:color w:val="000000"/>
          <w:sz w:val="24"/>
          <w:szCs w:val="24"/>
        </w:rPr>
        <w:t>e urgent and unforeseen events</w:t>
      </w:r>
      <w:r w:rsidRPr="000C33BB">
        <w:rPr>
          <w:bCs/>
          <w:color w:val="000000"/>
          <w:sz w:val="24"/>
          <w:szCs w:val="24"/>
        </w:rPr>
        <w:t xml:space="preserve"> (OBPR 26371</w:t>
      </w:r>
      <w:r w:rsidR="005F376B">
        <w:rPr>
          <w:bCs/>
          <w:color w:val="000000"/>
          <w:sz w:val="24"/>
          <w:szCs w:val="24"/>
        </w:rPr>
        <w:t xml:space="preserve"> refers</w:t>
      </w:r>
      <w:r w:rsidRPr="000C33BB">
        <w:rPr>
          <w:bCs/>
          <w:color w:val="000000"/>
          <w:sz w:val="24"/>
          <w:szCs w:val="24"/>
        </w:rPr>
        <w:t>).</w:t>
      </w:r>
    </w:p>
    <w:p w:rsidR="000C33BB" w:rsidRDefault="000C33BB" w:rsidP="00C5282D">
      <w:pPr>
        <w:autoSpaceDE w:val="0"/>
        <w:autoSpaceDN w:val="0"/>
        <w:adjustRightInd w:val="0"/>
        <w:rPr>
          <w:bCs/>
          <w:color w:val="000000"/>
          <w:sz w:val="24"/>
          <w:szCs w:val="24"/>
        </w:rPr>
      </w:pPr>
    </w:p>
    <w:p w:rsidR="007C1946" w:rsidRPr="00D1260E" w:rsidRDefault="007C1946">
      <w:pPr>
        <w:pStyle w:val="Heading1"/>
        <w:rPr>
          <w:sz w:val="24"/>
          <w:szCs w:val="24"/>
        </w:rPr>
      </w:pPr>
      <w:r w:rsidRPr="00D1260E">
        <w:rPr>
          <w:sz w:val="24"/>
          <w:szCs w:val="24"/>
        </w:rPr>
        <w:t>RETROSPECTIVITY</w:t>
      </w:r>
    </w:p>
    <w:p w:rsidR="007C1946" w:rsidRPr="00D1260E" w:rsidRDefault="007C1946">
      <w:pPr>
        <w:rPr>
          <w:sz w:val="24"/>
          <w:szCs w:val="24"/>
        </w:rPr>
      </w:pPr>
    </w:p>
    <w:p w:rsidR="00AA0C84" w:rsidRDefault="005F376B" w:rsidP="00AA0C84">
      <w:pPr>
        <w:spacing w:after="240"/>
        <w:rPr>
          <w:sz w:val="24"/>
          <w:szCs w:val="24"/>
        </w:rPr>
      </w:pPr>
      <w:r>
        <w:rPr>
          <w:sz w:val="24"/>
          <w:szCs w:val="24"/>
        </w:rPr>
        <w:t>None.</w:t>
      </w:r>
    </w:p>
    <w:p w:rsidR="007C1946" w:rsidRPr="00D1260E" w:rsidRDefault="007C1946" w:rsidP="00AA0C84">
      <w:pPr>
        <w:pStyle w:val="Heading1"/>
        <w:spacing w:after="240"/>
        <w:rPr>
          <w:sz w:val="24"/>
          <w:szCs w:val="24"/>
        </w:rPr>
      </w:pPr>
      <w:r w:rsidRPr="00D1260E">
        <w:rPr>
          <w:sz w:val="24"/>
          <w:szCs w:val="24"/>
        </w:rPr>
        <w:t>DOCUMENTS INCORPORATED-BY-REFERENCE</w:t>
      </w:r>
    </w:p>
    <w:p w:rsidR="007C1946" w:rsidRPr="00D1260E" w:rsidRDefault="007C1946" w:rsidP="00AA0C84">
      <w:pPr>
        <w:spacing w:after="240"/>
        <w:rPr>
          <w:color w:val="000000"/>
          <w:sz w:val="24"/>
          <w:szCs w:val="24"/>
        </w:rPr>
      </w:pPr>
      <w:r w:rsidRPr="00D1260E">
        <w:rPr>
          <w:color w:val="000000"/>
          <w:sz w:val="24"/>
          <w:szCs w:val="24"/>
        </w:rPr>
        <w:t>No.</w:t>
      </w:r>
    </w:p>
    <w:p w:rsidR="007C1946" w:rsidRPr="00D1260E" w:rsidRDefault="007C1946" w:rsidP="00AA0C84">
      <w:pPr>
        <w:spacing w:after="240"/>
        <w:rPr>
          <w:b/>
          <w:color w:val="000000"/>
          <w:sz w:val="24"/>
          <w:szCs w:val="24"/>
        </w:rPr>
      </w:pPr>
      <w:r w:rsidRPr="00D1260E">
        <w:rPr>
          <w:b/>
          <w:color w:val="000000"/>
          <w:sz w:val="24"/>
          <w:szCs w:val="24"/>
        </w:rPr>
        <w:t>FURTHER EXPLANATION</w:t>
      </w:r>
    </w:p>
    <w:p w:rsidR="007C1946" w:rsidRPr="00D1260E" w:rsidRDefault="007C1946">
      <w:pPr>
        <w:rPr>
          <w:color w:val="000000"/>
          <w:sz w:val="24"/>
          <w:szCs w:val="24"/>
        </w:rPr>
      </w:pPr>
      <w:r w:rsidRPr="00D1260E">
        <w:rPr>
          <w:color w:val="000000"/>
          <w:sz w:val="24"/>
          <w:szCs w:val="24"/>
        </w:rPr>
        <w:t>Attachment A.</w:t>
      </w:r>
    </w:p>
    <w:p w:rsidR="007C1946" w:rsidRPr="00D1260E" w:rsidRDefault="007C1946">
      <w:pPr>
        <w:rPr>
          <w:color w:val="000000"/>
          <w:sz w:val="24"/>
          <w:szCs w:val="24"/>
        </w:rPr>
      </w:pPr>
    </w:p>
    <w:p w:rsidR="007C1946" w:rsidRPr="0035339C" w:rsidRDefault="007C1946">
      <w:pPr>
        <w:rPr>
          <w:b/>
          <w:color w:val="000000"/>
          <w:sz w:val="24"/>
          <w:szCs w:val="24"/>
          <w:u w:val="single"/>
        </w:rPr>
      </w:pPr>
      <w:r w:rsidRPr="00D1260E">
        <w:rPr>
          <w:color w:val="000000"/>
          <w:sz w:val="24"/>
          <w:szCs w:val="24"/>
        </w:rPr>
        <w:br w:type="page"/>
      </w:r>
      <w:r w:rsidRPr="0035339C">
        <w:rPr>
          <w:b/>
          <w:color w:val="000000"/>
          <w:sz w:val="24"/>
          <w:szCs w:val="24"/>
          <w:u w:val="single"/>
        </w:rPr>
        <w:lastRenderedPageBreak/>
        <w:t>Attachment A</w:t>
      </w:r>
    </w:p>
    <w:p w:rsidR="007C1946" w:rsidRPr="007365CD" w:rsidRDefault="007C1946">
      <w:pPr>
        <w:rPr>
          <w:color w:val="000000"/>
          <w:sz w:val="24"/>
          <w:szCs w:val="24"/>
        </w:rPr>
      </w:pPr>
    </w:p>
    <w:p w:rsidR="007C1946" w:rsidRPr="005F376B" w:rsidRDefault="004D75DB" w:rsidP="004D75DB">
      <w:pPr>
        <w:pStyle w:val="BodyText"/>
        <w:rPr>
          <w:sz w:val="24"/>
          <w:szCs w:val="24"/>
        </w:rPr>
      </w:pPr>
      <w:r w:rsidRPr="0035339C">
        <w:rPr>
          <w:sz w:val="24"/>
          <w:szCs w:val="24"/>
          <w:u w:val="single"/>
        </w:rPr>
        <w:t>Section 1</w:t>
      </w:r>
      <w:r w:rsidRPr="004D75DB">
        <w:rPr>
          <w:sz w:val="24"/>
          <w:szCs w:val="24"/>
        </w:rPr>
        <w:t xml:space="preserve"> d</w:t>
      </w:r>
      <w:r w:rsidR="00C5645D" w:rsidRPr="004D75DB">
        <w:rPr>
          <w:sz w:val="24"/>
          <w:szCs w:val="24"/>
        </w:rPr>
        <w:t xml:space="preserve">escribes </w:t>
      </w:r>
      <w:r w:rsidR="007C1946" w:rsidRPr="004D75DB">
        <w:rPr>
          <w:sz w:val="24"/>
          <w:szCs w:val="24"/>
        </w:rPr>
        <w:t>the name of the instrument</w:t>
      </w:r>
      <w:r w:rsidR="00C5645D" w:rsidRPr="004D75DB">
        <w:rPr>
          <w:sz w:val="24"/>
          <w:szCs w:val="24"/>
        </w:rPr>
        <w:t xml:space="preserve"> as the</w:t>
      </w:r>
      <w:r w:rsidR="00C5645D" w:rsidRPr="004D75DB">
        <w:rPr>
          <w:i/>
          <w:sz w:val="24"/>
          <w:szCs w:val="24"/>
        </w:rPr>
        <w:t xml:space="preserve"> </w:t>
      </w:r>
      <w:r w:rsidR="005F376B" w:rsidRPr="005F376B">
        <w:rPr>
          <w:i/>
          <w:sz w:val="24"/>
          <w:szCs w:val="24"/>
        </w:rPr>
        <w:t>Veterans’ Children Education Schemes (Updated Allowances) Amendment Determination 2021</w:t>
      </w:r>
      <w:r w:rsidR="0095225B" w:rsidRPr="005F376B">
        <w:rPr>
          <w:i/>
          <w:sz w:val="24"/>
          <w:szCs w:val="24"/>
        </w:rPr>
        <w:t>.</w:t>
      </w:r>
      <w:r w:rsidR="00C5645D" w:rsidRPr="005F376B">
        <w:rPr>
          <w:sz w:val="24"/>
          <w:szCs w:val="24"/>
        </w:rPr>
        <w:t xml:space="preserve"> </w:t>
      </w:r>
    </w:p>
    <w:p w:rsidR="007C1946" w:rsidRPr="004D75DB" w:rsidRDefault="004D75DB" w:rsidP="004D75DB">
      <w:pPr>
        <w:pStyle w:val="BodyTextIndent"/>
        <w:spacing w:after="240"/>
        <w:ind w:left="0" w:firstLine="0"/>
        <w:rPr>
          <w:sz w:val="24"/>
          <w:szCs w:val="24"/>
        </w:rPr>
      </w:pPr>
      <w:r w:rsidRPr="0035339C">
        <w:rPr>
          <w:sz w:val="24"/>
          <w:szCs w:val="24"/>
          <w:u w:val="single"/>
        </w:rPr>
        <w:t>Section 2</w:t>
      </w:r>
      <w:r w:rsidRPr="0035339C">
        <w:rPr>
          <w:sz w:val="24"/>
          <w:szCs w:val="24"/>
        </w:rPr>
        <w:t xml:space="preserve"> </w:t>
      </w:r>
      <w:r w:rsidRPr="004D75DB">
        <w:rPr>
          <w:sz w:val="24"/>
          <w:szCs w:val="24"/>
        </w:rPr>
        <w:t>p</w:t>
      </w:r>
      <w:r w:rsidR="007C1946" w:rsidRPr="004D75DB">
        <w:rPr>
          <w:sz w:val="24"/>
          <w:szCs w:val="24"/>
        </w:rPr>
        <w:t>rovides that the instrument commences</w:t>
      </w:r>
      <w:r w:rsidR="005F376B">
        <w:rPr>
          <w:sz w:val="24"/>
          <w:szCs w:val="24"/>
        </w:rPr>
        <w:t xml:space="preserve"> on 1 April 2021</w:t>
      </w:r>
      <w:r w:rsidR="007C1946" w:rsidRPr="004D75DB">
        <w:rPr>
          <w:sz w:val="24"/>
          <w:szCs w:val="24"/>
        </w:rPr>
        <w:t xml:space="preserve">. </w:t>
      </w:r>
    </w:p>
    <w:p w:rsidR="0095225B" w:rsidRPr="004D75DB" w:rsidRDefault="004D75DB" w:rsidP="004D75DB">
      <w:pPr>
        <w:pStyle w:val="BodyTextIndent"/>
        <w:spacing w:after="240"/>
        <w:ind w:left="0" w:firstLine="0"/>
        <w:rPr>
          <w:sz w:val="24"/>
          <w:szCs w:val="24"/>
        </w:rPr>
      </w:pPr>
      <w:r w:rsidRPr="0035339C">
        <w:rPr>
          <w:sz w:val="24"/>
          <w:szCs w:val="24"/>
          <w:u w:val="single"/>
        </w:rPr>
        <w:t xml:space="preserve">Section </w:t>
      </w:r>
      <w:r w:rsidR="0095225B" w:rsidRPr="0035339C">
        <w:rPr>
          <w:sz w:val="24"/>
          <w:szCs w:val="24"/>
          <w:u w:val="single"/>
        </w:rPr>
        <w:t>3</w:t>
      </w:r>
      <w:r w:rsidRPr="004D75DB">
        <w:rPr>
          <w:sz w:val="24"/>
          <w:szCs w:val="24"/>
        </w:rPr>
        <w:t xml:space="preserve"> p</w:t>
      </w:r>
      <w:r w:rsidR="0095225B" w:rsidRPr="004D75DB">
        <w:rPr>
          <w:sz w:val="24"/>
          <w:szCs w:val="24"/>
        </w:rPr>
        <w:t xml:space="preserve">rovides that the legislative authority for the Determination is subsection 117(8) of the </w:t>
      </w:r>
      <w:r w:rsidR="0095225B" w:rsidRPr="004D75DB">
        <w:rPr>
          <w:i/>
          <w:sz w:val="24"/>
          <w:szCs w:val="24"/>
        </w:rPr>
        <w:t>Veterans’ Entitlements Act 1986</w:t>
      </w:r>
      <w:r w:rsidR="0095225B" w:rsidRPr="004D75DB">
        <w:rPr>
          <w:sz w:val="24"/>
          <w:szCs w:val="24"/>
        </w:rPr>
        <w:t xml:space="preserve"> (the VEA) and subsection 258(4) of the </w:t>
      </w:r>
      <w:r w:rsidR="0095225B" w:rsidRPr="004D75DB">
        <w:rPr>
          <w:i/>
          <w:sz w:val="24"/>
          <w:szCs w:val="24"/>
        </w:rPr>
        <w:t xml:space="preserve">Military Rehabilitation and Compensation Act 2004 </w:t>
      </w:r>
      <w:r w:rsidR="0095225B" w:rsidRPr="004D75DB">
        <w:rPr>
          <w:sz w:val="24"/>
          <w:szCs w:val="24"/>
        </w:rPr>
        <w:t>(the MRCA).</w:t>
      </w:r>
    </w:p>
    <w:p w:rsidR="00A13955" w:rsidRPr="004D75DB" w:rsidRDefault="004D75DB" w:rsidP="004D75DB">
      <w:pPr>
        <w:pStyle w:val="BodyTextIndent"/>
        <w:spacing w:after="240"/>
        <w:ind w:left="0" w:firstLine="0"/>
        <w:rPr>
          <w:sz w:val="24"/>
          <w:szCs w:val="24"/>
        </w:rPr>
      </w:pPr>
      <w:r w:rsidRPr="0035339C">
        <w:rPr>
          <w:sz w:val="24"/>
          <w:szCs w:val="24"/>
          <w:u w:val="single"/>
        </w:rPr>
        <w:t>Section 4</w:t>
      </w:r>
      <w:r w:rsidRPr="0035339C">
        <w:rPr>
          <w:sz w:val="24"/>
          <w:szCs w:val="24"/>
        </w:rPr>
        <w:t xml:space="preserve"> </w:t>
      </w:r>
      <w:r w:rsidRPr="004D75DB">
        <w:rPr>
          <w:sz w:val="24"/>
          <w:szCs w:val="24"/>
        </w:rPr>
        <w:t>r</w:t>
      </w:r>
      <w:r w:rsidR="00A13955" w:rsidRPr="004D75DB">
        <w:rPr>
          <w:sz w:val="24"/>
          <w:szCs w:val="24"/>
        </w:rPr>
        <w:t xml:space="preserve">efers to the amendments to the </w:t>
      </w:r>
      <w:r w:rsidR="005F376B">
        <w:rPr>
          <w:sz w:val="24"/>
          <w:szCs w:val="24"/>
        </w:rPr>
        <w:t>Education Schemes</w:t>
      </w:r>
      <w:r w:rsidR="00A13955" w:rsidRPr="004D75DB">
        <w:rPr>
          <w:sz w:val="24"/>
          <w:szCs w:val="24"/>
        </w:rPr>
        <w:t xml:space="preserve"> being made by the items set out in the Schedule to the Determination.</w:t>
      </w:r>
    </w:p>
    <w:p w:rsidR="00E6454B" w:rsidRDefault="00E6454B" w:rsidP="00A13955">
      <w:pPr>
        <w:pStyle w:val="BodyTextIndent"/>
        <w:spacing w:after="240"/>
        <w:sectPr w:rsidR="00E6454B" w:rsidSect="00B74106">
          <w:headerReference w:type="even" r:id="rId7"/>
          <w:headerReference w:type="default" r:id="rId8"/>
          <w:pgSz w:w="11906" w:h="16838"/>
          <w:pgMar w:top="1440" w:right="1797" w:bottom="567" w:left="1797" w:header="720" w:footer="720" w:gutter="0"/>
          <w:cols w:space="720"/>
          <w:titlePg/>
        </w:sectPr>
      </w:pPr>
    </w:p>
    <w:p w:rsidR="007C1946" w:rsidRDefault="007C1946" w:rsidP="004D75DB">
      <w:pPr>
        <w:pStyle w:val="BodyTextIndent"/>
        <w:spacing w:after="240"/>
        <w:ind w:left="0" w:firstLine="0"/>
        <w:rPr>
          <w:b/>
        </w:rPr>
      </w:pPr>
      <w:r>
        <w:rPr>
          <w:b/>
        </w:rPr>
        <w:lastRenderedPageBreak/>
        <w:t>Schedule</w:t>
      </w:r>
    </w:p>
    <w:p w:rsidR="00A13955" w:rsidRPr="007365CD" w:rsidRDefault="00A13955" w:rsidP="004D75DB">
      <w:pPr>
        <w:pStyle w:val="BodyTextIndent"/>
        <w:spacing w:after="240"/>
        <w:ind w:left="0" w:firstLine="0"/>
        <w:rPr>
          <w:b/>
          <w:i/>
          <w:sz w:val="24"/>
          <w:szCs w:val="24"/>
        </w:rPr>
      </w:pPr>
      <w:r w:rsidRPr="00A13955">
        <w:rPr>
          <w:b/>
          <w:i/>
          <w:sz w:val="24"/>
          <w:szCs w:val="24"/>
        </w:rPr>
        <w:t>Variations to the Veterans’ Children Education Scheme (Instrument 2015 No. R43)</w:t>
      </w:r>
    </w:p>
    <w:p w:rsidR="000B562B" w:rsidRDefault="004D75DB" w:rsidP="008A3266">
      <w:pPr>
        <w:pStyle w:val="BodyTextIndent"/>
        <w:spacing w:after="240"/>
        <w:ind w:left="0" w:firstLine="0"/>
        <w:rPr>
          <w:sz w:val="24"/>
          <w:szCs w:val="24"/>
        </w:rPr>
      </w:pPr>
      <w:r w:rsidRPr="0035339C">
        <w:rPr>
          <w:b/>
          <w:sz w:val="24"/>
          <w:szCs w:val="24"/>
        </w:rPr>
        <w:t>Item 1</w:t>
      </w:r>
      <w:r>
        <w:rPr>
          <w:sz w:val="24"/>
          <w:szCs w:val="24"/>
        </w:rPr>
        <w:t xml:space="preserve"> a</w:t>
      </w:r>
      <w:r w:rsidR="005F376B">
        <w:rPr>
          <w:sz w:val="24"/>
          <w:szCs w:val="24"/>
        </w:rPr>
        <w:t>mends paragraph 3</w:t>
      </w:r>
      <w:r w:rsidR="00A13955" w:rsidRPr="007365CD">
        <w:rPr>
          <w:sz w:val="24"/>
          <w:szCs w:val="24"/>
        </w:rPr>
        <w:t>.</w:t>
      </w:r>
      <w:r w:rsidR="005F376B">
        <w:rPr>
          <w:sz w:val="24"/>
          <w:szCs w:val="24"/>
        </w:rPr>
        <w:t>8</w:t>
      </w:r>
      <w:r w:rsidR="00A13955" w:rsidRPr="007365CD">
        <w:rPr>
          <w:sz w:val="24"/>
          <w:szCs w:val="24"/>
        </w:rPr>
        <w:t>.1</w:t>
      </w:r>
      <w:r w:rsidR="005F376B">
        <w:rPr>
          <w:sz w:val="24"/>
          <w:szCs w:val="24"/>
        </w:rPr>
        <w:t xml:space="preserve">(a) </w:t>
      </w:r>
      <w:r w:rsidR="00A13955" w:rsidRPr="007365CD">
        <w:rPr>
          <w:sz w:val="24"/>
          <w:szCs w:val="24"/>
        </w:rPr>
        <w:t xml:space="preserve">to </w:t>
      </w:r>
      <w:r w:rsidR="005F376B">
        <w:rPr>
          <w:sz w:val="24"/>
          <w:szCs w:val="24"/>
        </w:rPr>
        <w:t>replace the annual amount of education allowance for a “primary student” of “$242.50” with “$280.40”</w:t>
      </w:r>
      <w:r w:rsidR="00020C9B">
        <w:rPr>
          <w:sz w:val="24"/>
          <w:szCs w:val="24"/>
        </w:rPr>
        <w:t>,</w:t>
      </w:r>
      <w:r w:rsidR="005F376B">
        <w:rPr>
          <w:sz w:val="24"/>
          <w:szCs w:val="24"/>
        </w:rPr>
        <w:t xml:space="preserve"> b</w:t>
      </w:r>
      <w:r w:rsidR="000B562B">
        <w:rPr>
          <w:sz w:val="24"/>
          <w:szCs w:val="24"/>
        </w:rPr>
        <w:t>eing the indexed rate</w:t>
      </w:r>
      <w:r w:rsidR="00020C9B">
        <w:rPr>
          <w:sz w:val="24"/>
          <w:szCs w:val="24"/>
        </w:rPr>
        <w:t xml:space="preserve"> applicable on 1 April 2021.</w:t>
      </w:r>
    </w:p>
    <w:p w:rsidR="000B562B" w:rsidRPr="000B562B" w:rsidRDefault="000B562B" w:rsidP="000B562B">
      <w:pPr>
        <w:pStyle w:val="BodyTextIndent"/>
        <w:spacing w:after="240"/>
        <w:ind w:left="0" w:firstLine="0"/>
        <w:rPr>
          <w:sz w:val="24"/>
          <w:szCs w:val="24"/>
        </w:rPr>
      </w:pPr>
      <w:r w:rsidRPr="000B562B">
        <w:rPr>
          <w:b/>
          <w:sz w:val="24"/>
          <w:szCs w:val="24"/>
        </w:rPr>
        <w:t xml:space="preserve">Item </w:t>
      </w:r>
      <w:r>
        <w:rPr>
          <w:b/>
          <w:sz w:val="24"/>
          <w:szCs w:val="24"/>
        </w:rPr>
        <w:t>2</w:t>
      </w:r>
      <w:r w:rsidRPr="000B562B">
        <w:rPr>
          <w:sz w:val="24"/>
          <w:szCs w:val="24"/>
        </w:rPr>
        <w:t xml:space="preserve"> amends paragraph 3.8.1(</w:t>
      </w:r>
      <w:r>
        <w:rPr>
          <w:sz w:val="24"/>
          <w:szCs w:val="24"/>
        </w:rPr>
        <w:t>b</w:t>
      </w:r>
      <w:r w:rsidRPr="000B562B">
        <w:rPr>
          <w:sz w:val="24"/>
          <w:szCs w:val="24"/>
        </w:rPr>
        <w:t xml:space="preserve">) to replace the </w:t>
      </w:r>
      <w:r>
        <w:rPr>
          <w:sz w:val="24"/>
          <w:szCs w:val="24"/>
        </w:rPr>
        <w:t xml:space="preserve">fortnightly </w:t>
      </w:r>
      <w:r w:rsidRPr="000B562B">
        <w:rPr>
          <w:sz w:val="24"/>
          <w:szCs w:val="24"/>
        </w:rPr>
        <w:t>amount of education allowance for a “</w:t>
      </w:r>
      <w:r>
        <w:rPr>
          <w:sz w:val="24"/>
          <w:szCs w:val="24"/>
        </w:rPr>
        <w:t>secondary student</w:t>
      </w:r>
      <w:r w:rsidRPr="000B562B">
        <w:rPr>
          <w:sz w:val="24"/>
          <w:szCs w:val="24"/>
        </w:rPr>
        <w:t xml:space="preserve">” </w:t>
      </w:r>
      <w:r>
        <w:rPr>
          <w:sz w:val="24"/>
          <w:szCs w:val="24"/>
        </w:rPr>
        <w:t xml:space="preserve">under 16 years of age living at home </w:t>
      </w:r>
      <w:r w:rsidRPr="000B562B">
        <w:rPr>
          <w:sz w:val="24"/>
          <w:szCs w:val="24"/>
        </w:rPr>
        <w:t>of “$</w:t>
      </w:r>
      <w:r>
        <w:rPr>
          <w:sz w:val="24"/>
          <w:szCs w:val="24"/>
        </w:rPr>
        <w:t>49.80</w:t>
      </w:r>
      <w:r w:rsidRPr="000B562B">
        <w:rPr>
          <w:sz w:val="24"/>
          <w:szCs w:val="24"/>
        </w:rPr>
        <w:t>” with “$</w:t>
      </w:r>
      <w:r>
        <w:rPr>
          <w:sz w:val="24"/>
          <w:szCs w:val="24"/>
        </w:rPr>
        <w:t>57</w:t>
      </w:r>
      <w:r w:rsidRPr="000B562B">
        <w:rPr>
          <w:sz w:val="24"/>
          <w:szCs w:val="24"/>
        </w:rPr>
        <w:t>.</w:t>
      </w:r>
      <w:r>
        <w:rPr>
          <w:sz w:val="24"/>
          <w:szCs w:val="24"/>
        </w:rPr>
        <w:t>2</w:t>
      </w:r>
      <w:r w:rsidRPr="000B562B">
        <w:rPr>
          <w:sz w:val="24"/>
          <w:szCs w:val="24"/>
        </w:rPr>
        <w:t>0”</w:t>
      </w:r>
      <w:r w:rsidR="00020C9B">
        <w:rPr>
          <w:sz w:val="24"/>
          <w:szCs w:val="24"/>
        </w:rPr>
        <w:t>,</w:t>
      </w:r>
      <w:r w:rsidRPr="000B562B">
        <w:rPr>
          <w:sz w:val="24"/>
          <w:szCs w:val="24"/>
        </w:rPr>
        <w:t xml:space="preserve"> being the indexed rate</w:t>
      </w:r>
      <w:r>
        <w:rPr>
          <w:sz w:val="24"/>
          <w:szCs w:val="24"/>
        </w:rPr>
        <w:t xml:space="preserve"> (without energy supplement)</w:t>
      </w:r>
      <w:r w:rsidR="00020C9B">
        <w:rPr>
          <w:sz w:val="24"/>
          <w:szCs w:val="24"/>
        </w:rPr>
        <w:t xml:space="preserve"> applicable on 1 April 2021</w:t>
      </w:r>
      <w:r w:rsidRPr="000B562B">
        <w:rPr>
          <w:sz w:val="24"/>
          <w:szCs w:val="24"/>
        </w:rPr>
        <w:t>.</w:t>
      </w:r>
    </w:p>
    <w:p w:rsidR="000B562B" w:rsidRDefault="000B562B" w:rsidP="00523686">
      <w:pPr>
        <w:pStyle w:val="BodyTextIndent"/>
        <w:spacing w:after="240"/>
        <w:ind w:left="0" w:firstLine="0"/>
        <w:rPr>
          <w:sz w:val="24"/>
          <w:szCs w:val="24"/>
        </w:rPr>
      </w:pPr>
      <w:r w:rsidRPr="000B562B">
        <w:rPr>
          <w:b/>
          <w:sz w:val="24"/>
          <w:szCs w:val="24"/>
        </w:rPr>
        <w:t xml:space="preserve">Item </w:t>
      </w:r>
      <w:r>
        <w:rPr>
          <w:b/>
          <w:sz w:val="24"/>
          <w:szCs w:val="24"/>
        </w:rPr>
        <w:t>3</w:t>
      </w:r>
      <w:r w:rsidRPr="000B562B">
        <w:rPr>
          <w:sz w:val="24"/>
          <w:szCs w:val="24"/>
        </w:rPr>
        <w:t xml:space="preserve"> amends paragraph 3.8.1(</w:t>
      </w:r>
      <w:r>
        <w:rPr>
          <w:sz w:val="24"/>
          <w:szCs w:val="24"/>
        </w:rPr>
        <w:t>c</w:t>
      </w:r>
      <w:r w:rsidRPr="000B562B">
        <w:rPr>
          <w:sz w:val="24"/>
          <w:szCs w:val="24"/>
        </w:rPr>
        <w:t xml:space="preserve">) to replace the </w:t>
      </w:r>
      <w:r>
        <w:rPr>
          <w:sz w:val="24"/>
          <w:szCs w:val="24"/>
        </w:rPr>
        <w:t xml:space="preserve">fortnightly </w:t>
      </w:r>
      <w:r w:rsidRPr="000B562B">
        <w:rPr>
          <w:sz w:val="24"/>
          <w:szCs w:val="24"/>
        </w:rPr>
        <w:t>amount of education allowance for a “</w:t>
      </w:r>
      <w:r>
        <w:rPr>
          <w:sz w:val="24"/>
          <w:szCs w:val="24"/>
        </w:rPr>
        <w:t>secondary studen</w:t>
      </w:r>
      <w:r w:rsidRPr="000B562B">
        <w:rPr>
          <w:sz w:val="24"/>
          <w:szCs w:val="24"/>
        </w:rPr>
        <w:t xml:space="preserve">t” </w:t>
      </w:r>
      <w:r>
        <w:rPr>
          <w:sz w:val="24"/>
          <w:szCs w:val="24"/>
        </w:rPr>
        <w:t xml:space="preserve">under 16 years of age who is living away from home </w:t>
      </w:r>
      <w:r w:rsidRPr="000B562B">
        <w:rPr>
          <w:sz w:val="24"/>
          <w:szCs w:val="24"/>
        </w:rPr>
        <w:t>of “$</w:t>
      </w:r>
      <w:r>
        <w:rPr>
          <w:sz w:val="24"/>
          <w:szCs w:val="24"/>
        </w:rPr>
        <w:t>338.03</w:t>
      </w:r>
      <w:r w:rsidRPr="000B562B">
        <w:rPr>
          <w:sz w:val="24"/>
          <w:szCs w:val="24"/>
        </w:rPr>
        <w:t>” with “$</w:t>
      </w:r>
      <w:r>
        <w:rPr>
          <w:sz w:val="24"/>
          <w:szCs w:val="24"/>
        </w:rPr>
        <w:t>438.30</w:t>
      </w:r>
      <w:r w:rsidRPr="000B562B">
        <w:rPr>
          <w:sz w:val="24"/>
          <w:szCs w:val="24"/>
        </w:rPr>
        <w:t>”</w:t>
      </w:r>
      <w:r w:rsidR="00020C9B">
        <w:rPr>
          <w:sz w:val="24"/>
          <w:szCs w:val="24"/>
        </w:rPr>
        <w:t>,</w:t>
      </w:r>
      <w:r w:rsidRPr="000B562B">
        <w:rPr>
          <w:sz w:val="24"/>
          <w:szCs w:val="24"/>
        </w:rPr>
        <w:t xml:space="preserve"> being the indexed rate</w:t>
      </w:r>
      <w:r>
        <w:rPr>
          <w:sz w:val="24"/>
          <w:szCs w:val="24"/>
        </w:rPr>
        <w:t xml:space="preserve"> of $388.30 (without energy supplement) plus</w:t>
      </w:r>
      <w:r w:rsidR="00020C9B">
        <w:rPr>
          <w:sz w:val="24"/>
          <w:szCs w:val="24"/>
        </w:rPr>
        <w:t xml:space="preserve"> the $50 per fortnight increase payable from 1 April 2021.</w:t>
      </w:r>
    </w:p>
    <w:p w:rsidR="007C6C49" w:rsidRDefault="00523686" w:rsidP="00266B43">
      <w:pPr>
        <w:pStyle w:val="BodyTextIndent"/>
        <w:spacing w:after="180"/>
        <w:ind w:left="0" w:firstLine="0"/>
        <w:rPr>
          <w:sz w:val="24"/>
          <w:szCs w:val="24"/>
        </w:rPr>
      </w:pPr>
      <w:r>
        <w:rPr>
          <w:b/>
          <w:sz w:val="24"/>
          <w:szCs w:val="24"/>
        </w:rPr>
        <w:t xml:space="preserve">Item 4 </w:t>
      </w:r>
      <w:r w:rsidRPr="00523686">
        <w:rPr>
          <w:sz w:val="24"/>
          <w:szCs w:val="24"/>
        </w:rPr>
        <w:t xml:space="preserve">inserts the additional Notes 2 and 3 to the existing </w:t>
      </w:r>
      <w:r w:rsidR="007751C4" w:rsidRPr="00523686">
        <w:rPr>
          <w:sz w:val="24"/>
          <w:szCs w:val="24"/>
        </w:rPr>
        <w:t>Note to paragraph 3.8.1</w:t>
      </w:r>
      <w:r w:rsidRPr="00523686">
        <w:rPr>
          <w:sz w:val="24"/>
          <w:szCs w:val="24"/>
        </w:rPr>
        <w:t>.</w:t>
      </w:r>
    </w:p>
    <w:p w:rsidR="002D33DF" w:rsidRPr="00523686" w:rsidRDefault="00523686" w:rsidP="00266B43">
      <w:pPr>
        <w:pStyle w:val="BodyTextIndent"/>
        <w:spacing w:after="180"/>
        <w:ind w:left="0" w:firstLine="0"/>
        <w:rPr>
          <w:sz w:val="24"/>
          <w:szCs w:val="24"/>
        </w:rPr>
      </w:pPr>
      <w:r>
        <w:rPr>
          <w:sz w:val="24"/>
          <w:szCs w:val="24"/>
        </w:rPr>
        <w:t>Note 2 update</w:t>
      </w:r>
      <w:r w:rsidR="00266B43">
        <w:rPr>
          <w:sz w:val="24"/>
          <w:szCs w:val="24"/>
        </w:rPr>
        <w:t>s</w:t>
      </w:r>
      <w:r>
        <w:rPr>
          <w:sz w:val="24"/>
          <w:szCs w:val="24"/>
        </w:rPr>
        <w:t xml:space="preserve"> the amounts payable under paragraphs</w:t>
      </w:r>
      <w:r w:rsidR="00266B43">
        <w:rPr>
          <w:sz w:val="24"/>
          <w:szCs w:val="24"/>
        </w:rPr>
        <w:t xml:space="preserve"> 3.8.1(a) and (b) to show the indexed rates of the allowances as at 1 April 2021 and the increased rate for the allowance payable under paragraph 3.8.1(c) from 1 April 2021.</w:t>
      </w:r>
    </w:p>
    <w:p w:rsidR="00523686" w:rsidRPr="00523686" w:rsidRDefault="00523686" w:rsidP="00523686">
      <w:pPr>
        <w:pStyle w:val="BodyTextIndent"/>
        <w:ind w:left="0" w:firstLine="0"/>
        <w:rPr>
          <w:sz w:val="24"/>
          <w:szCs w:val="24"/>
        </w:rPr>
      </w:pPr>
      <w:r w:rsidRPr="00523686">
        <w:rPr>
          <w:sz w:val="24"/>
          <w:szCs w:val="24"/>
        </w:rPr>
        <w:t>Note 3</w:t>
      </w:r>
      <w:r w:rsidR="00266B43">
        <w:rPr>
          <w:sz w:val="24"/>
          <w:szCs w:val="24"/>
        </w:rPr>
        <w:t xml:space="preserve"> refers to t</w:t>
      </w:r>
      <w:r w:rsidRPr="00523686">
        <w:rPr>
          <w:sz w:val="24"/>
          <w:szCs w:val="24"/>
        </w:rPr>
        <w:t xml:space="preserve">he education allowances payable under paragraphs 3.8.1(a), (b) and (c) </w:t>
      </w:r>
      <w:r w:rsidR="00266B43">
        <w:rPr>
          <w:sz w:val="24"/>
          <w:szCs w:val="24"/>
        </w:rPr>
        <w:t xml:space="preserve">as being </w:t>
      </w:r>
      <w:r w:rsidRPr="00523686">
        <w:rPr>
          <w:sz w:val="24"/>
          <w:szCs w:val="24"/>
        </w:rPr>
        <w:t xml:space="preserve">adjusted </w:t>
      </w:r>
      <w:r w:rsidR="00266B43">
        <w:rPr>
          <w:sz w:val="24"/>
          <w:szCs w:val="24"/>
        </w:rPr>
        <w:t xml:space="preserve">for indexation on a 12 </w:t>
      </w:r>
      <w:r w:rsidRPr="00523686">
        <w:rPr>
          <w:sz w:val="24"/>
          <w:szCs w:val="24"/>
        </w:rPr>
        <w:t>month</w:t>
      </w:r>
      <w:r w:rsidR="00266B43">
        <w:rPr>
          <w:sz w:val="24"/>
          <w:szCs w:val="24"/>
        </w:rPr>
        <w:t xml:space="preserve"> basis under </w:t>
      </w:r>
      <w:r w:rsidRPr="00523686">
        <w:rPr>
          <w:sz w:val="24"/>
          <w:szCs w:val="24"/>
        </w:rPr>
        <w:t>paragraph 3.8.2.</w:t>
      </w:r>
    </w:p>
    <w:p w:rsidR="007C1946" w:rsidRPr="007365CD" w:rsidRDefault="007C1946" w:rsidP="004D75DB">
      <w:pPr>
        <w:pStyle w:val="BodyTextIndent"/>
        <w:ind w:left="0" w:firstLine="0"/>
        <w:rPr>
          <w:sz w:val="24"/>
          <w:szCs w:val="24"/>
        </w:rPr>
      </w:pPr>
    </w:p>
    <w:p w:rsidR="00E6454B" w:rsidRPr="007365CD" w:rsidRDefault="00E6454B" w:rsidP="004D75DB">
      <w:pPr>
        <w:pStyle w:val="BodyTextIndent"/>
        <w:spacing w:after="240"/>
        <w:ind w:left="0" w:firstLine="0"/>
        <w:rPr>
          <w:b/>
          <w:i/>
          <w:sz w:val="24"/>
          <w:szCs w:val="24"/>
          <w:lang w:val="en-GB"/>
        </w:rPr>
      </w:pPr>
      <w:r w:rsidRPr="007365CD">
        <w:rPr>
          <w:b/>
          <w:i/>
          <w:sz w:val="24"/>
          <w:szCs w:val="24"/>
        </w:rPr>
        <w:t xml:space="preserve">Variations to the </w:t>
      </w:r>
      <w:r w:rsidRPr="007365CD">
        <w:rPr>
          <w:b/>
          <w:bCs/>
          <w:i/>
          <w:sz w:val="24"/>
          <w:szCs w:val="24"/>
        </w:rPr>
        <w:t>Military Rehabilitation and Compensation Act Education and Training Scheme 2004</w:t>
      </w:r>
      <w:r w:rsidRPr="007365CD">
        <w:rPr>
          <w:b/>
          <w:i/>
          <w:sz w:val="24"/>
          <w:szCs w:val="24"/>
        </w:rPr>
        <w:t xml:space="preserve"> </w:t>
      </w:r>
      <w:r w:rsidRPr="007365CD">
        <w:rPr>
          <w:b/>
          <w:i/>
          <w:sz w:val="24"/>
          <w:szCs w:val="24"/>
          <w:lang w:val="en-GB"/>
        </w:rPr>
        <w:t>(Instrument 2015 No. MRCC43)</w:t>
      </w:r>
    </w:p>
    <w:p w:rsidR="00020C9B" w:rsidRDefault="000B562B" w:rsidP="00020C9B">
      <w:pPr>
        <w:pStyle w:val="BodyTextIndent"/>
        <w:spacing w:after="240"/>
        <w:ind w:left="0" w:firstLine="0"/>
        <w:rPr>
          <w:sz w:val="24"/>
          <w:szCs w:val="24"/>
        </w:rPr>
      </w:pPr>
      <w:r w:rsidRPr="0035339C">
        <w:rPr>
          <w:b/>
          <w:sz w:val="24"/>
          <w:szCs w:val="24"/>
        </w:rPr>
        <w:t xml:space="preserve">Item </w:t>
      </w:r>
      <w:r w:rsidR="00266B43">
        <w:rPr>
          <w:b/>
          <w:sz w:val="24"/>
          <w:szCs w:val="24"/>
        </w:rPr>
        <w:t>5</w:t>
      </w:r>
      <w:r>
        <w:rPr>
          <w:sz w:val="24"/>
          <w:szCs w:val="24"/>
        </w:rPr>
        <w:t xml:space="preserve"> </w:t>
      </w:r>
      <w:r w:rsidR="00020C9B">
        <w:rPr>
          <w:sz w:val="24"/>
          <w:szCs w:val="24"/>
        </w:rPr>
        <w:t>amends paragraph 3</w:t>
      </w:r>
      <w:r w:rsidR="00020C9B" w:rsidRPr="007365CD">
        <w:rPr>
          <w:sz w:val="24"/>
          <w:szCs w:val="24"/>
        </w:rPr>
        <w:t>.</w:t>
      </w:r>
      <w:r w:rsidR="00020C9B">
        <w:rPr>
          <w:sz w:val="24"/>
          <w:szCs w:val="24"/>
        </w:rPr>
        <w:t>8</w:t>
      </w:r>
      <w:r w:rsidR="00020C9B" w:rsidRPr="007365CD">
        <w:rPr>
          <w:sz w:val="24"/>
          <w:szCs w:val="24"/>
        </w:rPr>
        <w:t>.1</w:t>
      </w:r>
      <w:r w:rsidR="00020C9B">
        <w:rPr>
          <w:sz w:val="24"/>
          <w:szCs w:val="24"/>
        </w:rPr>
        <w:t xml:space="preserve">(a) </w:t>
      </w:r>
      <w:r w:rsidR="00020C9B" w:rsidRPr="007365CD">
        <w:rPr>
          <w:sz w:val="24"/>
          <w:szCs w:val="24"/>
        </w:rPr>
        <w:t xml:space="preserve">to </w:t>
      </w:r>
      <w:r w:rsidR="00020C9B">
        <w:rPr>
          <w:sz w:val="24"/>
          <w:szCs w:val="24"/>
        </w:rPr>
        <w:t>replace the annual amount of education allowance for a “primary student” of “$242.50” with “$280.40”, being the indexed rate applicable on 1 April 2021.</w:t>
      </w:r>
    </w:p>
    <w:p w:rsidR="00020C9B" w:rsidRPr="000B562B" w:rsidRDefault="000B562B" w:rsidP="00020C9B">
      <w:pPr>
        <w:pStyle w:val="BodyTextIndent"/>
        <w:spacing w:after="240"/>
        <w:ind w:left="0" w:firstLine="0"/>
        <w:rPr>
          <w:sz w:val="24"/>
          <w:szCs w:val="24"/>
        </w:rPr>
      </w:pPr>
      <w:r w:rsidRPr="000B562B">
        <w:rPr>
          <w:b/>
          <w:sz w:val="24"/>
          <w:szCs w:val="24"/>
        </w:rPr>
        <w:t xml:space="preserve">Item </w:t>
      </w:r>
      <w:r w:rsidR="00266B43">
        <w:rPr>
          <w:b/>
          <w:sz w:val="24"/>
          <w:szCs w:val="24"/>
        </w:rPr>
        <w:t>6</w:t>
      </w:r>
      <w:r w:rsidRPr="000B562B">
        <w:rPr>
          <w:sz w:val="24"/>
          <w:szCs w:val="24"/>
        </w:rPr>
        <w:t xml:space="preserve"> </w:t>
      </w:r>
      <w:r w:rsidR="00020C9B" w:rsidRPr="000B562B">
        <w:rPr>
          <w:sz w:val="24"/>
          <w:szCs w:val="24"/>
        </w:rPr>
        <w:t>amends paragraph 3.8.1(</w:t>
      </w:r>
      <w:r w:rsidR="00020C9B">
        <w:rPr>
          <w:sz w:val="24"/>
          <w:szCs w:val="24"/>
        </w:rPr>
        <w:t>b</w:t>
      </w:r>
      <w:r w:rsidR="00020C9B" w:rsidRPr="000B562B">
        <w:rPr>
          <w:sz w:val="24"/>
          <w:szCs w:val="24"/>
        </w:rPr>
        <w:t xml:space="preserve">) to replace the </w:t>
      </w:r>
      <w:r w:rsidR="00020C9B">
        <w:rPr>
          <w:sz w:val="24"/>
          <w:szCs w:val="24"/>
        </w:rPr>
        <w:t xml:space="preserve">fortnightly </w:t>
      </w:r>
      <w:r w:rsidR="00020C9B" w:rsidRPr="000B562B">
        <w:rPr>
          <w:sz w:val="24"/>
          <w:szCs w:val="24"/>
        </w:rPr>
        <w:t>amount of education allowance for a “</w:t>
      </w:r>
      <w:r w:rsidR="00020C9B">
        <w:rPr>
          <w:sz w:val="24"/>
          <w:szCs w:val="24"/>
        </w:rPr>
        <w:t>secondary student</w:t>
      </w:r>
      <w:r w:rsidR="00020C9B" w:rsidRPr="000B562B">
        <w:rPr>
          <w:sz w:val="24"/>
          <w:szCs w:val="24"/>
        </w:rPr>
        <w:t xml:space="preserve">” </w:t>
      </w:r>
      <w:r w:rsidR="00020C9B">
        <w:rPr>
          <w:sz w:val="24"/>
          <w:szCs w:val="24"/>
        </w:rPr>
        <w:t xml:space="preserve">under 16 years of age living at home </w:t>
      </w:r>
      <w:r w:rsidR="00020C9B" w:rsidRPr="000B562B">
        <w:rPr>
          <w:sz w:val="24"/>
          <w:szCs w:val="24"/>
        </w:rPr>
        <w:t>of “$</w:t>
      </w:r>
      <w:r w:rsidR="00020C9B">
        <w:rPr>
          <w:sz w:val="24"/>
          <w:szCs w:val="24"/>
        </w:rPr>
        <w:t>49.80</w:t>
      </w:r>
      <w:r w:rsidR="00020C9B" w:rsidRPr="000B562B">
        <w:rPr>
          <w:sz w:val="24"/>
          <w:szCs w:val="24"/>
        </w:rPr>
        <w:t>” with “$</w:t>
      </w:r>
      <w:r w:rsidR="00020C9B">
        <w:rPr>
          <w:sz w:val="24"/>
          <w:szCs w:val="24"/>
        </w:rPr>
        <w:t>57</w:t>
      </w:r>
      <w:r w:rsidR="00020C9B" w:rsidRPr="000B562B">
        <w:rPr>
          <w:sz w:val="24"/>
          <w:szCs w:val="24"/>
        </w:rPr>
        <w:t>.</w:t>
      </w:r>
      <w:r w:rsidR="00020C9B">
        <w:rPr>
          <w:sz w:val="24"/>
          <w:szCs w:val="24"/>
        </w:rPr>
        <w:t>2</w:t>
      </w:r>
      <w:r w:rsidR="00020C9B" w:rsidRPr="000B562B">
        <w:rPr>
          <w:sz w:val="24"/>
          <w:szCs w:val="24"/>
        </w:rPr>
        <w:t>0”</w:t>
      </w:r>
      <w:r w:rsidR="00020C9B">
        <w:rPr>
          <w:sz w:val="24"/>
          <w:szCs w:val="24"/>
        </w:rPr>
        <w:t>,</w:t>
      </w:r>
      <w:r w:rsidR="00020C9B" w:rsidRPr="000B562B">
        <w:rPr>
          <w:sz w:val="24"/>
          <w:szCs w:val="24"/>
        </w:rPr>
        <w:t xml:space="preserve"> being the indexed rate</w:t>
      </w:r>
      <w:r w:rsidR="00020C9B">
        <w:rPr>
          <w:sz w:val="24"/>
          <w:szCs w:val="24"/>
        </w:rPr>
        <w:t xml:space="preserve"> (without energy supplement) applicable on 1 April 2021</w:t>
      </w:r>
      <w:r w:rsidR="00020C9B" w:rsidRPr="000B562B">
        <w:rPr>
          <w:sz w:val="24"/>
          <w:szCs w:val="24"/>
        </w:rPr>
        <w:t>.</w:t>
      </w:r>
    </w:p>
    <w:p w:rsidR="00020C9B" w:rsidRDefault="000B562B" w:rsidP="00266B43">
      <w:pPr>
        <w:pStyle w:val="BodyTextIndent"/>
        <w:spacing w:after="180"/>
        <w:ind w:left="0" w:firstLine="0"/>
        <w:rPr>
          <w:sz w:val="24"/>
          <w:szCs w:val="24"/>
        </w:rPr>
      </w:pPr>
      <w:r w:rsidRPr="000B562B">
        <w:rPr>
          <w:b/>
          <w:sz w:val="24"/>
          <w:szCs w:val="24"/>
        </w:rPr>
        <w:t xml:space="preserve">Item </w:t>
      </w:r>
      <w:r w:rsidR="00266B43">
        <w:rPr>
          <w:b/>
          <w:sz w:val="24"/>
          <w:szCs w:val="24"/>
        </w:rPr>
        <w:t>7</w:t>
      </w:r>
      <w:r w:rsidRPr="000B562B">
        <w:rPr>
          <w:sz w:val="24"/>
          <w:szCs w:val="24"/>
        </w:rPr>
        <w:t xml:space="preserve"> </w:t>
      </w:r>
      <w:r w:rsidR="00020C9B" w:rsidRPr="000B562B">
        <w:rPr>
          <w:sz w:val="24"/>
          <w:szCs w:val="24"/>
        </w:rPr>
        <w:t>amends paragraph 3.8.1(</w:t>
      </w:r>
      <w:r w:rsidR="00020C9B">
        <w:rPr>
          <w:sz w:val="24"/>
          <w:szCs w:val="24"/>
        </w:rPr>
        <w:t>c</w:t>
      </w:r>
      <w:r w:rsidR="00020C9B" w:rsidRPr="000B562B">
        <w:rPr>
          <w:sz w:val="24"/>
          <w:szCs w:val="24"/>
        </w:rPr>
        <w:t xml:space="preserve">) to replace the </w:t>
      </w:r>
      <w:r w:rsidR="00020C9B">
        <w:rPr>
          <w:sz w:val="24"/>
          <w:szCs w:val="24"/>
        </w:rPr>
        <w:t xml:space="preserve">fortnightly </w:t>
      </w:r>
      <w:r w:rsidR="00020C9B" w:rsidRPr="000B562B">
        <w:rPr>
          <w:sz w:val="24"/>
          <w:szCs w:val="24"/>
        </w:rPr>
        <w:t>amount of education allowance for a “</w:t>
      </w:r>
      <w:r w:rsidR="00020C9B">
        <w:rPr>
          <w:sz w:val="24"/>
          <w:szCs w:val="24"/>
        </w:rPr>
        <w:t>secondary studen</w:t>
      </w:r>
      <w:r w:rsidR="00020C9B" w:rsidRPr="000B562B">
        <w:rPr>
          <w:sz w:val="24"/>
          <w:szCs w:val="24"/>
        </w:rPr>
        <w:t xml:space="preserve">t” </w:t>
      </w:r>
      <w:r w:rsidR="00020C9B">
        <w:rPr>
          <w:sz w:val="24"/>
          <w:szCs w:val="24"/>
        </w:rPr>
        <w:t xml:space="preserve">under 16 years of age who is living away from home </w:t>
      </w:r>
      <w:r w:rsidR="00020C9B" w:rsidRPr="000B562B">
        <w:rPr>
          <w:sz w:val="24"/>
          <w:szCs w:val="24"/>
        </w:rPr>
        <w:t>of “$</w:t>
      </w:r>
      <w:r w:rsidR="00020C9B">
        <w:rPr>
          <w:sz w:val="24"/>
          <w:szCs w:val="24"/>
        </w:rPr>
        <w:t>338.03</w:t>
      </w:r>
      <w:r w:rsidR="00020C9B" w:rsidRPr="000B562B">
        <w:rPr>
          <w:sz w:val="24"/>
          <w:szCs w:val="24"/>
        </w:rPr>
        <w:t>” with “$</w:t>
      </w:r>
      <w:r w:rsidR="00020C9B">
        <w:rPr>
          <w:sz w:val="24"/>
          <w:szCs w:val="24"/>
        </w:rPr>
        <w:t>438.30</w:t>
      </w:r>
      <w:r w:rsidR="00020C9B" w:rsidRPr="000B562B">
        <w:rPr>
          <w:sz w:val="24"/>
          <w:szCs w:val="24"/>
        </w:rPr>
        <w:t>”</w:t>
      </w:r>
      <w:r w:rsidR="00020C9B">
        <w:rPr>
          <w:sz w:val="24"/>
          <w:szCs w:val="24"/>
        </w:rPr>
        <w:t>,</w:t>
      </w:r>
      <w:r w:rsidR="00020C9B" w:rsidRPr="000B562B">
        <w:rPr>
          <w:sz w:val="24"/>
          <w:szCs w:val="24"/>
        </w:rPr>
        <w:t xml:space="preserve"> being the indexed rate</w:t>
      </w:r>
      <w:r w:rsidR="00020C9B">
        <w:rPr>
          <w:sz w:val="24"/>
          <w:szCs w:val="24"/>
        </w:rPr>
        <w:t xml:space="preserve"> of $388.30 (without energy supplement) plus the $50 per fortnight increase payable from 1 April 2021.</w:t>
      </w:r>
    </w:p>
    <w:p w:rsidR="007C6C49" w:rsidRDefault="00266B43" w:rsidP="00266B43">
      <w:pPr>
        <w:pStyle w:val="BodyTextIndent"/>
        <w:spacing w:after="180"/>
        <w:ind w:left="0" w:firstLine="0"/>
        <w:rPr>
          <w:sz w:val="24"/>
          <w:szCs w:val="24"/>
        </w:rPr>
      </w:pPr>
      <w:r w:rsidRPr="00266B43">
        <w:rPr>
          <w:b/>
          <w:sz w:val="24"/>
          <w:szCs w:val="24"/>
        </w:rPr>
        <w:t xml:space="preserve">Item </w:t>
      </w:r>
      <w:r>
        <w:rPr>
          <w:b/>
          <w:sz w:val="24"/>
          <w:szCs w:val="24"/>
        </w:rPr>
        <w:t>8</w:t>
      </w:r>
      <w:r w:rsidRPr="00266B43">
        <w:rPr>
          <w:b/>
          <w:sz w:val="24"/>
          <w:szCs w:val="24"/>
        </w:rPr>
        <w:t xml:space="preserve"> </w:t>
      </w:r>
      <w:r w:rsidRPr="00266B43">
        <w:rPr>
          <w:sz w:val="24"/>
          <w:szCs w:val="24"/>
        </w:rPr>
        <w:t>inserts the additional Notes 2 and 3 to the exi</w:t>
      </w:r>
      <w:r w:rsidR="007C6C49">
        <w:rPr>
          <w:sz w:val="24"/>
          <w:szCs w:val="24"/>
        </w:rPr>
        <w:t>sting Note to paragraph 3.8.1.</w:t>
      </w:r>
    </w:p>
    <w:p w:rsidR="00266B43" w:rsidRPr="00266B43" w:rsidRDefault="00266B43" w:rsidP="00266B43">
      <w:pPr>
        <w:pStyle w:val="BodyTextIndent"/>
        <w:spacing w:after="180"/>
        <w:ind w:left="0" w:firstLine="0"/>
        <w:rPr>
          <w:sz w:val="24"/>
          <w:szCs w:val="24"/>
        </w:rPr>
      </w:pPr>
      <w:r w:rsidRPr="00266B43">
        <w:rPr>
          <w:sz w:val="24"/>
          <w:szCs w:val="24"/>
        </w:rPr>
        <w:t>Note 2 updates the amounts payable under paragraphs 3.8.1(a) and (b) to show the indexed rates of the allowances as at 1 April 2021 and the increased rate for the allowance payable under paragraph 3.8.1(c) from 1 April 2021.</w:t>
      </w:r>
      <w:bookmarkStart w:id="3" w:name="_GoBack"/>
      <w:bookmarkEnd w:id="3"/>
    </w:p>
    <w:p w:rsidR="00266B43" w:rsidRPr="00266B43" w:rsidRDefault="00266B43" w:rsidP="00266B43">
      <w:pPr>
        <w:pStyle w:val="BodyTextIndent"/>
        <w:ind w:left="0" w:firstLine="0"/>
        <w:rPr>
          <w:sz w:val="24"/>
          <w:szCs w:val="24"/>
        </w:rPr>
      </w:pPr>
      <w:r w:rsidRPr="00266B43">
        <w:rPr>
          <w:sz w:val="24"/>
          <w:szCs w:val="24"/>
        </w:rPr>
        <w:t>Note 3 refers to the education allowances payable under paragraphs 3.8.1(a), (b) and (c) as being adjusted for indexation on a 12 month basis under paragraph 3.8.2.</w:t>
      </w:r>
    </w:p>
    <w:p w:rsidR="00266B43" w:rsidRPr="00266B43" w:rsidRDefault="00266B43" w:rsidP="00266B43">
      <w:pPr>
        <w:pStyle w:val="BodyTextIndent"/>
        <w:rPr>
          <w:sz w:val="24"/>
          <w:szCs w:val="24"/>
        </w:rPr>
      </w:pPr>
    </w:p>
    <w:p w:rsidR="00266B43" w:rsidRPr="000B562B" w:rsidRDefault="00266B43" w:rsidP="00020C9B">
      <w:pPr>
        <w:pStyle w:val="BodyTextIndent"/>
        <w:ind w:left="0" w:firstLine="0"/>
        <w:rPr>
          <w:sz w:val="24"/>
          <w:szCs w:val="24"/>
        </w:rPr>
      </w:pPr>
    </w:p>
    <w:p w:rsidR="000B562B" w:rsidRPr="000B562B" w:rsidRDefault="000B562B" w:rsidP="00020C9B">
      <w:pPr>
        <w:pStyle w:val="BodyTextIndent"/>
        <w:spacing w:after="240"/>
        <w:ind w:left="0" w:firstLine="0"/>
        <w:rPr>
          <w:sz w:val="24"/>
          <w:szCs w:val="24"/>
        </w:rPr>
      </w:pPr>
    </w:p>
    <w:p w:rsidR="005F376B" w:rsidRDefault="005F376B" w:rsidP="004D75DB">
      <w:pPr>
        <w:rPr>
          <w:color w:val="000000"/>
          <w:sz w:val="24"/>
          <w:szCs w:val="24"/>
        </w:rPr>
        <w:sectPr w:rsidR="005F376B" w:rsidSect="00B74106">
          <w:pgSz w:w="11906" w:h="16838"/>
          <w:pgMar w:top="1440" w:right="1797" w:bottom="567" w:left="993" w:header="720" w:footer="720" w:gutter="0"/>
          <w:cols w:space="720"/>
          <w:titlePg/>
        </w:sectPr>
      </w:pPr>
    </w:p>
    <w:p w:rsidR="00266B43" w:rsidRPr="00BD1D44" w:rsidRDefault="00266B43" w:rsidP="00B74106">
      <w:pPr>
        <w:pBdr>
          <w:top w:val="thinThickThinSmallGap" w:sz="12" w:space="7" w:color="auto"/>
          <w:left w:val="thinThickThinSmallGap" w:sz="12" w:space="4" w:color="auto"/>
          <w:bottom w:val="thinThickThinSmallGap" w:sz="12" w:space="31" w:color="auto"/>
          <w:right w:val="thinThickThinSmallGap" w:sz="12" w:space="0" w:color="auto"/>
        </w:pBdr>
        <w:spacing w:after="120"/>
        <w:jc w:val="center"/>
        <w:rPr>
          <w:b/>
          <w:sz w:val="28"/>
          <w:szCs w:val="28"/>
        </w:rPr>
      </w:pPr>
      <w:r w:rsidRPr="00BD1D44">
        <w:rPr>
          <w:b/>
          <w:sz w:val="28"/>
          <w:szCs w:val="28"/>
        </w:rPr>
        <w:lastRenderedPageBreak/>
        <w:t>Statement of Compatibility with Human Rights</w:t>
      </w:r>
    </w:p>
    <w:p w:rsidR="00266B43" w:rsidRPr="00BD1D44" w:rsidRDefault="00266B43" w:rsidP="00B74106">
      <w:pPr>
        <w:pBdr>
          <w:top w:val="thinThickThinSmallGap" w:sz="12" w:space="7" w:color="auto"/>
          <w:left w:val="thinThickThinSmallGap" w:sz="12" w:space="4" w:color="auto"/>
          <w:bottom w:val="thinThickThinSmallGap" w:sz="12" w:space="31" w:color="auto"/>
          <w:right w:val="thinThickThinSmallGap" w:sz="12" w:space="0" w:color="auto"/>
        </w:pBdr>
        <w:spacing w:after="120"/>
        <w:jc w:val="center"/>
        <w:rPr>
          <w:sz w:val="24"/>
          <w:szCs w:val="24"/>
        </w:rPr>
      </w:pPr>
      <w:r w:rsidRPr="00BD1D44">
        <w:rPr>
          <w:i/>
          <w:sz w:val="24"/>
          <w:szCs w:val="24"/>
        </w:rPr>
        <w:t>Prepared in accordance with Part 3 of the Human Rights (Parliamentary Scrutiny) Act 2011</w:t>
      </w:r>
    </w:p>
    <w:p w:rsidR="00266B43" w:rsidRPr="00266B43" w:rsidRDefault="00266B43" w:rsidP="00B74106">
      <w:pPr>
        <w:pBdr>
          <w:top w:val="thinThickThinSmallGap" w:sz="12" w:space="7" w:color="auto"/>
          <w:left w:val="thinThickThinSmallGap" w:sz="12" w:space="4" w:color="auto"/>
          <w:bottom w:val="thinThickThinSmallGap" w:sz="12" w:space="31" w:color="auto"/>
          <w:right w:val="thinThickThinSmallGap" w:sz="12" w:space="0" w:color="auto"/>
        </w:pBdr>
        <w:spacing w:after="120"/>
        <w:jc w:val="center"/>
        <w:rPr>
          <w:b/>
          <w:i/>
          <w:sz w:val="24"/>
          <w:szCs w:val="24"/>
        </w:rPr>
      </w:pPr>
      <w:r w:rsidRPr="00266B43">
        <w:rPr>
          <w:b/>
          <w:i/>
          <w:sz w:val="24"/>
          <w:szCs w:val="24"/>
        </w:rPr>
        <w:t>Veterans’ Children Education Schemes (Updated Allowances) Amendment Determination 2021</w:t>
      </w:r>
    </w:p>
    <w:p w:rsidR="00266B43" w:rsidRDefault="00266B43" w:rsidP="00B74106">
      <w:pPr>
        <w:pBdr>
          <w:top w:val="thinThickThinSmallGap" w:sz="12" w:space="7" w:color="auto"/>
          <w:left w:val="thinThickThinSmallGap" w:sz="12" w:space="4" w:color="auto"/>
          <w:bottom w:val="thinThickThinSmallGap" w:sz="12" w:space="31" w:color="auto"/>
          <w:right w:val="thinThickThinSmallGap" w:sz="12" w:space="0" w:color="auto"/>
        </w:pBdr>
        <w:spacing w:after="120"/>
        <w:jc w:val="center"/>
        <w:rPr>
          <w:sz w:val="24"/>
          <w:szCs w:val="24"/>
        </w:rPr>
      </w:pPr>
      <w:r w:rsidRPr="00BD1D44">
        <w:rPr>
          <w:sz w:val="24"/>
          <w:szCs w:val="24"/>
        </w:rPr>
        <w:t xml:space="preserve">This Legislative Instrument is compatible with the human rights and freedoms recognised or declared in the international instruments listed in section 3 of the </w:t>
      </w:r>
      <w:r w:rsidRPr="00BD1D44">
        <w:rPr>
          <w:i/>
          <w:sz w:val="24"/>
          <w:szCs w:val="24"/>
        </w:rPr>
        <w:t>Human Rights (Parliamentary Scrutiny) Act 2011</w:t>
      </w:r>
      <w:r w:rsidRPr="00BD1D44">
        <w:rPr>
          <w:sz w:val="24"/>
          <w:szCs w:val="24"/>
        </w:rPr>
        <w:t>.</w:t>
      </w:r>
    </w:p>
    <w:p w:rsidR="00266B43" w:rsidRDefault="00266B43" w:rsidP="00B74106">
      <w:pPr>
        <w:pBdr>
          <w:top w:val="thinThickThinSmallGap" w:sz="12" w:space="7" w:color="auto"/>
          <w:left w:val="thinThickThinSmallGap" w:sz="12" w:space="4" w:color="auto"/>
          <w:bottom w:val="thinThickThinSmallGap" w:sz="12" w:space="31" w:color="auto"/>
          <w:right w:val="thinThickThinSmallGap" w:sz="12" w:space="0" w:color="auto"/>
        </w:pBdr>
        <w:spacing w:after="180"/>
        <w:rPr>
          <w:sz w:val="24"/>
          <w:szCs w:val="24"/>
        </w:rPr>
      </w:pPr>
      <w:r w:rsidRPr="002053CC">
        <w:rPr>
          <w:sz w:val="24"/>
          <w:szCs w:val="24"/>
        </w:rPr>
        <w:t xml:space="preserve">The attached legislative instrument engages positively with the Right to </w:t>
      </w:r>
      <w:r>
        <w:rPr>
          <w:sz w:val="24"/>
          <w:szCs w:val="24"/>
        </w:rPr>
        <w:t>Social Security.</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rPr>
          <w:i/>
          <w:sz w:val="24"/>
          <w:szCs w:val="24"/>
        </w:rPr>
      </w:pPr>
      <w:r w:rsidRPr="00115C7A">
        <w:rPr>
          <w:i/>
          <w:sz w:val="24"/>
          <w:szCs w:val="24"/>
        </w:rPr>
        <w:t>Right to social security</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rPr>
          <w:sz w:val="24"/>
          <w:szCs w:val="24"/>
          <w:lang w:val="en-US"/>
        </w:rPr>
      </w:pPr>
      <w:r w:rsidRPr="00115C7A">
        <w:rPr>
          <w:sz w:val="24"/>
          <w:szCs w:val="24"/>
          <w:lang w:val="en-US"/>
        </w:rPr>
        <w:t xml:space="preserve">The right to social security requires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rPr>
          <w:sz w:val="24"/>
          <w:szCs w:val="24"/>
          <w:lang w:val="en-US"/>
        </w:rPr>
      </w:pPr>
      <w:r w:rsidRPr="00115C7A">
        <w:rPr>
          <w:sz w:val="24"/>
          <w:szCs w:val="24"/>
          <w:lang w:val="en-US"/>
        </w:rPr>
        <w:t xml:space="preserve">The right to social security is contained in article 9 of the </w:t>
      </w:r>
      <w:hyperlink r:id="rId9" w:history="1">
        <w:r w:rsidRPr="00115C7A">
          <w:rPr>
            <w:rStyle w:val="Hyperlink"/>
            <w:color w:val="auto"/>
            <w:sz w:val="24"/>
            <w:szCs w:val="24"/>
            <w:lang w:val="en-US"/>
          </w:rPr>
          <w:t>International Covenant on Economic, Social and Cultural Rights</w:t>
        </w:r>
      </w:hyperlink>
      <w:r w:rsidRPr="00115C7A">
        <w:rPr>
          <w:sz w:val="24"/>
          <w:szCs w:val="24"/>
          <w:lang w:val="en-US"/>
        </w:rPr>
        <w:t>.</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rPr>
          <w:sz w:val="24"/>
          <w:szCs w:val="24"/>
          <w:lang w:val="en-US"/>
        </w:rPr>
      </w:pPr>
      <w:r w:rsidRPr="00115C7A">
        <w:rPr>
          <w:sz w:val="24"/>
          <w:szCs w:val="24"/>
          <w:lang w:val="en-US"/>
        </w:rPr>
        <w:t>The UN Committee has stated that qualifying conditions for benefits under a social security system must be reasonable, proportionate and transparent.</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rPr>
          <w:sz w:val="24"/>
          <w:szCs w:val="24"/>
          <w:lang w:val="en-US"/>
        </w:rPr>
      </w:pPr>
      <w:r w:rsidRPr="00115C7A">
        <w:rPr>
          <w:sz w:val="24"/>
          <w:szCs w:val="24"/>
          <w:lang w:val="en-US"/>
        </w:rPr>
        <w:t xml:space="preserve">The Committee has also stated that special attention should be given to groups who may face difficulties in exercising the right to social security. </w:t>
      </w:r>
      <w:r>
        <w:rPr>
          <w:sz w:val="24"/>
          <w:szCs w:val="24"/>
          <w:lang w:val="en-US"/>
        </w:rPr>
        <w:t xml:space="preserve"> </w:t>
      </w:r>
      <w:r w:rsidRPr="00115C7A">
        <w:rPr>
          <w:sz w:val="24"/>
          <w:szCs w:val="24"/>
          <w:lang w:val="en-US"/>
        </w:rPr>
        <w:t>Those groups include women, the unemployed, sick or injured workers, people with disabilities, older persons, children and adult dependents and</w:t>
      </w:r>
      <w:r w:rsidRPr="00115C7A">
        <w:rPr>
          <w:b/>
          <w:bCs/>
          <w:sz w:val="24"/>
          <w:szCs w:val="24"/>
          <w:lang w:val="en-US"/>
        </w:rPr>
        <w:t xml:space="preserve"> </w:t>
      </w:r>
      <w:r w:rsidRPr="00115C7A">
        <w:rPr>
          <w:sz w:val="24"/>
          <w:szCs w:val="24"/>
          <w:lang w:val="en-US"/>
        </w:rPr>
        <w:t>minority groups.</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rPr>
          <w:sz w:val="24"/>
          <w:szCs w:val="24"/>
        </w:rPr>
      </w:pPr>
      <w:r w:rsidRPr="00115C7A">
        <w:rPr>
          <w:b/>
          <w:sz w:val="24"/>
          <w:szCs w:val="24"/>
        </w:rPr>
        <w:t xml:space="preserve">Overview of the Legislative Instrument </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rPr>
          <w:sz w:val="24"/>
          <w:szCs w:val="24"/>
        </w:rPr>
      </w:pPr>
      <w:r w:rsidRPr="00115C7A">
        <w:rPr>
          <w:sz w:val="24"/>
          <w:szCs w:val="24"/>
        </w:rPr>
        <w:t xml:space="preserve">The purpose of the instrument is to amend the </w:t>
      </w:r>
      <w:r w:rsidRPr="00115C7A">
        <w:rPr>
          <w:i/>
          <w:sz w:val="24"/>
          <w:szCs w:val="24"/>
        </w:rPr>
        <w:t>Veterans’ Children Education Scheme</w:t>
      </w:r>
      <w:r w:rsidRPr="00115C7A">
        <w:rPr>
          <w:sz w:val="24"/>
          <w:szCs w:val="24"/>
        </w:rPr>
        <w:t xml:space="preserve"> and the </w:t>
      </w:r>
      <w:r w:rsidRPr="00115C7A">
        <w:rPr>
          <w:i/>
          <w:sz w:val="24"/>
          <w:szCs w:val="24"/>
        </w:rPr>
        <w:t>MRCA Education and Training Scheme</w:t>
      </w:r>
      <w:r w:rsidRPr="00115C7A">
        <w:rPr>
          <w:sz w:val="24"/>
          <w:szCs w:val="24"/>
        </w:rPr>
        <w:t xml:space="preserve"> (the Education Schemes) to increase payments of education allowance by $50 per fortnight for students under 16 years of age who are living away from home.  This will reflect the increased amounts payable to certain other students from 1 April 2021, following an increase in rates of Youth Allowance proposed under the</w:t>
      </w:r>
      <w:r w:rsidRPr="00115C7A">
        <w:rPr>
          <w:i/>
          <w:sz w:val="24"/>
          <w:szCs w:val="24"/>
        </w:rPr>
        <w:t xml:space="preserve"> Social Services Legislation Amendment (Strengthening Income Support) Act 2021</w:t>
      </w:r>
      <w:r w:rsidRPr="00115C7A">
        <w:rPr>
          <w:sz w:val="24"/>
          <w:szCs w:val="24"/>
        </w:rPr>
        <w:t>.</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rPr>
          <w:sz w:val="24"/>
          <w:szCs w:val="24"/>
        </w:rPr>
      </w:pPr>
      <w:r w:rsidRPr="00115C7A">
        <w:rPr>
          <w:sz w:val="24"/>
          <w:szCs w:val="24"/>
        </w:rPr>
        <w:t xml:space="preserve">Increasing the payments under the Education Schemes for secondary students under 16 years of age who are living away from home by $50 per fortnight ensures that the payments will remain aligned other payments under the Education Schemes and with the proposed increase in working age social security payments under </w:t>
      </w:r>
      <w:r w:rsidRPr="00C05A08">
        <w:rPr>
          <w:sz w:val="24"/>
          <w:szCs w:val="24"/>
        </w:rPr>
        <w:t xml:space="preserve">the </w:t>
      </w:r>
      <w:r w:rsidRPr="00115C7A">
        <w:rPr>
          <w:i/>
          <w:sz w:val="24"/>
          <w:szCs w:val="24"/>
        </w:rPr>
        <w:t>Social Security Act 1991</w:t>
      </w:r>
      <w:r w:rsidRPr="00115C7A">
        <w:rPr>
          <w:sz w:val="24"/>
          <w:szCs w:val="24"/>
        </w:rPr>
        <w:t>.</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rPr>
          <w:b/>
          <w:sz w:val="24"/>
          <w:szCs w:val="24"/>
        </w:rPr>
      </w:pPr>
      <w:r w:rsidRPr="00115C7A">
        <w:rPr>
          <w:b/>
          <w:sz w:val="24"/>
          <w:szCs w:val="24"/>
        </w:rPr>
        <w:t>Conclusion</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rPr>
          <w:sz w:val="24"/>
          <w:szCs w:val="24"/>
        </w:rPr>
      </w:pPr>
      <w:r w:rsidRPr="00115C7A">
        <w:rPr>
          <w:sz w:val="24"/>
          <w:szCs w:val="24"/>
        </w:rPr>
        <w:t xml:space="preserve">The </w:t>
      </w:r>
      <w:r w:rsidRPr="00115C7A">
        <w:rPr>
          <w:i/>
          <w:sz w:val="24"/>
          <w:szCs w:val="24"/>
        </w:rPr>
        <w:t xml:space="preserve">Veterans’ Children Education Schemes (Updated Allowances) Amendment Determination 2021 </w:t>
      </w:r>
      <w:r w:rsidRPr="00115C7A">
        <w:rPr>
          <w:sz w:val="24"/>
          <w:szCs w:val="24"/>
        </w:rPr>
        <w:t>is compatible with human rights because it enhances the right to education</w:t>
      </w:r>
      <w:r w:rsidR="007751C4">
        <w:rPr>
          <w:sz w:val="24"/>
          <w:szCs w:val="24"/>
        </w:rPr>
        <w:t xml:space="preserve"> </w:t>
      </w:r>
      <w:r w:rsidRPr="00115C7A">
        <w:rPr>
          <w:sz w:val="24"/>
          <w:szCs w:val="24"/>
        </w:rPr>
        <w:t>f</w:t>
      </w:r>
      <w:r w:rsidR="007751C4">
        <w:rPr>
          <w:sz w:val="24"/>
          <w:szCs w:val="24"/>
        </w:rPr>
        <w:t>or</w:t>
      </w:r>
      <w:r w:rsidRPr="00115C7A">
        <w:rPr>
          <w:sz w:val="24"/>
          <w:szCs w:val="24"/>
        </w:rPr>
        <w:t xml:space="preserve"> children.</w:t>
      </w:r>
    </w:p>
    <w:p w:rsidR="00115C7A" w:rsidRPr="00115C7A"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00" w:afterAutospacing="1"/>
        <w:jc w:val="center"/>
        <w:rPr>
          <w:b/>
          <w:sz w:val="24"/>
          <w:szCs w:val="24"/>
        </w:rPr>
      </w:pPr>
      <w:r w:rsidRPr="00115C7A">
        <w:rPr>
          <w:b/>
          <w:sz w:val="24"/>
          <w:szCs w:val="24"/>
        </w:rPr>
        <w:t>Repatriation Commission</w:t>
      </w:r>
    </w:p>
    <w:p w:rsidR="00266B43" w:rsidRPr="00BD1D44" w:rsidRDefault="00115C7A" w:rsidP="00115C7A">
      <w:pPr>
        <w:pBdr>
          <w:top w:val="thinThickThinSmallGap" w:sz="12" w:space="7" w:color="auto"/>
          <w:left w:val="thinThickThinSmallGap" w:sz="12" w:space="4" w:color="auto"/>
          <w:bottom w:val="thinThickThinSmallGap" w:sz="12" w:space="31" w:color="auto"/>
          <w:right w:val="thinThickThinSmallGap" w:sz="12" w:space="0" w:color="auto"/>
        </w:pBdr>
        <w:spacing w:after="180"/>
        <w:jc w:val="center"/>
        <w:rPr>
          <w:b/>
          <w:sz w:val="24"/>
          <w:szCs w:val="24"/>
        </w:rPr>
      </w:pPr>
      <w:r w:rsidRPr="00115C7A">
        <w:rPr>
          <w:b/>
          <w:sz w:val="24"/>
          <w:szCs w:val="24"/>
        </w:rPr>
        <w:t>Rule-Maker</w:t>
      </w:r>
    </w:p>
    <w:p w:rsidR="007C1946" w:rsidRPr="007365CD" w:rsidRDefault="007C1946" w:rsidP="00B74106">
      <w:pPr>
        <w:rPr>
          <w:color w:val="000000"/>
          <w:sz w:val="24"/>
          <w:szCs w:val="24"/>
        </w:rPr>
      </w:pPr>
    </w:p>
    <w:sectPr w:rsidR="007C1946" w:rsidRPr="007365CD" w:rsidSect="00B74106">
      <w:pgSz w:w="11906" w:h="16838"/>
      <w:pgMar w:top="1440" w:right="1797" w:bottom="567"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74C" w:rsidRDefault="002E574C">
      <w:r>
        <w:separator/>
      </w:r>
    </w:p>
  </w:endnote>
  <w:endnote w:type="continuationSeparator" w:id="0">
    <w:p w:rsidR="002E574C" w:rsidRDefault="002E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74C" w:rsidRDefault="002E574C">
      <w:r>
        <w:separator/>
      </w:r>
    </w:p>
  </w:footnote>
  <w:footnote w:type="continuationSeparator" w:id="0">
    <w:p w:rsidR="002E574C" w:rsidRDefault="002E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DE" w:rsidRDefault="000C0B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BDE" w:rsidRDefault="000C0B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BDE" w:rsidRDefault="000C0B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193A">
      <w:rPr>
        <w:rStyle w:val="PageNumber"/>
        <w:noProof/>
      </w:rPr>
      <w:t>3</w:t>
    </w:r>
    <w:r>
      <w:rPr>
        <w:rStyle w:val="PageNumber"/>
      </w:rPr>
      <w:fldChar w:fldCharType="end"/>
    </w:r>
  </w:p>
  <w:p w:rsidR="000C0BDE" w:rsidRDefault="000C0BD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E5E"/>
    <w:multiLevelType w:val="hybridMultilevel"/>
    <w:tmpl w:val="8C869A1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7214E2"/>
    <w:multiLevelType w:val="hybridMultilevel"/>
    <w:tmpl w:val="CF0EEF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959AA"/>
    <w:multiLevelType w:val="hybridMultilevel"/>
    <w:tmpl w:val="1A161DA0"/>
    <w:name w:val="StandardBulletedList"/>
    <w:lvl w:ilvl="0" w:tplc="CD46B5C8">
      <w:start w:val="1"/>
      <w:numFmt w:val="bullet"/>
      <w:lvlText w:val=""/>
      <w:lvlJc w:val="left"/>
      <w:pPr>
        <w:tabs>
          <w:tab w:val="num" w:pos="720"/>
        </w:tabs>
        <w:ind w:left="720" w:hanging="360"/>
      </w:pPr>
      <w:rPr>
        <w:rFonts w:ascii="Symbol" w:hAnsi="Symbol" w:hint="default"/>
      </w:rPr>
    </w:lvl>
    <w:lvl w:ilvl="1" w:tplc="5284E352">
      <w:start w:val="1"/>
      <w:numFmt w:val="decimal"/>
      <w:lvlText w:val="%2."/>
      <w:lvlJc w:val="left"/>
      <w:pPr>
        <w:tabs>
          <w:tab w:val="num" w:pos="1440"/>
        </w:tabs>
        <w:ind w:left="1440" w:hanging="360"/>
      </w:pPr>
    </w:lvl>
    <w:lvl w:ilvl="2" w:tplc="6F2695BA">
      <w:start w:val="1"/>
      <w:numFmt w:val="decimal"/>
      <w:lvlText w:val="%3."/>
      <w:lvlJc w:val="left"/>
      <w:pPr>
        <w:tabs>
          <w:tab w:val="num" w:pos="2160"/>
        </w:tabs>
        <w:ind w:left="2160" w:hanging="360"/>
      </w:pPr>
    </w:lvl>
    <w:lvl w:ilvl="3" w:tplc="7F821012">
      <w:start w:val="1"/>
      <w:numFmt w:val="decimal"/>
      <w:lvlText w:val="%4."/>
      <w:lvlJc w:val="left"/>
      <w:pPr>
        <w:tabs>
          <w:tab w:val="num" w:pos="2880"/>
        </w:tabs>
        <w:ind w:left="2880" w:hanging="360"/>
      </w:pPr>
    </w:lvl>
    <w:lvl w:ilvl="4" w:tplc="00B8F388">
      <w:start w:val="1"/>
      <w:numFmt w:val="decimal"/>
      <w:lvlText w:val="%5."/>
      <w:lvlJc w:val="left"/>
      <w:pPr>
        <w:tabs>
          <w:tab w:val="num" w:pos="3600"/>
        </w:tabs>
        <w:ind w:left="3600" w:hanging="360"/>
      </w:pPr>
    </w:lvl>
    <w:lvl w:ilvl="5" w:tplc="515A500A">
      <w:start w:val="1"/>
      <w:numFmt w:val="decimal"/>
      <w:lvlText w:val="%6."/>
      <w:lvlJc w:val="left"/>
      <w:pPr>
        <w:tabs>
          <w:tab w:val="num" w:pos="4320"/>
        </w:tabs>
        <w:ind w:left="4320" w:hanging="360"/>
      </w:pPr>
    </w:lvl>
    <w:lvl w:ilvl="6" w:tplc="1868A8DC">
      <w:start w:val="1"/>
      <w:numFmt w:val="decimal"/>
      <w:lvlText w:val="%7."/>
      <w:lvlJc w:val="left"/>
      <w:pPr>
        <w:tabs>
          <w:tab w:val="num" w:pos="5040"/>
        </w:tabs>
        <w:ind w:left="5040" w:hanging="360"/>
      </w:pPr>
    </w:lvl>
    <w:lvl w:ilvl="7" w:tplc="69B24642">
      <w:start w:val="1"/>
      <w:numFmt w:val="decimal"/>
      <w:lvlText w:val="%8."/>
      <w:lvlJc w:val="left"/>
      <w:pPr>
        <w:tabs>
          <w:tab w:val="num" w:pos="5760"/>
        </w:tabs>
        <w:ind w:left="5760" w:hanging="360"/>
      </w:pPr>
    </w:lvl>
    <w:lvl w:ilvl="8" w:tplc="B606B476">
      <w:start w:val="1"/>
      <w:numFmt w:val="decimal"/>
      <w:lvlText w:val="%9."/>
      <w:lvlJc w:val="left"/>
      <w:pPr>
        <w:tabs>
          <w:tab w:val="num" w:pos="6480"/>
        </w:tabs>
        <w:ind w:left="6480" w:hanging="360"/>
      </w:pPr>
    </w:lvl>
  </w:abstractNum>
  <w:abstractNum w:abstractNumId="3" w15:restartNumberingAfterBreak="0">
    <w:nsid w:val="1A030CC0"/>
    <w:multiLevelType w:val="hybridMultilevel"/>
    <w:tmpl w:val="AE90594A"/>
    <w:lvl w:ilvl="0" w:tplc="0C090001">
      <w:start w:val="1"/>
      <w:numFmt w:val="bullet"/>
      <w:lvlText w:val=""/>
      <w:lvlJc w:val="left"/>
      <w:pPr>
        <w:tabs>
          <w:tab w:val="num" w:pos="2563"/>
        </w:tabs>
        <w:ind w:left="2563" w:hanging="360"/>
      </w:pPr>
      <w:rPr>
        <w:rFonts w:ascii="Symbol" w:hAnsi="Symbol" w:hint="default"/>
      </w:rPr>
    </w:lvl>
    <w:lvl w:ilvl="1" w:tplc="0C090003" w:tentative="1">
      <w:start w:val="1"/>
      <w:numFmt w:val="bullet"/>
      <w:lvlText w:val="o"/>
      <w:lvlJc w:val="left"/>
      <w:pPr>
        <w:tabs>
          <w:tab w:val="num" w:pos="3283"/>
        </w:tabs>
        <w:ind w:left="3283" w:hanging="360"/>
      </w:pPr>
      <w:rPr>
        <w:rFonts w:ascii="Courier New" w:hAnsi="Courier New" w:cs="Courier New" w:hint="default"/>
      </w:rPr>
    </w:lvl>
    <w:lvl w:ilvl="2" w:tplc="0C090005" w:tentative="1">
      <w:start w:val="1"/>
      <w:numFmt w:val="bullet"/>
      <w:lvlText w:val=""/>
      <w:lvlJc w:val="left"/>
      <w:pPr>
        <w:tabs>
          <w:tab w:val="num" w:pos="4003"/>
        </w:tabs>
        <w:ind w:left="4003" w:hanging="360"/>
      </w:pPr>
      <w:rPr>
        <w:rFonts w:ascii="Wingdings" w:hAnsi="Wingdings" w:hint="default"/>
      </w:rPr>
    </w:lvl>
    <w:lvl w:ilvl="3" w:tplc="0C090001" w:tentative="1">
      <w:start w:val="1"/>
      <w:numFmt w:val="bullet"/>
      <w:lvlText w:val=""/>
      <w:lvlJc w:val="left"/>
      <w:pPr>
        <w:tabs>
          <w:tab w:val="num" w:pos="4723"/>
        </w:tabs>
        <w:ind w:left="4723" w:hanging="360"/>
      </w:pPr>
      <w:rPr>
        <w:rFonts w:ascii="Symbol" w:hAnsi="Symbol" w:hint="default"/>
      </w:rPr>
    </w:lvl>
    <w:lvl w:ilvl="4" w:tplc="0C090003" w:tentative="1">
      <w:start w:val="1"/>
      <w:numFmt w:val="bullet"/>
      <w:lvlText w:val="o"/>
      <w:lvlJc w:val="left"/>
      <w:pPr>
        <w:tabs>
          <w:tab w:val="num" w:pos="5443"/>
        </w:tabs>
        <w:ind w:left="5443" w:hanging="360"/>
      </w:pPr>
      <w:rPr>
        <w:rFonts w:ascii="Courier New" w:hAnsi="Courier New" w:cs="Courier New" w:hint="default"/>
      </w:rPr>
    </w:lvl>
    <w:lvl w:ilvl="5" w:tplc="0C090005" w:tentative="1">
      <w:start w:val="1"/>
      <w:numFmt w:val="bullet"/>
      <w:lvlText w:val=""/>
      <w:lvlJc w:val="left"/>
      <w:pPr>
        <w:tabs>
          <w:tab w:val="num" w:pos="6163"/>
        </w:tabs>
        <w:ind w:left="6163" w:hanging="360"/>
      </w:pPr>
      <w:rPr>
        <w:rFonts w:ascii="Wingdings" w:hAnsi="Wingdings" w:hint="default"/>
      </w:rPr>
    </w:lvl>
    <w:lvl w:ilvl="6" w:tplc="0C090001" w:tentative="1">
      <w:start w:val="1"/>
      <w:numFmt w:val="bullet"/>
      <w:lvlText w:val=""/>
      <w:lvlJc w:val="left"/>
      <w:pPr>
        <w:tabs>
          <w:tab w:val="num" w:pos="6883"/>
        </w:tabs>
        <w:ind w:left="6883" w:hanging="360"/>
      </w:pPr>
      <w:rPr>
        <w:rFonts w:ascii="Symbol" w:hAnsi="Symbol" w:hint="default"/>
      </w:rPr>
    </w:lvl>
    <w:lvl w:ilvl="7" w:tplc="0C090003" w:tentative="1">
      <w:start w:val="1"/>
      <w:numFmt w:val="bullet"/>
      <w:lvlText w:val="o"/>
      <w:lvlJc w:val="left"/>
      <w:pPr>
        <w:tabs>
          <w:tab w:val="num" w:pos="7603"/>
        </w:tabs>
        <w:ind w:left="7603" w:hanging="360"/>
      </w:pPr>
      <w:rPr>
        <w:rFonts w:ascii="Courier New" w:hAnsi="Courier New" w:cs="Courier New" w:hint="default"/>
      </w:rPr>
    </w:lvl>
    <w:lvl w:ilvl="8" w:tplc="0C090005" w:tentative="1">
      <w:start w:val="1"/>
      <w:numFmt w:val="bullet"/>
      <w:lvlText w:val=""/>
      <w:lvlJc w:val="left"/>
      <w:pPr>
        <w:tabs>
          <w:tab w:val="num" w:pos="8323"/>
        </w:tabs>
        <w:ind w:left="8323" w:hanging="360"/>
      </w:pPr>
      <w:rPr>
        <w:rFonts w:ascii="Wingdings" w:hAnsi="Wingdings" w:hint="default"/>
      </w:rPr>
    </w:lvl>
  </w:abstractNum>
  <w:abstractNum w:abstractNumId="4" w15:restartNumberingAfterBreak="0">
    <w:nsid w:val="1C19203F"/>
    <w:multiLevelType w:val="hybridMultilevel"/>
    <w:tmpl w:val="71DC7486"/>
    <w:lvl w:ilvl="0" w:tplc="0C090001">
      <w:start w:val="1"/>
      <w:numFmt w:val="bullet"/>
      <w:lvlText w:val=""/>
      <w:lvlJc w:val="left"/>
      <w:pPr>
        <w:tabs>
          <w:tab w:val="num" w:pos="1789"/>
        </w:tabs>
        <w:ind w:left="1789" w:hanging="360"/>
      </w:pPr>
      <w:rPr>
        <w:rFonts w:ascii="Symbol" w:hAnsi="Symbol" w:hint="default"/>
      </w:rPr>
    </w:lvl>
    <w:lvl w:ilvl="1" w:tplc="0C090003" w:tentative="1">
      <w:start w:val="1"/>
      <w:numFmt w:val="bullet"/>
      <w:lvlText w:val="o"/>
      <w:lvlJc w:val="left"/>
      <w:pPr>
        <w:tabs>
          <w:tab w:val="num" w:pos="2509"/>
        </w:tabs>
        <w:ind w:left="2509" w:hanging="360"/>
      </w:pPr>
      <w:rPr>
        <w:rFonts w:ascii="Courier New" w:hAnsi="Courier New" w:cs="Courier New" w:hint="default"/>
      </w:rPr>
    </w:lvl>
    <w:lvl w:ilvl="2" w:tplc="0C090005" w:tentative="1">
      <w:start w:val="1"/>
      <w:numFmt w:val="bullet"/>
      <w:lvlText w:val=""/>
      <w:lvlJc w:val="left"/>
      <w:pPr>
        <w:tabs>
          <w:tab w:val="num" w:pos="3229"/>
        </w:tabs>
        <w:ind w:left="3229" w:hanging="360"/>
      </w:pPr>
      <w:rPr>
        <w:rFonts w:ascii="Wingdings" w:hAnsi="Wingdings" w:hint="default"/>
      </w:rPr>
    </w:lvl>
    <w:lvl w:ilvl="3" w:tplc="0C090001" w:tentative="1">
      <w:start w:val="1"/>
      <w:numFmt w:val="bullet"/>
      <w:lvlText w:val=""/>
      <w:lvlJc w:val="left"/>
      <w:pPr>
        <w:tabs>
          <w:tab w:val="num" w:pos="3949"/>
        </w:tabs>
        <w:ind w:left="3949" w:hanging="360"/>
      </w:pPr>
      <w:rPr>
        <w:rFonts w:ascii="Symbol" w:hAnsi="Symbol" w:hint="default"/>
      </w:rPr>
    </w:lvl>
    <w:lvl w:ilvl="4" w:tplc="0C090003" w:tentative="1">
      <w:start w:val="1"/>
      <w:numFmt w:val="bullet"/>
      <w:lvlText w:val="o"/>
      <w:lvlJc w:val="left"/>
      <w:pPr>
        <w:tabs>
          <w:tab w:val="num" w:pos="4669"/>
        </w:tabs>
        <w:ind w:left="4669" w:hanging="360"/>
      </w:pPr>
      <w:rPr>
        <w:rFonts w:ascii="Courier New" w:hAnsi="Courier New" w:cs="Courier New" w:hint="default"/>
      </w:rPr>
    </w:lvl>
    <w:lvl w:ilvl="5" w:tplc="0C090005" w:tentative="1">
      <w:start w:val="1"/>
      <w:numFmt w:val="bullet"/>
      <w:lvlText w:val=""/>
      <w:lvlJc w:val="left"/>
      <w:pPr>
        <w:tabs>
          <w:tab w:val="num" w:pos="5389"/>
        </w:tabs>
        <w:ind w:left="5389" w:hanging="360"/>
      </w:pPr>
      <w:rPr>
        <w:rFonts w:ascii="Wingdings" w:hAnsi="Wingdings" w:hint="default"/>
      </w:rPr>
    </w:lvl>
    <w:lvl w:ilvl="6" w:tplc="0C090001" w:tentative="1">
      <w:start w:val="1"/>
      <w:numFmt w:val="bullet"/>
      <w:lvlText w:val=""/>
      <w:lvlJc w:val="left"/>
      <w:pPr>
        <w:tabs>
          <w:tab w:val="num" w:pos="6109"/>
        </w:tabs>
        <w:ind w:left="6109" w:hanging="360"/>
      </w:pPr>
      <w:rPr>
        <w:rFonts w:ascii="Symbol" w:hAnsi="Symbol" w:hint="default"/>
      </w:rPr>
    </w:lvl>
    <w:lvl w:ilvl="7" w:tplc="0C090003" w:tentative="1">
      <w:start w:val="1"/>
      <w:numFmt w:val="bullet"/>
      <w:lvlText w:val="o"/>
      <w:lvlJc w:val="left"/>
      <w:pPr>
        <w:tabs>
          <w:tab w:val="num" w:pos="6829"/>
        </w:tabs>
        <w:ind w:left="6829" w:hanging="360"/>
      </w:pPr>
      <w:rPr>
        <w:rFonts w:ascii="Courier New" w:hAnsi="Courier New" w:cs="Courier New" w:hint="default"/>
      </w:rPr>
    </w:lvl>
    <w:lvl w:ilvl="8" w:tplc="0C090005" w:tentative="1">
      <w:start w:val="1"/>
      <w:numFmt w:val="bullet"/>
      <w:lvlText w:val=""/>
      <w:lvlJc w:val="left"/>
      <w:pPr>
        <w:tabs>
          <w:tab w:val="num" w:pos="7549"/>
        </w:tabs>
        <w:ind w:left="7549" w:hanging="360"/>
      </w:pPr>
      <w:rPr>
        <w:rFonts w:ascii="Wingdings" w:hAnsi="Wingdings" w:hint="default"/>
      </w:rPr>
    </w:lvl>
  </w:abstractNum>
  <w:abstractNum w:abstractNumId="5" w15:restartNumberingAfterBreak="0">
    <w:nsid w:val="312A5181"/>
    <w:multiLevelType w:val="hybridMultilevel"/>
    <w:tmpl w:val="11FE81A0"/>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59D7BFB"/>
    <w:multiLevelType w:val="hybridMultilevel"/>
    <w:tmpl w:val="D5FE26FA"/>
    <w:lvl w:ilvl="0" w:tplc="16C0081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5BE22B4D"/>
    <w:multiLevelType w:val="hybridMultilevel"/>
    <w:tmpl w:val="E2545F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9178E"/>
    <w:multiLevelType w:val="hybridMultilevel"/>
    <w:tmpl w:val="BC5A3AA8"/>
    <w:lvl w:ilvl="0" w:tplc="864CA7B0">
      <w:start w:val="1"/>
      <w:numFmt w:val="lowerLetter"/>
      <w:lvlText w:val="(%1)"/>
      <w:lvlJc w:val="left"/>
      <w:pPr>
        <w:ind w:left="252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0BB2445"/>
    <w:multiLevelType w:val="hybridMultilevel"/>
    <w:tmpl w:val="7BA86E7C"/>
    <w:lvl w:ilvl="0" w:tplc="0C090001">
      <w:start w:val="1"/>
      <w:numFmt w:val="bullet"/>
      <w:pStyle w:val="BulletText1"/>
      <w:lvlText w:val=""/>
      <w:lvlJc w:val="left"/>
      <w:pPr>
        <w:tabs>
          <w:tab w:val="num" w:pos="1713"/>
        </w:tabs>
        <w:ind w:left="1713" w:hanging="360"/>
      </w:pPr>
      <w:rPr>
        <w:rFonts w:ascii="Symbol" w:hAnsi="Symbol" w:hint="default"/>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61C74E6A"/>
    <w:multiLevelType w:val="hybridMultilevel"/>
    <w:tmpl w:val="B8EEF5BA"/>
    <w:lvl w:ilvl="0" w:tplc="52748C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164DB1"/>
    <w:multiLevelType w:val="multilevel"/>
    <w:tmpl w:val="862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B14F6"/>
    <w:multiLevelType w:val="hybridMultilevel"/>
    <w:tmpl w:val="66A2B3B0"/>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60E395C"/>
    <w:multiLevelType w:val="hybridMultilevel"/>
    <w:tmpl w:val="893C49BC"/>
    <w:lvl w:ilvl="0" w:tplc="0C090001">
      <w:start w:val="1"/>
      <w:numFmt w:val="bullet"/>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num w:numId="1">
    <w:abstractNumId w:val="9"/>
  </w:num>
  <w:num w:numId="2">
    <w:abstractNumId w:val="7"/>
  </w:num>
  <w:num w:numId="3">
    <w:abstractNumId w:val="11"/>
  </w:num>
  <w:num w:numId="4">
    <w:abstractNumId w:val="1"/>
  </w:num>
  <w:num w:numId="5">
    <w:abstractNumId w:val="5"/>
  </w:num>
  <w:num w:numId="6">
    <w:abstractNumId w:val="4"/>
  </w:num>
  <w:num w:numId="7">
    <w:abstractNumId w:val="3"/>
  </w:num>
  <w:num w:numId="8">
    <w:abstractNumId w:val="13"/>
  </w:num>
  <w:num w:numId="9">
    <w:abstractNumId w:val="12"/>
  </w:num>
  <w:num w:numId="10">
    <w:abstractNumId w:val="0"/>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93"/>
    <w:rsid w:val="00014D2B"/>
    <w:rsid w:val="00020C9B"/>
    <w:rsid w:val="00047918"/>
    <w:rsid w:val="00061493"/>
    <w:rsid w:val="000648C6"/>
    <w:rsid w:val="000B562B"/>
    <w:rsid w:val="000C0BDE"/>
    <w:rsid w:val="000C33BB"/>
    <w:rsid w:val="00100719"/>
    <w:rsid w:val="00104619"/>
    <w:rsid w:val="00106FE9"/>
    <w:rsid w:val="00115C7A"/>
    <w:rsid w:val="0012667B"/>
    <w:rsid w:val="00142A76"/>
    <w:rsid w:val="00143D61"/>
    <w:rsid w:val="001511EC"/>
    <w:rsid w:val="001F1F05"/>
    <w:rsid w:val="00230A32"/>
    <w:rsid w:val="0026027E"/>
    <w:rsid w:val="00266B43"/>
    <w:rsid w:val="0027010D"/>
    <w:rsid w:val="00273808"/>
    <w:rsid w:val="002C0C35"/>
    <w:rsid w:val="002E574C"/>
    <w:rsid w:val="002E7863"/>
    <w:rsid w:val="00300BB2"/>
    <w:rsid w:val="0031481E"/>
    <w:rsid w:val="00347D95"/>
    <w:rsid w:val="0035339C"/>
    <w:rsid w:val="00381B1B"/>
    <w:rsid w:val="00382CED"/>
    <w:rsid w:val="0039201C"/>
    <w:rsid w:val="00396887"/>
    <w:rsid w:val="00411641"/>
    <w:rsid w:val="004448E5"/>
    <w:rsid w:val="004726D9"/>
    <w:rsid w:val="00482DCA"/>
    <w:rsid w:val="004D6817"/>
    <w:rsid w:val="004D75DB"/>
    <w:rsid w:val="00523686"/>
    <w:rsid w:val="00526DED"/>
    <w:rsid w:val="005321CC"/>
    <w:rsid w:val="005356EB"/>
    <w:rsid w:val="00576D03"/>
    <w:rsid w:val="005B12D8"/>
    <w:rsid w:val="005D731B"/>
    <w:rsid w:val="005F376B"/>
    <w:rsid w:val="00661A53"/>
    <w:rsid w:val="00661CD6"/>
    <w:rsid w:val="00664AE8"/>
    <w:rsid w:val="006F0AA9"/>
    <w:rsid w:val="007365CD"/>
    <w:rsid w:val="00760C54"/>
    <w:rsid w:val="007751C4"/>
    <w:rsid w:val="007815A6"/>
    <w:rsid w:val="007C1946"/>
    <w:rsid w:val="007C4E21"/>
    <w:rsid w:val="007C6C49"/>
    <w:rsid w:val="007E0ED6"/>
    <w:rsid w:val="007E127E"/>
    <w:rsid w:val="007E6D61"/>
    <w:rsid w:val="00805016"/>
    <w:rsid w:val="00810419"/>
    <w:rsid w:val="00870C5C"/>
    <w:rsid w:val="008875CC"/>
    <w:rsid w:val="008A3266"/>
    <w:rsid w:val="008A4F1E"/>
    <w:rsid w:val="008C468F"/>
    <w:rsid w:val="008E6D75"/>
    <w:rsid w:val="00932B73"/>
    <w:rsid w:val="00937598"/>
    <w:rsid w:val="009479FE"/>
    <w:rsid w:val="0095225B"/>
    <w:rsid w:val="00981262"/>
    <w:rsid w:val="009849EF"/>
    <w:rsid w:val="009B103D"/>
    <w:rsid w:val="00A13955"/>
    <w:rsid w:val="00A15CD5"/>
    <w:rsid w:val="00A46BD1"/>
    <w:rsid w:val="00A50390"/>
    <w:rsid w:val="00AA0C84"/>
    <w:rsid w:val="00AD4FE0"/>
    <w:rsid w:val="00AE1FEB"/>
    <w:rsid w:val="00B340CC"/>
    <w:rsid w:val="00B34A79"/>
    <w:rsid w:val="00B74106"/>
    <w:rsid w:val="00B76813"/>
    <w:rsid w:val="00B93061"/>
    <w:rsid w:val="00B94F02"/>
    <w:rsid w:val="00BF3748"/>
    <w:rsid w:val="00C05A08"/>
    <w:rsid w:val="00C5282D"/>
    <w:rsid w:val="00C5645D"/>
    <w:rsid w:val="00C57091"/>
    <w:rsid w:val="00C94906"/>
    <w:rsid w:val="00CF05B7"/>
    <w:rsid w:val="00D1260E"/>
    <w:rsid w:val="00D2331E"/>
    <w:rsid w:val="00D40648"/>
    <w:rsid w:val="00D6193A"/>
    <w:rsid w:val="00DA29B2"/>
    <w:rsid w:val="00DE0E1B"/>
    <w:rsid w:val="00DF3EAD"/>
    <w:rsid w:val="00E350FF"/>
    <w:rsid w:val="00E5349E"/>
    <w:rsid w:val="00E635FE"/>
    <w:rsid w:val="00E6454B"/>
    <w:rsid w:val="00E93CBD"/>
    <w:rsid w:val="00EA30E7"/>
    <w:rsid w:val="00EB16B2"/>
    <w:rsid w:val="00EE4ED8"/>
    <w:rsid w:val="00F05E76"/>
    <w:rsid w:val="00F31E53"/>
    <w:rsid w:val="00F7409D"/>
    <w:rsid w:val="00FD21C1"/>
    <w:rsid w:val="00FE1901"/>
    <w:rsid w:val="00FF0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19C17"/>
  <w15:chartTrackingRefBased/>
  <w15:docId w15:val="{ADE9F4BD-AB16-4094-AE9C-F6F80FEA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outlineLvl w:val="5"/>
    </w:pPr>
    <w:rPr>
      <w:sz w:val="28"/>
      <w:szCs w:val="28"/>
      <w:u w:val="single"/>
    </w:rPr>
  </w:style>
  <w:style w:type="paragraph" w:styleId="Heading7">
    <w:name w:val="heading 7"/>
    <w:basedOn w:val="Normal"/>
    <w:next w:val="Normal"/>
    <w:qFormat/>
    <w:pPr>
      <w:keepNext/>
      <w:outlineLvl w:val="6"/>
    </w:pPr>
    <w:rPr>
      <w:color w:val="000000"/>
      <w:sz w:val="28"/>
      <w:szCs w:val="28"/>
      <w:u w:val="single"/>
    </w:rPr>
  </w:style>
  <w:style w:type="paragraph" w:styleId="Heading8">
    <w:name w:val="heading 8"/>
    <w:basedOn w:val="Normal"/>
    <w:next w:val="Normal"/>
    <w:qFormat/>
    <w:pPr>
      <w:keepNext/>
      <w:ind w:left="709"/>
      <w:outlineLvl w:val="7"/>
    </w:pPr>
    <w:rPr>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basedOn w:val="DefaultParagraphFont"/>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customStyle="1" w:styleId="BulletText1">
    <w:name w:val="Bullet Text 1"/>
    <w:basedOn w:val="Normal"/>
    <w:pPr>
      <w:numPr>
        <w:numId w:val="1"/>
      </w:numPr>
      <w:ind w:left="187" w:hanging="187"/>
    </w:pPr>
  </w:style>
  <w:style w:type="paragraph" w:styleId="BodyText3">
    <w:name w:val="Body Text 3"/>
    <w:basedOn w:val="Normal"/>
    <w:rPr>
      <w:color w:val="000000"/>
      <w:sz w:val="28"/>
    </w:rPr>
  </w:style>
  <w:style w:type="paragraph" w:customStyle="1" w:styleId="subsection">
    <w:name w:val="subsection"/>
    <w:aliases w:val="ss,Subsection"/>
    <w:link w:val="subsectionChar"/>
    <w:pPr>
      <w:tabs>
        <w:tab w:val="right" w:pos="1021"/>
      </w:tabs>
      <w:spacing w:before="180"/>
      <w:ind w:left="1134" w:hanging="1134"/>
    </w:pPr>
    <w:rPr>
      <w:sz w:val="22"/>
      <w:szCs w:val="24"/>
    </w:rPr>
  </w:style>
  <w:style w:type="paragraph" w:customStyle="1" w:styleId="paragraph">
    <w:name w:val="paragraph"/>
    <w:aliases w:val="indent(a),a"/>
    <w:basedOn w:val="Normal"/>
    <w:link w:val="paragraphChar"/>
    <w:pPr>
      <w:spacing w:before="100" w:beforeAutospacing="1" w:after="100" w:afterAutospacing="1"/>
    </w:pPr>
    <w:rPr>
      <w:sz w:val="24"/>
      <w:szCs w:val="24"/>
    </w:rPr>
  </w:style>
  <w:style w:type="paragraph" w:customStyle="1" w:styleId="paragraphsub">
    <w:name w:val="paragraphsub"/>
    <w:basedOn w:val="Normal"/>
    <w:pPr>
      <w:spacing w:before="100" w:beforeAutospacing="1" w:after="100" w:afterAutospacing="1"/>
    </w:pPr>
    <w:rPr>
      <w:sz w:val="24"/>
      <w:szCs w:val="24"/>
    </w:rPr>
  </w:style>
  <w:style w:type="paragraph" w:customStyle="1" w:styleId="cabbackground">
    <w:name w:val="cabbackground"/>
    <w:basedOn w:val="Normal"/>
    <w:pPr>
      <w:spacing w:line="360" w:lineRule="auto"/>
    </w:pPr>
    <w:rPr>
      <w:sz w:val="24"/>
      <w:szCs w:val="24"/>
    </w:rPr>
  </w:style>
  <w:style w:type="paragraph" w:customStyle="1" w:styleId="base-text-paragraphnonumbers">
    <w:name w:val="base-text-paragraphnonumbers"/>
    <w:basedOn w:val="Normal"/>
    <w:pPr>
      <w:spacing w:before="100" w:beforeAutospacing="1" w:after="100" w:afterAutospacing="1"/>
    </w:pPr>
    <w:rPr>
      <w:sz w:val="24"/>
      <w:szCs w:val="24"/>
    </w:rPr>
  </w:style>
  <w:style w:type="character" w:styleId="FootnoteReference">
    <w:name w:val="footnote reference"/>
    <w:basedOn w:val="DefaultParagraphFont"/>
  </w:style>
  <w:style w:type="paragraph" w:customStyle="1" w:styleId="dotpoint">
    <w:name w:val="dotpoint"/>
    <w:basedOn w:val="Normal"/>
    <w:pPr>
      <w:spacing w:before="100" w:beforeAutospacing="1" w:after="100" w:afterAutospacing="1"/>
    </w:pPr>
    <w:rPr>
      <w:sz w:val="24"/>
      <w:szCs w:val="24"/>
    </w:rPr>
  </w:style>
  <w:style w:type="paragraph" w:customStyle="1" w:styleId="indentii">
    <w:name w:val="indent(ii)"/>
    <w:aliases w:val="aa,paragraph(sub)"/>
    <w:basedOn w:val="paragraph"/>
    <w:pPr>
      <w:tabs>
        <w:tab w:val="right" w:pos="1985"/>
      </w:tabs>
      <w:spacing w:before="40" w:beforeAutospacing="0" w:after="0" w:afterAutospacing="0" w:line="260" w:lineRule="atLeast"/>
      <w:ind w:left="2098" w:hanging="2098"/>
    </w:pPr>
    <w:rPr>
      <w:rFonts w:ascii="Times" w:hAnsi="Times"/>
      <w:snapToGrid w:val="0"/>
      <w:sz w:val="22"/>
      <w:szCs w:val="20"/>
      <w:lang w:eastAsia="en-US"/>
    </w:rPr>
  </w:style>
  <w:style w:type="paragraph" w:customStyle="1" w:styleId="Formula">
    <w:name w:val="Formula"/>
    <w:basedOn w:val="Normal"/>
    <w:pPr>
      <w:ind w:left="1134"/>
    </w:pPr>
    <w:rPr>
      <w:rFonts w:ascii="Times" w:hAnsi="Times"/>
      <w:snapToGrid w:val="0"/>
      <w:sz w:val="22"/>
      <w:lang w:eastAsia="en-US"/>
    </w:rPr>
  </w:style>
  <w:style w:type="paragraph" w:customStyle="1" w:styleId="Definition">
    <w:name w:val="Definition"/>
    <w:aliases w:val="dd"/>
    <w:basedOn w:val="subsection"/>
    <w:pPr>
      <w:tabs>
        <w:tab w:val="clear" w:pos="1021"/>
      </w:tabs>
      <w:spacing w:line="260" w:lineRule="atLeast"/>
      <w:ind w:firstLine="0"/>
    </w:pPr>
    <w:rPr>
      <w:rFonts w:ascii="Times" w:hAnsi="Times"/>
      <w:snapToGrid w:val="0"/>
      <w:szCs w:val="20"/>
      <w:lang w:eastAsia="en-US"/>
    </w:rPr>
  </w:style>
  <w:style w:type="paragraph" w:customStyle="1" w:styleId="subsection2">
    <w:name w:val="subsection2"/>
    <w:aliases w:val="ss2"/>
    <w:basedOn w:val="subsection"/>
    <w:next w:val="subsection"/>
    <w:pPr>
      <w:tabs>
        <w:tab w:val="clear" w:pos="1021"/>
      </w:tabs>
      <w:spacing w:before="40" w:line="260" w:lineRule="atLeast"/>
      <w:ind w:firstLine="0"/>
    </w:pPr>
    <w:rPr>
      <w:rFonts w:ascii="Times" w:hAnsi="Times"/>
      <w:snapToGrid w:val="0"/>
      <w:szCs w:val="20"/>
      <w:lang w:eastAsia="en-US"/>
    </w:rPr>
  </w:style>
  <w:style w:type="paragraph" w:customStyle="1" w:styleId="ActHead3">
    <w:name w:val="ActHead 3"/>
    <w:aliases w:val="d"/>
    <w:basedOn w:val="Normal"/>
    <w:next w:val="Normal"/>
    <w:qFormat/>
    <w:pPr>
      <w:keepNext/>
      <w:keepLines/>
      <w:spacing w:before="240"/>
      <w:ind w:left="1134" w:hanging="1134"/>
      <w:outlineLvl w:val="2"/>
    </w:pPr>
    <w:rPr>
      <w:b/>
      <w:kern w:val="28"/>
      <w:sz w:val="28"/>
    </w:rPr>
  </w:style>
  <w:style w:type="paragraph" w:customStyle="1" w:styleId="ActHead5">
    <w:name w:val="ActHead 5"/>
    <w:aliases w:val="s"/>
    <w:basedOn w:val="Normal"/>
    <w:next w:val="subsection"/>
    <w:link w:val="ActHead5Char"/>
    <w:qFormat/>
    <w:pPr>
      <w:keepNext/>
      <w:keepLines/>
      <w:spacing w:before="280"/>
      <w:ind w:left="1134" w:hanging="1134"/>
      <w:outlineLvl w:val="4"/>
    </w:pPr>
    <w:rPr>
      <w:b/>
      <w:kern w:val="28"/>
      <w:sz w:val="24"/>
    </w:rPr>
  </w:style>
  <w:style w:type="character" w:customStyle="1" w:styleId="CharDivNo">
    <w:name w:val="CharDivNo"/>
    <w:basedOn w:val="DefaultParagraphFont"/>
    <w:qFormat/>
  </w:style>
  <w:style w:type="character" w:customStyle="1" w:styleId="CharDivText">
    <w:name w:val="CharDivText"/>
    <w:basedOn w:val="DefaultParagraphFont"/>
    <w:qFormat/>
  </w:style>
  <w:style w:type="character" w:customStyle="1" w:styleId="CharSectno">
    <w:name w:val="CharSectno"/>
    <w:basedOn w:val="DefaultParagraphFont"/>
    <w:qFormat/>
  </w:style>
  <w:style w:type="paragraph" w:customStyle="1" w:styleId="notetext">
    <w:name w:val="note(text)"/>
    <w:aliases w:val="n"/>
    <w:basedOn w:val="Normal"/>
    <w:link w:val="notetextChar"/>
    <w:pPr>
      <w:spacing w:before="122" w:line="198" w:lineRule="exact"/>
      <w:ind w:left="1985" w:hanging="851"/>
    </w:pPr>
    <w:rPr>
      <w:sz w:val="18"/>
    </w:rPr>
  </w:style>
  <w:style w:type="character" w:customStyle="1" w:styleId="subsectionChar">
    <w:name w:val="subsection Char"/>
    <w:aliases w:val="ss Char"/>
    <w:basedOn w:val="DefaultParagraphFont"/>
    <w:link w:val="subsection"/>
    <w:rPr>
      <w:sz w:val="22"/>
      <w:szCs w:val="24"/>
      <w:lang w:val="en-AU" w:eastAsia="en-AU" w:bidi="ar-SA"/>
    </w:rPr>
  </w:style>
  <w:style w:type="character" w:customStyle="1" w:styleId="paragraphChar">
    <w:name w:val="paragraph Char"/>
    <w:aliases w:val="a Char"/>
    <w:basedOn w:val="DefaultParagraphFont"/>
    <w:link w:val="paragraph"/>
    <w:rPr>
      <w:sz w:val="24"/>
      <w:szCs w:val="24"/>
      <w:lang w:val="en-AU" w:eastAsia="en-AU" w:bidi="ar-SA"/>
    </w:rPr>
  </w:style>
  <w:style w:type="character" w:customStyle="1" w:styleId="notetextChar">
    <w:name w:val="note(text) Char"/>
    <w:aliases w:val="n Char"/>
    <w:basedOn w:val="DefaultParagraphFont"/>
    <w:link w:val="notetext"/>
    <w:rPr>
      <w:sz w:val="18"/>
      <w:lang w:val="en-AU" w:eastAsia="en-AU" w:bidi="ar-SA"/>
    </w:rPr>
  </w:style>
  <w:style w:type="character" w:customStyle="1" w:styleId="ActHead5Char">
    <w:name w:val="ActHead 5 Char"/>
    <w:aliases w:val="s Char"/>
    <w:basedOn w:val="DefaultParagraphFont"/>
    <w:link w:val="ActHead5"/>
    <w:rPr>
      <w:b/>
      <w:kern w:val="28"/>
      <w:sz w:val="24"/>
      <w:lang w:val="en-AU" w:eastAsia="en-AU" w:bidi="ar-SA"/>
    </w:rPr>
  </w:style>
  <w:style w:type="paragraph" w:styleId="PlainText">
    <w:name w:val="Plain Text"/>
    <w:basedOn w:val="Normal"/>
    <w:rPr>
      <w:rFonts w:ascii="Courier New" w:hAnsi="Courier New" w:cs="Courier New"/>
    </w:rPr>
  </w:style>
  <w:style w:type="paragraph" w:customStyle="1" w:styleId="Default">
    <w:name w:val="Default"/>
    <w:pPr>
      <w:autoSpaceDE w:val="0"/>
      <w:autoSpaceDN w:val="0"/>
      <w:adjustRightInd w:val="0"/>
    </w:pPr>
    <w:rPr>
      <w:color w:val="000000"/>
      <w:sz w:val="24"/>
      <w:szCs w:val="24"/>
    </w:rPr>
  </w:style>
  <w:style w:type="paragraph" w:customStyle="1" w:styleId="Text1">
    <w:name w:val="Text1"/>
    <w:basedOn w:val="Normal"/>
    <w:pPr>
      <w:spacing w:after="180"/>
      <w:ind w:left="1072" w:hanging="720"/>
      <w:jc w:val="both"/>
    </w:pPr>
    <w:rPr>
      <w:spacing w:val="-4"/>
      <w:sz w:val="24"/>
    </w:r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strike w:val="0"/>
      <w:dstrike w:val="0"/>
      <w:color w:val="0072BC"/>
      <w:u w:val="none"/>
      <w:effect w:val="none"/>
    </w:rPr>
  </w:style>
  <w:style w:type="paragraph" w:customStyle="1" w:styleId="ItemHead">
    <w:name w:val="ItemHead"/>
    <w:aliases w:val="ih"/>
    <w:basedOn w:val="Normal"/>
    <w:next w:val="Normal"/>
    <w:pPr>
      <w:keepLines/>
      <w:spacing w:before="220"/>
      <w:ind w:left="709" w:hanging="709"/>
    </w:pPr>
    <w:rPr>
      <w:rFonts w:ascii="Arial" w:hAnsi="Arial"/>
      <w:b/>
      <w:kern w:val="28"/>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Revision">
    <w:name w:val="Revision"/>
    <w:hidden/>
    <w:uiPriority w:val="99"/>
    <w:semiHidden/>
    <w:rsid w:val="007C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70468">
      <w:bodyDiv w:val="1"/>
      <w:marLeft w:val="0"/>
      <w:marRight w:val="0"/>
      <w:marTop w:val="0"/>
      <w:marBottom w:val="0"/>
      <w:divBdr>
        <w:top w:val="none" w:sz="0" w:space="0" w:color="auto"/>
        <w:left w:val="none" w:sz="0" w:space="0" w:color="auto"/>
        <w:bottom w:val="none" w:sz="0" w:space="0" w:color="auto"/>
        <w:right w:val="none" w:sz="0" w:space="0" w:color="auto"/>
      </w:divBdr>
      <w:divsChild>
        <w:div w:id="568536534">
          <w:marLeft w:val="0"/>
          <w:marRight w:val="0"/>
          <w:marTop w:val="0"/>
          <w:marBottom w:val="0"/>
          <w:divBdr>
            <w:top w:val="none" w:sz="0" w:space="0" w:color="auto"/>
            <w:left w:val="none" w:sz="0" w:space="0" w:color="auto"/>
            <w:bottom w:val="none" w:sz="0" w:space="0" w:color="auto"/>
            <w:right w:val="none" w:sz="0" w:space="0" w:color="auto"/>
          </w:divBdr>
          <w:divsChild>
            <w:div w:id="1528252669">
              <w:marLeft w:val="0"/>
              <w:marRight w:val="0"/>
              <w:marTop w:val="0"/>
              <w:marBottom w:val="0"/>
              <w:divBdr>
                <w:top w:val="none" w:sz="0" w:space="0" w:color="auto"/>
                <w:left w:val="none" w:sz="0" w:space="0" w:color="auto"/>
                <w:bottom w:val="none" w:sz="0" w:space="0" w:color="auto"/>
                <w:right w:val="none" w:sz="0" w:space="0" w:color="auto"/>
              </w:divBdr>
              <w:divsChild>
                <w:div w:id="658774590">
                  <w:marLeft w:val="0"/>
                  <w:marRight w:val="0"/>
                  <w:marTop w:val="0"/>
                  <w:marBottom w:val="0"/>
                  <w:divBdr>
                    <w:top w:val="none" w:sz="0" w:space="0" w:color="auto"/>
                    <w:left w:val="none" w:sz="0" w:space="0" w:color="auto"/>
                    <w:bottom w:val="none" w:sz="0" w:space="0" w:color="auto"/>
                    <w:right w:val="none" w:sz="0" w:space="0" w:color="auto"/>
                  </w:divBdr>
                  <w:divsChild>
                    <w:div w:id="2094812670">
                      <w:marLeft w:val="0"/>
                      <w:marRight w:val="0"/>
                      <w:marTop w:val="0"/>
                      <w:marBottom w:val="0"/>
                      <w:divBdr>
                        <w:top w:val="none" w:sz="0" w:space="0" w:color="auto"/>
                        <w:left w:val="none" w:sz="0" w:space="0" w:color="auto"/>
                        <w:bottom w:val="none" w:sz="0" w:space="0" w:color="auto"/>
                        <w:right w:val="none" w:sz="0" w:space="0" w:color="auto"/>
                      </w:divBdr>
                      <w:divsChild>
                        <w:div w:id="1428230819">
                          <w:marLeft w:val="0"/>
                          <w:marRight w:val="0"/>
                          <w:marTop w:val="0"/>
                          <w:marBottom w:val="0"/>
                          <w:divBdr>
                            <w:top w:val="none" w:sz="0" w:space="0" w:color="auto"/>
                            <w:left w:val="none" w:sz="0" w:space="0" w:color="auto"/>
                            <w:bottom w:val="none" w:sz="0" w:space="0" w:color="auto"/>
                            <w:right w:val="none" w:sz="0" w:space="0" w:color="auto"/>
                          </w:divBdr>
                          <w:divsChild>
                            <w:div w:id="1474528">
                              <w:marLeft w:val="0"/>
                              <w:marRight w:val="0"/>
                              <w:marTop w:val="0"/>
                              <w:marBottom w:val="0"/>
                              <w:divBdr>
                                <w:top w:val="none" w:sz="0" w:space="0" w:color="auto"/>
                                <w:left w:val="none" w:sz="0" w:space="0" w:color="auto"/>
                                <w:bottom w:val="none" w:sz="0" w:space="0" w:color="auto"/>
                                <w:right w:val="none" w:sz="0" w:space="0" w:color="auto"/>
                              </w:divBdr>
                              <w:divsChild>
                                <w:div w:id="1775130733">
                                  <w:marLeft w:val="0"/>
                                  <w:marRight w:val="0"/>
                                  <w:marTop w:val="0"/>
                                  <w:marBottom w:val="0"/>
                                  <w:divBdr>
                                    <w:top w:val="none" w:sz="0" w:space="0" w:color="auto"/>
                                    <w:left w:val="none" w:sz="0" w:space="0" w:color="auto"/>
                                    <w:bottom w:val="none" w:sz="0" w:space="0" w:color="auto"/>
                                    <w:right w:val="none" w:sz="0" w:space="0" w:color="auto"/>
                                  </w:divBdr>
                                  <w:divsChild>
                                    <w:div w:id="1211070835">
                                      <w:marLeft w:val="0"/>
                                      <w:marRight w:val="0"/>
                                      <w:marTop w:val="0"/>
                                      <w:marBottom w:val="0"/>
                                      <w:divBdr>
                                        <w:top w:val="none" w:sz="0" w:space="0" w:color="auto"/>
                                        <w:left w:val="none" w:sz="0" w:space="0" w:color="auto"/>
                                        <w:bottom w:val="none" w:sz="0" w:space="0" w:color="auto"/>
                                        <w:right w:val="none" w:sz="0" w:space="0" w:color="auto"/>
                                      </w:divBdr>
                                      <w:divsChild>
                                        <w:div w:id="1609655952">
                                          <w:marLeft w:val="0"/>
                                          <w:marRight w:val="0"/>
                                          <w:marTop w:val="0"/>
                                          <w:marBottom w:val="0"/>
                                          <w:divBdr>
                                            <w:top w:val="none" w:sz="0" w:space="0" w:color="auto"/>
                                            <w:left w:val="none" w:sz="0" w:space="0" w:color="auto"/>
                                            <w:bottom w:val="none" w:sz="0" w:space="0" w:color="auto"/>
                                            <w:right w:val="none" w:sz="0" w:space="0" w:color="auto"/>
                                          </w:divBdr>
                                          <w:divsChild>
                                            <w:div w:id="1070227175">
                                              <w:marLeft w:val="0"/>
                                              <w:marRight w:val="0"/>
                                              <w:marTop w:val="0"/>
                                              <w:marBottom w:val="360"/>
                                              <w:divBdr>
                                                <w:top w:val="none" w:sz="0" w:space="0" w:color="auto"/>
                                                <w:left w:val="none" w:sz="0" w:space="0" w:color="auto"/>
                                                <w:bottom w:val="none" w:sz="0" w:space="0" w:color="auto"/>
                                                <w:right w:val="none" w:sz="0" w:space="0" w:color="auto"/>
                                              </w:divBdr>
                                              <w:divsChild>
                                                <w:div w:id="135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069903">
      <w:bodyDiv w:val="1"/>
      <w:marLeft w:val="0"/>
      <w:marRight w:val="0"/>
      <w:marTop w:val="0"/>
      <w:marBottom w:val="0"/>
      <w:divBdr>
        <w:top w:val="none" w:sz="0" w:space="0" w:color="auto"/>
        <w:left w:val="none" w:sz="0" w:space="0" w:color="auto"/>
        <w:bottom w:val="none" w:sz="0" w:space="0" w:color="auto"/>
        <w:right w:val="none" w:sz="0" w:space="0" w:color="auto"/>
      </w:divBdr>
      <w:divsChild>
        <w:div w:id="1300955761">
          <w:marLeft w:val="0"/>
          <w:marRight w:val="0"/>
          <w:marTop w:val="0"/>
          <w:marBottom w:val="0"/>
          <w:divBdr>
            <w:top w:val="none" w:sz="0" w:space="0" w:color="auto"/>
            <w:left w:val="none" w:sz="0" w:space="0" w:color="auto"/>
            <w:bottom w:val="none" w:sz="0" w:space="0" w:color="auto"/>
            <w:right w:val="none" w:sz="0" w:space="0" w:color="auto"/>
          </w:divBdr>
          <w:divsChild>
            <w:div w:id="276183506">
              <w:marLeft w:val="0"/>
              <w:marRight w:val="0"/>
              <w:marTop w:val="0"/>
              <w:marBottom w:val="0"/>
              <w:divBdr>
                <w:top w:val="none" w:sz="0" w:space="0" w:color="auto"/>
                <w:left w:val="none" w:sz="0" w:space="0" w:color="auto"/>
                <w:bottom w:val="none" w:sz="0" w:space="0" w:color="auto"/>
                <w:right w:val="none" w:sz="0" w:space="0" w:color="auto"/>
              </w:divBdr>
              <w:divsChild>
                <w:div w:id="689602419">
                  <w:marLeft w:val="0"/>
                  <w:marRight w:val="0"/>
                  <w:marTop w:val="0"/>
                  <w:marBottom w:val="0"/>
                  <w:divBdr>
                    <w:top w:val="none" w:sz="0" w:space="0" w:color="auto"/>
                    <w:left w:val="none" w:sz="0" w:space="0" w:color="auto"/>
                    <w:bottom w:val="none" w:sz="0" w:space="0" w:color="auto"/>
                    <w:right w:val="none" w:sz="0" w:space="0" w:color="auto"/>
                  </w:divBdr>
                  <w:divsChild>
                    <w:div w:id="238171307">
                      <w:marLeft w:val="0"/>
                      <w:marRight w:val="0"/>
                      <w:marTop w:val="0"/>
                      <w:marBottom w:val="0"/>
                      <w:divBdr>
                        <w:top w:val="none" w:sz="0" w:space="0" w:color="auto"/>
                        <w:left w:val="none" w:sz="0" w:space="0" w:color="auto"/>
                        <w:bottom w:val="none" w:sz="0" w:space="0" w:color="auto"/>
                        <w:right w:val="none" w:sz="0" w:space="0" w:color="auto"/>
                      </w:divBdr>
                      <w:divsChild>
                        <w:div w:id="2103213909">
                          <w:marLeft w:val="0"/>
                          <w:marRight w:val="0"/>
                          <w:marTop w:val="0"/>
                          <w:marBottom w:val="0"/>
                          <w:divBdr>
                            <w:top w:val="none" w:sz="0" w:space="0" w:color="auto"/>
                            <w:left w:val="none" w:sz="0" w:space="0" w:color="auto"/>
                            <w:bottom w:val="none" w:sz="0" w:space="0" w:color="auto"/>
                            <w:right w:val="none" w:sz="0" w:space="0" w:color="auto"/>
                          </w:divBdr>
                          <w:divsChild>
                            <w:div w:id="1457992681">
                              <w:marLeft w:val="0"/>
                              <w:marRight w:val="0"/>
                              <w:marTop w:val="0"/>
                              <w:marBottom w:val="0"/>
                              <w:divBdr>
                                <w:top w:val="none" w:sz="0" w:space="0" w:color="auto"/>
                                <w:left w:val="none" w:sz="0" w:space="0" w:color="auto"/>
                                <w:bottom w:val="none" w:sz="0" w:space="0" w:color="auto"/>
                                <w:right w:val="none" w:sz="0" w:space="0" w:color="auto"/>
                              </w:divBdr>
                              <w:divsChild>
                                <w:div w:id="841898596">
                                  <w:marLeft w:val="0"/>
                                  <w:marRight w:val="0"/>
                                  <w:marTop w:val="0"/>
                                  <w:marBottom w:val="0"/>
                                  <w:divBdr>
                                    <w:top w:val="none" w:sz="0" w:space="0" w:color="auto"/>
                                    <w:left w:val="none" w:sz="0" w:space="0" w:color="auto"/>
                                    <w:bottom w:val="none" w:sz="0" w:space="0" w:color="auto"/>
                                    <w:right w:val="none" w:sz="0" w:space="0" w:color="auto"/>
                                  </w:divBdr>
                                  <w:divsChild>
                                    <w:div w:id="1718512068">
                                      <w:marLeft w:val="0"/>
                                      <w:marRight w:val="0"/>
                                      <w:marTop w:val="0"/>
                                      <w:marBottom w:val="0"/>
                                      <w:divBdr>
                                        <w:top w:val="none" w:sz="0" w:space="0" w:color="auto"/>
                                        <w:left w:val="none" w:sz="0" w:space="0" w:color="auto"/>
                                        <w:bottom w:val="none" w:sz="0" w:space="0" w:color="auto"/>
                                        <w:right w:val="none" w:sz="0" w:space="0" w:color="auto"/>
                                      </w:divBdr>
                                      <w:divsChild>
                                        <w:div w:id="1008604814">
                                          <w:marLeft w:val="0"/>
                                          <w:marRight w:val="0"/>
                                          <w:marTop w:val="0"/>
                                          <w:marBottom w:val="0"/>
                                          <w:divBdr>
                                            <w:top w:val="none" w:sz="0" w:space="0" w:color="auto"/>
                                            <w:left w:val="none" w:sz="0" w:space="0" w:color="auto"/>
                                            <w:bottom w:val="none" w:sz="0" w:space="0" w:color="auto"/>
                                            <w:right w:val="none" w:sz="0" w:space="0" w:color="auto"/>
                                          </w:divBdr>
                                          <w:divsChild>
                                            <w:div w:id="1230455083">
                                              <w:marLeft w:val="0"/>
                                              <w:marRight w:val="0"/>
                                              <w:marTop w:val="0"/>
                                              <w:marBottom w:val="360"/>
                                              <w:divBdr>
                                                <w:top w:val="none" w:sz="0" w:space="0" w:color="auto"/>
                                                <w:left w:val="none" w:sz="0" w:space="0" w:color="auto"/>
                                                <w:bottom w:val="none" w:sz="0" w:space="0" w:color="auto"/>
                                                <w:right w:val="none" w:sz="0" w:space="0" w:color="auto"/>
                                              </w:divBdr>
                                              <w:divsChild>
                                                <w:div w:id="14619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9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dfat.gov.au/Info/Treaties/treaties.nsf/AllDocIDs/CFB1E23A1297FFE8CA256B4C000C26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5</Pages>
  <Words>1519</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10145</CharactersWithSpaces>
  <SharedDoc>false</SharedDoc>
  <HLinks>
    <vt:vector size="6" baseType="variant">
      <vt:variant>
        <vt:i4>5177434</vt:i4>
      </vt:variant>
      <vt:variant>
        <vt:i4>0</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Downey, Michael</cp:lastModifiedBy>
  <cp:revision>49</cp:revision>
  <cp:lastPrinted>2021-03-16T21:59:00Z</cp:lastPrinted>
  <dcterms:created xsi:type="dcterms:W3CDTF">2020-04-01T22:39:00Z</dcterms:created>
  <dcterms:modified xsi:type="dcterms:W3CDTF">2021-03-26T03:03:00Z</dcterms:modified>
</cp:coreProperties>
</file>