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D6379" w14:textId="77777777" w:rsidR="00280050" w:rsidRPr="00E1325A" w:rsidRDefault="00E40F4A" w:rsidP="00E40F4A">
      <w:pPr>
        <w:jc w:val="center"/>
        <w:rPr>
          <w:b/>
        </w:rPr>
      </w:pPr>
      <w:r w:rsidRPr="00E1325A">
        <w:rPr>
          <w:b/>
        </w:rPr>
        <w:t>EXPLANATORY STATEMENT</w:t>
      </w:r>
    </w:p>
    <w:p w14:paraId="395E1650" w14:textId="77777777" w:rsidR="00E40F4A" w:rsidRPr="00E1325A" w:rsidRDefault="00E40F4A" w:rsidP="00E40F4A">
      <w:pPr>
        <w:jc w:val="center"/>
        <w:rPr>
          <w:i/>
        </w:rPr>
      </w:pPr>
      <w:r w:rsidRPr="00E1325A">
        <w:rPr>
          <w:i/>
        </w:rPr>
        <w:t>National Health Act 1953</w:t>
      </w:r>
    </w:p>
    <w:p w14:paraId="698ADBF1" w14:textId="74CC7485" w:rsidR="00E40F4A" w:rsidRPr="00E1325A" w:rsidRDefault="00E40F4A" w:rsidP="00E40F4A">
      <w:pPr>
        <w:jc w:val="center"/>
        <w:rPr>
          <w:b/>
          <w:i/>
        </w:rPr>
      </w:pPr>
      <w:r w:rsidRPr="00E1325A">
        <w:rPr>
          <w:b/>
          <w:i/>
        </w:rPr>
        <w:t>National Health</w:t>
      </w:r>
      <w:bookmarkStart w:id="0" w:name="BK_S1P1L3C16"/>
      <w:bookmarkEnd w:id="0"/>
      <w:r w:rsidRPr="00E1325A">
        <w:rPr>
          <w:b/>
          <w:i/>
        </w:rPr>
        <w:t xml:space="preserve"> (</w:t>
      </w:r>
      <w:r w:rsidR="00795536" w:rsidRPr="00E1325A">
        <w:rPr>
          <w:b/>
          <w:i/>
        </w:rPr>
        <w:t>L</w:t>
      </w:r>
      <w:bookmarkStart w:id="1" w:name="_GoBack"/>
      <w:bookmarkEnd w:id="1"/>
      <w:r w:rsidR="00795536" w:rsidRPr="00E1325A">
        <w:rPr>
          <w:b/>
          <w:i/>
        </w:rPr>
        <w:t>isted Drugs of F1 or F2)</w:t>
      </w:r>
      <w:r w:rsidRPr="00E1325A">
        <w:rPr>
          <w:b/>
          <w:i/>
        </w:rPr>
        <w:t xml:space="preserve"> Determination 202</w:t>
      </w:r>
      <w:r w:rsidR="00CA2A22" w:rsidRPr="00E1325A">
        <w:rPr>
          <w:b/>
          <w:i/>
        </w:rPr>
        <w:t>1</w:t>
      </w:r>
    </w:p>
    <w:p w14:paraId="0F24A770" w14:textId="3A22715A" w:rsidR="00310F09" w:rsidRPr="00E1325A" w:rsidRDefault="00310F09" w:rsidP="00144A2D">
      <w:pPr>
        <w:spacing w:before="120" w:after="0"/>
        <w:jc w:val="center"/>
        <w:rPr>
          <w:b/>
          <w:sz w:val="22"/>
          <w:szCs w:val="22"/>
        </w:rPr>
      </w:pPr>
      <w:r w:rsidRPr="00E1325A">
        <w:rPr>
          <w:b/>
          <w:sz w:val="22"/>
          <w:szCs w:val="22"/>
        </w:rPr>
        <w:t xml:space="preserve">PB </w:t>
      </w:r>
      <w:r w:rsidR="00185F83" w:rsidRPr="00E1325A">
        <w:rPr>
          <w:b/>
          <w:sz w:val="22"/>
          <w:szCs w:val="22"/>
        </w:rPr>
        <w:t xml:space="preserve">33 </w:t>
      </w:r>
      <w:r w:rsidRPr="00E1325A">
        <w:rPr>
          <w:b/>
          <w:sz w:val="22"/>
          <w:szCs w:val="22"/>
        </w:rPr>
        <w:t>of 202</w:t>
      </w:r>
      <w:r w:rsidR="00786242" w:rsidRPr="00E1325A">
        <w:rPr>
          <w:b/>
          <w:sz w:val="22"/>
          <w:szCs w:val="22"/>
        </w:rPr>
        <w:t>1</w:t>
      </w:r>
    </w:p>
    <w:p w14:paraId="0C3822F9" w14:textId="77777777" w:rsidR="00E40F4A" w:rsidRPr="00E1325A" w:rsidRDefault="00E40F4A" w:rsidP="00144A2D">
      <w:pPr>
        <w:rPr>
          <w:b/>
        </w:rPr>
      </w:pPr>
      <w:r w:rsidRPr="00E1325A">
        <w:rPr>
          <w:b/>
        </w:rPr>
        <w:t>Authority</w:t>
      </w:r>
    </w:p>
    <w:p w14:paraId="08BF09AE" w14:textId="3B526B1F" w:rsidR="00144A2D" w:rsidRPr="00E1325A" w:rsidRDefault="004F6A70" w:rsidP="00144A2D">
      <w:pPr>
        <w:pStyle w:val="subsection"/>
        <w:spacing w:before="0" w:beforeAutospacing="0" w:after="160" w:afterAutospacing="0"/>
        <w:rPr>
          <w:iCs/>
        </w:rPr>
      </w:pPr>
      <w:r w:rsidRPr="00E1325A">
        <w:rPr>
          <w:iCs/>
        </w:rPr>
        <w:t xml:space="preserve">This legislative instrument is made pursuant to subsection </w:t>
      </w:r>
      <w:proofErr w:type="gramStart"/>
      <w:r w:rsidRPr="00E1325A">
        <w:rPr>
          <w:iCs/>
        </w:rPr>
        <w:t>85AB</w:t>
      </w:r>
      <w:r w:rsidR="00273956" w:rsidRPr="00E1325A">
        <w:rPr>
          <w:iCs/>
        </w:rPr>
        <w:t>(</w:t>
      </w:r>
      <w:proofErr w:type="gramEnd"/>
      <w:r w:rsidR="00273956" w:rsidRPr="00E1325A">
        <w:rPr>
          <w:iCs/>
        </w:rPr>
        <w:t>1)</w:t>
      </w:r>
      <w:r w:rsidRPr="00E1325A">
        <w:rPr>
          <w:iCs/>
        </w:rPr>
        <w:t xml:space="preserve"> </w:t>
      </w:r>
      <w:r w:rsidR="00371A30" w:rsidRPr="00E1325A">
        <w:t>of t</w:t>
      </w:r>
      <w:r w:rsidR="000178C6" w:rsidRPr="00E1325A">
        <w:t xml:space="preserve">he </w:t>
      </w:r>
      <w:r w:rsidR="000178C6" w:rsidRPr="00E1325A">
        <w:rPr>
          <w:i/>
        </w:rPr>
        <w:t>National</w:t>
      </w:r>
      <w:r w:rsidR="00AA3ACE" w:rsidRPr="00E1325A">
        <w:rPr>
          <w:i/>
        </w:rPr>
        <w:t> </w:t>
      </w:r>
      <w:r w:rsidR="000178C6" w:rsidRPr="00E1325A">
        <w:rPr>
          <w:i/>
        </w:rPr>
        <w:t>Health Act</w:t>
      </w:r>
      <w:r w:rsidR="00045087" w:rsidRPr="00E1325A">
        <w:rPr>
          <w:i/>
        </w:rPr>
        <w:t xml:space="preserve"> 1953</w:t>
      </w:r>
      <w:r w:rsidR="000178C6" w:rsidRPr="00E1325A">
        <w:t xml:space="preserve"> (the Act)</w:t>
      </w:r>
      <w:r w:rsidR="005C7F38" w:rsidRPr="00E1325A">
        <w:t>,</w:t>
      </w:r>
      <w:r w:rsidR="000178C6" w:rsidRPr="00E1325A">
        <w:t xml:space="preserve"> </w:t>
      </w:r>
      <w:r w:rsidRPr="00E1325A">
        <w:rPr>
          <w:iCs/>
        </w:rPr>
        <w:t>which gives the Minister the power to determine that a Pharmaceutical Benefit Scheme (PBS) listed drug</w:t>
      </w:r>
      <w:r w:rsidR="00144A2D" w:rsidRPr="00E1325A">
        <w:rPr>
          <w:iCs/>
        </w:rPr>
        <w:t xml:space="preserve"> </w:t>
      </w:r>
      <w:r w:rsidRPr="00E1325A">
        <w:rPr>
          <w:iCs/>
        </w:rPr>
        <w:t xml:space="preserve">may </w:t>
      </w:r>
      <w:r w:rsidR="00144A2D" w:rsidRPr="00E1325A">
        <w:rPr>
          <w:iCs/>
        </w:rPr>
        <w:t xml:space="preserve">be assigned to formularies identified as F1 and F2. </w:t>
      </w:r>
    </w:p>
    <w:p w14:paraId="39CF06E8" w14:textId="77777777" w:rsidR="00E10058" w:rsidRPr="00E1325A" w:rsidRDefault="00E10058" w:rsidP="00AA3ACE">
      <w:pPr>
        <w:spacing w:after="0"/>
        <w:rPr>
          <w:b/>
        </w:rPr>
      </w:pPr>
    </w:p>
    <w:p w14:paraId="28FF1153" w14:textId="0E0D930D" w:rsidR="00E40F4A" w:rsidRPr="00E1325A" w:rsidRDefault="00E40F4A">
      <w:pPr>
        <w:rPr>
          <w:b/>
        </w:rPr>
      </w:pPr>
      <w:r w:rsidRPr="00E1325A">
        <w:rPr>
          <w:b/>
        </w:rPr>
        <w:t>Purpose</w:t>
      </w:r>
    </w:p>
    <w:p w14:paraId="1D4CEB73" w14:textId="101902B4" w:rsidR="004F6A70" w:rsidRPr="00E1325A" w:rsidRDefault="004F6A70" w:rsidP="004F6A70">
      <w:r w:rsidRPr="00E1325A">
        <w:t xml:space="preserve">The Purpose of the </w:t>
      </w:r>
      <w:r w:rsidRPr="00E1325A">
        <w:rPr>
          <w:i/>
        </w:rPr>
        <w:t xml:space="preserve">National Health (Listed Drugs of F1 or F2) Determination 2021 </w:t>
      </w:r>
      <w:r w:rsidR="00E10058" w:rsidRPr="00E1325A">
        <w:t xml:space="preserve">(the Determination) </w:t>
      </w:r>
      <w:r w:rsidRPr="00E1325A">
        <w:t xml:space="preserve">is to determine the formulary allocation, identified as F1 and F2, of a PBS listed drug. </w:t>
      </w:r>
      <w:r w:rsidR="00273956" w:rsidRPr="00E1325A">
        <w:t xml:space="preserve">The </w:t>
      </w:r>
      <w:r w:rsidR="0046004F" w:rsidRPr="00E1325A">
        <w:t>Determination</w:t>
      </w:r>
      <w:r w:rsidRPr="00E1325A">
        <w:t xml:space="preserve"> repeals and replaces the</w:t>
      </w:r>
      <w:r w:rsidR="006D6D36" w:rsidRPr="00E1325A">
        <w:t xml:space="preserve"> </w:t>
      </w:r>
      <w:r w:rsidRPr="00E1325A">
        <w:rPr>
          <w:i/>
        </w:rPr>
        <w:t>National</w:t>
      </w:r>
      <w:r w:rsidR="007B3F8E" w:rsidRPr="00E1325A">
        <w:rPr>
          <w:i/>
        </w:rPr>
        <w:t xml:space="preserve"> </w:t>
      </w:r>
      <w:r w:rsidRPr="00E1325A">
        <w:rPr>
          <w:i/>
        </w:rPr>
        <w:t xml:space="preserve">Health (Listed drugs on F1 or F2) Determination 2010 </w:t>
      </w:r>
      <w:r w:rsidRPr="00E1325A">
        <w:t>(93 of 2010)</w:t>
      </w:r>
      <w:r w:rsidR="00185F83" w:rsidRPr="00E1325A">
        <w:t xml:space="preserve"> (sunsetting Determination)</w:t>
      </w:r>
      <w:r w:rsidRPr="00E1325A">
        <w:t>, which sunsets on 1</w:t>
      </w:r>
      <w:r w:rsidR="00F45FDE" w:rsidRPr="00E1325A">
        <w:t> </w:t>
      </w:r>
      <w:r w:rsidRPr="00E1325A">
        <w:t>April</w:t>
      </w:r>
      <w:r w:rsidR="00F45FDE" w:rsidRPr="00E1325A">
        <w:t> </w:t>
      </w:r>
      <w:r w:rsidRPr="00E1325A">
        <w:t>2021.</w:t>
      </w:r>
    </w:p>
    <w:p w14:paraId="23B976A7" w14:textId="5A6DF545" w:rsidR="004F6A70" w:rsidRPr="00E1325A" w:rsidRDefault="004F6A70" w:rsidP="004F6A70">
      <w:r w:rsidRPr="00E1325A">
        <w:t xml:space="preserve">The Act provides that PBS listed drugs may be assigned to formularies identified as F1 and F2. F1 is intended for single branded drugs and F2 for drugs that have multiple brands, or are in a therapeutic group with other drugs with multiple brands. </w:t>
      </w:r>
      <w:r w:rsidR="00D16D28" w:rsidRPr="00E1325A">
        <w:t xml:space="preserve">Drugs on F1 are subject to provisions of the Act relating to anniversary price reductions. </w:t>
      </w:r>
      <w:r w:rsidRPr="00E1325A">
        <w:t>Drugs on F2 are subject to the provisions of the Act relating to price disclosure and guarantee of supply.</w:t>
      </w:r>
    </w:p>
    <w:p w14:paraId="16E4952C" w14:textId="77777777" w:rsidR="004F6A70" w:rsidRPr="00E1325A" w:rsidRDefault="004F6A70" w:rsidP="004F6A70">
      <w:r w:rsidRPr="00E1325A">
        <w:t xml:space="preserve">Section 84AC of the Act provides that a drug is on F1 or F2 if there is a determination in force under section 85AB that the drug is on F1 or F2. </w:t>
      </w:r>
    </w:p>
    <w:p w14:paraId="375A7E68" w14:textId="1CE04751" w:rsidR="004F6A70" w:rsidRPr="00E1325A" w:rsidRDefault="004F6A70" w:rsidP="004F6A70">
      <w:r w:rsidRPr="00E1325A">
        <w:t xml:space="preserve">Subsection </w:t>
      </w:r>
      <w:proofErr w:type="gramStart"/>
      <w:r w:rsidRPr="00E1325A">
        <w:t>85AB(</w:t>
      </w:r>
      <w:proofErr w:type="gramEnd"/>
      <w:r w:rsidRPr="00E1325A">
        <w:t>1) of the Act empowers the Minister (or delegate) to determine</w:t>
      </w:r>
      <w:r w:rsidR="00005DC2" w:rsidRPr="00E1325A">
        <w:t>,</w:t>
      </w:r>
      <w:r w:rsidRPr="00E1325A">
        <w:t xml:space="preserve"> by legislative instrument</w:t>
      </w:r>
      <w:r w:rsidR="00005DC2" w:rsidRPr="00E1325A">
        <w:t>,</w:t>
      </w:r>
      <w:r w:rsidRPr="00E1325A">
        <w:t xml:space="preserve"> that</w:t>
      </w:r>
      <w:r w:rsidR="00005DC2" w:rsidRPr="00E1325A">
        <w:t xml:space="preserve"> a listed drug is on F1 or F2. </w:t>
      </w:r>
      <w:r w:rsidRPr="00E1325A">
        <w:t xml:space="preserve">For a drug to be on F1, it must satisfy the criteria in subsection </w:t>
      </w:r>
      <w:proofErr w:type="gramStart"/>
      <w:r w:rsidRPr="00E1325A">
        <w:t>85AB(</w:t>
      </w:r>
      <w:proofErr w:type="gramEnd"/>
      <w:r w:rsidRPr="00E1325A">
        <w:t xml:space="preserve">4). This requires that there are no listed brands of pharmaceutical items that have the drug that are bioequivalent or biosimilar, and no listed brands of pharmaceutical items that have another drug in the same therapeutic group as the first drug that are bioequivalent or biosimilar. It also requires that the drug was not on F2 the day before the determination comes into effect. A drug may only be determined to be on F2 if it does not satisfy one or more of the criteria for F1 (subsection </w:t>
      </w:r>
      <w:proofErr w:type="gramStart"/>
      <w:r w:rsidRPr="00E1325A">
        <w:t>85AB(</w:t>
      </w:r>
      <w:proofErr w:type="gramEnd"/>
      <w:r w:rsidRPr="00E1325A">
        <w:t>3)).</w:t>
      </w:r>
    </w:p>
    <w:p w14:paraId="73C98926" w14:textId="77777777" w:rsidR="004F6A70" w:rsidRPr="00E1325A" w:rsidRDefault="004F6A70" w:rsidP="004F6A70">
      <w:r w:rsidRPr="00E1325A">
        <w:t xml:space="preserve">When subsection 85AB(5) of the Act applies, which relates to listed drugs with a single brand combination item on the PBS, the listed drug is not placed on F1 or F2, but on the administrative combination drug list (CDL). </w:t>
      </w:r>
    </w:p>
    <w:p w14:paraId="3F16D21A" w14:textId="77777777" w:rsidR="00E10058" w:rsidRPr="00E1325A" w:rsidRDefault="00E10058" w:rsidP="006C34BD">
      <w:pPr>
        <w:spacing w:after="0"/>
        <w:rPr>
          <w:b/>
        </w:rPr>
      </w:pPr>
    </w:p>
    <w:p w14:paraId="5B5E1C1F" w14:textId="5648BA10" w:rsidR="00E40F4A" w:rsidRPr="00E1325A" w:rsidRDefault="00E40F4A">
      <w:pPr>
        <w:rPr>
          <w:b/>
        </w:rPr>
      </w:pPr>
      <w:r w:rsidRPr="00E1325A">
        <w:rPr>
          <w:b/>
        </w:rPr>
        <w:t>Consultation</w:t>
      </w:r>
    </w:p>
    <w:p w14:paraId="4D1C6C10" w14:textId="08B878F1" w:rsidR="00E10058" w:rsidRPr="00E1325A" w:rsidRDefault="00E10058">
      <w:r w:rsidRPr="00E1325A">
        <w:t xml:space="preserve">This instrument affects </w:t>
      </w:r>
      <w:r w:rsidR="006C34BD" w:rsidRPr="00E1325A">
        <w:t>responsible persons</w:t>
      </w:r>
      <w:r w:rsidRPr="00E1325A">
        <w:t xml:space="preserve"> with </w:t>
      </w:r>
      <w:r w:rsidR="00EE6FB8" w:rsidRPr="00E1325A">
        <w:t>drugs</w:t>
      </w:r>
      <w:r w:rsidRPr="00E1325A">
        <w:t xml:space="preserve"> listed on the PBS.</w:t>
      </w:r>
    </w:p>
    <w:p w14:paraId="184CECFD" w14:textId="77777777" w:rsidR="00E10058" w:rsidRPr="00E1325A" w:rsidRDefault="00E10058">
      <w:r w:rsidRPr="00E1325A">
        <w:t xml:space="preserve">Before a drug is PBS listed and allocated to a formulary, there are detailed consultations about the drug with the responsible person and recommendations from the Pharmaceutical Benefits Advisory Committee (PBAC). </w:t>
      </w:r>
    </w:p>
    <w:p w14:paraId="7214E0A5" w14:textId="2E32361E" w:rsidR="00E10058" w:rsidRPr="00E1325A" w:rsidRDefault="007F0430">
      <w:r w:rsidRPr="00E1325A">
        <w:lastRenderedPageBreak/>
        <w:t xml:space="preserve">Members of the </w:t>
      </w:r>
      <w:r w:rsidR="00E10058" w:rsidRPr="00E1325A">
        <w:t>PBAC are appointed following nomination by prescribed organisations and associations</w:t>
      </w:r>
      <w:r w:rsidR="00303AC4" w:rsidRPr="00E1325A">
        <w:t>. PBAC members</w:t>
      </w:r>
      <w:r w:rsidR="00EE6FB8" w:rsidRPr="00E1325A">
        <w:t>hip consists of</w:t>
      </w:r>
      <w:r w:rsidR="00E10058" w:rsidRPr="00E1325A">
        <w:t xml:space="preserve"> consumers, health economists, practising community pharmacists, general practitioners, clinical pharmacologists and specialists. In addition, an industry nominee has been appointed to the PBAC. Remaining members are persons whom the Minister is satisfied have qualifications and experience in a field relevant to the functions of the PBAC that would enable them to contribute meaningfully to the deliberations of the </w:t>
      </w:r>
      <w:proofErr w:type="gramStart"/>
      <w:r w:rsidR="00E10058" w:rsidRPr="00E1325A">
        <w:t>PBAC.</w:t>
      </w:r>
      <w:proofErr w:type="gramEnd"/>
    </w:p>
    <w:p w14:paraId="50AE8977" w14:textId="5752E5CD" w:rsidR="00E10058" w:rsidRPr="00E1325A" w:rsidRDefault="00E10058">
      <w:r w:rsidRPr="00E1325A">
        <w:t xml:space="preserve">Any PBAC recommendation is made following receipt of a submission made by the affected </w:t>
      </w:r>
      <w:r w:rsidR="00EE6FB8" w:rsidRPr="00E1325A">
        <w:t>responsible person</w:t>
      </w:r>
      <w:r w:rsidRPr="00E1325A">
        <w:t xml:space="preserve">. </w:t>
      </w:r>
    </w:p>
    <w:p w14:paraId="2D31028F" w14:textId="2860D58F" w:rsidR="00EE6FB8" w:rsidRPr="00E1325A" w:rsidRDefault="00EE6FB8">
      <w:r w:rsidRPr="00E1325A">
        <w:t xml:space="preserve">The majority of items listed in </w:t>
      </w:r>
      <w:r w:rsidR="0046004F" w:rsidRPr="00E1325A">
        <w:t>the Determination</w:t>
      </w:r>
      <w:r w:rsidRPr="00E1325A">
        <w:t xml:space="preserve"> were listed in the </w:t>
      </w:r>
      <w:r w:rsidR="00185F83" w:rsidRPr="00E1325A">
        <w:rPr>
          <w:i/>
        </w:rPr>
        <w:t>sunsetting Determination</w:t>
      </w:r>
      <w:r w:rsidRPr="00E1325A">
        <w:t>, which sunsets on 1 April 2021. Responsible persons were consulted about changes to their items as they occurred from time to time.</w:t>
      </w:r>
    </w:p>
    <w:p w14:paraId="03ADFC58" w14:textId="56DC8132" w:rsidR="00EE6FB8" w:rsidRPr="00E1325A" w:rsidRDefault="0046004F">
      <w:r w:rsidRPr="00E1325A">
        <w:t>The D</w:t>
      </w:r>
      <w:r w:rsidR="00EE6FB8" w:rsidRPr="00E1325A">
        <w:t xml:space="preserve">etermination differs from the </w:t>
      </w:r>
      <w:r w:rsidR="00185F83" w:rsidRPr="00E1325A">
        <w:rPr>
          <w:i/>
        </w:rPr>
        <w:t>sunsetting Determination</w:t>
      </w:r>
      <w:r w:rsidR="00EE6FB8" w:rsidRPr="00E1325A">
        <w:t xml:space="preserve">, by adding two drugs to F1, </w:t>
      </w:r>
      <w:proofErr w:type="spellStart"/>
      <w:r w:rsidR="00EE6FB8" w:rsidRPr="00E1325A">
        <w:t>fulvestrant</w:t>
      </w:r>
      <w:proofErr w:type="spellEnd"/>
      <w:r w:rsidR="00EE6FB8" w:rsidRPr="00E1325A">
        <w:t xml:space="preserve"> and </w:t>
      </w:r>
      <w:proofErr w:type="spellStart"/>
      <w:r w:rsidR="00EE6FB8" w:rsidRPr="00E1325A">
        <w:t>romosozumab</w:t>
      </w:r>
      <w:proofErr w:type="spellEnd"/>
      <w:r w:rsidR="00EE6FB8" w:rsidRPr="00E1325A">
        <w:t xml:space="preserve">. </w:t>
      </w:r>
      <w:proofErr w:type="spellStart"/>
      <w:r w:rsidR="006B0FE1" w:rsidRPr="00E1325A">
        <w:t>Fulvestrant</w:t>
      </w:r>
      <w:proofErr w:type="spellEnd"/>
      <w:r w:rsidR="006B0FE1" w:rsidRPr="00E1325A">
        <w:t xml:space="preserve"> and </w:t>
      </w:r>
      <w:proofErr w:type="spellStart"/>
      <w:r w:rsidR="006B0FE1" w:rsidRPr="00E1325A">
        <w:t>r</w:t>
      </w:r>
      <w:r w:rsidR="007F0430" w:rsidRPr="00E1325A">
        <w:t>omosozumab</w:t>
      </w:r>
      <w:proofErr w:type="spellEnd"/>
      <w:r w:rsidR="007F0430" w:rsidRPr="00E1325A">
        <w:t xml:space="preserve"> meet the criteria for F1 under subsection </w:t>
      </w:r>
      <w:proofErr w:type="gramStart"/>
      <w:r w:rsidR="007F0430" w:rsidRPr="00E1325A">
        <w:t>85AB(</w:t>
      </w:r>
      <w:proofErr w:type="gramEnd"/>
      <w:r w:rsidR="007F0430" w:rsidRPr="00E1325A">
        <w:t>4)</w:t>
      </w:r>
      <w:r w:rsidR="005D08AA" w:rsidRPr="00E1325A">
        <w:t xml:space="preserve"> of the Act</w:t>
      </w:r>
      <w:r w:rsidR="007F0430" w:rsidRPr="00E1325A">
        <w:t xml:space="preserve">. </w:t>
      </w:r>
      <w:r w:rsidR="00EE6FB8" w:rsidRPr="00E1325A">
        <w:t>Responsible persons of these drugs are aware these drugs meet the criteria for F1.</w:t>
      </w:r>
    </w:p>
    <w:p w14:paraId="5ED23776" w14:textId="77777777" w:rsidR="00086634" w:rsidRPr="00E1325A" w:rsidRDefault="0046004F">
      <w:r w:rsidRPr="00E1325A">
        <w:t>The Determination</w:t>
      </w:r>
      <w:r w:rsidR="00EE6FB8" w:rsidRPr="00E1325A">
        <w:t xml:space="preserve"> also differs from the </w:t>
      </w:r>
      <w:r w:rsidR="00185F83" w:rsidRPr="00E1325A">
        <w:rPr>
          <w:i/>
        </w:rPr>
        <w:t>sunsetting Determination</w:t>
      </w:r>
      <w:r w:rsidR="00EE6FB8" w:rsidRPr="00E1325A">
        <w:t xml:space="preserve">, by moving five drugs, </w:t>
      </w:r>
      <w:proofErr w:type="spellStart"/>
      <w:r w:rsidR="00EE6FB8" w:rsidRPr="00E1325A">
        <w:t>adalimumab</w:t>
      </w:r>
      <w:proofErr w:type="spellEnd"/>
      <w:r w:rsidR="00EE6FB8" w:rsidRPr="00E1325A">
        <w:t xml:space="preserve">, </w:t>
      </w:r>
      <w:proofErr w:type="spellStart"/>
      <w:r w:rsidR="00EE6FB8" w:rsidRPr="00E1325A">
        <w:t>cabazitaxel</w:t>
      </w:r>
      <w:proofErr w:type="spellEnd"/>
      <w:r w:rsidR="00EE6FB8" w:rsidRPr="00E1325A">
        <w:t xml:space="preserve">, </w:t>
      </w:r>
      <w:proofErr w:type="spellStart"/>
      <w:r w:rsidR="00EE6FB8" w:rsidRPr="00E1325A">
        <w:t>cinacalcet</w:t>
      </w:r>
      <w:proofErr w:type="spellEnd"/>
      <w:r w:rsidR="00EE6FB8" w:rsidRPr="00E1325A">
        <w:t xml:space="preserve">, </w:t>
      </w:r>
      <w:proofErr w:type="spellStart"/>
      <w:r w:rsidR="00EE6FB8" w:rsidRPr="00E1325A">
        <w:t>erlotinib</w:t>
      </w:r>
      <w:proofErr w:type="spellEnd"/>
      <w:r w:rsidR="00EE6FB8" w:rsidRPr="00E1325A">
        <w:t xml:space="preserve"> and </w:t>
      </w:r>
      <w:proofErr w:type="spellStart"/>
      <w:r w:rsidR="00EE6FB8" w:rsidRPr="00E1325A">
        <w:t>ganirelix</w:t>
      </w:r>
      <w:proofErr w:type="spellEnd"/>
      <w:r w:rsidR="00EE6FB8" w:rsidRPr="00E1325A">
        <w:t xml:space="preserve"> from F1 to F2, upon entry of bioequivalent or biosimilar brands of pharmaceutical items on 1 April 2021. All five drugs no</w:t>
      </w:r>
      <w:r w:rsidR="006B0FE1" w:rsidRPr="00E1325A">
        <w:t xml:space="preserve"> longer meet</w:t>
      </w:r>
      <w:r w:rsidR="007F0430" w:rsidRPr="00E1325A">
        <w:t xml:space="preserve"> the criteria for F1 under subsection </w:t>
      </w:r>
      <w:proofErr w:type="gramStart"/>
      <w:r w:rsidR="007F0430" w:rsidRPr="00E1325A">
        <w:t>85AB(</w:t>
      </w:r>
      <w:proofErr w:type="gramEnd"/>
      <w:r w:rsidR="007F0430" w:rsidRPr="00E1325A">
        <w:t>3)</w:t>
      </w:r>
      <w:r w:rsidR="00EE6FB8" w:rsidRPr="00E1325A">
        <w:t xml:space="preserve"> of the Act</w:t>
      </w:r>
      <w:r w:rsidR="007F0430" w:rsidRPr="00E1325A">
        <w:t xml:space="preserve">, so </w:t>
      </w:r>
      <w:r w:rsidR="00EE6FB8" w:rsidRPr="00E1325A">
        <w:t>are</w:t>
      </w:r>
      <w:r w:rsidR="007F0430" w:rsidRPr="00E1325A">
        <w:t xml:space="preserve"> required to be moved to F2. Affected responsible persons were consulted on </w:t>
      </w:r>
      <w:r w:rsidR="00EE6FB8" w:rsidRPr="00E1325A">
        <w:t>these</w:t>
      </w:r>
      <w:r w:rsidR="007F0430" w:rsidRPr="00E1325A">
        <w:t xml:space="preserve"> amendments.</w:t>
      </w:r>
    </w:p>
    <w:p w14:paraId="6B2941E5" w14:textId="6304C60A" w:rsidR="001957C5" w:rsidRPr="00E1325A" w:rsidRDefault="00FF47A5" w:rsidP="001D2615">
      <w:pPr>
        <w:contextualSpacing/>
      </w:pPr>
      <w:r w:rsidRPr="00E1325A">
        <w:t>One administrative correction</w:t>
      </w:r>
      <w:r w:rsidR="00086634" w:rsidRPr="00E1325A">
        <w:t xml:space="preserve"> </w:t>
      </w:r>
      <w:r w:rsidRPr="00E1325A">
        <w:t>was made</w:t>
      </w:r>
      <w:r w:rsidR="00086634" w:rsidRPr="00E1325A">
        <w:t xml:space="preserve"> </w:t>
      </w:r>
      <w:r w:rsidR="001957C5" w:rsidRPr="00E1325A">
        <w:t>to a</w:t>
      </w:r>
      <w:r w:rsidR="00086634" w:rsidRPr="00E1325A">
        <w:t>mended “Poly-L-Lactic acid” to “Poly-l-lactic acid”</w:t>
      </w:r>
      <w:r w:rsidR="001957C5" w:rsidRPr="00E1325A">
        <w:t xml:space="preserve">, consistent with the description of the drug in the </w:t>
      </w:r>
      <w:r w:rsidR="001957C5" w:rsidRPr="00E1325A">
        <w:rPr>
          <w:i/>
        </w:rPr>
        <w:t>National Health (Listing of Pharmaceutical Benefits) Instrument 2012 (PB 71 of 2012)</w:t>
      </w:r>
      <w:r w:rsidR="001957C5" w:rsidRPr="00E1325A">
        <w:t>.</w:t>
      </w:r>
    </w:p>
    <w:p w14:paraId="17ED2A5E" w14:textId="77777777" w:rsidR="001957C5" w:rsidRPr="00E1325A" w:rsidRDefault="001957C5" w:rsidP="001D2615">
      <w:pPr>
        <w:contextualSpacing/>
      </w:pPr>
    </w:p>
    <w:p w14:paraId="28DDB280" w14:textId="69EAE1B6" w:rsidR="001D2615" w:rsidRPr="00E1325A" w:rsidRDefault="001D2615" w:rsidP="001D2615">
      <w:pPr>
        <w:contextualSpacing/>
      </w:pPr>
      <w:r w:rsidRPr="00E1325A">
        <w:t>No additional consultation with experts was undertaken regarding</w:t>
      </w:r>
      <w:r w:rsidR="0046004F" w:rsidRPr="00E1325A">
        <w:t xml:space="preserve"> the Determination</w:t>
      </w:r>
      <w:r w:rsidRPr="00E1325A">
        <w:t xml:space="preserve"> because consultation with the affected responsible persons and the PBAC</w:t>
      </w:r>
      <w:r w:rsidR="00A55A1C" w:rsidRPr="00E1325A">
        <w:t>,</w:t>
      </w:r>
      <w:r w:rsidRPr="00E1325A">
        <w:t xml:space="preserve"> which informed the making of</w:t>
      </w:r>
      <w:r w:rsidR="0046004F" w:rsidRPr="00E1325A">
        <w:t xml:space="preserve"> the Determination</w:t>
      </w:r>
      <w:r w:rsidR="004F0BCD" w:rsidRPr="00E1325A">
        <w:t>,</w:t>
      </w:r>
      <w:r w:rsidRPr="00E1325A">
        <w:t xml:space="preserve"> drew on </w:t>
      </w:r>
      <w:r w:rsidR="004F0BCD" w:rsidRPr="00E1325A">
        <w:t xml:space="preserve">the </w:t>
      </w:r>
      <w:r w:rsidRPr="00E1325A">
        <w:t xml:space="preserve">knowledge of persons with relevant expertise. </w:t>
      </w:r>
    </w:p>
    <w:p w14:paraId="3CD52A81" w14:textId="12062B68" w:rsidR="00E10058" w:rsidRPr="00E1325A" w:rsidRDefault="00E10058" w:rsidP="00E10058">
      <w:r w:rsidRPr="00E1325A">
        <w:t>A provision-by-provision description of the Determination is contained in the Attachment.</w:t>
      </w:r>
    </w:p>
    <w:p w14:paraId="59CBFCF8" w14:textId="2280A8B7" w:rsidR="00E10058" w:rsidRPr="00E1325A" w:rsidRDefault="00E10058" w:rsidP="00E10058">
      <w:r w:rsidRPr="00E1325A">
        <w:t>The Determination commences on 1 April 2021.</w:t>
      </w:r>
    </w:p>
    <w:p w14:paraId="01B48F7D" w14:textId="77777777" w:rsidR="00E10058" w:rsidRPr="00E1325A" w:rsidRDefault="00E10058" w:rsidP="00E10058">
      <w:r w:rsidRPr="00E1325A">
        <w:t>The Determination is a legislative instrument for the purposes of the </w:t>
      </w:r>
      <w:r w:rsidRPr="00E1325A">
        <w:rPr>
          <w:i/>
        </w:rPr>
        <w:t>Legislation Act 2003</w:t>
      </w:r>
      <w:r w:rsidRPr="00E1325A">
        <w:t>.</w:t>
      </w:r>
    </w:p>
    <w:p w14:paraId="6D8BBA56" w14:textId="163DE071" w:rsidR="00E40F4A" w:rsidRPr="00E1325A" w:rsidRDefault="00E40F4A" w:rsidP="00E10058">
      <w:pPr>
        <w:rPr>
          <w:b/>
        </w:rPr>
      </w:pPr>
    </w:p>
    <w:p w14:paraId="24786590" w14:textId="77777777" w:rsidR="00BD60E4" w:rsidRPr="00E1325A" w:rsidRDefault="00BD60E4">
      <w:pPr>
        <w:rPr>
          <w:b/>
        </w:rPr>
      </w:pPr>
      <w:r w:rsidRPr="00E1325A">
        <w:rPr>
          <w:b/>
        </w:rPr>
        <w:br w:type="page"/>
      </w:r>
    </w:p>
    <w:p w14:paraId="39DD0394" w14:textId="6E80EE68" w:rsidR="00E40F4A" w:rsidRPr="00E1325A" w:rsidRDefault="00E40F4A" w:rsidP="00E40F4A">
      <w:pPr>
        <w:jc w:val="right"/>
        <w:rPr>
          <w:b/>
        </w:rPr>
      </w:pPr>
      <w:r w:rsidRPr="00E1325A">
        <w:rPr>
          <w:b/>
        </w:rPr>
        <w:lastRenderedPageBreak/>
        <w:t>ATTACHMENT</w:t>
      </w:r>
    </w:p>
    <w:p w14:paraId="7B4704D1" w14:textId="55A0DC38" w:rsidR="00E40F4A" w:rsidRPr="00E1325A" w:rsidRDefault="004613FB" w:rsidP="00E40F4A">
      <w:pPr>
        <w:rPr>
          <w:b/>
        </w:rPr>
      </w:pPr>
      <w:r w:rsidRPr="00E1325A">
        <w:rPr>
          <w:b/>
        </w:rPr>
        <w:t xml:space="preserve">DETAILS OF THE </w:t>
      </w:r>
      <w:r w:rsidR="00B07AF7" w:rsidRPr="00E1325A">
        <w:rPr>
          <w:b/>
          <w:i/>
        </w:rPr>
        <w:t>NATIONAL HEALTH (LISTED DRUGS OF F1 OR F2) DETERMINATION 2021</w:t>
      </w:r>
    </w:p>
    <w:p w14:paraId="6E90B69E" w14:textId="7DB22FC6" w:rsidR="00E40F4A" w:rsidRPr="00E1325A" w:rsidRDefault="00E40F4A" w:rsidP="005C7F38">
      <w:pPr>
        <w:spacing w:after="0"/>
        <w:rPr>
          <w:b/>
        </w:rPr>
      </w:pPr>
      <w:r w:rsidRPr="00E1325A">
        <w:rPr>
          <w:b/>
        </w:rPr>
        <w:t>Section 1</w:t>
      </w:r>
      <w:r w:rsidRPr="00E1325A">
        <w:rPr>
          <w:b/>
        </w:rPr>
        <w:tab/>
        <w:t>Name</w:t>
      </w:r>
    </w:p>
    <w:p w14:paraId="40BABAD1" w14:textId="344A9626" w:rsidR="00E40F4A" w:rsidRPr="00E1325A" w:rsidRDefault="009361E9" w:rsidP="005C7F38">
      <w:pPr>
        <w:spacing w:after="0"/>
        <w:rPr>
          <w:i/>
        </w:rPr>
      </w:pPr>
      <w:r w:rsidRPr="00E1325A">
        <w:t xml:space="preserve">This section provides </w:t>
      </w:r>
      <w:r w:rsidR="00372527" w:rsidRPr="00E1325A">
        <w:t>that the name of the Determination is the</w:t>
      </w:r>
      <w:r w:rsidR="00682C16" w:rsidRPr="00E1325A">
        <w:t xml:space="preserve"> </w:t>
      </w:r>
      <w:r w:rsidR="00682C16" w:rsidRPr="00E1325A">
        <w:rPr>
          <w:i/>
        </w:rPr>
        <w:t>National Health (Listed Drugs of F1 or F2) Determination 2021</w:t>
      </w:r>
      <w:r w:rsidR="00581892" w:rsidRPr="00E1325A">
        <w:rPr>
          <w:i/>
        </w:rPr>
        <w:t>.</w:t>
      </w:r>
    </w:p>
    <w:p w14:paraId="569DC1A9" w14:textId="0747260A" w:rsidR="00E40F4A" w:rsidRPr="00E1325A" w:rsidRDefault="009361E9" w:rsidP="005C7F38">
      <w:pPr>
        <w:spacing w:after="0"/>
        <w:rPr>
          <w:b/>
        </w:rPr>
      </w:pPr>
      <w:r w:rsidRPr="00E1325A">
        <w:t>This section also provides that the instrument may be cited as P</w:t>
      </w:r>
      <w:r w:rsidR="00E46E86" w:rsidRPr="00E1325A">
        <w:t>B</w:t>
      </w:r>
      <w:r w:rsidR="00A01F21" w:rsidRPr="00E1325A">
        <w:t xml:space="preserve"> </w:t>
      </w:r>
      <w:r w:rsidR="00185F83" w:rsidRPr="00E1325A">
        <w:t xml:space="preserve">33 </w:t>
      </w:r>
      <w:r w:rsidRPr="00E1325A">
        <w:t>of 202</w:t>
      </w:r>
      <w:r w:rsidR="00786242" w:rsidRPr="00E1325A">
        <w:t>1</w:t>
      </w:r>
      <w:r w:rsidRPr="00E1325A">
        <w:t>.</w:t>
      </w:r>
    </w:p>
    <w:p w14:paraId="43EF4028" w14:textId="77777777" w:rsidR="00B07AF7" w:rsidRPr="00E1325A" w:rsidRDefault="00B07AF7" w:rsidP="005C7F38">
      <w:pPr>
        <w:spacing w:after="0"/>
        <w:rPr>
          <w:b/>
        </w:rPr>
      </w:pPr>
    </w:p>
    <w:p w14:paraId="7D1B5326" w14:textId="6A9A7E61" w:rsidR="00E40F4A" w:rsidRPr="00E1325A" w:rsidRDefault="00E40F4A" w:rsidP="005C7F38">
      <w:pPr>
        <w:spacing w:after="0"/>
        <w:rPr>
          <w:b/>
        </w:rPr>
      </w:pPr>
      <w:r w:rsidRPr="00E1325A">
        <w:rPr>
          <w:b/>
        </w:rPr>
        <w:t>Section 2</w:t>
      </w:r>
      <w:r w:rsidRPr="00E1325A">
        <w:rPr>
          <w:b/>
        </w:rPr>
        <w:tab/>
        <w:t>Commencement</w:t>
      </w:r>
    </w:p>
    <w:p w14:paraId="33E20BFC" w14:textId="2398B33F" w:rsidR="00B07AF7" w:rsidRPr="00E1325A" w:rsidRDefault="00621B3F" w:rsidP="005C7F38">
      <w:pPr>
        <w:spacing w:after="0"/>
        <w:rPr>
          <w:b/>
        </w:rPr>
      </w:pPr>
      <w:r w:rsidRPr="00E1325A">
        <w:t xml:space="preserve">This section provides that the Determination commences </w:t>
      </w:r>
      <w:r w:rsidR="00786242" w:rsidRPr="00E1325A">
        <w:t xml:space="preserve">on </w:t>
      </w:r>
      <w:r w:rsidR="00682C16" w:rsidRPr="00E1325A">
        <w:t>1 April</w:t>
      </w:r>
      <w:r w:rsidR="00786242" w:rsidRPr="00E1325A">
        <w:t xml:space="preserve"> 2021</w:t>
      </w:r>
      <w:r w:rsidRPr="00E1325A">
        <w:t>.</w:t>
      </w:r>
    </w:p>
    <w:p w14:paraId="7492F7E6" w14:textId="77777777" w:rsidR="00B07AF7" w:rsidRPr="00E1325A" w:rsidRDefault="00B07AF7" w:rsidP="005C7F38">
      <w:pPr>
        <w:spacing w:after="0"/>
        <w:rPr>
          <w:b/>
        </w:rPr>
      </w:pPr>
    </w:p>
    <w:p w14:paraId="078F5B0D" w14:textId="4C7D0E1B" w:rsidR="00E40F4A" w:rsidRPr="00E1325A" w:rsidRDefault="00E40F4A" w:rsidP="005C7F38">
      <w:pPr>
        <w:spacing w:after="0"/>
        <w:rPr>
          <w:b/>
        </w:rPr>
      </w:pPr>
      <w:r w:rsidRPr="00E1325A">
        <w:rPr>
          <w:b/>
        </w:rPr>
        <w:t>Section 3</w:t>
      </w:r>
      <w:r w:rsidRPr="00E1325A">
        <w:rPr>
          <w:b/>
        </w:rPr>
        <w:tab/>
        <w:t>Authority</w:t>
      </w:r>
    </w:p>
    <w:p w14:paraId="21A4B6C6" w14:textId="436301BC" w:rsidR="00E40F4A" w:rsidRPr="00E1325A" w:rsidRDefault="00621B3F" w:rsidP="005C7F38">
      <w:pPr>
        <w:spacing w:after="0"/>
      </w:pPr>
      <w:r w:rsidRPr="00E1325A">
        <w:t xml:space="preserve">This section provides that the Determination is made under </w:t>
      </w:r>
      <w:r w:rsidR="0046004F" w:rsidRPr="00E1325A">
        <w:t xml:space="preserve">section </w:t>
      </w:r>
      <w:r w:rsidR="00682C16" w:rsidRPr="00E1325A">
        <w:t>85A</w:t>
      </w:r>
      <w:r w:rsidR="001D2615" w:rsidRPr="00E1325A">
        <w:t>B</w:t>
      </w:r>
      <w:r w:rsidRPr="00E1325A">
        <w:t xml:space="preserve"> of the </w:t>
      </w:r>
      <w:r w:rsidRPr="00E1325A">
        <w:rPr>
          <w:i/>
        </w:rPr>
        <w:t>National</w:t>
      </w:r>
      <w:r w:rsidR="00A55A1C" w:rsidRPr="00E1325A">
        <w:rPr>
          <w:i/>
        </w:rPr>
        <w:t> </w:t>
      </w:r>
      <w:r w:rsidRPr="00E1325A">
        <w:rPr>
          <w:i/>
        </w:rPr>
        <w:t>Health Act 1953</w:t>
      </w:r>
      <w:r w:rsidR="00682C16" w:rsidRPr="00E1325A">
        <w:t>.</w:t>
      </w:r>
    </w:p>
    <w:p w14:paraId="561F01AD" w14:textId="77777777" w:rsidR="00B07AF7" w:rsidRPr="00E1325A" w:rsidRDefault="00B07AF7" w:rsidP="005C7F38">
      <w:pPr>
        <w:spacing w:after="0"/>
        <w:rPr>
          <w:b/>
        </w:rPr>
      </w:pPr>
    </w:p>
    <w:p w14:paraId="77C61B23" w14:textId="1C5B5C9F" w:rsidR="00B07AF7" w:rsidRPr="00E1325A" w:rsidRDefault="00B07AF7" w:rsidP="005C7F38">
      <w:pPr>
        <w:spacing w:after="0"/>
        <w:rPr>
          <w:b/>
        </w:rPr>
      </w:pPr>
      <w:r w:rsidRPr="00E1325A">
        <w:rPr>
          <w:b/>
        </w:rPr>
        <w:t xml:space="preserve">Section 4            </w:t>
      </w:r>
      <w:r w:rsidR="001D2615" w:rsidRPr="00E1325A">
        <w:rPr>
          <w:b/>
        </w:rPr>
        <w:t>Schedule 3</w:t>
      </w:r>
    </w:p>
    <w:p w14:paraId="060BF6C5" w14:textId="60850E30" w:rsidR="00B07AF7" w:rsidRPr="00E1325A" w:rsidRDefault="00B07AF7" w:rsidP="005C7F38">
      <w:pPr>
        <w:spacing w:after="0"/>
      </w:pPr>
      <w:r w:rsidRPr="00E1325A">
        <w:t xml:space="preserve">This section provides that the </w:t>
      </w:r>
      <w:r w:rsidRPr="00E1325A">
        <w:rPr>
          <w:i/>
        </w:rPr>
        <w:t>National Health (Listed Drugs of F1 or F2) Determination</w:t>
      </w:r>
      <w:r w:rsidR="00A55A1C" w:rsidRPr="00E1325A">
        <w:rPr>
          <w:i/>
        </w:rPr>
        <w:t> </w:t>
      </w:r>
      <w:r w:rsidRPr="00E1325A">
        <w:rPr>
          <w:i/>
        </w:rPr>
        <w:t>2020</w:t>
      </w:r>
      <w:r w:rsidRPr="00E1325A">
        <w:t xml:space="preserve"> is repealed.</w:t>
      </w:r>
    </w:p>
    <w:p w14:paraId="7BE97AC5" w14:textId="77777777" w:rsidR="00B07AF7" w:rsidRPr="00E1325A" w:rsidRDefault="00B07AF7" w:rsidP="005C7F38">
      <w:pPr>
        <w:spacing w:after="0"/>
        <w:rPr>
          <w:b/>
        </w:rPr>
      </w:pPr>
    </w:p>
    <w:p w14:paraId="4704947C" w14:textId="7E902BB3" w:rsidR="00E40F4A" w:rsidRPr="00E1325A" w:rsidRDefault="00E40F4A" w:rsidP="005C7F38">
      <w:pPr>
        <w:spacing w:after="0"/>
        <w:rPr>
          <w:b/>
        </w:rPr>
      </w:pPr>
      <w:r w:rsidRPr="00E1325A">
        <w:rPr>
          <w:b/>
        </w:rPr>
        <w:t xml:space="preserve">Section </w:t>
      </w:r>
      <w:r w:rsidR="00B07AF7" w:rsidRPr="00E1325A">
        <w:rPr>
          <w:b/>
        </w:rPr>
        <w:t>5</w:t>
      </w:r>
      <w:r w:rsidRPr="00E1325A">
        <w:rPr>
          <w:b/>
        </w:rPr>
        <w:tab/>
        <w:t>Definitions</w:t>
      </w:r>
    </w:p>
    <w:p w14:paraId="68A79965" w14:textId="25963D76" w:rsidR="004613FB" w:rsidRPr="00E1325A" w:rsidRDefault="004613FB" w:rsidP="004F0BCD">
      <w:pPr>
        <w:spacing w:after="0"/>
        <w:ind w:left="1440" w:hanging="1440"/>
      </w:pPr>
      <w:r w:rsidRPr="00E1325A">
        <w:t>This section provides</w:t>
      </w:r>
      <w:r w:rsidR="0046004F" w:rsidRPr="00E1325A">
        <w:t xml:space="preserve"> that</w:t>
      </w:r>
      <w:r w:rsidRPr="00E1325A">
        <w:t xml:space="preserve"> </w:t>
      </w:r>
      <w:r w:rsidR="00581892" w:rsidRPr="00E1325A">
        <w:t xml:space="preserve">the </w:t>
      </w:r>
      <w:r w:rsidRPr="00E1325A">
        <w:t>definition of</w:t>
      </w:r>
      <w:r w:rsidR="004F0BCD" w:rsidRPr="00E1325A">
        <w:t xml:space="preserve"> </w:t>
      </w:r>
      <w:r w:rsidRPr="00E1325A">
        <w:t>Act mean</w:t>
      </w:r>
      <w:r w:rsidR="00581892" w:rsidRPr="00E1325A">
        <w:t>s</w:t>
      </w:r>
      <w:r w:rsidRPr="00E1325A">
        <w:t xml:space="preserve"> the </w:t>
      </w:r>
      <w:r w:rsidRPr="00E1325A">
        <w:rPr>
          <w:i/>
        </w:rPr>
        <w:t>National Health Act 1953</w:t>
      </w:r>
      <w:r w:rsidR="004F0BCD" w:rsidRPr="00E1325A">
        <w:rPr>
          <w:i/>
        </w:rPr>
        <w:t>.</w:t>
      </w:r>
      <w:r w:rsidRPr="00E1325A">
        <w:t xml:space="preserve"> </w:t>
      </w:r>
    </w:p>
    <w:p w14:paraId="75D7D3AD" w14:textId="77777777" w:rsidR="00B07AF7" w:rsidRPr="00E1325A" w:rsidRDefault="00B07AF7" w:rsidP="00581892">
      <w:pPr>
        <w:spacing w:after="0"/>
        <w:ind w:left="1440" w:hanging="1440"/>
        <w:rPr>
          <w:b/>
        </w:rPr>
      </w:pPr>
    </w:p>
    <w:p w14:paraId="2E4031DB" w14:textId="51FD755C" w:rsidR="00E40F4A" w:rsidRPr="00E1325A" w:rsidRDefault="00E40F4A" w:rsidP="00581892">
      <w:pPr>
        <w:spacing w:after="0"/>
        <w:ind w:left="1440" w:hanging="1440"/>
        <w:rPr>
          <w:b/>
        </w:rPr>
      </w:pPr>
      <w:r w:rsidRPr="00E1325A">
        <w:rPr>
          <w:b/>
        </w:rPr>
        <w:t xml:space="preserve">Section </w:t>
      </w:r>
      <w:r w:rsidR="00B07AF7" w:rsidRPr="00E1325A">
        <w:rPr>
          <w:b/>
        </w:rPr>
        <w:t>6</w:t>
      </w:r>
      <w:r w:rsidRPr="00E1325A">
        <w:rPr>
          <w:b/>
        </w:rPr>
        <w:tab/>
      </w:r>
      <w:r w:rsidR="004613FB" w:rsidRPr="00E1325A">
        <w:rPr>
          <w:b/>
        </w:rPr>
        <w:t>Drugs on F</w:t>
      </w:r>
      <w:r w:rsidR="001D2615" w:rsidRPr="00E1325A">
        <w:rPr>
          <w:b/>
        </w:rPr>
        <w:t>1</w:t>
      </w:r>
    </w:p>
    <w:p w14:paraId="7C82F68C" w14:textId="32E4C9AD" w:rsidR="004613FB" w:rsidRPr="00E1325A" w:rsidRDefault="004613FB" w:rsidP="00581892">
      <w:pPr>
        <w:spacing w:after="0"/>
      </w:pPr>
      <w:r w:rsidRPr="00E1325A">
        <w:t xml:space="preserve">This section provides that for </w:t>
      </w:r>
      <w:r w:rsidR="00581892" w:rsidRPr="00E1325A">
        <w:t xml:space="preserve">the purposes of </w:t>
      </w:r>
      <w:r w:rsidRPr="00E1325A">
        <w:t xml:space="preserve">subsection </w:t>
      </w:r>
      <w:proofErr w:type="gramStart"/>
      <w:r w:rsidRPr="00E1325A">
        <w:t>85AB(</w:t>
      </w:r>
      <w:proofErr w:type="gramEnd"/>
      <w:r w:rsidRPr="00E1325A">
        <w:t>1) of the Act, the drugs mentioned in Schedule 1 are on F1.</w:t>
      </w:r>
    </w:p>
    <w:p w14:paraId="08F2F007" w14:textId="77777777" w:rsidR="00B07AF7" w:rsidRPr="00E1325A" w:rsidRDefault="00B07AF7" w:rsidP="00581892">
      <w:pPr>
        <w:spacing w:after="0"/>
        <w:ind w:left="1440" w:hanging="1440"/>
        <w:rPr>
          <w:b/>
        </w:rPr>
      </w:pPr>
    </w:p>
    <w:p w14:paraId="2BA1702C" w14:textId="73E08FA0" w:rsidR="004613FB" w:rsidRPr="00E1325A" w:rsidRDefault="004613FB" w:rsidP="00581892">
      <w:pPr>
        <w:spacing w:after="0"/>
        <w:ind w:left="1440" w:hanging="1440"/>
        <w:rPr>
          <w:b/>
        </w:rPr>
      </w:pPr>
      <w:r w:rsidRPr="00E1325A">
        <w:rPr>
          <w:b/>
        </w:rPr>
        <w:t xml:space="preserve">Section </w:t>
      </w:r>
      <w:r w:rsidR="00B07AF7" w:rsidRPr="00E1325A">
        <w:rPr>
          <w:b/>
        </w:rPr>
        <w:t>7</w:t>
      </w:r>
      <w:r w:rsidRPr="00E1325A">
        <w:rPr>
          <w:b/>
        </w:rPr>
        <w:tab/>
        <w:t xml:space="preserve">Drugs on F2 </w:t>
      </w:r>
    </w:p>
    <w:p w14:paraId="5EF961D5" w14:textId="0D12A2D9" w:rsidR="004613FB" w:rsidRPr="00E1325A" w:rsidRDefault="004613FB" w:rsidP="00581892">
      <w:pPr>
        <w:spacing w:after="0"/>
        <w:contextualSpacing/>
      </w:pPr>
      <w:r w:rsidRPr="00E1325A">
        <w:t xml:space="preserve">This section provides that for </w:t>
      </w:r>
      <w:r w:rsidR="00581892" w:rsidRPr="00E1325A">
        <w:t xml:space="preserve">the purposes of </w:t>
      </w:r>
      <w:r w:rsidRPr="00E1325A">
        <w:t xml:space="preserve">subsection </w:t>
      </w:r>
      <w:proofErr w:type="gramStart"/>
      <w:r w:rsidRPr="00E1325A">
        <w:t>85AB(</w:t>
      </w:r>
      <w:proofErr w:type="gramEnd"/>
      <w:r w:rsidRPr="00E1325A">
        <w:t>1) of the Act, the drugs mentioned in Schedule 2 are on F2.</w:t>
      </w:r>
    </w:p>
    <w:p w14:paraId="2CEA3A48" w14:textId="77777777" w:rsidR="005D08AA" w:rsidRPr="00E1325A" w:rsidRDefault="005D08AA">
      <w:pPr>
        <w:contextualSpacing/>
        <w:rPr>
          <w:rFonts w:eastAsia="Times New Roman"/>
          <w:b/>
          <w:bCs/>
          <w:color w:val="000000"/>
          <w:sz w:val="28"/>
          <w:szCs w:val="28"/>
          <w:lang w:eastAsia="en-AU"/>
        </w:rPr>
      </w:pPr>
    </w:p>
    <w:p w14:paraId="30CAAA3C" w14:textId="2846F4B0" w:rsidR="005D08AA" w:rsidRPr="00E1325A" w:rsidRDefault="005D08AA" w:rsidP="005D08AA">
      <w:pPr>
        <w:contextualSpacing/>
        <w:rPr>
          <w:b/>
          <w:bCs/>
        </w:rPr>
      </w:pPr>
      <w:r w:rsidRPr="00E1325A">
        <w:rPr>
          <w:b/>
          <w:bCs/>
        </w:rPr>
        <w:t xml:space="preserve">Schedule 1 </w:t>
      </w:r>
      <w:r w:rsidR="001D2615" w:rsidRPr="00E1325A">
        <w:rPr>
          <w:b/>
          <w:bCs/>
        </w:rPr>
        <w:t>- Drugs on F1</w:t>
      </w:r>
    </w:p>
    <w:p w14:paraId="2F2410C6" w14:textId="77777777" w:rsidR="005D08AA" w:rsidRPr="00E1325A" w:rsidRDefault="005D08AA" w:rsidP="005D08AA">
      <w:pPr>
        <w:spacing w:after="0"/>
        <w:contextualSpacing/>
      </w:pPr>
      <w:r w:rsidRPr="00E1325A">
        <w:t xml:space="preserve">This schedule lists drugs that meet the criteria for F1 under subsection </w:t>
      </w:r>
      <w:proofErr w:type="gramStart"/>
      <w:r w:rsidRPr="00E1325A">
        <w:t>85AB(</w:t>
      </w:r>
      <w:proofErr w:type="gramEnd"/>
      <w:r w:rsidRPr="00E1325A">
        <w:t>4) of the Act.</w:t>
      </w:r>
    </w:p>
    <w:p w14:paraId="58BE034D" w14:textId="77777777" w:rsidR="005D08AA" w:rsidRPr="00E1325A" w:rsidRDefault="005D08AA" w:rsidP="005D08AA">
      <w:pPr>
        <w:spacing w:after="0"/>
        <w:contextualSpacing/>
      </w:pPr>
    </w:p>
    <w:p w14:paraId="0C9197F6" w14:textId="26F8C7AA" w:rsidR="005D08AA" w:rsidRPr="00E1325A" w:rsidRDefault="005D08AA" w:rsidP="005D08AA">
      <w:pPr>
        <w:contextualSpacing/>
        <w:rPr>
          <w:b/>
          <w:bCs/>
        </w:rPr>
      </w:pPr>
      <w:r w:rsidRPr="00E1325A">
        <w:rPr>
          <w:b/>
          <w:bCs/>
        </w:rPr>
        <w:t xml:space="preserve">Schedule 2 </w:t>
      </w:r>
      <w:r w:rsidR="001D2615" w:rsidRPr="00E1325A">
        <w:rPr>
          <w:b/>
          <w:bCs/>
        </w:rPr>
        <w:t>- Drugs on F2</w:t>
      </w:r>
    </w:p>
    <w:p w14:paraId="49ECBA6B" w14:textId="4A727253" w:rsidR="004D20AD" w:rsidRPr="00E1325A" w:rsidRDefault="005D08AA" w:rsidP="005D08AA">
      <w:pPr>
        <w:spacing w:after="0"/>
        <w:contextualSpacing/>
      </w:pPr>
      <w:r w:rsidRPr="00E1325A">
        <w:t xml:space="preserve">This schedule lists drugs that no longer meet the criteria for F1 under subsection </w:t>
      </w:r>
      <w:proofErr w:type="gramStart"/>
      <w:r w:rsidRPr="00E1325A">
        <w:t>85AB(</w:t>
      </w:r>
      <w:proofErr w:type="gramEnd"/>
      <w:r w:rsidR="001D2615" w:rsidRPr="00E1325A">
        <w:t>4</w:t>
      </w:r>
      <w:r w:rsidRPr="00E1325A">
        <w:t xml:space="preserve">) </w:t>
      </w:r>
      <w:r w:rsidR="001D2615" w:rsidRPr="00E1325A">
        <w:t xml:space="preserve">of the Act and therefore are assigned to </w:t>
      </w:r>
      <w:r w:rsidRPr="00E1325A">
        <w:t>F2</w:t>
      </w:r>
      <w:r w:rsidR="001D2615" w:rsidRPr="00E1325A">
        <w:t xml:space="preserve"> under subsection 85AB(3) of the Act</w:t>
      </w:r>
      <w:r w:rsidRPr="00E1325A">
        <w:t>.</w:t>
      </w:r>
    </w:p>
    <w:p w14:paraId="55A42D4E" w14:textId="77777777" w:rsidR="004D20AD" w:rsidRPr="00E1325A" w:rsidRDefault="004D20AD" w:rsidP="005D08AA">
      <w:pPr>
        <w:spacing w:after="0"/>
        <w:contextualSpacing/>
      </w:pPr>
    </w:p>
    <w:p w14:paraId="678BAF1E" w14:textId="77777777" w:rsidR="004D20AD" w:rsidRPr="00E1325A" w:rsidRDefault="004D20AD" w:rsidP="005C7F38">
      <w:pPr>
        <w:spacing w:after="0"/>
        <w:ind w:left="1440" w:hanging="1440"/>
        <w:rPr>
          <w:b/>
        </w:rPr>
      </w:pPr>
      <w:r w:rsidRPr="00E1325A">
        <w:rPr>
          <w:b/>
        </w:rPr>
        <w:t>Schedule 3</w:t>
      </w:r>
      <w:r w:rsidRPr="00E1325A">
        <w:rPr>
          <w:b/>
        </w:rPr>
        <w:tab/>
        <w:t>Repeals</w:t>
      </w:r>
    </w:p>
    <w:p w14:paraId="450F7560" w14:textId="3CA5AF42" w:rsidR="004D20AD" w:rsidRPr="00E1325A" w:rsidRDefault="004D20AD" w:rsidP="004D20AD">
      <w:pPr>
        <w:spacing w:after="0"/>
        <w:contextualSpacing/>
        <w:rPr>
          <w:b/>
          <w:i/>
        </w:rPr>
      </w:pPr>
      <w:r w:rsidRPr="00E1325A">
        <w:t xml:space="preserve">This schedule repeals the </w:t>
      </w:r>
      <w:bookmarkStart w:id="2" w:name="_Toc63754276"/>
      <w:r w:rsidRPr="00E1325A">
        <w:rPr>
          <w:i/>
        </w:rPr>
        <w:t>National Health (Listed Drugs on F1 or F2) Determination 2010</w:t>
      </w:r>
      <w:bookmarkEnd w:id="2"/>
      <w:r w:rsidRPr="00E1325A">
        <w:rPr>
          <w:i/>
        </w:rPr>
        <w:t>.</w:t>
      </w:r>
    </w:p>
    <w:p w14:paraId="058DF00C" w14:textId="1FEF999D" w:rsidR="00786242" w:rsidRPr="00E1325A" w:rsidRDefault="00786242" w:rsidP="005D08AA">
      <w:pPr>
        <w:spacing w:after="0"/>
        <w:contextualSpacing/>
        <w:rPr>
          <w:rFonts w:eastAsia="Times New Roman"/>
          <w:b/>
          <w:bCs/>
          <w:color w:val="000000"/>
          <w:sz w:val="28"/>
          <w:szCs w:val="28"/>
          <w:lang w:eastAsia="en-AU"/>
        </w:rPr>
      </w:pPr>
    </w:p>
    <w:p w14:paraId="7738B7E7" w14:textId="77777777" w:rsidR="005C7F38" w:rsidRPr="00E1325A" w:rsidRDefault="005C7F38">
      <w:pPr>
        <w:rPr>
          <w:rFonts w:eastAsia="Times New Roman"/>
          <w:b/>
          <w:bCs/>
          <w:color w:val="000000"/>
          <w:sz w:val="28"/>
          <w:szCs w:val="28"/>
          <w:lang w:eastAsia="en-AU"/>
        </w:rPr>
      </w:pPr>
      <w:r w:rsidRPr="00E1325A">
        <w:rPr>
          <w:rFonts w:eastAsia="Times New Roman"/>
          <w:b/>
          <w:bCs/>
          <w:color w:val="000000"/>
          <w:sz w:val="28"/>
          <w:szCs w:val="28"/>
          <w:lang w:eastAsia="en-AU"/>
        </w:rPr>
        <w:br w:type="page"/>
      </w:r>
    </w:p>
    <w:p w14:paraId="313EBDD9" w14:textId="45E4D7D4" w:rsidR="00E40F4A" w:rsidRPr="00E1325A" w:rsidRDefault="00E40F4A" w:rsidP="00E40F4A">
      <w:pPr>
        <w:shd w:val="clear" w:color="auto" w:fill="FFFFFF"/>
        <w:spacing w:before="120" w:after="120" w:line="240" w:lineRule="auto"/>
        <w:jc w:val="center"/>
        <w:rPr>
          <w:rFonts w:eastAsia="Times New Roman"/>
          <w:b/>
          <w:bCs/>
          <w:color w:val="000000"/>
          <w:sz w:val="28"/>
          <w:szCs w:val="28"/>
          <w:lang w:eastAsia="en-AU"/>
        </w:rPr>
      </w:pPr>
      <w:r w:rsidRPr="00E1325A">
        <w:rPr>
          <w:rFonts w:eastAsia="Times New Roman"/>
          <w:b/>
          <w:bCs/>
          <w:color w:val="000000"/>
          <w:sz w:val="28"/>
          <w:szCs w:val="28"/>
          <w:lang w:eastAsia="en-AU"/>
        </w:rPr>
        <w:lastRenderedPageBreak/>
        <w:t>Statement of Compatibility with Human Rights</w:t>
      </w:r>
    </w:p>
    <w:p w14:paraId="4F05FE3B" w14:textId="77777777" w:rsidR="00E40F4A" w:rsidRPr="00E1325A" w:rsidRDefault="00E40F4A" w:rsidP="001467A9">
      <w:pPr>
        <w:shd w:val="clear" w:color="auto" w:fill="FFFFFF"/>
        <w:spacing w:before="120" w:after="120" w:line="240" w:lineRule="auto"/>
        <w:rPr>
          <w:rFonts w:eastAsia="Times New Roman"/>
          <w:color w:val="000000"/>
          <w:lang w:eastAsia="en-AU"/>
        </w:rPr>
      </w:pPr>
      <w:r w:rsidRPr="00E1325A">
        <w:rPr>
          <w:rFonts w:eastAsia="Times New Roman"/>
          <w:i/>
          <w:iCs/>
          <w:color w:val="000000"/>
          <w:lang w:eastAsia="en-AU"/>
        </w:rPr>
        <w:t xml:space="preserve">Prepared in accordance with </w:t>
      </w:r>
      <w:r w:rsidR="005E3B12" w:rsidRPr="00E1325A">
        <w:rPr>
          <w:rFonts w:eastAsia="Times New Roman"/>
          <w:i/>
          <w:iCs/>
          <w:color w:val="000000"/>
          <w:lang w:eastAsia="en-AU"/>
        </w:rPr>
        <w:t>Part 3</w:t>
      </w:r>
      <w:r w:rsidRPr="00E1325A">
        <w:rPr>
          <w:rFonts w:eastAsia="Times New Roman"/>
          <w:i/>
          <w:iCs/>
          <w:color w:val="000000"/>
          <w:lang w:eastAsia="en-AU"/>
        </w:rPr>
        <w:t xml:space="preserve"> of the Human Rights (Parliamentary Scrutiny) Act 2011</w:t>
      </w:r>
    </w:p>
    <w:p w14:paraId="458F0A2E" w14:textId="4F8B012F" w:rsidR="00795536" w:rsidRPr="00E1325A" w:rsidRDefault="00795536" w:rsidP="00795536">
      <w:pPr>
        <w:jc w:val="center"/>
        <w:rPr>
          <w:b/>
          <w:i/>
        </w:rPr>
      </w:pPr>
      <w:r w:rsidRPr="00E1325A">
        <w:rPr>
          <w:b/>
          <w:i/>
        </w:rPr>
        <w:t>National Health (Listed Drugs of F1 or F2) Determination 2021</w:t>
      </w:r>
      <w:r w:rsidR="00682C16" w:rsidRPr="00E1325A">
        <w:rPr>
          <w:b/>
          <w:i/>
        </w:rPr>
        <w:t xml:space="preserve"> (PB </w:t>
      </w:r>
      <w:r w:rsidR="00185F83" w:rsidRPr="00E1325A">
        <w:rPr>
          <w:b/>
          <w:i/>
        </w:rPr>
        <w:t xml:space="preserve">33 </w:t>
      </w:r>
      <w:r w:rsidR="00682C16" w:rsidRPr="00E1325A">
        <w:rPr>
          <w:b/>
          <w:i/>
        </w:rPr>
        <w:t>of 2021)</w:t>
      </w:r>
    </w:p>
    <w:p w14:paraId="00645921" w14:textId="77777777" w:rsidR="00581892" w:rsidRPr="00E1325A" w:rsidRDefault="00581892" w:rsidP="00795536">
      <w:pPr>
        <w:jc w:val="center"/>
        <w:rPr>
          <w:b/>
          <w:i/>
        </w:rPr>
      </w:pPr>
    </w:p>
    <w:p w14:paraId="23E670B3" w14:textId="28AE0FB4" w:rsidR="001467A9" w:rsidRPr="00E1325A" w:rsidRDefault="001467A9" w:rsidP="00581892">
      <w:pPr>
        <w:shd w:val="clear" w:color="auto" w:fill="FFFFFF"/>
        <w:spacing w:after="120" w:line="240" w:lineRule="auto"/>
        <w:contextualSpacing/>
        <w:rPr>
          <w:rFonts w:eastAsia="Times New Roman"/>
          <w:color w:val="000000"/>
          <w:lang w:eastAsia="en-AU"/>
        </w:rPr>
      </w:pPr>
      <w:r w:rsidRPr="00E1325A">
        <w:rPr>
          <w:rFonts w:eastAsia="Times New Roman"/>
          <w:color w:val="000000"/>
          <w:lang w:eastAsia="en-AU"/>
        </w:rPr>
        <w:t xml:space="preserve">This </w:t>
      </w:r>
      <w:r w:rsidR="00682C16" w:rsidRPr="00E1325A">
        <w:rPr>
          <w:rFonts w:eastAsia="Times New Roman"/>
          <w:color w:val="000000"/>
          <w:lang w:eastAsia="en-AU"/>
        </w:rPr>
        <w:t>Legislative Instrument</w:t>
      </w:r>
      <w:r w:rsidRPr="00E1325A">
        <w:rPr>
          <w:rFonts w:eastAsia="Times New Roman"/>
          <w:color w:val="000000"/>
          <w:lang w:eastAsia="en-AU"/>
        </w:rPr>
        <w:t xml:space="preserve"> is compatible with the human rights and freedoms recognised or declared in the international instruments listed in section 3 of the </w:t>
      </w:r>
      <w:r w:rsidRPr="00E1325A">
        <w:rPr>
          <w:rFonts w:eastAsia="Times New Roman"/>
          <w:i/>
          <w:iCs/>
          <w:color w:val="000000"/>
          <w:lang w:eastAsia="en-AU"/>
        </w:rPr>
        <w:t>Human Rights (Parliamentary Scrutiny) Act 2011</w:t>
      </w:r>
      <w:r w:rsidRPr="00E1325A">
        <w:rPr>
          <w:rFonts w:eastAsia="Times New Roman"/>
          <w:color w:val="000000"/>
          <w:lang w:eastAsia="en-AU"/>
        </w:rPr>
        <w:t>.</w:t>
      </w:r>
    </w:p>
    <w:p w14:paraId="5A7E4869" w14:textId="77777777" w:rsidR="001467A9" w:rsidRPr="00E1325A" w:rsidRDefault="001467A9" w:rsidP="00581892">
      <w:pPr>
        <w:shd w:val="clear" w:color="auto" w:fill="FFFFFF"/>
        <w:spacing w:before="120" w:after="0" w:line="240" w:lineRule="auto"/>
        <w:contextualSpacing/>
        <w:rPr>
          <w:rFonts w:eastAsia="Times New Roman"/>
          <w:color w:val="000000"/>
          <w:lang w:eastAsia="en-AU"/>
        </w:rPr>
      </w:pPr>
      <w:r w:rsidRPr="00E1325A">
        <w:rPr>
          <w:rFonts w:eastAsia="Times New Roman"/>
          <w:color w:val="000000"/>
          <w:sz w:val="20"/>
          <w:szCs w:val="20"/>
          <w:lang w:eastAsia="en-AU"/>
        </w:rPr>
        <w:t> </w:t>
      </w:r>
    </w:p>
    <w:p w14:paraId="39ACC5A0" w14:textId="02E5369E" w:rsidR="001467A9" w:rsidRPr="00E1325A" w:rsidRDefault="001467A9" w:rsidP="00581892">
      <w:pPr>
        <w:shd w:val="clear" w:color="auto" w:fill="FFFFFF"/>
        <w:spacing w:after="120" w:line="240" w:lineRule="auto"/>
        <w:contextualSpacing/>
        <w:jc w:val="both"/>
        <w:rPr>
          <w:rFonts w:eastAsia="Times New Roman"/>
          <w:color w:val="000000"/>
          <w:lang w:eastAsia="en-AU"/>
        </w:rPr>
      </w:pPr>
      <w:r w:rsidRPr="00E1325A">
        <w:rPr>
          <w:rFonts w:eastAsia="Times New Roman"/>
          <w:b/>
          <w:bCs/>
          <w:color w:val="000000"/>
          <w:lang w:eastAsia="en-AU"/>
        </w:rPr>
        <w:t>Overview of the Legislative Instrument</w:t>
      </w:r>
    </w:p>
    <w:p w14:paraId="3A8E54C4" w14:textId="22B940B7" w:rsidR="00682C16" w:rsidRPr="00E1325A" w:rsidRDefault="00682C16" w:rsidP="00581892">
      <w:pPr>
        <w:keepNext/>
        <w:keepLines/>
        <w:contextualSpacing/>
      </w:pPr>
      <w:r w:rsidRPr="00E1325A">
        <w:t>This Legislative Instrument is made pursuant to subsection</w:t>
      </w:r>
      <w:r w:rsidR="001467A9" w:rsidRPr="00E1325A">
        <w:t xml:space="preserve"> </w:t>
      </w:r>
      <w:proofErr w:type="gramStart"/>
      <w:r w:rsidRPr="00E1325A">
        <w:rPr>
          <w:rFonts w:eastAsia="Times New Roman"/>
          <w:color w:val="000000"/>
          <w:lang w:eastAsia="en-AU"/>
        </w:rPr>
        <w:t>85AB(</w:t>
      </w:r>
      <w:proofErr w:type="gramEnd"/>
      <w:r w:rsidRPr="00E1325A">
        <w:rPr>
          <w:rFonts w:eastAsia="Times New Roman"/>
          <w:color w:val="000000"/>
          <w:lang w:eastAsia="en-AU"/>
        </w:rPr>
        <w:t>1)</w:t>
      </w:r>
      <w:r w:rsidR="001467A9" w:rsidRPr="00E1325A">
        <w:rPr>
          <w:rFonts w:eastAsia="Times New Roman"/>
          <w:color w:val="000000"/>
          <w:lang w:eastAsia="en-AU"/>
        </w:rPr>
        <w:t xml:space="preserve"> of the </w:t>
      </w:r>
      <w:r w:rsidR="001467A9" w:rsidRPr="00E1325A">
        <w:rPr>
          <w:rFonts w:eastAsia="Times New Roman"/>
          <w:i/>
          <w:iCs/>
          <w:color w:val="000000"/>
          <w:lang w:eastAsia="en-AU"/>
        </w:rPr>
        <w:t>National</w:t>
      </w:r>
      <w:r w:rsidR="00AF168F" w:rsidRPr="00E1325A">
        <w:rPr>
          <w:rFonts w:eastAsia="Times New Roman"/>
          <w:i/>
          <w:iCs/>
          <w:color w:val="000000"/>
          <w:lang w:eastAsia="en-AU"/>
        </w:rPr>
        <w:t> </w:t>
      </w:r>
      <w:r w:rsidR="001467A9" w:rsidRPr="00E1325A">
        <w:rPr>
          <w:rFonts w:eastAsia="Times New Roman"/>
          <w:i/>
          <w:iCs/>
          <w:color w:val="000000"/>
          <w:lang w:eastAsia="en-AU"/>
        </w:rPr>
        <w:t>Health</w:t>
      </w:r>
      <w:r w:rsidR="00AF168F" w:rsidRPr="00E1325A">
        <w:rPr>
          <w:rFonts w:eastAsia="Times New Roman"/>
          <w:i/>
          <w:iCs/>
          <w:color w:val="000000"/>
          <w:lang w:eastAsia="en-AU"/>
        </w:rPr>
        <w:t> </w:t>
      </w:r>
      <w:r w:rsidR="001467A9" w:rsidRPr="00E1325A">
        <w:rPr>
          <w:rFonts w:eastAsia="Times New Roman"/>
          <w:i/>
          <w:iCs/>
          <w:color w:val="000000"/>
          <w:lang w:eastAsia="en-AU"/>
        </w:rPr>
        <w:t>Act</w:t>
      </w:r>
      <w:r w:rsidR="00AF168F" w:rsidRPr="00E1325A">
        <w:rPr>
          <w:rFonts w:eastAsia="Times New Roman"/>
          <w:i/>
          <w:iCs/>
          <w:color w:val="000000"/>
          <w:lang w:eastAsia="en-AU"/>
        </w:rPr>
        <w:t> </w:t>
      </w:r>
      <w:r w:rsidR="001467A9" w:rsidRPr="00E1325A">
        <w:rPr>
          <w:rFonts w:eastAsia="Times New Roman"/>
          <w:i/>
          <w:iCs/>
          <w:color w:val="000000"/>
          <w:lang w:eastAsia="en-AU"/>
        </w:rPr>
        <w:t>1953</w:t>
      </w:r>
      <w:r w:rsidR="00AF168F" w:rsidRPr="00E1325A">
        <w:rPr>
          <w:rFonts w:eastAsia="Times New Roman"/>
          <w:i/>
          <w:iCs/>
          <w:color w:val="000000"/>
          <w:lang w:eastAsia="en-AU"/>
        </w:rPr>
        <w:t> </w:t>
      </w:r>
      <w:r w:rsidR="001467A9" w:rsidRPr="00E1325A">
        <w:rPr>
          <w:rFonts w:eastAsia="Times New Roman"/>
          <w:color w:val="000000"/>
          <w:lang w:eastAsia="en-AU"/>
        </w:rPr>
        <w:t>(the</w:t>
      </w:r>
      <w:r w:rsidR="00AF168F" w:rsidRPr="00E1325A">
        <w:rPr>
          <w:rFonts w:eastAsia="Times New Roman"/>
          <w:color w:val="000000"/>
          <w:lang w:eastAsia="en-AU"/>
        </w:rPr>
        <w:t> </w:t>
      </w:r>
      <w:r w:rsidR="001467A9" w:rsidRPr="00E1325A">
        <w:rPr>
          <w:rFonts w:eastAsia="Times New Roman"/>
          <w:color w:val="000000"/>
          <w:lang w:eastAsia="en-AU"/>
        </w:rPr>
        <w:t xml:space="preserve">Act), </w:t>
      </w:r>
      <w:r w:rsidRPr="00E1325A">
        <w:t xml:space="preserve">which relates to listed drugs on F1 or F2. The </w:t>
      </w:r>
      <w:r w:rsidRPr="00E1325A">
        <w:rPr>
          <w:i/>
        </w:rPr>
        <w:t xml:space="preserve">National Health (Listed Drugs of F1 or F2) Determination 2021 </w:t>
      </w:r>
      <w:r w:rsidRPr="00E1325A">
        <w:t xml:space="preserve">(PB </w:t>
      </w:r>
      <w:r w:rsidR="00185F83" w:rsidRPr="00E1325A">
        <w:t xml:space="preserve">33 </w:t>
      </w:r>
      <w:r w:rsidRPr="00E1325A">
        <w:t>of 2021) (the Determination) provides for the allocation of Pharmaceutical Benefits Scheme (PBS)</w:t>
      </w:r>
      <w:r w:rsidR="00670E1E" w:rsidRPr="00E1325A">
        <w:t xml:space="preserve"> listed</w:t>
      </w:r>
      <w:r w:rsidRPr="00E1325A">
        <w:t xml:space="preserve"> drugs to the F1 and F2 formularies.</w:t>
      </w:r>
    </w:p>
    <w:p w14:paraId="40B3AF85" w14:textId="77777777" w:rsidR="00581892" w:rsidRPr="00E1325A" w:rsidRDefault="00581892" w:rsidP="00581892">
      <w:pPr>
        <w:keepNext/>
        <w:keepLines/>
        <w:spacing w:after="0"/>
        <w:contextualSpacing/>
      </w:pPr>
    </w:p>
    <w:p w14:paraId="399A6F4A" w14:textId="77777777" w:rsidR="001467A9" w:rsidRPr="00E1325A" w:rsidRDefault="001467A9" w:rsidP="00581892">
      <w:pPr>
        <w:shd w:val="clear" w:color="auto" w:fill="FFFFFF"/>
        <w:spacing w:after="0" w:line="240" w:lineRule="auto"/>
        <w:contextualSpacing/>
        <w:rPr>
          <w:rFonts w:eastAsia="Times New Roman"/>
          <w:color w:val="000000"/>
          <w:lang w:eastAsia="en-AU"/>
        </w:rPr>
      </w:pPr>
      <w:r w:rsidRPr="00E1325A">
        <w:rPr>
          <w:rFonts w:eastAsia="Times New Roman"/>
          <w:b/>
          <w:bCs/>
          <w:color w:val="000000"/>
          <w:lang w:eastAsia="en-AU"/>
        </w:rPr>
        <w:t>Human rights implications</w:t>
      </w:r>
    </w:p>
    <w:p w14:paraId="74AC3136" w14:textId="3D6B493C" w:rsidR="001467A9" w:rsidRPr="00E1325A" w:rsidRDefault="001467A9" w:rsidP="001467A9">
      <w:pPr>
        <w:shd w:val="clear" w:color="auto" w:fill="FFFFFF"/>
        <w:spacing w:before="120" w:after="180" w:line="240" w:lineRule="auto"/>
        <w:rPr>
          <w:rFonts w:eastAsia="Times New Roman"/>
          <w:color w:val="000000"/>
          <w:lang w:eastAsia="en-AU"/>
        </w:rPr>
      </w:pPr>
      <w:r w:rsidRPr="00E1325A">
        <w:rPr>
          <w:rFonts w:eastAsia="Times New Roman"/>
          <w:color w:val="000000"/>
          <w:lang w:val="en-GB" w:eastAsia="en-AU"/>
        </w:rPr>
        <w:t>The Determination engages Article 12 of the International Covenant on Economic, Social and Cultural Rights (ICESCR)</w:t>
      </w:r>
      <w:r w:rsidR="00FE689E" w:rsidRPr="00E1325A">
        <w:rPr>
          <w:rFonts w:eastAsia="Times New Roman"/>
          <w:color w:val="000000"/>
          <w:lang w:val="en-GB" w:eastAsia="en-AU"/>
        </w:rPr>
        <w:t xml:space="preserve"> by assisting with </w:t>
      </w:r>
      <w:r w:rsidRPr="00E1325A">
        <w:rPr>
          <w:rFonts w:eastAsia="Times New Roman"/>
          <w:color w:val="000000"/>
          <w:lang w:val="en-GB" w:eastAsia="en-AU"/>
        </w:rPr>
        <w:t>the progressive realisation by all appropriate means of the right of everyone to the enjoyment of the highest attainable standard of physical and mental health.</w:t>
      </w:r>
    </w:p>
    <w:p w14:paraId="0CE8E1D3" w14:textId="124B4B7B" w:rsidR="001467A9" w:rsidRPr="00E1325A" w:rsidRDefault="001467A9" w:rsidP="005C7F38">
      <w:pPr>
        <w:shd w:val="clear" w:color="auto" w:fill="FFFFFF" w:themeFill="background1"/>
        <w:spacing w:after="180"/>
        <w:ind w:right="91"/>
        <w:contextualSpacing/>
        <w:rPr>
          <w:rFonts w:eastAsia="Times New Roman"/>
          <w:color w:val="000000"/>
          <w:lang w:val="en-GB" w:eastAsia="en-AU"/>
        </w:rPr>
      </w:pPr>
      <w:r w:rsidRPr="00E1325A">
        <w:rPr>
          <w:rFonts w:eastAsia="Times New Roman"/>
          <w:color w:val="000000"/>
          <w:lang w:val="en-GB" w:eastAsia="en-AU"/>
        </w:rPr>
        <w:t xml:space="preserve">The </w:t>
      </w:r>
      <w:r w:rsidR="004613FB" w:rsidRPr="00E1325A">
        <w:rPr>
          <w:rFonts w:eastAsia="Times New Roman"/>
          <w:color w:val="000000"/>
          <w:lang w:val="en-GB" w:eastAsia="en-AU"/>
        </w:rPr>
        <w:t>PBS</w:t>
      </w:r>
      <w:r w:rsidRPr="00E1325A">
        <w:rPr>
          <w:rFonts w:eastAsia="Times New Roman"/>
          <w:color w:val="000000"/>
          <w:lang w:val="en-GB" w:eastAsia="en-AU"/>
        </w:rPr>
        <w:t xml:space="preserve"> is a benefit</w:t>
      </w:r>
      <w:r w:rsidR="00FE689E" w:rsidRPr="00E1325A">
        <w:rPr>
          <w:rFonts w:eastAsia="Times New Roman"/>
          <w:color w:val="000000"/>
          <w:lang w:val="en-GB" w:eastAsia="en-AU"/>
        </w:rPr>
        <w:t>s</w:t>
      </w:r>
      <w:r w:rsidRPr="00E1325A">
        <w:rPr>
          <w:rFonts w:eastAsia="Times New Roman"/>
          <w:color w:val="000000"/>
          <w:lang w:val="en-GB" w:eastAsia="en-AU"/>
        </w:rPr>
        <w:t xml:space="preserve"> scheme </w:t>
      </w:r>
      <w:r w:rsidR="00581892" w:rsidRPr="00E1325A">
        <w:rPr>
          <w:rFonts w:eastAsia="Times New Roman"/>
          <w:color w:val="000000"/>
          <w:lang w:val="en-GB" w:eastAsia="en-AU"/>
        </w:rPr>
        <w:t xml:space="preserve">that </w:t>
      </w:r>
      <w:r w:rsidRPr="00E1325A">
        <w:rPr>
          <w:rFonts w:eastAsia="Times New Roman"/>
          <w:color w:val="000000"/>
          <w:lang w:val="en-GB" w:eastAsia="en-AU"/>
        </w:rPr>
        <w:t>assists with providing subsidised access</w:t>
      </w:r>
      <w:r w:rsidR="00FE689E" w:rsidRPr="00E1325A">
        <w:rPr>
          <w:rFonts w:eastAsia="Times New Roman"/>
          <w:color w:val="000000"/>
          <w:lang w:val="en-GB" w:eastAsia="en-AU"/>
        </w:rPr>
        <w:t xml:space="preserve"> to medicines</w:t>
      </w:r>
      <w:r w:rsidRPr="00E1325A">
        <w:rPr>
          <w:rFonts w:eastAsia="Times New Roman"/>
          <w:color w:val="000000"/>
          <w:lang w:val="en-GB" w:eastAsia="en-AU"/>
        </w:rPr>
        <w:t xml:space="preserve"> for people. This is a positive and supportive step towards attaining the highest standard of health for all Australians. Efficient operational arrangements for the PBS support effective administration of the scheme. </w:t>
      </w:r>
      <w:r w:rsidR="001D2615" w:rsidRPr="00E1325A">
        <w:rPr>
          <w:rFonts w:eastAsia="Times New Roman"/>
          <w:color w:val="000000"/>
          <w:lang w:val="en-GB" w:eastAsia="en-AU"/>
        </w:rPr>
        <w:t xml:space="preserve">The allocation of medicines to the F1 and F2 formularies </w:t>
      </w:r>
      <w:r w:rsidR="001D2615" w:rsidRPr="00E1325A">
        <w:t xml:space="preserve">improves the operation of the PBS by </w:t>
      </w:r>
      <w:r w:rsidR="00C3493B" w:rsidRPr="00E1325A">
        <w:t>applying different price reductions to different group</w:t>
      </w:r>
      <w:r w:rsidR="00D700D1" w:rsidRPr="00E1325A">
        <w:t>s</w:t>
      </w:r>
      <w:r w:rsidR="00C3493B" w:rsidRPr="00E1325A">
        <w:t xml:space="preserve"> of medicines. </w:t>
      </w:r>
      <w:r w:rsidR="001D2615" w:rsidRPr="00E1325A">
        <w:t xml:space="preserve">This </w:t>
      </w:r>
      <w:r w:rsidR="00FE689E" w:rsidRPr="00E1325A">
        <w:t>assists</w:t>
      </w:r>
      <w:r w:rsidR="001D2615" w:rsidRPr="00E1325A">
        <w:t xml:space="preserve"> consumers by reducing out-of-pocket costs for some PBS medicines.</w:t>
      </w:r>
    </w:p>
    <w:p w14:paraId="2A62AEC6" w14:textId="77777777" w:rsidR="00581892" w:rsidRPr="00E1325A" w:rsidRDefault="00581892" w:rsidP="00581892">
      <w:pPr>
        <w:shd w:val="clear" w:color="auto" w:fill="FFFFFF"/>
        <w:spacing w:after="0" w:line="240" w:lineRule="auto"/>
        <w:contextualSpacing/>
        <w:rPr>
          <w:rFonts w:eastAsia="Times New Roman"/>
          <w:color w:val="000000"/>
          <w:lang w:eastAsia="en-AU"/>
        </w:rPr>
      </w:pPr>
    </w:p>
    <w:p w14:paraId="5D2C2335" w14:textId="77777777" w:rsidR="001467A9" w:rsidRPr="00E1325A" w:rsidRDefault="001467A9" w:rsidP="00581892">
      <w:pPr>
        <w:keepNext/>
        <w:keepLines/>
        <w:shd w:val="clear" w:color="auto" w:fill="FFFFFF"/>
        <w:spacing w:before="180" w:after="180" w:line="240" w:lineRule="auto"/>
        <w:contextualSpacing/>
        <w:rPr>
          <w:rFonts w:eastAsia="Times New Roman"/>
          <w:color w:val="000000"/>
          <w:lang w:eastAsia="en-AU"/>
        </w:rPr>
      </w:pPr>
      <w:r w:rsidRPr="00E1325A">
        <w:rPr>
          <w:rFonts w:eastAsia="Times New Roman"/>
          <w:b/>
          <w:bCs/>
          <w:color w:val="000000"/>
          <w:lang w:eastAsia="en-AU"/>
        </w:rPr>
        <w:t>Conclusion</w:t>
      </w:r>
    </w:p>
    <w:p w14:paraId="64EDA57B" w14:textId="6D9B6368" w:rsidR="001467A9" w:rsidRPr="00E1325A" w:rsidRDefault="001467A9" w:rsidP="00301412">
      <w:pPr>
        <w:keepNext/>
        <w:keepLines/>
        <w:shd w:val="clear" w:color="auto" w:fill="FFFFFF"/>
        <w:spacing w:before="120" w:after="240" w:line="240" w:lineRule="auto"/>
        <w:rPr>
          <w:rFonts w:eastAsia="Times New Roman"/>
          <w:color w:val="000000"/>
          <w:lang w:eastAsia="en-AU"/>
        </w:rPr>
      </w:pPr>
      <w:r w:rsidRPr="00E1325A">
        <w:rPr>
          <w:rFonts w:eastAsia="Times New Roman"/>
          <w:color w:val="000000"/>
          <w:lang w:eastAsia="en-AU"/>
        </w:rPr>
        <w:t xml:space="preserve">The Determination is compatible with human rights as </w:t>
      </w:r>
      <w:r w:rsidR="00B4213E" w:rsidRPr="00E1325A">
        <w:t>it promotes the protection of human rights.</w:t>
      </w:r>
      <w:r w:rsidRPr="00E1325A">
        <w:rPr>
          <w:rFonts w:eastAsia="Times New Roman"/>
          <w:color w:val="000000"/>
          <w:lang w:eastAsia="en-AU"/>
        </w:rPr>
        <w:t> </w:t>
      </w:r>
    </w:p>
    <w:p w14:paraId="31ECFB98" w14:textId="6B7CBED3" w:rsidR="00581892" w:rsidRPr="00E1325A" w:rsidRDefault="00581892" w:rsidP="00301412">
      <w:pPr>
        <w:keepNext/>
        <w:keepLines/>
        <w:shd w:val="clear" w:color="auto" w:fill="FFFFFF"/>
        <w:spacing w:before="120" w:after="240" w:line="240" w:lineRule="auto"/>
        <w:rPr>
          <w:rFonts w:eastAsia="Times New Roman"/>
          <w:color w:val="000000"/>
          <w:lang w:eastAsia="en-AU"/>
        </w:rPr>
      </w:pPr>
    </w:p>
    <w:p w14:paraId="2BB18A5E" w14:textId="77777777" w:rsidR="00581892" w:rsidRPr="00E1325A" w:rsidRDefault="00581892" w:rsidP="00301412">
      <w:pPr>
        <w:keepNext/>
        <w:keepLines/>
        <w:shd w:val="clear" w:color="auto" w:fill="FFFFFF"/>
        <w:spacing w:before="120" w:after="240" w:line="240" w:lineRule="auto"/>
        <w:rPr>
          <w:rFonts w:eastAsia="Times New Roman"/>
          <w:color w:val="000000"/>
          <w:lang w:eastAsia="en-AU"/>
        </w:rPr>
      </w:pPr>
    </w:p>
    <w:p w14:paraId="0BF24597" w14:textId="77777777" w:rsidR="00E46E86" w:rsidRPr="00E1325A" w:rsidRDefault="001467A9" w:rsidP="00301412">
      <w:pPr>
        <w:keepNext/>
        <w:keepLines/>
        <w:shd w:val="clear" w:color="auto" w:fill="FFFFFF"/>
        <w:spacing w:after="0" w:line="240" w:lineRule="auto"/>
        <w:jc w:val="center"/>
        <w:rPr>
          <w:rFonts w:eastAsia="Times New Roman"/>
          <w:b/>
          <w:bCs/>
          <w:color w:val="000000"/>
          <w:lang w:eastAsia="en-AU"/>
        </w:rPr>
      </w:pPr>
      <w:r w:rsidRPr="00E1325A">
        <w:rPr>
          <w:rFonts w:eastAsia="Times New Roman"/>
          <w:b/>
          <w:bCs/>
          <w:color w:val="000000"/>
          <w:lang w:eastAsia="en-AU"/>
        </w:rPr>
        <w:t>Thea</w:t>
      </w:r>
      <w:r w:rsidR="00E46E86" w:rsidRPr="00E1325A">
        <w:rPr>
          <w:rFonts w:eastAsia="Times New Roman"/>
          <w:b/>
          <w:bCs/>
          <w:color w:val="000000"/>
          <w:lang w:eastAsia="en-AU"/>
        </w:rPr>
        <w:t xml:space="preserve"> Connolly</w:t>
      </w:r>
    </w:p>
    <w:p w14:paraId="686471FE" w14:textId="77777777" w:rsidR="001467A9" w:rsidRPr="00E1325A" w:rsidRDefault="001467A9" w:rsidP="00301412">
      <w:pPr>
        <w:keepNext/>
        <w:keepLines/>
        <w:shd w:val="clear" w:color="auto" w:fill="FFFFFF"/>
        <w:spacing w:after="0" w:line="240" w:lineRule="auto"/>
        <w:jc w:val="center"/>
        <w:rPr>
          <w:rFonts w:eastAsia="Times New Roman"/>
          <w:b/>
          <w:bCs/>
          <w:color w:val="000000"/>
          <w:lang w:eastAsia="en-AU"/>
        </w:rPr>
      </w:pPr>
      <w:r w:rsidRPr="00E1325A">
        <w:rPr>
          <w:rFonts w:eastAsia="Times New Roman"/>
          <w:b/>
          <w:bCs/>
          <w:color w:val="000000"/>
          <w:lang w:eastAsia="en-AU"/>
        </w:rPr>
        <w:t>Assistant Secretary</w:t>
      </w:r>
    </w:p>
    <w:p w14:paraId="707609B1" w14:textId="77777777" w:rsidR="00301412" w:rsidRPr="00E1325A" w:rsidRDefault="00301412" w:rsidP="00301412">
      <w:pPr>
        <w:keepNext/>
        <w:keepLines/>
        <w:shd w:val="clear" w:color="auto" w:fill="FFFFFF"/>
        <w:spacing w:after="0" w:line="240" w:lineRule="auto"/>
        <w:jc w:val="center"/>
        <w:rPr>
          <w:rFonts w:eastAsia="Times New Roman"/>
          <w:b/>
          <w:color w:val="000000"/>
          <w:lang w:eastAsia="en-AU"/>
        </w:rPr>
      </w:pPr>
      <w:r w:rsidRPr="00E1325A">
        <w:rPr>
          <w:b/>
          <w:szCs w:val="22"/>
        </w:rPr>
        <w:t>Pricing and PBS Policy Branch</w:t>
      </w:r>
    </w:p>
    <w:p w14:paraId="7B5EC522" w14:textId="7A0A9A9D" w:rsidR="001467A9" w:rsidRPr="00E1325A" w:rsidRDefault="00C3493B" w:rsidP="00301412">
      <w:pPr>
        <w:keepNext/>
        <w:keepLines/>
        <w:shd w:val="clear" w:color="auto" w:fill="FFFFFF"/>
        <w:spacing w:after="0" w:line="240" w:lineRule="auto"/>
        <w:jc w:val="center"/>
        <w:rPr>
          <w:rFonts w:eastAsia="Times New Roman"/>
          <w:color w:val="000000"/>
          <w:lang w:eastAsia="en-AU"/>
        </w:rPr>
      </w:pPr>
      <w:r w:rsidRPr="00E1325A">
        <w:rPr>
          <w:rFonts w:eastAsia="Times New Roman"/>
          <w:b/>
          <w:bCs/>
          <w:color w:val="000000"/>
          <w:lang w:eastAsia="en-AU"/>
        </w:rPr>
        <w:t>Health Resourcing Group</w:t>
      </w:r>
    </w:p>
    <w:p w14:paraId="7DBD90AD" w14:textId="77777777" w:rsidR="00E40F4A" w:rsidRPr="00E40F4A" w:rsidRDefault="001467A9" w:rsidP="00301412">
      <w:pPr>
        <w:keepNext/>
        <w:keepLines/>
        <w:jc w:val="center"/>
        <w:rPr>
          <w:b/>
        </w:rPr>
      </w:pPr>
      <w:r w:rsidRPr="00E1325A">
        <w:rPr>
          <w:rFonts w:eastAsia="Times New Roman"/>
          <w:b/>
          <w:bCs/>
          <w:color w:val="000000"/>
          <w:lang w:eastAsia="en-AU"/>
        </w:rPr>
        <w:t>Department of Health</w:t>
      </w:r>
    </w:p>
    <w:sectPr w:rsidR="00E40F4A" w:rsidRPr="00E40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D00"/>
    <w:multiLevelType w:val="hybridMultilevel"/>
    <w:tmpl w:val="F57E9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F34AF"/>
    <w:multiLevelType w:val="hybridMultilevel"/>
    <w:tmpl w:val="151C2A6A"/>
    <w:lvl w:ilvl="0" w:tplc="2AA68DC6">
      <w:start w:val="1"/>
      <w:numFmt w:val="decimal"/>
      <w:lvlText w:val="%1."/>
      <w:lvlJc w:val="left"/>
      <w:pPr>
        <w:ind w:left="720" w:hanging="360"/>
      </w:pPr>
      <w:rPr>
        <w:b w:val="0"/>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B02B48"/>
    <w:multiLevelType w:val="hybridMultilevel"/>
    <w:tmpl w:val="44365D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CA24E51"/>
    <w:multiLevelType w:val="multilevel"/>
    <w:tmpl w:val="9746F7EA"/>
    <w:lvl w:ilvl="0">
      <w:start w:val="1"/>
      <w:numFmt w:val="bullet"/>
      <w:lvlText w:val=""/>
      <w:lvlJc w:val="left"/>
      <w:pPr>
        <w:tabs>
          <w:tab w:val="num" w:pos="425"/>
        </w:tabs>
        <w:ind w:left="425" w:hanging="425"/>
      </w:pPr>
      <w:rPr>
        <w:rFonts w:ascii="Symbol" w:hAnsi="Symbol" w:hint="default"/>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ascii="Symbol" w:hAnsi="Symbol"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4" w15:restartNumberingAfterBreak="0">
    <w:nsid w:val="131252D1"/>
    <w:multiLevelType w:val="hybridMultilevel"/>
    <w:tmpl w:val="AAE6B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B645BD"/>
    <w:multiLevelType w:val="multilevel"/>
    <w:tmpl w:val="9746F7EA"/>
    <w:lvl w:ilvl="0">
      <w:start w:val="1"/>
      <w:numFmt w:val="bullet"/>
      <w:lvlText w:val=""/>
      <w:lvlJc w:val="left"/>
      <w:pPr>
        <w:tabs>
          <w:tab w:val="num" w:pos="785"/>
        </w:tabs>
        <w:ind w:left="785" w:hanging="425"/>
      </w:pPr>
      <w:rPr>
        <w:rFonts w:ascii="Symbol" w:hAnsi="Symbol" w:hint="default"/>
        <w:b/>
        <w:i w:val="0"/>
      </w:rPr>
    </w:lvl>
    <w:lvl w:ilvl="1">
      <w:start w:val="1"/>
      <w:numFmt w:val="bullet"/>
      <w:lvlText w:val=""/>
      <w:lvlJc w:val="left"/>
      <w:pPr>
        <w:tabs>
          <w:tab w:val="num" w:pos="785"/>
        </w:tabs>
        <w:ind w:left="785" w:hanging="425"/>
      </w:pPr>
      <w:rPr>
        <w:rFonts w:ascii="Symbol" w:hAnsi="Symbol" w:hint="default"/>
        <w:b/>
        <w:i w:val="0"/>
      </w:rPr>
    </w:lvl>
    <w:lvl w:ilvl="2">
      <w:start w:val="1"/>
      <w:numFmt w:val="bullet"/>
      <w:lvlText w:val=""/>
      <w:lvlJc w:val="left"/>
      <w:pPr>
        <w:tabs>
          <w:tab w:val="num" w:pos="1210"/>
        </w:tabs>
        <w:ind w:left="1210" w:hanging="425"/>
      </w:pPr>
      <w:rPr>
        <w:rFonts w:ascii="Symbol" w:hAnsi="Symbol" w:hint="default"/>
        <w:b w:val="0"/>
        <w:i w:val="0"/>
      </w:rPr>
    </w:lvl>
    <w:lvl w:ilvl="3">
      <w:start w:val="1"/>
      <w:numFmt w:val="bullet"/>
      <w:lvlText w:val="–"/>
      <w:lvlJc w:val="left"/>
      <w:pPr>
        <w:tabs>
          <w:tab w:val="num" w:pos="1636"/>
        </w:tabs>
        <w:ind w:left="1636" w:hanging="426"/>
      </w:pPr>
      <w:rPr>
        <w:rFonts w:hint="default"/>
        <w:b w:val="0"/>
        <w:i w:val="0"/>
      </w:rPr>
    </w:lvl>
    <w:lvl w:ilvl="4">
      <w:start w:val="1"/>
      <w:numFmt w:val="bullet"/>
      <w:lvlText w:val="–"/>
      <w:lvlJc w:val="left"/>
      <w:pPr>
        <w:tabs>
          <w:tab w:val="num" w:pos="2061"/>
        </w:tabs>
        <w:ind w:left="2061" w:hanging="425"/>
      </w:pPr>
      <w:rPr>
        <w:rFonts w:hint="default"/>
        <w:b w:val="0"/>
        <w:i w:val="0"/>
      </w:rPr>
    </w:lvl>
    <w:lvl w:ilvl="5">
      <w:start w:val="1"/>
      <w:numFmt w:val="bullet"/>
      <w:lvlText w:val="–"/>
      <w:lvlJc w:val="left"/>
      <w:pPr>
        <w:tabs>
          <w:tab w:val="num" w:pos="2486"/>
        </w:tabs>
        <w:ind w:left="2486" w:hanging="425"/>
      </w:pPr>
      <w:rPr>
        <w:rFonts w:hint="default"/>
        <w:b w:val="0"/>
        <w:i w:val="0"/>
      </w:rPr>
    </w:lvl>
    <w:lvl w:ilvl="6">
      <w:start w:val="1"/>
      <w:numFmt w:val="bullet"/>
      <w:lvlText w:val="–"/>
      <w:lvlJc w:val="left"/>
      <w:pPr>
        <w:tabs>
          <w:tab w:val="num" w:pos="2911"/>
        </w:tabs>
        <w:ind w:left="2911" w:hanging="425"/>
      </w:pPr>
      <w:rPr>
        <w:rFonts w:hint="default"/>
        <w:b w:val="0"/>
        <w:i w:val="0"/>
      </w:rPr>
    </w:lvl>
    <w:lvl w:ilvl="7">
      <w:start w:val="1"/>
      <w:numFmt w:val="bullet"/>
      <w:lvlText w:val="–"/>
      <w:lvlJc w:val="left"/>
      <w:pPr>
        <w:tabs>
          <w:tab w:val="num" w:pos="3336"/>
        </w:tabs>
        <w:ind w:left="3336" w:hanging="425"/>
      </w:pPr>
      <w:rPr>
        <w:rFonts w:hint="default"/>
        <w:b w:val="0"/>
        <w:i w:val="0"/>
      </w:rPr>
    </w:lvl>
    <w:lvl w:ilvl="8">
      <w:start w:val="1"/>
      <w:numFmt w:val="bullet"/>
      <w:lvlText w:val="–"/>
      <w:lvlJc w:val="left"/>
      <w:pPr>
        <w:tabs>
          <w:tab w:val="num" w:pos="3762"/>
        </w:tabs>
        <w:ind w:left="3762" w:hanging="426"/>
      </w:pPr>
      <w:rPr>
        <w:rFonts w:hint="default"/>
        <w:b w:val="0"/>
        <w:i w:val="0"/>
      </w:rPr>
    </w:lvl>
  </w:abstractNum>
  <w:abstractNum w:abstractNumId="6" w15:restartNumberingAfterBreak="0">
    <w:nsid w:val="28934A6B"/>
    <w:multiLevelType w:val="multilevel"/>
    <w:tmpl w:val="D494DAFC"/>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7" w15:restartNumberingAfterBreak="0">
    <w:nsid w:val="76D112F8"/>
    <w:multiLevelType w:val="hybridMultilevel"/>
    <w:tmpl w:val="1C925A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BDE48930">
      <w:start w:val="1"/>
      <w:numFmt w:val="decimal"/>
      <w:lvlText w:val="%4."/>
      <w:lvlJc w:val="left"/>
      <w:pPr>
        <w:ind w:left="2880" w:hanging="360"/>
      </w:pPr>
      <w:rPr>
        <w:b w:val="0"/>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4A"/>
    <w:rsid w:val="00005DC2"/>
    <w:rsid w:val="000178C6"/>
    <w:rsid w:val="00035DB3"/>
    <w:rsid w:val="00045087"/>
    <w:rsid w:val="00086634"/>
    <w:rsid w:val="000B6444"/>
    <w:rsid w:val="000F3856"/>
    <w:rsid w:val="0013194C"/>
    <w:rsid w:val="00144A2D"/>
    <w:rsid w:val="001467A9"/>
    <w:rsid w:val="00185F83"/>
    <w:rsid w:val="001957C5"/>
    <w:rsid w:val="001A749C"/>
    <w:rsid w:val="001C7FED"/>
    <w:rsid w:val="001D2615"/>
    <w:rsid w:val="001D479C"/>
    <w:rsid w:val="001E3AC6"/>
    <w:rsid w:val="001F14BD"/>
    <w:rsid w:val="001F3A90"/>
    <w:rsid w:val="00211037"/>
    <w:rsid w:val="00243F7D"/>
    <w:rsid w:val="002578C6"/>
    <w:rsid w:val="00273956"/>
    <w:rsid w:val="00280050"/>
    <w:rsid w:val="002806EA"/>
    <w:rsid w:val="00281B19"/>
    <w:rsid w:val="002F30EC"/>
    <w:rsid w:val="00300DC2"/>
    <w:rsid w:val="00301412"/>
    <w:rsid w:val="0030249B"/>
    <w:rsid w:val="00303AC4"/>
    <w:rsid w:val="00310F09"/>
    <w:rsid w:val="00343BFB"/>
    <w:rsid w:val="00371A30"/>
    <w:rsid w:val="00372527"/>
    <w:rsid w:val="00377706"/>
    <w:rsid w:val="00384616"/>
    <w:rsid w:val="003B2A6B"/>
    <w:rsid w:val="0046004F"/>
    <w:rsid w:val="004613FB"/>
    <w:rsid w:val="00471807"/>
    <w:rsid w:val="004839D9"/>
    <w:rsid w:val="004B730D"/>
    <w:rsid w:val="004D20AD"/>
    <w:rsid w:val="004D25A8"/>
    <w:rsid w:val="004E4031"/>
    <w:rsid w:val="004F0BCD"/>
    <w:rsid w:val="004F3F3C"/>
    <w:rsid w:val="004F6A70"/>
    <w:rsid w:val="00576485"/>
    <w:rsid w:val="00581892"/>
    <w:rsid w:val="005B27CC"/>
    <w:rsid w:val="005C7F38"/>
    <w:rsid w:val="005D08AA"/>
    <w:rsid w:val="005E3B12"/>
    <w:rsid w:val="00615E8D"/>
    <w:rsid w:val="006173D7"/>
    <w:rsid w:val="00621B3F"/>
    <w:rsid w:val="0063175E"/>
    <w:rsid w:val="006403D3"/>
    <w:rsid w:val="00646D07"/>
    <w:rsid w:val="00662EE2"/>
    <w:rsid w:val="006671C4"/>
    <w:rsid w:val="00670E1E"/>
    <w:rsid w:val="006758BD"/>
    <w:rsid w:val="00682C16"/>
    <w:rsid w:val="006B0FE1"/>
    <w:rsid w:val="006C34BD"/>
    <w:rsid w:val="006D45BE"/>
    <w:rsid w:val="006D6D36"/>
    <w:rsid w:val="006F214C"/>
    <w:rsid w:val="006F66B9"/>
    <w:rsid w:val="007028A4"/>
    <w:rsid w:val="00711112"/>
    <w:rsid w:val="00714197"/>
    <w:rsid w:val="00720CAC"/>
    <w:rsid w:val="00762CEF"/>
    <w:rsid w:val="007744A6"/>
    <w:rsid w:val="00786242"/>
    <w:rsid w:val="00795536"/>
    <w:rsid w:val="007B1D3C"/>
    <w:rsid w:val="007B3F8E"/>
    <w:rsid w:val="007D32C3"/>
    <w:rsid w:val="007F0430"/>
    <w:rsid w:val="00837176"/>
    <w:rsid w:val="00840737"/>
    <w:rsid w:val="00892E09"/>
    <w:rsid w:val="008F2077"/>
    <w:rsid w:val="008F2874"/>
    <w:rsid w:val="00917136"/>
    <w:rsid w:val="00921C80"/>
    <w:rsid w:val="00925294"/>
    <w:rsid w:val="00931BC1"/>
    <w:rsid w:val="009361E9"/>
    <w:rsid w:val="00946EF1"/>
    <w:rsid w:val="00983DB8"/>
    <w:rsid w:val="00985464"/>
    <w:rsid w:val="009B6894"/>
    <w:rsid w:val="009D4A36"/>
    <w:rsid w:val="009E58CA"/>
    <w:rsid w:val="00A01F21"/>
    <w:rsid w:val="00A42977"/>
    <w:rsid w:val="00A5186E"/>
    <w:rsid w:val="00A55A1C"/>
    <w:rsid w:val="00A633CC"/>
    <w:rsid w:val="00AA3ACE"/>
    <w:rsid w:val="00AB20CA"/>
    <w:rsid w:val="00AC6788"/>
    <w:rsid w:val="00AC6855"/>
    <w:rsid w:val="00AC708D"/>
    <w:rsid w:val="00AD1BF7"/>
    <w:rsid w:val="00AE36A6"/>
    <w:rsid w:val="00AF0C66"/>
    <w:rsid w:val="00AF168F"/>
    <w:rsid w:val="00B0771A"/>
    <w:rsid w:val="00B07AF7"/>
    <w:rsid w:val="00B3480B"/>
    <w:rsid w:val="00B4213E"/>
    <w:rsid w:val="00BC605C"/>
    <w:rsid w:val="00BD60E4"/>
    <w:rsid w:val="00BE6DBD"/>
    <w:rsid w:val="00C025E9"/>
    <w:rsid w:val="00C21530"/>
    <w:rsid w:val="00C273EC"/>
    <w:rsid w:val="00C3493B"/>
    <w:rsid w:val="00C40B0B"/>
    <w:rsid w:val="00C44A7D"/>
    <w:rsid w:val="00C57245"/>
    <w:rsid w:val="00C6233E"/>
    <w:rsid w:val="00C86737"/>
    <w:rsid w:val="00CA2A22"/>
    <w:rsid w:val="00CC37D0"/>
    <w:rsid w:val="00CC7BCF"/>
    <w:rsid w:val="00CE6A67"/>
    <w:rsid w:val="00CF5C54"/>
    <w:rsid w:val="00D16D28"/>
    <w:rsid w:val="00D700D1"/>
    <w:rsid w:val="00D928F7"/>
    <w:rsid w:val="00D96324"/>
    <w:rsid w:val="00DC295C"/>
    <w:rsid w:val="00DC6B96"/>
    <w:rsid w:val="00DE3134"/>
    <w:rsid w:val="00E10058"/>
    <w:rsid w:val="00E1325A"/>
    <w:rsid w:val="00E24F4D"/>
    <w:rsid w:val="00E40F4A"/>
    <w:rsid w:val="00E46E86"/>
    <w:rsid w:val="00E60D4B"/>
    <w:rsid w:val="00E66495"/>
    <w:rsid w:val="00E75245"/>
    <w:rsid w:val="00EE2197"/>
    <w:rsid w:val="00EE6FB8"/>
    <w:rsid w:val="00F01CCF"/>
    <w:rsid w:val="00F14D6C"/>
    <w:rsid w:val="00F45FDE"/>
    <w:rsid w:val="00F555FF"/>
    <w:rsid w:val="00FC277A"/>
    <w:rsid w:val="00FE689E"/>
    <w:rsid w:val="00FF47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2E4F"/>
  <w15:docId w15:val="{1D114EB0-8B67-445F-9B33-30A4B3D1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0178C6"/>
    <w:pPr>
      <w:spacing w:before="100" w:beforeAutospacing="1" w:after="100" w:afterAutospacing="1" w:line="240" w:lineRule="auto"/>
    </w:pPr>
    <w:rPr>
      <w:rFonts w:eastAsia="Times New Roman"/>
      <w:lang w:eastAsia="en-AU"/>
    </w:rPr>
  </w:style>
  <w:style w:type="paragraph" w:customStyle="1" w:styleId="paragraph">
    <w:name w:val="paragraph"/>
    <w:basedOn w:val="Normal"/>
    <w:rsid w:val="000178C6"/>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300DC2"/>
    <w:pPr>
      <w:ind w:left="720"/>
      <w:contextualSpacing/>
    </w:pPr>
  </w:style>
  <w:style w:type="character" w:styleId="CommentReference">
    <w:name w:val="annotation reference"/>
    <w:basedOn w:val="DefaultParagraphFont"/>
    <w:uiPriority w:val="99"/>
    <w:semiHidden/>
    <w:unhideWhenUsed/>
    <w:rsid w:val="001F14BD"/>
    <w:rPr>
      <w:sz w:val="16"/>
      <w:szCs w:val="16"/>
    </w:rPr>
  </w:style>
  <w:style w:type="paragraph" w:styleId="CommentText">
    <w:name w:val="annotation text"/>
    <w:basedOn w:val="Normal"/>
    <w:link w:val="CommentTextChar"/>
    <w:unhideWhenUsed/>
    <w:rsid w:val="001F14BD"/>
    <w:pPr>
      <w:spacing w:line="240" w:lineRule="auto"/>
    </w:pPr>
    <w:rPr>
      <w:sz w:val="20"/>
      <w:szCs w:val="20"/>
    </w:rPr>
  </w:style>
  <w:style w:type="character" w:customStyle="1" w:styleId="CommentTextChar">
    <w:name w:val="Comment Text Char"/>
    <w:basedOn w:val="DefaultParagraphFont"/>
    <w:link w:val="CommentText"/>
    <w:rsid w:val="001F14BD"/>
    <w:rPr>
      <w:sz w:val="20"/>
      <w:szCs w:val="20"/>
    </w:rPr>
  </w:style>
  <w:style w:type="paragraph" w:styleId="CommentSubject">
    <w:name w:val="annotation subject"/>
    <w:basedOn w:val="CommentText"/>
    <w:next w:val="CommentText"/>
    <w:link w:val="CommentSubjectChar"/>
    <w:uiPriority w:val="99"/>
    <w:semiHidden/>
    <w:unhideWhenUsed/>
    <w:rsid w:val="001F14BD"/>
    <w:rPr>
      <w:b/>
      <w:bCs/>
    </w:rPr>
  </w:style>
  <w:style w:type="character" w:customStyle="1" w:styleId="CommentSubjectChar">
    <w:name w:val="Comment Subject Char"/>
    <w:basedOn w:val="CommentTextChar"/>
    <w:link w:val="CommentSubject"/>
    <w:uiPriority w:val="99"/>
    <w:semiHidden/>
    <w:rsid w:val="001F14BD"/>
    <w:rPr>
      <w:b/>
      <w:bCs/>
      <w:sz w:val="20"/>
      <w:szCs w:val="20"/>
    </w:rPr>
  </w:style>
  <w:style w:type="paragraph" w:styleId="BalloonText">
    <w:name w:val="Balloon Text"/>
    <w:basedOn w:val="Normal"/>
    <w:link w:val="BalloonTextChar"/>
    <w:uiPriority w:val="99"/>
    <w:semiHidden/>
    <w:unhideWhenUsed/>
    <w:rsid w:val="001F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D"/>
    <w:rPr>
      <w:rFonts w:ascii="Tahoma" w:hAnsi="Tahoma" w:cs="Tahoma"/>
      <w:sz w:val="16"/>
      <w:szCs w:val="16"/>
    </w:rPr>
  </w:style>
  <w:style w:type="paragraph" w:customStyle="1" w:styleId="Dot1">
    <w:name w:val="Dot1"/>
    <w:aliases w:val="DOT"/>
    <w:basedOn w:val="Normal"/>
    <w:link w:val="Dot1Char"/>
    <w:uiPriority w:val="2"/>
    <w:qFormat/>
    <w:rsid w:val="00F555FF"/>
    <w:pPr>
      <w:numPr>
        <w:ilvl w:val="1"/>
        <w:numId w:val="2"/>
      </w:numPr>
      <w:spacing w:after="140" w:line="280" w:lineRule="atLeast"/>
    </w:pPr>
    <w:rPr>
      <w:rFonts w:ascii="Arial" w:eastAsia="Times New Roman" w:hAnsi="Arial" w:cs="Arial"/>
      <w:sz w:val="22"/>
      <w:szCs w:val="22"/>
      <w:lang w:eastAsia="en-AU"/>
    </w:rPr>
  </w:style>
  <w:style w:type="character" w:customStyle="1" w:styleId="Dot1Char">
    <w:name w:val="Dot1 Char"/>
    <w:aliases w:val="DOT Char"/>
    <w:basedOn w:val="DefaultParagraphFont"/>
    <w:link w:val="Dot1"/>
    <w:uiPriority w:val="2"/>
    <w:rsid w:val="00F555FF"/>
    <w:rPr>
      <w:rFonts w:ascii="Arial" w:eastAsia="Times New Roman" w:hAnsi="Arial" w:cs="Arial"/>
      <w:sz w:val="22"/>
      <w:szCs w:val="22"/>
      <w:lang w:eastAsia="en-AU"/>
    </w:rPr>
  </w:style>
  <w:style w:type="paragraph" w:styleId="Revision">
    <w:name w:val="Revision"/>
    <w:hidden/>
    <w:uiPriority w:val="99"/>
    <w:semiHidden/>
    <w:rsid w:val="00E24F4D"/>
    <w:pPr>
      <w:spacing w:after="0" w:line="240" w:lineRule="auto"/>
    </w:pPr>
  </w:style>
  <w:style w:type="paragraph" w:customStyle="1" w:styleId="CharCharCharChar">
    <w:name w:val="Char Char Char Char"/>
    <w:basedOn w:val="Normal"/>
    <w:rsid w:val="00917136"/>
    <w:pPr>
      <w:spacing w:after="0" w:line="240" w:lineRule="auto"/>
    </w:pPr>
    <w:rPr>
      <w:rFonts w:ascii="Arial" w:eastAsia="Times New Roman" w:hAnsi="Arial" w:cs="Arial"/>
      <w:sz w:val="22"/>
      <w:szCs w:val="22"/>
    </w:rPr>
  </w:style>
  <w:style w:type="paragraph" w:customStyle="1" w:styleId="CharCharCharChar0">
    <w:name w:val="Char Char Char Char"/>
    <w:basedOn w:val="Normal"/>
    <w:rsid w:val="00B4213E"/>
    <w:pPr>
      <w:spacing w:after="0" w:line="240" w:lineRule="auto"/>
    </w:pPr>
    <w:rPr>
      <w:rFonts w:ascii="Arial" w:eastAsia="Times New Roman" w:hAnsi="Arial" w:cs="Arial"/>
      <w:sz w:val="22"/>
      <w:szCs w:val="22"/>
    </w:rPr>
  </w:style>
  <w:style w:type="paragraph" w:customStyle="1" w:styleId="CharCharCharChar1">
    <w:name w:val="Char Char Char Char"/>
    <w:basedOn w:val="Normal"/>
    <w:rsid w:val="0013194C"/>
    <w:pPr>
      <w:spacing w:after="0" w:line="240" w:lineRule="auto"/>
    </w:pPr>
    <w:rPr>
      <w:rFonts w:ascii="Arial" w:eastAsia="Times New Roman" w:hAnsi="Arial" w:cs="Arial"/>
      <w:sz w:val="22"/>
      <w:szCs w:val="22"/>
    </w:rPr>
  </w:style>
  <w:style w:type="character" w:styleId="Hyperlink">
    <w:name w:val="Hyperlink"/>
    <w:basedOn w:val="DefaultParagraphFont"/>
    <w:uiPriority w:val="99"/>
    <w:unhideWhenUsed/>
    <w:rsid w:val="00FE68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957997">
      <w:bodyDiv w:val="1"/>
      <w:marLeft w:val="0"/>
      <w:marRight w:val="0"/>
      <w:marTop w:val="0"/>
      <w:marBottom w:val="0"/>
      <w:divBdr>
        <w:top w:val="none" w:sz="0" w:space="0" w:color="auto"/>
        <w:left w:val="none" w:sz="0" w:space="0" w:color="auto"/>
        <w:bottom w:val="none" w:sz="0" w:space="0" w:color="auto"/>
        <w:right w:val="none" w:sz="0" w:space="0" w:color="auto"/>
      </w:divBdr>
    </w:div>
    <w:div w:id="1254779414">
      <w:bodyDiv w:val="1"/>
      <w:marLeft w:val="0"/>
      <w:marRight w:val="0"/>
      <w:marTop w:val="0"/>
      <w:marBottom w:val="0"/>
      <w:divBdr>
        <w:top w:val="none" w:sz="0" w:space="0" w:color="auto"/>
        <w:left w:val="none" w:sz="0" w:space="0" w:color="auto"/>
        <w:bottom w:val="none" w:sz="0" w:space="0" w:color="auto"/>
        <w:right w:val="none" w:sz="0" w:space="0" w:color="auto"/>
      </w:divBdr>
      <w:divsChild>
        <w:div w:id="1894652618">
          <w:marLeft w:val="0"/>
          <w:marRight w:val="0"/>
          <w:marTop w:val="0"/>
          <w:marBottom w:val="0"/>
          <w:divBdr>
            <w:top w:val="none" w:sz="0" w:space="0" w:color="auto"/>
            <w:left w:val="none" w:sz="0" w:space="0" w:color="auto"/>
            <w:bottom w:val="none" w:sz="0" w:space="0" w:color="auto"/>
            <w:right w:val="none" w:sz="0" w:space="0" w:color="auto"/>
          </w:divBdr>
          <w:divsChild>
            <w:div w:id="1127046550">
              <w:marLeft w:val="0"/>
              <w:marRight w:val="0"/>
              <w:marTop w:val="0"/>
              <w:marBottom w:val="0"/>
              <w:divBdr>
                <w:top w:val="none" w:sz="0" w:space="0" w:color="auto"/>
                <w:left w:val="none" w:sz="0" w:space="0" w:color="auto"/>
                <w:bottom w:val="none" w:sz="0" w:space="0" w:color="auto"/>
                <w:right w:val="none" w:sz="0" w:space="0" w:color="auto"/>
              </w:divBdr>
              <w:divsChild>
                <w:div w:id="150870917">
                  <w:marLeft w:val="0"/>
                  <w:marRight w:val="0"/>
                  <w:marTop w:val="0"/>
                  <w:marBottom w:val="0"/>
                  <w:divBdr>
                    <w:top w:val="none" w:sz="0" w:space="0" w:color="auto"/>
                    <w:left w:val="none" w:sz="0" w:space="0" w:color="auto"/>
                    <w:bottom w:val="none" w:sz="0" w:space="0" w:color="auto"/>
                    <w:right w:val="none" w:sz="0" w:space="0" w:color="auto"/>
                  </w:divBdr>
                  <w:divsChild>
                    <w:div w:id="765924494">
                      <w:marLeft w:val="0"/>
                      <w:marRight w:val="0"/>
                      <w:marTop w:val="0"/>
                      <w:marBottom w:val="0"/>
                      <w:divBdr>
                        <w:top w:val="none" w:sz="0" w:space="0" w:color="auto"/>
                        <w:left w:val="none" w:sz="0" w:space="0" w:color="auto"/>
                        <w:bottom w:val="none" w:sz="0" w:space="0" w:color="auto"/>
                        <w:right w:val="none" w:sz="0" w:space="0" w:color="auto"/>
                      </w:divBdr>
                      <w:divsChild>
                        <w:div w:id="172914934">
                          <w:marLeft w:val="0"/>
                          <w:marRight w:val="0"/>
                          <w:marTop w:val="0"/>
                          <w:marBottom w:val="0"/>
                          <w:divBdr>
                            <w:top w:val="none" w:sz="0" w:space="0" w:color="auto"/>
                            <w:left w:val="none" w:sz="0" w:space="0" w:color="auto"/>
                            <w:bottom w:val="none" w:sz="0" w:space="0" w:color="auto"/>
                            <w:right w:val="none" w:sz="0" w:space="0" w:color="auto"/>
                          </w:divBdr>
                          <w:divsChild>
                            <w:div w:id="652680204">
                              <w:marLeft w:val="0"/>
                              <w:marRight w:val="0"/>
                              <w:marTop w:val="0"/>
                              <w:marBottom w:val="0"/>
                              <w:divBdr>
                                <w:top w:val="none" w:sz="0" w:space="0" w:color="auto"/>
                                <w:left w:val="none" w:sz="0" w:space="0" w:color="auto"/>
                                <w:bottom w:val="none" w:sz="0" w:space="0" w:color="auto"/>
                                <w:right w:val="none" w:sz="0" w:space="0" w:color="auto"/>
                              </w:divBdr>
                              <w:divsChild>
                                <w:div w:id="1480725269">
                                  <w:marLeft w:val="0"/>
                                  <w:marRight w:val="0"/>
                                  <w:marTop w:val="0"/>
                                  <w:marBottom w:val="0"/>
                                  <w:divBdr>
                                    <w:top w:val="none" w:sz="0" w:space="0" w:color="auto"/>
                                    <w:left w:val="none" w:sz="0" w:space="0" w:color="auto"/>
                                    <w:bottom w:val="none" w:sz="0" w:space="0" w:color="auto"/>
                                    <w:right w:val="none" w:sz="0" w:space="0" w:color="auto"/>
                                  </w:divBdr>
                                  <w:divsChild>
                                    <w:div w:id="347098149">
                                      <w:marLeft w:val="0"/>
                                      <w:marRight w:val="0"/>
                                      <w:marTop w:val="0"/>
                                      <w:marBottom w:val="0"/>
                                      <w:divBdr>
                                        <w:top w:val="none" w:sz="0" w:space="0" w:color="auto"/>
                                        <w:left w:val="none" w:sz="0" w:space="0" w:color="auto"/>
                                        <w:bottom w:val="none" w:sz="0" w:space="0" w:color="auto"/>
                                        <w:right w:val="none" w:sz="0" w:space="0" w:color="auto"/>
                                      </w:divBdr>
                                      <w:divsChild>
                                        <w:div w:id="118569428">
                                          <w:marLeft w:val="0"/>
                                          <w:marRight w:val="0"/>
                                          <w:marTop w:val="0"/>
                                          <w:marBottom w:val="0"/>
                                          <w:divBdr>
                                            <w:top w:val="none" w:sz="0" w:space="0" w:color="auto"/>
                                            <w:left w:val="none" w:sz="0" w:space="0" w:color="auto"/>
                                            <w:bottom w:val="none" w:sz="0" w:space="0" w:color="auto"/>
                                            <w:right w:val="none" w:sz="0" w:space="0" w:color="auto"/>
                                          </w:divBdr>
                                          <w:divsChild>
                                            <w:div w:id="1749884743">
                                              <w:marLeft w:val="0"/>
                                              <w:marRight w:val="0"/>
                                              <w:marTop w:val="0"/>
                                              <w:marBottom w:val="0"/>
                                              <w:divBdr>
                                                <w:top w:val="none" w:sz="0" w:space="0" w:color="auto"/>
                                                <w:left w:val="none" w:sz="0" w:space="0" w:color="auto"/>
                                                <w:bottom w:val="none" w:sz="0" w:space="0" w:color="auto"/>
                                                <w:right w:val="none" w:sz="0" w:space="0" w:color="auto"/>
                                              </w:divBdr>
                                              <w:divsChild>
                                                <w:div w:id="149952887">
                                                  <w:marLeft w:val="0"/>
                                                  <w:marRight w:val="0"/>
                                                  <w:marTop w:val="0"/>
                                                  <w:marBottom w:val="0"/>
                                                  <w:divBdr>
                                                    <w:top w:val="none" w:sz="0" w:space="0" w:color="auto"/>
                                                    <w:left w:val="none" w:sz="0" w:space="0" w:color="auto"/>
                                                    <w:bottom w:val="none" w:sz="0" w:space="0" w:color="auto"/>
                                                    <w:right w:val="none" w:sz="0" w:space="0" w:color="auto"/>
                                                  </w:divBdr>
                                                  <w:divsChild>
                                                    <w:div w:id="881597092">
                                                      <w:marLeft w:val="0"/>
                                                      <w:marRight w:val="0"/>
                                                      <w:marTop w:val="0"/>
                                                      <w:marBottom w:val="0"/>
                                                      <w:divBdr>
                                                        <w:top w:val="none" w:sz="0" w:space="0" w:color="auto"/>
                                                        <w:left w:val="none" w:sz="0" w:space="0" w:color="auto"/>
                                                        <w:bottom w:val="none" w:sz="0" w:space="0" w:color="auto"/>
                                                        <w:right w:val="none" w:sz="0" w:space="0" w:color="auto"/>
                                                      </w:divBdr>
                                                      <w:divsChild>
                                                        <w:div w:id="2369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3774560">
      <w:bodyDiv w:val="1"/>
      <w:marLeft w:val="0"/>
      <w:marRight w:val="0"/>
      <w:marTop w:val="0"/>
      <w:marBottom w:val="0"/>
      <w:divBdr>
        <w:top w:val="none" w:sz="0" w:space="0" w:color="auto"/>
        <w:left w:val="none" w:sz="0" w:space="0" w:color="auto"/>
        <w:bottom w:val="none" w:sz="0" w:space="0" w:color="auto"/>
        <w:right w:val="none" w:sz="0" w:space="0" w:color="auto"/>
      </w:divBdr>
    </w:div>
    <w:div w:id="20305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13890-B5F9-4ED8-A2B8-0DADD1B4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Benham, Christine</dc:creator>
  <cp:lastModifiedBy>NG, Jason</cp:lastModifiedBy>
  <cp:revision>14</cp:revision>
  <dcterms:created xsi:type="dcterms:W3CDTF">2021-03-10T05:32:00Z</dcterms:created>
  <dcterms:modified xsi:type="dcterms:W3CDTF">2021-03-31T03:01:00Z</dcterms:modified>
</cp:coreProperties>
</file>