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73CA7" w14:textId="77777777" w:rsidR="00486C68" w:rsidRPr="00527A45" w:rsidRDefault="00486C68" w:rsidP="00F77AA0">
      <w:pPr>
        <w:pStyle w:val="Heading1"/>
        <w:spacing w:before="0" w:after="0"/>
        <w:jc w:val="center"/>
        <w:rPr>
          <w:rFonts w:ascii="Times New Roman" w:hAnsi="Times New Roman"/>
          <w:sz w:val="24"/>
          <w:szCs w:val="24"/>
          <w:u w:val="single"/>
        </w:rPr>
      </w:pPr>
      <w:bookmarkStart w:id="0" w:name="_GoBack"/>
      <w:bookmarkEnd w:id="0"/>
      <w:r w:rsidRPr="00527A45">
        <w:rPr>
          <w:rFonts w:ascii="Times New Roman" w:hAnsi="Times New Roman"/>
          <w:sz w:val="24"/>
          <w:szCs w:val="24"/>
          <w:u w:val="single"/>
        </w:rPr>
        <w:t>EXPLANATORY STATEMENT</w:t>
      </w:r>
    </w:p>
    <w:p w14:paraId="216E9116" w14:textId="77777777" w:rsidR="00486C68" w:rsidRPr="00527A45" w:rsidRDefault="00486C68" w:rsidP="00F77AA0">
      <w:pPr>
        <w:jc w:val="center"/>
        <w:rPr>
          <w:rFonts w:cs="Times New Roman"/>
          <w:szCs w:val="24"/>
        </w:rPr>
      </w:pPr>
    </w:p>
    <w:p w14:paraId="29C0B83C" w14:textId="77777777" w:rsidR="00486C68" w:rsidRPr="00527A45" w:rsidRDefault="00486C68" w:rsidP="00F77AA0">
      <w:pPr>
        <w:jc w:val="center"/>
        <w:rPr>
          <w:rFonts w:cs="Times New Roman"/>
          <w:szCs w:val="24"/>
        </w:rPr>
      </w:pPr>
      <w:r w:rsidRPr="00527A45">
        <w:rPr>
          <w:rFonts w:cs="Times New Roman"/>
          <w:szCs w:val="24"/>
        </w:rPr>
        <w:t>Issued by the authority of the Assistant Minister for Regional Development and Territories, Parliamentary Secretary to the Deputy Prime Minister and Minister for Infrastructure, Transport and Regional Development</w:t>
      </w:r>
    </w:p>
    <w:p w14:paraId="616894F6" w14:textId="77777777" w:rsidR="00486C68" w:rsidRPr="00527A45" w:rsidRDefault="00486C68" w:rsidP="00F77AA0">
      <w:pPr>
        <w:jc w:val="center"/>
        <w:rPr>
          <w:rFonts w:cs="Times New Roman"/>
          <w:szCs w:val="24"/>
        </w:rPr>
      </w:pPr>
    </w:p>
    <w:p w14:paraId="04277FEE" w14:textId="77777777" w:rsidR="004C6BE8" w:rsidRPr="00527A45" w:rsidRDefault="00486C68" w:rsidP="00F77AA0">
      <w:pPr>
        <w:jc w:val="center"/>
        <w:rPr>
          <w:rFonts w:cs="Times New Roman"/>
          <w:i/>
          <w:szCs w:val="24"/>
        </w:rPr>
      </w:pPr>
      <w:r w:rsidRPr="00527A45">
        <w:rPr>
          <w:rFonts w:cs="Times New Roman"/>
          <w:i/>
          <w:szCs w:val="24"/>
        </w:rPr>
        <w:t>Norfolk Island Continued Laws Ordinance 2015</w:t>
      </w:r>
    </w:p>
    <w:p w14:paraId="7A6389C6" w14:textId="77777777" w:rsidR="00486C68" w:rsidRPr="00527A45" w:rsidRDefault="00486C68" w:rsidP="00F77AA0">
      <w:pPr>
        <w:jc w:val="center"/>
        <w:rPr>
          <w:rFonts w:cs="Times New Roman"/>
          <w:i/>
          <w:szCs w:val="24"/>
        </w:rPr>
      </w:pPr>
    </w:p>
    <w:p w14:paraId="57A97999" w14:textId="534C16D7" w:rsidR="004C6BE8" w:rsidRPr="00527A45" w:rsidRDefault="004C6BE8" w:rsidP="00F77AA0">
      <w:pPr>
        <w:jc w:val="center"/>
        <w:rPr>
          <w:rFonts w:cs="Times New Roman"/>
          <w:b/>
          <w:szCs w:val="24"/>
        </w:rPr>
      </w:pPr>
      <w:r w:rsidRPr="00527A45">
        <w:rPr>
          <w:rFonts w:cs="Times New Roman"/>
          <w:b/>
          <w:szCs w:val="24"/>
        </w:rPr>
        <w:t>Norfolk Island Continued Laws Amendment (</w:t>
      </w:r>
      <w:r w:rsidR="00E32696">
        <w:rPr>
          <w:rFonts w:cs="Times New Roman"/>
          <w:b/>
          <w:szCs w:val="24"/>
        </w:rPr>
        <w:t>Employment</w:t>
      </w:r>
      <w:r w:rsidRPr="00527A45">
        <w:rPr>
          <w:rFonts w:cs="Times New Roman"/>
          <w:b/>
          <w:szCs w:val="24"/>
        </w:rPr>
        <w:t>) Ordinance 202</w:t>
      </w:r>
      <w:r w:rsidR="001337A5" w:rsidRPr="00527A45">
        <w:rPr>
          <w:rFonts w:cs="Times New Roman"/>
          <w:b/>
          <w:szCs w:val="24"/>
        </w:rPr>
        <w:t>1</w:t>
      </w:r>
    </w:p>
    <w:p w14:paraId="1BAAC86A" w14:textId="77777777" w:rsidR="004C6BE8" w:rsidRPr="00527A45" w:rsidRDefault="004C6BE8" w:rsidP="00F77AA0">
      <w:pPr>
        <w:jc w:val="center"/>
        <w:rPr>
          <w:rFonts w:cs="Times New Roman"/>
          <w:szCs w:val="24"/>
        </w:rPr>
      </w:pPr>
    </w:p>
    <w:p w14:paraId="01D73838" w14:textId="77777777" w:rsidR="004C6BE8" w:rsidRPr="00527A45" w:rsidRDefault="004C6BE8" w:rsidP="00F77AA0">
      <w:pPr>
        <w:rPr>
          <w:rFonts w:cs="Times New Roman"/>
          <w:szCs w:val="24"/>
          <w:u w:val="single"/>
        </w:rPr>
      </w:pPr>
      <w:r w:rsidRPr="00527A45">
        <w:rPr>
          <w:rFonts w:cs="Times New Roman"/>
          <w:szCs w:val="24"/>
          <w:u w:val="single"/>
        </w:rPr>
        <w:t>Authority</w:t>
      </w:r>
    </w:p>
    <w:p w14:paraId="3894682D" w14:textId="77777777" w:rsidR="00F77AA0" w:rsidRPr="00527A45" w:rsidRDefault="00F77AA0" w:rsidP="00F77AA0">
      <w:pPr>
        <w:rPr>
          <w:rFonts w:cs="Times New Roman"/>
          <w:szCs w:val="24"/>
          <w:u w:val="single"/>
        </w:rPr>
      </w:pPr>
    </w:p>
    <w:p w14:paraId="306D6A28" w14:textId="5C8D6792" w:rsidR="00933340" w:rsidRPr="00527A45" w:rsidRDefault="00933340" w:rsidP="00F77AA0">
      <w:pPr>
        <w:ind w:right="91"/>
        <w:rPr>
          <w:rFonts w:cs="Times New Roman"/>
          <w:szCs w:val="24"/>
        </w:rPr>
      </w:pPr>
      <w:r w:rsidRPr="00527A45">
        <w:rPr>
          <w:rFonts w:cs="Times New Roman"/>
          <w:szCs w:val="24"/>
        </w:rPr>
        <w:t xml:space="preserve">The </w:t>
      </w:r>
      <w:r w:rsidRPr="00527A45">
        <w:rPr>
          <w:rFonts w:cs="Times New Roman"/>
          <w:i/>
          <w:szCs w:val="24"/>
        </w:rPr>
        <w:t xml:space="preserve">Norfolk Island Act 1979 </w:t>
      </w:r>
      <w:r w:rsidRPr="00527A45">
        <w:rPr>
          <w:rFonts w:cs="Times New Roman"/>
          <w:szCs w:val="24"/>
        </w:rPr>
        <w:t xml:space="preserve">(Norfolk Island Act) provides for the </w:t>
      </w:r>
      <w:r w:rsidR="006D6A62" w:rsidRPr="00527A45">
        <w:rPr>
          <w:rFonts w:cs="Times New Roman"/>
          <w:szCs w:val="24"/>
        </w:rPr>
        <w:t xml:space="preserve">governance </w:t>
      </w:r>
      <w:r w:rsidRPr="00527A45">
        <w:rPr>
          <w:rFonts w:cs="Times New Roman"/>
          <w:szCs w:val="24"/>
        </w:rPr>
        <w:t>of the Territory of Norfolk Island (Norfolk Island). Section 19A of the Norfolk Island Act provides that the Governor</w:t>
      </w:r>
      <w:r w:rsidRPr="00527A45">
        <w:rPr>
          <w:rFonts w:cs="Times New Roman"/>
          <w:szCs w:val="24"/>
        </w:rPr>
        <w:noBreakHyphen/>
        <w:t>General may make Ordinances for the peace, order and good government of Norfolk Island.</w:t>
      </w:r>
    </w:p>
    <w:p w14:paraId="708E48E9" w14:textId="77777777" w:rsidR="00F77AA0" w:rsidRPr="00527A45" w:rsidRDefault="00F77AA0" w:rsidP="00F77AA0">
      <w:pPr>
        <w:ind w:right="91"/>
        <w:rPr>
          <w:rFonts w:cs="Times New Roman"/>
          <w:szCs w:val="24"/>
        </w:rPr>
      </w:pPr>
    </w:p>
    <w:p w14:paraId="1D8FFE52" w14:textId="54C59C43" w:rsidR="00F77AA0" w:rsidRPr="00527A45" w:rsidRDefault="00933340" w:rsidP="00F77AA0">
      <w:pPr>
        <w:ind w:right="91"/>
        <w:rPr>
          <w:rFonts w:cs="Times New Roman"/>
          <w:szCs w:val="24"/>
        </w:rPr>
      </w:pPr>
      <w:r w:rsidRPr="00527A45">
        <w:rPr>
          <w:rFonts w:cs="Times New Roman"/>
          <w:szCs w:val="24"/>
        </w:rPr>
        <w:t xml:space="preserve">The </w:t>
      </w:r>
      <w:r w:rsidR="001337A5" w:rsidRPr="00527A45">
        <w:rPr>
          <w:rFonts w:cs="Times New Roman"/>
          <w:i/>
          <w:szCs w:val="24"/>
        </w:rPr>
        <w:t>Norfolk Island Continued Laws Amendment (</w:t>
      </w:r>
      <w:r w:rsidR="00E32696">
        <w:rPr>
          <w:rFonts w:cs="Times New Roman"/>
          <w:i/>
          <w:szCs w:val="24"/>
        </w:rPr>
        <w:t>Employment</w:t>
      </w:r>
      <w:r w:rsidR="001337A5" w:rsidRPr="00527A45">
        <w:rPr>
          <w:rFonts w:cs="Times New Roman"/>
          <w:i/>
          <w:szCs w:val="24"/>
        </w:rPr>
        <w:t>) Ordinance 2021</w:t>
      </w:r>
      <w:r w:rsidRPr="00527A45">
        <w:rPr>
          <w:rFonts w:cs="Times New Roman"/>
          <w:i/>
          <w:szCs w:val="24"/>
        </w:rPr>
        <w:t xml:space="preserve"> </w:t>
      </w:r>
      <w:r w:rsidRPr="00527A45">
        <w:rPr>
          <w:rFonts w:cs="Times New Roman"/>
          <w:szCs w:val="24"/>
        </w:rPr>
        <w:t>(the Ordinance) is made under section 19A of the Norfolk Island Act.</w:t>
      </w:r>
    </w:p>
    <w:p w14:paraId="381C4404" w14:textId="77777777" w:rsidR="00F77AA0" w:rsidRPr="00527A45" w:rsidRDefault="00F77AA0" w:rsidP="00F77AA0">
      <w:pPr>
        <w:ind w:right="91"/>
        <w:rPr>
          <w:rFonts w:cs="Times New Roman"/>
          <w:szCs w:val="24"/>
        </w:rPr>
      </w:pPr>
    </w:p>
    <w:p w14:paraId="2F6A1815" w14:textId="434E0315" w:rsidR="008967FA" w:rsidRPr="00527A45" w:rsidRDefault="00933340" w:rsidP="00F77AA0">
      <w:r w:rsidRPr="00527A45">
        <w:t xml:space="preserve">The Ordinance amends the </w:t>
      </w:r>
      <w:r w:rsidRPr="00527A45">
        <w:rPr>
          <w:i/>
        </w:rPr>
        <w:t>Norfolk Island Continued Laws Ordinance 2015</w:t>
      </w:r>
      <w:r w:rsidRPr="00527A45">
        <w:t xml:space="preserve"> (the Continued Laws Ordinance)</w:t>
      </w:r>
      <w:r w:rsidR="001346E7" w:rsidRPr="00527A45">
        <w:t>.</w:t>
      </w:r>
      <w:r w:rsidRPr="00527A45">
        <w:t xml:space="preserve"> </w:t>
      </w:r>
      <w:r w:rsidR="00F77AA0" w:rsidRPr="00527A45">
        <w:t>The Continued Law</w:t>
      </w:r>
      <w:r w:rsidR="00356AFD" w:rsidRPr="00527A45">
        <w:t>s</w:t>
      </w:r>
      <w:r w:rsidR="00F77AA0" w:rsidRPr="00527A45">
        <w:t xml:space="preserve"> Ordinance is the mechanism through which amendments to</w:t>
      </w:r>
      <w:r w:rsidR="008967FA" w:rsidRPr="00527A45">
        <w:t xml:space="preserve"> Norfolk Island continued laws </w:t>
      </w:r>
      <w:r w:rsidR="00F77AA0" w:rsidRPr="00527A45">
        <w:t>can be made.</w:t>
      </w:r>
      <w:r w:rsidR="008967FA" w:rsidRPr="00527A45">
        <w:t xml:space="preserve"> </w:t>
      </w:r>
      <w:r w:rsidR="00854215" w:rsidRPr="00527A45">
        <w:t>Norfolk Island continued laws are those laws made by the</w:t>
      </w:r>
      <w:r w:rsidR="007919F4" w:rsidRPr="00527A45">
        <w:t xml:space="preserve"> former</w:t>
      </w:r>
      <w:r w:rsidR="00854215" w:rsidRPr="00527A45">
        <w:t xml:space="preserve"> Norfolk Island Legislative Assembly prior to 2015 and continued in force under either section 16 or 16A of the Norfolk Island Act.</w:t>
      </w:r>
    </w:p>
    <w:p w14:paraId="142AB42D" w14:textId="77777777" w:rsidR="008967FA" w:rsidRPr="00527A45" w:rsidRDefault="008967FA" w:rsidP="00F77AA0"/>
    <w:p w14:paraId="454ECDF5" w14:textId="1321B3B3" w:rsidR="00F77AA0" w:rsidRPr="00527A45" w:rsidRDefault="00F77AA0" w:rsidP="00F77AA0">
      <w:r w:rsidRPr="00527A45">
        <w:t>Subsection 17(3) of the Norfolk Island Act provides that Norfolk Island laws continued in force may be amended or repealed by an Ordinance made under section 19A.</w:t>
      </w:r>
    </w:p>
    <w:p w14:paraId="7B3FFEE6" w14:textId="77777777" w:rsidR="00F77AA0" w:rsidRPr="00527A45" w:rsidRDefault="00F77AA0" w:rsidP="00F77AA0">
      <w:pPr>
        <w:ind w:right="91"/>
        <w:rPr>
          <w:rFonts w:cs="Times New Roman"/>
          <w:szCs w:val="24"/>
        </w:rPr>
      </w:pPr>
    </w:p>
    <w:p w14:paraId="6122C805" w14:textId="77777777" w:rsidR="004C6BE8" w:rsidRPr="00527A45" w:rsidRDefault="004C6BE8" w:rsidP="00F77AA0">
      <w:pPr>
        <w:rPr>
          <w:rFonts w:cs="Times New Roman"/>
          <w:szCs w:val="24"/>
          <w:u w:val="single"/>
        </w:rPr>
      </w:pPr>
      <w:r w:rsidRPr="00527A45">
        <w:rPr>
          <w:rFonts w:cs="Times New Roman"/>
          <w:szCs w:val="24"/>
          <w:u w:val="single"/>
        </w:rPr>
        <w:t>Purpose and operation</w:t>
      </w:r>
    </w:p>
    <w:p w14:paraId="0E605B6F" w14:textId="77777777" w:rsidR="00933340" w:rsidRPr="00527A45" w:rsidRDefault="00933340" w:rsidP="00F77AA0">
      <w:pPr>
        <w:rPr>
          <w:rFonts w:cs="Times New Roman"/>
          <w:szCs w:val="24"/>
          <w:u w:val="single"/>
        </w:rPr>
      </w:pPr>
    </w:p>
    <w:p w14:paraId="199305F8" w14:textId="45EDE70F" w:rsidR="001337A5" w:rsidRPr="00527A45" w:rsidRDefault="008D576B" w:rsidP="002E7744">
      <w:r w:rsidRPr="00527A45">
        <w:t xml:space="preserve">The Ordinance amends the </w:t>
      </w:r>
      <w:r w:rsidR="001337A5" w:rsidRPr="00527A45">
        <w:rPr>
          <w:i/>
        </w:rPr>
        <w:t>Employment Act 1988</w:t>
      </w:r>
      <w:r w:rsidR="001337A5" w:rsidRPr="00527A45">
        <w:t xml:space="preserve"> (NI) (Employment Act) </w:t>
      </w:r>
      <w:r w:rsidR="002E7744" w:rsidRPr="00527A45">
        <w:t xml:space="preserve">to </w:t>
      </w:r>
      <w:r w:rsidR="00577E90" w:rsidRPr="00527A45">
        <w:t xml:space="preserve">insert new provisions </w:t>
      </w:r>
      <w:r w:rsidR="00FD2FEE" w:rsidRPr="00527A45">
        <w:t xml:space="preserve">relating to the </w:t>
      </w:r>
      <w:r w:rsidR="001337A5" w:rsidRPr="00527A45">
        <w:t>indexation</w:t>
      </w:r>
      <w:r w:rsidR="00FD2FEE" w:rsidRPr="00527A45">
        <w:t xml:space="preserve"> of c</w:t>
      </w:r>
      <w:r w:rsidR="001337A5" w:rsidRPr="00527A45">
        <w:t xml:space="preserve">ompensation amounts payable under the </w:t>
      </w:r>
      <w:r w:rsidR="00FD2FEE" w:rsidRPr="00527A45">
        <w:t>N</w:t>
      </w:r>
      <w:r w:rsidR="001337A5" w:rsidRPr="00527A45">
        <w:t xml:space="preserve">orfolk Island Workers’ Compensation Scheme. </w:t>
      </w:r>
    </w:p>
    <w:p w14:paraId="056B5CEA" w14:textId="59D6D620" w:rsidR="001337A5" w:rsidRPr="00527A45" w:rsidRDefault="001337A5" w:rsidP="002E7744"/>
    <w:p w14:paraId="7F8A231B" w14:textId="7AF509EB" w:rsidR="00927EAA" w:rsidRPr="00527A45" w:rsidRDefault="00927EAA" w:rsidP="00927EAA">
      <w:pPr>
        <w:spacing w:after="120"/>
      </w:pPr>
      <w:r w:rsidRPr="00527A45">
        <w:t xml:space="preserve">The </w:t>
      </w:r>
      <w:r w:rsidR="00FD2FEE" w:rsidRPr="00527A45">
        <w:t>compensation a</w:t>
      </w:r>
      <w:r w:rsidRPr="00527A45">
        <w:t>mounts</w:t>
      </w:r>
      <w:r w:rsidR="00FD2FEE" w:rsidRPr="00527A45">
        <w:t xml:space="preserve"> </w:t>
      </w:r>
      <w:r w:rsidRPr="00527A45">
        <w:t xml:space="preserve">are prescribed in the </w:t>
      </w:r>
      <w:r w:rsidRPr="00527A45">
        <w:rPr>
          <w:i/>
        </w:rPr>
        <w:t>Norfolk Island Employment Rules 2020</w:t>
      </w:r>
      <w:r w:rsidRPr="00527A45">
        <w:t xml:space="preserve"> and are payable where</w:t>
      </w:r>
      <w:r w:rsidR="005E2777" w:rsidRPr="00527A45">
        <w:t>:</w:t>
      </w:r>
      <w:r w:rsidRPr="00527A45">
        <w:t xml:space="preserve"> </w:t>
      </w:r>
    </w:p>
    <w:p w14:paraId="789219B8" w14:textId="5ABE5181" w:rsidR="00927EAA" w:rsidRPr="00527A45" w:rsidRDefault="00927EAA" w:rsidP="00927EAA">
      <w:pPr>
        <w:pStyle w:val="BulletDot"/>
      </w:pPr>
      <w:r w:rsidRPr="00527A45">
        <w:t xml:space="preserve">an employee suffers incapacity resulting in a loss or diminution of the employee’s capacity to earn, or </w:t>
      </w:r>
    </w:p>
    <w:p w14:paraId="408689A6" w14:textId="40F5DAF1" w:rsidR="00927EAA" w:rsidRPr="00527A45" w:rsidRDefault="00927EAA" w:rsidP="005E2777">
      <w:pPr>
        <w:pStyle w:val="BulletDot"/>
        <w:spacing w:after="0"/>
      </w:pPr>
      <w:r w:rsidRPr="00527A45">
        <w:t xml:space="preserve">a report of a permanent incapacity assessment indicates that the employee has suffered permanent incapacity. </w:t>
      </w:r>
    </w:p>
    <w:p w14:paraId="32DD2738" w14:textId="77777777" w:rsidR="005E2777" w:rsidRPr="00527A45" w:rsidRDefault="005E2777" w:rsidP="005E2777"/>
    <w:p w14:paraId="21E173BA" w14:textId="52BF16A9" w:rsidR="00BF74A3" w:rsidRPr="00527A45" w:rsidRDefault="005E2777" w:rsidP="005E2777">
      <w:r w:rsidRPr="00527A45">
        <w:t xml:space="preserve">In order for these amounts to be indexed </w:t>
      </w:r>
      <w:r w:rsidR="00577E90" w:rsidRPr="00527A45">
        <w:t>annually</w:t>
      </w:r>
      <w:r w:rsidRPr="00527A45">
        <w:t>, the Ordinance inserts a new indexation method into the Employment Act which relies on the All Groups Consumer Price Index (CPI) published by the Australian Statistician for the March quarter</w:t>
      </w:r>
      <w:r w:rsidR="00577E90" w:rsidRPr="00527A45">
        <w:t xml:space="preserve">. This replaces a method </w:t>
      </w:r>
      <w:r w:rsidR="004E404C" w:rsidRPr="00527A45">
        <w:t>that</w:t>
      </w:r>
      <w:r w:rsidR="00577E90" w:rsidRPr="00527A45">
        <w:t xml:space="preserve"> relied on the </w:t>
      </w:r>
      <w:r w:rsidRPr="00527A45">
        <w:t xml:space="preserve">Norfolk Island Retail Price Index (RPI) which is no longer calculated. </w:t>
      </w:r>
      <w:r w:rsidR="00927EAA" w:rsidRPr="00527A45">
        <w:t xml:space="preserve">  </w:t>
      </w:r>
      <w:r w:rsidR="00BF74A3" w:rsidRPr="00527A45">
        <w:t xml:space="preserve"> </w:t>
      </w:r>
    </w:p>
    <w:p w14:paraId="2127C690" w14:textId="7D8C69F6" w:rsidR="003B670B" w:rsidRPr="00527A45" w:rsidRDefault="003B670B" w:rsidP="002E7744"/>
    <w:p w14:paraId="0ECA0C2A" w14:textId="66F46EA5" w:rsidR="005E2777" w:rsidRPr="00527A45" w:rsidRDefault="005E2777" w:rsidP="002E7744">
      <w:r w:rsidRPr="00527A45">
        <w:t xml:space="preserve">The new </w:t>
      </w:r>
      <w:r w:rsidR="00FD2FEE" w:rsidRPr="00527A45">
        <w:t>provisions</w:t>
      </w:r>
      <w:r w:rsidRPr="00527A45">
        <w:t xml:space="preserve"> </w:t>
      </w:r>
      <w:r w:rsidR="00FD2FEE" w:rsidRPr="00527A45">
        <w:t xml:space="preserve">also </w:t>
      </w:r>
      <w:r w:rsidRPr="00527A45">
        <w:t>require the</w:t>
      </w:r>
      <w:r w:rsidR="00FD2FEE" w:rsidRPr="00527A45">
        <w:t xml:space="preserve"> indexed </w:t>
      </w:r>
      <w:r w:rsidR="00734E45" w:rsidRPr="00527A45">
        <w:t xml:space="preserve">compensation </w:t>
      </w:r>
      <w:r w:rsidR="00FD2FEE" w:rsidRPr="00527A45">
        <w:t>amounts to be payable after 1 July each year and to be published by notifiable instrument.</w:t>
      </w:r>
      <w:r w:rsidRPr="00527A45">
        <w:t xml:space="preserve"> </w:t>
      </w:r>
    </w:p>
    <w:p w14:paraId="4CB41E66" w14:textId="77777777" w:rsidR="00B3281D" w:rsidRPr="00527A45" w:rsidRDefault="00933340" w:rsidP="00FD2FEE">
      <w:pPr>
        <w:keepNext/>
        <w:rPr>
          <w:rFonts w:cs="Times New Roman"/>
          <w:szCs w:val="24"/>
          <w:u w:val="single"/>
        </w:rPr>
      </w:pPr>
      <w:r w:rsidRPr="00527A45">
        <w:rPr>
          <w:rFonts w:cs="Times New Roman"/>
          <w:szCs w:val="24"/>
          <w:u w:val="single"/>
        </w:rPr>
        <w:lastRenderedPageBreak/>
        <w:t>Consultation</w:t>
      </w:r>
    </w:p>
    <w:p w14:paraId="34FF19AE" w14:textId="77777777" w:rsidR="00F77AA0" w:rsidRPr="00527A45" w:rsidRDefault="00F77AA0" w:rsidP="00F77AA0">
      <w:pPr>
        <w:rPr>
          <w:rFonts w:cs="Times New Roman"/>
          <w:szCs w:val="24"/>
          <w:u w:val="single"/>
        </w:rPr>
      </w:pPr>
    </w:p>
    <w:p w14:paraId="421FE80D" w14:textId="0406D75B" w:rsidR="00F77AA0" w:rsidRPr="00527A45" w:rsidRDefault="009B7B93" w:rsidP="00F77AA0">
      <w:pPr>
        <w:rPr>
          <w:rFonts w:cs="Times New Roman"/>
          <w:szCs w:val="24"/>
        </w:rPr>
      </w:pPr>
      <w:r w:rsidRPr="00527A45">
        <w:rPr>
          <w:rFonts w:cs="Times New Roman"/>
          <w:szCs w:val="24"/>
        </w:rPr>
        <w:t xml:space="preserve">The Australian Bureau of Statistics and the Attorney-General’s Department were consulted during the development of the Ordinance. </w:t>
      </w:r>
    </w:p>
    <w:p w14:paraId="5D161935" w14:textId="77777777" w:rsidR="001B2CCB" w:rsidRPr="00527A45" w:rsidRDefault="001B2CCB" w:rsidP="00F77AA0">
      <w:pPr>
        <w:rPr>
          <w:rFonts w:cs="Times New Roman"/>
          <w:szCs w:val="24"/>
          <w:u w:val="single"/>
        </w:rPr>
      </w:pPr>
    </w:p>
    <w:p w14:paraId="33D1E1F8" w14:textId="77777777" w:rsidR="004C6BE8" w:rsidRPr="00527A45" w:rsidRDefault="00B3281D" w:rsidP="00F77AA0">
      <w:pPr>
        <w:rPr>
          <w:rFonts w:cs="Times New Roman"/>
          <w:szCs w:val="24"/>
          <w:u w:val="single"/>
        </w:rPr>
      </w:pPr>
      <w:r w:rsidRPr="00527A45">
        <w:rPr>
          <w:rFonts w:cs="Times New Roman"/>
          <w:szCs w:val="24"/>
          <w:u w:val="single"/>
        </w:rPr>
        <w:t>Other</w:t>
      </w:r>
    </w:p>
    <w:p w14:paraId="15D6A729" w14:textId="77777777" w:rsidR="00F77AA0" w:rsidRPr="00527A45" w:rsidRDefault="00F77AA0" w:rsidP="00F77AA0">
      <w:pPr>
        <w:rPr>
          <w:rFonts w:cs="Times New Roman"/>
          <w:szCs w:val="24"/>
          <w:u w:val="single"/>
        </w:rPr>
      </w:pPr>
    </w:p>
    <w:p w14:paraId="66D78EFB" w14:textId="77777777" w:rsidR="00B3281D" w:rsidRPr="00527A45" w:rsidRDefault="00B3281D" w:rsidP="00F77AA0">
      <w:pPr>
        <w:tabs>
          <w:tab w:val="left" w:pos="1701"/>
          <w:tab w:val="right" w:pos="9072"/>
        </w:tabs>
        <w:ind w:right="91"/>
        <w:rPr>
          <w:rFonts w:cs="Times New Roman"/>
        </w:rPr>
      </w:pPr>
      <w:r w:rsidRPr="00527A45">
        <w:rPr>
          <w:rFonts w:cs="Times New Roman"/>
        </w:rPr>
        <w:t xml:space="preserve">The Ordinance is a legislative instrument for the purposes of the </w:t>
      </w:r>
      <w:r w:rsidRPr="00527A45">
        <w:rPr>
          <w:rFonts w:cs="Times New Roman"/>
          <w:i/>
        </w:rPr>
        <w:t>Legislation Act 2003</w:t>
      </w:r>
      <w:r w:rsidRPr="00527A45">
        <w:rPr>
          <w:rFonts w:cs="Times New Roman"/>
        </w:rPr>
        <w:t>.</w:t>
      </w:r>
    </w:p>
    <w:p w14:paraId="76953123" w14:textId="77777777" w:rsidR="0087522E" w:rsidRPr="00527A45" w:rsidRDefault="0087522E" w:rsidP="00F77AA0">
      <w:pPr>
        <w:tabs>
          <w:tab w:val="left" w:pos="1701"/>
          <w:tab w:val="right" w:pos="9072"/>
        </w:tabs>
        <w:ind w:right="91"/>
        <w:rPr>
          <w:rFonts w:cs="Times New Roman"/>
        </w:rPr>
      </w:pPr>
    </w:p>
    <w:p w14:paraId="548AF284" w14:textId="77777777" w:rsidR="00933340" w:rsidRPr="00527A45" w:rsidRDefault="00933340" w:rsidP="00F77AA0">
      <w:pPr>
        <w:tabs>
          <w:tab w:val="left" w:pos="1701"/>
          <w:tab w:val="right" w:pos="9072"/>
        </w:tabs>
        <w:ind w:right="91"/>
        <w:rPr>
          <w:rFonts w:cs="Times New Roman"/>
        </w:rPr>
      </w:pPr>
      <w:r w:rsidRPr="00527A45">
        <w:rPr>
          <w:rFonts w:cs="Times New Roman"/>
        </w:rPr>
        <w:t>The Ordinance commences the day after registration on the Federal Register of Legislation.</w:t>
      </w:r>
    </w:p>
    <w:p w14:paraId="718693E2" w14:textId="77777777" w:rsidR="00F77AA0" w:rsidRPr="00527A45" w:rsidRDefault="00F77AA0" w:rsidP="00F77AA0">
      <w:pPr>
        <w:tabs>
          <w:tab w:val="left" w:pos="1701"/>
          <w:tab w:val="right" w:pos="9072"/>
        </w:tabs>
        <w:ind w:right="91"/>
        <w:rPr>
          <w:rFonts w:cs="Times New Roman"/>
        </w:rPr>
      </w:pPr>
    </w:p>
    <w:p w14:paraId="52E42E73" w14:textId="1215B360" w:rsidR="00B3281D" w:rsidRPr="00527A45" w:rsidRDefault="00B3281D" w:rsidP="00F77AA0">
      <w:pPr>
        <w:tabs>
          <w:tab w:val="left" w:pos="1701"/>
          <w:tab w:val="right" w:pos="9072"/>
        </w:tabs>
        <w:ind w:right="91"/>
        <w:rPr>
          <w:rFonts w:cs="Times New Roman"/>
        </w:rPr>
      </w:pPr>
      <w:r w:rsidRPr="00527A45">
        <w:rPr>
          <w:rFonts w:cs="Times New Roman"/>
        </w:rPr>
        <w:t xml:space="preserve">Details of the Ordinance are set out in the </w:t>
      </w:r>
      <w:r w:rsidRPr="00527A45">
        <w:rPr>
          <w:rFonts w:cs="Times New Roman"/>
          <w:u w:val="single"/>
        </w:rPr>
        <w:t>Attachment</w:t>
      </w:r>
      <w:r w:rsidRPr="00527A45">
        <w:rPr>
          <w:rFonts w:cs="Times New Roman"/>
        </w:rPr>
        <w:t>.</w:t>
      </w:r>
    </w:p>
    <w:p w14:paraId="16D6DA9B" w14:textId="77777777" w:rsidR="00C42F21" w:rsidRPr="00527A45" w:rsidRDefault="00C42F21" w:rsidP="00F77AA0">
      <w:pPr>
        <w:rPr>
          <w:rFonts w:cs="Times New Roman"/>
          <w:b/>
          <w:sz w:val="28"/>
        </w:rPr>
      </w:pPr>
    </w:p>
    <w:p w14:paraId="7EC70C46" w14:textId="77777777" w:rsidR="00D51EDB" w:rsidRPr="00527A45" w:rsidRDefault="00D51EDB">
      <w:pPr>
        <w:spacing w:after="200" w:line="276" w:lineRule="auto"/>
        <w:rPr>
          <w:rFonts w:cs="Times New Roman"/>
          <w:b/>
          <w:szCs w:val="28"/>
        </w:rPr>
      </w:pPr>
      <w:r w:rsidRPr="00527A45">
        <w:rPr>
          <w:rFonts w:cs="Times New Roman"/>
        </w:rPr>
        <w:br w:type="page"/>
      </w:r>
    </w:p>
    <w:p w14:paraId="00B2CC11" w14:textId="43892115" w:rsidR="00064431" w:rsidRPr="00527A45" w:rsidRDefault="00064431" w:rsidP="00AB0A6C">
      <w:pPr>
        <w:pStyle w:val="Heading2"/>
        <w:spacing w:before="0"/>
        <w:rPr>
          <w:rFonts w:cs="Times New Roman"/>
        </w:rPr>
      </w:pPr>
      <w:r w:rsidRPr="00527A45">
        <w:rPr>
          <w:rFonts w:cs="Times New Roman"/>
        </w:rPr>
        <w:lastRenderedPageBreak/>
        <w:t>Statement of Compatibility with Human Rights</w:t>
      </w:r>
    </w:p>
    <w:p w14:paraId="664B4E3D" w14:textId="77777777" w:rsidR="00064431" w:rsidRPr="00527A45" w:rsidRDefault="00064431" w:rsidP="00F77AA0">
      <w:pPr>
        <w:jc w:val="center"/>
        <w:rPr>
          <w:rFonts w:cs="Times New Roman"/>
          <w:szCs w:val="24"/>
        </w:rPr>
      </w:pPr>
      <w:r w:rsidRPr="00527A45">
        <w:rPr>
          <w:rFonts w:cs="Times New Roman"/>
          <w:i/>
          <w:szCs w:val="24"/>
        </w:rPr>
        <w:t>Prepared in accordance with Part 3 of the Human Rights (Parliamentary Scrutiny) Act 2011</w:t>
      </w:r>
    </w:p>
    <w:p w14:paraId="72055E7D" w14:textId="77777777" w:rsidR="00064431" w:rsidRPr="00527A45" w:rsidRDefault="00064431" w:rsidP="00F77AA0">
      <w:pPr>
        <w:jc w:val="center"/>
        <w:rPr>
          <w:rFonts w:cs="Times New Roman"/>
          <w:szCs w:val="24"/>
        </w:rPr>
      </w:pPr>
    </w:p>
    <w:p w14:paraId="5306CF08" w14:textId="5B297272" w:rsidR="00064431" w:rsidRPr="00527A45" w:rsidRDefault="004700CC" w:rsidP="00AB0A6C">
      <w:pPr>
        <w:jc w:val="center"/>
        <w:rPr>
          <w:rFonts w:cs="Times New Roman"/>
          <w:b/>
          <w:szCs w:val="24"/>
        </w:rPr>
      </w:pPr>
      <w:r w:rsidRPr="00527A45">
        <w:rPr>
          <w:rFonts w:cs="Times New Roman"/>
          <w:b/>
          <w:szCs w:val="24"/>
        </w:rPr>
        <w:t>Norfolk Island Continued Laws Amendment</w:t>
      </w:r>
      <w:r w:rsidR="00064431" w:rsidRPr="00527A45">
        <w:rPr>
          <w:rFonts w:cs="Times New Roman"/>
          <w:b/>
          <w:szCs w:val="24"/>
        </w:rPr>
        <w:t xml:space="preserve"> </w:t>
      </w:r>
      <w:r w:rsidRPr="00527A45">
        <w:rPr>
          <w:rFonts w:cs="Times New Roman"/>
          <w:b/>
          <w:szCs w:val="24"/>
        </w:rPr>
        <w:t>(</w:t>
      </w:r>
      <w:r w:rsidR="00E32696">
        <w:rPr>
          <w:rFonts w:cs="Times New Roman"/>
          <w:b/>
          <w:szCs w:val="24"/>
        </w:rPr>
        <w:t>Employment</w:t>
      </w:r>
      <w:r w:rsidR="00AB0A6C" w:rsidRPr="00527A45">
        <w:rPr>
          <w:rFonts w:cs="Times New Roman"/>
          <w:b/>
          <w:szCs w:val="24"/>
        </w:rPr>
        <w:t>) Ordinance 2021</w:t>
      </w:r>
    </w:p>
    <w:p w14:paraId="474135DB" w14:textId="77777777" w:rsidR="00064431" w:rsidRPr="00527A45" w:rsidRDefault="00064431" w:rsidP="00AB0A6C">
      <w:pPr>
        <w:jc w:val="center"/>
        <w:rPr>
          <w:rFonts w:cs="Times New Roman"/>
          <w:szCs w:val="24"/>
        </w:rPr>
      </w:pPr>
    </w:p>
    <w:p w14:paraId="2BBBE522" w14:textId="77777777" w:rsidR="00064431" w:rsidRPr="00527A45" w:rsidRDefault="004C6BE8" w:rsidP="00AB0A6C">
      <w:pPr>
        <w:jc w:val="center"/>
        <w:rPr>
          <w:rFonts w:cs="Times New Roman"/>
          <w:szCs w:val="24"/>
        </w:rPr>
      </w:pPr>
      <w:r w:rsidRPr="00527A45">
        <w:rPr>
          <w:rFonts w:cs="Times New Roman"/>
          <w:szCs w:val="24"/>
        </w:rPr>
        <w:t xml:space="preserve">This Disallowable Legislative Instrument </w:t>
      </w:r>
      <w:r w:rsidR="00064431" w:rsidRPr="00527A45">
        <w:rPr>
          <w:rFonts w:cs="Times New Roman"/>
          <w:szCs w:val="24"/>
        </w:rPr>
        <w:t xml:space="preserve">is compatible with the human rights and freedoms recognised or declared in the international instruments listed in section 3 of the </w:t>
      </w:r>
      <w:r w:rsidR="00064431" w:rsidRPr="00527A45">
        <w:rPr>
          <w:rFonts w:cs="Times New Roman"/>
          <w:i/>
          <w:szCs w:val="24"/>
        </w:rPr>
        <w:t>Human Rights (Parliamentary Scrutiny) Act 2011</w:t>
      </w:r>
      <w:r w:rsidR="00064431" w:rsidRPr="00527A45">
        <w:rPr>
          <w:rFonts w:cs="Times New Roman"/>
          <w:szCs w:val="24"/>
        </w:rPr>
        <w:t>.</w:t>
      </w:r>
    </w:p>
    <w:p w14:paraId="62520345" w14:textId="77777777" w:rsidR="00064431" w:rsidRPr="00527A45" w:rsidRDefault="00064431" w:rsidP="00AB0A6C">
      <w:pPr>
        <w:rPr>
          <w:rFonts w:cs="Times New Roman"/>
          <w:szCs w:val="24"/>
        </w:rPr>
      </w:pPr>
    </w:p>
    <w:p w14:paraId="7F545790" w14:textId="77777777" w:rsidR="00064431" w:rsidRPr="00527A45" w:rsidRDefault="00064431" w:rsidP="00AB0A6C">
      <w:pPr>
        <w:pStyle w:val="Heading3"/>
        <w:spacing w:before="0" w:after="0"/>
        <w:rPr>
          <w:rFonts w:cs="Times New Roman"/>
        </w:rPr>
      </w:pPr>
      <w:r w:rsidRPr="00527A45">
        <w:rPr>
          <w:rFonts w:cs="Times New Roman"/>
        </w:rPr>
        <w:t xml:space="preserve">Overview of the </w:t>
      </w:r>
      <w:r w:rsidR="004C6BE8" w:rsidRPr="00527A45">
        <w:rPr>
          <w:rFonts w:cs="Times New Roman"/>
        </w:rPr>
        <w:t>Ordinance</w:t>
      </w:r>
    </w:p>
    <w:p w14:paraId="61B025EC" w14:textId="77777777" w:rsidR="00F77AA0" w:rsidRPr="00527A45" w:rsidRDefault="00F77AA0" w:rsidP="00AB0A6C"/>
    <w:p w14:paraId="57593A56" w14:textId="77777777" w:rsidR="00AB0A6C" w:rsidRPr="00527A45" w:rsidRDefault="00AB0A6C" w:rsidP="00AB0A6C">
      <w:pPr>
        <w:rPr>
          <w:rFonts w:cs="Times New Roman"/>
          <w:szCs w:val="24"/>
          <w:u w:val="single"/>
        </w:rPr>
      </w:pPr>
      <w:r w:rsidRPr="00527A45">
        <w:rPr>
          <w:rFonts w:cs="Times New Roman"/>
          <w:szCs w:val="24"/>
          <w:u w:val="single"/>
        </w:rPr>
        <w:t>Purpose and operation</w:t>
      </w:r>
    </w:p>
    <w:p w14:paraId="151FD36E" w14:textId="77777777" w:rsidR="00AB0A6C" w:rsidRPr="00527A45" w:rsidRDefault="00AB0A6C" w:rsidP="00AB0A6C">
      <w:pPr>
        <w:rPr>
          <w:rFonts w:cs="Times New Roman"/>
          <w:szCs w:val="24"/>
          <w:u w:val="single"/>
        </w:rPr>
      </w:pPr>
    </w:p>
    <w:p w14:paraId="00FEE2CE" w14:textId="77777777" w:rsidR="00AB0A6C" w:rsidRPr="00527A45" w:rsidRDefault="00AB0A6C" w:rsidP="00AB0A6C">
      <w:r w:rsidRPr="00527A45">
        <w:t xml:space="preserve">The Ordinance amends the </w:t>
      </w:r>
      <w:r w:rsidRPr="00527A45">
        <w:rPr>
          <w:i/>
        </w:rPr>
        <w:t>Employment Act 1988</w:t>
      </w:r>
      <w:r w:rsidRPr="00527A45">
        <w:t xml:space="preserve"> (NI) (Employment Act) to insert new provisions relating to the indexation of compensation amounts payable under the Norfolk Island Workers’ Compensation Scheme. </w:t>
      </w:r>
    </w:p>
    <w:p w14:paraId="4D4FA305" w14:textId="77777777" w:rsidR="00AB0A6C" w:rsidRPr="00527A45" w:rsidRDefault="00AB0A6C" w:rsidP="00AB0A6C"/>
    <w:p w14:paraId="032DDAC7" w14:textId="77777777" w:rsidR="00AB0A6C" w:rsidRPr="00527A45" w:rsidRDefault="00AB0A6C" w:rsidP="00AB0A6C">
      <w:pPr>
        <w:spacing w:after="120"/>
      </w:pPr>
      <w:r w:rsidRPr="00527A45">
        <w:t xml:space="preserve">The compensation amounts are prescribed in the </w:t>
      </w:r>
      <w:r w:rsidRPr="00527A45">
        <w:rPr>
          <w:i/>
        </w:rPr>
        <w:t>Norfolk Island Employment Rules 2020</w:t>
      </w:r>
      <w:r w:rsidRPr="00527A45">
        <w:t xml:space="preserve"> and are payable where: </w:t>
      </w:r>
    </w:p>
    <w:p w14:paraId="112EA8B6" w14:textId="77777777" w:rsidR="00AB0A6C" w:rsidRPr="00527A45" w:rsidRDefault="00AB0A6C" w:rsidP="00AB0A6C">
      <w:pPr>
        <w:pStyle w:val="BulletDot"/>
      </w:pPr>
      <w:r w:rsidRPr="00527A45">
        <w:t xml:space="preserve">an employee suffers incapacity resulting in a loss or diminution of the employee’s capacity to earn, or </w:t>
      </w:r>
    </w:p>
    <w:p w14:paraId="460B0C3C" w14:textId="77777777" w:rsidR="00AB0A6C" w:rsidRPr="00527A45" w:rsidRDefault="00AB0A6C" w:rsidP="00AB0A6C">
      <w:pPr>
        <w:pStyle w:val="BulletDot"/>
        <w:spacing w:after="0"/>
      </w:pPr>
      <w:r w:rsidRPr="00527A45">
        <w:t xml:space="preserve">a report of a permanent incapacity assessment indicates that the employee has suffered permanent incapacity. </w:t>
      </w:r>
    </w:p>
    <w:p w14:paraId="30E13A88" w14:textId="77777777" w:rsidR="00AB0A6C" w:rsidRPr="00527A45" w:rsidRDefault="00AB0A6C" w:rsidP="00AB0A6C"/>
    <w:p w14:paraId="4B8F39FD" w14:textId="471F8F10" w:rsidR="00AB0A6C" w:rsidRPr="00527A45" w:rsidRDefault="00AB0A6C" w:rsidP="00AB0A6C">
      <w:r w:rsidRPr="00527A45">
        <w:t xml:space="preserve">In order for these amounts to be indexed annually, the Ordinance inserts a new indexation method into the Employment Act which relies on the All Groups Consumer Price Index (CPI) published by the Australian Statistician for the March quarter. This replaces a method </w:t>
      </w:r>
      <w:r w:rsidR="004E404C" w:rsidRPr="00527A45">
        <w:t>that</w:t>
      </w:r>
      <w:r w:rsidRPr="00527A45">
        <w:t xml:space="preserve"> relied on the Norfolk Island Retail Price Index (RPI) which is no longer calculated.    </w:t>
      </w:r>
    </w:p>
    <w:p w14:paraId="50B07CCB" w14:textId="77777777" w:rsidR="00AB0A6C" w:rsidRPr="00527A45" w:rsidRDefault="00AB0A6C" w:rsidP="00AB0A6C"/>
    <w:p w14:paraId="1DB06871" w14:textId="26FEDF45" w:rsidR="00AB0A6C" w:rsidRPr="00527A45" w:rsidRDefault="00AB0A6C" w:rsidP="00AB0A6C">
      <w:r w:rsidRPr="00527A45">
        <w:t xml:space="preserve">The new provisions also require the indexed amounts to be payable after 1 July each year and to be published by notifiable instrument. </w:t>
      </w:r>
    </w:p>
    <w:p w14:paraId="1AC82A3E" w14:textId="77777777" w:rsidR="00AB0A6C" w:rsidRPr="00527A45" w:rsidRDefault="00AB0A6C" w:rsidP="00AB0A6C"/>
    <w:p w14:paraId="3817F057" w14:textId="7EDEAACA" w:rsidR="00064431" w:rsidRPr="00527A45" w:rsidRDefault="00064431" w:rsidP="00AB0A6C">
      <w:pPr>
        <w:pStyle w:val="Heading3"/>
        <w:keepNext/>
        <w:keepLines/>
        <w:spacing w:before="0" w:after="0"/>
        <w:rPr>
          <w:rFonts w:cs="Times New Roman"/>
        </w:rPr>
      </w:pPr>
      <w:r w:rsidRPr="00527A45">
        <w:rPr>
          <w:rFonts w:cs="Times New Roman"/>
        </w:rPr>
        <w:t>Human rights implications</w:t>
      </w:r>
    </w:p>
    <w:p w14:paraId="096BFBB2" w14:textId="77777777" w:rsidR="00B72E71" w:rsidRPr="00527A45" w:rsidRDefault="00B72E71" w:rsidP="00AB0A6C"/>
    <w:p w14:paraId="1DA2D5FC" w14:textId="51F1696E" w:rsidR="00AB0A6C" w:rsidRPr="00527A45" w:rsidRDefault="00AB0A6C" w:rsidP="00AB0A6C">
      <w:pPr>
        <w:rPr>
          <w:rFonts w:cs="Times New Roman"/>
          <w:b/>
          <w:szCs w:val="24"/>
        </w:rPr>
      </w:pPr>
      <w:r w:rsidRPr="00527A45">
        <w:rPr>
          <w:szCs w:val="24"/>
        </w:rPr>
        <w:t xml:space="preserve">This Ordinance does not engage any of the applicable rights or </w:t>
      </w:r>
      <w:r w:rsidRPr="00527A45">
        <w:rPr>
          <w:rFonts w:cs="Times New Roman"/>
          <w:szCs w:val="24"/>
        </w:rPr>
        <w:t>freedoms.</w:t>
      </w:r>
    </w:p>
    <w:p w14:paraId="5F4DEB0B" w14:textId="77777777" w:rsidR="002D7586" w:rsidRPr="00527A45" w:rsidRDefault="002D7586" w:rsidP="00AB0A6C">
      <w:pPr>
        <w:rPr>
          <w:rFonts w:asciiTheme="minorHAnsi" w:hAnsiTheme="minorHAnsi" w:cstheme="minorHAnsi"/>
          <w:sz w:val="20"/>
          <w:szCs w:val="24"/>
        </w:rPr>
      </w:pPr>
    </w:p>
    <w:p w14:paraId="4A2C4E35" w14:textId="77777777" w:rsidR="0065380C" w:rsidRPr="00527A45" w:rsidRDefault="00064431" w:rsidP="00AB0A6C">
      <w:pPr>
        <w:pStyle w:val="Heading3"/>
        <w:spacing w:before="0" w:after="0"/>
        <w:rPr>
          <w:rFonts w:cs="Times New Roman"/>
        </w:rPr>
      </w:pPr>
      <w:r w:rsidRPr="00527A45">
        <w:rPr>
          <w:rFonts w:cs="Times New Roman"/>
        </w:rPr>
        <w:t>Conclusion</w:t>
      </w:r>
    </w:p>
    <w:p w14:paraId="3FDDFD75" w14:textId="2583BE67" w:rsidR="00064431" w:rsidRPr="00527A45" w:rsidRDefault="00064431" w:rsidP="00AB0A6C">
      <w:pPr>
        <w:pStyle w:val="Heading3"/>
        <w:spacing w:before="0" w:after="0"/>
        <w:rPr>
          <w:rFonts w:cs="Times New Roman"/>
        </w:rPr>
      </w:pPr>
      <w:r w:rsidRPr="00527A45">
        <w:rPr>
          <w:rFonts w:cs="Times New Roman"/>
        </w:rPr>
        <w:t xml:space="preserve"> </w:t>
      </w:r>
    </w:p>
    <w:p w14:paraId="50A20C90" w14:textId="09671F6F" w:rsidR="00AB0A6C" w:rsidRPr="00527A45" w:rsidRDefault="00AB0A6C" w:rsidP="00AB0A6C">
      <w:pPr>
        <w:spacing w:after="120"/>
        <w:rPr>
          <w:szCs w:val="24"/>
        </w:rPr>
      </w:pPr>
      <w:r w:rsidRPr="00527A45">
        <w:rPr>
          <w:szCs w:val="24"/>
        </w:rPr>
        <w:t>This Ordinance is compatible with human rights as it does not raise any human rights issues.</w:t>
      </w:r>
    </w:p>
    <w:p w14:paraId="446DD903" w14:textId="77777777" w:rsidR="00D40D0D" w:rsidRPr="00527A45" w:rsidRDefault="00D40D0D" w:rsidP="00AB0A6C">
      <w:pPr>
        <w:rPr>
          <w:rFonts w:cs="Times New Roman"/>
          <w:szCs w:val="24"/>
        </w:rPr>
      </w:pPr>
    </w:p>
    <w:p w14:paraId="452B1484" w14:textId="77777777" w:rsidR="00B72E71" w:rsidRPr="00527A45" w:rsidRDefault="00B72E71" w:rsidP="00AB0A6C">
      <w:pPr>
        <w:keepNext/>
        <w:keepLines/>
        <w:jc w:val="center"/>
        <w:rPr>
          <w:rFonts w:cs="Times New Roman"/>
          <w:b/>
        </w:rPr>
      </w:pPr>
      <w:r w:rsidRPr="00527A45">
        <w:rPr>
          <w:rFonts w:cs="Times New Roman"/>
          <w:b/>
        </w:rPr>
        <w:t xml:space="preserve">Assistant Minister for Regional Development and Territories, </w:t>
      </w:r>
    </w:p>
    <w:p w14:paraId="20BEF049" w14:textId="77777777" w:rsidR="00B72E71" w:rsidRPr="00527A45" w:rsidRDefault="00B72E71" w:rsidP="00AB0A6C">
      <w:pPr>
        <w:keepNext/>
        <w:keepLines/>
        <w:jc w:val="center"/>
        <w:rPr>
          <w:rFonts w:cs="Times New Roman"/>
          <w:b/>
        </w:rPr>
      </w:pPr>
      <w:r w:rsidRPr="00527A45">
        <w:rPr>
          <w:rFonts w:cs="Times New Roman"/>
          <w:b/>
        </w:rPr>
        <w:t>Parliamentary Secretary to the Deputy Prime Minister and Minister for Infrastructure, Transport and Regional Development</w:t>
      </w:r>
    </w:p>
    <w:p w14:paraId="5814DC50" w14:textId="77777777" w:rsidR="00B72E71" w:rsidRPr="00527A45" w:rsidRDefault="00B72E71" w:rsidP="00AB0A6C">
      <w:pPr>
        <w:keepNext/>
        <w:keepLines/>
        <w:jc w:val="center"/>
        <w:rPr>
          <w:rFonts w:cs="Times New Roman"/>
          <w:b/>
        </w:rPr>
      </w:pPr>
    </w:p>
    <w:p w14:paraId="557B2CF4" w14:textId="33E92EEB" w:rsidR="00D40D0D" w:rsidRPr="00527A45" w:rsidRDefault="00B72E71" w:rsidP="00AB0A6C">
      <w:pPr>
        <w:keepNext/>
        <w:keepLines/>
        <w:jc w:val="center"/>
        <w:rPr>
          <w:rFonts w:cs="Times New Roman"/>
          <w:b/>
        </w:rPr>
      </w:pPr>
      <w:r w:rsidRPr="00527A45">
        <w:rPr>
          <w:rFonts w:cs="Times New Roman"/>
          <w:b/>
        </w:rPr>
        <w:t>The Hon Nola Marino MP</w:t>
      </w:r>
    </w:p>
    <w:p w14:paraId="0B666FD2" w14:textId="77777777" w:rsidR="006C54BF" w:rsidRPr="00527A45" w:rsidRDefault="006C54BF" w:rsidP="00AB0A6C">
      <w:pPr>
        <w:spacing w:after="200" w:line="276" w:lineRule="auto"/>
        <w:rPr>
          <w:rFonts w:cs="Times New Roman"/>
          <w:b/>
          <w:szCs w:val="24"/>
          <w:u w:val="single"/>
        </w:rPr>
      </w:pPr>
      <w:r w:rsidRPr="00527A45">
        <w:rPr>
          <w:rFonts w:cs="Times New Roman"/>
          <w:b/>
          <w:szCs w:val="24"/>
          <w:u w:val="single"/>
        </w:rPr>
        <w:br w:type="page"/>
      </w:r>
    </w:p>
    <w:p w14:paraId="3FEA10B8" w14:textId="312C4BD8" w:rsidR="00B72E71" w:rsidRPr="00527A45" w:rsidRDefault="00B72E71" w:rsidP="00B72E71">
      <w:pPr>
        <w:spacing w:before="120" w:after="120"/>
        <w:rPr>
          <w:rFonts w:cs="Times New Roman"/>
          <w:b/>
          <w:szCs w:val="24"/>
          <w:u w:val="single"/>
        </w:rPr>
      </w:pPr>
      <w:r w:rsidRPr="00527A45">
        <w:rPr>
          <w:rFonts w:cs="Times New Roman"/>
          <w:b/>
          <w:szCs w:val="24"/>
          <w:u w:val="single"/>
        </w:rPr>
        <w:lastRenderedPageBreak/>
        <w:t>ATTACHMENT—NOTES ON CLAUSES</w:t>
      </w:r>
    </w:p>
    <w:p w14:paraId="11904381" w14:textId="693B08D8" w:rsidR="00B72E71" w:rsidRPr="00527A45" w:rsidRDefault="00B72E71" w:rsidP="00B72E71">
      <w:pPr>
        <w:spacing w:before="120" w:after="120"/>
        <w:rPr>
          <w:rFonts w:cs="Times New Roman"/>
          <w:szCs w:val="24"/>
        </w:rPr>
      </w:pPr>
      <w:r w:rsidRPr="00527A45">
        <w:rPr>
          <w:rFonts w:cs="Times New Roman"/>
          <w:szCs w:val="24"/>
        </w:rPr>
        <w:t xml:space="preserve">This attachment explains the operation of individual provisions in the </w:t>
      </w:r>
      <w:r w:rsidRPr="00527A45">
        <w:rPr>
          <w:rFonts w:cs="Times New Roman"/>
          <w:i/>
          <w:szCs w:val="24"/>
        </w:rPr>
        <w:t>Norfolk Island Continued Laws Amendment (</w:t>
      </w:r>
      <w:r w:rsidR="00E32696">
        <w:rPr>
          <w:rFonts w:cs="Times New Roman"/>
          <w:i/>
          <w:szCs w:val="24"/>
        </w:rPr>
        <w:t>Employment</w:t>
      </w:r>
      <w:r w:rsidRPr="00527A45">
        <w:rPr>
          <w:rFonts w:cs="Times New Roman"/>
          <w:i/>
          <w:szCs w:val="24"/>
        </w:rPr>
        <w:t>) Ordinance 202</w:t>
      </w:r>
      <w:r w:rsidR="00AB0A6C" w:rsidRPr="00527A45">
        <w:rPr>
          <w:rFonts w:cs="Times New Roman"/>
          <w:i/>
          <w:szCs w:val="24"/>
        </w:rPr>
        <w:t>1</w:t>
      </w:r>
      <w:r w:rsidR="002E16DF" w:rsidRPr="00527A45">
        <w:rPr>
          <w:rFonts w:cs="Times New Roman"/>
          <w:szCs w:val="24"/>
        </w:rPr>
        <w:t>.</w:t>
      </w:r>
      <w:r w:rsidRPr="00527A45">
        <w:rPr>
          <w:rFonts w:cs="Times New Roman"/>
          <w:szCs w:val="24"/>
        </w:rPr>
        <w:t xml:space="preserve"> </w:t>
      </w:r>
    </w:p>
    <w:p w14:paraId="12382516" w14:textId="77777777" w:rsidR="002E7744" w:rsidRPr="00527A45" w:rsidRDefault="002E7744" w:rsidP="002E7744">
      <w:pPr>
        <w:ind w:right="91"/>
      </w:pPr>
      <w:r w:rsidRPr="00527A45">
        <w:rPr>
          <w:u w:val="single"/>
        </w:rPr>
        <w:t>Section 1 – Name of Ordinance</w:t>
      </w:r>
    </w:p>
    <w:p w14:paraId="0EF3696E" w14:textId="77777777" w:rsidR="002E7744" w:rsidRPr="00527A45" w:rsidRDefault="002E7744" w:rsidP="002E7744">
      <w:pPr>
        <w:ind w:right="91"/>
      </w:pPr>
    </w:p>
    <w:p w14:paraId="2B20496C" w14:textId="3A3C4A9C" w:rsidR="002E7744" w:rsidRPr="00527A45" w:rsidRDefault="002E7744" w:rsidP="002E7744">
      <w:pPr>
        <w:ind w:right="91"/>
        <w:rPr>
          <w:i/>
        </w:rPr>
      </w:pPr>
      <w:r w:rsidRPr="00527A45">
        <w:t xml:space="preserve">This section provides that the name of the Ordinance is the </w:t>
      </w:r>
      <w:r w:rsidRPr="00527A45">
        <w:rPr>
          <w:i/>
        </w:rPr>
        <w:t>Norfolk Island Continued Laws Amendment (</w:t>
      </w:r>
      <w:r w:rsidR="00E32696">
        <w:rPr>
          <w:i/>
        </w:rPr>
        <w:t>Employment</w:t>
      </w:r>
      <w:r w:rsidRPr="00527A45">
        <w:rPr>
          <w:i/>
        </w:rPr>
        <w:t>) Ordinance 202</w:t>
      </w:r>
      <w:r w:rsidR="002E16DF" w:rsidRPr="00527A45">
        <w:rPr>
          <w:i/>
        </w:rPr>
        <w:t>1</w:t>
      </w:r>
      <w:r w:rsidRPr="00527A45">
        <w:rPr>
          <w:i/>
        </w:rPr>
        <w:t xml:space="preserve"> </w:t>
      </w:r>
      <w:r w:rsidRPr="00527A45">
        <w:t>(the Ordinance)</w:t>
      </w:r>
      <w:r w:rsidRPr="00527A45">
        <w:rPr>
          <w:i/>
        </w:rPr>
        <w:t>.</w:t>
      </w:r>
    </w:p>
    <w:p w14:paraId="10AD9160" w14:textId="77777777" w:rsidR="002E7744" w:rsidRPr="00527A45" w:rsidRDefault="002E7744" w:rsidP="002E7744">
      <w:pPr>
        <w:ind w:right="91"/>
      </w:pPr>
    </w:p>
    <w:p w14:paraId="6DAEBAE2" w14:textId="77777777" w:rsidR="002E7744" w:rsidRPr="00527A45" w:rsidRDefault="002E7744" w:rsidP="002E7744">
      <w:pPr>
        <w:ind w:right="91"/>
        <w:rPr>
          <w:u w:val="single"/>
        </w:rPr>
      </w:pPr>
      <w:r w:rsidRPr="00527A45">
        <w:rPr>
          <w:u w:val="single"/>
        </w:rPr>
        <w:t>Section 2 – Commencement</w:t>
      </w:r>
    </w:p>
    <w:p w14:paraId="634453FB" w14:textId="77777777" w:rsidR="002E7744" w:rsidRPr="00527A45" w:rsidRDefault="002E7744" w:rsidP="002E7744">
      <w:pPr>
        <w:ind w:right="91"/>
      </w:pPr>
    </w:p>
    <w:p w14:paraId="4F56A2F8" w14:textId="5EBC5134" w:rsidR="002E7744" w:rsidRPr="00527A45" w:rsidRDefault="002E7744" w:rsidP="002E7744">
      <w:pPr>
        <w:tabs>
          <w:tab w:val="left" w:pos="6521"/>
        </w:tabs>
        <w:ind w:right="91"/>
      </w:pPr>
      <w:r w:rsidRPr="00527A45">
        <w:t>This section provides for the Ordinance to commence on the day after th</w:t>
      </w:r>
      <w:r w:rsidR="004E404C" w:rsidRPr="00527A45">
        <w:t>e</w:t>
      </w:r>
      <w:r w:rsidRPr="00527A45">
        <w:t xml:space="preserve"> Ordinance is registered. </w:t>
      </w:r>
    </w:p>
    <w:p w14:paraId="49B6D551" w14:textId="77777777" w:rsidR="002E7744" w:rsidRPr="00527A45" w:rsidRDefault="002E7744" w:rsidP="002E7744">
      <w:pPr>
        <w:ind w:right="91"/>
      </w:pPr>
    </w:p>
    <w:p w14:paraId="06225A5F" w14:textId="77777777" w:rsidR="002E7744" w:rsidRPr="00527A45" w:rsidRDefault="002E7744" w:rsidP="002E7744">
      <w:pPr>
        <w:ind w:right="91"/>
      </w:pPr>
      <w:r w:rsidRPr="00527A45">
        <w:rPr>
          <w:u w:val="single"/>
        </w:rPr>
        <w:t>Section 3 – Authority</w:t>
      </w:r>
    </w:p>
    <w:p w14:paraId="6EF1AF19" w14:textId="77777777" w:rsidR="002E7744" w:rsidRPr="00527A45" w:rsidRDefault="002E7744" w:rsidP="002E7744">
      <w:pPr>
        <w:ind w:right="91"/>
      </w:pPr>
    </w:p>
    <w:p w14:paraId="48D741F3" w14:textId="5887F775" w:rsidR="002E7744" w:rsidRPr="00527A45" w:rsidRDefault="002E7744" w:rsidP="002E7744">
      <w:pPr>
        <w:ind w:right="91"/>
      </w:pPr>
      <w:r w:rsidRPr="00527A45">
        <w:t xml:space="preserve">This section provides that the Ordinance is made under </w:t>
      </w:r>
      <w:r w:rsidR="002E16DF" w:rsidRPr="00527A45">
        <w:t xml:space="preserve">section 19A of </w:t>
      </w:r>
      <w:r w:rsidRPr="00527A45">
        <w:t xml:space="preserve">the </w:t>
      </w:r>
      <w:r w:rsidRPr="00527A45">
        <w:rPr>
          <w:i/>
        </w:rPr>
        <w:t>Norfolk Island Act 1979</w:t>
      </w:r>
      <w:r w:rsidRPr="00527A45">
        <w:t>.</w:t>
      </w:r>
    </w:p>
    <w:p w14:paraId="0509E877" w14:textId="77777777" w:rsidR="002E7744" w:rsidRPr="00527A45" w:rsidRDefault="002E7744" w:rsidP="002E7744">
      <w:pPr>
        <w:ind w:right="91"/>
      </w:pPr>
    </w:p>
    <w:p w14:paraId="6827C0E5" w14:textId="77777777" w:rsidR="002E7744" w:rsidRPr="00527A45" w:rsidRDefault="002E7744" w:rsidP="002E7744">
      <w:pPr>
        <w:ind w:right="91"/>
        <w:rPr>
          <w:u w:val="single"/>
        </w:rPr>
      </w:pPr>
      <w:r w:rsidRPr="00527A45">
        <w:rPr>
          <w:u w:val="single"/>
        </w:rPr>
        <w:t>Section 4 – Schedules</w:t>
      </w:r>
    </w:p>
    <w:p w14:paraId="581FFCB6" w14:textId="77777777" w:rsidR="002E7744" w:rsidRPr="00527A45" w:rsidRDefault="002E7744" w:rsidP="002E7744"/>
    <w:p w14:paraId="5E2EC50E" w14:textId="098C3966" w:rsidR="002E7744" w:rsidRPr="00527A45" w:rsidRDefault="002E7744" w:rsidP="002E7744">
      <w:r w:rsidRPr="00527A45">
        <w:t>This section provides that each instrument that is specified in a Schedule to th</w:t>
      </w:r>
      <w:r w:rsidR="004E404C" w:rsidRPr="00527A45">
        <w:t>e</w:t>
      </w:r>
      <w:r w:rsidRPr="00527A45">
        <w:t xml:space="preserve"> Ordinance is amended or repealed as set out in the applicable items in the Schedule concerned, and any other item in a Schedule to this Ordinance has effect according to its terms.</w:t>
      </w:r>
    </w:p>
    <w:p w14:paraId="434A9C5A" w14:textId="77777777" w:rsidR="002E7744" w:rsidRPr="00527A45" w:rsidRDefault="002E7744" w:rsidP="002E7744">
      <w:pPr>
        <w:ind w:right="91"/>
        <w:rPr>
          <w:u w:val="single"/>
        </w:rPr>
      </w:pPr>
    </w:p>
    <w:p w14:paraId="205D029D" w14:textId="2796F4BF" w:rsidR="002E7744" w:rsidRPr="00527A45" w:rsidRDefault="002E7744" w:rsidP="002E7744">
      <w:pPr>
        <w:ind w:right="91"/>
        <w:rPr>
          <w:b/>
        </w:rPr>
      </w:pPr>
      <w:r w:rsidRPr="00527A45">
        <w:rPr>
          <w:b/>
        </w:rPr>
        <w:t>Schedule 1—</w:t>
      </w:r>
      <w:r w:rsidR="002E16DF" w:rsidRPr="00527A45">
        <w:rPr>
          <w:b/>
        </w:rPr>
        <w:t>A</w:t>
      </w:r>
      <w:r w:rsidRPr="00527A45">
        <w:rPr>
          <w:b/>
        </w:rPr>
        <w:t>mendments</w:t>
      </w:r>
    </w:p>
    <w:p w14:paraId="2830A07B" w14:textId="77777777" w:rsidR="002E7744" w:rsidRPr="00527A45" w:rsidRDefault="002E7744" w:rsidP="002E7744">
      <w:pPr>
        <w:ind w:right="91"/>
      </w:pPr>
    </w:p>
    <w:p w14:paraId="6C8956E9" w14:textId="77777777" w:rsidR="002E7744" w:rsidRPr="00527A45" w:rsidRDefault="002E7744" w:rsidP="002E7744">
      <w:pPr>
        <w:ind w:right="91"/>
        <w:rPr>
          <w:b/>
          <w:i/>
        </w:rPr>
      </w:pPr>
      <w:r w:rsidRPr="00527A45">
        <w:rPr>
          <w:b/>
          <w:i/>
        </w:rPr>
        <w:t>Norfolk Island Continued Laws Ordinance 2015</w:t>
      </w:r>
    </w:p>
    <w:p w14:paraId="6BD82CBE" w14:textId="77777777" w:rsidR="002E7744" w:rsidRPr="00527A45" w:rsidRDefault="002E7744" w:rsidP="002E7744">
      <w:pPr>
        <w:ind w:right="91"/>
        <w:rPr>
          <w:b/>
        </w:rPr>
      </w:pPr>
    </w:p>
    <w:p w14:paraId="5F3957DA" w14:textId="55FDBA03" w:rsidR="002E7744" w:rsidRPr="00527A45" w:rsidRDefault="002E7744" w:rsidP="002E7744">
      <w:pPr>
        <w:ind w:right="91"/>
        <w:rPr>
          <w:b/>
        </w:rPr>
      </w:pPr>
      <w:r w:rsidRPr="00527A45">
        <w:t xml:space="preserve">The </w:t>
      </w:r>
      <w:r w:rsidRPr="00527A45">
        <w:rPr>
          <w:i/>
        </w:rPr>
        <w:t>Norfolk Island Continued Laws Ordinance 2015</w:t>
      </w:r>
      <w:r w:rsidRPr="00527A45">
        <w:t xml:space="preserve"> (Continued Laws Ordinance) is the mechanism through which amendments to the </w:t>
      </w:r>
      <w:r w:rsidR="002E16DF" w:rsidRPr="00527A45">
        <w:rPr>
          <w:i/>
        </w:rPr>
        <w:t>Employment Act 1988</w:t>
      </w:r>
      <w:r w:rsidR="002E16DF" w:rsidRPr="00527A45">
        <w:t xml:space="preserve"> (NI)</w:t>
      </w:r>
      <w:r w:rsidRPr="00527A45">
        <w:t xml:space="preserve"> (</w:t>
      </w:r>
      <w:r w:rsidR="002E16DF" w:rsidRPr="00527A45">
        <w:t>Employment</w:t>
      </w:r>
      <w:r w:rsidRPr="00527A45">
        <w:t xml:space="preserve"> Act) </w:t>
      </w:r>
      <w:r w:rsidR="002E16DF" w:rsidRPr="00527A45">
        <w:t>are</w:t>
      </w:r>
      <w:r w:rsidRPr="00527A45">
        <w:t xml:space="preserve"> made. The following amendments to Schedule 1 of the Continued Laws Ordinance amend the </w:t>
      </w:r>
      <w:r w:rsidR="002E16DF" w:rsidRPr="00527A45">
        <w:t xml:space="preserve">Employment </w:t>
      </w:r>
      <w:r w:rsidRPr="00527A45">
        <w:t>Act as described below.</w:t>
      </w:r>
    </w:p>
    <w:p w14:paraId="35EC3684" w14:textId="77777777" w:rsidR="002E7744" w:rsidRPr="00527A45" w:rsidRDefault="002E7744" w:rsidP="002E7744">
      <w:pPr>
        <w:ind w:right="91"/>
      </w:pPr>
    </w:p>
    <w:p w14:paraId="41F42425" w14:textId="23EED61D" w:rsidR="002E7744" w:rsidRPr="00527A45" w:rsidRDefault="00A4455C" w:rsidP="002E7744">
      <w:pPr>
        <w:ind w:right="91"/>
        <w:rPr>
          <w:b/>
        </w:rPr>
      </w:pPr>
      <w:r w:rsidRPr="00527A45">
        <w:rPr>
          <w:b/>
        </w:rPr>
        <w:t xml:space="preserve">Amending item </w:t>
      </w:r>
      <w:r w:rsidR="002E7744" w:rsidRPr="00527A45">
        <w:rPr>
          <w:b/>
        </w:rPr>
        <w:t xml:space="preserve">[1]—Item </w:t>
      </w:r>
      <w:r w:rsidR="002E16DF" w:rsidRPr="00527A45">
        <w:rPr>
          <w:b/>
        </w:rPr>
        <w:t>73K</w:t>
      </w:r>
      <w:r w:rsidR="002E7744" w:rsidRPr="00527A45">
        <w:rPr>
          <w:b/>
        </w:rPr>
        <w:t xml:space="preserve"> of Schedule 1 </w:t>
      </w:r>
    </w:p>
    <w:p w14:paraId="4E1B7023" w14:textId="77777777" w:rsidR="002E7744" w:rsidRPr="00527A45" w:rsidRDefault="002E7744" w:rsidP="002E7744">
      <w:pPr>
        <w:ind w:right="91"/>
      </w:pPr>
    </w:p>
    <w:p w14:paraId="65A34A73" w14:textId="2BB1F2AF" w:rsidR="007F48DF" w:rsidRPr="00527A45" w:rsidRDefault="00D47911" w:rsidP="002E7744">
      <w:pPr>
        <w:ind w:right="91"/>
      </w:pPr>
      <w:r w:rsidRPr="00527A45">
        <w:t>Amending i</w:t>
      </w:r>
      <w:r w:rsidR="002E7744" w:rsidRPr="00527A45">
        <w:t xml:space="preserve">tem 1 </w:t>
      </w:r>
      <w:r w:rsidR="002E16DF" w:rsidRPr="00527A45">
        <w:t xml:space="preserve">repeals item 73K of Schedule 1 to the Continued Laws Ordinance and </w:t>
      </w:r>
      <w:r w:rsidR="007F48DF" w:rsidRPr="00527A45">
        <w:t xml:space="preserve">substitutes </w:t>
      </w:r>
      <w:r w:rsidR="002E16DF" w:rsidRPr="00527A45">
        <w:t>new item</w:t>
      </w:r>
      <w:r w:rsidR="007F48DF" w:rsidRPr="00527A45">
        <w:t>s 73K, 73KA and 73KB into the Schedule.</w:t>
      </w:r>
    </w:p>
    <w:p w14:paraId="780518C9" w14:textId="77777777" w:rsidR="007F48DF" w:rsidRPr="00527A45" w:rsidRDefault="007F48DF" w:rsidP="002E7744">
      <w:pPr>
        <w:ind w:right="91"/>
      </w:pPr>
    </w:p>
    <w:p w14:paraId="1D2AC7DC" w14:textId="5E8C9CE8" w:rsidR="007F48DF" w:rsidRPr="00527A45" w:rsidRDefault="007F48DF" w:rsidP="002E7744">
      <w:pPr>
        <w:ind w:right="91"/>
        <w:rPr>
          <w:b/>
        </w:rPr>
      </w:pPr>
      <w:r w:rsidRPr="00527A45">
        <w:rPr>
          <w:b/>
        </w:rPr>
        <w:t>Item 73K—Section 4</w:t>
      </w:r>
    </w:p>
    <w:p w14:paraId="5FF2F81A" w14:textId="77777777" w:rsidR="007F48DF" w:rsidRPr="00527A45" w:rsidRDefault="007F48DF" w:rsidP="002E7744">
      <w:pPr>
        <w:ind w:right="91"/>
      </w:pPr>
    </w:p>
    <w:p w14:paraId="7338AB2F" w14:textId="30180A63" w:rsidR="002E16DF" w:rsidRPr="00527A45" w:rsidRDefault="007F48DF" w:rsidP="002E7744">
      <w:pPr>
        <w:ind w:right="91"/>
      </w:pPr>
      <w:r w:rsidRPr="00527A45">
        <w:t>This item r</w:t>
      </w:r>
      <w:r w:rsidR="005027AE" w:rsidRPr="00527A45">
        <w:t xml:space="preserve">einserts the definitions </w:t>
      </w:r>
      <w:r w:rsidR="002E16DF" w:rsidRPr="00527A45">
        <w:t xml:space="preserve">of </w:t>
      </w:r>
      <w:r w:rsidR="002E16DF" w:rsidRPr="00527A45">
        <w:rPr>
          <w:b/>
          <w:i/>
        </w:rPr>
        <w:t>registered health practitioner</w:t>
      </w:r>
      <w:r w:rsidR="002E16DF" w:rsidRPr="00527A45">
        <w:t xml:space="preserve">, </w:t>
      </w:r>
      <w:r w:rsidR="002E16DF" w:rsidRPr="00527A45">
        <w:rPr>
          <w:b/>
          <w:i/>
        </w:rPr>
        <w:t>registered medical practitioner</w:t>
      </w:r>
      <w:r w:rsidR="002E16DF" w:rsidRPr="00527A45">
        <w:t xml:space="preserve">, </w:t>
      </w:r>
      <w:r w:rsidR="002E16DF" w:rsidRPr="00527A45">
        <w:rPr>
          <w:b/>
          <w:i/>
        </w:rPr>
        <w:t>rehabilitation program</w:t>
      </w:r>
      <w:r w:rsidR="002E16DF" w:rsidRPr="00527A45">
        <w:t xml:space="preserve">, </w:t>
      </w:r>
      <w:r w:rsidR="002E16DF" w:rsidRPr="00527A45">
        <w:rPr>
          <w:b/>
          <w:i/>
        </w:rPr>
        <w:t>rehabilitation services</w:t>
      </w:r>
      <w:r w:rsidR="002E16DF" w:rsidRPr="00527A45">
        <w:t xml:space="preserve"> and </w:t>
      </w:r>
      <w:r w:rsidR="002E16DF" w:rsidRPr="00527A45">
        <w:rPr>
          <w:b/>
          <w:i/>
        </w:rPr>
        <w:t>responsible party</w:t>
      </w:r>
      <w:r w:rsidR="005027AE" w:rsidRPr="00527A45">
        <w:t xml:space="preserve"> into section 4 of the Employment Act with the exception of the definition of </w:t>
      </w:r>
      <w:r w:rsidR="005027AE" w:rsidRPr="00527A45">
        <w:rPr>
          <w:b/>
          <w:i/>
        </w:rPr>
        <w:t>rules</w:t>
      </w:r>
      <w:r w:rsidR="005027AE" w:rsidRPr="00527A45">
        <w:t xml:space="preserve">. </w:t>
      </w:r>
    </w:p>
    <w:p w14:paraId="1BB4E33C" w14:textId="78C54906" w:rsidR="005027AE" w:rsidRPr="00527A45" w:rsidRDefault="005027AE" w:rsidP="002E7744">
      <w:pPr>
        <w:ind w:right="91"/>
      </w:pPr>
    </w:p>
    <w:p w14:paraId="438F5880" w14:textId="43652255" w:rsidR="005027AE" w:rsidRPr="00527A45" w:rsidRDefault="005027AE" w:rsidP="002E7744">
      <w:pPr>
        <w:ind w:right="91"/>
        <w:rPr>
          <w:b/>
        </w:rPr>
      </w:pPr>
      <w:r w:rsidRPr="00527A45">
        <w:rPr>
          <w:b/>
        </w:rPr>
        <w:t>Item 73KA</w:t>
      </w:r>
      <w:r w:rsidR="007F48DF" w:rsidRPr="00527A45">
        <w:rPr>
          <w:b/>
        </w:rPr>
        <w:t xml:space="preserve">—Section 4 (definition of </w:t>
      </w:r>
      <w:r w:rsidR="007F48DF" w:rsidRPr="00527A45">
        <w:rPr>
          <w:b/>
          <w:i/>
        </w:rPr>
        <w:t>RPI</w:t>
      </w:r>
      <w:r w:rsidR="007F48DF" w:rsidRPr="00527A45">
        <w:rPr>
          <w:b/>
        </w:rPr>
        <w:t>)</w:t>
      </w:r>
    </w:p>
    <w:p w14:paraId="065F46B4" w14:textId="77777777" w:rsidR="005027AE" w:rsidRPr="00527A45" w:rsidRDefault="005027AE" w:rsidP="002E7744">
      <w:pPr>
        <w:ind w:right="91"/>
      </w:pPr>
    </w:p>
    <w:p w14:paraId="11864DDC" w14:textId="6B31CCC1" w:rsidR="005027AE" w:rsidRPr="00527A45" w:rsidRDefault="007F48DF" w:rsidP="002E7744">
      <w:pPr>
        <w:ind w:right="91"/>
      </w:pPr>
      <w:r w:rsidRPr="00527A45">
        <w:t>N</w:t>
      </w:r>
      <w:r w:rsidR="005027AE" w:rsidRPr="00527A45">
        <w:t xml:space="preserve">ew item 73KA repeals the definition </w:t>
      </w:r>
      <w:r w:rsidRPr="00527A45">
        <w:t xml:space="preserve">of </w:t>
      </w:r>
      <w:r w:rsidRPr="00527A45">
        <w:rPr>
          <w:b/>
          <w:i/>
        </w:rPr>
        <w:t>RPI</w:t>
      </w:r>
      <w:r w:rsidRPr="00527A45">
        <w:t>.</w:t>
      </w:r>
      <w:r w:rsidR="004E404C" w:rsidRPr="00527A45">
        <w:t xml:space="preserve"> This repeal is consequential to amendments the Ordinance makes to section 42 of the Employment Act. </w:t>
      </w:r>
    </w:p>
    <w:p w14:paraId="08586AD5" w14:textId="2DFAAF3D" w:rsidR="007F48DF" w:rsidRPr="00527A45" w:rsidRDefault="007F48DF" w:rsidP="002E7744">
      <w:pPr>
        <w:ind w:right="91"/>
      </w:pPr>
    </w:p>
    <w:p w14:paraId="05218949" w14:textId="3FF840B8" w:rsidR="007F48DF" w:rsidRPr="00527A45" w:rsidRDefault="007F48DF" w:rsidP="007F48DF">
      <w:pPr>
        <w:keepNext/>
        <w:ind w:right="91"/>
        <w:rPr>
          <w:b/>
        </w:rPr>
      </w:pPr>
      <w:r w:rsidRPr="00527A45">
        <w:rPr>
          <w:b/>
        </w:rPr>
        <w:lastRenderedPageBreak/>
        <w:t>Item 73KB—Section 4</w:t>
      </w:r>
    </w:p>
    <w:p w14:paraId="31D7A3D8" w14:textId="77777777" w:rsidR="007F48DF" w:rsidRPr="00527A45" w:rsidRDefault="007F48DF" w:rsidP="002E7744">
      <w:pPr>
        <w:ind w:right="91"/>
      </w:pPr>
    </w:p>
    <w:p w14:paraId="0327A8D3" w14:textId="65D408B0" w:rsidR="002E16DF" w:rsidRPr="00527A45" w:rsidRDefault="007F48DF" w:rsidP="002E7744">
      <w:pPr>
        <w:ind w:right="91"/>
      </w:pPr>
      <w:r w:rsidRPr="00527A45">
        <w:t xml:space="preserve">This item reinserts the definition of </w:t>
      </w:r>
      <w:r w:rsidRPr="00527A45">
        <w:rPr>
          <w:b/>
          <w:i/>
        </w:rPr>
        <w:t>rules</w:t>
      </w:r>
      <w:r w:rsidRPr="00527A45">
        <w:t xml:space="preserve"> into section 4 of the Employment Act.</w:t>
      </w:r>
    </w:p>
    <w:p w14:paraId="125E2A3F" w14:textId="18122E26" w:rsidR="007F48DF" w:rsidRPr="00527A45" w:rsidRDefault="007F48DF" w:rsidP="002E7744">
      <w:pPr>
        <w:ind w:right="91"/>
      </w:pPr>
    </w:p>
    <w:p w14:paraId="0C8134C2" w14:textId="50204AA5" w:rsidR="007F48DF" w:rsidRPr="00527A45" w:rsidRDefault="007F48DF" w:rsidP="002E7744">
      <w:pPr>
        <w:ind w:right="91"/>
        <w:rPr>
          <w:b/>
        </w:rPr>
      </w:pPr>
      <w:r w:rsidRPr="00527A45">
        <w:rPr>
          <w:b/>
        </w:rPr>
        <w:t>Amending item [2]—After item 73ZP of Schedule 1</w:t>
      </w:r>
    </w:p>
    <w:p w14:paraId="01DC7077" w14:textId="317FA031" w:rsidR="007F48DF" w:rsidRPr="00527A45" w:rsidRDefault="007F48DF" w:rsidP="002E7744">
      <w:pPr>
        <w:ind w:right="91"/>
        <w:rPr>
          <w:b/>
        </w:rPr>
      </w:pPr>
    </w:p>
    <w:p w14:paraId="62BB12E4" w14:textId="77777777" w:rsidR="00100AEC" w:rsidRPr="00527A45" w:rsidRDefault="00C86E35" w:rsidP="002E7744">
      <w:pPr>
        <w:ind w:right="91"/>
      </w:pPr>
      <w:r w:rsidRPr="00527A45">
        <w:t xml:space="preserve">Amending item 2 inserts new item 73ZPA into Schedule 1 </w:t>
      </w:r>
      <w:r w:rsidR="00D01AAE" w:rsidRPr="00527A45">
        <w:t xml:space="preserve">to the Continued Laws Ordinance </w:t>
      </w:r>
      <w:r w:rsidR="00100AEC" w:rsidRPr="00527A45">
        <w:t xml:space="preserve">which corrects </w:t>
      </w:r>
      <w:r w:rsidR="00D01AAE" w:rsidRPr="00527A45">
        <w:t>the reference in paragraph 29(2)(a)</w:t>
      </w:r>
      <w:r w:rsidR="00100AEC" w:rsidRPr="00527A45">
        <w:t xml:space="preserve"> of the Employment Act</w:t>
      </w:r>
      <w:r w:rsidR="00D01AAE" w:rsidRPr="00527A45">
        <w:t xml:space="preserve"> to be to ‘paragraph 32B(2)(b)’ not ‘paragraph 31(2)(c)’</w:t>
      </w:r>
      <w:r w:rsidR="00100AEC" w:rsidRPr="00527A45">
        <w:t xml:space="preserve">. </w:t>
      </w:r>
    </w:p>
    <w:p w14:paraId="24FD555D" w14:textId="77777777" w:rsidR="00100AEC" w:rsidRPr="00527A45" w:rsidRDefault="00100AEC" w:rsidP="002E7744">
      <w:pPr>
        <w:ind w:right="91"/>
      </w:pPr>
    </w:p>
    <w:p w14:paraId="083148A7" w14:textId="560DA942" w:rsidR="00C86E35" w:rsidRPr="00527A45" w:rsidRDefault="00100AEC" w:rsidP="002E7744">
      <w:pPr>
        <w:ind w:right="91"/>
      </w:pPr>
      <w:r w:rsidRPr="00527A45">
        <w:t xml:space="preserve">This means </w:t>
      </w:r>
      <w:r w:rsidR="008762CC" w:rsidRPr="00527A45">
        <w:t>an amount prescribed by the rules for the purposes of paragraph</w:t>
      </w:r>
      <w:r w:rsidRPr="00527A45">
        <w:t xml:space="preserve"> 32B(2)(b) is</w:t>
      </w:r>
      <w:r w:rsidR="008762CC" w:rsidRPr="00527A45">
        <w:t xml:space="preserve"> the amount the employer shall pay to the dependant where an employee leaves a family or no</w:t>
      </w:r>
      <w:r w:rsidRPr="00527A45">
        <w:t>n</w:t>
      </w:r>
      <w:r w:rsidRPr="00527A45">
        <w:noBreakHyphen/>
      </w:r>
      <w:r w:rsidR="008762CC" w:rsidRPr="00527A45">
        <w:t>family dependant wholly dependent on the earnings of the employee at the time of the employee’s death.</w:t>
      </w:r>
    </w:p>
    <w:p w14:paraId="41C00474" w14:textId="2B45FF7F" w:rsidR="008762CC" w:rsidRPr="00527A45" w:rsidRDefault="008762CC" w:rsidP="002E7744">
      <w:pPr>
        <w:ind w:right="91"/>
      </w:pPr>
    </w:p>
    <w:p w14:paraId="376764FB" w14:textId="372C142A" w:rsidR="008762CC" w:rsidRPr="00527A45" w:rsidRDefault="008762CC" w:rsidP="002E7744">
      <w:pPr>
        <w:ind w:right="91"/>
        <w:rPr>
          <w:b/>
        </w:rPr>
      </w:pPr>
      <w:r w:rsidRPr="00527A45">
        <w:rPr>
          <w:b/>
        </w:rPr>
        <w:t>Amending item [3]—Items 74X to 74Z of Schedule 1</w:t>
      </w:r>
    </w:p>
    <w:p w14:paraId="5FA78654" w14:textId="6671657D" w:rsidR="008762CC" w:rsidRPr="00527A45" w:rsidRDefault="008762CC" w:rsidP="002E7744">
      <w:pPr>
        <w:ind w:right="91"/>
      </w:pPr>
    </w:p>
    <w:p w14:paraId="274F5982" w14:textId="58A4625C" w:rsidR="00100AEC" w:rsidRPr="00527A45" w:rsidRDefault="00100AEC" w:rsidP="002E7744">
      <w:pPr>
        <w:ind w:right="91"/>
      </w:pPr>
      <w:r w:rsidRPr="00527A45">
        <w:t>This amending item repeals items 74X to 74Z of the Schedule 1 to the Continued Laws Ordinance and substitutes new item 74X.</w:t>
      </w:r>
    </w:p>
    <w:p w14:paraId="20067CA9" w14:textId="5DFC264B" w:rsidR="00100AEC" w:rsidRPr="00527A45" w:rsidRDefault="00100AEC" w:rsidP="002E7744">
      <w:pPr>
        <w:ind w:right="91"/>
      </w:pPr>
    </w:p>
    <w:p w14:paraId="2D55E5C3" w14:textId="36DE340F" w:rsidR="00100AEC" w:rsidRPr="00527A45" w:rsidRDefault="00100AEC" w:rsidP="002E7744">
      <w:pPr>
        <w:ind w:right="91"/>
        <w:rPr>
          <w:b/>
        </w:rPr>
      </w:pPr>
      <w:r w:rsidRPr="00527A45">
        <w:rPr>
          <w:b/>
        </w:rPr>
        <w:t>Item 74X—Section 42</w:t>
      </w:r>
    </w:p>
    <w:p w14:paraId="057FEEE8" w14:textId="1551E1FB" w:rsidR="00100AEC" w:rsidRPr="00527A45" w:rsidRDefault="00100AEC" w:rsidP="002E7744">
      <w:pPr>
        <w:ind w:right="91"/>
        <w:rPr>
          <w:b/>
        </w:rPr>
      </w:pPr>
    </w:p>
    <w:p w14:paraId="015727BD" w14:textId="68508DCC" w:rsidR="00100AEC" w:rsidRPr="00527A45" w:rsidRDefault="00100AEC" w:rsidP="002E7744">
      <w:pPr>
        <w:ind w:right="91"/>
      </w:pPr>
      <w:r w:rsidRPr="00527A45">
        <w:t xml:space="preserve">New item 74X repeals section 42 of the Employment Act and substitutes </w:t>
      </w:r>
      <w:r w:rsidR="00126B8A" w:rsidRPr="00527A45">
        <w:t xml:space="preserve">new </w:t>
      </w:r>
      <w:r w:rsidRPr="00527A45">
        <w:t>provisions relating to the indexation of compensation amounts.</w:t>
      </w:r>
    </w:p>
    <w:p w14:paraId="1C18D59C" w14:textId="0939887C" w:rsidR="00100AEC" w:rsidRPr="00527A45" w:rsidRDefault="00100AEC" w:rsidP="002E7744">
      <w:pPr>
        <w:ind w:right="91"/>
      </w:pPr>
    </w:p>
    <w:p w14:paraId="7F35AEA5" w14:textId="4D0B9D98" w:rsidR="00100AEC" w:rsidRPr="00527A45" w:rsidRDefault="00126B8A" w:rsidP="002E7744">
      <w:pPr>
        <w:ind w:right="91"/>
      </w:pPr>
      <w:r w:rsidRPr="00527A45">
        <w:t>The new indexation provisions rely on the All Groups Consumer Price Index number (CPI)  published by the Australian Statistician instead of the Retail Price Index</w:t>
      </w:r>
      <w:r w:rsidR="002B78EA" w:rsidRPr="00527A45">
        <w:t>,</w:t>
      </w:r>
      <w:r w:rsidRPr="00527A45">
        <w:t xml:space="preserve"> </w:t>
      </w:r>
      <w:r w:rsidR="002B78EA" w:rsidRPr="00527A45">
        <w:t>established</w:t>
      </w:r>
      <w:r w:rsidRPr="00527A45">
        <w:t xml:space="preserve"> for Norfolk Island under the </w:t>
      </w:r>
      <w:r w:rsidRPr="00527A45">
        <w:rPr>
          <w:i/>
        </w:rPr>
        <w:t>Retail Price Index Act 1983</w:t>
      </w:r>
      <w:r w:rsidRPr="00527A45">
        <w:t xml:space="preserve"> (NI</w:t>
      </w:r>
      <w:r w:rsidR="002B78EA" w:rsidRPr="00527A45">
        <w:t>)</w:t>
      </w:r>
      <w:r w:rsidRPr="00527A45">
        <w:t xml:space="preserve"> (RPI). Th</w:t>
      </w:r>
      <w:r w:rsidR="002B78EA" w:rsidRPr="00527A45">
        <w:t xml:space="preserve">e </w:t>
      </w:r>
      <w:r w:rsidRPr="00527A45">
        <w:t xml:space="preserve">RPI is no longer calculated. </w:t>
      </w:r>
    </w:p>
    <w:p w14:paraId="5469D115" w14:textId="5FA9BE9C" w:rsidR="00126B8A" w:rsidRPr="00527A45" w:rsidRDefault="00126B8A" w:rsidP="002E7744">
      <w:pPr>
        <w:ind w:right="91"/>
      </w:pPr>
    </w:p>
    <w:p w14:paraId="6F4995EC" w14:textId="77777777" w:rsidR="002B78EA" w:rsidRPr="00527A45" w:rsidRDefault="00126B8A" w:rsidP="0024585E">
      <w:pPr>
        <w:spacing w:after="120"/>
      </w:pPr>
      <w:r w:rsidRPr="00527A45">
        <w:t>New section 42 provides that on 1 July each year, the relevant compensation amounts will be indexed in accordance with the method set out in</w:t>
      </w:r>
      <w:r w:rsidR="002B78EA" w:rsidRPr="00527A45">
        <w:t xml:space="preserve"> subsections 42(1), 42(2), 42(3) and 42(4) of</w:t>
      </w:r>
      <w:r w:rsidRPr="00527A45">
        <w:t xml:space="preserve"> the Employment Act. </w:t>
      </w:r>
    </w:p>
    <w:p w14:paraId="296F09CC" w14:textId="17533CA0" w:rsidR="0024585E" w:rsidRPr="00527A45" w:rsidRDefault="00126B8A" w:rsidP="0024585E">
      <w:pPr>
        <w:spacing w:after="120"/>
      </w:pPr>
      <w:r w:rsidRPr="00527A45">
        <w:t>The relevant compensation amounts are</w:t>
      </w:r>
      <w:r w:rsidR="0024585E" w:rsidRPr="00527A45">
        <w:t xml:space="preserve"> prescribed in the </w:t>
      </w:r>
      <w:r w:rsidR="0024585E" w:rsidRPr="00527A45">
        <w:rPr>
          <w:i/>
        </w:rPr>
        <w:t>Norfolk Island Employment Rules 2020</w:t>
      </w:r>
      <w:r w:rsidR="0024585E" w:rsidRPr="00527A45">
        <w:t xml:space="preserve"> and are payable where: </w:t>
      </w:r>
    </w:p>
    <w:p w14:paraId="23D78DE2" w14:textId="77777777" w:rsidR="0024585E" w:rsidRPr="00527A45" w:rsidRDefault="0024585E" w:rsidP="0024585E">
      <w:pPr>
        <w:pStyle w:val="BulletDot"/>
      </w:pPr>
      <w:r w:rsidRPr="00527A45">
        <w:t xml:space="preserve">an employee suffers incapacity resulting in a loss or diminution of the employee’s capacity to earn, or </w:t>
      </w:r>
    </w:p>
    <w:p w14:paraId="1F6AE87A" w14:textId="4369F2ED" w:rsidR="0024585E" w:rsidRPr="00527A45" w:rsidRDefault="0024585E" w:rsidP="0024585E">
      <w:pPr>
        <w:pStyle w:val="BulletDot"/>
        <w:spacing w:after="0"/>
      </w:pPr>
      <w:r w:rsidRPr="00527A45">
        <w:t xml:space="preserve">a report of a permanent incapacity assessment indicates that the employee has suffered permanent incapacity. </w:t>
      </w:r>
    </w:p>
    <w:p w14:paraId="62236FCF" w14:textId="77777777" w:rsidR="0024585E" w:rsidRPr="00527A45" w:rsidRDefault="0024585E" w:rsidP="002E7744">
      <w:pPr>
        <w:ind w:right="91"/>
      </w:pPr>
    </w:p>
    <w:p w14:paraId="502B47BD" w14:textId="681B9CC0" w:rsidR="0024585E" w:rsidRPr="00527A45" w:rsidRDefault="002B78EA" w:rsidP="002B78EA">
      <w:r w:rsidRPr="00527A45">
        <w:t xml:space="preserve">New subsection 42(5) provides that for </w:t>
      </w:r>
      <w:r w:rsidR="0024585E" w:rsidRPr="00527A45">
        <w:t xml:space="preserve">periodical compensation, the new compensation </w:t>
      </w:r>
      <w:r w:rsidRPr="00527A45">
        <w:t>a</w:t>
      </w:r>
      <w:r w:rsidR="0024585E" w:rsidRPr="00527A45">
        <w:t>mount is payable on and after the first payment date for the compensation occurring after 1</w:t>
      </w:r>
      <w:r w:rsidRPr="00527A45">
        <w:t> </w:t>
      </w:r>
      <w:r w:rsidR="0024585E" w:rsidRPr="00527A45">
        <w:t>July. For lump sum compensation</w:t>
      </w:r>
      <w:r w:rsidRPr="00527A45">
        <w:t>,</w:t>
      </w:r>
      <w:r w:rsidR="0024585E" w:rsidRPr="00527A45">
        <w:t xml:space="preserve"> the new amount is payable in respect of any payment of lump sum compensation made after 1 July. </w:t>
      </w:r>
    </w:p>
    <w:p w14:paraId="093E0BB3" w14:textId="77777777" w:rsidR="0024585E" w:rsidRPr="00527A45" w:rsidRDefault="0024585E" w:rsidP="002E7744">
      <w:pPr>
        <w:ind w:right="91"/>
      </w:pPr>
    </w:p>
    <w:p w14:paraId="122C03EE" w14:textId="6C8CD2FC" w:rsidR="002B78EA" w:rsidRPr="00527A45" w:rsidRDefault="002B78EA" w:rsidP="002B78EA">
      <w:pPr>
        <w:ind w:right="91"/>
      </w:pPr>
      <w:r w:rsidRPr="00527A45">
        <w:t xml:space="preserve">Subsection 42(6) requires the Employment Liaison Officer to apply the indexation method to the compensation amounts as soon as practicable after the day on which the Australian Statistician publishes the index number for a March quarter. After the compensation </w:t>
      </w:r>
      <w:r w:rsidRPr="00527A45">
        <w:lastRenderedPageBreak/>
        <w:t>amounts have been indexed, the Employment Liaison Officer must publish the new compensation amounts by notifiable instrument.</w:t>
      </w:r>
    </w:p>
    <w:p w14:paraId="086DE245" w14:textId="77777777" w:rsidR="0087202E" w:rsidRPr="00527A45" w:rsidRDefault="0087202E" w:rsidP="0087202E">
      <w:pPr>
        <w:ind w:right="91"/>
        <w:rPr>
          <w:b/>
        </w:rPr>
      </w:pPr>
    </w:p>
    <w:p w14:paraId="76C3262D" w14:textId="5FB7B50A" w:rsidR="0087202E" w:rsidRPr="00527A45" w:rsidRDefault="0087202E" w:rsidP="0087202E">
      <w:pPr>
        <w:ind w:right="91"/>
        <w:rPr>
          <w:b/>
        </w:rPr>
      </w:pPr>
      <w:r w:rsidRPr="00527A45">
        <w:rPr>
          <w:b/>
        </w:rPr>
        <w:t>Amending item [4]—At the end of Division 18 of Part 2 of Schedule 1</w:t>
      </w:r>
    </w:p>
    <w:p w14:paraId="25A91D65" w14:textId="3F376FF5" w:rsidR="0087202E" w:rsidRPr="00527A45" w:rsidRDefault="0087202E" w:rsidP="0087202E">
      <w:pPr>
        <w:ind w:right="91"/>
      </w:pPr>
    </w:p>
    <w:p w14:paraId="4CCEE724" w14:textId="4F752B9E" w:rsidR="0087202E" w:rsidRPr="00527A45" w:rsidRDefault="0087202E" w:rsidP="0087202E">
      <w:pPr>
        <w:ind w:right="91"/>
      </w:pPr>
      <w:r w:rsidRPr="00527A45">
        <w:t xml:space="preserve">Amending item 4 inserts new item 406A at the end of Division 18 of Part 2 of Schedule 1 to the Continued Laws Ordinance. </w:t>
      </w:r>
    </w:p>
    <w:p w14:paraId="5D172EEE" w14:textId="09488157" w:rsidR="0087202E" w:rsidRPr="00527A45" w:rsidRDefault="0087202E" w:rsidP="0087202E">
      <w:pPr>
        <w:ind w:right="91"/>
      </w:pPr>
    </w:p>
    <w:p w14:paraId="3D96973C" w14:textId="175F2A8B" w:rsidR="0087202E" w:rsidRPr="00527A45" w:rsidRDefault="0087202E" w:rsidP="0087202E">
      <w:pPr>
        <w:ind w:right="91"/>
        <w:rPr>
          <w:b/>
        </w:rPr>
      </w:pPr>
      <w:r w:rsidRPr="00527A45">
        <w:rPr>
          <w:b/>
        </w:rPr>
        <w:t>Item 406A—References to amending Ordinance</w:t>
      </w:r>
    </w:p>
    <w:p w14:paraId="7186F565" w14:textId="57E633AD" w:rsidR="0087202E" w:rsidRPr="00527A45" w:rsidRDefault="0087202E" w:rsidP="002B78EA">
      <w:pPr>
        <w:ind w:right="91"/>
      </w:pPr>
    </w:p>
    <w:p w14:paraId="441D1916" w14:textId="77777777" w:rsidR="00484771" w:rsidRPr="00527A45" w:rsidRDefault="0087202E" w:rsidP="002B78EA">
      <w:pPr>
        <w:ind w:right="91"/>
      </w:pPr>
      <w:r w:rsidRPr="00527A45">
        <w:t xml:space="preserve">New item 406A clarifies that references to the amending Ordinance in Division 18 include a reference to items 1 and 2 of this Ordinance. </w:t>
      </w:r>
    </w:p>
    <w:p w14:paraId="6B2E2963" w14:textId="77777777" w:rsidR="00484771" w:rsidRPr="00527A45" w:rsidRDefault="00484771" w:rsidP="002B78EA">
      <w:pPr>
        <w:ind w:right="91"/>
      </w:pPr>
    </w:p>
    <w:p w14:paraId="355945BF" w14:textId="3B1C9D01" w:rsidR="0087202E" w:rsidRPr="00527A45" w:rsidRDefault="0087202E" w:rsidP="002B78EA">
      <w:pPr>
        <w:ind w:right="91"/>
      </w:pPr>
      <w:r w:rsidRPr="00527A45">
        <w:t xml:space="preserve">The amending Ordinance means the </w:t>
      </w:r>
      <w:r w:rsidRPr="00527A45">
        <w:rPr>
          <w:i/>
        </w:rPr>
        <w:t>Norfolk Island Continued Laws Amendment (Employment) Ordinance 2020</w:t>
      </w:r>
      <w:r w:rsidRPr="00527A45">
        <w:t xml:space="preserve"> which made </w:t>
      </w:r>
      <w:r w:rsidR="00484771" w:rsidRPr="00527A45">
        <w:t xml:space="preserve">a range of </w:t>
      </w:r>
      <w:r w:rsidRPr="00527A45">
        <w:t>amendments to the Employment Act relating to the Norfolk Island Workers’ Compensation Scheme in 2020. By virtue of this provision, the transitional provisions relating to th</w:t>
      </w:r>
      <w:r w:rsidR="00484771" w:rsidRPr="00527A45">
        <w:t>at Ordinance also apply to the amendments to the definitions and references in amending items 1 and 2 in this Ordinance.</w:t>
      </w:r>
    </w:p>
    <w:p w14:paraId="53C011E5" w14:textId="124E3D32" w:rsidR="00D74A94" w:rsidRPr="00527A45" w:rsidRDefault="00D74A94" w:rsidP="002B78EA">
      <w:pPr>
        <w:ind w:right="91"/>
      </w:pPr>
    </w:p>
    <w:p w14:paraId="5E8E52FF" w14:textId="5329ADD4" w:rsidR="00D74A94" w:rsidRPr="00527A45" w:rsidRDefault="00D74A94" w:rsidP="002B78EA">
      <w:pPr>
        <w:ind w:right="91"/>
        <w:rPr>
          <w:b/>
        </w:rPr>
      </w:pPr>
      <w:r w:rsidRPr="00527A45">
        <w:rPr>
          <w:b/>
        </w:rPr>
        <w:t>Amending item [5]—In the appropriate position in Part 2 of Schedule</w:t>
      </w:r>
    </w:p>
    <w:p w14:paraId="35B9D6E6" w14:textId="466F5AAB" w:rsidR="00D74A94" w:rsidRPr="00527A45" w:rsidRDefault="00D74A94" w:rsidP="002B78EA">
      <w:pPr>
        <w:ind w:right="91"/>
      </w:pPr>
    </w:p>
    <w:p w14:paraId="38F61A5A" w14:textId="6E39C5F2" w:rsidR="00D74A94" w:rsidRPr="00527A45" w:rsidRDefault="007B7F33" w:rsidP="002B78EA">
      <w:pPr>
        <w:ind w:right="91"/>
        <w:rPr>
          <w:b/>
        </w:rPr>
      </w:pPr>
      <w:r w:rsidRPr="00527A45">
        <w:rPr>
          <w:b/>
        </w:rPr>
        <w:t xml:space="preserve">Division </w:t>
      </w:r>
      <w:r w:rsidR="006C2E46">
        <w:rPr>
          <w:b/>
        </w:rPr>
        <w:t>21</w:t>
      </w:r>
      <w:r w:rsidRPr="00527A45">
        <w:rPr>
          <w:b/>
        </w:rPr>
        <w:t>—Application provision relating to the Norfolk Island Continued Laws Amendment (</w:t>
      </w:r>
      <w:r w:rsidR="00E32696">
        <w:rPr>
          <w:b/>
        </w:rPr>
        <w:t>Employment</w:t>
      </w:r>
      <w:r w:rsidRPr="00527A45">
        <w:rPr>
          <w:b/>
        </w:rPr>
        <w:t>) Ordinance 2021</w:t>
      </w:r>
    </w:p>
    <w:p w14:paraId="302BF050" w14:textId="5524958B" w:rsidR="007B7F33" w:rsidRPr="00527A45" w:rsidRDefault="007B7F33" w:rsidP="002B78EA">
      <w:pPr>
        <w:ind w:right="91"/>
      </w:pPr>
    </w:p>
    <w:p w14:paraId="7789E2E3" w14:textId="17435358" w:rsidR="007B7F33" w:rsidRPr="00527A45" w:rsidRDefault="006C2E46" w:rsidP="002B78EA">
      <w:pPr>
        <w:ind w:right="91"/>
        <w:rPr>
          <w:b/>
        </w:rPr>
      </w:pPr>
      <w:r>
        <w:rPr>
          <w:b/>
        </w:rPr>
        <w:t>414</w:t>
      </w:r>
      <w:r w:rsidR="007B7F33" w:rsidRPr="00527A45">
        <w:rPr>
          <w:b/>
        </w:rPr>
        <w:t>—Publication of substituted amounts</w:t>
      </w:r>
    </w:p>
    <w:p w14:paraId="1F3932CD" w14:textId="5A082052" w:rsidR="007B7F33" w:rsidRPr="00527A45" w:rsidRDefault="007B7F33" w:rsidP="002B78EA">
      <w:pPr>
        <w:ind w:right="91"/>
        <w:rPr>
          <w:b/>
        </w:rPr>
      </w:pPr>
    </w:p>
    <w:p w14:paraId="04CCDB89" w14:textId="2637CD0B" w:rsidR="007B7F33" w:rsidRPr="007B7F33" w:rsidRDefault="007B7F33" w:rsidP="002B78EA">
      <w:pPr>
        <w:ind w:right="91"/>
      </w:pPr>
      <w:r w:rsidRPr="00527A45">
        <w:t>This item provides that if the index number for the March quarter ending on 31 March 2021 occurs before the day the Ordinance commences, the reference to the day on which the Australian Statistician publishes the index number is taken to be a reference to the commencement day. This means the Employment Liaison Officer must apply the indexation method to the compensation amounts as soon as practicable after the day on which the Ordinance commences.</w:t>
      </w:r>
    </w:p>
    <w:sectPr w:rsidR="007B7F33" w:rsidRPr="007B7F33" w:rsidSect="00AB0A6C">
      <w:headerReference w:type="even" r:id="rId11"/>
      <w:headerReference w:type="default" r:id="rId12"/>
      <w:footerReference w:type="default" r:id="rId13"/>
      <w:headerReference w:type="first" r:id="rId14"/>
      <w:pgSz w:w="11906" w:h="16838"/>
      <w:pgMar w:top="1440" w:right="1440" w:bottom="1440" w:left="144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13177" w14:textId="77777777" w:rsidR="001337A5" w:rsidRDefault="001337A5" w:rsidP="00A96AAA">
      <w:r>
        <w:separator/>
      </w:r>
    </w:p>
  </w:endnote>
  <w:endnote w:type="continuationSeparator" w:id="0">
    <w:p w14:paraId="7C3FA4E6" w14:textId="77777777" w:rsidR="001337A5" w:rsidRDefault="001337A5" w:rsidP="00A9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503181"/>
      <w:docPartObj>
        <w:docPartGallery w:val="Page Numbers (Bottom of Page)"/>
        <w:docPartUnique/>
      </w:docPartObj>
    </w:sdtPr>
    <w:sdtEndPr>
      <w:rPr>
        <w:noProof/>
      </w:rPr>
    </w:sdtEndPr>
    <w:sdtContent>
      <w:p w14:paraId="122A8C6E" w14:textId="1D20D663" w:rsidR="001337A5" w:rsidRDefault="001337A5">
        <w:pPr>
          <w:pStyle w:val="Footer"/>
          <w:jc w:val="center"/>
        </w:pPr>
        <w:r>
          <w:fldChar w:fldCharType="begin"/>
        </w:r>
        <w:r>
          <w:instrText xml:space="preserve"> PAGE   \* MERGEFORMAT </w:instrText>
        </w:r>
        <w:r>
          <w:fldChar w:fldCharType="separate"/>
        </w:r>
        <w:r w:rsidR="00011805">
          <w:rPr>
            <w:noProof/>
          </w:rPr>
          <w:t>1</w:t>
        </w:r>
        <w:r>
          <w:rPr>
            <w:noProof/>
          </w:rPr>
          <w:fldChar w:fldCharType="end"/>
        </w:r>
      </w:p>
    </w:sdtContent>
  </w:sdt>
  <w:p w14:paraId="055A08E5" w14:textId="77777777" w:rsidR="001337A5" w:rsidRDefault="00133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014FB" w14:textId="77777777" w:rsidR="001337A5" w:rsidRDefault="001337A5" w:rsidP="00A96AAA">
      <w:r>
        <w:separator/>
      </w:r>
    </w:p>
  </w:footnote>
  <w:footnote w:type="continuationSeparator" w:id="0">
    <w:p w14:paraId="52F93C0F" w14:textId="77777777" w:rsidR="001337A5" w:rsidRDefault="001337A5" w:rsidP="00A96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09795" w14:textId="6AF7466C" w:rsidR="001337A5" w:rsidRDefault="00133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A287" w14:textId="2B55A049" w:rsidR="001337A5" w:rsidRDefault="001337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F2788" w14:textId="7AD8D1D8" w:rsidR="001337A5" w:rsidRDefault="00133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FCD"/>
    <w:multiLevelType w:val="hybridMultilevel"/>
    <w:tmpl w:val="548255B0"/>
    <w:lvl w:ilvl="0" w:tplc="0C090001">
      <w:start w:val="1"/>
      <w:numFmt w:val="bullet"/>
      <w:lvlText w:val=""/>
      <w:lvlJc w:val="left"/>
      <w:pPr>
        <w:ind w:left="720" w:hanging="360"/>
      </w:pPr>
      <w:rPr>
        <w:rFonts w:ascii="Symbol" w:hAnsi="Symbol" w:hint="default"/>
        <w:b w:val="0"/>
        <w:i w:val="0"/>
        <w:color w:val="auto"/>
      </w:rPr>
    </w:lvl>
    <w:lvl w:ilvl="1" w:tplc="BF6E8D7E">
      <w:start w:val="1"/>
      <w:numFmt w:val="lowerLetter"/>
      <w:lvlText w:val="%2."/>
      <w:lvlJc w:val="left"/>
      <w:pPr>
        <w:ind w:left="1440" w:hanging="360"/>
      </w:pPr>
    </w:lvl>
    <w:lvl w:ilvl="2" w:tplc="C5C833FE" w:tentative="1">
      <w:start w:val="1"/>
      <w:numFmt w:val="lowerRoman"/>
      <w:lvlText w:val="%3."/>
      <w:lvlJc w:val="right"/>
      <w:pPr>
        <w:ind w:left="2160" w:hanging="180"/>
      </w:pPr>
    </w:lvl>
    <w:lvl w:ilvl="3" w:tplc="F9CCC3DA" w:tentative="1">
      <w:start w:val="1"/>
      <w:numFmt w:val="decimal"/>
      <w:lvlText w:val="%4."/>
      <w:lvlJc w:val="left"/>
      <w:pPr>
        <w:ind w:left="2880" w:hanging="360"/>
      </w:pPr>
    </w:lvl>
    <w:lvl w:ilvl="4" w:tplc="3AAEB1C0" w:tentative="1">
      <w:start w:val="1"/>
      <w:numFmt w:val="lowerLetter"/>
      <w:lvlText w:val="%5."/>
      <w:lvlJc w:val="left"/>
      <w:pPr>
        <w:ind w:left="3600" w:hanging="360"/>
      </w:pPr>
    </w:lvl>
    <w:lvl w:ilvl="5" w:tplc="AB3CBB6A" w:tentative="1">
      <w:start w:val="1"/>
      <w:numFmt w:val="lowerRoman"/>
      <w:lvlText w:val="%6."/>
      <w:lvlJc w:val="right"/>
      <w:pPr>
        <w:ind w:left="4320" w:hanging="180"/>
      </w:pPr>
    </w:lvl>
    <w:lvl w:ilvl="6" w:tplc="6B8A1980" w:tentative="1">
      <w:start w:val="1"/>
      <w:numFmt w:val="decimal"/>
      <w:lvlText w:val="%7."/>
      <w:lvlJc w:val="left"/>
      <w:pPr>
        <w:ind w:left="5040" w:hanging="360"/>
      </w:pPr>
    </w:lvl>
    <w:lvl w:ilvl="7" w:tplc="B08A1280" w:tentative="1">
      <w:start w:val="1"/>
      <w:numFmt w:val="lowerLetter"/>
      <w:lvlText w:val="%8."/>
      <w:lvlJc w:val="left"/>
      <w:pPr>
        <w:ind w:left="5760" w:hanging="360"/>
      </w:pPr>
    </w:lvl>
    <w:lvl w:ilvl="8" w:tplc="3C52636E" w:tentative="1">
      <w:start w:val="1"/>
      <w:numFmt w:val="lowerRoman"/>
      <w:lvlText w:val="%9."/>
      <w:lvlJc w:val="right"/>
      <w:pPr>
        <w:ind w:left="6480" w:hanging="180"/>
      </w:pPr>
    </w:lvl>
  </w:abstractNum>
  <w:abstractNum w:abstractNumId="1" w15:restartNumberingAfterBreak="0">
    <w:nsid w:val="11C86184"/>
    <w:multiLevelType w:val="hybridMultilevel"/>
    <w:tmpl w:val="986603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7370C0"/>
    <w:multiLevelType w:val="hybridMultilevel"/>
    <w:tmpl w:val="8B4ECE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FF3FFE"/>
    <w:multiLevelType w:val="hybridMultilevel"/>
    <w:tmpl w:val="FE9C4A6E"/>
    <w:lvl w:ilvl="0" w:tplc="C2B08102">
      <w:start w:val="1"/>
      <w:numFmt w:val="decimal"/>
      <w:lvlText w:val="%1."/>
      <w:lvlJc w:val="left"/>
      <w:pPr>
        <w:ind w:left="360" w:hanging="360"/>
      </w:pPr>
      <w:rPr>
        <w:rFonts w:hint="default"/>
        <w:b w:val="0"/>
        <w:i w:val="0"/>
        <w:color w:val="auto"/>
      </w:rPr>
    </w:lvl>
    <w:lvl w:ilvl="1" w:tplc="BF6E8D7E">
      <w:start w:val="1"/>
      <w:numFmt w:val="lowerLetter"/>
      <w:lvlText w:val="%2."/>
      <w:lvlJc w:val="left"/>
      <w:pPr>
        <w:ind w:left="1080" w:hanging="360"/>
      </w:pPr>
    </w:lvl>
    <w:lvl w:ilvl="2" w:tplc="C5C833FE" w:tentative="1">
      <w:start w:val="1"/>
      <w:numFmt w:val="lowerRoman"/>
      <w:lvlText w:val="%3."/>
      <w:lvlJc w:val="right"/>
      <w:pPr>
        <w:ind w:left="1800" w:hanging="180"/>
      </w:pPr>
    </w:lvl>
    <w:lvl w:ilvl="3" w:tplc="F9CCC3DA" w:tentative="1">
      <w:start w:val="1"/>
      <w:numFmt w:val="decimal"/>
      <w:lvlText w:val="%4."/>
      <w:lvlJc w:val="left"/>
      <w:pPr>
        <w:ind w:left="2520" w:hanging="360"/>
      </w:pPr>
    </w:lvl>
    <w:lvl w:ilvl="4" w:tplc="3AAEB1C0" w:tentative="1">
      <w:start w:val="1"/>
      <w:numFmt w:val="lowerLetter"/>
      <w:lvlText w:val="%5."/>
      <w:lvlJc w:val="left"/>
      <w:pPr>
        <w:ind w:left="3240" w:hanging="360"/>
      </w:pPr>
    </w:lvl>
    <w:lvl w:ilvl="5" w:tplc="AB3CBB6A" w:tentative="1">
      <w:start w:val="1"/>
      <w:numFmt w:val="lowerRoman"/>
      <w:lvlText w:val="%6."/>
      <w:lvlJc w:val="right"/>
      <w:pPr>
        <w:ind w:left="3960" w:hanging="180"/>
      </w:pPr>
    </w:lvl>
    <w:lvl w:ilvl="6" w:tplc="6B8A1980" w:tentative="1">
      <w:start w:val="1"/>
      <w:numFmt w:val="decimal"/>
      <w:lvlText w:val="%7."/>
      <w:lvlJc w:val="left"/>
      <w:pPr>
        <w:ind w:left="4680" w:hanging="360"/>
      </w:pPr>
    </w:lvl>
    <w:lvl w:ilvl="7" w:tplc="B08A1280" w:tentative="1">
      <w:start w:val="1"/>
      <w:numFmt w:val="lowerLetter"/>
      <w:lvlText w:val="%8."/>
      <w:lvlJc w:val="left"/>
      <w:pPr>
        <w:ind w:left="5400" w:hanging="360"/>
      </w:pPr>
    </w:lvl>
    <w:lvl w:ilvl="8" w:tplc="3C52636E" w:tentative="1">
      <w:start w:val="1"/>
      <w:numFmt w:val="lowerRoman"/>
      <w:lvlText w:val="%9."/>
      <w:lvlJc w:val="right"/>
      <w:pPr>
        <w:ind w:left="6120" w:hanging="180"/>
      </w:pPr>
    </w:lvl>
  </w:abstractNum>
  <w:abstractNum w:abstractNumId="5" w15:restartNumberingAfterBreak="0">
    <w:nsid w:val="280A3705"/>
    <w:multiLevelType w:val="hybridMultilevel"/>
    <w:tmpl w:val="DC1493F4"/>
    <w:lvl w:ilvl="0" w:tplc="150A6CE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192B77"/>
    <w:multiLevelType w:val="hybridMultilevel"/>
    <w:tmpl w:val="5E682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29430F"/>
    <w:multiLevelType w:val="hybridMultilevel"/>
    <w:tmpl w:val="B12A45FC"/>
    <w:lvl w:ilvl="0" w:tplc="970C3598">
      <w:start w:val="2"/>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037708A"/>
    <w:multiLevelType w:val="hybridMultilevel"/>
    <w:tmpl w:val="F14CA29C"/>
    <w:lvl w:ilvl="0" w:tplc="32CE92B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236CC7"/>
    <w:multiLevelType w:val="hybridMultilevel"/>
    <w:tmpl w:val="7FE62B8C"/>
    <w:lvl w:ilvl="0" w:tplc="6A42CE24">
      <w:start w:val="1"/>
      <w:numFmt w:val="bullet"/>
      <w:pStyle w:val="BulletDot"/>
      <w:lvlText w:val=""/>
      <w:lvlJc w:val="left"/>
      <w:pPr>
        <w:ind w:left="720" w:hanging="360"/>
      </w:pPr>
      <w:rPr>
        <w:rFonts w:ascii="Symbol" w:hAnsi="Symbol" w:hint="default"/>
      </w:rPr>
    </w:lvl>
    <w:lvl w:ilvl="1" w:tplc="0C090003">
      <w:start w:val="1"/>
      <w:numFmt w:val="bullet"/>
      <w:lvlText w:val="o"/>
      <w:lvlJc w:val="left"/>
      <w:pPr>
        <w:ind w:left="2941" w:hanging="360"/>
      </w:pPr>
      <w:rPr>
        <w:rFonts w:ascii="Courier New" w:hAnsi="Courier New" w:cs="Courier New" w:hint="default"/>
      </w:rPr>
    </w:lvl>
    <w:lvl w:ilvl="2" w:tplc="0C090005" w:tentative="1">
      <w:start w:val="1"/>
      <w:numFmt w:val="bullet"/>
      <w:lvlText w:val=""/>
      <w:lvlJc w:val="left"/>
      <w:pPr>
        <w:ind w:left="3661" w:hanging="360"/>
      </w:pPr>
      <w:rPr>
        <w:rFonts w:ascii="Wingdings" w:hAnsi="Wingdings" w:hint="default"/>
      </w:rPr>
    </w:lvl>
    <w:lvl w:ilvl="3" w:tplc="0C090001" w:tentative="1">
      <w:start w:val="1"/>
      <w:numFmt w:val="bullet"/>
      <w:lvlText w:val=""/>
      <w:lvlJc w:val="left"/>
      <w:pPr>
        <w:ind w:left="4381" w:hanging="360"/>
      </w:pPr>
      <w:rPr>
        <w:rFonts w:ascii="Symbol" w:hAnsi="Symbol" w:hint="default"/>
      </w:rPr>
    </w:lvl>
    <w:lvl w:ilvl="4" w:tplc="0C090003" w:tentative="1">
      <w:start w:val="1"/>
      <w:numFmt w:val="bullet"/>
      <w:lvlText w:val="o"/>
      <w:lvlJc w:val="left"/>
      <w:pPr>
        <w:ind w:left="5101" w:hanging="360"/>
      </w:pPr>
      <w:rPr>
        <w:rFonts w:ascii="Courier New" w:hAnsi="Courier New" w:cs="Courier New" w:hint="default"/>
      </w:rPr>
    </w:lvl>
    <w:lvl w:ilvl="5" w:tplc="0C090005" w:tentative="1">
      <w:start w:val="1"/>
      <w:numFmt w:val="bullet"/>
      <w:lvlText w:val=""/>
      <w:lvlJc w:val="left"/>
      <w:pPr>
        <w:ind w:left="5821" w:hanging="360"/>
      </w:pPr>
      <w:rPr>
        <w:rFonts w:ascii="Wingdings" w:hAnsi="Wingdings" w:hint="default"/>
      </w:rPr>
    </w:lvl>
    <w:lvl w:ilvl="6" w:tplc="0C090001" w:tentative="1">
      <w:start w:val="1"/>
      <w:numFmt w:val="bullet"/>
      <w:lvlText w:val=""/>
      <w:lvlJc w:val="left"/>
      <w:pPr>
        <w:ind w:left="6541" w:hanging="360"/>
      </w:pPr>
      <w:rPr>
        <w:rFonts w:ascii="Symbol" w:hAnsi="Symbol" w:hint="default"/>
      </w:rPr>
    </w:lvl>
    <w:lvl w:ilvl="7" w:tplc="0C090003" w:tentative="1">
      <w:start w:val="1"/>
      <w:numFmt w:val="bullet"/>
      <w:lvlText w:val="o"/>
      <w:lvlJc w:val="left"/>
      <w:pPr>
        <w:ind w:left="7261" w:hanging="360"/>
      </w:pPr>
      <w:rPr>
        <w:rFonts w:ascii="Courier New" w:hAnsi="Courier New" w:cs="Courier New" w:hint="default"/>
      </w:rPr>
    </w:lvl>
    <w:lvl w:ilvl="8" w:tplc="0C090005" w:tentative="1">
      <w:start w:val="1"/>
      <w:numFmt w:val="bullet"/>
      <w:lvlText w:val=""/>
      <w:lvlJc w:val="left"/>
      <w:pPr>
        <w:ind w:left="7981" w:hanging="360"/>
      </w:pPr>
      <w:rPr>
        <w:rFonts w:ascii="Wingdings" w:hAnsi="Wingdings" w:hint="default"/>
      </w:rPr>
    </w:lvl>
  </w:abstractNum>
  <w:abstractNum w:abstractNumId="10" w15:restartNumberingAfterBreak="0">
    <w:nsid w:val="37BA09F1"/>
    <w:multiLevelType w:val="hybridMultilevel"/>
    <w:tmpl w:val="D702EFB8"/>
    <w:lvl w:ilvl="0" w:tplc="E22EA05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2" w15:restartNumberingAfterBreak="0">
    <w:nsid w:val="3ABE4C0C"/>
    <w:multiLevelType w:val="hybridMultilevel"/>
    <w:tmpl w:val="101431DC"/>
    <w:lvl w:ilvl="0" w:tplc="0CB008D6">
      <w:start w:val="1"/>
      <w:numFmt w:val="bullet"/>
      <w:pStyle w:val="ListNumbe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BFC7D34"/>
    <w:multiLevelType w:val="hybridMultilevel"/>
    <w:tmpl w:val="17602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C87A71"/>
    <w:multiLevelType w:val="hybridMultilevel"/>
    <w:tmpl w:val="21FC2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2152D1"/>
    <w:multiLevelType w:val="hybridMultilevel"/>
    <w:tmpl w:val="5C5E1FA4"/>
    <w:lvl w:ilvl="0" w:tplc="69043C6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44007649"/>
    <w:multiLevelType w:val="hybridMultilevel"/>
    <w:tmpl w:val="661CB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9761D6"/>
    <w:multiLevelType w:val="hybridMultilevel"/>
    <w:tmpl w:val="2752BB48"/>
    <w:lvl w:ilvl="0" w:tplc="E22EA05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3B7ECC"/>
    <w:multiLevelType w:val="hybridMultilevel"/>
    <w:tmpl w:val="476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F9D718E"/>
    <w:multiLevelType w:val="hybridMultilevel"/>
    <w:tmpl w:val="7D26B082"/>
    <w:lvl w:ilvl="0" w:tplc="970C3598">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AC2165"/>
    <w:multiLevelType w:val="hybridMultilevel"/>
    <w:tmpl w:val="92A2BB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9253834"/>
    <w:multiLevelType w:val="hybridMultilevel"/>
    <w:tmpl w:val="EA2EA0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9FA1C30"/>
    <w:multiLevelType w:val="hybridMultilevel"/>
    <w:tmpl w:val="1ADE0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5" w15:restartNumberingAfterBreak="0">
    <w:nsid w:val="6460045C"/>
    <w:multiLevelType w:val="hybridMultilevel"/>
    <w:tmpl w:val="D67E6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4B82DC7"/>
    <w:multiLevelType w:val="hybridMultilevel"/>
    <w:tmpl w:val="D402F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1370CD"/>
    <w:multiLevelType w:val="hybridMultilevel"/>
    <w:tmpl w:val="0C14C382"/>
    <w:lvl w:ilvl="0" w:tplc="36420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2A6954"/>
    <w:multiLevelType w:val="hybridMultilevel"/>
    <w:tmpl w:val="11A43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71702680"/>
    <w:multiLevelType w:val="hybridMultilevel"/>
    <w:tmpl w:val="172404D4"/>
    <w:lvl w:ilvl="0" w:tplc="150A6CE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537BB0"/>
    <w:multiLevelType w:val="hybridMultilevel"/>
    <w:tmpl w:val="B9E6428E"/>
    <w:lvl w:ilvl="0" w:tplc="0C090001">
      <w:start w:val="1"/>
      <w:numFmt w:val="bullet"/>
      <w:lvlText w:val=""/>
      <w:lvlJc w:val="left"/>
      <w:pPr>
        <w:ind w:left="360" w:hanging="360"/>
      </w:pPr>
      <w:rPr>
        <w:rFonts w:ascii="Symbol" w:hAnsi="Symbol" w:hint="default"/>
        <w:b w:val="0"/>
        <w:i w:val="0"/>
        <w:color w:val="auto"/>
      </w:rPr>
    </w:lvl>
    <w:lvl w:ilvl="1" w:tplc="BF6E8D7E">
      <w:start w:val="1"/>
      <w:numFmt w:val="lowerLetter"/>
      <w:lvlText w:val="%2."/>
      <w:lvlJc w:val="left"/>
      <w:pPr>
        <w:ind w:left="1080" w:hanging="360"/>
      </w:pPr>
    </w:lvl>
    <w:lvl w:ilvl="2" w:tplc="C5C833FE" w:tentative="1">
      <w:start w:val="1"/>
      <w:numFmt w:val="lowerRoman"/>
      <w:lvlText w:val="%3."/>
      <w:lvlJc w:val="right"/>
      <w:pPr>
        <w:ind w:left="1800" w:hanging="180"/>
      </w:pPr>
    </w:lvl>
    <w:lvl w:ilvl="3" w:tplc="F9CCC3DA" w:tentative="1">
      <w:start w:val="1"/>
      <w:numFmt w:val="decimal"/>
      <w:lvlText w:val="%4."/>
      <w:lvlJc w:val="left"/>
      <w:pPr>
        <w:ind w:left="2520" w:hanging="360"/>
      </w:pPr>
    </w:lvl>
    <w:lvl w:ilvl="4" w:tplc="3AAEB1C0" w:tentative="1">
      <w:start w:val="1"/>
      <w:numFmt w:val="lowerLetter"/>
      <w:lvlText w:val="%5."/>
      <w:lvlJc w:val="left"/>
      <w:pPr>
        <w:ind w:left="3240" w:hanging="360"/>
      </w:pPr>
    </w:lvl>
    <w:lvl w:ilvl="5" w:tplc="AB3CBB6A" w:tentative="1">
      <w:start w:val="1"/>
      <w:numFmt w:val="lowerRoman"/>
      <w:lvlText w:val="%6."/>
      <w:lvlJc w:val="right"/>
      <w:pPr>
        <w:ind w:left="3960" w:hanging="180"/>
      </w:pPr>
    </w:lvl>
    <w:lvl w:ilvl="6" w:tplc="6B8A1980" w:tentative="1">
      <w:start w:val="1"/>
      <w:numFmt w:val="decimal"/>
      <w:lvlText w:val="%7."/>
      <w:lvlJc w:val="left"/>
      <w:pPr>
        <w:ind w:left="4680" w:hanging="360"/>
      </w:pPr>
    </w:lvl>
    <w:lvl w:ilvl="7" w:tplc="B08A1280" w:tentative="1">
      <w:start w:val="1"/>
      <w:numFmt w:val="lowerLetter"/>
      <w:lvlText w:val="%8."/>
      <w:lvlJc w:val="left"/>
      <w:pPr>
        <w:ind w:left="5400" w:hanging="360"/>
      </w:pPr>
    </w:lvl>
    <w:lvl w:ilvl="8" w:tplc="3C52636E" w:tentative="1">
      <w:start w:val="1"/>
      <w:numFmt w:val="lowerRoman"/>
      <w:lvlText w:val="%9."/>
      <w:lvlJc w:val="right"/>
      <w:pPr>
        <w:ind w:left="6120" w:hanging="180"/>
      </w:pPr>
    </w:lvl>
  </w:abstractNum>
  <w:abstractNum w:abstractNumId="32" w15:restartNumberingAfterBreak="0">
    <w:nsid w:val="73683EF8"/>
    <w:multiLevelType w:val="hybridMultilevel"/>
    <w:tmpl w:val="1F149C98"/>
    <w:lvl w:ilvl="0" w:tplc="58FC12D6">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F0D5A92"/>
    <w:multiLevelType w:val="hybridMultilevel"/>
    <w:tmpl w:val="979EE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F22C0E"/>
    <w:multiLevelType w:val="hybridMultilevel"/>
    <w:tmpl w:val="9E3E4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
  </w:num>
  <w:num w:numId="6">
    <w:abstractNumId w:val="26"/>
  </w:num>
  <w:num w:numId="7">
    <w:abstractNumId w:val="13"/>
  </w:num>
  <w:num w:numId="8">
    <w:abstractNumId w:val="28"/>
  </w:num>
  <w:num w:numId="9">
    <w:abstractNumId w:val="23"/>
  </w:num>
  <w:num w:numId="10">
    <w:abstractNumId w:val="17"/>
  </w:num>
  <w:num w:numId="11">
    <w:abstractNumId w:val="25"/>
  </w:num>
  <w:num w:numId="12">
    <w:abstractNumId w:val="32"/>
  </w:num>
  <w:num w:numId="13">
    <w:abstractNumId w:val="30"/>
  </w:num>
  <w:num w:numId="14">
    <w:abstractNumId w:val="5"/>
  </w:num>
  <w:num w:numId="15">
    <w:abstractNumId w:val="20"/>
  </w:num>
  <w:num w:numId="16">
    <w:abstractNumId w:val="7"/>
  </w:num>
  <w:num w:numId="17">
    <w:abstractNumId w:val="33"/>
  </w:num>
  <w:num w:numId="18">
    <w:abstractNumId w:val="8"/>
  </w:num>
  <w:num w:numId="19">
    <w:abstractNumId w:val="9"/>
  </w:num>
  <w:num w:numId="20">
    <w:abstractNumId w:val="3"/>
  </w:num>
  <w:num w:numId="21">
    <w:abstractNumId w:val="10"/>
  </w:num>
  <w:num w:numId="22">
    <w:abstractNumId w:val="18"/>
  </w:num>
  <w:num w:numId="23">
    <w:abstractNumId w:val="21"/>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2"/>
  </w:num>
  <w:num w:numId="27">
    <w:abstractNumId w:val="14"/>
  </w:num>
  <w:num w:numId="28">
    <w:abstractNumId w:val="6"/>
  </w:num>
  <w:num w:numId="29">
    <w:abstractNumId w:val="0"/>
  </w:num>
  <w:num w:numId="30">
    <w:abstractNumId w:val="21"/>
  </w:num>
  <w:num w:numId="31">
    <w:abstractNumId w:val="9"/>
  </w:num>
  <w:num w:numId="32">
    <w:abstractNumId w:val="11"/>
  </w:num>
  <w:num w:numId="33">
    <w:abstractNumId w:val="29"/>
  </w:num>
  <w:num w:numId="34">
    <w:abstractNumId w:val="34"/>
  </w:num>
  <w:num w:numId="35">
    <w:abstractNumId w:val="27"/>
  </w:num>
  <w:num w:numId="36">
    <w:abstractNumId w:val="12"/>
  </w:num>
  <w:num w:numId="37">
    <w:abstractNumId w:val="19"/>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C6"/>
    <w:rsid w:val="00005D6A"/>
    <w:rsid w:val="00007367"/>
    <w:rsid w:val="00011805"/>
    <w:rsid w:val="000122AE"/>
    <w:rsid w:val="00013AEC"/>
    <w:rsid w:val="000200FA"/>
    <w:rsid w:val="000218CD"/>
    <w:rsid w:val="00023258"/>
    <w:rsid w:val="000252B6"/>
    <w:rsid w:val="0003220A"/>
    <w:rsid w:val="00032798"/>
    <w:rsid w:val="000327FE"/>
    <w:rsid w:val="00046D5F"/>
    <w:rsid w:val="000500F8"/>
    <w:rsid w:val="0005049B"/>
    <w:rsid w:val="000536EF"/>
    <w:rsid w:val="00064431"/>
    <w:rsid w:val="00066123"/>
    <w:rsid w:val="000827F2"/>
    <w:rsid w:val="000936E3"/>
    <w:rsid w:val="00097000"/>
    <w:rsid w:val="000B3368"/>
    <w:rsid w:val="000B7421"/>
    <w:rsid w:val="000B7EEC"/>
    <w:rsid w:val="000C57A2"/>
    <w:rsid w:val="000C7BE1"/>
    <w:rsid w:val="000D77FC"/>
    <w:rsid w:val="000E0631"/>
    <w:rsid w:val="000E2466"/>
    <w:rsid w:val="000E2707"/>
    <w:rsid w:val="00100AEC"/>
    <w:rsid w:val="0010207A"/>
    <w:rsid w:val="00102864"/>
    <w:rsid w:val="00104E7B"/>
    <w:rsid w:val="00107789"/>
    <w:rsid w:val="00107939"/>
    <w:rsid w:val="001222C1"/>
    <w:rsid w:val="00125BC3"/>
    <w:rsid w:val="00126150"/>
    <w:rsid w:val="00126B8A"/>
    <w:rsid w:val="001337A5"/>
    <w:rsid w:val="00133CDF"/>
    <w:rsid w:val="001340E8"/>
    <w:rsid w:val="001346E7"/>
    <w:rsid w:val="00134EC6"/>
    <w:rsid w:val="00137192"/>
    <w:rsid w:val="00137DB8"/>
    <w:rsid w:val="00141581"/>
    <w:rsid w:val="00161BB3"/>
    <w:rsid w:val="001625A4"/>
    <w:rsid w:val="00170AD4"/>
    <w:rsid w:val="0017414A"/>
    <w:rsid w:val="00181997"/>
    <w:rsid w:val="0018577A"/>
    <w:rsid w:val="00196EEA"/>
    <w:rsid w:val="001A7C42"/>
    <w:rsid w:val="001B2CCB"/>
    <w:rsid w:val="001C388E"/>
    <w:rsid w:val="001C5528"/>
    <w:rsid w:val="001D2749"/>
    <w:rsid w:val="001D3CE2"/>
    <w:rsid w:val="001D40B4"/>
    <w:rsid w:val="001E04A6"/>
    <w:rsid w:val="001E2635"/>
    <w:rsid w:val="002105D6"/>
    <w:rsid w:val="00215559"/>
    <w:rsid w:val="002216C0"/>
    <w:rsid w:val="00221A17"/>
    <w:rsid w:val="00222B88"/>
    <w:rsid w:val="002232BE"/>
    <w:rsid w:val="00225557"/>
    <w:rsid w:val="00234199"/>
    <w:rsid w:val="00236126"/>
    <w:rsid w:val="00242681"/>
    <w:rsid w:val="00242843"/>
    <w:rsid w:val="00242C11"/>
    <w:rsid w:val="0024344F"/>
    <w:rsid w:val="0024389F"/>
    <w:rsid w:val="0024585E"/>
    <w:rsid w:val="00263581"/>
    <w:rsid w:val="00277DAE"/>
    <w:rsid w:val="002821E0"/>
    <w:rsid w:val="00285DE9"/>
    <w:rsid w:val="00287ADD"/>
    <w:rsid w:val="002A7D30"/>
    <w:rsid w:val="002B78EA"/>
    <w:rsid w:val="002C4B57"/>
    <w:rsid w:val="002D7586"/>
    <w:rsid w:val="002E16DF"/>
    <w:rsid w:val="002E7744"/>
    <w:rsid w:val="002F16B8"/>
    <w:rsid w:val="002F7A5D"/>
    <w:rsid w:val="00300863"/>
    <w:rsid w:val="00302065"/>
    <w:rsid w:val="0031056B"/>
    <w:rsid w:val="0031597E"/>
    <w:rsid w:val="0032597F"/>
    <w:rsid w:val="00335967"/>
    <w:rsid w:val="003431D3"/>
    <w:rsid w:val="00352997"/>
    <w:rsid w:val="00353822"/>
    <w:rsid w:val="00356096"/>
    <w:rsid w:val="00356AFD"/>
    <w:rsid w:val="00373A07"/>
    <w:rsid w:val="00374336"/>
    <w:rsid w:val="00377C20"/>
    <w:rsid w:val="00385F33"/>
    <w:rsid w:val="00390509"/>
    <w:rsid w:val="003A2F9A"/>
    <w:rsid w:val="003A447A"/>
    <w:rsid w:val="003A5D77"/>
    <w:rsid w:val="003A7C9D"/>
    <w:rsid w:val="003A7DCC"/>
    <w:rsid w:val="003B153C"/>
    <w:rsid w:val="003B3B11"/>
    <w:rsid w:val="003B670B"/>
    <w:rsid w:val="003E7600"/>
    <w:rsid w:val="003F68A7"/>
    <w:rsid w:val="004033EB"/>
    <w:rsid w:val="0040559C"/>
    <w:rsid w:val="004131E1"/>
    <w:rsid w:val="00420267"/>
    <w:rsid w:val="004353A3"/>
    <w:rsid w:val="00447ACF"/>
    <w:rsid w:val="00455B1E"/>
    <w:rsid w:val="004700CC"/>
    <w:rsid w:val="0047065C"/>
    <w:rsid w:val="00471081"/>
    <w:rsid w:val="0047315C"/>
    <w:rsid w:val="00484771"/>
    <w:rsid w:val="0048486A"/>
    <w:rsid w:val="00486C68"/>
    <w:rsid w:val="004A14B3"/>
    <w:rsid w:val="004A209C"/>
    <w:rsid w:val="004B05B2"/>
    <w:rsid w:val="004B199C"/>
    <w:rsid w:val="004B2C3D"/>
    <w:rsid w:val="004B35E4"/>
    <w:rsid w:val="004B3A9E"/>
    <w:rsid w:val="004C2DA0"/>
    <w:rsid w:val="004C60EC"/>
    <w:rsid w:val="004C6BE8"/>
    <w:rsid w:val="004D28B5"/>
    <w:rsid w:val="004E36BC"/>
    <w:rsid w:val="004E404C"/>
    <w:rsid w:val="004F4E8E"/>
    <w:rsid w:val="005027AE"/>
    <w:rsid w:val="00502E0F"/>
    <w:rsid w:val="0050470B"/>
    <w:rsid w:val="00512EB6"/>
    <w:rsid w:val="005209E6"/>
    <w:rsid w:val="00522FD6"/>
    <w:rsid w:val="00525C8D"/>
    <w:rsid w:val="00527A45"/>
    <w:rsid w:val="00534891"/>
    <w:rsid w:val="0054658B"/>
    <w:rsid w:val="005520E6"/>
    <w:rsid w:val="0055371A"/>
    <w:rsid w:val="00561510"/>
    <w:rsid w:val="0056236C"/>
    <w:rsid w:val="005706D3"/>
    <w:rsid w:val="005760DF"/>
    <w:rsid w:val="00576954"/>
    <w:rsid w:val="00577E90"/>
    <w:rsid w:val="005823D7"/>
    <w:rsid w:val="00583BA5"/>
    <w:rsid w:val="00585DB9"/>
    <w:rsid w:val="005904C7"/>
    <w:rsid w:val="00590B66"/>
    <w:rsid w:val="005A2C00"/>
    <w:rsid w:val="005A5D78"/>
    <w:rsid w:val="005C2CC4"/>
    <w:rsid w:val="005C7A9B"/>
    <w:rsid w:val="005D6046"/>
    <w:rsid w:val="005E026A"/>
    <w:rsid w:val="005E07DF"/>
    <w:rsid w:val="005E1250"/>
    <w:rsid w:val="005E23AA"/>
    <w:rsid w:val="005E2777"/>
    <w:rsid w:val="005E7E86"/>
    <w:rsid w:val="005F03AB"/>
    <w:rsid w:val="005F0AD1"/>
    <w:rsid w:val="00602E28"/>
    <w:rsid w:val="0061402E"/>
    <w:rsid w:val="00615093"/>
    <w:rsid w:val="00617CE3"/>
    <w:rsid w:val="00620EEC"/>
    <w:rsid w:val="0062118D"/>
    <w:rsid w:val="006472DE"/>
    <w:rsid w:val="00651AE4"/>
    <w:rsid w:val="00651CB2"/>
    <w:rsid w:val="0065380C"/>
    <w:rsid w:val="00665C62"/>
    <w:rsid w:val="00666E43"/>
    <w:rsid w:val="0066790A"/>
    <w:rsid w:val="006748D6"/>
    <w:rsid w:val="00675A67"/>
    <w:rsid w:val="00680BB0"/>
    <w:rsid w:val="0069058A"/>
    <w:rsid w:val="00694342"/>
    <w:rsid w:val="00694E4E"/>
    <w:rsid w:val="006A1D25"/>
    <w:rsid w:val="006A2BC9"/>
    <w:rsid w:val="006B05A3"/>
    <w:rsid w:val="006B3EFD"/>
    <w:rsid w:val="006B4E8B"/>
    <w:rsid w:val="006B5A09"/>
    <w:rsid w:val="006C0637"/>
    <w:rsid w:val="006C19E9"/>
    <w:rsid w:val="006C2136"/>
    <w:rsid w:val="006C2E46"/>
    <w:rsid w:val="006C46FB"/>
    <w:rsid w:val="006C54BF"/>
    <w:rsid w:val="006C7EB9"/>
    <w:rsid w:val="006D2457"/>
    <w:rsid w:val="006D2913"/>
    <w:rsid w:val="006D2942"/>
    <w:rsid w:val="006D6A62"/>
    <w:rsid w:val="006E4C02"/>
    <w:rsid w:val="006F0321"/>
    <w:rsid w:val="006F44DC"/>
    <w:rsid w:val="00702631"/>
    <w:rsid w:val="00703560"/>
    <w:rsid w:val="00705DA0"/>
    <w:rsid w:val="007127F6"/>
    <w:rsid w:val="007136CF"/>
    <w:rsid w:val="007150C8"/>
    <w:rsid w:val="00730F60"/>
    <w:rsid w:val="00734E45"/>
    <w:rsid w:val="0074063C"/>
    <w:rsid w:val="00743B81"/>
    <w:rsid w:val="007500AA"/>
    <w:rsid w:val="00754F65"/>
    <w:rsid w:val="00756444"/>
    <w:rsid w:val="00762425"/>
    <w:rsid w:val="00764CBA"/>
    <w:rsid w:val="00766FC6"/>
    <w:rsid w:val="00767151"/>
    <w:rsid w:val="00767645"/>
    <w:rsid w:val="007726B5"/>
    <w:rsid w:val="00772B87"/>
    <w:rsid w:val="00775FF7"/>
    <w:rsid w:val="007765E3"/>
    <w:rsid w:val="00776EC9"/>
    <w:rsid w:val="007866E4"/>
    <w:rsid w:val="00787AEF"/>
    <w:rsid w:val="007910F3"/>
    <w:rsid w:val="007919F4"/>
    <w:rsid w:val="0079314D"/>
    <w:rsid w:val="00793343"/>
    <w:rsid w:val="0079385D"/>
    <w:rsid w:val="00796E07"/>
    <w:rsid w:val="007A1F4F"/>
    <w:rsid w:val="007B1935"/>
    <w:rsid w:val="007B77DA"/>
    <w:rsid w:val="007B7F33"/>
    <w:rsid w:val="007C1A57"/>
    <w:rsid w:val="007D7C7C"/>
    <w:rsid w:val="007E0F63"/>
    <w:rsid w:val="007E289E"/>
    <w:rsid w:val="007E7563"/>
    <w:rsid w:val="007F2BB5"/>
    <w:rsid w:val="007F30C6"/>
    <w:rsid w:val="007F48DF"/>
    <w:rsid w:val="007F744A"/>
    <w:rsid w:val="00801E2C"/>
    <w:rsid w:val="00802806"/>
    <w:rsid w:val="00802EDE"/>
    <w:rsid w:val="00811E9C"/>
    <w:rsid w:val="00811EA4"/>
    <w:rsid w:val="00821057"/>
    <w:rsid w:val="0082492A"/>
    <w:rsid w:val="0083130A"/>
    <w:rsid w:val="00847198"/>
    <w:rsid w:val="00847459"/>
    <w:rsid w:val="00854215"/>
    <w:rsid w:val="00856D2C"/>
    <w:rsid w:val="00857765"/>
    <w:rsid w:val="00864C5C"/>
    <w:rsid w:val="00870126"/>
    <w:rsid w:val="00871510"/>
    <w:rsid w:val="0087202E"/>
    <w:rsid w:val="0087522E"/>
    <w:rsid w:val="008762CC"/>
    <w:rsid w:val="008967FA"/>
    <w:rsid w:val="0089728C"/>
    <w:rsid w:val="008A0CC5"/>
    <w:rsid w:val="008B0D49"/>
    <w:rsid w:val="008B59EF"/>
    <w:rsid w:val="008B6BE0"/>
    <w:rsid w:val="008C20D0"/>
    <w:rsid w:val="008C3ADF"/>
    <w:rsid w:val="008D3A71"/>
    <w:rsid w:val="008D576B"/>
    <w:rsid w:val="008D7A86"/>
    <w:rsid w:val="008E424E"/>
    <w:rsid w:val="008E4302"/>
    <w:rsid w:val="008E7300"/>
    <w:rsid w:val="008E7DE8"/>
    <w:rsid w:val="008F28E6"/>
    <w:rsid w:val="008F355F"/>
    <w:rsid w:val="0090120C"/>
    <w:rsid w:val="00906FF8"/>
    <w:rsid w:val="00915E28"/>
    <w:rsid w:val="0091711D"/>
    <w:rsid w:val="00921A85"/>
    <w:rsid w:val="00921CC2"/>
    <w:rsid w:val="009234B7"/>
    <w:rsid w:val="00927EAA"/>
    <w:rsid w:val="00933340"/>
    <w:rsid w:val="0094328C"/>
    <w:rsid w:val="009440C1"/>
    <w:rsid w:val="00945D10"/>
    <w:rsid w:val="0095182C"/>
    <w:rsid w:val="00951870"/>
    <w:rsid w:val="00954986"/>
    <w:rsid w:val="00954E1C"/>
    <w:rsid w:val="0095718D"/>
    <w:rsid w:val="009617EA"/>
    <w:rsid w:val="00975850"/>
    <w:rsid w:val="00991F57"/>
    <w:rsid w:val="00992F95"/>
    <w:rsid w:val="009A6297"/>
    <w:rsid w:val="009B2794"/>
    <w:rsid w:val="009B531D"/>
    <w:rsid w:val="009B7B93"/>
    <w:rsid w:val="009C1988"/>
    <w:rsid w:val="009C720A"/>
    <w:rsid w:val="009D39AE"/>
    <w:rsid w:val="009E19D0"/>
    <w:rsid w:val="009F18A1"/>
    <w:rsid w:val="009F60F4"/>
    <w:rsid w:val="009F6EB6"/>
    <w:rsid w:val="00A033CD"/>
    <w:rsid w:val="00A03B32"/>
    <w:rsid w:val="00A06159"/>
    <w:rsid w:val="00A178F9"/>
    <w:rsid w:val="00A23660"/>
    <w:rsid w:val="00A2378A"/>
    <w:rsid w:val="00A304C4"/>
    <w:rsid w:val="00A37648"/>
    <w:rsid w:val="00A4424D"/>
    <w:rsid w:val="00A4455C"/>
    <w:rsid w:val="00A44DCA"/>
    <w:rsid w:val="00A539B7"/>
    <w:rsid w:val="00A662F6"/>
    <w:rsid w:val="00A6650A"/>
    <w:rsid w:val="00A703BC"/>
    <w:rsid w:val="00A73E4E"/>
    <w:rsid w:val="00A9316B"/>
    <w:rsid w:val="00A95F65"/>
    <w:rsid w:val="00A96AAA"/>
    <w:rsid w:val="00A97358"/>
    <w:rsid w:val="00AA5514"/>
    <w:rsid w:val="00AA5753"/>
    <w:rsid w:val="00AB0A6C"/>
    <w:rsid w:val="00AB4DD7"/>
    <w:rsid w:val="00AC6C87"/>
    <w:rsid w:val="00AE2615"/>
    <w:rsid w:val="00AF38C2"/>
    <w:rsid w:val="00B12F16"/>
    <w:rsid w:val="00B15FB8"/>
    <w:rsid w:val="00B3281D"/>
    <w:rsid w:val="00B35942"/>
    <w:rsid w:val="00B369E6"/>
    <w:rsid w:val="00B43EE0"/>
    <w:rsid w:val="00B56036"/>
    <w:rsid w:val="00B57318"/>
    <w:rsid w:val="00B576F8"/>
    <w:rsid w:val="00B6174C"/>
    <w:rsid w:val="00B629C8"/>
    <w:rsid w:val="00B6735F"/>
    <w:rsid w:val="00B72E71"/>
    <w:rsid w:val="00B76411"/>
    <w:rsid w:val="00B92EE9"/>
    <w:rsid w:val="00B95746"/>
    <w:rsid w:val="00BA2219"/>
    <w:rsid w:val="00BA65F9"/>
    <w:rsid w:val="00BA7B66"/>
    <w:rsid w:val="00BB5E87"/>
    <w:rsid w:val="00BC5067"/>
    <w:rsid w:val="00BD0533"/>
    <w:rsid w:val="00BD37A1"/>
    <w:rsid w:val="00BE2635"/>
    <w:rsid w:val="00BE26AC"/>
    <w:rsid w:val="00BE601C"/>
    <w:rsid w:val="00BE6710"/>
    <w:rsid w:val="00BF20E4"/>
    <w:rsid w:val="00BF3ECD"/>
    <w:rsid w:val="00BF5AA2"/>
    <w:rsid w:val="00BF6A70"/>
    <w:rsid w:val="00BF74A3"/>
    <w:rsid w:val="00C00CE7"/>
    <w:rsid w:val="00C02DA2"/>
    <w:rsid w:val="00C23D6E"/>
    <w:rsid w:val="00C3355F"/>
    <w:rsid w:val="00C33C12"/>
    <w:rsid w:val="00C41168"/>
    <w:rsid w:val="00C417FD"/>
    <w:rsid w:val="00C42F21"/>
    <w:rsid w:val="00C46864"/>
    <w:rsid w:val="00C52FC9"/>
    <w:rsid w:val="00C57529"/>
    <w:rsid w:val="00C65847"/>
    <w:rsid w:val="00C67BB3"/>
    <w:rsid w:val="00C86E35"/>
    <w:rsid w:val="00C87FE3"/>
    <w:rsid w:val="00C91B9C"/>
    <w:rsid w:val="00C9767E"/>
    <w:rsid w:val="00CA39E0"/>
    <w:rsid w:val="00CB7211"/>
    <w:rsid w:val="00CE1A75"/>
    <w:rsid w:val="00CE5D43"/>
    <w:rsid w:val="00CE7845"/>
    <w:rsid w:val="00CE78C0"/>
    <w:rsid w:val="00CF1EED"/>
    <w:rsid w:val="00CF743B"/>
    <w:rsid w:val="00D01491"/>
    <w:rsid w:val="00D01AAE"/>
    <w:rsid w:val="00D0239C"/>
    <w:rsid w:val="00D11502"/>
    <w:rsid w:val="00D17643"/>
    <w:rsid w:val="00D178F1"/>
    <w:rsid w:val="00D23FC2"/>
    <w:rsid w:val="00D25939"/>
    <w:rsid w:val="00D341FB"/>
    <w:rsid w:val="00D40BA1"/>
    <w:rsid w:val="00D40D0D"/>
    <w:rsid w:val="00D46748"/>
    <w:rsid w:val="00D47911"/>
    <w:rsid w:val="00D47A11"/>
    <w:rsid w:val="00D51EDB"/>
    <w:rsid w:val="00D545D5"/>
    <w:rsid w:val="00D6206F"/>
    <w:rsid w:val="00D65940"/>
    <w:rsid w:val="00D71C45"/>
    <w:rsid w:val="00D72234"/>
    <w:rsid w:val="00D735A4"/>
    <w:rsid w:val="00D74A94"/>
    <w:rsid w:val="00D7663A"/>
    <w:rsid w:val="00D96EDF"/>
    <w:rsid w:val="00DA1CFB"/>
    <w:rsid w:val="00DA74A4"/>
    <w:rsid w:val="00DB2D11"/>
    <w:rsid w:val="00DB30A1"/>
    <w:rsid w:val="00DB5500"/>
    <w:rsid w:val="00DC096A"/>
    <w:rsid w:val="00DC238A"/>
    <w:rsid w:val="00DC2A67"/>
    <w:rsid w:val="00DC6363"/>
    <w:rsid w:val="00DD03AA"/>
    <w:rsid w:val="00DD05C7"/>
    <w:rsid w:val="00DD7D0B"/>
    <w:rsid w:val="00DF3D1D"/>
    <w:rsid w:val="00DF7201"/>
    <w:rsid w:val="00E01DF6"/>
    <w:rsid w:val="00E05F6E"/>
    <w:rsid w:val="00E13E16"/>
    <w:rsid w:val="00E20D84"/>
    <w:rsid w:val="00E232B5"/>
    <w:rsid w:val="00E23ECA"/>
    <w:rsid w:val="00E30394"/>
    <w:rsid w:val="00E31309"/>
    <w:rsid w:val="00E3134B"/>
    <w:rsid w:val="00E32696"/>
    <w:rsid w:val="00E33062"/>
    <w:rsid w:val="00E43684"/>
    <w:rsid w:val="00E60184"/>
    <w:rsid w:val="00E64CF6"/>
    <w:rsid w:val="00E717D0"/>
    <w:rsid w:val="00E71D66"/>
    <w:rsid w:val="00E727C2"/>
    <w:rsid w:val="00E77712"/>
    <w:rsid w:val="00E83FC2"/>
    <w:rsid w:val="00E973C4"/>
    <w:rsid w:val="00EA1BD9"/>
    <w:rsid w:val="00EB0F5D"/>
    <w:rsid w:val="00EB4787"/>
    <w:rsid w:val="00EB76E6"/>
    <w:rsid w:val="00ED4399"/>
    <w:rsid w:val="00ED731A"/>
    <w:rsid w:val="00ED7FF4"/>
    <w:rsid w:val="00EE2FF2"/>
    <w:rsid w:val="00EE6A61"/>
    <w:rsid w:val="00EF3D88"/>
    <w:rsid w:val="00EF43DA"/>
    <w:rsid w:val="00F029FD"/>
    <w:rsid w:val="00F17CD4"/>
    <w:rsid w:val="00F2241C"/>
    <w:rsid w:val="00F352CD"/>
    <w:rsid w:val="00F36139"/>
    <w:rsid w:val="00F36140"/>
    <w:rsid w:val="00F477F4"/>
    <w:rsid w:val="00F50EC2"/>
    <w:rsid w:val="00F5713E"/>
    <w:rsid w:val="00F63996"/>
    <w:rsid w:val="00F754F6"/>
    <w:rsid w:val="00F77AA0"/>
    <w:rsid w:val="00F80944"/>
    <w:rsid w:val="00F81A55"/>
    <w:rsid w:val="00F830A4"/>
    <w:rsid w:val="00F91218"/>
    <w:rsid w:val="00F92EE0"/>
    <w:rsid w:val="00F94D8E"/>
    <w:rsid w:val="00F95E99"/>
    <w:rsid w:val="00F977BC"/>
    <w:rsid w:val="00FA638B"/>
    <w:rsid w:val="00FA6CE3"/>
    <w:rsid w:val="00FA7CFF"/>
    <w:rsid w:val="00FB0361"/>
    <w:rsid w:val="00FB4498"/>
    <w:rsid w:val="00FC133A"/>
    <w:rsid w:val="00FD2729"/>
    <w:rsid w:val="00FD2FEE"/>
    <w:rsid w:val="00FD4281"/>
    <w:rsid w:val="00FF45D5"/>
    <w:rsid w:val="00FF6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07F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AA0"/>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06443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15093"/>
    <w:pPr>
      <w:spacing w:before="360" w:after="120"/>
      <w:jc w:val="center"/>
      <w:outlineLvl w:val="1"/>
    </w:pPr>
    <w:rPr>
      <w:b/>
      <w:sz w:val="28"/>
      <w:szCs w:val="28"/>
    </w:rPr>
  </w:style>
  <w:style w:type="paragraph" w:styleId="Heading3">
    <w:name w:val="heading 3"/>
    <w:basedOn w:val="Normal"/>
    <w:next w:val="Normal"/>
    <w:link w:val="Heading3Char"/>
    <w:uiPriority w:val="9"/>
    <w:unhideWhenUsed/>
    <w:qFormat/>
    <w:rsid w:val="00615093"/>
    <w:pPr>
      <w:spacing w:before="120" w:after="120"/>
      <w:jc w:val="both"/>
      <w:outlineLvl w:val="2"/>
    </w:pPr>
    <w:rPr>
      <w:b/>
      <w:szCs w:val="24"/>
    </w:rPr>
  </w:style>
  <w:style w:type="paragraph" w:styleId="Heading6">
    <w:name w:val="heading 6"/>
    <w:basedOn w:val="Normal"/>
    <w:next w:val="Normal"/>
    <w:link w:val="Heading6Char"/>
    <w:semiHidden/>
    <w:unhideWhenUsed/>
    <w:qFormat/>
    <w:rsid w:val="002E7744"/>
    <w:pPr>
      <w:keepNext/>
      <w:spacing w:before="240"/>
      <w:ind w:right="91"/>
      <w:outlineLvl w:val="5"/>
    </w:pPr>
    <w:rPr>
      <w:rFonts w:eastAsia="Times New Roman" w:cs="Times New Roman"/>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431"/>
    <w:rPr>
      <w:rFonts w:ascii="Cambria" w:eastAsia="Times New Roman" w:hAnsi="Cambria" w:cs="Times New Roman"/>
      <w:b/>
      <w:bCs/>
      <w:kern w:val="32"/>
      <w:sz w:val="32"/>
      <w:szCs w:val="32"/>
    </w:rPr>
  </w:style>
  <w:style w:type="paragraph" w:styleId="ListParagraph">
    <w:name w:val="List Paragraph"/>
    <w:basedOn w:val="Normal"/>
    <w:uiPriority w:val="34"/>
    <w:qFormat/>
    <w:rsid w:val="00064431"/>
    <w:pPr>
      <w:ind w:left="720"/>
    </w:pPr>
    <w:rPr>
      <w:rFonts w:ascii="Calibri" w:eastAsia="Calibri" w:hAnsi="Calibri" w:cs="Times New Roman"/>
    </w:rPr>
  </w:style>
  <w:style w:type="paragraph" w:styleId="Header">
    <w:name w:val="header"/>
    <w:basedOn w:val="Normal"/>
    <w:link w:val="HeaderChar"/>
    <w:uiPriority w:val="99"/>
    <w:unhideWhenUsed/>
    <w:rsid w:val="00064431"/>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064431"/>
    <w:rPr>
      <w:rFonts w:ascii="Calibri" w:eastAsia="Calibri" w:hAnsi="Calibri" w:cs="Times New Roman"/>
    </w:rPr>
  </w:style>
  <w:style w:type="character" w:styleId="Hyperlink">
    <w:name w:val="Hyperlink"/>
    <w:basedOn w:val="DefaultParagraphFont"/>
    <w:uiPriority w:val="99"/>
    <w:unhideWhenUsed/>
    <w:rsid w:val="005A5D78"/>
    <w:rPr>
      <w:color w:val="0000FF" w:themeColor="hyperlink"/>
      <w:u w:val="single"/>
    </w:rPr>
  </w:style>
  <w:style w:type="character" w:styleId="CommentReference">
    <w:name w:val="annotation reference"/>
    <w:basedOn w:val="DefaultParagraphFont"/>
    <w:uiPriority w:val="99"/>
    <w:semiHidden/>
    <w:unhideWhenUsed/>
    <w:rsid w:val="004033EB"/>
    <w:rPr>
      <w:sz w:val="16"/>
      <w:szCs w:val="16"/>
    </w:rPr>
  </w:style>
  <w:style w:type="paragraph" w:styleId="CommentText">
    <w:name w:val="annotation text"/>
    <w:basedOn w:val="Normal"/>
    <w:link w:val="CommentTextChar"/>
    <w:uiPriority w:val="99"/>
    <w:semiHidden/>
    <w:unhideWhenUsed/>
    <w:rsid w:val="004033EB"/>
    <w:rPr>
      <w:sz w:val="20"/>
      <w:szCs w:val="20"/>
    </w:rPr>
  </w:style>
  <w:style w:type="character" w:customStyle="1" w:styleId="CommentTextChar">
    <w:name w:val="Comment Text Char"/>
    <w:basedOn w:val="DefaultParagraphFont"/>
    <w:link w:val="CommentText"/>
    <w:uiPriority w:val="99"/>
    <w:semiHidden/>
    <w:rsid w:val="004033EB"/>
    <w:rPr>
      <w:sz w:val="20"/>
      <w:szCs w:val="20"/>
    </w:rPr>
  </w:style>
  <w:style w:type="paragraph" w:styleId="CommentSubject">
    <w:name w:val="annotation subject"/>
    <w:basedOn w:val="CommentText"/>
    <w:next w:val="CommentText"/>
    <w:link w:val="CommentSubjectChar"/>
    <w:uiPriority w:val="99"/>
    <w:semiHidden/>
    <w:unhideWhenUsed/>
    <w:rsid w:val="004033EB"/>
    <w:rPr>
      <w:b/>
      <w:bCs/>
    </w:rPr>
  </w:style>
  <w:style w:type="character" w:customStyle="1" w:styleId="CommentSubjectChar">
    <w:name w:val="Comment Subject Char"/>
    <w:basedOn w:val="CommentTextChar"/>
    <w:link w:val="CommentSubject"/>
    <w:uiPriority w:val="99"/>
    <w:semiHidden/>
    <w:rsid w:val="004033EB"/>
    <w:rPr>
      <w:b/>
      <w:bCs/>
      <w:sz w:val="20"/>
      <w:szCs w:val="20"/>
    </w:rPr>
  </w:style>
  <w:style w:type="paragraph" w:styleId="BalloonText">
    <w:name w:val="Balloon Text"/>
    <w:basedOn w:val="Normal"/>
    <w:link w:val="BalloonTextChar"/>
    <w:uiPriority w:val="99"/>
    <w:semiHidden/>
    <w:unhideWhenUsed/>
    <w:rsid w:val="004033EB"/>
    <w:rPr>
      <w:rFonts w:ascii="Tahoma" w:hAnsi="Tahoma" w:cs="Tahoma"/>
      <w:sz w:val="16"/>
      <w:szCs w:val="16"/>
    </w:rPr>
  </w:style>
  <w:style w:type="character" w:customStyle="1" w:styleId="BalloonTextChar">
    <w:name w:val="Balloon Text Char"/>
    <w:basedOn w:val="DefaultParagraphFont"/>
    <w:link w:val="BalloonText"/>
    <w:uiPriority w:val="99"/>
    <w:semiHidden/>
    <w:rsid w:val="004033EB"/>
    <w:rPr>
      <w:rFonts w:ascii="Tahoma" w:hAnsi="Tahoma" w:cs="Tahoma"/>
      <w:sz w:val="16"/>
      <w:szCs w:val="16"/>
    </w:rPr>
  </w:style>
  <w:style w:type="paragraph" w:styleId="Footer">
    <w:name w:val="footer"/>
    <w:basedOn w:val="Normal"/>
    <w:link w:val="FooterChar"/>
    <w:uiPriority w:val="99"/>
    <w:unhideWhenUsed/>
    <w:rsid w:val="00A96AAA"/>
    <w:pPr>
      <w:tabs>
        <w:tab w:val="center" w:pos="4513"/>
        <w:tab w:val="right" w:pos="9026"/>
      </w:tabs>
    </w:pPr>
  </w:style>
  <w:style w:type="character" w:customStyle="1" w:styleId="FooterChar">
    <w:name w:val="Footer Char"/>
    <w:basedOn w:val="DefaultParagraphFont"/>
    <w:link w:val="Footer"/>
    <w:uiPriority w:val="99"/>
    <w:rsid w:val="00A96AAA"/>
  </w:style>
  <w:style w:type="character" w:customStyle="1" w:styleId="Heading2Char">
    <w:name w:val="Heading 2 Char"/>
    <w:basedOn w:val="DefaultParagraphFont"/>
    <w:link w:val="Heading2"/>
    <w:uiPriority w:val="9"/>
    <w:rsid w:val="00615093"/>
    <w:rPr>
      <w:rFonts w:ascii="Times New Roman" w:hAnsi="Times New Roman"/>
      <w:b/>
      <w:sz w:val="28"/>
      <w:szCs w:val="28"/>
    </w:rPr>
  </w:style>
  <w:style w:type="character" w:customStyle="1" w:styleId="Heading3Char">
    <w:name w:val="Heading 3 Char"/>
    <w:basedOn w:val="DefaultParagraphFont"/>
    <w:link w:val="Heading3"/>
    <w:uiPriority w:val="9"/>
    <w:rsid w:val="00615093"/>
    <w:rPr>
      <w:rFonts w:ascii="Times New Roman" w:hAnsi="Times New Roman"/>
      <w:b/>
      <w:sz w:val="24"/>
      <w:szCs w:val="24"/>
    </w:rPr>
  </w:style>
  <w:style w:type="paragraph" w:styleId="NormalWeb">
    <w:name w:val="Normal (Web)"/>
    <w:basedOn w:val="Normal"/>
    <w:uiPriority w:val="99"/>
    <w:semiHidden/>
    <w:unhideWhenUsed/>
    <w:rsid w:val="00DB30A1"/>
    <w:pPr>
      <w:spacing w:before="100" w:beforeAutospacing="1" w:after="100" w:afterAutospacing="1"/>
    </w:pPr>
    <w:rPr>
      <w:rFonts w:eastAsia="Times New Roman" w:cs="Times New Roman"/>
      <w:szCs w:val="24"/>
      <w:lang w:eastAsia="en-AU"/>
    </w:rPr>
  </w:style>
  <w:style w:type="character" w:customStyle="1" w:styleId="sr-only1">
    <w:name w:val="sr-only1"/>
    <w:basedOn w:val="DefaultParagraphFont"/>
    <w:rsid w:val="00694342"/>
    <w:rPr>
      <w:bdr w:val="none" w:sz="0" w:space="0" w:color="auto" w:frame="1"/>
    </w:rPr>
  </w:style>
  <w:style w:type="paragraph" w:styleId="FootnoteText">
    <w:name w:val="footnote text"/>
    <w:basedOn w:val="Normal"/>
    <w:link w:val="FootnoteTextChar"/>
    <w:uiPriority w:val="99"/>
    <w:unhideWhenUsed/>
    <w:rsid w:val="00702631"/>
    <w:rPr>
      <w:sz w:val="20"/>
      <w:szCs w:val="20"/>
    </w:rPr>
  </w:style>
  <w:style w:type="character" w:customStyle="1" w:styleId="FootnoteTextChar">
    <w:name w:val="Footnote Text Char"/>
    <w:basedOn w:val="DefaultParagraphFont"/>
    <w:link w:val="FootnoteText"/>
    <w:uiPriority w:val="99"/>
    <w:rsid w:val="00702631"/>
    <w:rPr>
      <w:sz w:val="20"/>
      <w:szCs w:val="20"/>
    </w:rPr>
  </w:style>
  <w:style w:type="character" w:styleId="FootnoteReference">
    <w:name w:val="footnote reference"/>
    <w:basedOn w:val="DefaultParagraphFont"/>
    <w:uiPriority w:val="99"/>
    <w:semiHidden/>
    <w:unhideWhenUsed/>
    <w:rsid w:val="00702631"/>
    <w:rPr>
      <w:vertAlign w:val="superscript"/>
    </w:rPr>
  </w:style>
  <w:style w:type="character" w:styleId="Emphasis">
    <w:name w:val="Emphasis"/>
    <w:basedOn w:val="DefaultParagraphFont"/>
    <w:uiPriority w:val="20"/>
    <w:qFormat/>
    <w:rsid w:val="00DB2D11"/>
    <w:rPr>
      <w:i/>
      <w:iCs/>
    </w:rPr>
  </w:style>
  <w:style w:type="paragraph" w:customStyle="1" w:styleId="BulletDot">
    <w:name w:val="Bullet Dot"/>
    <w:basedOn w:val="Normal"/>
    <w:link w:val="BulletDotChar"/>
    <w:qFormat/>
    <w:rsid w:val="001B2CCB"/>
    <w:pPr>
      <w:numPr>
        <w:numId w:val="19"/>
      </w:numPr>
      <w:suppressAutoHyphens/>
      <w:autoSpaceDE w:val="0"/>
      <w:autoSpaceDN w:val="0"/>
      <w:adjustRightInd w:val="0"/>
      <w:spacing w:after="50" w:line="280" w:lineRule="atLeast"/>
      <w:textAlignment w:val="center"/>
    </w:pPr>
    <w:rPr>
      <w:rFonts w:cs="FranklinGothic-Book"/>
      <w:color w:val="000000"/>
    </w:rPr>
  </w:style>
  <w:style w:type="character" w:customStyle="1" w:styleId="BulletDotChar">
    <w:name w:val="Bullet Dot Char"/>
    <w:basedOn w:val="DefaultParagraphFont"/>
    <w:link w:val="BulletDot"/>
    <w:rsid w:val="001B2CCB"/>
    <w:rPr>
      <w:rFonts w:ascii="Times New Roman" w:hAnsi="Times New Roman" w:cs="FranklinGothic-Book"/>
      <w:color w:val="000000"/>
      <w:sz w:val="24"/>
    </w:rPr>
  </w:style>
  <w:style w:type="character" w:styleId="FollowedHyperlink">
    <w:name w:val="FollowedHyperlink"/>
    <w:basedOn w:val="DefaultParagraphFont"/>
    <w:uiPriority w:val="99"/>
    <w:semiHidden/>
    <w:unhideWhenUsed/>
    <w:rsid w:val="003A2F9A"/>
    <w:rPr>
      <w:color w:val="800080" w:themeColor="followedHyperlink"/>
      <w:u w:val="single"/>
    </w:rPr>
  </w:style>
  <w:style w:type="character" w:customStyle="1" w:styleId="Heading6Char">
    <w:name w:val="Heading 6 Char"/>
    <w:basedOn w:val="DefaultParagraphFont"/>
    <w:link w:val="Heading6"/>
    <w:semiHidden/>
    <w:rsid w:val="002E7744"/>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2E7744"/>
    <w:rPr>
      <w:b/>
      <w:sz w:val="24"/>
    </w:rPr>
  </w:style>
  <w:style w:type="paragraph" w:customStyle="1" w:styleId="Appendix">
    <w:name w:val="Appendix"/>
    <w:basedOn w:val="Normal"/>
    <w:link w:val="AppendixCharChar"/>
    <w:rsid w:val="002E7744"/>
    <w:pPr>
      <w:jc w:val="right"/>
    </w:pPr>
    <w:rPr>
      <w:rFonts w:asciiTheme="minorHAnsi" w:hAnsiTheme="minorHAnsi"/>
      <w:b/>
    </w:rPr>
  </w:style>
  <w:style w:type="paragraph" w:customStyle="1" w:styleId="HB-dotpoint">
    <w:name w:val="HB - dotpoint"/>
    <w:basedOn w:val="Normal"/>
    <w:rsid w:val="002E7744"/>
    <w:pPr>
      <w:numPr>
        <w:numId w:val="32"/>
      </w:numPr>
      <w:spacing w:before="180"/>
    </w:pPr>
    <w:rPr>
      <w:rFonts w:eastAsia="Times New Roman" w:cs="Times New Roman"/>
      <w:szCs w:val="20"/>
      <w:lang w:eastAsia="en-AU"/>
    </w:rPr>
  </w:style>
  <w:style w:type="paragraph" w:styleId="ListNumber">
    <w:name w:val="List Number"/>
    <w:basedOn w:val="Normal"/>
    <w:autoRedefine/>
    <w:uiPriority w:val="99"/>
    <w:semiHidden/>
    <w:unhideWhenUsed/>
    <w:qFormat/>
    <w:rsid w:val="002E7744"/>
    <w:pPr>
      <w:numPr>
        <w:numId w:val="36"/>
      </w:numPr>
      <w:spacing w:after="200"/>
    </w:pPr>
    <w:rPr>
      <w:rFonts w:eastAsia="Calibri" w:cs="Times New Roman"/>
      <w:b/>
      <w:szCs w:val="24"/>
    </w:rPr>
  </w:style>
  <w:style w:type="paragraph" w:customStyle="1" w:styleId="ShortT">
    <w:name w:val="ShortT"/>
    <w:basedOn w:val="Normal"/>
    <w:next w:val="Normal"/>
    <w:qFormat/>
    <w:rsid w:val="002E7744"/>
    <w:rPr>
      <w:rFonts w:eastAsia="Times New Roman" w:cs="Times New Roman"/>
      <w:b/>
      <w:sz w:val="4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9744">
      <w:bodyDiv w:val="1"/>
      <w:marLeft w:val="0"/>
      <w:marRight w:val="0"/>
      <w:marTop w:val="0"/>
      <w:marBottom w:val="0"/>
      <w:divBdr>
        <w:top w:val="none" w:sz="0" w:space="0" w:color="auto"/>
        <w:left w:val="none" w:sz="0" w:space="0" w:color="auto"/>
        <w:bottom w:val="none" w:sz="0" w:space="0" w:color="auto"/>
        <w:right w:val="none" w:sz="0" w:space="0" w:color="auto"/>
      </w:divBdr>
    </w:div>
    <w:div w:id="85420336">
      <w:bodyDiv w:val="1"/>
      <w:marLeft w:val="0"/>
      <w:marRight w:val="0"/>
      <w:marTop w:val="0"/>
      <w:marBottom w:val="0"/>
      <w:divBdr>
        <w:top w:val="none" w:sz="0" w:space="0" w:color="auto"/>
        <w:left w:val="none" w:sz="0" w:space="0" w:color="auto"/>
        <w:bottom w:val="none" w:sz="0" w:space="0" w:color="auto"/>
        <w:right w:val="none" w:sz="0" w:space="0" w:color="auto"/>
      </w:divBdr>
    </w:div>
    <w:div w:id="113016018">
      <w:bodyDiv w:val="1"/>
      <w:marLeft w:val="0"/>
      <w:marRight w:val="0"/>
      <w:marTop w:val="0"/>
      <w:marBottom w:val="0"/>
      <w:divBdr>
        <w:top w:val="none" w:sz="0" w:space="0" w:color="auto"/>
        <w:left w:val="none" w:sz="0" w:space="0" w:color="auto"/>
        <w:bottom w:val="none" w:sz="0" w:space="0" w:color="auto"/>
        <w:right w:val="none" w:sz="0" w:space="0" w:color="auto"/>
      </w:divBdr>
    </w:div>
    <w:div w:id="333655623">
      <w:bodyDiv w:val="1"/>
      <w:marLeft w:val="0"/>
      <w:marRight w:val="0"/>
      <w:marTop w:val="0"/>
      <w:marBottom w:val="0"/>
      <w:divBdr>
        <w:top w:val="none" w:sz="0" w:space="0" w:color="auto"/>
        <w:left w:val="none" w:sz="0" w:space="0" w:color="auto"/>
        <w:bottom w:val="none" w:sz="0" w:space="0" w:color="auto"/>
        <w:right w:val="none" w:sz="0" w:space="0" w:color="auto"/>
      </w:divBdr>
    </w:div>
    <w:div w:id="367489608">
      <w:bodyDiv w:val="1"/>
      <w:marLeft w:val="0"/>
      <w:marRight w:val="0"/>
      <w:marTop w:val="0"/>
      <w:marBottom w:val="0"/>
      <w:divBdr>
        <w:top w:val="none" w:sz="0" w:space="0" w:color="auto"/>
        <w:left w:val="none" w:sz="0" w:space="0" w:color="auto"/>
        <w:bottom w:val="none" w:sz="0" w:space="0" w:color="auto"/>
        <w:right w:val="none" w:sz="0" w:space="0" w:color="auto"/>
      </w:divBdr>
    </w:div>
    <w:div w:id="374473802">
      <w:bodyDiv w:val="1"/>
      <w:marLeft w:val="0"/>
      <w:marRight w:val="0"/>
      <w:marTop w:val="0"/>
      <w:marBottom w:val="0"/>
      <w:divBdr>
        <w:top w:val="none" w:sz="0" w:space="0" w:color="auto"/>
        <w:left w:val="none" w:sz="0" w:space="0" w:color="auto"/>
        <w:bottom w:val="none" w:sz="0" w:space="0" w:color="auto"/>
        <w:right w:val="none" w:sz="0" w:space="0" w:color="auto"/>
      </w:divBdr>
    </w:div>
    <w:div w:id="673533006">
      <w:bodyDiv w:val="1"/>
      <w:marLeft w:val="0"/>
      <w:marRight w:val="0"/>
      <w:marTop w:val="0"/>
      <w:marBottom w:val="0"/>
      <w:divBdr>
        <w:top w:val="none" w:sz="0" w:space="0" w:color="auto"/>
        <w:left w:val="none" w:sz="0" w:space="0" w:color="auto"/>
        <w:bottom w:val="none" w:sz="0" w:space="0" w:color="auto"/>
        <w:right w:val="none" w:sz="0" w:space="0" w:color="auto"/>
      </w:divBdr>
    </w:div>
    <w:div w:id="683630322">
      <w:bodyDiv w:val="1"/>
      <w:marLeft w:val="0"/>
      <w:marRight w:val="0"/>
      <w:marTop w:val="0"/>
      <w:marBottom w:val="0"/>
      <w:divBdr>
        <w:top w:val="none" w:sz="0" w:space="0" w:color="auto"/>
        <w:left w:val="none" w:sz="0" w:space="0" w:color="auto"/>
        <w:bottom w:val="none" w:sz="0" w:space="0" w:color="auto"/>
        <w:right w:val="none" w:sz="0" w:space="0" w:color="auto"/>
      </w:divBdr>
    </w:div>
    <w:div w:id="748845176">
      <w:bodyDiv w:val="1"/>
      <w:marLeft w:val="0"/>
      <w:marRight w:val="0"/>
      <w:marTop w:val="0"/>
      <w:marBottom w:val="0"/>
      <w:divBdr>
        <w:top w:val="none" w:sz="0" w:space="0" w:color="auto"/>
        <w:left w:val="none" w:sz="0" w:space="0" w:color="auto"/>
        <w:bottom w:val="none" w:sz="0" w:space="0" w:color="auto"/>
        <w:right w:val="none" w:sz="0" w:space="0" w:color="auto"/>
      </w:divBdr>
    </w:div>
    <w:div w:id="1193569991">
      <w:bodyDiv w:val="1"/>
      <w:marLeft w:val="0"/>
      <w:marRight w:val="0"/>
      <w:marTop w:val="0"/>
      <w:marBottom w:val="0"/>
      <w:divBdr>
        <w:top w:val="none" w:sz="0" w:space="0" w:color="auto"/>
        <w:left w:val="none" w:sz="0" w:space="0" w:color="auto"/>
        <w:bottom w:val="none" w:sz="0" w:space="0" w:color="auto"/>
        <w:right w:val="none" w:sz="0" w:space="0" w:color="auto"/>
      </w:divBdr>
    </w:div>
    <w:div w:id="1344089868">
      <w:bodyDiv w:val="1"/>
      <w:marLeft w:val="0"/>
      <w:marRight w:val="0"/>
      <w:marTop w:val="0"/>
      <w:marBottom w:val="0"/>
      <w:divBdr>
        <w:top w:val="none" w:sz="0" w:space="0" w:color="auto"/>
        <w:left w:val="none" w:sz="0" w:space="0" w:color="auto"/>
        <w:bottom w:val="none" w:sz="0" w:space="0" w:color="auto"/>
        <w:right w:val="none" w:sz="0" w:space="0" w:color="auto"/>
      </w:divBdr>
    </w:div>
    <w:div w:id="1732272511">
      <w:bodyDiv w:val="1"/>
      <w:marLeft w:val="0"/>
      <w:marRight w:val="0"/>
      <w:marTop w:val="0"/>
      <w:marBottom w:val="0"/>
      <w:divBdr>
        <w:top w:val="none" w:sz="0" w:space="0" w:color="auto"/>
        <w:left w:val="none" w:sz="0" w:space="0" w:color="auto"/>
        <w:bottom w:val="none" w:sz="0" w:space="0" w:color="auto"/>
        <w:right w:val="none" w:sz="0" w:space="0" w:color="auto"/>
      </w:divBdr>
      <w:divsChild>
        <w:div w:id="1546063599">
          <w:marLeft w:val="0"/>
          <w:marRight w:val="0"/>
          <w:marTop w:val="0"/>
          <w:marBottom w:val="0"/>
          <w:divBdr>
            <w:top w:val="none" w:sz="0" w:space="0" w:color="auto"/>
            <w:left w:val="none" w:sz="0" w:space="0" w:color="auto"/>
            <w:bottom w:val="none" w:sz="0" w:space="0" w:color="auto"/>
            <w:right w:val="none" w:sz="0" w:space="0" w:color="auto"/>
          </w:divBdr>
          <w:divsChild>
            <w:div w:id="1418557524">
              <w:marLeft w:val="0"/>
              <w:marRight w:val="0"/>
              <w:marTop w:val="0"/>
              <w:marBottom w:val="0"/>
              <w:divBdr>
                <w:top w:val="none" w:sz="0" w:space="0" w:color="auto"/>
                <w:left w:val="none" w:sz="0" w:space="0" w:color="auto"/>
                <w:bottom w:val="none" w:sz="0" w:space="0" w:color="auto"/>
                <w:right w:val="none" w:sz="0" w:space="0" w:color="auto"/>
              </w:divBdr>
              <w:divsChild>
                <w:div w:id="1697807094">
                  <w:marLeft w:val="0"/>
                  <w:marRight w:val="0"/>
                  <w:marTop w:val="0"/>
                  <w:marBottom w:val="0"/>
                  <w:divBdr>
                    <w:top w:val="none" w:sz="0" w:space="0" w:color="auto"/>
                    <w:left w:val="none" w:sz="0" w:space="0" w:color="auto"/>
                    <w:bottom w:val="none" w:sz="0" w:space="0" w:color="auto"/>
                    <w:right w:val="none" w:sz="0" w:space="0" w:color="auto"/>
                  </w:divBdr>
                  <w:divsChild>
                    <w:div w:id="1359426466">
                      <w:marLeft w:val="0"/>
                      <w:marRight w:val="0"/>
                      <w:marTop w:val="0"/>
                      <w:marBottom w:val="0"/>
                      <w:divBdr>
                        <w:top w:val="none" w:sz="0" w:space="0" w:color="auto"/>
                        <w:left w:val="none" w:sz="0" w:space="0" w:color="auto"/>
                        <w:bottom w:val="none" w:sz="0" w:space="0" w:color="auto"/>
                        <w:right w:val="none" w:sz="0" w:space="0" w:color="auto"/>
                      </w:divBdr>
                      <w:divsChild>
                        <w:div w:id="403913314">
                          <w:marLeft w:val="0"/>
                          <w:marRight w:val="0"/>
                          <w:marTop w:val="0"/>
                          <w:marBottom w:val="0"/>
                          <w:divBdr>
                            <w:top w:val="none" w:sz="0" w:space="0" w:color="auto"/>
                            <w:left w:val="none" w:sz="0" w:space="0" w:color="auto"/>
                            <w:bottom w:val="none" w:sz="0" w:space="0" w:color="auto"/>
                            <w:right w:val="none" w:sz="0" w:space="0" w:color="auto"/>
                          </w:divBdr>
                          <w:divsChild>
                            <w:div w:id="1619408910">
                              <w:marLeft w:val="0"/>
                              <w:marRight w:val="0"/>
                              <w:marTop w:val="0"/>
                              <w:marBottom w:val="0"/>
                              <w:divBdr>
                                <w:top w:val="none" w:sz="0" w:space="0" w:color="auto"/>
                                <w:left w:val="none" w:sz="0" w:space="0" w:color="auto"/>
                                <w:bottom w:val="none" w:sz="0" w:space="0" w:color="auto"/>
                                <w:right w:val="none" w:sz="0" w:space="0" w:color="auto"/>
                              </w:divBdr>
                              <w:divsChild>
                                <w:div w:id="36928176">
                                  <w:marLeft w:val="0"/>
                                  <w:marRight w:val="0"/>
                                  <w:marTop w:val="0"/>
                                  <w:marBottom w:val="0"/>
                                  <w:divBdr>
                                    <w:top w:val="none" w:sz="0" w:space="0" w:color="auto"/>
                                    <w:left w:val="none" w:sz="0" w:space="0" w:color="auto"/>
                                    <w:bottom w:val="none" w:sz="0" w:space="0" w:color="auto"/>
                                    <w:right w:val="none" w:sz="0" w:space="0" w:color="auto"/>
                                  </w:divBdr>
                                  <w:divsChild>
                                    <w:div w:id="133527263">
                                      <w:marLeft w:val="0"/>
                                      <w:marRight w:val="0"/>
                                      <w:marTop w:val="0"/>
                                      <w:marBottom w:val="0"/>
                                      <w:divBdr>
                                        <w:top w:val="none" w:sz="0" w:space="0" w:color="auto"/>
                                        <w:left w:val="none" w:sz="0" w:space="0" w:color="auto"/>
                                        <w:bottom w:val="none" w:sz="0" w:space="0" w:color="auto"/>
                                        <w:right w:val="none" w:sz="0" w:space="0" w:color="auto"/>
                                      </w:divBdr>
                                      <w:divsChild>
                                        <w:div w:id="220483183">
                                          <w:marLeft w:val="0"/>
                                          <w:marRight w:val="0"/>
                                          <w:marTop w:val="0"/>
                                          <w:marBottom w:val="0"/>
                                          <w:divBdr>
                                            <w:top w:val="none" w:sz="0" w:space="0" w:color="auto"/>
                                            <w:left w:val="none" w:sz="0" w:space="0" w:color="auto"/>
                                            <w:bottom w:val="none" w:sz="0" w:space="0" w:color="auto"/>
                                            <w:right w:val="none" w:sz="0" w:space="0" w:color="auto"/>
                                          </w:divBdr>
                                          <w:divsChild>
                                            <w:div w:id="1894265670">
                                              <w:marLeft w:val="0"/>
                                              <w:marRight w:val="0"/>
                                              <w:marTop w:val="0"/>
                                              <w:marBottom w:val="0"/>
                                              <w:divBdr>
                                                <w:top w:val="none" w:sz="0" w:space="0" w:color="auto"/>
                                                <w:left w:val="none" w:sz="0" w:space="0" w:color="auto"/>
                                                <w:bottom w:val="none" w:sz="0" w:space="0" w:color="auto"/>
                                                <w:right w:val="none" w:sz="0" w:space="0" w:color="auto"/>
                                              </w:divBdr>
                                              <w:divsChild>
                                                <w:div w:id="181238465">
                                                  <w:marLeft w:val="0"/>
                                                  <w:marRight w:val="0"/>
                                                  <w:marTop w:val="0"/>
                                                  <w:marBottom w:val="0"/>
                                                  <w:divBdr>
                                                    <w:top w:val="none" w:sz="0" w:space="0" w:color="auto"/>
                                                    <w:left w:val="none" w:sz="0" w:space="0" w:color="auto"/>
                                                    <w:bottom w:val="none" w:sz="0" w:space="0" w:color="auto"/>
                                                    <w:right w:val="none" w:sz="0" w:space="0" w:color="auto"/>
                                                  </w:divBdr>
                                                  <w:divsChild>
                                                    <w:div w:id="1406104177">
                                                      <w:marLeft w:val="0"/>
                                                      <w:marRight w:val="0"/>
                                                      <w:marTop w:val="0"/>
                                                      <w:marBottom w:val="0"/>
                                                      <w:divBdr>
                                                        <w:top w:val="none" w:sz="0" w:space="0" w:color="auto"/>
                                                        <w:left w:val="none" w:sz="0" w:space="0" w:color="auto"/>
                                                        <w:bottom w:val="none" w:sz="0" w:space="0" w:color="auto"/>
                                                        <w:right w:val="none" w:sz="0" w:space="0" w:color="auto"/>
                                                      </w:divBdr>
                                                      <w:divsChild>
                                                        <w:div w:id="8832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2035148">
      <w:bodyDiv w:val="1"/>
      <w:marLeft w:val="0"/>
      <w:marRight w:val="0"/>
      <w:marTop w:val="0"/>
      <w:marBottom w:val="0"/>
      <w:divBdr>
        <w:top w:val="none" w:sz="0" w:space="0" w:color="auto"/>
        <w:left w:val="none" w:sz="0" w:space="0" w:color="auto"/>
        <w:bottom w:val="none" w:sz="0" w:space="0" w:color="auto"/>
        <w:right w:val="none" w:sz="0" w:space="0" w:color="auto"/>
      </w:divBdr>
      <w:divsChild>
        <w:div w:id="1774547856">
          <w:marLeft w:val="0"/>
          <w:marRight w:val="0"/>
          <w:marTop w:val="0"/>
          <w:marBottom w:val="0"/>
          <w:divBdr>
            <w:top w:val="none" w:sz="0" w:space="0" w:color="auto"/>
            <w:left w:val="none" w:sz="0" w:space="0" w:color="auto"/>
            <w:bottom w:val="none" w:sz="0" w:space="0" w:color="auto"/>
            <w:right w:val="none" w:sz="0" w:space="0" w:color="auto"/>
          </w:divBdr>
          <w:divsChild>
            <w:div w:id="1176192011">
              <w:marLeft w:val="0"/>
              <w:marRight w:val="0"/>
              <w:marTop w:val="0"/>
              <w:marBottom w:val="0"/>
              <w:divBdr>
                <w:top w:val="none" w:sz="0" w:space="0" w:color="auto"/>
                <w:left w:val="none" w:sz="0" w:space="0" w:color="auto"/>
                <w:bottom w:val="none" w:sz="0" w:space="0" w:color="auto"/>
                <w:right w:val="none" w:sz="0" w:space="0" w:color="auto"/>
              </w:divBdr>
              <w:divsChild>
                <w:div w:id="1045445121">
                  <w:marLeft w:val="0"/>
                  <w:marRight w:val="0"/>
                  <w:marTop w:val="0"/>
                  <w:marBottom w:val="0"/>
                  <w:divBdr>
                    <w:top w:val="none" w:sz="0" w:space="0" w:color="auto"/>
                    <w:left w:val="none" w:sz="0" w:space="0" w:color="auto"/>
                    <w:bottom w:val="none" w:sz="0" w:space="0" w:color="auto"/>
                    <w:right w:val="none" w:sz="0" w:space="0" w:color="auto"/>
                  </w:divBdr>
                  <w:divsChild>
                    <w:div w:id="345518649">
                      <w:marLeft w:val="0"/>
                      <w:marRight w:val="0"/>
                      <w:marTop w:val="0"/>
                      <w:marBottom w:val="0"/>
                      <w:divBdr>
                        <w:top w:val="none" w:sz="0" w:space="0" w:color="auto"/>
                        <w:left w:val="none" w:sz="0" w:space="0" w:color="auto"/>
                        <w:bottom w:val="none" w:sz="0" w:space="0" w:color="auto"/>
                        <w:right w:val="none" w:sz="0" w:space="0" w:color="auto"/>
                      </w:divBdr>
                      <w:divsChild>
                        <w:div w:id="1361274003">
                          <w:marLeft w:val="0"/>
                          <w:marRight w:val="0"/>
                          <w:marTop w:val="0"/>
                          <w:marBottom w:val="0"/>
                          <w:divBdr>
                            <w:top w:val="none" w:sz="0" w:space="0" w:color="auto"/>
                            <w:left w:val="none" w:sz="0" w:space="0" w:color="auto"/>
                            <w:bottom w:val="none" w:sz="0" w:space="0" w:color="auto"/>
                            <w:right w:val="none" w:sz="0" w:space="0" w:color="auto"/>
                          </w:divBdr>
                          <w:divsChild>
                            <w:div w:id="1214124179">
                              <w:marLeft w:val="0"/>
                              <w:marRight w:val="0"/>
                              <w:marTop w:val="0"/>
                              <w:marBottom w:val="0"/>
                              <w:divBdr>
                                <w:top w:val="none" w:sz="0" w:space="0" w:color="auto"/>
                                <w:left w:val="none" w:sz="0" w:space="0" w:color="auto"/>
                                <w:bottom w:val="none" w:sz="0" w:space="0" w:color="auto"/>
                                <w:right w:val="none" w:sz="0" w:space="0" w:color="auto"/>
                              </w:divBdr>
                              <w:divsChild>
                                <w:div w:id="1125738085">
                                  <w:marLeft w:val="0"/>
                                  <w:marRight w:val="0"/>
                                  <w:marTop w:val="0"/>
                                  <w:marBottom w:val="0"/>
                                  <w:divBdr>
                                    <w:top w:val="none" w:sz="0" w:space="0" w:color="auto"/>
                                    <w:left w:val="none" w:sz="0" w:space="0" w:color="auto"/>
                                    <w:bottom w:val="none" w:sz="0" w:space="0" w:color="auto"/>
                                    <w:right w:val="none" w:sz="0" w:space="0" w:color="auto"/>
                                  </w:divBdr>
                                  <w:divsChild>
                                    <w:div w:id="1994874938">
                                      <w:marLeft w:val="0"/>
                                      <w:marRight w:val="0"/>
                                      <w:marTop w:val="0"/>
                                      <w:marBottom w:val="0"/>
                                      <w:divBdr>
                                        <w:top w:val="none" w:sz="0" w:space="0" w:color="auto"/>
                                        <w:left w:val="none" w:sz="0" w:space="0" w:color="auto"/>
                                        <w:bottom w:val="none" w:sz="0" w:space="0" w:color="auto"/>
                                        <w:right w:val="none" w:sz="0" w:space="0" w:color="auto"/>
                                      </w:divBdr>
                                      <w:divsChild>
                                        <w:div w:id="629938644">
                                          <w:marLeft w:val="0"/>
                                          <w:marRight w:val="0"/>
                                          <w:marTop w:val="0"/>
                                          <w:marBottom w:val="0"/>
                                          <w:divBdr>
                                            <w:top w:val="none" w:sz="0" w:space="0" w:color="auto"/>
                                            <w:left w:val="none" w:sz="0" w:space="0" w:color="auto"/>
                                            <w:bottom w:val="none" w:sz="0" w:space="0" w:color="auto"/>
                                            <w:right w:val="none" w:sz="0" w:space="0" w:color="auto"/>
                                          </w:divBdr>
                                          <w:divsChild>
                                            <w:div w:id="51193699">
                                              <w:marLeft w:val="0"/>
                                              <w:marRight w:val="0"/>
                                              <w:marTop w:val="0"/>
                                              <w:marBottom w:val="0"/>
                                              <w:divBdr>
                                                <w:top w:val="none" w:sz="0" w:space="0" w:color="auto"/>
                                                <w:left w:val="none" w:sz="0" w:space="0" w:color="auto"/>
                                                <w:bottom w:val="none" w:sz="0" w:space="0" w:color="auto"/>
                                                <w:right w:val="none" w:sz="0" w:space="0" w:color="auto"/>
                                              </w:divBdr>
                                              <w:divsChild>
                                                <w:div w:id="7143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61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D08D6F4F487C4CBAB41AD82E460DBD" ma:contentTypeVersion="" ma:contentTypeDescription="PDMS Document Site Content Type" ma:contentTypeScope="" ma:versionID="c28bddd3b590a7b6d92f761df0d05731">
  <xsd:schema xmlns:xsd="http://www.w3.org/2001/XMLSchema" xmlns:xs="http://www.w3.org/2001/XMLSchema" xmlns:p="http://schemas.microsoft.com/office/2006/metadata/properties" xmlns:ns2="D2EA0FE5-D841-4ED3-989D-12F02FEE79EE" targetNamespace="http://schemas.microsoft.com/office/2006/metadata/properties" ma:root="true" ma:fieldsID="f0639a417feaf77ba50d61755f55217c" ns2:_="">
    <xsd:import namespace="D2EA0FE5-D841-4ED3-989D-12F02FEE79E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A0FE5-D841-4ED3-989D-12F02FEE79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2EA0FE5-D841-4ED3-989D-12F02FEE79E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B3A5-0ECA-4D21-9AC6-78751769F4C6}">
  <ds:schemaRefs>
    <ds:schemaRef ds:uri="http://schemas.microsoft.com/sharepoint/v3/contenttype/forms"/>
  </ds:schemaRefs>
</ds:datastoreItem>
</file>

<file path=customXml/itemProps2.xml><?xml version="1.0" encoding="utf-8"?>
<ds:datastoreItem xmlns:ds="http://schemas.openxmlformats.org/officeDocument/2006/customXml" ds:itemID="{210CF9A3-1F30-4046-A270-ABFAA844E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A0FE5-D841-4ED3-989D-12F02FEE7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8A0B6-14D8-42B9-B7BC-9EEA67EE9B4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D2EA0FE5-D841-4ED3-989D-12F02FEE79EE"/>
    <ds:schemaRef ds:uri="http://www.w3.org/XML/1998/namespace"/>
  </ds:schemaRefs>
</ds:datastoreItem>
</file>

<file path=customXml/itemProps4.xml><?xml version="1.0" encoding="utf-8"?>
<ds:datastoreItem xmlns:ds="http://schemas.openxmlformats.org/officeDocument/2006/customXml" ds:itemID="{43F9E70C-E1C7-47FF-B8A0-37CAF9EF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1586</Words>
  <Characters>9043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TEMPLATE 2: STATEMENT OF COMPATIBILITY FOR A BILL OR DISALLOWABLE LEGISLATIVE INSTRUMENT THAT RAISES HUMAN RIGHTS ISSUES</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 STATEMENT OF COMPATIBILITY FOR A BILL OR DISALLOWABLE LEGISLATIVE INSTRUMENT THAT RAISES HUMAN RIGHTS ISSUES</dc:title>
  <dc:creator/>
  <cp:lastModifiedBy/>
  <cp:revision>1</cp:revision>
  <dcterms:created xsi:type="dcterms:W3CDTF">2021-03-23T22:49:00Z</dcterms:created>
  <dcterms:modified xsi:type="dcterms:W3CDTF">2021-03-23T22:49:00Z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0x010100266966F133664895A6EE3632470D45F50012D08D6F4F487C4CBAB41AD82E460DBD</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