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96D1C" w14:textId="77777777" w:rsidR="00FB640B" w:rsidRPr="008B24C8" w:rsidRDefault="0057002B" w:rsidP="00404BA6">
      <w:pPr>
        <w:spacing w:line="276" w:lineRule="auto"/>
        <w:jc w:val="center"/>
        <w:rPr>
          <w:rFonts w:ascii="Times New Roman" w:hAnsi="Times New Roman" w:cs="Times New Roman"/>
          <w:u w:val="single"/>
        </w:rPr>
      </w:pPr>
      <w:bookmarkStart w:id="0" w:name="_GoBack"/>
      <w:bookmarkEnd w:id="0"/>
      <w:r w:rsidRPr="008B24C8">
        <w:rPr>
          <w:rFonts w:ascii="Times New Roman" w:hAnsi="Times New Roman" w:cs="Times New Roman"/>
          <w:u w:val="single"/>
        </w:rPr>
        <w:t>EXPLANATORY STATEMENT</w:t>
      </w:r>
    </w:p>
    <w:p w14:paraId="60EB7115" w14:textId="77777777" w:rsidR="0057002B" w:rsidRPr="008B24C8" w:rsidRDefault="0057002B" w:rsidP="00404BA6">
      <w:pPr>
        <w:spacing w:line="276" w:lineRule="auto"/>
        <w:jc w:val="center"/>
        <w:rPr>
          <w:rFonts w:ascii="Times New Roman" w:hAnsi="Times New Roman" w:cs="Times New Roman"/>
        </w:rPr>
      </w:pPr>
      <w:r w:rsidRPr="008B24C8">
        <w:rPr>
          <w:rFonts w:ascii="Times New Roman" w:hAnsi="Times New Roman" w:cs="Times New Roman"/>
        </w:rPr>
        <w:t xml:space="preserve">Issued by authority of the </w:t>
      </w:r>
      <w:r w:rsidR="00721817" w:rsidRPr="00721817">
        <w:rPr>
          <w:rFonts w:ascii="Times New Roman" w:hAnsi="Times New Roman" w:cs="Times New Roman"/>
        </w:rPr>
        <w:t>Minister for Immigration, Citizenship, Migrant Services and Multicultural Affairs</w:t>
      </w:r>
    </w:p>
    <w:p w14:paraId="435E2F62" w14:textId="77777777" w:rsidR="0057002B" w:rsidRPr="008B24C8" w:rsidRDefault="00721817" w:rsidP="00404BA6">
      <w:pPr>
        <w:spacing w:line="276" w:lineRule="auto"/>
        <w:jc w:val="center"/>
        <w:rPr>
          <w:rFonts w:ascii="Times New Roman" w:hAnsi="Times New Roman" w:cs="Times New Roman"/>
          <w:i/>
        </w:rPr>
      </w:pPr>
      <w:r>
        <w:rPr>
          <w:rFonts w:ascii="Times New Roman" w:hAnsi="Times New Roman" w:cs="Times New Roman"/>
          <w:i/>
        </w:rPr>
        <w:t>Immigration (Education) Act </w:t>
      </w:r>
      <w:r w:rsidRPr="00721817">
        <w:rPr>
          <w:rFonts w:ascii="Times New Roman" w:hAnsi="Times New Roman" w:cs="Times New Roman"/>
          <w:i/>
        </w:rPr>
        <w:t>1971</w:t>
      </w:r>
    </w:p>
    <w:p w14:paraId="0F4CAD01" w14:textId="77777777" w:rsidR="0057002B" w:rsidRPr="008B24C8" w:rsidRDefault="00721817" w:rsidP="00404BA6">
      <w:pPr>
        <w:spacing w:before="360" w:after="600" w:line="276" w:lineRule="auto"/>
        <w:jc w:val="center"/>
        <w:rPr>
          <w:rFonts w:ascii="Times New Roman" w:hAnsi="Times New Roman" w:cs="Times New Roman"/>
          <w:b/>
          <w:i/>
        </w:rPr>
      </w:pPr>
      <w:bookmarkStart w:id="1" w:name="Title"/>
      <w:r w:rsidRPr="00721817">
        <w:rPr>
          <w:rFonts w:ascii="Times New Roman" w:hAnsi="Times New Roman" w:cs="Times New Roman"/>
          <w:b/>
          <w:i/>
        </w:rPr>
        <w:t>Immigration (Education) (</w:t>
      </w:r>
      <w:r w:rsidR="007F6C43">
        <w:rPr>
          <w:rFonts w:ascii="Times New Roman" w:hAnsi="Times New Roman" w:cs="Times New Roman"/>
          <w:b/>
          <w:i/>
        </w:rPr>
        <w:t>Specification of</w:t>
      </w:r>
      <w:r w:rsidR="008C6E24">
        <w:rPr>
          <w:rFonts w:ascii="Times New Roman" w:hAnsi="Times New Roman" w:cs="Times New Roman"/>
          <w:b/>
          <w:i/>
        </w:rPr>
        <w:t xml:space="preserve"> temporary visas</w:t>
      </w:r>
      <w:r>
        <w:rPr>
          <w:rFonts w:ascii="Times New Roman" w:hAnsi="Times New Roman" w:cs="Times New Roman"/>
          <w:b/>
          <w:i/>
        </w:rPr>
        <w:t>) Instrument</w:t>
      </w:r>
      <w:r w:rsidR="008C6E24">
        <w:rPr>
          <w:rFonts w:ascii="Times New Roman" w:hAnsi="Times New Roman" w:cs="Times New Roman"/>
          <w:b/>
          <w:i/>
        </w:rPr>
        <w:t> </w:t>
      </w:r>
      <w:r>
        <w:rPr>
          <w:rFonts w:ascii="Times New Roman" w:hAnsi="Times New Roman" w:cs="Times New Roman"/>
          <w:b/>
          <w:i/>
        </w:rPr>
        <w:t>(LIN 21/013) </w:t>
      </w:r>
      <w:r w:rsidRPr="00721817">
        <w:rPr>
          <w:rFonts w:ascii="Times New Roman" w:hAnsi="Times New Roman" w:cs="Times New Roman"/>
          <w:b/>
          <w:i/>
        </w:rPr>
        <w:t>2021</w:t>
      </w:r>
      <w:bookmarkEnd w:id="1"/>
    </w:p>
    <w:p w14:paraId="0B95B025" w14:textId="77777777" w:rsidR="0057002B" w:rsidRPr="008B24C8" w:rsidRDefault="0057002B"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inst</w:t>
      </w:r>
      <w:r w:rsidR="0094574A">
        <w:rPr>
          <w:rFonts w:ascii="Times New Roman" w:hAnsi="Times New Roman" w:cs="Times New Roman"/>
        </w:rPr>
        <w:t>rument, D</w:t>
      </w:r>
      <w:r w:rsidR="00721817">
        <w:rPr>
          <w:rFonts w:ascii="Times New Roman" w:hAnsi="Times New Roman" w:cs="Times New Roman"/>
        </w:rPr>
        <w:t>epartmental reference LIN 21/013</w:t>
      </w:r>
      <w:r w:rsidRPr="008B24C8">
        <w:rPr>
          <w:rFonts w:ascii="Times New Roman" w:hAnsi="Times New Roman" w:cs="Times New Roman"/>
        </w:rPr>
        <w:t xml:space="preserve">, is made under </w:t>
      </w:r>
      <w:r w:rsidR="00721817">
        <w:rPr>
          <w:rFonts w:ascii="Times New Roman" w:hAnsi="Times New Roman" w:cs="Times New Roman"/>
        </w:rPr>
        <w:t>subsections 4(2) and </w:t>
      </w:r>
      <w:proofErr w:type="gramStart"/>
      <w:r w:rsidR="00721817" w:rsidRPr="00721817">
        <w:rPr>
          <w:rFonts w:ascii="Times New Roman" w:hAnsi="Times New Roman" w:cs="Times New Roman"/>
        </w:rPr>
        <w:t>4A(</w:t>
      </w:r>
      <w:proofErr w:type="gramEnd"/>
      <w:r w:rsidR="00721817" w:rsidRPr="00721817">
        <w:rPr>
          <w:rFonts w:ascii="Times New Roman" w:hAnsi="Times New Roman" w:cs="Times New Roman"/>
        </w:rPr>
        <w:t xml:space="preserve">2) of the </w:t>
      </w:r>
      <w:r w:rsidR="00721817">
        <w:rPr>
          <w:rFonts w:ascii="Times New Roman" w:hAnsi="Times New Roman" w:cs="Times New Roman"/>
          <w:i/>
        </w:rPr>
        <w:t>Immigration (Education) Act </w:t>
      </w:r>
      <w:r w:rsidR="00721817" w:rsidRPr="00721817">
        <w:rPr>
          <w:rFonts w:ascii="Times New Roman" w:hAnsi="Times New Roman" w:cs="Times New Roman"/>
          <w:i/>
        </w:rPr>
        <w:t>1971</w:t>
      </w:r>
      <w:r w:rsidR="00721817" w:rsidRPr="00721817">
        <w:rPr>
          <w:rFonts w:ascii="Times New Roman" w:hAnsi="Times New Roman" w:cs="Times New Roman"/>
        </w:rPr>
        <w:t xml:space="preserve"> </w:t>
      </w:r>
      <w:r w:rsidR="00721817" w:rsidRPr="00740AA7">
        <w:rPr>
          <w:rFonts w:ascii="Times New Roman" w:hAnsi="Times New Roman" w:cs="Times New Roman"/>
        </w:rPr>
        <w:t xml:space="preserve">(the </w:t>
      </w:r>
      <w:r w:rsidR="00721817" w:rsidRPr="0016496E">
        <w:rPr>
          <w:rFonts w:ascii="Times New Roman" w:hAnsi="Times New Roman" w:cs="Times New Roman"/>
        </w:rPr>
        <w:t>Act</w:t>
      </w:r>
      <w:r w:rsidR="00721817" w:rsidRPr="00740AA7">
        <w:rPr>
          <w:rFonts w:ascii="Times New Roman" w:hAnsi="Times New Roman" w:cs="Times New Roman"/>
        </w:rPr>
        <w:t>)</w:t>
      </w:r>
      <w:r w:rsidRPr="00740AA7">
        <w:rPr>
          <w:rFonts w:ascii="Times New Roman" w:hAnsi="Times New Roman" w:cs="Times New Roman"/>
        </w:rPr>
        <w:t>.</w:t>
      </w:r>
      <w:r w:rsidRPr="008B24C8">
        <w:rPr>
          <w:rFonts w:ascii="Times New Roman" w:hAnsi="Times New Roman" w:cs="Times New Roman"/>
        </w:rPr>
        <w:t xml:space="preserve">  </w:t>
      </w:r>
    </w:p>
    <w:p w14:paraId="08933870" w14:textId="6DDCA47C" w:rsidR="00BD598E" w:rsidRPr="00DC4751" w:rsidRDefault="00EA12C9"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 xml:space="preserve">The instrument </w:t>
      </w:r>
      <w:r w:rsidR="00DC4751" w:rsidRPr="00DC4751">
        <w:rPr>
          <w:rFonts w:ascii="Times New Roman" w:hAnsi="Times New Roman" w:cs="Times New Roman"/>
        </w:rPr>
        <w:t xml:space="preserve">repeals </w:t>
      </w:r>
      <w:r w:rsidR="00721817">
        <w:rPr>
          <w:rFonts w:ascii="Times New Roman" w:hAnsi="Times New Roman" w:cs="Times New Roman"/>
          <w:i/>
        </w:rPr>
        <w:t>Immigration (Education) (LIN </w:t>
      </w:r>
      <w:r w:rsidR="00721817" w:rsidRPr="00721817">
        <w:rPr>
          <w:rFonts w:ascii="Times New Roman" w:hAnsi="Times New Roman" w:cs="Times New Roman"/>
          <w:i/>
        </w:rPr>
        <w:t>19/218: Temporary visa classes for eligibility for Engl</w:t>
      </w:r>
      <w:r w:rsidR="00721817">
        <w:rPr>
          <w:rFonts w:ascii="Times New Roman" w:hAnsi="Times New Roman" w:cs="Times New Roman"/>
          <w:i/>
        </w:rPr>
        <w:t>ish Courses) Instrument </w:t>
      </w:r>
      <w:r w:rsidR="00721817" w:rsidRPr="00721817">
        <w:rPr>
          <w:rFonts w:ascii="Times New Roman" w:hAnsi="Times New Roman" w:cs="Times New Roman"/>
          <w:i/>
        </w:rPr>
        <w:t>2019</w:t>
      </w:r>
      <w:r w:rsidR="00721817">
        <w:rPr>
          <w:rFonts w:ascii="Times New Roman" w:hAnsi="Times New Roman" w:cs="Times New Roman"/>
          <w:i/>
        </w:rPr>
        <w:t> </w:t>
      </w:r>
      <w:r w:rsidR="00721817" w:rsidRPr="00721817">
        <w:rPr>
          <w:rFonts w:ascii="Times New Roman" w:hAnsi="Times New Roman" w:cs="Times New Roman"/>
        </w:rPr>
        <w:t>(F2019L01406)</w:t>
      </w:r>
      <w:r w:rsidR="00DC4751" w:rsidRPr="00721817">
        <w:rPr>
          <w:rFonts w:ascii="Times New Roman" w:hAnsi="Times New Roman" w:cs="Times New Roman"/>
        </w:rPr>
        <w:t xml:space="preserve"> </w:t>
      </w:r>
      <w:r w:rsidR="00DC4751">
        <w:rPr>
          <w:rFonts w:ascii="Times New Roman" w:hAnsi="Times New Roman" w:cs="Times New Roman"/>
        </w:rPr>
        <w:t>(</w:t>
      </w:r>
      <w:r w:rsidR="00E83F31">
        <w:rPr>
          <w:rFonts w:ascii="Times New Roman" w:hAnsi="Times New Roman" w:cs="Times New Roman"/>
        </w:rPr>
        <w:t>LIN 19/218</w:t>
      </w:r>
      <w:r w:rsidR="00DC4751">
        <w:rPr>
          <w:rFonts w:ascii="Times New Roman" w:hAnsi="Times New Roman" w:cs="Times New Roman"/>
        </w:rPr>
        <w:t>)</w:t>
      </w:r>
      <w:r w:rsidR="00740AA7">
        <w:rPr>
          <w:rFonts w:ascii="Times New Roman" w:hAnsi="Times New Roman" w:cs="Times New Roman"/>
        </w:rPr>
        <w:t>,</w:t>
      </w:r>
      <w:r w:rsidR="00DC4751">
        <w:rPr>
          <w:rFonts w:ascii="Times New Roman" w:hAnsi="Times New Roman" w:cs="Times New Roman"/>
        </w:rPr>
        <w:t xml:space="preserve"> </w:t>
      </w:r>
      <w:r w:rsidR="00740AA7">
        <w:rPr>
          <w:rFonts w:ascii="Times New Roman" w:hAnsi="Times New Roman" w:cs="Times New Roman"/>
        </w:rPr>
        <w:t>in accordance with</w:t>
      </w:r>
      <w:r w:rsidR="00E83F31" w:rsidRPr="00B60533">
        <w:rPr>
          <w:rFonts w:ascii="Times New Roman" w:hAnsi="Times New Roman" w:cs="Times New Roman"/>
        </w:rPr>
        <w:t xml:space="preserve"> subsection 33(3) of the </w:t>
      </w:r>
      <w:r w:rsidR="00E83F31" w:rsidRPr="00B60533">
        <w:rPr>
          <w:rFonts w:ascii="Times New Roman" w:hAnsi="Times New Roman" w:cs="Times New Roman"/>
          <w:i/>
        </w:rPr>
        <w:t>Acts Interpretation Act 1901</w:t>
      </w:r>
      <w:r w:rsidR="00740AA7">
        <w:rPr>
          <w:rFonts w:ascii="Times New Roman" w:hAnsi="Times New Roman" w:cs="Times New Roman"/>
        </w:rPr>
        <w:t xml:space="preserve">. </w:t>
      </w:r>
      <w:r w:rsidR="00740AA7" w:rsidRPr="008B24C8">
        <w:rPr>
          <w:rFonts w:ascii="Times New Roman" w:hAnsi="Times New Roman" w:cs="Times New Roman"/>
        </w:rPr>
        <w:t>That subsection provides that where an Act confers a power to make a legislative instrument, the power includes a power to amend or repeal that instrument, subject to any conditions that apply to the initial instrument-making power</w:t>
      </w:r>
      <w:r w:rsidR="00740AA7">
        <w:rPr>
          <w:rFonts w:ascii="Times New Roman" w:hAnsi="Times New Roman" w:cs="Times New Roman"/>
        </w:rPr>
        <w:t>.</w:t>
      </w:r>
      <w:r w:rsidR="00BD598E" w:rsidRPr="00DC4751">
        <w:rPr>
          <w:rFonts w:ascii="Times New Roman" w:hAnsi="Times New Roman" w:cs="Times New Roman"/>
        </w:rPr>
        <w:t xml:space="preserve">  </w:t>
      </w:r>
    </w:p>
    <w:p w14:paraId="12E8CE9F" w14:textId="77777777" w:rsidR="00BB3165" w:rsidRDefault="00721817"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commences </w:t>
      </w:r>
      <w:r w:rsidR="00E116EC" w:rsidRPr="00E116EC">
        <w:rPr>
          <w:rFonts w:ascii="Times New Roman" w:hAnsi="Times New Roman" w:cs="Times New Roman"/>
        </w:rPr>
        <w:t xml:space="preserve">on the </w:t>
      </w:r>
      <w:r w:rsidR="00BB3165">
        <w:rPr>
          <w:rFonts w:ascii="Times New Roman" w:hAnsi="Times New Roman" w:cs="Times New Roman"/>
        </w:rPr>
        <w:t>later of:</w:t>
      </w:r>
    </w:p>
    <w:p w14:paraId="084B6A81" w14:textId="77777777" w:rsidR="00BB3165" w:rsidRDefault="00BB3165" w:rsidP="00404BA6">
      <w:pPr>
        <w:pStyle w:val="ESSubparaList"/>
        <w:numPr>
          <w:ilvl w:val="0"/>
          <w:numId w:val="4"/>
        </w:numPr>
        <w:ind w:left="1276" w:hanging="425"/>
      </w:pPr>
      <w:r>
        <w:t>the d</w:t>
      </w:r>
      <w:r w:rsidR="00E116EC" w:rsidRPr="00E116EC">
        <w:t xml:space="preserve">ay after it is registered on the </w:t>
      </w:r>
      <w:r w:rsidR="00E116EC" w:rsidRPr="008C6E24">
        <w:t xml:space="preserve">Federal </w:t>
      </w:r>
      <w:r w:rsidR="00E116EC" w:rsidRPr="00E116EC">
        <w:t>Register of Legislation</w:t>
      </w:r>
      <w:r>
        <w:t>;</w:t>
      </w:r>
      <w:r w:rsidR="00C27F71">
        <w:t xml:space="preserve"> and </w:t>
      </w:r>
    </w:p>
    <w:p w14:paraId="504187F1" w14:textId="77777777" w:rsidR="00BB3165" w:rsidRPr="0016496E" w:rsidRDefault="00BB3165" w:rsidP="00404BA6">
      <w:pPr>
        <w:pStyle w:val="ESSubparaList"/>
        <w:numPr>
          <w:ilvl w:val="0"/>
          <w:numId w:val="4"/>
        </w:numPr>
        <w:ind w:left="1276" w:hanging="425"/>
      </w:pPr>
      <w:proofErr w:type="gramStart"/>
      <w:r w:rsidRPr="00BB3165">
        <w:t>immediately</w:t>
      </w:r>
      <w:proofErr w:type="gramEnd"/>
      <w:r w:rsidRPr="00BB3165">
        <w:t xml:space="preserve"> after the commencement of Schedule 1 of the </w:t>
      </w:r>
      <w:r w:rsidRPr="0016496E">
        <w:rPr>
          <w:i/>
        </w:rPr>
        <w:t>Immigration (Education) Amendment (Expanding Access to English Tuition) Act 2020</w:t>
      </w:r>
      <w:r>
        <w:t xml:space="preserve"> (the Amendment Act).</w:t>
      </w:r>
    </w:p>
    <w:p w14:paraId="7D09016A" w14:textId="77777777" w:rsidR="00BD598E" w:rsidRDefault="00BB3165"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This instrument </w:t>
      </w:r>
      <w:r w:rsidR="00C27F71">
        <w:rPr>
          <w:rFonts w:ascii="Times New Roman" w:hAnsi="Times New Roman" w:cs="Times New Roman"/>
        </w:rPr>
        <w:t>i</w:t>
      </w:r>
      <w:r w:rsidR="00C27F71" w:rsidRPr="008B24C8">
        <w:rPr>
          <w:rFonts w:ascii="Times New Roman" w:hAnsi="Times New Roman" w:cs="Times New Roman"/>
        </w:rPr>
        <w:t xml:space="preserve">s a </w:t>
      </w:r>
      <w:r w:rsidR="00C27F71">
        <w:rPr>
          <w:rFonts w:ascii="Times New Roman" w:hAnsi="Times New Roman" w:cs="Times New Roman"/>
        </w:rPr>
        <w:t>legislative</w:t>
      </w:r>
      <w:r w:rsidR="00C27F71" w:rsidRPr="008B24C8">
        <w:rPr>
          <w:rFonts w:ascii="Times New Roman" w:hAnsi="Times New Roman" w:cs="Times New Roman"/>
        </w:rPr>
        <w:t xml:space="preserve"> instrument for </w:t>
      </w:r>
      <w:r w:rsidR="00C27F71">
        <w:rPr>
          <w:rFonts w:ascii="Times New Roman" w:hAnsi="Times New Roman" w:cs="Times New Roman"/>
        </w:rPr>
        <w:t xml:space="preserve">the </w:t>
      </w:r>
      <w:r w:rsidR="00C27F71">
        <w:rPr>
          <w:rFonts w:ascii="Times New Roman" w:hAnsi="Times New Roman" w:cs="Times New Roman"/>
          <w:i/>
        </w:rPr>
        <w:t>Legislation Act </w:t>
      </w:r>
      <w:r w:rsidR="00C27F71" w:rsidRPr="008B24C8">
        <w:rPr>
          <w:rFonts w:ascii="Times New Roman" w:hAnsi="Times New Roman" w:cs="Times New Roman"/>
          <w:i/>
        </w:rPr>
        <w:t>2003</w:t>
      </w:r>
      <w:r w:rsidR="00C27F71">
        <w:rPr>
          <w:rFonts w:ascii="Times New Roman" w:hAnsi="Times New Roman" w:cs="Times New Roman"/>
        </w:rPr>
        <w:t xml:space="preserve"> (the</w:t>
      </w:r>
      <w:r w:rsidR="00C27F71" w:rsidRPr="00A3304B">
        <w:rPr>
          <w:rFonts w:ascii="Times New Roman" w:hAnsi="Times New Roman" w:cs="Times New Roman"/>
          <w:b/>
          <w:i/>
        </w:rPr>
        <w:t xml:space="preserve"> </w:t>
      </w:r>
      <w:r w:rsidR="00C27F71" w:rsidRPr="0016496E">
        <w:rPr>
          <w:rFonts w:ascii="Times New Roman" w:hAnsi="Times New Roman" w:cs="Times New Roman"/>
        </w:rPr>
        <w:t>Legislation Act</w:t>
      </w:r>
      <w:r w:rsidR="00C27F71">
        <w:rPr>
          <w:rFonts w:ascii="Times New Roman" w:hAnsi="Times New Roman" w:cs="Times New Roman"/>
        </w:rPr>
        <w:t>).</w:t>
      </w:r>
    </w:p>
    <w:p w14:paraId="5D8829AE" w14:textId="77777777" w:rsidR="00EA12C9" w:rsidRDefault="00BD598E" w:rsidP="00404BA6">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Purpose</w:t>
      </w:r>
    </w:p>
    <w:p w14:paraId="4BB3E0E3" w14:textId="18A23FB2" w:rsidR="00721817" w:rsidRPr="003E5C81" w:rsidRDefault="007F6C43"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7F6C43">
        <w:rPr>
          <w:rFonts w:ascii="Times New Roman" w:hAnsi="Times New Roman" w:cs="Times New Roman"/>
        </w:rPr>
        <w:t xml:space="preserve">The Act sets out a scheme for tuition in approved English courses to eligible migrants, known as the Adult Migrant Education Program (AMEP). </w:t>
      </w:r>
      <w:r>
        <w:rPr>
          <w:rFonts w:ascii="Times New Roman" w:hAnsi="Times New Roman" w:cs="Times New Roman"/>
        </w:rPr>
        <w:t xml:space="preserve">One of the criteria to be eligible for </w:t>
      </w:r>
      <w:r w:rsidR="0072498C">
        <w:rPr>
          <w:rFonts w:ascii="Times New Roman" w:hAnsi="Times New Roman" w:cs="Times New Roman"/>
        </w:rPr>
        <w:t xml:space="preserve">English language </w:t>
      </w:r>
      <w:r>
        <w:rPr>
          <w:rFonts w:ascii="Times New Roman" w:hAnsi="Times New Roman" w:cs="Times New Roman"/>
        </w:rPr>
        <w:t>tuition is that the person holds, or has applied for, a permanent visa or a temporary visa within a class specified by the Minister in a legislative instrument</w:t>
      </w:r>
      <w:r w:rsidRPr="007F6C43">
        <w:rPr>
          <w:rFonts w:ascii="Times New Roman" w:hAnsi="Times New Roman" w:cs="Times New Roman"/>
        </w:rPr>
        <w:t xml:space="preserve">. </w:t>
      </w:r>
      <w:r w:rsidR="004C3D1E" w:rsidRPr="003E5C81">
        <w:rPr>
          <w:rFonts w:ascii="Times New Roman" w:hAnsi="Times New Roman" w:cs="Times New Roman"/>
        </w:rPr>
        <w:t xml:space="preserve">The instrument </w:t>
      </w:r>
      <w:r w:rsidR="00BB3165" w:rsidRPr="003E5C81">
        <w:rPr>
          <w:rFonts w:ascii="Times New Roman" w:hAnsi="Times New Roman" w:cs="Times New Roman"/>
        </w:rPr>
        <w:t>specifies</w:t>
      </w:r>
      <w:r w:rsidR="00721817" w:rsidRPr="003E5C81">
        <w:rPr>
          <w:rFonts w:ascii="Times New Roman" w:hAnsi="Times New Roman" w:cs="Times New Roman"/>
        </w:rPr>
        <w:t xml:space="preserve"> the classes of temporary visas that a person must hold, or have applied for, to be eligible </w:t>
      </w:r>
      <w:r>
        <w:rPr>
          <w:rFonts w:ascii="Times New Roman" w:hAnsi="Times New Roman" w:cs="Times New Roman"/>
        </w:rPr>
        <w:t>for English courses</w:t>
      </w:r>
      <w:r w:rsidR="00721817" w:rsidRPr="003E5C81">
        <w:rPr>
          <w:rFonts w:ascii="Times New Roman" w:hAnsi="Times New Roman" w:cs="Times New Roman"/>
        </w:rPr>
        <w:t>.</w:t>
      </w:r>
    </w:p>
    <w:p w14:paraId="4EC734CA" w14:textId="77777777" w:rsidR="00721817" w:rsidRDefault="00721817"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721817">
        <w:rPr>
          <w:rFonts w:ascii="Times New Roman" w:hAnsi="Times New Roman" w:cs="Times New Roman"/>
        </w:rPr>
        <w:t xml:space="preserve">The eligibility requirements for English courses have been amended by </w:t>
      </w:r>
      <w:r w:rsidRPr="00721817">
        <w:rPr>
          <w:rFonts w:ascii="Times New Roman" w:hAnsi="Times New Roman" w:cs="Times New Roman"/>
          <w:iCs/>
        </w:rPr>
        <w:t xml:space="preserve">the </w:t>
      </w:r>
      <w:r w:rsidRPr="0016496E">
        <w:rPr>
          <w:rFonts w:ascii="Times New Roman" w:hAnsi="Times New Roman" w:cs="Times New Roman"/>
          <w:iCs/>
        </w:rPr>
        <w:t>Amendment Act</w:t>
      </w:r>
      <w:r w:rsidRPr="00721817">
        <w:rPr>
          <w:rFonts w:ascii="Times New Roman" w:hAnsi="Times New Roman" w:cs="Times New Roman"/>
          <w:iCs/>
        </w:rPr>
        <w:t xml:space="preserve">, </w:t>
      </w:r>
      <w:r w:rsidR="007F6C43">
        <w:rPr>
          <w:rFonts w:ascii="Times New Roman" w:hAnsi="Times New Roman" w:cs="Times New Roman"/>
          <w:iCs/>
        </w:rPr>
        <w:t>as</w:t>
      </w:r>
      <w:r w:rsidRPr="00721817">
        <w:rPr>
          <w:rFonts w:ascii="Times New Roman" w:hAnsi="Times New Roman" w:cs="Times New Roman"/>
        </w:rPr>
        <w:t xml:space="preserve"> set out in sections</w:t>
      </w:r>
      <w:r>
        <w:rPr>
          <w:rFonts w:ascii="Times New Roman" w:hAnsi="Times New Roman" w:cs="Times New Roman"/>
        </w:rPr>
        <w:t> 4 and </w:t>
      </w:r>
      <w:r w:rsidRPr="00721817">
        <w:rPr>
          <w:rFonts w:ascii="Times New Roman" w:hAnsi="Times New Roman" w:cs="Times New Roman"/>
        </w:rPr>
        <w:t xml:space="preserve">4A of the </w:t>
      </w:r>
      <w:r w:rsidR="00BB3165">
        <w:rPr>
          <w:rFonts w:ascii="Times New Roman" w:hAnsi="Times New Roman" w:cs="Times New Roman"/>
        </w:rPr>
        <w:t>Act</w:t>
      </w:r>
      <w:r w:rsidRPr="00721817">
        <w:rPr>
          <w:rFonts w:ascii="Times New Roman" w:hAnsi="Times New Roman" w:cs="Times New Roman"/>
        </w:rPr>
        <w:t xml:space="preserve">. </w:t>
      </w:r>
      <w:r w:rsidR="007F6C43">
        <w:rPr>
          <w:rFonts w:ascii="Times New Roman" w:hAnsi="Times New Roman" w:cs="Times New Roman"/>
        </w:rPr>
        <w:t>The instrument is made un</w:t>
      </w:r>
      <w:r w:rsidR="000E3F2C">
        <w:rPr>
          <w:rFonts w:ascii="Times New Roman" w:hAnsi="Times New Roman" w:cs="Times New Roman"/>
        </w:rPr>
        <w:t>der these provisions as amended, and</w:t>
      </w:r>
      <w:r w:rsidRPr="00721817">
        <w:rPr>
          <w:rFonts w:ascii="Times New Roman" w:hAnsi="Times New Roman" w:cs="Times New Roman"/>
        </w:rPr>
        <w:t xml:space="preserve"> also ensures that the classes of temporary visas that people in Australia must hold to be eligible for English courses are specified under the new express (rather than implied) instrument making power introduced by </w:t>
      </w:r>
      <w:r w:rsidRPr="00721817">
        <w:rPr>
          <w:rFonts w:ascii="Times New Roman" w:hAnsi="Times New Roman" w:cs="Times New Roman"/>
          <w:iCs/>
        </w:rPr>
        <w:t>the Amendment Act</w:t>
      </w:r>
      <w:r w:rsidRPr="00721817">
        <w:rPr>
          <w:rFonts w:ascii="Times New Roman" w:hAnsi="Times New Roman" w:cs="Times New Roman"/>
        </w:rPr>
        <w:t>.</w:t>
      </w:r>
    </w:p>
    <w:p w14:paraId="4B40F86F" w14:textId="67BDBEA2" w:rsidR="00721817" w:rsidRDefault="00BF56A9"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037C45">
        <w:rPr>
          <w:rFonts w:ascii="Times New Roman" w:hAnsi="Times New Roman" w:cs="Times New Roman"/>
        </w:rPr>
        <w:t xml:space="preserve">By providing measures to support migrants with low English proficiency to learn the national language, the reforms will facilitate social cohesion and boost the education and potential employment prospects of participating migrants. </w:t>
      </w:r>
    </w:p>
    <w:p w14:paraId="16878601" w14:textId="4F815B7A" w:rsidR="000E3F2C" w:rsidRPr="003E5C81" w:rsidRDefault="003A573F"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721817">
        <w:rPr>
          <w:rFonts w:ascii="Times New Roman" w:hAnsi="Times New Roman" w:cs="Times New Roman"/>
        </w:rPr>
        <w:t xml:space="preserve">The instrument </w:t>
      </w:r>
      <w:r>
        <w:rPr>
          <w:rFonts w:ascii="Times New Roman" w:hAnsi="Times New Roman" w:cs="Times New Roman"/>
        </w:rPr>
        <w:t>adds</w:t>
      </w:r>
      <w:r w:rsidRPr="00721817">
        <w:rPr>
          <w:rFonts w:ascii="Times New Roman" w:hAnsi="Times New Roman" w:cs="Times New Roman"/>
        </w:rPr>
        <w:t xml:space="preserve"> the </w:t>
      </w:r>
      <w:r w:rsidRPr="003A573F">
        <w:rPr>
          <w:rFonts w:ascii="Times New Roman" w:hAnsi="Times New Roman" w:cs="Times New Roman"/>
        </w:rPr>
        <w:t>Dependent Child</w:t>
      </w:r>
      <w:r>
        <w:rPr>
          <w:rFonts w:ascii="Times New Roman" w:hAnsi="Times New Roman" w:cs="Times New Roman"/>
        </w:rPr>
        <w:t xml:space="preserve"> (Visa Class TK) (Subclass 445</w:t>
      </w:r>
      <w:r w:rsidRPr="00721817">
        <w:rPr>
          <w:rFonts w:ascii="Times New Roman" w:hAnsi="Times New Roman" w:cs="Times New Roman"/>
        </w:rPr>
        <w:t xml:space="preserve">) visa </w:t>
      </w:r>
      <w:r>
        <w:rPr>
          <w:rFonts w:ascii="Times New Roman" w:hAnsi="Times New Roman" w:cs="Times New Roman"/>
        </w:rPr>
        <w:t>to</w:t>
      </w:r>
      <w:r w:rsidRPr="00721817">
        <w:rPr>
          <w:rFonts w:ascii="Times New Roman" w:hAnsi="Times New Roman" w:cs="Times New Roman"/>
        </w:rPr>
        <w:t xml:space="preserve"> the list of temporary visas which a person must hold, or have applied for, to be eligible for the provision of English courses</w:t>
      </w:r>
      <w:r w:rsidR="00536CF9">
        <w:rPr>
          <w:rFonts w:ascii="Times New Roman" w:hAnsi="Times New Roman" w:cs="Times New Roman"/>
        </w:rPr>
        <w:t>.</w:t>
      </w:r>
      <w:r w:rsidR="007522EE">
        <w:rPr>
          <w:rFonts w:ascii="Times New Roman" w:hAnsi="Times New Roman" w:cs="Times New Roman"/>
          <w:lang w:val="en-US"/>
        </w:rPr>
        <w:t xml:space="preserve"> </w:t>
      </w:r>
    </w:p>
    <w:p w14:paraId="3246BFA4" w14:textId="77777777" w:rsidR="00DB4CA8" w:rsidRPr="00B50A3C" w:rsidRDefault="007522EE"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lang w:val="en-US"/>
        </w:rPr>
        <w:t xml:space="preserve">Adding Subclass 445 </w:t>
      </w:r>
      <w:r w:rsidR="000E3F2C">
        <w:rPr>
          <w:rFonts w:ascii="Times New Roman" w:hAnsi="Times New Roman" w:cs="Times New Roman"/>
          <w:lang w:val="en-US"/>
        </w:rPr>
        <w:t xml:space="preserve">visas </w:t>
      </w:r>
      <w:r>
        <w:rPr>
          <w:rFonts w:ascii="Times New Roman" w:hAnsi="Times New Roman" w:cs="Times New Roman"/>
          <w:lang w:val="en-US"/>
        </w:rPr>
        <w:t>to the list</w:t>
      </w:r>
      <w:r w:rsidR="00536CF9" w:rsidRPr="00536CF9">
        <w:rPr>
          <w:rFonts w:ascii="Times New Roman" w:hAnsi="Times New Roman" w:cs="Times New Roman"/>
          <w:lang w:val="en-US"/>
        </w:rPr>
        <w:t xml:space="preserve"> </w:t>
      </w:r>
      <w:r w:rsidR="000E3F2C">
        <w:rPr>
          <w:rFonts w:ascii="Times New Roman" w:hAnsi="Times New Roman" w:cs="Times New Roman"/>
          <w:lang w:val="en-US"/>
        </w:rPr>
        <w:t xml:space="preserve">of eligible visas </w:t>
      </w:r>
      <w:r w:rsidR="00536CF9" w:rsidRPr="00536CF9">
        <w:rPr>
          <w:rFonts w:ascii="Times New Roman" w:hAnsi="Times New Roman" w:cs="Times New Roman"/>
          <w:lang w:val="en-US"/>
        </w:rPr>
        <w:t>is consistent with the rationale for inclusion of the Partner (Provisional) visa (Subclass 309) and Partner visa (Subclass 820) because a Subclass 445 visa is granted to a child dependent on a parent who holds either Subclass</w:t>
      </w:r>
      <w:r w:rsidR="00FB5DC9">
        <w:rPr>
          <w:rFonts w:ascii="Times New Roman" w:hAnsi="Times New Roman" w:cs="Times New Roman"/>
          <w:lang w:val="en-US"/>
        </w:rPr>
        <w:t xml:space="preserve"> 309 or a Subclass 820 visa. </w:t>
      </w:r>
      <w:r w:rsidR="00536CF9" w:rsidRPr="00536CF9">
        <w:rPr>
          <w:rFonts w:ascii="Times New Roman" w:hAnsi="Times New Roman" w:cs="Times New Roman"/>
          <w:lang w:val="en-US"/>
        </w:rPr>
        <w:t xml:space="preserve">Subclass </w:t>
      </w:r>
      <w:r w:rsidR="00536CF9" w:rsidRPr="00536CF9">
        <w:rPr>
          <w:rFonts w:ascii="Times New Roman" w:hAnsi="Times New Roman" w:cs="Times New Roman"/>
          <w:lang w:val="en-US"/>
        </w:rPr>
        <w:lastRenderedPageBreak/>
        <w:t>445 visa holders ultimately have a pathway to a permanent visa and all permanent visa holders are eligible for AMEP.</w:t>
      </w:r>
      <w:r w:rsidR="00DB4CA8">
        <w:rPr>
          <w:rFonts w:ascii="Times New Roman" w:hAnsi="Times New Roman" w:cs="Times New Roman"/>
          <w:lang w:val="en-US"/>
        </w:rPr>
        <w:t xml:space="preserve"> </w:t>
      </w:r>
    </w:p>
    <w:p w14:paraId="682C995F" w14:textId="4C36A620" w:rsidR="006C19E7" w:rsidRDefault="00DB4CA8"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7522EE">
        <w:rPr>
          <w:rFonts w:ascii="Times New Roman" w:hAnsi="Times New Roman" w:cs="Times New Roman"/>
          <w:lang w:val="en-US"/>
        </w:rPr>
        <w:t xml:space="preserve">AMEP is available to all eligible permanent visa holders </w:t>
      </w:r>
      <w:r>
        <w:rPr>
          <w:rFonts w:ascii="Times New Roman" w:hAnsi="Times New Roman" w:cs="Times New Roman"/>
          <w:lang w:val="en-US"/>
        </w:rPr>
        <w:t xml:space="preserve">and </w:t>
      </w:r>
      <w:r w:rsidRPr="00473163">
        <w:rPr>
          <w:rFonts w:ascii="Times New Roman" w:hAnsi="Times New Roman" w:cs="Times New Roman"/>
          <w:lang w:val="en-US"/>
        </w:rPr>
        <w:t>ci</w:t>
      </w:r>
      <w:r>
        <w:rPr>
          <w:rFonts w:ascii="Times New Roman" w:hAnsi="Times New Roman" w:cs="Times New Roman"/>
          <w:lang w:val="en-US"/>
        </w:rPr>
        <w:t xml:space="preserve">tizens who previously held permanent visa who are </w:t>
      </w:r>
      <w:r w:rsidRPr="007522EE">
        <w:rPr>
          <w:rFonts w:ascii="Times New Roman" w:hAnsi="Times New Roman" w:cs="Times New Roman"/>
          <w:lang w:val="en-US"/>
        </w:rPr>
        <w:t xml:space="preserve">18 years of age or over </w:t>
      </w:r>
      <w:r>
        <w:rPr>
          <w:rFonts w:ascii="Times New Roman" w:hAnsi="Times New Roman" w:cs="Times New Roman"/>
          <w:lang w:val="en-US"/>
        </w:rPr>
        <w:t xml:space="preserve">and who </w:t>
      </w:r>
      <w:r w:rsidRPr="007522EE">
        <w:rPr>
          <w:rFonts w:ascii="Times New Roman" w:hAnsi="Times New Roman" w:cs="Times New Roman"/>
          <w:lang w:val="en-US"/>
        </w:rPr>
        <w:t xml:space="preserve">do not have a vocational level of English language proficiency. </w:t>
      </w:r>
      <w:r>
        <w:rPr>
          <w:rFonts w:ascii="Times New Roman" w:hAnsi="Times New Roman" w:cs="Times New Roman"/>
          <w:lang w:val="en-US"/>
        </w:rPr>
        <w:t>However, s</w:t>
      </w:r>
      <w:r w:rsidRPr="007522EE">
        <w:rPr>
          <w:rFonts w:ascii="Times New Roman" w:hAnsi="Times New Roman" w:cs="Times New Roman"/>
          <w:lang w:val="en-US"/>
        </w:rPr>
        <w:t>ome visa holders aged 15 to 17 may also be eligible in some locations where intensive English classes in high schools are not available</w:t>
      </w:r>
      <w:r w:rsidR="00A32721">
        <w:rPr>
          <w:rFonts w:ascii="Times New Roman" w:hAnsi="Times New Roman" w:cs="Times New Roman"/>
          <w:lang w:val="en-US"/>
        </w:rPr>
        <w:t>.</w:t>
      </w:r>
    </w:p>
    <w:p w14:paraId="1204B685" w14:textId="77777777" w:rsidR="00721817" w:rsidRDefault="000E3F2C"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In addition, the </w:t>
      </w:r>
      <w:r w:rsidR="00E035CD">
        <w:rPr>
          <w:rFonts w:ascii="Times New Roman" w:hAnsi="Times New Roman" w:cs="Times New Roman"/>
        </w:rPr>
        <w:t xml:space="preserve">instrument </w:t>
      </w:r>
      <w:r w:rsidR="00721817" w:rsidRPr="00721817">
        <w:rPr>
          <w:rFonts w:ascii="Times New Roman" w:hAnsi="Times New Roman" w:cs="Times New Roman"/>
        </w:rPr>
        <w:t>removes the Skilled Designated Area Sponsored</w:t>
      </w:r>
      <w:r w:rsidR="00721817">
        <w:rPr>
          <w:rFonts w:ascii="Times New Roman" w:hAnsi="Times New Roman" w:cs="Times New Roman"/>
        </w:rPr>
        <w:t xml:space="preserve"> (Visa Class BQ) (Subclass </w:t>
      </w:r>
      <w:r w:rsidR="00721817" w:rsidRPr="00721817">
        <w:rPr>
          <w:rFonts w:ascii="Times New Roman" w:hAnsi="Times New Roman" w:cs="Times New Roman"/>
        </w:rPr>
        <w:t xml:space="preserve">139) visa </w:t>
      </w:r>
      <w:r>
        <w:rPr>
          <w:rFonts w:ascii="Times New Roman" w:hAnsi="Times New Roman" w:cs="Times New Roman"/>
        </w:rPr>
        <w:t xml:space="preserve">from the list of specified visas, </w:t>
      </w:r>
      <w:r w:rsidR="00721817" w:rsidRPr="00721817">
        <w:rPr>
          <w:rFonts w:ascii="Times New Roman" w:hAnsi="Times New Roman" w:cs="Times New Roman"/>
        </w:rPr>
        <w:t xml:space="preserve">as </w:t>
      </w:r>
      <w:r w:rsidR="00721817">
        <w:rPr>
          <w:rFonts w:ascii="Times New Roman" w:hAnsi="Times New Roman" w:cs="Times New Roman"/>
        </w:rPr>
        <w:t>Subclass </w:t>
      </w:r>
      <w:r w:rsidR="00721817" w:rsidRPr="00721817">
        <w:rPr>
          <w:rFonts w:ascii="Times New Roman" w:hAnsi="Times New Roman" w:cs="Times New Roman"/>
        </w:rPr>
        <w:t xml:space="preserve">139 visa is </w:t>
      </w:r>
      <w:r w:rsidR="008350A3">
        <w:rPr>
          <w:rFonts w:ascii="Times New Roman" w:hAnsi="Times New Roman" w:cs="Times New Roman"/>
        </w:rPr>
        <w:t>a permanent visa</w:t>
      </w:r>
      <w:r>
        <w:rPr>
          <w:rFonts w:ascii="Times New Roman" w:hAnsi="Times New Roman" w:cs="Times New Roman"/>
        </w:rPr>
        <w:t xml:space="preserve"> and</w:t>
      </w:r>
      <w:r w:rsidR="008350A3">
        <w:rPr>
          <w:rFonts w:ascii="Times New Roman" w:hAnsi="Times New Roman" w:cs="Times New Roman"/>
        </w:rPr>
        <w:t xml:space="preserve"> not</w:t>
      </w:r>
      <w:r w:rsidR="00721817" w:rsidRPr="00721817">
        <w:rPr>
          <w:rFonts w:ascii="Times New Roman" w:hAnsi="Times New Roman" w:cs="Times New Roman"/>
        </w:rPr>
        <w:t xml:space="preserve"> a temporary visa.</w:t>
      </w:r>
      <w:r w:rsidR="008350A3">
        <w:rPr>
          <w:rFonts w:ascii="Times New Roman" w:hAnsi="Times New Roman" w:cs="Times New Roman"/>
        </w:rPr>
        <w:t xml:space="preserve"> </w:t>
      </w:r>
      <w:r w:rsidR="008350A3" w:rsidRPr="00CA745B">
        <w:rPr>
          <w:rFonts w:ascii="Times New Roman" w:hAnsi="Times New Roman" w:cs="Times New Roman"/>
        </w:rPr>
        <w:t xml:space="preserve">This change does not affect the eligibility of holders </w:t>
      </w:r>
      <w:r w:rsidR="00312217">
        <w:rPr>
          <w:rFonts w:ascii="Times New Roman" w:hAnsi="Times New Roman" w:cs="Times New Roman"/>
        </w:rPr>
        <w:t xml:space="preserve">of this visa subclass </w:t>
      </w:r>
      <w:r w:rsidR="008350A3" w:rsidRPr="00CA745B">
        <w:rPr>
          <w:rFonts w:ascii="Times New Roman" w:hAnsi="Times New Roman" w:cs="Times New Roman"/>
        </w:rPr>
        <w:t>for English tuition under the AMEP</w:t>
      </w:r>
      <w:r w:rsidR="008350A3">
        <w:rPr>
          <w:rFonts w:ascii="Times New Roman" w:hAnsi="Times New Roman" w:cs="Times New Roman"/>
        </w:rPr>
        <w:t>, as all permanent visa holders</w:t>
      </w:r>
      <w:r w:rsidR="008350A3" w:rsidRPr="00CA745B">
        <w:rPr>
          <w:rFonts w:ascii="Times New Roman" w:hAnsi="Times New Roman" w:cs="Times New Roman"/>
        </w:rPr>
        <w:t xml:space="preserve"> are eligible for this tuition by virtue of being permanent visa holders and do not need to be specified in this instrument</w:t>
      </w:r>
      <w:r w:rsidR="008350A3">
        <w:rPr>
          <w:rFonts w:ascii="Times New Roman" w:hAnsi="Times New Roman" w:cs="Times New Roman"/>
        </w:rPr>
        <w:t>.</w:t>
      </w:r>
      <w:r w:rsidR="008350A3" w:rsidRPr="00CA745B">
        <w:rPr>
          <w:rFonts w:ascii="Times New Roman" w:hAnsi="Times New Roman" w:cs="Times New Roman"/>
        </w:rPr>
        <w:t xml:space="preserve">  </w:t>
      </w:r>
    </w:p>
    <w:p w14:paraId="59DABA19" w14:textId="123E3378" w:rsidR="004D5666" w:rsidRPr="00276506" w:rsidRDefault="004D5666"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276506">
        <w:rPr>
          <w:rFonts w:ascii="Times New Roman" w:hAnsi="Times New Roman" w:cs="Times New Roman"/>
        </w:rPr>
        <w:t>Interdependency (Provisional) (Visa Class UG) (S</w:t>
      </w:r>
      <w:r w:rsidR="008721CF" w:rsidRPr="00276506">
        <w:rPr>
          <w:rFonts w:ascii="Times New Roman" w:hAnsi="Times New Roman" w:cs="Times New Roman"/>
        </w:rPr>
        <w:t>ubclass </w:t>
      </w:r>
      <w:r w:rsidRPr="00276506">
        <w:rPr>
          <w:rFonts w:ascii="Times New Roman" w:hAnsi="Times New Roman" w:cs="Times New Roman"/>
        </w:rPr>
        <w:t>310) visa, Skilled Regional Sponsored (Visa Class VF) (S</w:t>
      </w:r>
      <w:r w:rsidR="008721CF" w:rsidRPr="00276506">
        <w:rPr>
          <w:rFonts w:ascii="Times New Roman" w:hAnsi="Times New Roman" w:cs="Times New Roman"/>
        </w:rPr>
        <w:t>ubclass </w:t>
      </w:r>
      <w:r w:rsidRPr="00276506">
        <w:rPr>
          <w:rFonts w:ascii="Times New Roman" w:hAnsi="Times New Roman" w:cs="Times New Roman"/>
        </w:rPr>
        <w:t>475) visa, Skilled Regional Sponsored (Visa Class VC) (S</w:t>
      </w:r>
      <w:r w:rsidR="008721CF" w:rsidRPr="00276506">
        <w:rPr>
          <w:rFonts w:ascii="Times New Roman" w:hAnsi="Times New Roman" w:cs="Times New Roman"/>
        </w:rPr>
        <w:t>ubclass </w:t>
      </w:r>
      <w:r w:rsidRPr="00276506">
        <w:rPr>
          <w:rFonts w:ascii="Times New Roman" w:hAnsi="Times New Roman" w:cs="Times New Roman"/>
        </w:rPr>
        <w:t>487) visa, Skilled Independent Regional (Provisional) (Visa Class UX) (S</w:t>
      </w:r>
      <w:r w:rsidR="008721CF" w:rsidRPr="00276506">
        <w:rPr>
          <w:rFonts w:ascii="Times New Roman" w:hAnsi="Times New Roman" w:cs="Times New Roman"/>
        </w:rPr>
        <w:t>ubclass </w:t>
      </w:r>
      <w:r w:rsidRPr="00276506">
        <w:rPr>
          <w:rFonts w:ascii="Times New Roman" w:hAnsi="Times New Roman" w:cs="Times New Roman"/>
        </w:rPr>
        <w:t>495) visa, and Resolution of Status (Visa Class UH) (S</w:t>
      </w:r>
      <w:r w:rsidR="008721CF" w:rsidRPr="00276506">
        <w:rPr>
          <w:rFonts w:ascii="Times New Roman" w:hAnsi="Times New Roman" w:cs="Times New Roman"/>
        </w:rPr>
        <w:t>ubclass </w:t>
      </w:r>
      <w:r w:rsidRPr="00276506">
        <w:rPr>
          <w:rFonts w:ascii="Times New Roman" w:hAnsi="Times New Roman" w:cs="Times New Roman"/>
        </w:rPr>
        <w:t xml:space="preserve">850) visa have been </w:t>
      </w:r>
      <w:r w:rsidR="0072498C">
        <w:rPr>
          <w:rFonts w:ascii="Times New Roman" w:hAnsi="Times New Roman" w:cs="Times New Roman"/>
        </w:rPr>
        <w:t>repealed</w:t>
      </w:r>
      <w:r w:rsidR="00F15D4D" w:rsidRPr="00276506">
        <w:rPr>
          <w:rFonts w:ascii="Times New Roman" w:hAnsi="Times New Roman" w:cs="Times New Roman"/>
        </w:rPr>
        <w:t xml:space="preserve"> </w:t>
      </w:r>
      <w:r w:rsidRPr="00276506">
        <w:rPr>
          <w:rFonts w:ascii="Times New Roman" w:hAnsi="Times New Roman" w:cs="Times New Roman"/>
        </w:rPr>
        <w:t xml:space="preserve">from Schedule 1 to the </w:t>
      </w:r>
      <w:r w:rsidR="00E4246F" w:rsidRPr="00276506">
        <w:rPr>
          <w:rFonts w:ascii="Times New Roman" w:hAnsi="Times New Roman" w:cs="Times New Roman"/>
          <w:i/>
        </w:rPr>
        <w:t>Migration Regulations 1994</w:t>
      </w:r>
      <w:r w:rsidRPr="00276506">
        <w:rPr>
          <w:rFonts w:ascii="Times New Roman" w:hAnsi="Times New Roman" w:cs="Times New Roman"/>
        </w:rPr>
        <w:t>.</w:t>
      </w:r>
      <w:r w:rsidR="00276506" w:rsidRPr="00276506">
        <w:rPr>
          <w:rFonts w:ascii="Times New Roman" w:hAnsi="Times New Roman" w:cs="Times New Roman"/>
        </w:rPr>
        <w:t xml:space="preserve"> However,</w:t>
      </w:r>
      <w:r w:rsidR="00276506">
        <w:rPr>
          <w:rFonts w:ascii="Times New Roman" w:hAnsi="Times New Roman" w:cs="Times New Roman"/>
        </w:rPr>
        <w:t xml:space="preserve"> under section </w:t>
      </w:r>
      <w:r w:rsidR="003A2A42">
        <w:rPr>
          <w:rFonts w:ascii="Times New Roman" w:hAnsi="Times New Roman" w:cs="Times New Roman"/>
        </w:rPr>
        <w:t xml:space="preserve">6 </w:t>
      </w:r>
      <w:r w:rsidR="00276506">
        <w:rPr>
          <w:rFonts w:ascii="Times New Roman" w:hAnsi="Times New Roman" w:cs="Times New Roman"/>
        </w:rPr>
        <w:t xml:space="preserve">of the instrument, </w:t>
      </w:r>
      <w:r w:rsidR="00312217" w:rsidRPr="00276506">
        <w:rPr>
          <w:rFonts w:ascii="Times New Roman" w:hAnsi="Times New Roman" w:cs="Times New Roman"/>
        </w:rPr>
        <w:t>holders of these</w:t>
      </w:r>
      <w:r w:rsidRPr="00276506">
        <w:rPr>
          <w:rFonts w:ascii="Times New Roman" w:hAnsi="Times New Roman" w:cs="Times New Roman"/>
        </w:rPr>
        <w:t xml:space="preserve"> visas</w:t>
      </w:r>
      <w:r w:rsidR="00F15D4D">
        <w:rPr>
          <w:rFonts w:ascii="Times New Roman" w:hAnsi="Times New Roman" w:cs="Times New Roman"/>
        </w:rPr>
        <w:t xml:space="preserve"> who were granted </w:t>
      </w:r>
      <w:r w:rsidR="002B3632">
        <w:rPr>
          <w:rFonts w:ascii="Times New Roman" w:hAnsi="Times New Roman" w:cs="Times New Roman"/>
        </w:rPr>
        <w:t>their</w:t>
      </w:r>
      <w:r w:rsidR="00F15D4D">
        <w:rPr>
          <w:rFonts w:ascii="Times New Roman" w:hAnsi="Times New Roman" w:cs="Times New Roman"/>
        </w:rPr>
        <w:t xml:space="preserve"> visas before the instrument commences</w:t>
      </w:r>
      <w:r w:rsidRPr="00276506">
        <w:rPr>
          <w:rFonts w:ascii="Times New Roman" w:hAnsi="Times New Roman" w:cs="Times New Roman"/>
        </w:rPr>
        <w:t xml:space="preserve"> </w:t>
      </w:r>
      <w:r w:rsidR="000E1EE1" w:rsidRPr="00276506">
        <w:rPr>
          <w:rFonts w:ascii="Times New Roman" w:hAnsi="Times New Roman" w:cs="Times New Roman"/>
        </w:rPr>
        <w:t xml:space="preserve">will </w:t>
      </w:r>
      <w:r w:rsidRPr="00276506">
        <w:rPr>
          <w:rFonts w:ascii="Times New Roman" w:hAnsi="Times New Roman" w:cs="Times New Roman"/>
        </w:rPr>
        <w:t xml:space="preserve">remain </w:t>
      </w:r>
      <w:r w:rsidR="00312217" w:rsidRPr="00276506">
        <w:rPr>
          <w:rFonts w:ascii="Times New Roman" w:hAnsi="Times New Roman" w:cs="Times New Roman"/>
        </w:rPr>
        <w:t>eligible</w:t>
      </w:r>
      <w:r w:rsidRPr="00276506">
        <w:rPr>
          <w:rFonts w:ascii="Times New Roman" w:hAnsi="Times New Roman" w:cs="Times New Roman"/>
        </w:rPr>
        <w:t xml:space="preserve"> for the provision of English courses to support their English language learning.</w:t>
      </w:r>
    </w:p>
    <w:p w14:paraId="37222A3F" w14:textId="77777777" w:rsidR="008B24C8" w:rsidRDefault="008B24C8" w:rsidP="00404BA6">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Consultation</w:t>
      </w:r>
    </w:p>
    <w:p w14:paraId="48834E64" w14:textId="1300C64D" w:rsidR="00721817" w:rsidRDefault="000347C0" w:rsidP="00404BA6">
      <w:pPr>
        <w:pStyle w:val="ListParagraph"/>
        <w:numPr>
          <w:ilvl w:val="0"/>
          <w:numId w:val="1"/>
        </w:numPr>
        <w:spacing w:before="240" w:after="240" w:line="276" w:lineRule="auto"/>
        <w:ind w:left="567" w:hanging="567"/>
        <w:contextualSpacing w:val="0"/>
      </w:pPr>
      <w:r>
        <w:rPr>
          <w:rFonts w:ascii="Times New Roman" w:hAnsi="Times New Roman" w:cs="Times New Roman"/>
        </w:rPr>
        <w:t>In preparing the instrument,</w:t>
      </w:r>
      <w:r w:rsidRPr="000347C0">
        <w:rPr>
          <w:rFonts w:ascii="Times New Roman" w:hAnsi="Times New Roman" w:cs="Times New Roman"/>
        </w:rPr>
        <w:t xml:space="preserve"> </w:t>
      </w:r>
      <w:r>
        <w:rPr>
          <w:rFonts w:ascii="Times New Roman" w:hAnsi="Times New Roman" w:cs="Times New Roman"/>
        </w:rPr>
        <w:t>a</w:t>
      </w:r>
      <w:r w:rsidRPr="000347C0">
        <w:rPr>
          <w:rFonts w:ascii="Times New Roman" w:hAnsi="Times New Roman" w:cs="Times New Roman"/>
        </w:rPr>
        <w:t xml:space="preserve"> range of relevant agencies were consulted including the Department of Education, Skills and Employment</w:t>
      </w:r>
      <w:r w:rsidR="00DF6EBC">
        <w:rPr>
          <w:rFonts w:ascii="Times New Roman" w:hAnsi="Times New Roman" w:cs="Times New Roman"/>
        </w:rPr>
        <w:t xml:space="preserve"> and the Department of Finance.</w:t>
      </w:r>
      <w:r w:rsidRPr="000347C0">
        <w:rPr>
          <w:rFonts w:ascii="Times New Roman" w:hAnsi="Times New Roman" w:cs="Times New Roman"/>
        </w:rPr>
        <w:t xml:space="preserve"> </w:t>
      </w:r>
    </w:p>
    <w:p w14:paraId="70632FE9" w14:textId="32A2BF4B" w:rsidR="00F15D4D" w:rsidRPr="004E5D15" w:rsidRDefault="004E5D15"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4E5D15">
        <w:rPr>
          <w:rFonts w:ascii="Times New Roman" w:hAnsi="Times New Roman" w:cs="Times New Roman"/>
        </w:rPr>
        <w:t xml:space="preserve">All of the agencies </w:t>
      </w:r>
      <w:r w:rsidR="00404BA6">
        <w:rPr>
          <w:rFonts w:ascii="Times New Roman" w:hAnsi="Times New Roman" w:cs="Times New Roman"/>
        </w:rPr>
        <w:t xml:space="preserve">that were consulted agreed </w:t>
      </w:r>
      <w:r w:rsidR="00F24647">
        <w:rPr>
          <w:rFonts w:ascii="Times New Roman" w:hAnsi="Times New Roman" w:cs="Times New Roman"/>
        </w:rPr>
        <w:t>that</w:t>
      </w:r>
      <w:r w:rsidRPr="004E5D15">
        <w:rPr>
          <w:rFonts w:ascii="Times New Roman" w:hAnsi="Times New Roman" w:cs="Times New Roman"/>
        </w:rPr>
        <w:t xml:space="preserve"> the </w:t>
      </w:r>
      <w:r w:rsidR="00404BA6">
        <w:rPr>
          <w:rFonts w:ascii="Times New Roman" w:hAnsi="Times New Roman" w:cs="Times New Roman"/>
        </w:rPr>
        <w:t xml:space="preserve">classes of </w:t>
      </w:r>
      <w:r w:rsidR="00DF6EBC">
        <w:rPr>
          <w:rFonts w:ascii="Times New Roman" w:hAnsi="Times New Roman" w:cs="Times New Roman"/>
        </w:rPr>
        <w:t>temporary visas</w:t>
      </w:r>
      <w:r w:rsidR="00DF6EBC" w:rsidRPr="004E5D15">
        <w:rPr>
          <w:rFonts w:ascii="Times New Roman" w:hAnsi="Times New Roman" w:cs="Times New Roman"/>
        </w:rPr>
        <w:t xml:space="preserve"> </w:t>
      </w:r>
      <w:r w:rsidRPr="004E5D15">
        <w:rPr>
          <w:rFonts w:ascii="Times New Roman" w:hAnsi="Times New Roman" w:cs="Times New Roman"/>
        </w:rPr>
        <w:t>specified in the instrument</w:t>
      </w:r>
      <w:r w:rsidR="00F24647">
        <w:rPr>
          <w:rFonts w:ascii="Times New Roman" w:hAnsi="Times New Roman" w:cs="Times New Roman"/>
        </w:rPr>
        <w:t xml:space="preserve"> were appropriate to specify</w:t>
      </w:r>
      <w:r w:rsidRPr="004E5D15">
        <w:rPr>
          <w:rFonts w:ascii="Times New Roman" w:hAnsi="Times New Roman" w:cs="Times New Roman"/>
        </w:rPr>
        <w:t>.</w:t>
      </w:r>
    </w:p>
    <w:p w14:paraId="2831F8D4" w14:textId="77777777" w:rsidR="008B24C8" w:rsidRPr="008B24C8" w:rsidRDefault="008B24C8"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Office of Best Practice Regulation (OBPR) was also consulted and considered that the instrument dealt with m</w:t>
      </w:r>
      <w:r w:rsidR="00B945B9">
        <w:rPr>
          <w:rFonts w:ascii="Times New Roman" w:hAnsi="Times New Roman" w:cs="Times New Roman"/>
        </w:rPr>
        <w:t>atters of a minor</w:t>
      </w:r>
      <w:r w:rsidR="0094099E">
        <w:rPr>
          <w:rFonts w:ascii="Times New Roman" w:hAnsi="Times New Roman" w:cs="Times New Roman"/>
        </w:rPr>
        <w:t xml:space="preserve"> </w:t>
      </w:r>
      <w:r w:rsidR="0055137D">
        <w:rPr>
          <w:rFonts w:ascii="Times New Roman" w:hAnsi="Times New Roman" w:cs="Times New Roman"/>
        </w:rPr>
        <w:t xml:space="preserve">or machinery </w:t>
      </w:r>
      <w:r w:rsidRPr="008B24C8">
        <w:rPr>
          <w:rFonts w:ascii="Times New Roman" w:hAnsi="Times New Roman" w:cs="Times New Roman"/>
        </w:rPr>
        <w:t xml:space="preserve">nature and no regulatory impact statement was required.  </w:t>
      </w:r>
      <w:r>
        <w:rPr>
          <w:rFonts w:ascii="Times New Roman" w:hAnsi="Times New Roman" w:cs="Times New Roman"/>
        </w:rPr>
        <w:t xml:space="preserve">The OBPR reference number is </w:t>
      </w:r>
      <w:r w:rsidR="0094099E" w:rsidRPr="0094099E">
        <w:rPr>
          <w:rFonts w:ascii="Times New Roman" w:hAnsi="Times New Roman" w:cs="Times New Roman"/>
        </w:rPr>
        <w:t>43216</w:t>
      </w:r>
      <w:r w:rsidRPr="008B24C8">
        <w:rPr>
          <w:rFonts w:ascii="Times New Roman" w:hAnsi="Times New Roman" w:cs="Times New Roman"/>
        </w:rPr>
        <w:t>.</w:t>
      </w:r>
    </w:p>
    <w:p w14:paraId="2023A82C" w14:textId="77777777" w:rsidR="00AA4557" w:rsidRDefault="00464080" w:rsidP="00404BA6">
      <w:pPr>
        <w:pStyle w:val="ListParagraph"/>
        <w:keepNext/>
        <w:spacing w:before="240" w:after="240" w:line="276" w:lineRule="auto"/>
        <w:ind w:left="0"/>
        <w:contextualSpacing w:val="0"/>
        <w:rPr>
          <w:rFonts w:ascii="Times New Roman" w:hAnsi="Times New Roman" w:cs="Times New Roman"/>
          <w:b/>
          <w:i/>
        </w:rPr>
      </w:pPr>
      <w:r>
        <w:rPr>
          <w:rFonts w:ascii="Times New Roman" w:hAnsi="Times New Roman" w:cs="Times New Roman"/>
          <w:b/>
          <w:i/>
        </w:rPr>
        <w:t>Details</w:t>
      </w:r>
      <w:r w:rsidR="00AA4557">
        <w:rPr>
          <w:rFonts w:ascii="Times New Roman" w:hAnsi="Times New Roman" w:cs="Times New Roman"/>
          <w:b/>
          <w:i/>
        </w:rPr>
        <w:t xml:space="preserve"> of the instrument</w:t>
      </w:r>
    </w:p>
    <w:p w14:paraId="12F75A95" w14:textId="77777777" w:rsidR="00AA4557" w:rsidRDefault="00AA4557"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w:t>
      </w:r>
      <w:r w:rsidR="00D72DE1">
        <w:rPr>
          <w:rFonts w:ascii="Times New Roman" w:hAnsi="Times New Roman" w:cs="Times New Roman"/>
        </w:rPr>
        <w:t> </w:t>
      </w:r>
      <w:r>
        <w:rPr>
          <w:rFonts w:ascii="Times New Roman" w:hAnsi="Times New Roman" w:cs="Times New Roman"/>
        </w:rPr>
        <w:t>1 sets out</w:t>
      </w:r>
      <w:r w:rsidR="00E03DCC">
        <w:rPr>
          <w:rFonts w:ascii="Times New Roman" w:hAnsi="Times New Roman" w:cs="Times New Roman"/>
        </w:rPr>
        <w:t xml:space="preserve"> the name of the instrument. </w:t>
      </w:r>
      <w:r w:rsidR="00CD2540">
        <w:rPr>
          <w:rFonts w:ascii="Times New Roman" w:hAnsi="Times New Roman" w:cs="Times New Roman"/>
        </w:rPr>
        <w:t xml:space="preserve"> </w:t>
      </w:r>
    </w:p>
    <w:p w14:paraId="365ABB41" w14:textId="77777777" w:rsidR="0055137D" w:rsidRDefault="00AA4557"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w:t>
      </w:r>
      <w:r w:rsidR="00D72DE1">
        <w:rPr>
          <w:rFonts w:ascii="Times New Roman" w:hAnsi="Times New Roman" w:cs="Times New Roman"/>
        </w:rPr>
        <w:t> </w:t>
      </w:r>
      <w:r w:rsidR="007D0975">
        <w:rPr>
          <w:rFonts w:ascii="Times New Roman" w:hAnsi="Times New Roman" w:cs="Times New Roman"/>
        </w:rPr>
        <w:t xml:space="preserve">2 provides </w:t>
      </w:r>
      <w:r>
        <w:rPr>
          <w:rFonts w:ascii="Times New Roman" w:hAnsi="Times New Roman" w:cs="Times New Roman"/>
        </w:rPr>
        <w:t>the</w:t>
      </w:r>
      <w:r w:rsidR="007D0975">
        <w:rPr>
          <w:rFonts w:ascii="Times New Roman" w:hAnsi="Times New Roman" w:cs="Times New Roman"/>
        </w:rPr>
        <w:t xml:space="preserve"> commencement of the instrument, which is </w:t>
      </w:r>
      <w:r>
        <w:rPr>
          <w:rFonts w:ascii="Times New Roman" w:hAnsi="Times New Roman" w:cs="Times New Roman"/>
        </w:rPr>
        <w:t xml:space="preserve">on </w:t>
      </w:r>
      <w:r w:rsidR="00E815BD" w:rsidRPr="00E815BD">
        <w:rPr>
          <w:rFonts w:ascii="Times New Roman" w:hAnsi="Times New Roman" w:cs="Times New Roman"/>
        </w:rPr>
        <w:t>the</w:t>
      </w:r>
      <w:r w:rsidR="0055137D">
        <w:rPr>
          <w:rFonts w:ascii="Times New Roman" w:hAnsi="Times New Roman" w:cs="Times New Roman"/>
        </w:rPr>
        <w:t xml:space="preserve"> later of: </w:t>
      </w:r>
    </w:p>
    <w:p w14:paraId="51CE7E22" w14:textId="77777777" w:rsidR="00AA4557" w:rsidRDefault="0055137D" w:rsidP="00404BA6">
      <w:pPr>
        <w:pStyle w:val="ESSubparaList"/>
        <w:numPr>
          <w:ilvl w:val="0"/>
          <w:numId w:val="4"/>
        </w:numPr>
        <w:ind w:left="1276" w:hanging="425"/>
      </w:pPr>
      <w:r w:rsidRPr="0016496E">
        <w:t>the</w:t>
      </w:r>
      <w:r w:rsidR="00E815BD" w:rsidRPr="0016496E">
        <w:t xml:space="preserve"> day after it is registered on the Federal Register of Legislation</w:t>
      </w:r>
      <w:r>
        <w:t>; and</w:t>
      </w:r>
    </w:p>
    <w:p w14:paraId="79C9D02A" w14:textId="77777777" w:rsidR="0055137D" w:rsidRPr="0016496E" w:rsidRDefault="0055137D" w:rsidP="00404BA6">
      <w:pPr>
        <w:pStyle w:val="ESSubparaList"/>
        <w:numPr>
          <w:ilvl w:val="0"/>
          <w:numId w:val="4"/>
        </w:numPr>
        <w:ind w:left="1276" w:hanging="425"/>
      </w:pPr>
      <w:r w:rsidRPr="0055137D">
        <w:t xml:space="preserve">immediately after the commencement of Schedule 1 of the </w:t>
      </w:r>
      <w:r w:rsidR="008C6E24">
        <w:t>Amendment Act</w:t>
      </w:r>
      <w:r>
        <w:t>.</w:t>
      </w:r>
    </w:p>
    <w:p w14:paraId="4E43D816" w14:textId="77777777" w:rsidR="00E32753" w:rsidRDefault="00E32753"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3 sets out d</w:t>
      </w:r>
      <w:r w:rsidR="007D0975">
        <w:rPr>
          <w:rFonts w:ascii="Times New Roman" w:hAnsi="Times New Roman" w:cs="Times New Roman"/>
        </w:rPr>
        <w:t>efinitions of terms used in the</w:t>
      </w:r>
      <w:r>
        <w:rPr>
          <w:rFonts w:ascii="Times New Roman" w:hAnsi="Times New Roman" w:cs="Times New Roman"/>
        </w:rPr>
        <w:t xml:space="preserve"> instrument. </w:t>
      </w:r>
    </w:p>
    <w:p w14:paraId="1BC5B583" w14:textId="77777777" w:rsidR="00E32753" w:rsidRDefault="00E32753"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4</w:t>
      </w:r>
      <w:r w:rsidR="00611B8F">
        <w:rPr>
          <w:rFonts w:ascii="Times New Roman" w:hAnsi="Times New Roman" w:cs="Times New Roman"/>
        </w:rPr>
        <w:t xml:space="preserve"> </w:t>
      </w:r>
      <w:r w:rsidR="0055137D">
        <w:rPr>
          <w:rFonts w:ascii="Times New Roman" w:hAnsi="Times New Roman" w:cs="Times New Roman"/>
        </w:rPr>
        <w:t xml:space="preserve">provides </w:t>
      </w:r>
      <w:r w:rsidR="00422A8A">
        <w:rPr>
          <w:rFonts w:ascii="Times New Roman" w:hAnsi="Times New Roman" w:cs="Times New Roman"/>
        </w:rPr>
        <w:t xml:space="preserve">that the instrument </w:t>
      </w:r>
      <w:r w:rsidR="00611B8F">
        <w:rPr>
          <w:rFonts w:ascii="Times New Roman" w:hAnsi="Times New Roman" w:cs="Times New Roman"/>
        </w:rPr>
        <w:t xml:space="preserve">repeals </w:t>
      </w:r>
      <w:r w:rsidR="008C6E24">
        <w:rPr>
          <w:rFonts w:ascii="Times New Roman" w:hAnsi="Times New Roman" w:cs="Times New Roman"/>
        </w:rPr>
        <w:t>LIN 19/218</w:t>
      </w:r>
      <w:r w:rsidR="001C0650">
        <w:rPr>
          <w:rFonts w:ascii="Times New Roman" w:hAnsi="Times New Roman" w:cs="Times New Roman"/>
        </w:rPr>
        <w:t>.</w:t>
      </w:r>
    </w:p>
    <w:p w14:paraId="0AD11D30" w14:textId="77777777" w:rsidR="00E13462" w:rsidRDefault="00BF214F"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w:t>
      </w:r>
      <w:r w:rsidR="00F20F4C">
        <w:rPr>
          <w:rFonts w:ascii="Times New Roman" w:hAnsi="Times New Roman" w:cs="Times New Roman"/>
        </w:rPr>
        <w:t>5</w:t>
      </w:r>
      <w:r w:rsidR="001C0650">
        <w:rPr>
          <w:rFonts w:ascii="Times New Roman" w:hAnsi="Times New Roman" w:cs="Times New Roman"/>
        </w:rPr>
        <w:t xml:space="preserve"> </w:t>
      </w:r>
      <w:r w:rsidR="008C6E24">
        <w:rPr>
          <w:rFonts w:ascii="Times New Roman" w:hAnsi="Times New Roman" w:cs="Times New Roman"/>
        </w:rPr>
        <w:t>specifies</w:t>
      </w:r>
      <w:r w:rsidR="00512BC4">
        <w:rPr>
          <w:rFonts w:ascii="Times New Roman" w:hAnsi="Times New Roman" w:cs="Times New Roman"/>
        </w:rPr>
        <w:t xml:space="preserve"> </w:t>
      </w:r>
      <w:r w:rsidR="008C6E24">
        <w:rPr>
          <w:rFonts w:ascii="Times New Roman" w:hAnsi="Times New Roman" w:cs="Times New Roman"/>
        </w:rPr>
        <w:t xml:space="preserve">subclasses of </w:t>
      </w:r>
      <w:r w:rsidR="00512BC4">
        <w:rPr>
          <w:rFonts w:ascii="Times New Roman" w:hAnsi="Times New Roman" w:cs="Times New Roman"/>
        </w:rPr>
        <w:t>temporary visa</w:t>
      </w:r>
      <w:r w:rsidR="008C6E24">
        <w:rPr>
          <w:rFonts w:ascii="Times New Roman" w:hAnsi="Times New Roman" w:cs="Times New Roman"/>
        </w:rPr>
        <w:t>s</w:t>
      </w:r>
      <w:r w:rsidR="00746474">
        <w:rPr>
          <w:rFonts w:ascii="Times New Roman" w:hAnsi="Times New Roman" w:cs="Times New Roman"/>
        </w:rPr>
        <w:t>.</w:t>
      </w:r>
    </w:p>
    <w:p w14:paraId="13596F91" w14:textId="5C120CFD" w:rsidR="00512BC4" w:rsidRPr="00E13462" w:rsidRDefault="00E13462"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lastRenderedPageBreak/>
        <w:t xml:space="preserve">Section 6 </w:t>
      </w:r>
      <w:r w:rsidR="00F15D4D">
        <w:rPr>
          <w:rFonts w:ascii="Times New Roman" w:hAnsi="Times New Roman" w:cs="Times New Roman"/>
        </w:rPr>
        <w:t>provides</w:t>
      </w:r>
      <w:r>
        <w:rPr>
          <w:rFonts w:ascii="Times New Roman" w:hAnsi="Times New Roman" w:cs="Times New Roman"/>
        </w:rPr>
        <w:t xml:space="preserve"> that holders of </w:t>
      </w:r>
      <w:r w:rsidR="00F15D4D">
        <w:rPr>
          <w:rFonts w:ascii="Times New Roman" w:hAnsi="Times New Roman" w:cs="Times New Roman"/>
        </w:rPr>
        <w:t>certain subclasses of visa</w:t>
      </w:r>
      <w:r w:rsidR="00276506">
        <w:rPr>
          <w:rFonts w:ascii="Times New Roman" w:hAnsi="Times New Roman" w:cs="Times New Roman"/>
        </w:rPr>
        <w:t xml:space="preserve"> </w:t>
      </w:r>
      <w:r w:rsidR="00930F3C" w:rsidRPr="00930F3C">
        <w:rPr>
          <w:rFonts w:ascii="Times New Roman" w:hAnsi="Times New Roman" w:cs="Times New Roman"/>
        </w:rPr>
        <w:t>that were granted</w:t>
      </w:r>
      <w:r w:rsidR="00930F3C">
        <w:rPr>
          <w:rFonts w:ascii="Times New Roman" w:hAnsi="Times New Roman" w:cs="Times New Roman"/>
        </w:rPr>
        <w:t xml:space="preserve"> before the commencement of the</w:t>
      </w:r>
      <w:r w:rsidR="00930F3C" w:rsidRPr="00930F3C">
        <w:rPr>
          <w:rFonts w:ascii="Times New Roman" w:hAnsi="Times New Roman" w:cs="Times New Roman"/>
        </w:rPr>
        <w:t xml:space="preserve"> instrument </w:t>
      </w:r>
      <w:r>
        <w:rPr>
          <w:rFonts w:ascii="Times New Roman" w:hAnsi="Times New Roman" w:cs="Times New Roman"/>
        </w:rPr>
        <w:t xml:space="preserve">will remain eligible </w:t>
      </w:r>
      <w:r w:rsidRPr="00721817">
        <w:rPr>
          <w:rFonts w:ascii="Times New Roman" w:hAnsi="Times New Roman" w:cs="Times New Roman"/>
        </w:rPr>
        <w:t xml:space="preserve">for the provision of English courses to support </w:t>
      </w:r>
      <w:r w:rsidR="00930F3C">
        <w:rPr>
          <w:rFonts w:ascii="Times New Roman" w:hAnsi="Times New Roman" w:cs="Times New Roman"/>
        </w:rPr>
        <w:t>their English language learning, despite the repeal of those</w:t>
      </w:r>
      <w:r w:rsidR="00930F3C" w:rsidRPr="00930F3C">
        <w:rPr>
          <w:rFonts w:ascii="Times New Roman" w:hAnsi="Times New Roman" w:cs="Times New Roman"/>
        </w:rPr>
        <w:t xml:space="preserve"> subclass</w:t>
      </w:r>
      <w:r w:rsidR="00930F3C">
        <w:rPr>
          <w:rFonts w:ascii="Times New Roman" w:hAnsi="Times New Roman" w:cs="Times New Roman"/>
        </w:rPr>
        <w:t>es</w:t>
      </w:r>
      <w:r w:rsidR="00930F3C" w:rsidRPr="00930F3C">
        <w:rPr>
          <w:rFonts w:ascii="Times New Roman" w:hAnsi="Times New Roman" w:cs="Times New Roman"/>
        </w:rPr>
        <w:t xml:space="preserve"> of visa from the Migration Regulations.</w:t>
      </w:r>
      <w:r w:rsidR="00930F3C">
        <w:rPr>
          <w:rFonts w:ascii="Times New Roman" w:hAnsi="Times New Roman" w:cs="Times New Roman"/>
        </w:rPr>
        <w:t xml:space="preserve"> </w:t>
      </w:r>
    </w:p>
    <w:p w14:paraId="6919B8D5" w14:textId="77777777" w:rsidR="00AA4557" w:rsidRPr="00AA4557" w:rsidRDefault="00AA4557" w:rsidP="00404BA6">
      <w:pPr>
        <w:spacing w:before="240" w:after="240" w:line="276" w:lineRule="auto"/>
        <w:rPr>
          <w:rFonts w:ascii="Times New Roman" w:hAnsi="Times New Roman" w:cs="Times New Roman"/>
          <w:b/>
          <w:i/>
        </w:rPr>
      </w:pPr>
      <w:r>
        <w:rPr>
          <w:rFonts w:ascii="Times New Roman" w:hAnsi="Times New Roman" w:cs="Times New Roman"/>
          <w:b/>
          <w:i/>
        </w:rPr>
        <w:t xml:space="preserve">Parliamentary scrutiny etc.  </w:t>
      </w:r>
    </w:p>
    <w:p w14:paraId="1AD4B533" w14:textId="77777777" w:rsidR="0055137D" w:rsidRDefault="00B945B9"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464080">
        <w:rPr>
          <w:rFonts w:ascii="Times New Roman" w:hAnsi="Times New Roman" w:cs="Times New Roman"/>
        </w:rPr>
        <w:t>The instrument is subject to disallowance under sect</w:t>
      </w:r>
      <w:r>
        <w:rPr>
          <w:rFonts w:ascii="Times New Roman" w:hAnsi="Times New Roman" w:cs="Times New Roman"/>
        </w:rPr>
        <w:t xml:space="preserve">ion 42 of the Legislation Act. </w:t>
      </w:r>
    </w:p>
    <w:p w14:paraId="6D3815A1" w14:textId="067032F4" w:rsidR="00B945B9" w:rsidRDefault="00B945B9"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464080">
        <w:rPr>
          <w:rFonts w:ascii="Times New Roman" w:hAnsi="Times New Roman" w:cs="Times New Roman"/>
        </w:rPr>
        <w:t>A Statement of Compatibility with Human Rights has been prepared in relation to the instrument</w:t>
      </w:r>
      <w:r w:rsidR="0055137D">
        <w:rPr>
          <w:rFonts w:ascii="Times New Roman" w:hAnsi="Times New Roman" w:cs="Times New Roman"/>
        </w:rPr>
        <w:t xml:space="preserve">. It </w:t>
      </w:r>
      <w:r w:rsidRPr="00464080">
        <w:rPr>
          <w:rFonts w:ascii="Times New Roman" w:hAnsi="Times New Roman" w:cs="Times New Roman"/>
        </w:rPr>
        <w:t xml:space="preserve">provides that </w:t>
      </w:r>
      <w:r w:rsidR="007D4AF0">
        <w:rPr>
          <w:rFonts w:ascii="Times New Roman" w:hAnsi="Times New Roman" w:cs="Times New Roman"/>
          <w:lang w:val="en-US"/>
        </w:rPr>
        <w:t>t</w:t>
      </w:r>
      <w:r w:rsidR="007D4AF0" w:rsidRPr="007D4AF0">
        <w:rPr>
          <w:rFonts w:ascii="Times New Roman" w:hAnsi="Times New Roman" w:cs="Times New Roman"/>
          <w:lang w:val="en-US"/>
        </w:rPr>
        <w:t xml:space="preserve">he </w:t>
      </w:r>
      <w:r w:rsidR="0055137D">
        <w:rPr>
          <w:rFonts w:ascii="Times New Roman" w:hAnsi="Times New Roman" w:cs="Times New Roman"/>
          <w:lang w:val="en-US"/>
        </w:rPr>
        <w:t>d</w:t>
      </w:r>
      <w:r w:rsidR="007D4AF0" w:rsidRPr="007D4AF0">
        <w:rPr>
          <w:rFonts w:ascii="Times New Roman" w:hAnsi="Times New Roman" w:cs="Times New Roman"/>
          <w:lang w:val="en-US"/>
        </w:rPr>
        <w:t xml:space="preserve">isallowable </w:t>
      </w:r>
      <w:r w:rsidR="0055137D">
        <w:rPr>
          <w:rFonts w:ascii="Times New Roman" w:hAnsi="Times New Roman" w:cs="Times New Roman"/>
          <w:lang w:val="en-US"/>
        </w:rPr>
        <w:t>l</w:t>
      </w:r>
      <w:r w:rsidR="007D4AF0" w:rsidRPr="007D4AF0">
        <w:rPr>
          <w:rFonts w:ascii="Times New Roman" w:hAnsi="Times New Roman" w:cs="Times New Roman"/>
          <w:lang w:val="en-US"/>
        </w:rPr>
        <w:t xml:space="preserve">egislative </w:t>
      </w:r>
      <w:r w:rsidR="0055137D">
        <w:rPr>
          <w:rFonts w:ascii="Times New Roman" w:hAnsi="Times New Roman" w:cs="Times New Roman"/>
          <w:lang w:val="en-US"/>
        </w:rPr>
        <w:t>i</w:t>
      </w:r>
      <w:r w:rsidR="007D4AF0" w:rsidRPr="007D4AF0">
        <w:rPr>
          <w:rFonts w:ascii="Times New Roman" w:hAnsi="Times New Roman" w:cs="Times New Roman"/>
          <w:lang w:val="en-US"/>
        </w:rPr>
        <w:t>nstrument is compatible with human rights</w:t>
      </w:r>
      <w:r w:rsidR="0055137D">
        <w:rPr>
          <w:rFonts w:ascii="Times New Roman" w:hAnsi="Times New Roman" w:cs="Times New Roman"/>
          <w:lang w:val="en-US"/>
        </w:rPr>
        <w:t xml:space="preserve">. </w:t>
      </w:r>
      <w:r w:rsidR="00036671">
        <w:rPr>
          <w:rFonts w:ascii="Times New Roman" w:hAnsi="Times New Roman" w:cs="Times New Roman"/>
          <w:lang w:val="en-US"/>
        </w:rPr>
        <w:t>The instrument’s</w:t>
      </w:r>
      <w:r w:rsidR="00036671" w:rsidRPr="007D4AF0">
        <w:rPr>
          <w:rFonts w:ascii="Times New Roman" w:hAnsi="Times New Roman" w:cs="Times New Roman"/>
          <w:lang w:val="en-US"/>
        </w:rPr>
        <w:t xml:space="preserve"> </w:t>
      </w:r>
      <w:r w:rsidR="007D4AF0" w:rsidRPr="007D4AF0">
        <w:rPr>
          <w:rFonts w:ascii="Times New Roman" w:hAnsi="Times New Roman" w:cs="Times New Roman"/>
          <w:lang w:val="en-US"/>
        </w:rPr>
        <w:t xml:space="preserve">intended purpose is to facilitate access to English language tuition for eligible </w:t>
      </w:r>
      <w:r w:rsidR="001E5E0F">
        <w:rPr>
          <w:rFonts w:ascii="Times New Roman" w:hAnsi="Times New Roman" w:cs="Times New Roman"/>
          <w:lang w:val="en-US"/>
        </w:rPr>
        <w:t>visa holders</w:t>
      </w:r>
      <w:r w:rsidR="001E5E0F" w:rsidRPr="007D4AF0">
        <w:rPr>
          <w:rFonts w:ascii="Times New Roman" w:hAnsi="Times New Roman" w:cs="Times New Roman"/>
          <w:lang w:val="en-US"/>
        </w:rPr>
        <w:t xml:space="preserve"> </w:t>
      </w:r>
      <w:r w:rsidR="007D4AF0" w:rsidRPr="007D4AF0">
        <w:rPr>
          <w:rFonts w:ascii="Times New Roman" w:hAnsi="Times New Roman" w:cs="Times New Roman"/>
          <w:lang w:val="en-US"/>
        </w:rPr>
        <w:t>in Australia.</w:t>
      </w:r>
      <w:r w:rsidR="00E568A3">
        <w:rPr>
          <w:rFonts w:ascii="Times New Roman" w:hAnsi="Times New Roman" w:cs="Times New Roman"/>
          <w:lang w:val="en-US"/>
        </w:rPr>
        <w:t xml:space="preserve"> This </w:t>
      </w:r>
      <w:r w:rsidR="00490022">
        <w:rPr>
          <w:rFonts w:ascii="Times New Roman" w:hAnsi="Times New Roman" w:cs="Times New Roman"/>
          <w:lang w:val="en-US"/>
        </w:rPr>
        <w:t>promotes</w:t>
      </w:r>
      <w:r w:rsidR="007D4AF0">
        <w:rPr>
          <w:rFonts w:ascii="Times New Roman" w:hAnsi="Times New Roman" w:cs="Times New Roman"/>
          <w:lang w:val="en-US"/>
        </w:rPr>
        <w:t xml:space="preserve"> Article </w:t>
      </w:r>
      <w:r w:rsidR="007D4AF0" w:rsidRPr="007D4AF0">
        <w:rPr>
          <w:rFonts w:ascii="Times New Roman" w:hAnsi="Times New Roman" w:cs="Times New Roman"/>
          <w:lang w:val="en-US"/>
        </w:rPr>
        <w:t xml:space="preserve">13 </w:t>
      </w:r>
      <w:r w:rsidR="007D4AF0">
        <w:rPr>
          <w:rFonts w:ascii="Times New Roman" w:hAnsi="Times New Roman" w:cs="Times New Roman"/>
          <w:lang w:val="en-US"/>
        </w:rPr>
        <w:t xml:space="preserve">of </w:t>
      </w:r>
      <w:r w:rsidR="007D4AF0" w:rsidRPr="007D4AF0">
        <w:rPr>
          <w:rFonts w:ascii="Times New Roman" w:hAnsi="Times New Roman" w:cs="Times New Roman"/>
          <w:lang w:val="en-US"/>
        </w:rPr>
        <w:t xml:space="preserve">the </w:t>
      </w:r>
      <w:r w:rsidR="007D4AF0" w:rsidRPr="007D4AF0">
        <w:rPr>
          <w:rFonts w:ascii="Times New Roman" w:hAnsi="Times New Roman" w:cs="Times New Roman"/>
          <w:i/>
          <w:iCs/>
          <w:lang w:val="en-US"/>
        </w:rPr>
        <w:t xml:space="preserve">International Covenant on Economic, Social and Cultural Rights </w:t>
      </w:r>
      <w:r w:rsidR="007D4AF0" w:rsidRPr="007D4AF0">
        <w:rPr>
          <w:rFonts w:ascii="Times New Roman" w:hAnsi="Times New Roman" w:cs="Times New Roman"/>
          <w:lang w:val="en-US"/>
        </w:rPr>
        <w:t>(ICESCR)</w:t>
      </w:r>
      <w:r w:rsidR="007D4AF0">
        <w:rPr>
          <w:rFonts w:ascii="Times New Roman" w:hAnsi="Times New Roman" w:cs="Times New Roman"/>
          <w:lang w:val="en-US"/>
        </w:rPr>
        <w:t>.</w:t>
      </w:r>
      <w:r w:rsidRPr="00464080">
        <w:rPr>
          <w:rFonts w:ascii="Times New Roman" w:hAnsi="Times New Roman" w:cs="Times New Roman"/>
        </w:rPr>
        <w:t xml:space="preserve"> The Statement is included at </w:t>
      </w:r>
      <w:r w:rsidR="00F071C9">
        <w:rPr>
          <w:rFonts w:ascii="Times New Roman" w:hAnsi="Times New Roman" w:cs="Times New Roman"/>
          <w:b/>
          <w:u w:val="single"/>
        </w:rPr>
        <w:t>Attachment A</w:t>
      </w:r>
      <w:r w:rsidRPr="00464080">
        <w:rPr>
          <w:rFonts w:ascii="Times New Roman" w:hAnsi="Times New Roman" w:cs="Times New Roman"/>
        </w:rPr>
        <w:t xml:space="preserve"> to this explanatory statement.</w:t>
      </w:r>
    </w:p>
    <w:p w14:paraId="1BA2B2DB" w14:textId="27812FA3" w:rsidR="00184EAF" w:rsidRPr="00184EAF" w:rsidRDefault="00184EAF" w:rsidP="00404BA6">
      <w:pPr>
        <w:pStyle w:val="ListParagraph"/>
        <w:numPr>
          <w:ilvl w:val="0"/>
          <w:numId w:val="1"/>
        </w:numPr>
        <w:spacing w:before="240" w:after="240" w:line="276" w:lineRule="auto"/>
        <w:ind w:left="567" w:hanging="567"/>
        <w:contextualSpacing w:val="0"/>
        <w:rPr>
          <w:rFonts w:ascii="Times New Roman" w:hAnsi="Times New Roman" w:cs="Times New Roman"/>
        </w:rPr>
      </w:pPr>
      <w:r w:rsidRPr="00B75478">
        <w:rPr>
          <w:rFonts w:ascii="Times New Roman" w:hAnsi="Times New Roman" w:cs="Times New Roman"/>
        </w:rPr>
        <w:t xml:space="preserve">The </w:t>
      </w:r>
      <w:r>
        <w:rPr>
          <w:rFonts w:ascii="Times New Roman" w:hAnsi="Times New Roman" w:cs="Times New Roman"/>
        </w:rPr>
        <w:t xml:space="preserve">instrument was made by </w:t>
      </w:r>
      <w:r w:rsidRPr="00781E90">
        <w:rPr>
          <w:rFonts w:ascii="Times New Roman" w:hAnsi="Times New Roman" w:cs="Times New Roman"/>
        </w:rPr>
        <w:t>Alex Hawke</w:t>
      </w:r>
      <w:r>
        <w:rPr>
          <w:rFonts w:ascii="Times New Roman" w:hAnsi="Times New Roman" w:cs="Times New Roman"/>
        </w:rPr>
        <w:t xml:space="preserve">, </w:t>
      </w:r>
      <w:r w:rsidRPr="00781E90">
        <w:rPr>
          <w:rFonts w:ascii="Times New Roman" w:hAnsi="Times New Roman" w:cs="Times New Roman"/>
        </w:rPr>
        <w:t>Minister for Immigration, Citizenship, Migrant Services and Multicultural Affairs</w:t>
      </w:r>
      <w:r>
        <w:rPr>
          <w:rFonts w:ascii="Times New Roman" w:hAnsi="Times New Roman" w:cs="Times New Roman"/>
        </w:rPr>
        <w:t xml:space="preserve">, in accordance with </w:t>
      </w:r>
      <w:r w:rsidR="00B945B9" w:rsidRPr="00B945B9">
        <w:rPr>
          <w:rFonts w:ascii="Times New Roman" w:hAnsi="Times New Roman" w:cs="Times New Roman"/>
        </w:rPr>
        <w:t>subsections 4(2) and 4A(2) of the</w:t>
      </w:r>
      <w:r w:rsidR="00F92BC3" w:rsidRPr="00F92BC3">
        <w:rPr>
          <w:rFonts w:ascii="Times New Roman" w:hAnsi="Times New Roman" w:cs="Times New Roman"/>
        </w:rPr>
        <w:t xml:space="preserve"> </w:t>
      </w:r>
      <w:r w:rsidR="00BB3165">
        <w:rPr>
          <w:rFonts w:ascii="Times New Roman" w:hAnsi="Times New Roman" w:cs="Times New Roman"/>
        </w:rPr>
        <w:t>Act</w:t>
      </w:r>
      <w:r>
        <w:rPr>
          <w:rFonts w:ascii="Times New Roman" w:hAnsi="Times New Roman" w:cs="Times New Roman"/>
        </w:rPr>
        <w:t>.</w:t>
      </w:r>
    </w:p>
    <w:p w14:paraId="4BB44EA7" w14:textId="77777777" w:rsidR="0095262E" w:rsidRDefault="0095262E" w:rsidP="00404BA6">
      <w:pPr>
        <w:spacing w:line="276" w:lineRule="auto"/>
        <w:rPr>
          <w:rFonts w:ascii="Times New Roman" w:hAnsi="Times New Roman" w:cs="Times New Roman"/>
        </w:rPr>
      </w:pPr>
      <w:r>
        <w:rPr>
          <w:rFonts w:ascii="Times New Roman" w:hAnsi="Times New Roman" w:cs="Times New Roman"/>
        </w:rPr>
        <w:br w:type="page"/>
      </w:r>
    </w:p>
    <w:p w14:paraId="5F3A475D" w14:textId="77777777" w:rsidR="0095262E" w:rsidRDefault="00F071C9" w:rsidP="00404BA6">
      <w:pPr>
        <w:spacing w:before="240" w:after="240" w:line="276" w:lineRule="auto"/>
        <w:jc w:val="right"/>
        <w:rPr>
          <w:rFonts w:ascii="Times New Roman" w:hAnsi="Times New Roman" w:cs="Times New Roman"/>
          <w:b/>
          <w:u w:val="single"/>
        </w:rPr>
      </w:pPr>
      <w:r>
        <w:rPr>
          <w:rFonts w:ascii="Times New Roman" w:hAnsi="Times New Roman" w:cs="Times New Roman"/>
          <w:b/>
          <w:u w:val="single"/>
        </w:rPr>
        <w:lastRenderedPageBreak/>
        <w:t>Attachment A</w:t>
      </w:r>
    </w:p>
    <w:p w14:paraId="59D0ADCD" w14:textId="77777777" w:rsidR="00C35649" w:rsidRPr="00CA745B" w:rsidRDefault="00C35649" w:rsidP="00404BA6">
      <w:pPr>
        <w:spacing w:line="276" w:lineRule="auto"/>
        <w:jc w:val="center"/>
        <w:rPr>
          <w:rFonts w:ascii="Times New Roman" w:hAnsi="Times New Roman" w:cs="Times New Roman"/>
        </w:rPr>
      </w:pPr>
      <w:r w:rsidRPr="00CA745B">
        <w:rPr>
          <w:rFonts w:ascii="Times New Roman" w:hAnsi="Times New Roman" w:cs="Times New Roman"/>
          <w:b/>
          <w:bCs/>
        </w:rPr>
        <w:t>Statement of Compatibility with Human Rights</w:t>
      </w:r>
    </w:p>
    <w:p w14:paraId="35A86458" w14:textId="77777777" w:rsidR="00C35649" w:rsidRPr="00CA745B" w:rsidRDefault="00C35649" w:rsidP="00404BA6">
      <w:pPr>
        <w:spacing w:line="276" w:lineRule="auto"/>
        <w:jc w:val="center"/>
        <w:rPr>
          <w:rFonts w:ascii="Times New Roman" w:hAnsi="Times New Roman" w:cs="Times New Roman"/>
        </w:rPr>
      </w:pPr>
      <w:r w:rsidRPr="00CA745B">
        <w:rPr>
          <w:rFonts w:ascii="Times New Roman" w:hAnsi="Times New Roman" w:cs="Times New Roman"/>
          <w:i/>
          <w:iCs/>
        </w:rPr>
        <w:t>Prepared in accordance with Part 3 of the</w:t>
      </w:r>
    </w:p>
    <w:p w14:paraId="181E59C4" w14:textId="77777777" w:rsidR="00C35649" w:rsidRPr="00CA745B" w:rsidRDefault="00C35649" w:rsidP="00404BA6">
      <w:pPr>
        <w:spacing w:line="276" w:lineRule="auto"/>
        <w:jc w:val="center"/>
        <w:rPr>
          <w:rFonts w:ascii="Times New Roman" w:hAnsi="Times New Roman" w:cs="Times New Roman"/>
        </w:rPr>
      </w:pPr>
      <w:r w:rsidRPr="00CA745B">
        <w:rPr>
          <w:rFonts w:ascii="Times New Roman" w:hAnsi="Times New Roman" w:cs="Times New Roman"/>
          <w:i/>
          <w:iCs/>
        </w:rPr>
        <w:t>Human Rights (Parliamentary Scrutiny) Act 2011</w:t>
      </w:r>
    </w:p>
    <w:p w14:paraId="7684B14D" w14:textId="77777777" w:rsidR="00C35649" w:rsidRPr="00404BA6" w:rsidRDefault="00C35649" w:rsidP="00404BA6">
      <w:pPr>
        <w:spacing w:line="276" w:lineRule="auto"/>
        <w:jc w:val="center"/>
        <w:rPr>
          <w:rFonts w:ascii="Times New Roman" w:hAnsi="Times New Roman" w:cs="Times New Roman"/>
          <w:b/>
          <w:bCs/>
          <w:i/>
        </w:rPr>
      </w:pPr>
      <w:r w:rsidRPr="00404BA6">
        <w:rPr>
          <w:rFonts w:ascii="Times New Roman" w:hAnsi="Times New Roman" w:cs="Times New Roman"/>
          <w:b/>
          <w:bCs/>
          <w:i/>
        </w:rPr>
        <w:t>Immigration (Education) Amendment (</w:t>
      </w:r>
      <w:r w:rsidR="009C74A1" w:rsidRPr="00404BA6">
        <w:rPr>
          <w:rFonts w:ascii="Times New Roman" w:hAnsi="Times New Roman" w:cs="Times New Roman"/>
          <w:b/>
          <w:bCs/>
          <w:i/>
        </w:rPr>
        <w:t>Specification of temporary visas</w:t>
      </w:r>
      <w:r w:rsidRPr="00404BA6">
        <w:rPr>
          <w:rFonts w:ascii="Times New Roman" w:hAnsi="Times New Roman" w:cs="Times New Roman"/>
          <w:b/>
          <w:bCs/>
          <w:i/>
        </w:rPr>
        <w:t>) Instrument (LIN 21/013) 2021</w:t>
      </w:r>
    </w:p>
    <w:p w14:paraId="5B92DDB1" w14:textId="77777777"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 xml:space="preserve">This Disallowable Legislative Instrument is compatible with the human rights and freedoms recognised or declared in the international instruments listed in section 3 of the </w:t>
      </w:r>
      <w:r w:rsidRPr="00CA745B">
        <w:rPr>
          <w:rFonts w:ascii="Times New Roman" w:hAnsi="Times New Roman" w:cs="Times New Roman"/>
          <w:i/>
          <w:iCs/>
        </w:rPr>
        <w:t>Human Rights (Parliamentary Scrutiny) Act 2011</w:t>
      </w:r>
      <w:r w:rsidRPr="00CA745B">
        <w:rPr>
          <w:rFonts w:ascii="Times New Roman" w:hAnsi="Times New Roman" w:cs="Times New Roman"/>
        </w:rPr>
        <w:t xml:space="preserve">. </w:t>
      </w:r>
    </w:p>
    <w:p w14:paraId="2C4FBFEB" w14:textId="77777777"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b/>
          <w:bCs/>
        </w:rPr>
        <w:t>Overview of the Disallowable Legislative Instrument</w:t>
      </w:r>
    </w:p>
    <w:p w14:paraId="0A827470" w14:textId="645F01CC"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 xml:space="preserve">The </w:t>
      </w:r>
      <w:r w:rsidRPr="00CA745B">
        <w:rPr>
          <w:rFonts w:ascii="Times New Roman" w:hAnsi="Times New Roman" w:cs="Times New Roman"/>
          <w:i/>
        </w:rPr>
        <w:t>Immigration (Education) Act 1971</w:t>
      </w:r>
      <w:r w:rsidRPr="00CA745B">
        <w:rPr>
          <w:rFonts w:ascii="Times New Roman" w:hAnsi="Times New Roman" w:cs="Times New Roman"/>
        </w:rPr>
        <w:t xml:space="preserve"> (the </w:t>
      </w:r>
      <w:r w:rsidR="00BB3165" w:rsidRPr="0016496E">
        <w:rPr>
          <w:rFonts w:ascii="Times New Roman" w:hAnsi="Times New Roman" w:cs="Times New Roman"/>
        </w:rPr>
        <w:t>Immigration (Education) Act</w:t>
      </w:r>
      <w:r w:rsidRPr="00CA745B">
        <w:rPr>
          <w:rFonts w:ascii="Times New Roman" w:hAnsi="Times New Roman" w:cs="Times New Roman"/>
        </w:rPr>
        <w:t>) provides for publicly-funded tuition in approved English courses to eligible migrants who do not have vocational English. This is delivered through the Australian Government Adult Migrant English Program (</w:t>
      </w:r>
      <w:r w:rsidRPr="00CA745B">
        <w:rPr>
          <w:rFonts w:ascii="Times New Roman" w:hAnsi="Times New Roman" w:cs="Times New Roman"/>
          <w:bCs/>
        </w:rPr>
        <w:t>AMEP</w:t>
      </w:r>
      <w:r w:rsidRPr="00CA745B">
        <w:rPr>
          <w:rFonts w:ascii="Times New Roman" w:hAnsi="Times New Roman" w:cs="Times New Roman"/>
        </w:rPr>
        <w:t xml:space="preserve">). </w:t>
      </w:r>
      <w:r w:rsidR="00A35CDD" w:rsidRPr="006326D7">
        <w:rPr>
          <w:rFonts w:ascii="Times New Roman" w:hAnsi="Times New Roman" w:cs="Times New Roman"/>
        </w:rPr>
        <w:t>The AMEP helps new migrants learn English skills that will assist them to successfully and confidently participate socially and economically in Australian society.</w:t>
      </w:r>
      <w:r w:rsidR="00A35CDD">
        <w:rPr>
          <w:rFonts w:ascii="Times New Roman" w:hAnsi="Times New Roman" w:cs="Times New Roman"/>
        </w:rPr>
        <w:t xml:space="preserve"> </w:t>
      </w:r>
      <w:r w:rsidRPr="00CA745B">
        <w:rPr>
          <w:rFonts w:ascii="Times New Roman" w:hAnsi="Times New Roman" w:cs="Times New Roman"/>
        </w:rPr>
        <w:t>The AMEP is available to all eligible permanent visa holders 18 years of age or over who do not have a vocational level of English language proficiency. Some visa holders aged 15 to 17 may also be eligible</w:t>
      </w:r>
      <w:r w:rsidRPr="00CA745B">
        <w:t xml:space="preserve"> </w:t>
      </w:r>
      <w:r w:rsidRPr="00CA745B">
        <w:rPr>
          <w:rFonts w:ascii="Times New Roman" w:hAnsi="Times New Roman" w:cs="Times New Roman"/>
        </w:rPr>
        <w:t xml:space="preserve">in some locations where intensive English classes in high schools are not available. Access is extended to some temporary visa holders as specified in the legislative instrument for this purpose. </w:t>
      </w:r>
    </w:p>
    <w:p w14:paraId="49B9ACE7" w14:textId="77777777"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 xml:space="preserve">The purpose of this Disallowable Legislative Instrument is to repeal and replace the </w:t>
      </w:r>
      <w:r w:rsidRPr="00CA745B">
        <w:rPr>
          <w:rFonts w:ascii="Times New Roman" w:hAnsi="Times New Roman" w:cs="Times New Roman"/>
          <w:i/>
        </w:rPr>
        <w:t>Immigration (Education) (LIN 19/218: Temporary visa classes for eligibility for English Courses) Instrument 2019</w:t>
      </w:r>
      <w:r w:rsidRPr="00CA745B">
        <w:rPr>
          <w:rFonts w:ascii="Times New Roman" w:hAnsi="Times New Roman" w:cs="Times New Roman"/>
        </w:rPr>
        <w:t xml:space="preserve"> (LIN 19/218) to align with amendments made to the </w:t>
      </w:r>
      <w:r w:rsidR="00BB3165">
        <w:rPr>
          <w:rFonts w:ascii="Times New Roman" w:hAnsi="Times New Roman" w:cs="Times New Roman"/>
        </w:rPr>
        <w:t>Immigration (Education) Act</w:t>
      </w:r>
      <w:r w:rsidRPr="00CA745B">
        <w:rPr>
          <w:rFonts w:ascii="Times New Roman" w:hAnsi="Times New Roman" w:cs="Times New Roman"/>
          <w:i/>
        </w:rPr>
        <w:t xml:space="preserve"> </w:t>
      </w:r>
      <w:r w:rsidRPr="00CA745B">
        <w:rPr>
          <w:rFonts w:ascii="Times New Roman" w:hAnsi="Times New Roman" w:cs="Times New Roman"/>
        </w:rPr>
        <w:t xml:space="preserve">by the </w:t>
      </w:r>
      <w:r w:rsidRPr="00CA745B">
        <w:rPr>
          <w:rFonts w:ascii="Times New Roman" w:hAnsi="Times New Roman" w:cs="Times New Roman"/>
          <w:i/>
        </w:rPr>
        <w:t>Immigration (Education) Amendment (Expanding Access to English Tuition) Act 2020</w:t>
      </w:r>
      <w:r w:rsidRPr="00CA745B">
        <w:rPr>
          <w:rFonts w:ascii="Times New Roman" w:hAnsi="Times New Roman" w:cs="Times New Roman"/>
        </w:rPr>
        <w:t xml:space="preserve">. </w:t>
      </w:r>
    </w:p>
    <w:p w14:paraId="732AE6F1" w14:textId="77777777"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This Disallowable Legislative Instrument</w:t>
      </w:r>
      <w:r w:rsidRPr="00CA745B">
        <w:rPr>
          <w:rFonts w:ascii="Times New Roman" w:hAnsi="Times New Roman" w:cs="Times New Roman"/>
          <w:i/>
        </w:rPr>
        <w:t xml:space="preserve"> </w:t>
      </w:r>
      <w:r w:rsidRPr="00CA745B">
        <w:rPr>
          <w:rFonts w:ascii="Times New Roman" w:hAnsi="Times New Roman" w:cs="Times New Roman"/>
        </w:rPr>
        <w:t xml:space="preserve">aligns with the newly inserted instrument making power in subsection </w:t>
      </w:r>
      <w:proofErr w:type="gramStart"/>
      <w:r w:rsidRPr="00CA745B">
        <w:rPr>
          <w:rFonts w:ascii="Times New Roman" w:hAnsi="Times New Roman" w:cs="Times New Roman"/>
        </w:rPr>
        <w:t>4A(</w:t>
      </w:r>
      <w:proofErr w:type="gramEnd"/>
      <w:r w:rsidRPr="00CA745B">
        <w:rPr>
          <w:rFonts w:ascii="Times New Roman" w:hAnsi="Times New Roman" w:cs="Times New Roman"/>
        </w:rPr>
        <w:t xml:space="preserve">2) of the </w:t>
      </w:r>
      <w:r w:rsidR="00BB3165">
        <w:rPr>
          <w:rFonts w:ascii="Times New Roman" w:hAnsi="Times New Roman" w:cs="Times New Roman"/>
        </w:rPr>
        <w:t>Immigration (Education) Act</w:t>
      </w:r>
      <w:r w:rsidRPr="00CA745B">
        <w:rPr>
          <w:rFonts w:ascii="Times New Roman" w:hAnsi="Times New Roman" w:cs="Times New Roman"/>
        </w:rPr>
        <w:t xml:space="preserve"> whereby the Minister may specify a class of temporary visa for the purposes of subparagraph 4A(1)(a)(ii) of the </w:t>
      </w:r>
      <w:r w:rsidR="00BB3165">
        <w:rPr>
          <w:rFonts w:ascii="Times New Roman" w:hAnsi="Times New Roman" w:cs="Times New Roman"/>
        </w:rPr>
        <w:t>Immigration (Education) Act</w:t>
      </w:r>
      <w:r w:rsidRPr="00CA745B">
        <w:rPr>
          <w:rFonts w:ascii="Times New Roman" w:hAnsi="Times New Roman" w:cs="Times New Roman"/>
        </w:rPr>
        <w:t xml:space="preserve"> to access English courses </w:t>
      </w:r>
      <w:r w:rsidRPr="0016496E">
        <w:rPr>
          <w:rFonts w:ascii="Times New Roman" w:hAnsi="Times New Roman" w:cs="Times New Roman"/>
        </w:rPr>
        <w:t>in</w:t>
      </w:r>
      <w:r w:rsidR="008350A3">
        <w:rPr>
          <w:rFonts w:ascii="Times New Roman" w:hAnsi="Times New Roman" w:cs="Times New Roman"/>
        </w:rPr>
        <w:t>side</w:t>
      </w:r>
      <w:r w:rsidRPr="00CA745B">
        <w:rPr>
          <w:rFonts w:ascii="Times New Roman" w:hAnsi="Times New Roman" w:cs="Times New Roman"/>
          <w:i/>
        </w:rPr>
        <w:t xml:space="preserve"> </w:t>
      </w:r>
      <w:r w:rsidRPr="00CA745B">
        <w:rPr>
          <w:rFonts w:ascii="Times New Roman" w:hAnsi="Times New Roman" w:cs="Times New Roman"/>
        </w:rPr>
        <w:t xml:space="preserve">Australia. The inclusion of an express power reflects modern drafting practices and ensures consistency with other express powers to make legislative instruments in the </w:t>
      </w:r>
      <w:r w:rsidR="00BB3165">
        <w:rPr>
          <w:rFonts w:ascii="Times New Roman" w:hAnsi="Times New Roman" w:cs="Times New Roman"/>
        </w:rPr>
        <w:t>Immigration (Education) Act</w:t>
      </w:r>
      <w:r w:rsidRPr="00CA745B">
        <w:rPr>
          <w:rFonts w:ascii="Times New Roman" w:hAnsi="Times New Roman" w:cs="Times New Roman"/>
        </w:rPr>
        <w:t xml:space="preserve">. </w:t>
      </w:r>
    </w:p>
    <w:p w14:paraId="4FEAA143" w14:textId="77777777"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 xml:space="preserve">This Disallowable Legislative Instrument also aligns with the newly inserted instrument making power in subsection 4(2) of the </w:t>
      </w:r>
      <w:r w:rsidR="00BB3165">
        <w:rPr>
          <w:rFonts w:ascii="Times New Roman" w:hAnsi="Times New Roman" w:cs="Times New Roman"/>
        </w:rPr>
        <w:t>Immigration (Education) Act</w:t>
      </w:r>
      <w:r w:rsidRPr="00CA745B">
        <w:rPr>
          <w:rFonts w:ascii="Times New Roman" w:hAnsi="Times New Roman" w:cs="Times New Roman"/>
        </w:rPr>
        <w:t xml:space="preserve"> which empowers the Minister to specify a class of temporary visa for the purposes of subparagraph 4(1</w:t>
      </w:r>
      <w:proofErr w:type="gramStart"/>
      <w:r w:rsidRPr="00CA745B">
        <w:rPr>
          <w:rFonts w:ascii="Times New Roman" w:hAnsi="Times New Roman" w:cs="Times New Roman"/>
        </w:rPr>
        <w:t>)(</w:t>
      </w:r>
      <w:proofErr w:type="gramEnd"/>
      <w:r w:rsidRPr="00CA745B">
        <w:rPr>
          <w:rFonts w:ascii="Times New Roman" w:hAnsi="Times New Roman" w:cs="Times New Roman"/>
        </w:rPr>
        <w:t xml:space="preserve">b)(ii) of the </w:t>
      </w:r>
      <w:r w:rsidR="00BB3165">
        <w:rPr>
          <w:rFonts w:ascii="Times New Roman" w:hAnsi="Times New Roman" w:cs="Times New Roman"/>
        </w:rPr>
        <w:t>Immigration (Education) Act</w:t>
      </w:r>
      <w:r w:rsidRPr="00CA745B">
        <w:rPr>
          <w:rFonts w:ascii="Times New Roman" w:hAnsi="Times New Roman" w:cs="Times New Roman"/>
        </w:rPr>
        <w:t xml:space="preserve"> to access English courses </w:t>
      </w:r>
      <w:r w:rsidRPr="0016496E">
        <w:rPr>
          <w:rFonts w:ascii="Times New Roman" w:hAnsi="Times New Roman" w:cs="Times New Roman"/>
        </w:rPr>
        <w:t>outside</w:t>
      </w:r>
      <w:r w:rsidRPr="00CA745B">
        <w:rPr>
          <w:rFonts w:ascii="Times New Roman" w:hAnsi="Times New Roman" w:cs="Times New Roman"/>
        </w:rPr>
        <w:t xml:space="preserve"> Australia.</w:t>
      </w:r>
      <w:r w:rsidRPr="00CA745B" w:rsidDel="00367961">
        <w:rPr>
          <w:rFonts w:ascii="Times New Roman" w:hAnsi="Times New Roman" w:cs="Times New Roman"/>
        </w:rPr>
        <w:t xml:space="preserve"> </w:t>
      </w:r>
    </w:p>
    <w:p w14:paraId="3EAF60E3" w14:textId="70D64A81" w:rsidR="00A156CF" w:rsidRDefault="00C35649" w:rsidP="00404BA6">
      <w:pPr>
        <w:spacing w:line="276" w:lineRule="auto"/>
        <w:rPr>
          <w:rFonts w:ascii="Times New Roman" w:hAnsi="Times New Roman" w:cs="Times New Roman"/>
        </w:rPr>
      </w:pPr>
      <w:r w:rsidRPr="00CA745B">
        <w:rPr>
          <w:rFonts w:ascii="Times New Roman" w:hAnsi="Times New Roman" w:cs="Times New Roman"/>
        </w:rPr>
        <w:t xml:space="preserve">The effect of this Disallowable Legislative Instrument is </w:t>
      </w:r>
      <w:r w:rsidR="00184C45">
        <w:rPr>
          <w:rFonts w:ascii="Times New Roman" w:hAnsi="Times New Roman" w:cs="Times New Roman"/>
        </w:rPr>
        <w:t xml:space="preserve">also </w:t>
      </w:r>
      <w:r w:rsidRPr="00CA745B">
        <w:rPr>
          <w:rFonts w:ascii="Times New Roman" w:hAnsi="Times New Roman" w:cs="Times New Roman"/>
        </w:rPr>
        <w:t>to update the existing list of temporary visas eligible for English tuition under the AMEP as specified by LIN 19/218</w:t>
      </w:r>
      <w:r w:rsidR="008350A3">
        <w:rPr>
          <w:rFonts w:ascii="Times New Roman" w:hAnsi="Times New Roman" w:cs="Times New Roman"/>
        </w:rPr>
        <w:t>,</w:t>
      </w:r>
      <w:r w:rsidRPr="00CA745B">
        <w:rPr>
          <w:rFonts w:ascii="Times New Roman" w:hAnsi="Times New Roman" w:cs="Times New Roman"/>
        </w:rPr>
        <w:t xml:space="preserve"> which this Instrument is repealing and replacing. </w:t>
      </w:r>
      <w:r w:rsidR="009479BE">
        <w:rPr>
          <w:rFonts w:ascii="Times New Roman" w:hAnsi="Times New Roman" w:cs="Times New Roman"/>
        </w:rPr>
        <w:t xml:space="preserve">All the temporary visas which were specified by LIN19/218 are specified in this Instrument </w:t>
      </w:r>
      <w:r w:rsidR="00A156CF">
        <w:rPr>
          <w:rFonts w:ascii="Times New Roman" w:hAnsi="Times New Roman" w:cs="Times New Roman"/>
        </w:rPr>
        <w:t>and the eligibility for English tuition under the AMEP of those visa holders will not be affected. This Instrument will also make the following two changes compared to the previous list in LIN19/218:</w:t>
      </w:r>
      <w:r w:rsidR="009479BE">
        <w:rPr>
          <w:rFonts w:ascii="Times New Roman" w:hAnsi="Times New Roman" w:cs="Times New Roman"/>
        </w:rPr>
        <w:t xml:space="preserve">  </w:t>
      </w:r>
    </w:p>
    <w:p w14:paraId="0C6D1CAE" w14:textId="474020F3" w:rsidR="00A156CF" w:rsidRPr="00F977AA" w:rsidRDefault="00C35649" w:rsidP="00404BA6">
      <w:pPr>
        <w:pStyle w:val="ESSubparaList"/>
        <w:numPr>
          <w:ilvl w:val="0"/>
          <w:numId w:val="4"/>
        </w:numPr>
        <w:ind w:left="1276" w:hanging="425"/>
      </w:pPr>
      <w:r w:rsidRPr="00F977AA">
        <w:t>It remove</w:t>
      </w:r>
      <w:r w:rsidR="00A156CF" w:rsidRPr="00F977AA">
        <w:t>s</w:t>
      </w:r>
      <w:r w:rsidRPr="00F977AA">
        <w:t xml:space="preserve"> the permanent Subclass 139 (Skilled Designated Area Sponsored) visa. This change does not affect the eligibility of Subclass 139 (Skilled Designated Area Sponsored) visa holders for English tuition under the AMEP as all permanent visa holders, including Subclass 139 visa holders, are eligible for this tuition by virtue of being permanent visa holders and do not need to be specified in this instrument</w:t>
      </w:r>
      <w:r w:rsidR="008350A3" w:rsidRPr="00F977AA">
        <w:t>.</w:t>
      </w:r>
      <w:r w:rsidRPr="00F977AA">
        <w:t xml:space="preserve">  </w:t>
      </w:r>
    </w:p>
    <w:p w14:paraId="77396EF6" w14:textId="26FA0A13" w:rsidR="00C35649" w:rsidRPr="00F977AA" w:rsidRDefault="00C35649" w:rsidP="00404BA6">
      <w:pPr>
        <w:pStyle w:val="ESSubparaList"/>
        <w:numPr>
          <w:ilvl w:val="0"/>
          <w:numId w:val="4"/>
        </w:numPr>
        <w:ind w:left="1276" w:hanging="425"/>
      </w:pPr>
      <w:r w:rsidRPr="00F977AA">
        <w:lastRenderedPageBreak/>
        <w:t>It add</w:t>
      </w:r>
      <w:r w:rsidR="00A156CF" w:rsidRPr="00F977AA">
        <w:t>s</w:t>
      </w:r>
      <w:r w:rsidRPr="00F977AA">
        <w:t xml:space="preserve"> one new temporary visa subclass </w:t>
      </w:r>
      <w:r w:rsidR="00DE30FC">
        <w:t>so</w:t>
      </w:r>
      <w:r w:rsidRPr="00F977AA">
        <w:t xml:space="preserve"> that holders of the subclass 445 (Dependent child) </w:t>
      </w:r>
      <w:r w:rsidR="00FB32B3">
        <w:t xml:space="preserve">visa </w:t>
      </w:r>
      <w:r w:rsidRPr="00F977AA">
        <w:t xml:space="preserve">are eligible for approved English tuition through AMEP. This is consistent with the rationale for inclusion of the </w:t>
      </w:r>
      <w:r w:rsidR="00CB5F66">
        <w:t xml:space="preserve">Subclass 309 </w:t>
      </w:r>
      <w:r w:rsidR="00284AAE">
        <w:t>(</w:t>
      </w:r>
      <w:r w:rsidRPr="00F977AA">
        <w:t>Partner (Provisional)</w:t>
      </w:r>
      <w:r w:rsidR="00284AAE">
        <w:t>)</w:t>
      </w:r>
      <w:r w:rsidRPr="00F977AA">
        <w:t xml:space="preserve"> visa and </w:t>
      </w:r>
      <w:r w:rsidR="00CB5F66">
        <w:t xml:space="preserve">Subclass 820 </w:t>
      </w:r>
      <w:r w:rsidR="00284AAE">
        <w:t>(</w:t>
      </w:r>
      <w:r w:rsidRPr="00F977AA">
        <w:t>Partner</w:t>
      </w:r>
      <w:r w:rsidR="00284AAE">
        <w:t>)</w:t>
      </w:r>
      <w:r w:rsidRPr="00F977AA">
        <w:t xml:space="preserve"> visa</w:t>
      </w:r>
      <w:r w:rsidR="00284AAE">
        <w:t xml:space="preserve"> in both this Instrument and in LIN19/218 which it is replacing</w:t>
      </w:r>
      <w:r w:rsidR="00184C45">
        <w:t>,</w:t>
      </w:r>
      <w:r w:rsidR="00284AAE">
        <w:t xml:space="preserve"> </w:t>
      </w:r>
      <w:r w:rsidRPr="00F977AA">
        <w:t xml:space="preserve">because a Subclass 445 visa is granted to a child dependent on a parent who holds either </w:t>
      </w:r>
      <w:r w:rsidR="00184C45">
        <w:t xml:space="preserve">a </w:t>
      </w:r>
      <w:r w:rsidRPr="00F977AA">
        <w:t>Subclass 309 or a Subclass 820 visa</w:t>
      </w:r>
      <w:r w:rsidR="00CB5F66">
        <w:t xml:space="preserve">. Further, </w:t>
      </w:r>
      <w:r w:rsidR="001702B0">
        <w:t xml:space="preserve">like Subclass 309 and 820 visa holders, </w:t>
      </w:r>
      <w:r w:rsidRPr="00F977AA">
        <w:t>Subclass 445 visa holders ultimately have a pathway to a permanent visa and all permanent visa holders are eligible for AMEP.</w:t>
      </w:r>
    </w:p>
    <w:p w14:paraId="788EEC05" w14:textId="77777777"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b/>
          <w:bCs/>
        </w:rPr>
        <w:t xml:space="preserve">Human rights implications </w:t>
      </w:r>
    </w:p>
    <w:p w14:paraId="3930A6E0" w14:textId="65915DD2" w:rsidR="00C35649" w:rsidRPr="00F977AA" w:rsidRDefault="00C35649" w:rsidP="00404BA6">
      <w:pPr>
        <w:spacing w:line="276" w:lineRule="auto"/>
        <w:rPr>
          <w:rFonts w:ascii="Times New Roman" w:hAnsi="Times New Roman" w:cs="Times New Roman"/>
          <w:i/>
        </w:rPr>
      </w:pPr>
      <w:r w:rsidRPr="00F977AA">
        <w:rPr>
          <w:rFonts w:ascii="Times New Roman" w:hAnsi="Times New Roman" w:cs="Times New Roman"/>
          <w:i/>
        </w:rPr>
        <w:t>Right to Education</w:t>
      </w:r>
    </w:p>
    <w:p w14:paraId="1A7EB58C" w14:textId="195F602F"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 xml:space="preserve">This </w:t>
      </w:r>
      <w:r w:rsidR="00333865" w:rsidRPr="00CA745B">
        <w:rPr>
          <w:rFonts w:ascii="Times New Roman" w:hAnsi="Times New Roman" w:cs="Times New Roman"/>
        </w:rPr>
        <w:t xml:space="preserve">Disallowable Legislative </w:t>
      </w:r>
      <w:r w:rsidRPr="00CA745B">
        <w:rPr>
          <w:rFonts w:ascii="Times New Roman" w:hAnsi="Times New Roman" w:cs="Times New Roman"/>
        </w:rPr>
        <w:t xml:space="preserve">Instrument specifies, for the purposes of </w:t>
      </w:r>
      <w:r w:rsidR="00E568A3" w:rsidRPr="00E568A3">
        <w:rPr>
          <w:rFonts w:ascii="Times New Roman" w:hAnsi="Times New Roman" w:cs="Times New Roman"/>
        </w:rPr>
        <w:t>subparagraph 4A(1)(a)(ii)</w:t>
      </w:r>
      <w:r w:rsidR="00E568A3">
        <w:rPr>
          <w:rFonts w:ascii="Times New Roman" w:hAnsi="Times New Roman" w:cs="Times New Roman"/>
        </w:rPr>
        <w:t xml:space="preserve"> </w:t>
      </w:r>
      <w:r w:rsidRPr="00CA745B">
        <w:rPr>
          <w:rFonts w:ascii="Times New Roman" w:hAnsi="Times New Roman" w:cs="Times New Roman"/>
        </w:rPr>
        <w:t xml:space="preserve">of the </w:t>
      </w:r>
      <w:r w:rsidR="00BB3165">
        <w:rPr>
          <w:rFonts w:ascii="Times New Roman" w:hAnsi="Times New Roman" w:cs="Times New Roman"/>
        </w:rPr>
        <w:t>Immigration (Education) Act</w:t>
      </w:r>
      <w:r w:rsidRPr="00CA745B">
        <w:rPr>
          <w:rFonts w:ascii="Times New Roman" w:hAnsi="Times New Roman" w:cs="Times New Roman"/>
        </w:rPr>
        <w:t xml:space="preserve">, the particular classes and subclasses of temporary visas which enable the holders of these visas to be among those eligible for English language tuition arranged and funded by the Australian Government. </w:t>
      </w:r>
    </w:p>
    <w:p w14:paraId="0A076AFE" w14:textId="52AEE904"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 xml:space="preserve">This </w:t>
      </w:r>
      <w:r w:rsidR="00333865" w:rsidRPr="00CA745B">
        <w:rPr>
          <w:rFonts w:ascii="Times New Roman" w:hAnsi="Times New Roman" w:cs="Times New Roman"/>
        </w:rPr>
        <w:t xml:space="preserve">Disallowable Legislative </w:t>
      </w:r>
      <w:r w:rsidRPr="00CA745B">
        <w:rPr>
          <w:rFonts w:ascii="Times New Roman" w:hAnsi="Times New Roman" w:cs="Times New Roman"/>
        </w:rPr>
        <w:t xml:space="preserve">Instrument promotes the right to education in Article 13 of </w:t>
      </w:r>
      <w:r w:rsidRPr="00F977AA">
        <w:rPr>
          <w:rFonts w:ascii="Times New Roman" w:hAnsi="Times New Roman" w:cs="Times New Roman"/>
          <w:i/>
        </w:rPr>
        <w:t>the International Covenant on Economic, Social and Cultural Rights</w:t>
      </w:r>
      <w:r w:rsidRPr="00CA745B">
        <w:rPr>
          <w:rFonts w:ascii="Times New Roman" w:hAnsi="Times New Roman" w:cs="Times New Roman"/>
        </w:rPr>
        <w:t xml:space="preserve"> by providing access to government-funded English language education to eligible </w:t>
      </w:r>
      <w:r w:rsidR="007B684A">
        <w:rPr>
          <w:rFonts w:ascii="Times New Roman" w:hAnsi="Times New Roman" w:cs="Times New Roman"/>
        </w:rPr>
        <w:t>visa holders</w:t>
      </w:r>
      <w:r w:rsidRPr="00CA745B">
        <w:rPr>
          <w:rFonts w:ascii="Times New Roman" w:hAnsi="Times New Roman" w:cs="Times New Roman"/>
        </w:rPr>
        <w:t>, in particular to the holders of the one new visa subclass that is being added as a result of the instrument being updated.</w:t>
      </w:r>
    </w:p>
    <w:p w14:paraId="59A04F6A" w14:textId="77777777"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b/>
          <w:bCs/>
        </w:rPr>
        <w:t xml:space="preserve">Conclusion </w:t>
      </w:r>
    </w:p>
    <w:p w14:paraId="761377BC" w14:textId="1B2E25DB" w:rsidR="00C35649" w:rsidRPr="00CA745B" w:rsidRDefault="00C35649" w:rsidP="00404BA6">
      <w:pPr>
        <w:spacing w:line="276" w:lineRule="auto"/>
        <w:rPr>
          <w:rFonts w:ascii="Times New Roman" w:hAnsi="Times New Roman" w:cs="Times New Roman"/>
        </w:rPr>
      </w:pPr>
      <w:r w:rsidRPr="00CA745B">
        <w:rPr>
          <w:rFonts w:ascii="Times New Roman" w:hAnsi="Times New Roman" w:cs="Times New Roman"/>
        </w:rPr>
        <w:t>The Disallowable Legislative Instrument is compatible with human rights.</w:t>
      </w:r>
    </w:p>
    <w:p w14:paraId="63E56C84" w14:textId="05A94260" w:rsidR="00915032" w:rsidRPr="00F977AA" w:rsidRDefault="00E568A3" w:rsidP="00404BA6">
      <w:pPr>
        <w:spacing w:line="276" w:lineRule="auto"/>
        <w:jc w:val="center"/>
        <w:rPr>
          <w:rFonts w:ascii="Times New Roman" w:hAnsi="Times New Roman" w:cs="Times New Roman"/>
          <w:b/>
        </w:rPr>
      </w:pPr>
      <w:r>
        <w:rPr>
          <w:rFonts w:ascii="Times New Roman" w:hAnsi="Times New Roman" w:cs="Times New Roman"/>
          <w:b/>
        </w:rPr>
        <w:t xml:space="preserve">Alex Hawke, </w:t>
      </w:r>
      <w:r w:rsidRPr="00E568A3">
        <w:rPr>
          <w:rFonts w:ascii="Times New Roman" w:hAnsi="Times New Roman" w:cs="Times New Roman"/>
          <w:b/>
        </w:rPr>
        <w:t>Minister for Immigration, Citizenship, Migrant Services and Multicultural Affairs</w:t>
      </w:r>
    </w:p>
    <w:p w14:paraId="5332ABA1" w14:textId="77777777" w:rsidR="00BB4FDC" w:rsidRPr="00CA745B" w:rsidRDefault="00BB4FDC" w:rsidP="00404BA6">
      <w:pPr>
        <w:spacing w:line="276" w:lineRule="auto"/>
        <w:rPr>
          <w:rFonts w:ascii="Times New Roman" w:hAnsi="Times New Roman" w:cs="Times New Roman"/>
        </w:rPr>
      </w:pPr>
    </w:p>
    <w:sectPr w:rsidR="00BB4FDC" w:rsidRPr="00CA745B" w:rsidSect="00404BA6">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49EE" w14:textId="77777777" w:rsidR="00D02FF9" w:rsidRDefault="00D02FF9" w:rsidP="000538A6">
      <w:pPr>
        <w:spacing w:after="0" w:line="240" w:lineRule="auto"/>
      </w:pPr>
      <w:r>
        <w:separator/>
      </w:r>
    </w:p>
  </w:endnote>
  <w:endnote w:type="continuationSeparator" w:id="0">
    <w:p w14:paraId="31E153EA" w14:textId="77777777" w:rsidR="00D02FF9" w:rsidRDefault="00D02FF9" w:rsidP="0005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0E2E" w14:textId="4CE7C1B1" w:rsidR="000538A6" w:rsidRPr="00404BA6" w:rsidRDefault="00404BA6" w:rsidP="00404BA6">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3C7114">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0C11" w14:textId="77777777" w:rsidR="00D02FF9" w:rsidRDefault="00D02FF9" w:rsidP="000538A6">
      <w:pPr>
        <w:spacing w:after="0" w:line="240" w:lineRule="auto"/>
      </w:pPr>
      <w:r>
        <w:separator/>
      </w:r>
    </w:p>
  </w:footnote>
  <w:footnote w:type="continuationSeparator" w:id="0">
    <w:p w14:paraId="64A59463" w14:textId="77777777" w:rsidR="00D02FF9" w:rsidRDefault="00D02FF9" w:rsidP="0005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2DC5"/>
    <w:multiLevelType w:val="hybridMultilevel"/>
    <w:tmpl w:val="50263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197984"/>
    <w:multiLevelType w:val="hybridMultilevel"/>
    <w:tmpl w:val="4122298A"/>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367A1D0E"/>
    <w:multiLevelType w:val="hybridMultilevel"/>
    <w:tmpl w:val="CD5AB112"/>
    <w:lvl w:ilvl="0" w:tplc="CAC6BD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3AE532A9"/>
    <w:multiLevelType w:val="hybridMultilevel"/>
    <w:tmpl w:val="6120861C"/>
    <w:lvl w:ilvl="0" w:tplc="1B167EC8">
      <w:start w:val="1"/>
      <w:numFmt w:val="decimal"/>
      <w:lvlText w:val="%1"/>
      <w:lvlJc w:val="left"/>
      <w:pPr>
        <w:ind w:left="720" w:hanging="360"/>
      </w:pPr>
      <w:rPr>
        <w:rFonts w:hint="default"/>
        <w:b w:val="0"/>
        <w:i w:val="0"/>
      </w:rPr>
    </w:lvl>
    <w:lvl w:ilvl="1" w:tplc="0C090019">
      <w:start w:val="1"/>
      <w:numFmt w:val="lowerLetter"/>
      <w:pStyle w:val="ESSubparaList"/>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B22CF"/>
    <w:multiLevelType w:val="hybridMultilevel"/>
    <w:tmpl w:val="A35811AA"/>
    <w:lvl w:ilvl="0" w:tplc="C1545C0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B34839"/>
    <w:multiLevelType w:val="hybridMultilevel"/>
    <w:tmpl w:val="F266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3"/>
  </w:num>
  <w:num w:numId="7">
    <w:abstractNumId w:val="3"/>
  </w:num>
  <w:num w:numId="8">
    <w:abstractNumId w:val="3"/>
  </w:num>
  <w:num w:numId="9">
    <w:abstractNumId w:val="3"/>
  </w:num>
  <w:num w:numId="10">
    <w:abstractNumId w:val="0"/>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59"/>
    <w:rsid w:val="000222FC"/>
    <w:rsid w:val="00032B59"/>
    <w:rsid w:val="00033B78"/>
    <w:rsid w:val="000347C0"/>
    <w:rsid w:val="00036671"/>
    <w:rsid w:val="000538A6"/>
    <w:rsid w:val="00053FB4"/>
    <w:rsid w:val="000556EB"/>
    <w:rsid w:val="000620FB"/>
    <w:rsid w:val="0006351A"/>
    <w:rsid w:val="000D014F"/>
    <w:rsid w:val="000D04AA"/>
    <w:rsid w:val="000E1EE1"/>
    <w:rsid w:val="000E3F2C"/>
    <w:rsid w:val="000F3BCA"/>
    <w:rsid w:val="0016496E"/>
    <w:rsid w:val="001702B0"/>
    <w:rsid w:val="00181583"/>
    <w:rsid w:val="0018163B"/>
    <w:rsid w:val="00184C45"/>
    <w:rsid w:val="00184EAF"/>
    <w:rsid w:val="0019164E"/>
    <w:rsid w:val="001C0650"/>
    <w:rsid w:val="001D798C"/>
    <w:rsid w:val="001E5E0F"/>
    <w:rsid w:val="001F5781"/>
    <w:rsid w:val="00200EAA"/>
    <w:rsid w:val="00204851"/>
    <w:rsid w:val="00215617"/>
    <w:rsid w:val="00233838"/>
    <w:rsid w:val="002402E0"/>
    <w:rsid w:val="00244624"/>
    <w:rsid w:val="00274358"/>
    <w:rsid w:val="00276506"/>
    <w:rsid w:val="00284AAE"/>
    <w:rsid w:val="002A032C"/>
    <w:rsid w:val="002B3632"/>
    <w:rsid w:val="002F4308"/>
    <w:rsid w:val="002F567D"/>
    <w:rsid w:val="002F79B9"/>
    <w:rsid w:val="003063CF"/>
    <w:rsid w:val="00307722"/>
    <w:rsid w:val="00312217"/>
    <w:rsid w:val="00316441"/>
    <w:rsid w:val="00333865"/>
    <w:rsid w:val="003952A3"/>
    <w:rsid w:val="003972DF"/>
    <w:rsid w:val="003A2A42"/>
    <w:rsid w:val="003A573F"/>
    <w:rsid w:val="003C0B35"/>
    <w:rsid w:val="003C4AF7"/>
    <w:rsid w:val="003C7114"/>
    <w:rsid w:val="003D4DA1"/>
    <w:rsid w:val="003D7557"/>
    <w:rsid w:val="003E5C81"/>
    <w:rsid w:val="004000DF"/>
    <w:rsid w:val="00404BA6"/>
    <w:rsid w:val="0040607E"/>
    <w:rsid w:val="00422A8A"/>
    <w:rsid w:val="004368FB"/>
    <w:rsid w:val="00447A85"/>
    <w:rsid w:val="00457D4A"/>
    <w:rsid w:val="00464080"/>
    <w:rsid w:val="00490022"/>
    <w:rsid w:val="004C3D1E"/>
    <w:rsid w:val="004D5666"/>
    <w:rsid w:val="004E3BF8"/>
    <w:rsid w:val="004E5D15"/>
    <w:rsid w:val="004F5CE4"/>
    <w:rsid w:val="004F63E8"/>
    <w:rsid w:val="00512BC4"/>
    <w:rsid w:val="00536CF9"/>
    <w:rsid w:val="0054578F"/>
    <w:rsid w:val="0055137D"/>
    <w:rsid w:val="00560B24"/>
    <w:rsid w:val="00566785"/>
    <w:rsid w:val="0057002B"/>
    <w:rsid w:val="005A40FA"/>
    <w:rsid w:val="005B27C6"/>
    <w:rsid w:val="005D0872"/>
    <w:rsid w:val="005D619E"/>
    <w:rsid w:val="005F5AD0"/>
    <w:rsid w:val="00611B8F"/>
    <w:rsid w:val="00616C84"/>
    <w:rsid w:val="0062226C"/>
    <w:rsid w:val="0062226F"/>
    <w:rsid w:val="00631529"/>
    <w:rsid w:val="006336BB"/>
    <w:rsid w:val="006668DF"/>
    <w:rsid w:val="00673668"/>
    <w:rsid w:val="00676F4B"/>
    <w:rsid w:val="006A1B19"/>
    <w:rsid w:val="006A4F07"/>
    <w:rsid w:val="006A67D2"/>
    <w:rsid w:val="006C19E7"/>
    <w:rsid w:val="006E31E1"/>
    <w:rsid w:val="00721817"/>
    <w:rsid w:val="0072498C"/>
    <w:rsid w:val="00740AA7"/>
    <w:rsid w:val="00746474"/>
    <w:rsid w:val="007522EE"/>
    <w:rsid w:val="007830AD"/>
    <w:rsid w:val="00795926"/>
    <w:rsid w:val="007A6921"/>
    <w:rsid w:val="007B37D3"/>
    <w:rsid w:val="007B559A"/>
    <w:rsid w:val="007B684A"/>
    <w:rsid w:val="007C3B62"/>
    <w:rsid w:val="007C497C"/>
    <w:rsid w:val="007D0975"/>
    <w:rsid w:val="007D4AF0"/>
    <w:rsid w:val="007E083C"/>
    <w:rsid w:val="007E4691"/>
    <w:rsid w:val="007F6C43"/>
    <w:rsid w:val="00802329"/>
    <w:rsid w:val="00811875"/>
    <w:rsid w:val="00812466"/>
    <w:rsid w:val="008350A3"/>
    <w:rsid w:val="00861A86"/>
    <w:rsid w:val="008721CF"/>
    <w:rsid w:val="0088407D"/>
    <w:rsid w:val="008924D4"/>
    <w:rsid w:val="008B24C8"/>
    <w:rsid w:val="008C4B99"/>
    <w:rsid w:val="008C6E24"/>
    <w:rsid w:val="008E792A"/>
    <w:rsid w:val="00915032"/>
    <w:rsid w:val="0092032C"/>
    <w:rsid w:val="009227E4"/>
    <w:rsid w:val="00930F3C"/>
    <w:rsid w:val="0094099E"/>
    <w:rsid w:val="0094574A"/>
    <w:rsid w:val="009479BE"/>
    <w:rsid w:val="0095262E"/>
    <w:rsid w:val="00955D54"/>
    <w:rsid w:val="00956440"/>
    <w:rsid w:val="00982B18"/>
    <w:rsid w:val="009A347A"/>
    <w:rsid w:val="009C5488"/>
    <w:rsid w:val="009C74A1"/>
    <w:rsid w:val="009E0767"/>
    <w:rsid w:val="009E6CCC"/>
    <w:rsid w:val="009F480B"/>
    <w:rsid w:val="00A04874"/>
    <w:rsid w:val="00A104AB"/>
    <w:rsid w:val="00A107A6"/>
    <w:rsid w:val="00A156CF"/>
    <w:rsid w:val="00A27C9B"/>
    <w:rsid w:val="00A32721"/>
    <w:rsid w:val="00A35CDD"/>
    <w:rsid w:val="00A54083"/>
    <w:rsid w:val="00A726DF"/>
    <w:rsid w:val="00A76155"/>
    <w:rsid w:val="00A97281"/>
    <w:rsid w:val="00AA4557"/>
    <w:rsid w:val="00AC66F9"/>
    <w:rsid w:val="00B12A82"/>
    <w:rsid w:val="00B2396E"/>
    <w:rsid w:val="00B2557F"/>
    <w:rsid w:val="00B33ACD"/>
    <w:rsid w:val="00B445D9"/>
    <w:rsid w:val="00B50A3C"/>
    <w:rsid w:val="00B737F4"/>
    <w:rsid w:val="00B75478"/>
    <w:rsid w:val="00B919C7"/>
    <w:rsid w:val="00B930D1"/>
    <w:rsid w:val="00B945B9"/>
    <w:rsid w:val="00BB3165"/>
    <w:rsid w:val="00BB4FDC"/>
    <w:rsid w:val="00BC463E"/>
    <w:rsid w:val="00BD598E"/>
    <w:rsid w:val="00BF214F"/>
    <w:rsid w:val="00BF56A9"/>
    <w:rsid w:val="00C22050"/>
    <w:rsid w:val="00C25087"/>
    <w:rsid w:val="00C27F71"/>
    <w:rsid w:val="00C334AF"/>
    <w:rsid w:val="00C35649"/>
    <w:rsid w:val="00C77B68"/>
    <w:rsid w:val="00C930F2"/>
    <w:rsid w:val="00CA745B"/>
    <w:rsid w:val="00CB5AD1"/>
    <w:rsid w:val="00CB5F45"/>
    <w:rsid w:val="00CB5F66"/>
    <w:rsid w:val="00CD2540"/>
    <w:rsid w:val="00CD773C"/>
    <w:rsid w:val="00CE67A2"/>
    <w:rsid w:val="00D02FF9"/>
    <w:rsid w:val="00D03CED"/>
    <w:rsid w:val="00D35F2D"/>
    <w:rsid w:val="00D72DE1"/>
    <w:rsid w:val="00D91EFB"/>
    <w:rsid w:val="00DA061D"/>
    <w:rsid w:val="00DB4CA8"/>
    <w:rsid w:val="00DC13E2"/>
    <w:rsid w:val="00DC4751"/>
    <w:rsid w:val="00DE30FC"/>
    <w:rsid w:val="00DF6EBC"/>
    <w:rsid w:val="00E035CD"/>
    <w:rsid w:val="00E03DCC"/>
    <w:rsid w:val="00E04438"/>
    <w:rsid w:val="00E116EC"/>
    <w:rsid w:val="00E13462"/>
    <w:rsid w:val="00E32753"/>
    <w:rsid w:val="00E4246F"/>
    <w:rsid w:val="00E568A3"/>
    <w:rsid w:val="00E57671"/>
    <w:rsid w:val="00E74583"/>
    <w:rsid w:val="00E815BD"/>
    <w:rsid w:val="00E83F31"/>
    <w:rsid w:val="00E93C0F"/>
    <w:rsid w:val="00EA12C9"/>
    <w:rsid w:val="00EC17AF"/>
    <w:rsid w:val="00ED2C02"/>
    <w:rsid w:val="00ED6259"/>
    <w:rsid w:val="00EE6C37"/>
    <w:rsid w:val="00EF6F44"/>
    <w:rsid w:val="00F071C9"/>
    <w:rsid w:val="00F15D4D"/>
    <w:rsid w:val="00F20F4C"/>
    <w:rsid w:val="00F24647"/>
    <w:rsid w:val="00F61190"/>
    <w:rsid w:val="00F66F4E"/>
    <w:rsid w:val="00F744E9"/>
    <w:rsid w:val="00F81BE8"/>
    <w:rsid w:val="00F83628"/>
    <w:rsid w:val="00F92BC3"/>
    <w:rsid w:val="00F977AA"/>
    <w:rsid w:val="00FB2FF6"/>
    <w:rsid w:val="00FB32B3"/>
    <w:rsid w:val="00FB5DC9"/>
    <w:rsid w:val="00FB74CF"/>
    <w:rsid w:val="00FE0F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BBD8A"/>
  <w15:chartTrackingRefBased/>
  <w15:docId w15:val="{E30C791D-495D-45DB-A557-4BE70A41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2B"/>
    <w:pPr>
      <w:ind w:left="720"/>
      <w:contextualSpacing/>
    </w:pPr>
  </w:style>
  <w:style w:type="character" w:styleId="CommentReference">
    <w:name w:val="annotation reference"/>
    <w:basedOn w:val="DefaultParagraphFont"/>
    <w:uiPriority w:val="99"/>
    <w:semiHidden/>
    <w:unhideWhenUsed/>
    <w:rsid w:val="003063CF"/>
    <w:rPr>
      <w:sz w:val="16"/>
      <w:szCs w:val="16"/>
    </w:rPr>
  </w:style>
  <w:style w:type="paragraph" w:styleId="CommentText">
    <w:name w:val="annotation text"/>
    <w:basedOn w:val="Normal"/>
    <w:link w:val="CommentTextChar"/>
    <w:uiPriority w:val="99"/>
    <w:unhideWhenUsed/>
    <w:rsid w:val="003063CF"/>
    <w:pPr>
      <w:spacing w:line="240" w:lineRule="auto"/>
    </w:pPr>
    <w:rPr>
      <w:sz w:val="20"/>
      <w:szCs w:val="20"/>
    </w:rPr>
  </w:style>
  <w:style w:type="character" w:customStyle="1" w:styleId="CommentTextChar">
    <w:name w:val="Comment Text Char"/>
    <w:basedOn w:val="DefaultParagraphFont"/>
    <w:link w:val="CommentText"/>
    <w:uiPriority w:val="99"/>
    <w:rsid w:val="003063CF"/>
    <w:rPr>
      <w:sz w:val="20"/>
      <w:szCs w:val="20"/>
    </w:rPr>
  </w:style>
  <w:style w:type="paragraph" w:styleId="CommentSubject">
    <w:name w:val="annotation subject"/>
    <w:basedOn w:val="CommentText"/>
    <w:next w:val="CommentText"/>
    <w:link w:val="CommentSubjectChar"/>
    <w:uiPriority w:val="99"/>
    <w:semiHidden/>
    <w:unhideWhenUsed/>
    <w:rsid w:val="003063CF"/>
    <w:rPr>
      <w:b/>
      <w:bCs/>
    </w:rPr>
  </w:style>
  <w:style w:type="character" w:customStyle="1" w:styleId="CommentSubjectChar">
    <w:name w:val="Comment Subject Char"/>
    <w:basedOn w:val="CommentTextChar"/>
    <w:link w:val="CommentSubject"/>
    <w:uiPriority w:val="99"/>
    <w:semiHidden/>
    <w:rsid w:val="003063CF"/>
    <w:rPr>
      <w:b/>
      <w:bCs/>
      <w:sz w:val="20"/>
      <w:szCs w:val="20"/>
    </w:rPr>
  </w:style>
  <w:style w:type="paragraph" w:styleId="BalloonText">
    <w:name w:val="Balloon Text"/>
    <w:basedOn w:val="Normal"/>
    <w:link w:val="BalloonTextChar"/>
    <w:uiPriority w:val="99"/>
    <w:semiHidden/>
    <w:unhideWhenUsed/>
    <w:rsid w:val="00306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CF"/>
    <w:rPr>
      <w:rFonts w:ascii="Segoe UI" w:hAnsi="Segoe UI" w:cs="Segoe UI"/>
      <w:sz w:val="18"/>
      <w:szCs w:val="18"/>
    </w:rPr>
  </w:style>
  <w:style w:type="paragraph" w:styleId="Header">
    <w:name w:val="header"/>
    <w:basedOn w:val="Normal"/>
    <w:link w:val="HeaderChar"/>
    <w:uiPriority w:val="99"/>
    <w:unhideWhenUsed/>
    <w:rsid w:val="00053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A6"/>
  </w:style>
  <w:style w:type="paragraph" w:styleId="Footer">
    <w:name w:val="footer"/>
    <w:basedOn w:val="Normal"/>
    <w:link w:val="FooterChar"/>
    <w:unhideWhenUsed/>
    <w:rsid w:val="00053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A6"/>
  </w:style>
  <w:style w:type="character" w:styleId="PageNumber">
    <w:name w:val="page number"/>
    <w:basedOn w:val="DefaultParagraphFont"/>
    <w:rsid w:val="0040607E"/>
  </w:style>
  <w:style w:type="paragraph" w:customStyle="1" w:styleId="ESSubparaList">
    <w:name w:val="ES_SubparaList"/>
    <w:basedOn w:val="ListParagraph"/>
    <w:link w:val="ESSubparaListChar"/>
    <w:qFormat/>
    <w:rsid w:val="008C6E24"/>
    <w:pPr>
      <w:numPr>
        <w:ilvl w:val="1"/>
        <w:numId w:val="1"/>
      </w:numPr>
      <w:spacing w:before="240" w:after="240" w:line="276" w:lineRule="auto"/>
      <w:contextualSpacing w:val="0"/>
    </w:pPr>
    <w:rPr>
      <w:rFonts w:ascii="Times New Roman" w:hAnsi="Times New Roman" w:cs="Times New Roman"/>
    </w:rPr>
  </w:style>
  <w:style w:type="character" w:customStyle="1" w:styleId="ESSubparaListChar">
    <w:name w:val="ES_SubparaList Char"/>
    <w:basedOn w:val="DefaultParagraphFont"/>
    <w:link w:val="ESSubparaList"/>
    <w:rsid w:val="008C6E24"/>
    <w:rPr>
      <w:rFonts w:ascii="Times New Roman" w:hAnsi="Times New Roman" w:cs="Times New Roman"/>
    </w:rPr>
  </w:style>
  <w:style w:type="paragraph" w:styleId="Revision">
    <w:name w:val="Revision"/>
    <w:hidden/>
    <w:uiPriority w:val="99"/>
    <w:semiHidden/>
    <w:rsid w:val="000E3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0190">
      <w:bodyDiv w:val="1"/>
      <w:marLeft w:val="0"/>
      <w:marRight w:val="0"/>
      <w:marTop w:val="0"/>
      <w:marBottom w:val="0"/>
      <w:divBdr>
        <w:top w:val="none" w:sz="0" w:space="0" w:color="auto"/>
        <w:left w:val="none" w:sz="0" w:space="0" w:color="auto"/>
        <w:bottom w:val="none" w:sz="0" w:space="0" w:color="auto"/>
        <w:right w:val="none" w:sz="0" w:space="0" w:color="auto"/>
      </w:divBdr>
    </w:div>
    <w:div w:id="589586076">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54803826">
      <w:bodyDiv w:val="1"/>
      <w:marLeft w:val="0"/>
      <w:marRight w:val="0"/>
      <w:marTop w:val="0"/>
      <w:marBottom w:val="0"/>
      <w:divBdr>
        <w:top w:val="none" w:sz="0" w:space="0" w:color="auto"/>
        <w:left w:val="none" w:sz="0" w:space="0" w:color="auto"/>
        <w:bottom w:val="none" w:sz="0" w:space="0" w:color="auto"/>
        <w:right w:val="none" w:sz="0" w:space="0" w:color="auto"/>
      </w:divBdr>
    </w:div>
    <w:div w:id="20614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daua\AppData\Local\Microsoft\Windows\INetCache\Content.Outlook\VYOBUWAK\210205%20-%20Explanatory%20Statement%20Templat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EFAB8-22BA-4C23-AF96-A10A249F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210205 - Explanatory Statement Template DRAFT</Template>
  <TotalTime>0</TotalTime>
  <Pages>5</Pages>
  <Words>1759</Words>
  <Characters>10029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Andrew NEWMAN-MARTIN</cp:lastModifiedBy>
  <cp:revision>2</cp:revision>
  <cp:lastPrinted>2021-04-12T01:05:00Z</cp:lastPrinted>
  <dcterms:created xsi:type="dcterms:W3CDTF">2021-04-15T23:58:00Z</dcterms:created>
  <dcterms:modified xsi:type="dcterms:W3CDTF">2021-04-15T23:58:00Z</dcterms:modified>
</cp:coreProperties>
</file>