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2A989F69" w14:textId="77777777" w:rsidTr="00A22E0D">
        <w:tc>
          <w:tcPr>
            <w:tcW w:w="4661" w:type="dxa"/>
          </w:tcPr>
          <w:p w14:paraId="018C7852" w14:textId="77777777" w:rsidR="00090A6F" w:rsidRPr="0000292B" w:rsidRDefault="00364B30" w:rsidP="006D71A1">
            <w:pPr>
              <w:pStyle w:val="CoverStandard"/>
              <w:jc w:val="left"/>
            </w:pPr>
            <w:r>
              <w:t>AASB</w:t>
            </w:r>
            <w:r w:rsidR="00831497">
              <w:t xml:space="preserve"> Standard</w:t>
            </w:r>
          </w:p>
        </w:tc>
        <w:tc>
          <w:tcPr>
            <w:tcW w:w="4661" w:type="dxa"/>
          </w:tcPr>
          <w:p w14:paraId="04F081A3" w14:textId="4B76DAD8" w:rsidR="00090A6F" w:rsidRPr="0000292B" w:rsidRDefault="00831497">
            <w:pPr>
              <w:pStyle w:val="CoverNumber"/>
            </w:pPr>
            <w:r>
              <w:t>AASB</w:t>
            </w:r>
            <w:r w:rsidR="00090A6F" w:rsidRPr="0000292B">
              <w:t xml:space="preserve"> </w:t>
            </w:r>
            <w:bookmarkStart w:id="0" w:name="DocNo"/>
            <w:sdt>
              <w:sdtPr>
                <w:id w:val="423534995"/>
                <w:lock w:val="contentLocked"/>
                <w:placeholder>
                  <w:docPart w:val="DefaultPlaceholder_-1854013440"/>
                </w:placeholder>
                <w:group/>
              </w:sdtPr>
              <w:sdtEndPr/>
              <w:sdtContent>
                <w:r w:rsidR="00E92A04">
                  <w:t>2021-</w:t>
                </w:r>
                <w:r w:rsidR="00660B1E">
                  <w:t>1</w:t>
                </w:r>
                <w:bookmarkEnd w:id="0"/>
              </w:sdtContent>
            </w:sdt>
          </w:p>
          <w:bookmarkStart w:id="1" w:name="DocDate" w:displacedByCustomXml="next"/>
          <w:sdt>
            <w:sdtPr>
              <w:id w:val="253861270"/>
              <w:lock w:val="contentLocked"/>
              <w:placeholder>
                <w:docPart w:val="DefaultPlaceholder_-1854013440"/>
              </w:placeholder>
              <w:group/>
            </w:sdtPr>
            <w:sdtEndPr/>
            <w:sdtContent>
              <w:p w14:paraId="19AA0543" w14:textId="2D2A1DFF" w:rsidR="00090A6F" w:rsidRPr="0000292B" w:rsidRDefault="00876A33">
                <w:pPr>
                  <w:pStyle w:val="CoverDate"/>
                </w:pPr>
                <w:r>
                  <w:t xml:space="preserve">March </w:t>
                </w:r>
                <w:r w:rsidR="00E92A04">
                  <w:t>2021</w:t>
                </w:r>
              </w:p>
              <w:bookmarkEnd w:id="1" w:displacedByCustomXml="next"/>
            </w:sdtContent>
          </w:sdt>
        </w:tc>
      </w:tr>
    </w:tbl>
    <w:bookmarkStart w:id="2" w:name="DocTitle" w:displacedByCustomXml="next"/>
    <w:sdt>
      <w:sdtPr>
        <w:id w:val="-265773566"/>
        <w:lock w:val="contentLocked"/>
        <w:placeholder>
          <w:docPart w:val="DefaultPlaceholder_-1854013440"/>
        </w:placeholder>
        <w:group/>
      </w:sdtPr>
      <w:sdtEndPr/>
      <w:sdtContent>
        <w:p w14:paraId="3C283EF7" w14:textId="2EDD3A5D" w:rsidR="00090A6F" w:rsidRPr="0000292B" w:rsidRDefault="008415A8" w:rsidP="006D71A1">
          <w:pPr>
            <w:pStyle w:val="CoverTitle"/>
            <w:jc w:val="left"/>
          </w:pPr>
          <w:r>
            <w:t xml:space="preserve">Amendments </w:t>
          </w:r>
          <w:r w:rsidR="000D161F">
            <w:t xml:space="preserve">to Australian Accounting Standards – </w:t>
          </w:r>
          <w:r w:rsidR="00E92A04">
            <w:t xml:space="preserve">Transition </w:t>
          </w:r>
          <w:r w:rsidR="00AF435C">
            <w:t xml:space="preserve">to </w:t>
          </w:r>
          <w:r w:rsidR="00E92A04">
            <w:t>Tier</w:t>
          </w:r>
          <w:r w:rsidR="00F501D0">
            <w:t> </w:t>
          </w:r>
          <w:r w:rsidR="00E92A04">
            <w:t>2</w:t>
          </w:r>
          <w:r w:rsidR="009D21C2">
            <w:t>:</w:t>
          </w:r>
          <w:r w:rsidR="0030333F">
            <w:t xml:space="preserve"> </w:t>
          </w:r>
          <w:r w:rsidR="0030333F" w:rsidRPr="0030333F">
            <w:t>Simplified Disclosures</w:t>
          </w:r>
          <w:r w:rsidR="00E92A04">
            <w:t xml:space="preserve"> for Not-for-Profit Entities</w:t>
          </w:r>
        </w:p>
        <w:bookmarkEnd w:id="2" w:displacedByCustomXml="next"/>
      </w:sdtContent>
    </w:sdt>
    <w:p w14:paraId="6F046225" w14:textId="26B7F039" w:rsidR="00C5022C" w:rsidRPr="00C5022C" w:rsidRDefault="002B7803" w:rsidP="00C5022C">
      <w:pPr>
        <w:pStyle w:val="CoverSubtitle"/>
      </w:pPr>
      <w:r>
        <w:t>[</w:t>
      </w:r>
      <w:bookmarkStart w:id="3" w:name="AmendingNos"/>
      <w:r w:rsidR="00F506E7">
        <w:t xml:space="preserve">AASB </w:t>
      </w:r>
      <w:r w:rsidR="00E92A04">
        <w:t xml:space="preserve">1053 &amp; </w:t>
      </w:r>
      <w:r w:rsidR="00F506E7">
        <w:t xml:space="preserve">AASB </w:t>
      </w:r>
      <w:r w:rsidR="00E92A04">
        <w:t>1060</w:t>
      </w:r>
      <w:bookmarkEnd w:id="3"/>
      <w:r>
        <w:t>]</w:t>
      </w:r>
    </w:p>
    <w:p w14:paraId="16360C2C" w14:textId="77777777" w:rsidR="00737714" w:rsidRPr="0000292B" w:rsidRDefault="00737714" w:rsidP="00737714"/>
    <w:p w14:paraId="327DA8A9" w14:textId="5A03206D" w:rsidR="00090A6F" w:rsidRPr="0000292B" w:rsidRDefault="008B643A">
      <w:pPr>
        <w:sectPr w:rsidR="00090A6F" w:rsidRPr="0000292B" w:rsidSect="00D74C6A">
          <w:pgSz w:w="11907" w:h="16840" w:code="9"/>
          <w:pgMar w:top="1418" w:right="1418" w:bottom="1418" w:left="1418" w:header="709" w:footer="709" w:gutter="0"/>
          <w:paperSrc w:first="7" w:other="7"/>
          <w:cols w:space="720"/>
        </w:sectPr>
      </w:pPr>
      <w:r>
        <w:rPr>
          <w:noProof/>
          <w:lang w:eastAsia="en-AU"/>
        </w:rPr>
        <w:drawing>
          <wp:anchor distT="0" distB="0" distL="114300" distR="114300" simplePos="0" relativeHeight="251658240" behindDoc="0" locked="1" layoutInCell="1" allowOverlap="1" wp14:anchorId="210A4CA9" wp14:editId="6DA2F92D">
            <wp:simplePos x="0" y="0"/>
            <wp:positionH relativeFrom="margin">
              <wp:posOffset>0</wp:posOffset>
            </wp:positionH>
            <wp:positionV relativeFrom="margin">
              <wp:align>bottom</wp:align>
            </wp:positionV>
            <wp:extent cx="1677600" cy="1332000"/>
            <wp:effectExtent l="0" t="0" r="0" b="1905"/>
            <wp:wrapNone/>
            <wp:docPr id="5" name="Picture 5" descr="AASB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C2979" w14:textId="77777777" w:rsidR="00737714" w:rsidRPr="0000292B" w:rsidRDefault="00737714" w:rsidP="00492206">
      <w:pPr>
        <w:pStyle w:val="Heading1"/>
        <w:spacing w:before="300"/>
      </w:pPr>
      <w:r w:rsidRPr="0000292B">
        <w:lastRenderedPageBreak/>
        <w:t xml:space="preserve">Obtaining a </w:t>
      </w:r>
      <w:r w:rsidR="005655CE">
        <w:t>c</w:t>
      </w:r>
      <w:r w:rsidRPr="0000292B">
        <w:t xml:space="preserve">opy of this </w:t>
      </w:r>
      <w:r w:rsidR="00C5022C">
        <w:t>Accounting Standard</w:t>
      </w:r>
    </w:p>
    <w:p w14:paraId="628FC4C5"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407CB426" w14:textId="77777777" w:rsidR="00895809" w:rsidRPr="0000292B" w:rsidRDefault="00895809" w:rsidP="00895809">
      <w:r w:rsidRPr="0000292B">
        <w:t>Australian Accounting Standards Board</w:t>
      </w:r>
    </w:p>
    <w:p w14:paraId="0B17F5F1" w14:textId="77777777" w:rsidR="00895809" w:rsidRPr="0000292B" w:rsidRDefault="00895809" w:rsidP="00895809">
      <w:r>
        <w:t>PO Box 204</w:t>
      </w:r>
    </w:p>
    <w:p w14:paraId="3142D3C0" w14:textId="77777777" w:rsidR="00895809" w:rsidRPr="0000292B" w:rsidRDefault="00895809" w:rsidP="00895809">
      <w:r>
        <w:t>Collins Street West</w:t>
      </w:r>
    </w:p>
    <w:p w14:paraId="6BC2453D" w14:textId="77777777" w:rsidR="00895809" w:rsidRPr="0000292B" w:rsidRDefault="00895809" w:rsidP="00895809">
      <w:r>
        <w:t>Victoria   8007</w:t>
      </w:r>
    </w:p>
    <w:p w14:paraId="16E722DC" w14:textId="77777777" w:rsidR="00895809" w:rsidRDefault="00895809" w:rsidP="00895809">
      <w:pPr>
        <w:pStyle w:val="CoverContact"/>
        <w:spacing w:after="200"/>
      </w:pPr>
      <w:r w:rsidRPr="0000292B">
        <w:t>AUSTRALIA</w:t>
      </w:r>
    </w:p>
    <w:p w14:paraId="3C310267" w14:textId="77777777" w:rsidR="00737714" w:rsidRDefault="00BF0190" w:rsidP="00B82F15">
      <w:pPr>
        <w:pStyle w:val="CoverContact"/>
      </w:pPr>
      <w:r>
        <w:t>Phone:</w:t>
      </w:r>
      <w:r>
        <w:tab/>
        <w:t>(03) 9617 7600</w:t>
      </w:r>
    </w:p>
    <w:p w14:paraId="3F35F0E6" w14:textId="77777777" w:rsidR="00E96D45" w:rsidRDefault="00DB00CD" w:rsidP="00DB00CD">
      <w:pPr>
        <w:pStyle w:val="CoverContact"/>
      </w:pPr>
      <w:r>
        <w:t>E-mail:</w:t>
      </w:r>
      <w:r>
        <w:tab/>
      </w:r>
      <w:r w:rsidR="00BF0190">
        <w:t>standard</w:t>
      </w:r>
      <w:r>
        <w:t>@aasb.gov</w:t>
      </w:r>
      <w:r w:rsidRPr="00C5022C">
        <w:t>.au</w:t>
      </w:r>
    </w:p>
    <w:p w14:paraId="13678C56" w14:textId="77777777" w:rsidR="00E96D45" w:rsidRPr="00E96D45" w:rsidRDefault="00DB00CD" w:rsidP="00565C82">
      <w:pPr>
        <w:pStyle w:val="CoverContact"/>
        <w:spacing w:after="200"/>
      </w:pPr>
      <w:r>
        <w:t>Website:</w:t>
      </w:r>
      <w:r>
        <w:tab/>
        <w:t>www.aasb.gov.au</w:t>
      </w:r>
    </w:p>
    <w:p w14:paraId="067F7E7C" w14:textId="77777777" w:rsidR="00090A6F" w:rsidRPr="0000292B" w:rsidRDefault="00090A6F" w:rsidP="00F13C5A">
      <w:pPr>
        <w:pStyle w:val="Heading1"/>
      </w:pPr>
      <w:r w:rsidRPr="0000292B">
        <w:t xml:space="preserve">Other </w:t>
      </w:r>
      <w:r w:rsidR="005655CE" w:rsidRPr="0000292B">
        <w:t>enquiries</w:t>
      </w:r>
    </w:p>
    <w:p w14:paraId="64241A36"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580E682D" w14:textId="77777777" w:rsidR="00090A6F" w:rsidRPr="0000292B" w:rsidRDefault="00923261">
      <w:pPr>
        <w:pStyle w:val="CoverContact"/>
      </w:pPr>
      <w:r>
        <w:t>E-mail:</w:t>
      </w:r>
      <w:r>
        <w:tab/>
        <w:t>standard@aasb.gov</w:t>
      </w:r>
      <w:r w:rsidR="00090A6F" w:rsidRPr="0000292B">
        <w:t>.au</w:t>
      </w:r>
    </w:p>
    <w:p w14:paraId="3BBF6907" w14:textId="77777777" w:rsidR="00276BC5" w:rsidRDefault="00276BC5" w:rsidP="00F27E5E">
      <w:pPr>
        <w:pStyle w:val="NoNumPlain1"/>
        <w:spacing w:before="7560"/>
      </w:pPr>
      <w:bookmarkStart w:id="4" w:name="CopyrightText"/>
      <w:r>
        <w:t>COPYRIGHT</w:t>
      </w:r>
    </w:p>
    <w:p w14:paraId="392D13DA" w14:textId="77777777" w:rsidR="00276BC5" w:rsidRDefault="00276BC5" w:rsidP="00F27E5E">
      <w:pPr>
        <w:pStyle w:val="NoNumPlain1"/>
        <w:spacing w:before="0"/>
      </w:pPr>
      <w:r>
        <w:t>© Com</w:t>
      </w:r>
      <w:bookmarkStart w:id="5" w:name="CopyrightDomestic"/>
      <w:bookmarkEnd w:id="5"/>
      <w:r>
        <w:t xml:space="preserve">monwealth of Australia </w:t>
      </w:r>
      <w:bookmarkStart w:id="6" w:name="Year"/>
      <w:r w:rsidR="00E92A04">
        <w:t>2021</w:t>
      </w:r>
      <w:bookmarkEnd w:id="6"/>
    </w:p>
    <w:p w14:paraId="115F51AA" w14:textId="77777777" w:rsidR="00276BC5" w:rsidRPr="00DE4E67" w:rsidRDefault="00E46988" w:rsidP="00895809">
      <w:pPr>
        <w:spacing w:after="200"/>
      </w:pPr>
      <w:r w:rsidRPr="00E46988">
        <w:t xml:space="preserve">This work is copyright.  Apart from any use as permitted under the </w:t>
      </w:r>
      <w:r w:rsidRPr="00C17AAA">
        <w:rPr>
          <w:i/>
        </w:rPr>
        <w:t>Copyright Act 1968</w:t>
      </w:r>
      <w:r w:rsidRPr="00E46988">
        <w:t xml:space="preserve">, no part may be reproduced by any process without prior written permission.  Requests and enquiries concerning reproduction and rights should be addressed to The </w:t>
      </w:r>
      <w:r w:rsidR="00BF0190">
        <w:t xml:space="preserve">National </w:t>
      </w:r>
      <w:r w:rsidRPr="00E46988">
        <w:t>Director, Australian Accounting Standards Board, PO Box 204, Collins Street West, Victoria 8007</w:t>
      </w:r>
      <w:r w:rsidR="00276BC5" w:rsidRPr="00DE4E67">
        <w:t>.</w:t>
      </w:r>
    </w:p>
    <w:bookmarkEnd w:id="4"/>
    <w:p w14:paraId="10CC9478" w14:textId="77777777" w:rsidR="007455F0" w:rsidRPr="0000292B" w:rsidRDefault="006D4700" w:rsidP="006D4700">
      <w:r>
        <w:t xml:space="preserve">ISSN </w:t>
      </w:r>
      <w:bookmarkStart w:id="7" w:name="ISSN"/>
      <w:r w:rsidR="00E92A04">
        <w:t>1036-4803</w:t>
      </w:r>
      <w:bookmarkEnd w:id="7"/>
    </w:p>
    <w:p w14:paraId="13686B6E" w14:textId="77777777" w:rsidR="00090A6F" w:rsidRPr="0000292B" w:rsidRDefault="00090A6F">
      <w:pPr>
        <w:sectPr w:rsidR="00090A6F" w:rsidRPr="0000292B" w:rsidSect="00D74C6A">
          <w:footerReference w:type="default" r:id="rId12"/>
          <w:pgSz w:w="11907" w:h="16840" w:code="9"/>
          <w:pgMar w:top="1418" w:right="1418" w:bottom="1418" w:left="1418" w:header="709" w:footer="709" w:gutter="0"/>
          <w:paperSrc w:first="7" w:other="7"/>
          <w:cols w:space="720"/>
        </w:sectPr>
      </w:pPr>
    </w:p>
    <w:p w14:paraId="27EE1867" w14:textId="77777777" w:rsidR="00090A6F" w:rsidRPr="0000292B" w:rsidRDefault="005655CE">
      <w:pPr>
        <w:pStyle w:val="Heading1"/>
      </w:pPr>
      <w:r w:rsidRPr="0000292B">
        <w:lastRenderedPageBreak/>
        <w:t>Contents</w:t>
      </w:r>
    </w:p>
    <w:p w14:paraId="742AFF28" w14:textId="0B77D24D" w:rsidR="00090A6F" w:rsidRPr="0000292B" w:rsidRDefault="00090A6F" w:rsidP="002B4F38">
      <w:pPr>
        <w:pStyle w:val="ContentsCapsPlain"/>
        <w:spacing w:before="400"/>
      </w:pPr>
      <w:r w:rsidRPr="0000292B">
        <w:t>P</w:t>
      </w:r>
      <w:r w:rsidR="005127FF">
        <w:t>REFACE</w:t>
      </w:r>
    </w:p>
    <w:p w14:paraId="308B9645" w14:textId="05B80B96" w:rsidR="00090A6F" w:rsidRPr="0000292B" w:rsidRDefault="00090A6F">
      <w:pPr>
        <w:pStyle w:val="ContentsCapsBold"/>
      </w:pPr>
      <w:r w:rsidRPr="0000292B">
        <w:t>A</w:t>
      </w:r>
      <w:r w:rsidR="00813516">
        <w:t>CCOUNTING STANDARD</w:t>
      </w:r>
    </w:p>
    <w:p w14:paraId="7610AEE7" w14:textId="4A366B16"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660B1E" w:rsidRPr="00660B1E">
        <w:rPr>
          <w:iCs/>
        </w:rPr>
        <w:t>2021-1</w:t>
      </w:r>
      <w:r w:rsidR="009C2479" w:rsidRPr="00BC0D5D">
        <w:rPr>
          <w:iCs/>
        </w:rPr>
        <w:fldChar w:fldCharType="end"/>
      </w:r>
      <w:r w:rsidRPr="0000292B">
        <w:t xml:space="preserve"> </w:t>
      </w:r>
      <w:r w:rsidR="00CC1DF4" w:rsidRPr="002417FF">
        <w:rPr>
          <w:rFonts w:ascii="Times New Roman Bold" w:hAnsi="Times New Roman Bold"/>
          <w:i/>
          <w:caps/>
        </w:rPr>
        <w:fldChar w:fldCharType="begin" w:fldLock="1"/>
      </w:r>
      <w:r w:rsidR="00CC1DF4" w:rsidRPr="00874508">
        <w:rPr>
          <w:rFonts w:ascii="Times New Roman Bold" w:hAnsi="Times New Roman Bold"/>
          <w:i/>
          <w:caps/>
        </w:rPr>
        <w:instrText xml:space="preserve"> REF DocTitle \* charformat </w:instrText>
      </w:r>
      <w:r w:rsidR="002417FF" w:rsidRPr="00874508">
        <w:rPr>
          <w:rFonts w:ascii="Times New Roman Bold" w:hAnsi="Times New Roman Bold"/>
          <w:i/>
          <w:caps/>
        </w:rPr>
        <w:instrText xml:space="preserve"> \* MERGEFORMAT </w:instrText>
      </w:r>
      <w:r w:rsidR="00CC1DF4" w:rsidRPr="002417FF">
        <w:rPr>
          <w:rFonts w:ascii="Times New Roman Bold" w:hAnsi="Times New Roman Bold"/>
          <w:i/>
          <w:caps/>
        </w:rPr>
        <w:fldChar w:fldCharType="separate"/>
      </w:r>
      <w:r w:rsidR="00660B1E" w:rsidRPr="00660B1E">
        <w:rPr>
          <w:rFonts w:ascii="Times New Roman Bold" w:hAnsi="Times New Roman Bold"/>
          <w:i/>
          <w:caps/>
        </w:rPr>
        <w:t>Amendments to Australian Accounting Standards – Transition to Tier 2: Simplified Disclosures for Not-for-Profit Entities</w:t>
      </w:r>
      <w:r w:rsidR="00CC1DF4" w:rsidRPr="002417FF">
        <w:rPr>
          <w:rFonts w:ascii="Times New Roman Bold" w:hAnsi="Times New Roman Bold"/>
          <w:i/>
          <w:caps/>
        </w:rPr>
        <w:fldChar w:fldCharType="end"/>
      </w:r>
    </w:p>
    <w:p w14:paraId="7912CBF3" w14:textId="77777777" w:rsidR="002B7803" w:rsidRPr="002B7803" w:rsidRDefault="002B7803" w:rsidP="002B7803"/>
    <w:p w14:paraId="6127292E" w14:textId="0ECB8295" w:rsidR="00090A6F" w:rsidRPr="0000292B" w:rsidRDefault="00E46988">
      <w:pPr>
        <w:pStyle w:val="ContentsParaHead"/>
      </w:pPr>
      <w:r>
        <w:t>from pa</w:t>
      </w:r>
      <w:r w:rsidR="000E22C0">
        <w:t>ragraph</w:t>
      </w:r>
    </w:p>
    <w:p w14:paraId="3663A5F3" w14:textId="305D40DB" w:rsidR="00090A6F" w:rsidRPr="00816593" w:rsidRDefault="00773616" w:rsidP="004B16AC">
      <w:pPr>
        <w:pStyle w:val="ContentsLevel1"/>
        <w:ind w:right="-1"/>
        <w:rPr>
          <w:b/>
          <w:bCs/>
        </w:rPr>
      </w:pPr>
      <w:bookmarkStart w:id="8" w:name="TOCRange"/>
      <w:r w:rsidRPr="00816593">
        <w:rPr>
          <w:b/>
          <w:bCs/>
        </w:rPr>
        <w:t>OBJECTIVE</w:t>
      </w:r>
      <w:r w:rsidR="00090A6F" w:rsidRPr="00816593">
        <w:rPr>
          <w:b/>
          <w:bCs/>
        </w:rPr>
        <w:tab/>
      </w:r>
      <w:r w:rsidR="000E22C0">
        <w:rPr>
          <w:b/>
          <w:bCs/>
        </w:rPr>
        <w:t>1</w:t>
      </w:r>
    </w:p>
    <w:p w14:paraId="27E225C2" w14:textId="048DEA47" w:rsidR="00090A6F" w:rsidRPr="00816593" w:rsidRDefault="00773616" w:rsidP="004B16AC">
      <w:pPr>
        <w:pStyle w:val="ContentsLevel1"/>
        <w:ind w:right="-1"/>
        <w:rPr>
          <w:b/>
          <w:bCs/>
        </w:rPr>
      </w:pPr>
      <w:r w:rsidRPr="00816593">
        <w:rPr>
          <w:b/>
          <w:bCs/>
        </w:rPr>
        <w:t>APPLICATION</w:t>
      </w:r>
      <w:r w:rsidR="00090A6F" w:rsidRPr="00816593">
        <w:rPr>
          <w:b/>
          <w:bCs/>
        </w:rPr>
        <w:tab/>
      </w:r>
      <w:r w:rsidR="000E22C0">
        <w:rPr>
          <w:b/>
          <w:bCs/>
        </w:rPr>
        <w:t>2</w:t>
      </w:r>
    </w:p>
    <w:p w14:paraId="29CF4C15" w14:textId="5A11D5E1" w:rsidR="00E92A04" w:rsidRPr="00816593" w:rsidRDefault="00773616" w:rsidP="004B16AC">
      <w:pPr>
        <w:pStyle w:val="ContentsLevel1"/>
        <w:ind w:right="-1"/>
        <w:rPr>
          <w:b/>
          <w:bCs/>
        </w:rPr>
      </w:pPr>
      <w:r w:rsidRPr="00816593">
        <w:rPr>
          <w:b/>
          <w:bCs/>
        </w:rPr>
        <w:t>AMENDMENTS TO</w:t>
      </w:r>
      <w:r w:rsidR="00E92A04" w:rsidRPr="00816593">
        <w:rPr>
          <w:b/>
          <w:bCs/>
        </w:rPr>
        <w:t xml:space="preserve"> </w:t>
      </w:r>
      <w:r w:rsidR="00D74EE8">
        <w:rPr>
          <w:b/>
          <w:bCs/>
        </w:rPr>
        <w:t xml:space="preserve">AASB </w:t>
      </w:r>
      <w:r w:rsidR="00E92A04" w:rsidRPr="00816593">
        <w:rPr>
          <w:b/>
          <w:bCs/>
        </w:rPr>
        <w:t>1053</w:t>
      </w:r>
      <w:r w:rsidR="00E92A04" w:rsidRPr="00816593">
        <w:rPr>
          <w:b/>
          <w:bCs/>
        </w:rPr>
        <w:tab/>
      </w:r>
      <w:r w:rsidR="002B1EA5" w:rsidRPr="00816593">
        <w:rPr>
          <w:b/>
          <w:bCs/>
        </w:rPr>
        <w:t>6</w:t>
      </w:r>
    </w:p>
    <w:p w14:paraId="10A69BD9" w14:textId="2DCE7E43" w:rsidR="00E92A04" w:rsidRPr="00816593" w:rsidRDefault="00773616" w:rsidP="004B16AC">
      <w:pPr>
        <w:pStyle w:val="ContentsLevel1"/>
        <w:ind w:right="-1"/>
        <w:rPr>
          <w:b/>
          <w:bCs/>
        </w:rPr>
      </w:pPr>
      <w:r w:rsidRPr="00816593">
        <w:rPr>
          <w:b/>
          <w:bCs/>
        </w:rPr>
        <w:t>AMENDMENTS TO</w:t>
      </w:r>
      <w:r w:rsidR="00E92A04" w:rsidRPr="00816593">
        <w:rPr>
          <w:b/>
          <w:bCs/>
        </w:rPr>
        <w:t xml:space="preserve"> </w:t>
      </w:r>
      <w:r w:rsidR="00D74EE8">
        <w:rPr>
          <w:b/>
          <w:bCs/>
        </w:rPr>
        <w:t xml:space="preserve">AASB </w:t>
      </w:r>
      <w:r w:rsidR="00E92A04" w:rsidRPr="00816593">
        <w:rPr>
          <w:b/>
          <w:bCs/>
        </w:rPr>
        <w:t>1060</w:t>
      </w:r>
      <w:r w:rsidR="00E92A04" w:rsidRPr="00816593">
        <w:rPr>
          <w:b/>
          <w:bCs/>
        </w:rPr>
        <w:tab/>
      </w:r>
      <w:r w:rsidR="001861C7">
        <w:rPr>
          <w:b/>
          <w:bCs/>
        </w:rPr>
        <w:t>8</w:t>
      </w:r>
    </w:p>
    <w:p w14:paraId="47685EAE" w14:textId="65CE9918" w:rsidR="00773616" w:rsidRPr="00816593" w:rsidRDefault="00773616" w:rsidP="004B16AC">
      <w:pPr>
        <w:pStyle w:val="ContentsLevel1"/>
        <w:ind w:right="-1"/>
        <w:rPr>
          <w:b/>
          <w:bCs/>
        </w:rPr>
      </w:pPr>
      <w:r w:rsidRPr="00816593">
        <w:rPr>
          <w:b/>
          <w:bCs/>
        </w:rPr>
        <w:t>COMMENCEMENT OF THE LEGISLATIVE INSTRUMENT</w:t>
      </w:r>
      <w:r w:rsidR="00533889" w:rsidRPr="00816593">
        <w:rPr>
          <w:b/>
          <w:bCs/>
        </w:rPr>
        <w:tab/>
      </w:r>
      <w:r w:rsidR="001861C7">
        <w:rPr>
          <w:b/>
          <w:bCs/>
        </w:rPr>
        <w:t>9</w:t>
      </w:r>
    </w:p>
    <w:p w14:paraId="0051048B" w14:textId="00FF0780" w:rsidR="00773616" w:rsidRDefault="00773616" w:rsidP="00E92A04">
      <w:pPr>
        <w:pStyle w:val="ContentsLevel1"/>
      </w:pPr>
    </w:p>
    <w:p w14:paraId="52CF6FBF" w14:textId="77777777" w:rsidR="00773616" w:rsidRDefault="00773616" w:rsidP="00E92A04">
      <w:pPr>
        <w:pStyle w:val="ContentsLevel1"/>
      </w:pPr>
    </w:p>
    <w:p w14:paraId="7DAC5D99" w14:textId="68F2AD8E" w:rsidR="00773616" w:rsidRPr="00816593" w:rsidRDefault="00773616" w:rsidP="00E92A04">
      <w:pPr>
        <w:pStyle w:val="ContentsLevel1"/>
        <w:rPr>
          <w:b/>
          <w:bCs/>
        </w:rPr>
      </w:pPr>
      <w:r w:rsidRPr="00816593">
        <w:rPr>
          <w:b/>
          <w:bCs/>
        </w:rPr>
        <w:t>BASIS FOR CONCLUSIONS</w:t>
      </w:r>
    </w:p>
    <w:p w14:paraId="62B57B9E" w14:textId="3B2610CB" w:rsidR="00090A6F" w:rsidRDefault="00090A6F" w:rsidP="00E1657B">
      <w:pPr>
        <w:spacing w:after="60"/>
      </w:pPr>
      <w:bookmarkStart w:id="9" w:name="ContentsMarker"/>
      <w:bookmarkEnd w:id="9"/>
    </w:p>
    <w:p w14:paraId="3E5F0FD1" w14:textId="77777777" w:rsidR="000E362D" w:rsidRPr="0000292B" w:rsidRDefault="000E362D" w:rsidP="00E1657B">
      <w:pPr>
        <w:spacing w:after="60"/>
      </w:pPr>
    </w:p>
    <w:bookmarkEnd w:id="8"/>
    <w:p w14:paraId="6754478B" w14:textId="42B49E08"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660B1E" w:rsidRPr="00660B1E">
        <w:rPr>
          <w:iCs/>
        </w:rPr>
        <w:t>2021-1</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660B1E" w:rsidRPr="00660B1E">
        <w:rPr>
          <w:i/>
        </w:rPr>
        <w:t>Amendments to Australian Accounting Standards – Transition to Tier 2: Simplified Disclosures for Not-for-Profit Entities</w:t>
      </w:r>
      <w:r w:rsidR="00CC1DF4" w:rsidRPr="00CC1DF4">
        <w:rPr>
          <w:i/>
        </w:rPr>
        <w:fldChar w:fldCharType="end"/>
      </w:r>
      <w:r w:rsidRPr="0000292B">
        <w:rPr>
          <w:i/>
          <w:iCs/>
        </w:rPr>
        <w:t xml:space="preserve"> </w:t>
      </w:r>
      <w:r w:rsidRPr="0000292B">
        <w:t xml:space="preserve">is set out </w:t>
      </w:r>
      <w:r w:rsidR="00CB51AD">
        <w:t xml:space="preserve">in paragraphs </w:t>
      </w:r>
      <w:r w:rsidR="000C0DDD">
        <w:t>1</w:t>
      </w:r>
      <w:r w:rsidR="005D3341">
        <w:t xml:space="preserve"> </w:t>
      </w:r>
      <w:r w:rsidR="00F4379F">
        <w:t xml:space="preserve">– </w:t>
      </w:r>
      <w:r w:rsidR="000C0DDD">
        <w:t>9</w:t>
      </w:r>
      <w:r w:rsidRPr="0000292B">
        <w:t>. All the pa</w:t>
      </w:r>
      <w:r w:rsidR="009C2479">
        <w:t>ragraphs have equal authority.</w:t>
      </w:r>
    </w:p>
    <w:p w14:paraId="274995F6" w14:textId="77777777" w:rsidR="00090A6F" w:rsidRPr="0000292B" w:rsidRDefault="00090A6F">
      <w:pPr>
        <w:pStyle w:val="ContentsBox"/>
        <w:pBdr>
          <w:top w:val="none" w:sz="0" w:space="0" w:color="auto"/>
          <w:left w:val="none" w:sz="0" w:space="0" w:color="auto"/>
          <w:bottom w:val="none" w:sz="0" w:space="0" w:color="auto"/>
          <w:right w:val="none" w:sz="0" w:space="0" w:color="auto"/>
        </w:pBdr>
      </w:pPr>
    </w:p>
    <w:p w14:paraId="40C63285" w14:textId="77777777" w:rsidR="00090A6F" w:rsidRDefault="00090A6F"/>
    <w:p w14:paraId="4D0AB883" w14:textId="4C8FB958" w:rsidR="00261290" w:rsidRPr="0000292B" w:rsidRDefault="00261290">
      <w:pPr>
        <w:sectPr w:rsidR="00261290" w:rsidRPr="0000292B" w:rsidSect="00D74C6A">
          <w:footerReference w:type="default" r:id="rId13"/>
          <w:pgSz w:w="11907" w:h="16840" w:code="9"/>
          <w:pgMar w:top="1418" w:right="1418" w:bottom="1418" w:left="1418" w:header="709" w:footer="709" w:gutter="0"/>
          <w:paperSrc w:first="7" w:other="7"/>
          <w:cols w:space="720"/>
        </w:sectPr>
      </w:pPr>
    </w:p>
    <w:p w14:paraId="2F5551A2" w14:textId="77777777" w:rsidR="00090A6F" w:rsidRPr="0000292B" w:rsidRDefault="00090A6F">
      <w:pPr>
        <w:pStyle w:val="Heading1"/>
      </w:pPr>
      <w:r w:rsidRPr="0000292B">
        <w:lastRenderedPageBreak/>
        <w:t>Preface</w:t>
      </w:r>
    </w:p>
    <w:p w14:paraId="772977BC" w14:textId="02BB9CFF" w:rsidR="000F64CC" w:rsidRPr="0000292B" w:rsidRDefault="00CA61C5">
      <w:pPr>
        <w:pStyle w:val="Heading2"/>
      </w:pPr>
      <w:r>
        <w:t xml:space="preserve">Standards amended by AASB </w:t>
      </w:r>
      <w:r>
        <w:fldChar w:fldCharType="begin" w:fldLock="1"/>
      </w:r>
      <w:r>
        <w:instrText xml:space="preserve"> REF DocNo \* charformat</w:instrText>
      </w:r>
      <w:r>
        <w:fldChar w:fldCharType="separate"/>
      </w:r>
      <w:r w:rsidR="00660B1E">
        <w:t>2021-1</w:t>
      </w:r>
      <w:r>
        <w:fldChar w:fldCharType="end"/>
      </w:r>
    </w:p>
    <w:p w14:paraId="04333E7F" w14:textId="09D75FB9" w:rsidR="009F2231" w:rsidRDefault="009F2231" w:rsidP="009F2231">
      <w:pPr>
        <w:pStyle w:val="NoNumPlain1"/>
      </w:pPr>
      <w:r w:rsidRPr="00766E15">
        <w:t xml:space="preserve">This </w:t>
      </w:r>
      <w:r>
        <w:t xml:space="preserve">Standard makes amendments to AASB 1053 </w:t>
      </w:r>
      <w:r w:rsidRPr="00766E15">
        <w:rPr>
          <w:i/>
        </w:rPr>
        <w:t>Application of Tiers of Australian Accounting Standards</w:t>
      </w:r>
      <w:r>
        <w:rPr>
          <w:i/>
        </w:rPr>
        <w:t xml:space="preserve"> </w:t>
      </w:r>
      <w:r w:rsidRPr="00012078">
        <w:rPr>
          <w:iCs/>
        </w:rPr>
        <w:t>(</w:t>
      </w:r>
      <w:r w:rsidRPr="00BD2C3A">
        <w:t>June 2010</w:t>
      </w:r>
      <w:r>
        <w:t>) and AASB 1060</w:t>
      </w:r>
      <w:r w:rsidRPr="00C34B8A">
        <w:t xml:space="preserve"> </w:t>
      </w:r>
      <w:r w:rsidRPr="00C34B8A">
        <w:rPr>
          <w:i/>
          <w:iCs/>
        </w:rPr>
        <w:t>General Purpose Financial Statements – Simplified Disclosures for For-Profit and Not-for-Profit Tier</w:t>
      </w:r>
      <w:r w:rsidR="003501A4">
        <w:rPr>
          <w:i/>
          <w:iCs/>
        </w:rPr>
        <w:t> </w:t>
      </w:r>
      <w:r w:rsidRPr="00C34B8A">
        <w:rPr>
          <w:i/>
          <w:iCs/>
        </w:rPr>
        <w:t>2 Entities</w:t>
      </w:r>
      <w:r>
        <w:t xml:space="preserve"> (March 2020)</w:t>
      </w:r>
      <w:r>
        <w:rPr>
          <w:i/>
          <w:iCs/>
        </w:rPr>
        <w:t>.</w:t>
      </w:r>
      <w:r>
        <w:t xml:space="preserve"> </w:t>
      </w:r>
    </w:p>
    <w:p w14:paraId="1871DA90" w14:textId="77777777" w:rsidR="00090A6F" w:rsidRDefault="00F22AF2" w:rsidP="00F22AF2">
      <w:pPr>
        <w:pStyle w:val="Heading2"/>
      </w:pPr>
      <w:r>
        <w:t>Main features of this Standard</w:t>
      </w:r>
    </w:p>
    <w:p w14:paraId="62DA7883" w14:textId="77777777" w:rsidR="00F22AF2" w:rsidRDefault="00F22AF2" w:rsidP="00F22AF2">
      <w:pPr>
        <w:pStyle w:val="Heading2Indent1"/>
      </w:pPr>
      <w:r>
        <w:t>Main requirements</w:t>
      </w:r>
    </w:p>
    <w:p w14:paraId="2FA389FE" w14:textId="0486031C" w:rsidR="00F85B11" w:rsidRDefault="00F85B11" w:rsidP="00F85B11">
      <w:pPr>
        <w:pStyle w:val="NumPlain1"/>
        <w:numPr>
          <w:ilvl w:val="0"/>
          <w:numId w:val="0"/>
        </w:numPr>
      </w:pPr>
      <w:r w:rsidRPr="001A1110">
        <w:rPr>
          <w:szCs w:val="19"/>
        </w:rPr>
        <w:t xml:space="preserve">This </w:t>
      </w:r>
      <w:r>
        <w:rPr>
          <w:szCs w:val="19"/>
        </w:rPr>
        <w:t xml:space="preserve">Standard amends AASB 1060 to </w:t>
      </w:r>
      <w:r>
        <w:t xml:space="preserve">provide not-for-profit entities with </w:t>
      </w:r>
      <w:r w:rsidR="00500591">
        <w:t xml:space="preserve">optional </w:t>
      </w:r>
      <w:r>
        <w:t>relief from presenting comparative information in the notes to the financial statements where the entity did not disclose the comparable information in its most recent previous</w:t>
      </w:r>
      <w:r>
        <w:rPr>
          <w:szCs w:val="19"/>
        </w:rPr>
        <w:t xml:space="preserve"> </w:t>
      </w:r>
      <w:r>
        <w:t xml:space="preserve">general purpose financial statements. This relief is available for not-for-profit entities transitioning from </w:t>
      </w:r>
      <w:r w:rsidR="003C5B85">
        <w:t xml:space="preserve">either </w:t>
      </w:r>
      <w:r w:rsidR="00500591">
        <w:t xml:space="preserve">Tier 1: Australian Accounting Standards or </w:t>
      </w:r>
      <w:r w:rsidRPr="001179BE">
        <w:t>Tier 2: Australian Accounting Standards – Reduced Disclosure Requirements</w:t>
      </w:r>
      <w:r>
        <w:t xml:space="preserve"> to </w:t>
      </w:r>
      <w:r w:rsidRPr="001179BE">
        <w:t>Tier</w:t>
      </w:r>
      <w:r>
        <w:t> </w:t>
      </w:r>
      <w:r w:rsidRPr="001179BE">
        <w:t xml:space="preserve">2: Australian Accounting Standards – </w:t>
      </w:r>
      <w:r>
        <w:t xml:space="preserve">Simplified </w:t>
      </w:r>
      <w:r w:rsidRPr="001179BE">
        <w:t>Disclosure</w:t>
      </w:r>
      <w:r>
        <w:t xml:space="preserve">s for a reporting period prior to </w:t>
      </w:r>
      <w:r w:rsidR="00980A46">
        <w:t xml:space="preserve">the entity’s </w:t>
      </w:r>
      <w:r>
        <w:t>mandatory application of AASB 1060</w:t>
      </w:r>
      <w:r w:rsidRPr="001179BE">
        <w:t>.</w:t>
      </w:r>
    </w:p>
    <w:p w14:paraId="2FF1A78C" w14:textId="77777777" w:rsidR="00F85B11" w:rsidRDefault="00F85B11" w:rsidP="00F85B11">
      <w:pPr>
        <w:pStyle w:val="NumPlain1"/>
        <w:numPr>
          <w:ilvl w:val="0"/>
          <w:numId w:val="0"/>
        </w:numPr>
      </w:pPr>
      <w:r>
        <w:t>Amendments to AASB 1053 highlight that the relief set out in Appendix E of AASB 1053 is available only to for-profit private sector entities.</w:t>
      </w:r>
    </w:p>
    <w:p w14:paraId="3C514656" w14:textId="77777777" w:rsidR="00F22AF2" w:rsidRDefault="00F22AF2" w:rsidP="00F22AF2">
      <w:pPr>
        <w:pStyle w:val="Heading2Indent1"/>
      </w:pPr>
      <w:r>
        <w:t>Application date</w:t>
      </w:r>
    </w:p>
    <w:p w14:paraId="1504191A" w14:textId="03CFD933" w:rsidR="00F22AF2" w:rsidRPr="00F22AF2" w:rsidRDefault="00B16904" w:rsidP="00F22AF2">
      <w:pPr>
        <w:pStyle w:val="NoNumPlain1"/>
      </w:pPr>
      <w:r>
        <w:t xml:space="preserve">This Standard applies to annual periods </w:t>
      </w:r>
      <w:bookmarkStart w:id="10" w:name="ApplyText"/>
      <w:r>
        <w:t>beginning</w:t>
      </w:r>
      <w:bookmarkEnd w:id="10"/>
      <w:r>
        <w:t xml:space="preserve"> on or after</w:t>
      </w:r>
      <w:r w:rsidR="00867FB0">
        <w:t xml:space="preserve"> </w:t>
      </w:r>
      <w:bookmarkStart w:id="11" w:name="ApplyDate"/>
      <w:r w:rsidR="00E92A04">
        <w:t>1 July 2021</w:t>
      </w:r>
      <w:bookmarkEnd w:id="11"/>
      <w:r>
        <w:t>. Earlier application is permitted</w:t>
      </w:r>
      <w:r w:rsidR="009943AB">
        <w:t>, provided that AASB 1060 is also applied to the same period</w:t>
      </w:r>
      <w:r>
        <w:t>.</w:t>
      </w:r>
    </w:p>
    <w:p w14:paraId="5943B556" w14:textId="77777777" w:rsidR="00F22AF2" w:rsidRPr="0000292B" w:rsidRDefault="00F22AF2"/>
    <w:p w14:paraId="15909B9B" w14:textId="77777777" w:rsidR="00090A6F" w:rsidRPr="0000292B" w:rsidRDefault="00090A6F">
      <w:pPr>
        <w:sectPr w:rsidR="00090A6F" w:rsidRPr="0000292B" w:rsidSect="00D74C6A">
          <w:footerReference w:type="default" r:id="rId14"/>
          <w:pgSz w:w="11907" w:h="16840" w:code="9"/>
          <w:pgMar w:top="1418" w:right="1418" w:bottom="1418" w:left="1418" w:header="709" w:footer="709" w:gutter="0"/>
          <w:paperSrc w:first="7" w:other="7"/>
          <w:cols w:space="720"/>
        </w:sectPr>
      </w:pPr>
    </w:p>
    <w:p w14:paraId="67AE4A58" w14:textId="36923FEE"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660B1E" w:rsidRPr="00660B1E">
        <w:rPr>
          <w:iCs/>
        </w:rPr>
        <w:t>2021-1</w:t>
      </w:r>
      <w:r w:rsidR="001662B8" w:rsidRPr="00BC0D5D">
        <w:rPr>
          <w:iCs/>
        </w:rPr>
        <w:fldChar w:fldCharType="end"/>
      </w:r>
    </w:p>
    <w:p w14:paraId="24670549" w14:textId="78737C28" w:rsidR="001662B8" w:rsidRDefault="001662B8" w:rsidP="003E1900">
      <w:pPr>
        <w:pStyle w:val="NoNumPlain1"/>
      </w:pPr>
      <w:r>
        <w:t>The Australian Accounting Standards Board makes Accounting Standard AASB </w:t>
      </w:r>
      <w:fldSimple w:instr=" REF DocNo  \* charformat " w:fldLock="1">
        <w:r w:rsidR="00660B1E">
          <w:t>2021-1</w:t>
        </w:r>
      </w:fldSimple>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660B1E" w:rsidRPr="00660B1E">
        <w:rPr>
          <w:i/>
        </w:rPr>
        <w:t>Amendments to Australian Accounting Standards – Transition to Tier 2: Simplified Disclosures for Not-for-Profit Entities</w:t>
      </w:r>
      <w:r w:rsidR="00CC1DF4" w:rsidRPr="00CC1DF4">
        <w:rPr>
          <w:i/>
        </w:rPr>
        <w:fldChar w:fldCharType="end"/>
      </w:r>
      <w:bookmarkStart w:id="12" w:name="CorpsAct"/>
      <w:r w:rsidR="002B7803">
        <w:rPr>
          <w:i/>
          <w:iCs/>
        </w:rPr>
        <w:t xml:space="preserve"> </w:t>
      </w:r>
      <w:r>
        <w:t xml:space="preserve">under section 334 of the </w:t>
      </w:r>
      <w:r>
        <w:rPr>
          <w:i/>
          <w:iCs/>
        </w:rPr>
        <w:t>Corporations Act 2001</w:t>
      </w:r>
      <w:bookmarkEnd w:id="12"/>
      <w:r>
        <w:t>.</w:t>
      </w:r>
    </w:p>
    <w:tbl>
      <w:tblPr>
        <w:tblW w:w="9214" w:type="dxa"/>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4361"/>
        <w:gridCol w:w="4853"/>
      </w:tblGrid>
      <w:tr w:rsidR="00C03C7B" w14:paraId="65611395" w14:textId="77777777" w:rsidTr="00500591">
        <w:tc>
          <w:tcPr>
            <w:tcW w:w="4361" w:type="dxa"/>
          </w:tcPr>
          <w:p w14:paraId="1F4289E7" w14:textId="77777777" w:rsidR="00C03C7B" w:rsidRDefault="00C03C7B" w:rsidP="0048155F"/>
        </w:tc>
        <w:tc>
          <w:tcPr>
            <w:tcW w:w="4853" w:type="dxa"/>
          </w:tcPr>
          <w:p w14:paraId="56B1283A" w14:textId="478A2F25" w:rsidR="00C03C7B" w:rsidRDefault="006852AD" w:rsidP="0048155F">
            <w:pPr>
              <w:jc w:val="right"/>
            </w:pPr>
            <w:r>
              <w:t>Keith Kendall</w:t>
            </w:r>
          </w:p>
        </w:tc>
      </w:tr>
      <w:tr w:rsidR="00C03C7B" w14:paraId="479273FA" w14:textId="77777777" w:rsidTr="00500591">
        <w:tc>
          <w:tcPr>
            <w:tcW w:w="4361" w:type="dxa"/>
          </w:tcPr>
          <w:p w14:paraId="58392527" w14:textId="425C044E" w:rsidR="00C03C7B" w:rsidRDefault="00C03C7B" w:rsidP="0048155F">
            <w:r>
              <w:t>Dated</w:t>
            </w:r>
            <w:r w:rsidRPr="00A909C1">
              <w:t xml:space="preserve"> </w:t>
            </w:r>
            <w:bookmarkStart w:id="13" w:name="DateSigned"/>
            <w:r w:rsidR="00546DEF">
              <w:t>29 March 2021</w:t>
            </w:r>
            <w:bookmarkEnd w:id="13"/>
          </w:p>
        </w:tc>
        <w:tc>
          <w:tcPr>
            <w:tcW w:w="4853" w:type="dxa"/>
          </w:tcPr>
          <w:p w14:paraId="235323D5" w14:textId="77777777" w:rsidR="00C03C7B" w:rsidRDefault="00C03C7B" w:rsidP="0048155F">
            <w:pPr>
              <w:jc w:val="right"/>
            </w:pPr>
            <w:r>
              <w:t>Chair – AASB</w:t>
            </w:r>
          </w:p>
        </w:tc>
      </w:tr>
    </w:tbl>
    <w:p w14:paraId="5878103E" w14:textId="51472C6C"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660B1E" w:rsidRPr="00660B1E">
        <w:rPr>
          <w:iCs/>
        </w:rPr>
        <w:t>2021-1</w:t>
      </w:r>
      <w:r w:rsidR="00BC0D5D" w:rsidRPr="00BC0D5D">
        <w:rPr>
          <w:iCs/>
        </w:rPr>
        <w:fldChar w:fldCharType="end"/>
      </w:r>
    </w:p>
    <w:p w14:paraId="1113ECDF" w14:textId="24AAD0B3" w:rsidR="00090A6F" w:rsidRDefault="00CC1DF4" w:rsidP="005D1BCF">
      <w:pPr>
        <w:pStyle w:val="Heading1Italic"/>
        <w:spacing w:before="0"/>
      </w:pPr>
      <w:r>
        <w:fldChar w:fldCharType="begin" w:fldLock="1"/>
      </w:r>
      <w:r>
        <w:instrText xml:space="preserve"> REF DocTitle \* charformat</w:instrText>
      </w:r>
      <w:r w:rsidR="005D1BCF">
        <w:instrText xml:space="preserve"> \* MERGEFORMAT </w:instrText>
      </w:r>
      <w:r>
        <w:fldChar w:fldCharType="separate"/>
      </w:r>
      <w:r w:rsidR="00660B1E">
        <w:t xml:space="preserve">Amendments to Australian Accounting Standards – Transition to Tier 2: </w:t>
      </w:r>
      <w:r w:rsidR="00660B1E" w:rsidRPr="0030333F">
        <w:t>Simplified Disclosures</w:t>
      </w:r>
      <w:r w:rsidR="00660B1E">
        <w:t xml:space="preserve"> for Not-for-Profit Entities</w:t>
      </w:r>
      <w:r>
        <w:fldChar w:fldCharType="end"/>
      </w:r>
    </w:p>
    <w:p w14:paraId="4472F264" w14:textId="77777777" w:rsidR="00090A6F" w:rsidRPr="0000292B" w:rsidRDefault="00090A6F" w:rsidP="00FC30DA">
      <w:pPr>
        <w:pStyle w:val="Heading2"/>
      </w:pPr>
      <w:bookmarkStart w:id="14" w:name="TOCStart"/>
      <w:bookmarkEnd w:id="14"/>
      <w:r w:rsidRPr="0000292B">
        <w:t>Objective</w:t>
      </w:r>
    </w:p>
    <w:p w14:paraId="5522A9EF" w14:textId="4C15AA6A" w:rsidR="00533889" w:rsidRDefault="00533889" w:rsidP="001E0523">
      <w:pPr>
        <w:pStyle w:val="NumPlain1"/>
        <w:numPr>
          <w:ilvl w:val="0"/>
          <w:numId w:val="23"/>
        </w:numPr>
        <w:spacing w:before="0"/>
        <w:ind w:left="782" w:hanging="782"/>
      </w:pPr>
      <w:r w:rsidRPr="00766E15">
        <w:t>Th</w:t>
      </w:r>
      <w:r>
        <w:t xml:space="preserve">is Standard amends AASB 1053 </w:t>
      </w:r>
      <w:r w:rsidRPr="00766E15">
        <w:rPr>
          <w:i/>
        </w:rPr>
        <w:t>Application of Tiers of Australian Accounting Standards</w:t>
      </w:r>
      <w:r>
        <w:rPr>
          <w:i/>
        </w:rPr>
        <w:t xml:space="preserve"> </w:t>
      </w:r>
      <w:r w:rsidRPr="00012078">
        <w:rPr>
          <w:iCs/>
        </w:rPr>
        <w:t>(</w:t>
      </w:r>
      <w:r w:rsidRPr="00EA227E">
        <w:t>June 2010</w:t>
      </w:r>
      <w:r>
        <w:t xml:space="preserve">) and AASB 1060 </w:t>
      </w:r>
      <w:r>
        <w:rPr>
          <w:i/>
        </w:rPr>
        <w:t xml:space="preserve">General Purpose Financial Statements – Simplified Disclosures for For-Profit and Not-for-Profit Tier 2 Entities </w:t>
      </w:r>
      <w:r>
        <w:t xml:space="preserve">(March 2020) principally </w:t>
      </w:r>
      <w:r w:rsidRPr="001179BE">
        <w:t xml:space="preserve">to provide not-for-profit entities with </w:t>
      </w:r>
      <w:r w:rsidR="006E369A">
        <w:t xml:space="preserve">optional </w:t>
      </w:r>
      <w:r w:rsidRPr="001179BE">
        <w:t xml:space="preserve">relief </w:t>
      </w:r>
      <w:r>
        <w:t xml:space="preserve">in certain circumstances </w:t>
      </w:r>
      <w:r w:rsidRPr="001179BE">
        <w:t xml:space="preserve">from presenting comparative information in the notes to the financial statements </w:t>
      </w:r>
      <w:r>
        <w:t xml:space="preserve">when </w:t>
      </w:r>
      <w:r w:rsidRPr="001179BE">
        <w:t xml:space="preserve">transitioning </w:t>
      </w:r>
      <w:r>
        <w:t xml:space="preserve">from </w:t>
      </w:r>
      <w:r w:rsidR="00FE2305">
        <w:t xml:space="preserve">either </w:t>
      </w:r>
      <w:r w:rsidR="006E369A">
        <w:t xml:space="preserve">Tier 1: Australian Accounting Standards or </w:t>
      </w:r>
      <w:r w:rsidRPr="001179BE">
        <w:t xml:space="preserve">Tier 2: Australian Accounting Standards – Reduced Disclosure Requirements </w:t>
      </w:r>
      <w:r>
        <w:t xml:space="preserve">to </w:t>
      </w:r>
      <w:r w:rsidRPr="001179BE">
        <w:t>Tier 2: Australian Accounting Standards – Simplified Disclosures.</w:t>
      </w:r>
    </w:p>
    <w:p w14:paraId="09876609" w14:textId="77777777" w:rsidR="00090A6F" w:rsidRPr="0000292B" w:rsidRDefault="00090A6F">
      <w:pPr>
        <w:pStyle w:val="Heading2"/>
      </w:pPr>
      <w:r w:rsidRPr="0000292B">
        <w:t>Application</w:t>
      </w:r>
    </w:p>
    <w:p w14:paraId="2A621F78" w14:textId="6F651E62" w:rsidR="005A6AC7" w:rsidRPr="00AB69F8" w:rsidRDefault="005A6AC7" w:rsidP="001E0523">
      <w:pPr>
        <w:pStyle w:val="NumPlain1"/>
        <w:numPr>
          <w:ilvl w:val="0"/>
          <w:numId w:val="23"/>
        </w:numPr>
        <w:spacing w:before="0"/>
        <w:ind w:left="782" w:hanging="782"/>
        <w:rPr>
          <w:b/>
          <w:bCs/>
        </w:rPr>
      </w:pPr>
      <w:r w:rsidRPr="00AB69F8">
        <w:rPr>
          <w:bCs/>
        </w:rPr>
        <w:t xml:space="preserve">The amendments set out in this Standard apply to entities and financial statements in accordance with the application of the other Standards set out in AASB 1057 </w:t>
      </w:r>
      <w:r w:rsidRPr="00AB69F8">
        <w:rPr>
          <w:bCs/>
          <w:i/>
        </w:rPr>
        <w:t>Application of Australian Accounting Standards.</w:t>
      </w:r>
    </w:p>
    <w:p w14:paraId="115DFAEA" w14:textId="0531E59C" w:rsidR="00090A6F" w:rsidRPr="00AB69F8" w:rsidRDefault="00090A6F" w:rsidP="001E0523">
      <w:pPr>
        <w:pStyle w:val="NumPlain1"/>
        <w:numPr>
          <w:ilvl w:val="0"/>
          <w:numId w:val="23"/>
        </w:numPr>
        <w:spacing w:before="0"/>
        <w:ind w:left="782" w:hanging="782"/>
        <w:rPr>
          <w:b/>
          <w:bCs/>
        </w:rPr>
      </w:pPr>
      <w:r w:rsidRPr="00AB69F8">
        <w:rPr>
          <w:bCs/>
        </w:rPr>
        <w:t xml:space="preserve">This Standard applies to annual periods </w:t>
      </w:r>
      <w:r w:rsidR="005A6AC7" w:rsidRPr="00AB69F8">
        <w:rPr>
          <w:b/>
          <w:bCs/>
        </w:rPr>
        <w:fldChar w:fldCharType="begin" w:fldLock="1"/>
      </w:r>
      <w:r w:rsidR="005A6AC7" w:rsidRPr="00AB69F8">
        <w:rPr>
          <w:bCs/>
        </w:rPr>
        <w:instrText xml:space="preserve"> REF ApplyText \* charformat</w:instrText>
      </w:r>
      <w:r w:rsidR="00AB69F8">
        <w:rPr>
          <w:bCs/>
        </w:rPr>
        <w:instrText xml:space="preserve"> \* MERGEFORMAT </w:instrText>
      </w:r>
      <w:r w:rsidR="005A6AC7" w:rsidRPr="00AB69F8">
        <w:rPr>
          <w:b/>
          <w:bCs/>
        </w:rPr>
        <w:fldChar w:fldCharType="separate"/>
      </w:r>
      <w:r w:rsidR="00660B1E" w:rsidRPr="00660B1E">
        <w:rPr>
          <w:bCs/>
        </w:rPr>
        <w:t>beginning</w:t>
      </w:r>
      <w:r w:rsidR="005A6AC7" w:rsidRPr="00AB69F8">
        <w:rPr>
          <w:b/>
          <w:bCs/>
        </w:rPr>
        <w:fldChar w:fldCharType="end"/>
      </w:r>
      <w:r w:rsidRPr="00AB69F8">
        <w:rPr>
          <w:bCs/>
        </w:rPr>
        <w:t xml:space="preserve"> on or after </w:t>
      </w:r>
      <w:r w:rsidR="005A6AC7" w:rsidRPr="00AB69F8">
        <w:rPr>
          <w:b/>
          <w:bCs/>
        </w:rPr>
        <w:fldChar w:fldCharType="begin" w:fldLock="1"/>
      </w:r>
      <w:r w:rsidR="005A6AC7" w:rsidRPr="00AB69F8">
        <w:rPr>
          <w:bCs/>
        </w:rPr>
        <w:instrText xml:space="preserve"> REF ApplyDate \* charformat</w:instrText>
      </w:r>
      <w:r w:rsidR="00AB69F8">
        <w:rPr>
          <w:bCs/>
        </w:rPr>
        <w:instrText xml:space="preserve"> \* MERGEFORMAT </w:instrText>
      </w:r>
      <w:r w:rsidR="005A6AC7" w:rsidRPr="00AB69F8">
        <w:rPr>
          <w:b/>
          <w:bCs/>
        </w:rPr>
        <w:fldChar w:fldCharType="separate"/>
      </w:r>
      <w:r w:rsidR="00660B1E" w:rsidRPr="00660B1E">
        <w:rPr>
          <w:bCs/>
        </w:rPr>
        <w:t>1 July 2021</w:t>
      </w:r>
      <w:r w:rsidR="005A6AC7" w:rsidRPr="00AB69F8">
        <w:rPr>
          <w:b/>
          <w:bCs/>
        </w:rPr>
        <w:fldChar w:fldCharType="end"/>
      </w:r>
      <w:r w:rsidRPr="00AB69F8">
        <w:rPr>
          <w:bCs/>
        </w:rPr>
        <w:t>.</w:t>
      </w:r>
    </w:p>
    <w:p w14:paraId="5D6F9EF3" w14:textId="5152B454" w:rsidR="00090A6F" w:rsidRPr="00AB69F8" w:rsidRDefault="00090A6F" w:rsidP="001E0523">
      <w:pPr>
        <w:pStyle w:val="NumPlain1"/>
        <w:numPr>
          <w:ilvl w:val="0"/>
          <w:numId w:val="23"/>
        </w:numPr>
        <w:spacing w:before="0"/>
        <w:ind w:left="782" w:hanging="782"/>
        <w:rPr>
          <w:b/>
          <w:bCs/>
        </w:rPr>
      </w:pPr>
      <w:bookmarkStart w:id="15" w:name="EarlyYesPara"/>
      <w:r w:rsidRPr="00AB69F8">
        <w:rPr>
          <w:bCs/>
        </w:rPr>
        <w:t xml:space="preserve">This Standard may be applied to annual periods </w:t>
      </w:r>
      <w:bookmarkStart w:id="16" w:name="EarlyText"/>
      <w:r w:rsidR="00E839DA" w:rsidRPr="00AB69F8">
        <w:rPr>
          <w:bCs/>
        </w:rPr>
        <w:t>beginning</w:t>
      </w:r>
      <w:bookmarkEnd w:id="16"/>
      <w:r w:rsidRPr="00AB69F8">
        <w:rPr>
          <w:bCs/>
        </w:rPr>
        <w:t xml:space="preserve"> </w:t>
      </w:r>
      <w:r w:rsidR="0078116B" w:rsidRPr="00AB69F8">
        <w:rPr>
          <w:bCs/>
        </w:rPr>
        <w:t xml:space="preserve">before </w:t>
      </w:r>
      <w:r w:rsidR="00B34046" w:rsidRPr="00AB69F8">
        <w:rPr>
          <w:b/>
          <w:bCs/>
        </w:rPr>
        <w:fldChar w:fldCharType="begin" w:fldLock="1"/>
      </w:r>
      <w:r w:rsidR="00B34046" w:rsidRPr="00AB69F8">
        <w:rPr>
          <w:bCs/>
        </w:rPr>
        <w:instrText xml:space="preserve"> REF ApplyDate  \* charformat  </w:instrText>
      </w:r>
      <w:r w:rsidR="00AB69F8">
        <w:rPr>
          <w:bCs/>
        </w:rPr>
        <w:instrText xml:space="preserve"> \* MERGEFORMAT </w:instrText>
      </w:r>
      <w:r w:rsidR="00B34046" w:rsidRPr="00AB69F8">
        <w:rPr>
          <w:b/>
          <w:bCs/>
        </w:rPr>
        <w:fldChar w:fldCharType="separate"/>
      </w:r>
      <w:r w:rsidR="00660B1E" w:rsidRPr="00660B1E">
        <w:rPr>
          <w:bCs/>
        </w:rPr>
        <w:t>1 July 2021</w:t>
      </w:r>
      <w:r w:rsidR="00B34046" w:rsidRPr="00AB69F8">
        <w:rPr>
          <w:b/>
          <w:bCs/>
        </w:rPr>
        <w:fldChar w:fldCharType="end"/>
      </w:r>
      <w:r w:rsidR="00AB69F8" w:rsidRPr="00AB69F8">
        <w:rPr>
          <w:bCs/>
        </w:rPr>
        <w:t xml:space="preserve"> provided that entities apply AASB 1060 to the same period</w:t>
      </w:r>
      <w:r w:rsidRPr="00AB69F8">
        <w:rPr>
          <w:bCs/>
        </w:rPr>
        <w:t xml:space="preserve">. When an entity applies this Standard to </w:t>
      </w:r>
      <w:r w:rsidR="00590051" w:rsidRPr="00AB69F8">
        <w:rPr>
          <w:bCs/>
        </w:rPr>
        <w:t xml:space="preserve">such </w:t>
      </w:r>
      <w:r w:rsidRPr="00AB69F8">
        <w:rPr>
          <w:bCs/>
        </w:rPr>
        <w:t>an annual period</w:t>
      </w:r>
      <w:r w:rsidR="00590051" w:rsidRPr="00AB69F8">
        <w:rPr>
          <w:bCs/>
        </w:rPr>
        <w:t>,</w:t>
      </w:r>
      <w:r w:rsidRPr="00AB69F8">
        <w:rPr>
          <w:bCs/>
        </w:rPr>
        <w:t xml:space="preserve"> it shall disclose that fact.</w:t>
      </w:r>
    </w:p>
    <w:bookmarkEnd w:id="15"/>
    <w:p w14:paraId="50778CA5" w14:textId="6D2806B9" w:rsidR="003652AD" w:rsidRDefault="00926CB2" w:rsidP="001E0523">
      <w:pPr>
        <w:pStyle w:val="NumPlain1"/>
        <w:numPr>
          <w:ilvl w:val="0"/>
          <w:numId w:val="23"/>
        </w:numPr>
        <w:spacing w:before="0"/>
        <w:ind w:left="782" w:hanging="782"/>
      </w:pPr>
      <w:r w:rsidRPr="00A67B31">
        <w:t xml:space="preserve">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w:t>
      </w:r>
      <w:r>
        <w:t xml:space="preserve">Amended paragraphs are shown with deleted text struck through and new text underlined. </w:t>
      </w:r>
    </w:p>
    <w:p w14:paraId="7E3C7324" w14:textId="77777777" w:rsidR="003652AD" w:rsidRDefault="003652AD" w:rsidP="003652AD">
      <w:pPr>
        <w:pStyle w:val="Heading2"/>
      </w:pPr>
      <w:r>
        <w:lastRenderedPageBreak/>
        <w:t>Amendments to AASB 1053</w:t>
      </w:r>
    </w:p>
    <w:p w14:paraId="701A3232" w14:textId="7F706633" w:rsidR="003652AD" w:rsidRDefault="003652AD" w:rsidP="003F0463">
      <w:pPr>
        <w:pStyle w:val="NumPlain1"/>
        <w:keepNext/>
        <w:numPr>
          <w:ilvl w:val="0"/>
          <w:numId w:val="23"/>
        </w:numPr>
        <w:spacing w:before="0" w:after="240"/>
        <w:ind w:left="782" w:hanging="782"/>
      </w:pPr>
      <w:r>
        <w:t>In Appendix C accompanying AASB 1053, Chart 1: First-time Adoption of Tier 1 or Tier 2 Reporting Requirements (paragraphs 18–18D) is replaced with the following</w:t>
      </w:r>
      <w:r w:rsidR="005A4AA9">
        <w:t xml:space="preserve"> chart</w:t>
      </w:r>
      <w:r>
        <w:t>.</w:t>
      </w:r>
    </w:p>
    <w:p w14:paraId="3804ADC3" w14:textId="77777777" w:rsidR="003652AD" w:rsidRPr="00BE0C02" w:rsidRDefault="003652AD" w:rsidP="003032D5">
      <w:pPr>
        <w:pStyle w:val="IASBNormalnparaL1"/>
        <w:keepNext/>
        <w:spacing w:after="120"/>
        <w:ind w:left="782"/>
        <w:rPr>
          <w:b/>
          <w:lang w:val="en-AU"/>
        </w:rPr>
      </w:pPr>
      <w:r w:rsidRPr="00BE0C02">
        <w:rPr>
          <w:b/>
          <w:lang w:val="en-AU"/>
        </w:rPr>
        <w:t>Chart 1: First-time Adoption of Tier 1 or Tier 2 Reporting Requirements (paragraphs 18</w:t>
      </w:r>
      <w:r>
        <w:rPr>
          <w:b/>
          <w:lang w:val="en-AU"/>
        </w:rPr>
        <w:t>−</w:t>
      </w:r>
      <w:r w:rsidRPr="00BE0C02">
        <w:rPr>
          <w:b/>
          <w:lang w:val="en-AU"/>
        </w:rPr>
        <w:t>18D)</w:t>
      </w:r>
    </w:p>
    <w:p w14:paraId="268AE696" w14:textId="56152166" w:rsidR="003652AD" w:rsidRDefault="00BE0335" w:rsidP="003652AD">
      <w:pPr>
        <w:pStyle w:val="NumPlain1"/>
        <w:numPr>
          <w:ilvl w:val="0"/>
          <w:numId w:val="0"/>
        </w:numPr>
        <w:ind w:left="782" w:hanging="782"/>
      </w:pPr>
      <w:r>
        <w:rPr>
          <w:noProof/>
        </w:rPr>
        <mc:AlternateContent>
          <mc:Choice Requires="wps">
            <w:drawing>
              <wp:anchor distT="0" distB="0" distL="114300" distR="114300" simplePos="0" relativeHeight="251658242" behindDoc="0" locked="0" layoutInCell="1" allowOverlap="1" wp14:anchorId="3BD98D7B" wp14:editId="2FA74851">
                <wp:simplePos x="0" y="0"/>
                <wp:positionH relativeFrom="column">
                  <wp:posOffset>3154680</wp:posOffset>
                </wp:positionH>
                <wp:positionV relativeFrom="paragraph">
                  <wp:posOffset>4844576</wp:posOffset>
                </wp:positionV>
                <wp:extent cx="1423670" cy="675005"/>
                <wp:effectExtent l="0" t="0" r="24130" b="10795"/>
                <wp:wrapNone/>
                <wp:docPr id="1" name="Hexagon 1" descr="Chart 1: First-time Adoption of Tier 1 or Tier 2 Reporting Requirements (paragraphs 18−18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423670" cy="675005"/>
                        </a:xfrm>
                        <a:prstGeom prst="hexagon">
                          <a:avLst/>
                        </a:prstGeom>
                        <a:noFill/>
                        <a:ln w="9525" cap="flat" cmpd="sng" algn="ctr">
                          <a:solidFill>
                            <a:sysClr val="windowText" lastClr="000000"/>
                          </a:solidFill>
                          <a:prstDash val="solid"/>
                        </a:ln>
                        <a:effectLst/>
                      </wps:spPr>
                      <wps:txbx>
                        <w:txbxContent>
                          <w:p w14:paraId="7139EBBA" w14:textId="77777777" w:rsidR="00E34820" w:rsidRDefault="00E34820" w:rsidP="003652AD">
                            <w:pPr>
                              <w:spacing w:line="130" w:lineRule="exact"/>
                              <w:jc w:val="center"/>
                              <w:rPr>
                                <w:sz w:val="24"/>
                                <w:szCs w:val="24"/>
                              </w:rPr>
                            </w:pPr>
                            <w:r w:rsidRPr="001F38AC">
                              <w:rPr>
                                <w:rFonts w:cs="Arial"/>
                                <w:color w:val="000000"/>
                                <w:kern w:val="24"/>
                                <w:sz w:val="13"/>
                                <w:szCs w:val="13"/>
                              </w:rPr>
                              <w:t>Is the entity a for-profit private sector entity that is adopting Tier 2 – Simplified Disclosures for a reporting period beginning before 1 July 2021?</w:t>
                            </w:r>
                          </w:p>
                        </w:txbxContent>
                      </wps:txbx>
                      <wps:bodyPr rot="0" spcFirstLastPara="0"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D98D7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alt="Chart 1: First-time Adoption of Tier 1 or Tier 2 Reporting Requirements (paragraphs 18−18D)" style="position:absolute;left:0;text-align:left;margin-left:248.4pt;margin-top:381.45pt;width:112.1pt;height:53.1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" adj="2560" filled="f" strokecolor="windowText">
                <v:textbox inset="1mm,0,1mm,0">
                  <w:txbxContent>
                    <w:p w14:paraId="7139EBBA" w14:textId="77777777" w:rsidR="00E34820" w:rsidRDefault="00E34820" w:rsidP="003652AD">
                      <w:pPr>
                        <w:spacing w:line="130" w:lineRule="exact"/>
                        <w:jc w:val="center"/>
                        <w:rPr>
                          <w:sz w:val="24"/>
                          <w:szCs w:val="24"/>
                        </w:rPr>
                      </w:pPr>
                      <w:r w:rsidRPr="001F38AC">
                        <w:rPr>
                          <w:rFonts w:cs="Arial"/>
                          <w:color w:val="000000"/>
                          <w:kern w:val="24"/>
                          <w:sz w:val="13"/>
                          <w:szCs w:val="13"/>
                        </w:rPr>
                        <w:t>Is the entity a for-profit private sector entity that is adopting Tier 2 – Simplified Disclosures for a reporting period beginning before 1 July 2021?</w:t>
                      </w:r>
                    </w:p>
                  </w:txbxContent>
                </v:textbox>
              </v:shape>
            </w:pict>
          </mc:Fallback>
        </mc:AlternateContent>
      </w:r>
      <w:r w:rsidR="00717946">
        <w:rPr>
          <w:noProof/>
        </w:rPr>
        <mc:AlternateContent>
          <mc:Choice Requires="wps">
            <w:drawing>
              <wp:anchor distT="0" distB="0" distL="114300" distR="114300" simplePos="0" relativeHeight="251658246" behindDoc="0" locked="0" layoutInCell="1" allowOverlap="1" wp14:anchorId="67095C7D" wp14:editId="2E5DF791">
                <wp:simplePos x="0" y="0"/>
                <wp:positionH relativeFrom="column">
                  <wp:posOffset>756500</wp:posOffset>
                </wp:positionH>
                <wp:positionV relativeFrom="paragraph">
                  <wp:posOffset>4354724</wp:posOffset>
                </wp:positionV>
                <wp:extent cx="427398" cy="3441"/>
                <wp:effectExtent l="0" t="0" r="0" b="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7398" cy="3441"/>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737C16C1" id="_x0000_t32" coordsize="21600,21600" o:spt="32" o:oned="t" path="m,l21600,21600e" filled="f">
                <v:path arrowok="t" fillok="f" o:connecttype="none"/>
                <o:lock v:ext="edit" shapetype="t"/>
              </v:shapetype>
              <v:shape id="Straight Arrow Connector 10" o:spid="_x0000_s1026" type="#_x0000_t32" style="position:absolute;margin-left:59.55pt;margin-top:342.9pt;width:33.65pt;height:.25pt;flip:x;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" strokecolor="windowText">
                <v:stroke endarrow="block"/>
                <o:lock v:ext="edit" shapetype="f"/>
              </v:shape>
            </w:pict>
          </mc:Fallback>
        </mc:AlternateContent>
      </w:r>
      <w:r w:rsidR="003652AD">
        <w:rPr>
          <w:noProof/>
        </w:rPr>
        <mc:AlternateContent>
          <mc:Choice Requires="wps">
            <w:drawing>
              <wp:anchor distT="0" distB="0" distL="114300" distR="114300" simplePos="0" relativeHeight="251658243" behindDoc="0" locked="0" layoutInCell="1" allowOverlap="1" wp14:anchorId="7C8F4BD7" wp14:editId="18A8C6B4">
                <wp:simplePos x="0" y="0"/>
                <wp:positionH relativeFrom="margin">
                  <wp:align>center</wp:align>
                </wp:positionH>
                <wp:positionV relativeFrom="paragraph">
                  <wp:posOffset>7488667</wp:posOffset>
                </wp:positionV>
                <wp:extent cx="5943600" cy="495300"/>
                <wp:effectExtent l="0" t="0" r="0" b="0"/>
                <wp:wrapNone/>
                <wp:docPr id="3" name="Text Box 3" descr="Footnote to tabl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943600" cy="495300"/>
                        </a:xfrm>
                        <a:prstGeom prst="rect">
                          <a:avLst/>
                        </a:prstGeom>
                        <a:noFill/>
                        <a:ln w="6350">
                          <a:noFill/>
                        </a:ln>
                      </wps:spPr>
                      <wps:txbx>
                        <w:txbxContent>
                          <w:p w14:paraId="08950767" w14:textId="77777777" w:rsidR="00E34820" w:rsidRPr="001512C2" w:rsidRDefault="00E34820" w:rsidP="003652AD">
                            <w:pPr>
                              <w:ind w:left="3119" w:hanging="3119"/>
                              <w:rPr>
                                <w:sz w:val="16"/>
                                <w:szCs w:val="16"/>
                                <w:u w:val="single"/>
                              </w:rPr>
                            </w:pPr>
                            <w:r>
                              <w:rPr>
                                <w:sz w:val="16"/>
                                <w:szCs w:val="16"/>
                                <w:u w:val="single"/>
                              </w:rPr>
                              <w:tab/>
                            </w:r>
                          </w:p>
                          <w:p w14:paraId="5849B9A8" w14:textId="2554AD91" w:rsidR="00E34820" w:rsidRPr="005F2BFD" w:rsidRDefault="00BE5BF3" w:rsidP="003652AD">
                            <w:pPr>
                              <w:spacing w:before="40"/>
                              <w:ind w:left="284" w:hanging="284"/>
                              <w:rPr>
                                <w:sz w:val="16"/>
                                <w:szCs w:val="16"/>
                              </w:rPr>
                            </w:pPr>
                            <w:r w:rsidRPr="003B687B">
                              <w:rPr>
                                <w:sz w:val="18"/>
                                <w:szCs w:val="18"/>
                              </w:rPr>
                              <w:t>*</w:t>
                            </w:r>
                            <w:r w:rsidR="00E34820">
                              <w:rPr>
                                <w:sz w:val="16"/>
                                <w:szCs w:val="16"/>
                              </w:rPr>
                              <w:tab/>
                            </w:r>
                            <w:r w:rsidR="00E34820" w:rsidRPr="005F2BFD">
                              <w:rPr>
                                <w:sz w:val="16"/>
                                <w:szCs w:val="16"/>
                              </w:rPr>
                              <w:t xml:space="preserve">AASB 1060, paragraph B1, provides optional relief from presenting comparative information for new disclosures for not-for-profit entities transitioning </w:t>
                            </w:r>
                            <w:r w:rsidR="00E34820">
                              <w:rPr>
                                <w:sz w:val="16"/>
                                <w:szCs w:val="16"/>
                              </w:rPr>
                              <w:t xml:space="preserve">early </w:t>
                            </w:r>
                            <w:r w:rsidR="00E34820" w:rsidRPr="005F2BFD">
                              <w:rPr>
                                <w:sz w:val="16"/>
                                <w:szCs w:val="16"/>
                              </w:rPr>
                              <w:t xml:space="preserve">from </w:t>
                            </w:r>
                            <w:r w:rsidR="00E34820">
                              <w:rPr>
                                <w:sz w:val="16"/>
                                <w:szCs w:val="16"/>
                              </w:rPr>
                              <w:t xml:space="preserve">either Tier 1 or </w:t>
                            </w:r>
                            <w:r w:rsidR="00E34820" w:rsidRPr="005F2BFD">
                              <w:rPr>
                                <w:sz w:val="16"/>
                                <w:szCs w:val="16"/>
                              </w:rPr>
                              <w:t>Tier 2 – Reduced Disclosure Requirements</w:t>
                            </w:r>
                            <w:r w:rsidR="00E34820">
                              <w:rPr>
                                <w:sz w:val="16"/>
                                <w:szCs w:val="16"/>
                              </w:rPr>
                              <w:t xml:space="preserve"> to Tier 2 – Simplified Disclosures.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8F4BD7" id="_x0000_t202" coordsize="21600,21600" o:spt="202" path="m,l,21600r21600,l21600,xe">
                <v:stroke joinstyle="miter"/>
                <v:path gradientshapeok="t" o:connecttype="rect"/>
              </v:shapetype>
              <v:shape id="Text Box 3" o:spid="_x0000_s1027" type="#_x0000_t202" alt="Footnote to table" style="position:absolute;left:0;text-align:left;margin-left:0;margin-top:589.65pt;width:468pt;height:39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" filled="f" stroked="f" strokeweight=".5pt">
                <v:textbox>
                  <w:txbxContent>
                    <w:p w14:paraId="08950767" w14:textId="77777777" w:rsidR="00E34820" w:rsidRPr="001512C2" w:rsidRDefault="00E34820" w:rsidP="003652AD">
                      <w:pPr>
                        <w:ind w:left="3119" w:hanging="3119"/>
                        <w:rPr>
                          <w:sz w:val="16"/>
                          <w:szCs w:val="16"/>
                          <w:u w:val="single"/>
                        </w:rPr>
                      </w:pPr>
                      <w:r>
                        <w:rPr>
                          <w:sz w:val="16"/>
                          <w:szCs w:val="16"/>
                          <w:u w:val="single"/>
                        </w:rPr>
                        <w:tab/>
                      </w:r>
                    </w:p>
                    <w:p w14:paraId="5849B9A8" w14:textId="2554AD91" w:rsidR="00E34820" w:rsidRPr="005F2BFD" w:rsidRDefault="00BE5BF3" w:rsidP="003652AD">
                      <w:pPr>
                        <w:spacing w:before="40"/>
                        <w:ind w:left="284" w:hanging="284"/>
                        <w:rPr>
                          <w:sz w:val="16"/>
                          <w:szCs w:val="16"/>
                        </w:rPr>
                      </w:pPr>
                      <w:r w:rsidRPr="003B687B">
                        <w:rPr>
                          <w:sz w:val="18"/>
                          <w:szCs w:val="18"/>
                        </w:rPr>
                        <w:t>*</w:t>
                      </w:r>
                      <w:r w:rsidR="00E34820">
                        <w:rPr>
                          <w:sz w:val="16"/>
                          <w:szCs w:val="16"/>
                        </w:rPr>
                        <w:tab/>
                      </w:r>
                      <w:r w:rsidR="00E34820" w:rsidRPr="005F2BFD">
                        <w:rPr>
                          <w:sz w:val="16"/>
                          <w:szCs w:val="16"/>
                        </w:rPr>
                        <w:t xml:space="preserve">AASB 1060, paragraph B1, provides optional relief from presenting comparative information for new disclosures for not-for-profit entities transitioning </w:t>
                      </w:r>
                      <w:r w:rsidR="00E34820">
                        <w:rPr>
                          <w:sz w:val="16"/>
                          <w:szCs w:val="16"/>
                        </w:rPr>
                        <w:t xml:space="preserve">early </w:t>
                      </w:r>
                      <w:r w:rsidR="00E34820" w:rsidRPr="005F2BFD">
                        <w:rPr>
                          <w:sz w:val="16"/>
                          <w:szCs w:val="16"/>
                        </w:rPr>
                        <w:t xml:space="preserve">from </w:t>
                      </w:r>
                      <w:r w:rsidR="00E34820">
                        <w:rPr>
                          <w:sz w:val="16"/>
                          <w:szCs w:val="16"/>
                        </w:rPr>
                        <w:t xml:space="preserve">either Tier 1 or </w:t>
                      </w:r>
                      <w:r w:rsidR="00E34820" w:rsidRPr="005F2BFD">
                        <w:rPr>
                          <w:sz w:val="16"/>
                          <w:szCs w:val="16"/>
                        </w:rPr>
                        <w:t>Tier 2 – Reduced Disclosure Requirements</w:t>
                      </w:r>
                      <w:r w:rsidR="00E34820">
                        <w:rPr>
                          <w:sz w:val="16"/>
                          <w:szCs w:val="16"/>
                        </w:rPr>
                        <w:t xml:space="preserve"> to Tier 2 – Simplified Disclosures.</w:t>
                      </w:r>
                    </w:p>
                  </w:txbxContent>
                </v:textbox>
                <w10:wrap anchorx="margin"/>
              </v:shape>
            </w:pict>
          </mc:Fallback>
        </mc:AlternateContent>
      </w:r>
      <w:r w:rsidR="003652AD">
        <w:rPr>
          <w:noProof/>
        </w:rPr>
        <mc:AlternateContent>
          <mc:Choice Requires="wps">
            <w:drawing>
              <wp:anchor distT="0" distB="0" distL="114300" distR="114300" simplePos="0" relativeHeight="251658241" behindDoc="0" locked="0" layoutInCell="1" allowOverlap="1" wp14:anchorId="65EBFC4F" wp14:editId="6A3F821A">
                <wp:simplePos x="0" y="0"/>
                <wp:positionH relativeFrom="column">
                  <wp:posOffset>3898871</wp:posOffset>
                </wp:positionH>
                <wp:positionV relativeFrom="paragraph">
                  <wp:posOffset>5537270</wp:posOffset>
                </wp:positionV>
                <wp:extent cx="405804" cy="238108"/>
                <wp:effectExtent l="0" t="0" r="0" b="0"/>
                <wp:wrapNone/>
                <wp:docPr id="4" name="Text Box 2" descr="first time adoption of tier 1 or tier 2 reporting requirements&#10;&#10;flowchart information in regard to first time adoption of tier 1 or tier 2 reporting requirements for paragraphs 18 to 18d&#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04" cy="238108"/>
                        </a:xfrm>
                        <a:prstGeom prst="rect">
                          <a:avLst/>
                        </a:prstGeom>
                        <a:noFill/>
                        <a:ln w="9525">
                          <a:noFill/>
                          <a:miter lim="800000"/>
                          <a:headEnd/>
                          <a:tailEnd/>
                        </a:ln>
                      </wps:spPr>
                      <wps:txbx>
                        <w:txbxContent>
                          <w:p w14:paraId="11367E97" w14:textId="77777777" w:rsidR="00E34820" w:rsidRDefault="00E34820" w:rsidP="003652AD">
                            <w:pPr>
                              <w:spacing w:line="200" w:lineRule="exact"/>
                              <w:rPr>
                                <w:sz w:val="24"/>
                                <w:szCs w:val="24"/>
                              </w:rPr>
                            </w:pPr>
                            <w:r w:rsidRPr="00094538">
                              <w:rPr>
                                <w:rFonts w:cs="Arial"/>
                                <w:color w:val="000000"/>
                                <w:kern w:val="24"/>
                                <w:sz w:val="14"/>
                                <w:szCs w:val="14"/>
                              </w:rPr>
                              <w:t>Yes</w:t>
                            </w:r>
                          </w:p>
                        </w:txbxContent>
                      </wps:txbx>
                      <wps:bodyPr rot="0" vert="horz" wrap="square" lIns="91440" tIns="45720" rIns="91440" bIns="45720" anchor="t" anchorCtr="0">
                        <a:noAutofit/>
                      </wps:bodyPr>
                    </wps:wsp>
                  </a:graphicData>
                </a:graphic>
              </wp:anchor>
            </w:drawing>
          </mc:Choice>
          <mc:Fallback>
            <w:pict>
              <v:shape w14:anchorId="65EBFC4F" id="Text Box 2" o:spid="_x0000_s1028" type="#_x0000_t202" alt="first time adoption of tier 1 or tier 2 reporting requirements&#10;&#10;flowchart information in regard to first time adoption of tier 1 or tier 2 reporting requirements for paragraphs 18 to 18d&#10;" style="position:absolute;left:0;text-align:left;margin-left:307pt;margin-top:436pt;width:31.95pt;height:18.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" filled="f" stroked="f">
                <v:textbox>
                  <w:txbxContent>
                    <w:p w14:paraId="11367E97" w14:textId="77777777" w:rsidR="00E34820" w:rsidRDefault="00E34820" w:rsidP="003652AD">
                      <w:pPr>
                        <w:spacing w:line="200" w:lineRule="exact"/>
                        <w:rPr>
                          <w:sz w:val="24"/>
                          <w:szCs w:val="24"/>
                        </w:rPr>
                      </w:pPr>
                      <w:r w:rsidRPr="00094538">
                        <w:rPr>
                          <w:rFonts w:cs="Arial"/>
                          <w:color w:val="000000"/>
                          <w:kern w:val="24"/>
                          <w:sz w:val="14"/>
                          <w:szCs w:val="14"/>
                        </w:rPr>
                        <w:t>Yes</w:t>
                      </w:r>
                    </w:p>
                  </w:txbxContent>
                </v:textbox>
              </v:shape>
            </w:pict>
          </mc:Fallback>
        </mc:AlternateContent>
      </w:r>
      <w:r w:rsidR="0053634B">
        <w:rPr>
          <w:noProof/>
        </w:rPr>
        <mc:AlternateContent>
          <mc:Choice Requires="wps">
            <w:drawing>
              <wp:anchor distT="0" distB="0" distL="114300" distR="114300" simplePos="0" relativeHeight="251658244" behindDoc="0" locked="0" layoutInCell="1" allowOverlap="1" wp14:anchorId="56AAB08D" wp14:editId="06735263">
                <wp:simplePos x="0" y="0"/>
                <wp:positionH relativeFrom="column">
                  <wp:posOffset>5017586</wp:posOffset>
                </wp:positionH>
                <wp:positionV relativeFrom="paragraph">
                  <wp:posOffset>4896023</wp:posOffset>
                </wp:positionV>
                <wp:extent cx="719639" cy="692921"/>
                <wp:effectExtent l="0" t="0" r="0" b="0"/>
                <wp:wrapNone/>
                <wp:docPr id="8" name="Rectangle 8" descr="first time adoption of tier 1 or tier 2 reporting requirements&#10;&#10;flowchart information in regard to first time adoption of tier 1 or tier 2 reporting requirements for paragraphs 18 to 18d&#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19639" cy="692921"/>
                        </a:xfrm>
                        <a:prstGeom prst="rect">
                          <a:avLst/>
                        </a:prstGeom>
                        <a:noFill/>
                        <a:ln w="9525" cap="flat" cmpd="sng" algn="ctr">
                          <a:solidFill>
                            <a:sysClr val="windowText" lastClr="000000"/>
                          </a:solidFill>
                          <a:prstDash val="solid"/>
                        </a:ln>
                        <a:effectLst/>
                      </wps:spPr>
                      <wps:txbx>
                        <w:txbxContent>
                          <w:p w14:paraId="6BAB395A" w14:textId="7494CA31" w:rsidR="0053634B" w:rsidRDefault="0053634B" w:rsidP="0053634B">
                            <w:pPr>
                              <w:spacing w:line="200" w:lineRule="exact"/>
                              <w:jc w:val="center"/>
                              <w:rPr>
                                <w:sz w:val="24"/>
                                <w:szCs w:val="24"/>
                              </w:rPr>
                            </w:pPr>
                            <w:r>
                              <w:rPr>
                                <w:rFonts w:cs="Arial"/>
                                <w:color w:val="000000"/>
                                <w:kern w:val="24"/>
                                <w:sz w:val="13"/>
                                <w:szCs w:val="13"/>
                              </w:rPr>
                              <w:t>No relief</w:t>
                            </w:r>
                            <w:r w:rsidR="000202EB">
                              <w:rPr>
                                <w:rFonts w:cs="Arial"/>
                                <w:color w:val="000000"/>
                                <w:kern w:val="24"/>
                                <w:sz w:val="13"/>
                                <w:szCs w:val="13"/>
                              </w:rPr>
                              <w:t xml:space="preserve"> </w:t>
                            </w:r>
                            <w:r w:rsidR="000202EB" w:rsidRPr="00210DCA">
                              <w:rPr>
                                <w:rFonts w:cs="Arial"/>
                                <w:color w:val="000000"/>
                                <w:kern w:val="24"/>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AB08D" id="Rectangle 8" o:spid="_x0000_s1029" alt="first time adoption of tier 1 or tier 2 reporting requirements&#10;&#10;flowchart information in regard to first time adoption of tier 1 or tier 2 reporting requirements for paragraphs 18 to 18d&#10;" style="position:absolute;left:0;text-align:left;margin-left:395.1pt;margin-top:385.5pt;width:56.65pt;height:54.5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" filled="f" strokecolor="windowText">
                <v:textbox>
                  <w:txbxContent>
                    <w:p w14:paraId="6BAB395A" w14:textId="7494CA31" w:rsidR="0053634B" w:rsidRDefault="0053634B" w:rsidP="0053634B">
                      <w:pPr>
                        <w:spacing w:line="200" w:lineRule="exact"/>
                        <w:jc w:val="center"/>
                        <w:rPr>
                          <w:sz w:val="24"/>
                          <w:szCs w:val="24"/>
                        </w:rPr>
                      </w:pPr>
                      <w:r>
                        <w:rPr>
                          <w:rFonts w:cs="Arial"/>
                          <w:color w:val="000000"/>
                          <w:kern w:val="24"/>
                          <w:sz w:val="13"/>
                          <w:szCs w:val="13"/>
                        </w:rPr>
                        <w:t>No relief</w:t>
                      </w:r>
                      <w:r w:rsidR="000202EB">
                        <w:rPr>
                          <w:rFonts w:cs="Arial"/>
                          <w:color w:val="000000"/>
                          <w:kern w:val="24"/>
                          <w:sz w:val="13"/>
                          <w:szCs w:val="13"/>
                        </w:rPr>
                        <w:t xml:space="preserve"> </w:t>
                      </w:r>
                      <w:r w:rsidR="000202EB" w:rsidRPr="00210DCA">
                        <w:rPr>
                          <w:rFonts w:cs="Arial"/>
                          <w:color w:val="000000"/>
                          <w:kern w:val="24"/>
                          <w:sz w:val="18"/>
                          <w:szCs w:val="18"/>
                        </w:rPr>
                        <w:t>*</w:t>
                      </w:r>
                    </w:p>
                  </w:txbxContent>
                </v:textbox>
              </v:rect>
            </w:pict>
          </mc:Fallback>
        </mc:AlternateContent>
      </w:r>
      <w:r w:rsidR="00D37512">
        <w:rPr>
          <w:noProof/>
        </w:rPr>
        <mc:AlternateContent>
          <mc:Choice Requires="wps">
            <w:drawing>
              <wp:anchor distT="0" distB="0" distL="114300" distR="114300" simplePos="0" relativeHeight="251658245" behindDoc="0" locked="0" layoutInCell="1" allowOverlap="1" wp14:anchorId="4F5178FF" wp14:editId="1D17740A">
                <wp:simplePos x="0" y="0"/>
                <wp:positionH relativeFrom="column">
                  <wp:posOffset>725894</wp:posOffset>
                </wp:positionH>
                <wp:positionV relativeFrom="paragraph">
                  <wp:posOffset>6001091</wp:posOffset>
                </wp:positionV>
                <wp:extent cx="427398" cy="3441"/>
                <wp:effectExtent l="0" t="0" r="0" b="0"/>
                <wp:wrapNone/>
                <wp:docPr id="7" name="Straight Arrow Connector 7" descr="directional arro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7398" cy="3441"/>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1FE55825" id="Straight Arrow Connector 7" o:spid="_x0000_s1026" type="#_x0000_t32" alt="directional arrow" style="position:absolute;margin-left:57.15pt;margin-top:472.55pt;width:33.65pt;height:.25pt;flip:x;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" strokecolor="windowText">
                <v:stroke endarrow="block"/>
                <o:lock v:ext="edit" shapetype="f"/>
              </v:shape>
            </w:pict>
          </mc:Fallback>
        </mc:AlternateContent>
      </w:r>
      <w:r w:rsidR="003652AD">
        <w:rPr>
          <w:noProof/>
        </w:rPr>
        <mc:AlternateContent>
          <mc:Choice Requires="wpg">
            <w:drawing>
              <wp:inline distT="0" distB="0" distL="0" distR="0" wp14:anchorId="64B2FC15" wp14:editId="3DC16EAA">
                <wp:extent cx="5029200" cy="7298662"/>
                <wp:effectExtent l="0" t="0" r="95250" b="17145"/>
                <wp:docPr id="2" name="Group 6" descr="Chart 1: First-time Adoption of Tier 1 or Tier 2 Reporting Requirements (paragraphs 18−18D)"/>
                <wp:cNvGraphicFramePr/>
                <a:graphic xmlns:a="http://schemas.openxmlformats.org/drawingml/2006/main">
                  <a:graphicData uri="http://schemas.microsoft.com/office/word/2010/wordprocessingGroup">
                    <wpg:wgp>
                      <wpg:cNvGrpSpPr/>
                      <wpg:grpSpPr>
                        <a:xfrm>
                          <a:off x="0" y="0"/>
                          <a:ext cx="5029200" cy="7298662"/>
                          <a:chOff x="-15916" y="34186"/>
                          <a:chExt cx="5029645" cy="7298777"/>
                        </a:xfrm>
                      </wpg:grpSpPr>
                      <wps:wsp>
                        <wps:cNvPr id="54" name="Text Box 2" descr="yes" title="yes"/>
                        <wps:cNvSpPr txBox="1">
                          <a:spLocks noChangeArrowheads="1"/>
                        </wps:cNvSpPr>
                        <wps:spPr bwMode="auto">
                          <a:xfrm>
                            <a:off x="1903206" y="6441383"/>
                            <a:ext cx="405873" cy="238112"/>
                          </a:xfrm>
                          <a:prstGeom prst="rect">
                            <a:avLst/>
                          </a:prstGeom>
                          <a:noFill/>
                          <a:ln w="9525">
                            <a:noFill/>
                            <a:miter lim="800000"/>
                            <a:headEnd/>
                            <a:tailEnd/>
                          </a:ln>
                        </wps:spPr>
                        <wps:txbx>
                          <w:txbxContent>
                            <w:p w14:paraId="77A25BE5" w14:textId="77777777" w:rsidR="00E34820" w:rsidRDefault="00E34820" w:rsidP="003652AD">
                              <w:pPr>
                                <w:spacing w:line="200" w:lineRule="exact"/>
                                <w:rPr>
                                  <w:sz w:val="24"/>
                                  <w:szCs w:val="24"/>
                                </w:rPr>
                              </w:pPr>
                              <w:r>
                                <w:rPr>
                                  <w:rFonts w:cs="Arial"/>
                                  <w:color w:val="000000"/>
                                  <w:kern w:val="24"/>
                                  <w:sz w:val="14"/>
                                  <w:szCs w:val="14"/>
                                </w:rPr>
                                <w:t>Yes</w:t>
                              </w:r>
                            </w:p>
                          </w:txbxContent>
                        </wps:txbx>
                        <wps:bodyPr rot="0" vert="horz" wrap="square" lIns="91440" tIns="45720" rIns="91440" bIns="45720" anchor="t" anchorCtr="0">
                          <a:noAutofit/>
                        </wps:bodyPr>
                      </wps:wsp>
                      <wps:wsp>
                        <wps:cNvPr id="9" name="Rectangle 9" descr="first time adoption of tier 1 or tier 2 reporting requirements&#10;&#10;flowchart information in regard to first time adoption of tier 1 or tier 2 reporting requirements for paragraphs 18 to 18d"/>
                        <wps:cNvSpPr/>
                        <wps:spPr>
                          <a:xfrm>
                            <a:off x="1263443" y="34186"/>
                            <a:ext cx="1069882" cy="431866"/>
                          </a:xfrm>
                          <a:prstGeom prst="rect">
                            <a:avLst/>
                          </a:prstGeom>
                          <a:noFill/>
                          <a:ln w="9525" cap="flat" cmpd="sng" algn="ctr">
                            <a:solidFill>
                              <a:sysClr val="windowText" lastClr="000000"/>
                            </a:solidFill>
                            <a:prstDash val="solid"/>
                          </a:ln>
                          <a:effectLst/>
                        </wps:spPr>
                        <wps:txbx>
                          <w:txbxContent>
                            <w:p w14:paraId="7801EBDB" w14:textId="77777777" w:rsidR="00E34820" w:rsidRDefault="00E34820" w:rsidP="003652AD">
                              <w:pPr>
                                <w:spacing w:line="130" w:lineRule="exact"/>
                                <w:jc w:val="center"/>
                                <w:rPr>
                                  <w:sz w:val="24"/>
                                  <w:szCs w:val="24"/>
                                </w:rPr>
                              </w:pPr>
                              <w:r>
                                <w:rPr>
                                  <w:rFonts w:cs="Arial"/>
                                  <w:color w:val="000000"/>
                                  <w:kern w:val="24"/>
                                  <w:sz w:val="13"/>
                                  <w:szCs w:val="13"/>
                                </w:rPr>
                                <w:t>Transitioning from special purpose financial statements to Tier 1 or Tier 2 for the first time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Elbow Connector 21" descr="arrows" title="directional arrows"/>
                        <wps:cNvCnPr>
                          <a:cxnSpLocks/>
                        </wps:cNvCnPr>
                        <wps:spPr>
                          <a:xfrm rot="5400000">
                            <a:off x="1688669" y="577748"/>
                            <a:ext cx="224501" cy="1"/>
                          </a:xfrm>
                          <a:prstGeom prst="bentConnector3">
                            <a:avLst>
                              <a:gd name="adj1" fmla="val 50000"/>
                            </a:avLst>
                          </a:prstGeom>
                          <a:noFill/>
                          <a:ln w="9525" cap="flat" cmpd="sng" algn="ctr">
                            <a:solidFill>
                              <a:sysClr val="windowText" lastClr="000000"/>
                            </a:solidFill>
                            <a:prstDash val="solid"/>
                            <a:tailEnd type="triangle"/>
                          </a:ln>
                          <a:effectLst/>
                        </wps:spPr>
                        <wps:bodyPr/>
                      </wps:wsp>
                      <wps:wsp>
                        <wps:cNvPr id="15" name="Hexagon 15" descr="first time adoption of tier 1 or tier 2 reporting requirements&#10;&#10;flowchart information in regard to first time adoption of tier 1 or tier 2 reporting requirements for paragraphs 18 to 18d&#10;"/>
                        <wps:cNvSpPr/>
                        <wps:spPr>
                          <a:xfrm>
                            <a:off x="1248724" y="691379"/>
                            <a:ext cx="1069881" cy="474318"/>
                          </a:xfrm>
                          <a:prstGeom prst="hexagon">
                            <a:avLst/>
                          </a:prstGeom>
                          <a:noFill/>
                          <a:ln w="9525" cap="flat" cmpd="sng" algn="ctr">
                            <a:solidFill>
                              <a:sysClr val="windowText" lastClr="000000"/>
                            </a:solidFill>
                            <a:prstDash val="solid"/>
                          </a:ln>
                          <a:effectLst/>
                        </wps:spPr>
                        <wps:txbx>
                          <w:txbxContent>
                            <w:p w14:paraId="3FB60785" w14:textId="77777777" w:rsidR="00E34820" w:rsidRDefault="00E34820" w:rsidP="003652AD">
                              <w:pPr>
                                <w:spacing w:line="130" w:lineRule="exact"/>
                                <w:jc w:val="center"/>
                                <w:rPr>
                                  <w:sz w:val="24"/>
                                  <w:szCs w:val="24"/>
                                </w:rPr>
                              </w:pPr>
                              <w:r>
                                <w:rPr>
                                  <w:rFonts w:cs="Arial"/>
                                  <w:color w:val="000000"/>
                                  <w:kern w:val="24"/>
                                  <w:sz w:val="13"/>
                                  <w:szCs w:val="13"/>
                                </w:rPr>
                                <w:t>Is the entity adopting Tier 1 requirements?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 name="Elbow Connector 18" descr="arrows" title="directional arrows"/>
                        <wps:cNvCnPr/>
                        <wps:spPr>
                          <a:xfrm rot="5400000">
                            <a:off x="1666678" y="1306973"/>
                            <a:ext cx="268483" cy="1"/>
                          </a:xfrm>
                          <a:prstGeom prst="bentConnector3">
                            <a:avLst>
                              <a:gd name="adj1" fmla="val 50000"/>
                            </a:avLst>
                          </a:prstGeom>
                          <a:noFill/>
                          <a:ln w="9525" cap="flat" cmpd="sng" algn="ctr">
                            <a:solidFill>
                              <a:sysClr val="windowText" lastClr="000000"/>
                            </a:solidFill>
                            <a:prstDash val="solid"/>
                            <a:tailEnd type="triangle"/>
                          </a:ln>
                          <a:effectLst/>
                        </wps:spPr>
                        <wps:bodyPr/>
                      </wps:wsp>
                      <wps:wsp>
                        <wps:cNvPr id="21" name="Text Box 2" descr="no" title="no"/>
                        <wps:cNvSpPr txBox="1">
                          <a:spLocks noChangeArrowheads="1"/>
                        </wps:cNvSpPr>
                        <wps:spPr bwMode="auto">
                          <a:xfrm>
                            <a:off x="1915153" y="1196247"/>
                            <a:ext cx="355044" cy="238112"/>
                          </a:xfrm>
                          <a:prstGeom prst="rect">
                            <a:avLst/>
                          </a:prstGeom>
                          <a:noFill/>
                          <a:ln w="9525">
                            <a:noFill/>
                            <a:miter lim="800000"/>
                            <a:headEnd/>
                            <a:tailEnd/>
                          </a:ln>
                        </wps:spPr>
                        <wps:txbx>
                          <w:txbxContent>
                            <w:p w14:paraId="75437CE4" w14:textId="77777777" w:rsidR="00E34820" w:rsidRDefault="00E34820" w:rsidP="003652AD">
                              <w:pPr>
                                <w:spacing w:line="200" w:lineRule="exact"/>
                                <w:rPr>
                                  <w:sz w:val="24"/>
                                  <w:szCs w:val="24"/>
                                </w:rPr>
                              </w:pPr>
                              <w:r>
                                <w:rPr>
                                  <w:rFonts w:cs="Arial"/>
                                  <w:color w:val="000000"/>
                                  <w:kern w:val="24"/>
                                  <w:sz w:val="14"/>
                                  <w:szCs w:val="14"/>
                                </w:rPr>
                                <w:t>No</w:t>
                              </w:r>
                            </w:p>
                          </w:txbxContent>
                        </wps:txbx>
                        <wps:bodyPr rot="0" vert="horz" wrap="square" lIns="91440" tIns="45720" rIns="91440" bIns="45720" anchor="t" anchorCtr="0">
                          <a:noAutofit/>
                        </wps:bodyPr>
                      </wps:wsp>
                      <wps:wsp>
                        <wps:cNvPr id="22" name="Rectangle 22" descr="first time adoption of tier 1 or tier 2 reporting requirements&#10;&#10;flowchart information in regard to first time adoption of tier 1 or tier 2 reporting requirements for paragraphs 18 to 18d&#10;"/>
                        <wps:cNvSpPr/>
                        <wps:spPr>
                          <a:xfrm>
                            <a:off x="1338099" y="1434359"/>
                            <a:ext cx="932098" cy="291449"/>
                          </a:xfrm>
                          <a:prstGeom prst="rect">
                            <a:avLst/>
                          </a:prstGeom>
                          <a:noFill/>
                          <a:ln w="9525" cap="flat" cmpd="sng" algn="ctr">
                            <a:solidFill>
                              <a:sysClr val="windowText" lastClr="000000"/>
                            </a:solidFill>
                            <a:prstDash val="solid"/>
                          </a:ln>
                          <a:effectLst/>
                        </wps:spPr>
                        <wps:txbx>
                          <w:txbxContent>
                            <w:p w14:paraId="62775288" w14:textId="77777777" w:rsidR="00E34820" w:rsidRDefault="00E34820" w:rsidP="003652AD">
                              <w:pPr>
                                <w:jc w:val="center"/>
                                <w:rPr>
                                  <w:sz w:val="24"/>
                                  <w:szCs w:val="24"/>
                                </w:rPr>
                              </w:pPr>
                              <w:r>
                                <w:rPr>
                                  <w:rFonts w:cs="Arial"/>
                                  <w:color w:val="000000"/>
                                  <w:kern w:val="24"/>
                                  <w:sz w:val="13"/>
                                  <w:szCs w:val="13"/>
                                </w:rPr>
                                <w:t>Adoption of Tier 2 requirements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Elbow Connector 23" descr="arrows" title="directional arrows"/>
                        <wps:cNvCnPr>
                          <a:cxnSpLocks/>
                          <a:stCxn id="15" idx="3"/>
                          <a:endCxn id="25" idx="3"/>
                        </wps:cNvCnPr>
                        <wps:spPr>
                          <a:xfrm rot="10800000">
                            <a:off x="703790" y="926842"/>
                            <a:ext cx="544935" cy="1696"/>
                          </a:xfrm>
                          <a:prstGeom prst="bentConnector3">
                            <a:avLst>
                              <a:gd name="adj1" fmla="val 50000"/>
                            </a:avLst>
                          </a:prstGeom>
                          <a:noFill/>
                          <a:ln w="9525" cap="flat" cmpd="sng" algn="ctr">
                            <a:solidFill>
                              <a:sysClr val="windowText" lastClr="000000"/>
                            </a:solidFill>
                            <a:prstDash val="solid"/>
                            <a:tailEnd type="triangle"/>
                          </a:ln>
                          <a:effectLst/>
                        </wps:spPr>
                        <wps:bodyPr/>
                      </wps:wsp>
                      <wps:wsp>
                        <wps:cNvPr id="24" name="Text Box 2" descr="yes" title="yes"/>
                        <wps:cNvSpPr txBox="1">
                          <a:spLocks noChangeArrowheads="1"/>
                        </wps:cNvSpPr>
                        <wps:spPr bwMode="auto">
                          <a:xfrm>
                            <a:off x="887709" y="688635"/>
                            <a:ext cx="362084" cy="288833"/>
                          </a:xfrm>
                          <a:prstGeom prst="rect">
                            <a:avLst/>
                          </a:prstGeom>
                          <a:noFill/>
                          <a:ln w="9525">
                            <a:noFill/>
                            <a:miter lim="800000"/>
                            <a:headEnd/>
                            <a:tailEnd/>
                          </a:ln>
                        </wps:spPr>
                        <wps:txbx>
                          <w:txbxContent>
                            <w:p w14:paraId="7F0C3B0A" w14:textId="77777777" w:rsidR="00E34820" w:rsidRDefault="00E34820" w:rsidP="003652AD">
                              <w:pPr>
                                <w:spacing w:line="200" w:lineRule="exact"/>
                                <w:rPr>
                                  <w:sz w:val="24"/>
                                  <w:szCs w:val="24"/>
                                </w:rPr>
                              </w:pPr>
                              <w:r>
                                <w:rPr>
                                  <w:rFonts w:cs="Arial"/>
                                  <w:color w:val="000000"/>
                                  <w:kern w:val="24"/>
                                  <w:sz w:val="14"/>
                                  <w:szCs w:val="14"/>
                                </w:rPr>
                                <w:t>Yes</w:t>
                              </w:r>
                            </w:p>
                          </w:txbxContent>
                        </wps:txbx>
                        <wps:bodyPr rot="0" vert="horz" wrap="square" lIns="91440" tIns="45720" rIns="91440" bIns="45720" anchor="t" anchorCtr="0">
                          <a:noAutofit/>
                        </wps:bodyPr>
                      </wps:wsp>
                      <wps:wsp>
                        <wps:cNvPr id="25" name="Rectangle 25" descr="first time adoption of tier 1 or tier 2 reporting requirements&#10;&#10;flowchart information in regard to first time adoption of tier 1 or tier 2 reporting requirements for paragraphs 18 to 18d&#10;"/>
                        <wps:cNvSpPr/>
                        <wps:spPr>
                          <a:xfrm>
                            <a:off x="-15916" y="555074"/>
                            <a:ext cx="719705" cy="743535"/>
                          </a:xfrm>
                          <a:prstGeom prst="rect">
                            <a:avLst/>
                          </a:prstGeom>
                          <a:noFill/>
                          <a:ln w="9525" cap="flat" cmpd="sng" algn="ctr">
                            <a:solidFill>
                              <a:sysClr val="windowText" lastClr="000000"/>
                            </a:solidFill>
                            <a:prstDash val="solid"/>
                          </a:ln>
                          <a:effectLst/>
                        </wps:spPr>
                        <wps:txbx>
                          <w:txbxContent>
                            <w:p w14:paraId="63B67696" w14:textId="77777777" w:rsidR="00E34820" w:rsidRDefault="00E34820" w:rsidP="003652AD">
                              <w:pPr>
                                <w:jc w:val="center"/>
                                <w:rPr>
                                  <w:sz w:val="24"/>
                                  <w:szCs w:val="24"/>
                                </w:rPr>
                              </w:pPr>
                              <w:r>
                                <w:rPr>
                                  <w:rFonts w:cs="Arial"/>
                                  <w:color w:val="000000"/>
                                  <w:kern w:val="24"/>
                                  <w:sz w:val="13"/>
                                  <w:szCs w:val="13"/>
                                </w:rPr>
                                <w:t xml:space="preserve">Apply AASB 1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descr="arrow" title="directional arrow"/>
                        <wps:cNvCnPr>
                          <a:cxnSpLocks/>
                        </wps:cNvCnPr>
                        <wps:spPr>
                          <a:xfrm flipH="1">
                            <a:off x="1856260" y="3790951"/>
                            <a:ext cx="3499" cy="228663"/>
                          </a:xfrm>
                          <a:prstGeom prst="straightConnector1">
                            <a:avLst/>
                          </a:prstGeom>
                          <a:noFill/>
                          <a:ln w="9525" cap="flat" cmpd="sng" algn="ctr">
                            <a:solidFill>
                              <a:sysClr val="windowText" lastClr="000000"/>
                            </a:solidFill>
                            <a:prstDash val="solid"/>
                            <a:tailEnd type="triangle"/>
                          </a:ln>
                          <a:effectLst/>
                        </wps:spPr>
                        <wps:bodyPr/>
                      </wps:wsp>
                      <wps:wsp>
                        <wps:cNvPr id="27" name="Hexagon 27" descr="first time adoption of tier 1 or tier 2 reporting requirements&#10;&#10;flowchart information in regard to first time adoption of tier 1 or tier 2 reporting requirements for paragraphs 18 to 18d&#10;"/>
                        <wps:cNvSpPr/>
                        <wps:spPr>
                          <a:xfrm>
                            <a:off x="1293695" y="1999581"/>
                            <a:ext cx="1044265" cy="854710"/>
                          </a:xfrm>
                          <a:prstGeom prst="hexagon">
                            <a:avLst/>
                          </a:prstGeom>
                          <a:noFill/>
                          <a:ln w="9525" cap="flat" cmpd="sng" algn="ctr">
                            <a:solidFill>
                              <a:sysClr val="windowText" lastClr="000000"/>
                            </a:solidFill>
                            <a:prstDash val="solid"/>
                          </a:ln>
                          <a:effectLst/>
                        </wps:spPr>
                        <wps:txbx>
                          <w:txbxContent>
                            <w:p w14:paraId="43D81E3A" w14:textId="77777777" w:rsidR="00E34820" w:rsidRDefault="00E34820" w:rsidP="003652AD">
                              <w:pPr>
                                <w:spacing w:line="130" w:lineRule="exact"/>
                                <w:jc w:val="center"/>
                                <w:rPr>
                                  <w:sz w:val="24"/>
                                  <w:szCs w:val="24"/>
                                </w:rPr>
                              </w:pPr>
                              <w:r>
                                <w:rPr>
                                  <w:rFonts w:cs="Arial"/>
                                  <w:color w:val="000000"/>
                                  <w:kern w:val="24"/>
                                  <w:sz w:val="13"/>
                                  <w:szCs w:val="13"/>
                                </w:rPr>
                                <w:t>Did the entity apply all applicable R&amp;M requirements in its most recent financial statements, including AASB 10 if a parent?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 name="Elbow Connector 28" descr="arrows" title="directional arrows"/>
                        <wps:cNvCnPr>
                          <a:cxnSpLocks/>
                        </wps:cNvCnPr>
                        <wps:spPr>
                          <a:xfrm>
                            <a:off x="2337771" y="2426770"/>
                            <a:ext cx="1549937" cy="674288"/>
                          </a:xfrm>
                          <a:prstGeom prst="bentConnector3">
                            <a:avLst>
                              <a:gd name="adj1" fmla="val 100263"/>
                            </a:avLst>
                          </a:prstGeom>
                          <a:noFill/>
                          <a:ln w="9525" cap="flat" cmpd="sng" algn="ctr">
                            <a:solidFill>
                              <a:sysClr val="windowText" lastClr="000000"/>
                            </a:solidFill>
                            <a:prstDash val="solid"/>
                            <a:tailEnd type="triangle"/>
                          </a:ln>
                          <a:effectLst/>
                        </wps:spPr>
                        <wps:bodyPr/>
                      </wps:wsp>
                      <wps:wsp>
                        <wps:cNvPr id="29" name="Text Box 2" descr="yes" title="yes"/>
                        <wps:cNvSpPr txBox="1">
                          <a:spLocks noChangeArrowheads="1"/>
                        </wps:cNvSpPr>
                        <wps:spPr bwMode="auto">
                          <a:xfrm>
                            <a:off x="2337960" y="2192995"/>
                            <a:ext cx="405873" cy="238112"/>
                          </a:xfrm>
                          <a:prstGeom prst="rect">
                            <a:avLst/>
                          </a:prstGeom>
                          <a:noFill/>
                          <a:ln w="9525">
                            <a:noFill/>
                            <a:miter lim="800000"/>
                            <a:headEnd/>
                            <a:tailEnd/>
                          </a:ln>
                        </wps:spPr>
                        <wps:txbx>
                          <w:txbxContent>
                            <w:p w14:paraId="56B0EAB5" w14:textId="77777777" w:rsidR="00E34820" w:rsidRDefault="00E34820" w:rsidP="003652AD">
                              <w:pPr>
                                <w:spacing w:line="200" w:lineRule="exact"/>
                                <w:rPr>
                                  <w:sz w:val="24"/>
                                  <w:szCs w:val="24"/>
                                </w:rPr>
                              </w:pPr>
                              <w:r>
                                <w:rPr>
                                  <w:rFonts w:cs="Arial"/>
                                  <w:color w:val="000000"/>
                                  <w:kern w:val="24"/>
                                  <w:sz w:val="14"/>
                                  <w:szCs w:val="14"/>
                                </w:rPr>
                                <w:t>Yes</w:t>
                              </w:r>
                            </w:p>
                          </w:txbxContent>
                        </wps:txbx>
                        <wps:bodyPr rot="0" vert="horz" wrap="square" lIns="91440" tIns="45720" rIns="91440" bIns="45720" anchor="t" anchorCtr="0">
                          <a:noAutofit/>
                        </wps:bodyPr>
                      </wps:wsp>
                      <wps:wsp>
                        <wps:cNvPr id="30" name="Rectangle 30" descr="first time adoption of tier 1 or tier 2 reporting requirements&#10;&#10;flowchart information in regard to first time adoption of tier 1 or tier 2 reporting requirements for paragraphs 18 to 18d&#10;"/>
                        <wps:cNvSpPr/>
                        <wps:spPr>
                          <a:xfrm>
                            <a:off x="3149650" y="4076886"/>
                            <a:ext cx="1423907" cy="512172"/>
                          </a:xfrm>
                          <a:prstGeom prst="rect">
                            <a:avLst/>
                          </a:prstGeom>
                          <a:noFill/>
                          <a:ln w="9525" cap="flat" cmpd="sng" algn="ctr">
                            <a:solidFill>
                              <a:sysClr val="windowText" lastClr="000000"/>
                            </a:solidFill>
                            <a:prstDash val="solid"/>
                          </a:ln>
                          <a:effectLst/>
                        </wps:spPr>
                        <wps:txbx>
                          <w:txbxContent>
                            <w:p w14:paraId="2C9ED881" w14:textId="77777777" w:rsidR="00E34820" w:rsidRDefault="00E34820" w:rsidP="003652AD">
                              <w:pPr>
                                <w:jc w:val="center"/>
                                <w:rPr>
                                  <w:sz w:val="24"/>
                                  <w:szCs w:val="24"/>
                                </w:rPr>
                              </w:pPr>
                              <w:r>
                                <w:rPr>
                                  <w:rFonts w:cs="Arial"/>
                                  <w:color w:val="000000"/>
                                  <w:kern w:val="24"/>
                                  <w:sz w:val="13"/>
                                  <w:szCs w:val="13"/>
                                </w:rPr>
                                <w:t xml:space="preserve">Do not apply AASB 1 – continue applying applicable R&amp;M requirements </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1" name="Elbow Connector 24" descr="arrows" title="directional arrows"/>
                        <wps:cNvCnPr/>
                        <wps:spPr>
                          <a:xfrm rot="16200000" flipH="1">
                            <a:off x="1670651" y="3018624"/>
                            <a:ext cx="325514" cy="1"/>
                          </a:xfrm>
                          <a:prstGeom prst="bentConnector3">
                            <a:avLst>
                              <a:gd name="adj1" fmla="val 50000"/>
                            </a:avLst>
                          </a:prstGeom>
                          <a:noFill/>
                          <a:ln w="9525" cap="flat" cmpd="sng" algn="ctr">
                            <a:solidFill>
                              <a:sysClr val="windowText" lastClr="000000"/>
                            </a:solidFill>
                            <a:prstDash val="solid"/>
                            <a:tailEnd type="triangle"/>
                          </a:ln>
                          <a:effectLst/>
                        </wps:spPr>
                        <wps:bodyPr/>
                      </wps:wsp>
                      <wps:wsp>
                        <wps:cNvPr id="32" name="Text Box 2" descr="no" title="no"/>
                        <wps:cNvSpPr txBox="1">
                          <a:spLocks noChangeArrowheads="1"/>
                        </wps:cNvSpPr>
                        <wps:spPr bwMode="auto">
                          <a:xfrm>
                            <a:off x="1915153" y="2876000"/>
                            <a:ext cx="354934" cy="237477"/>
                          </a:xfrm>
                          <a:prstGeom prst="rect">
                            <a:avLst/>
                          </a:prstGeom>
                          <a:noFill/>
                          <a:ln w="9525">
                            <a:noFill/>
                            <a:miter lim="800000"/>
                            <a:headEnd/>
                            <a:tailEnd/>
                          </a:ln>
                        </wps:spPr>
                        <wps:txbx>
                          <w:txbxContent>
                            <w:p w14:paraId="2E4A2DB3" w14:textId="77777777" w:rsidR="00E34820" w:rsidRDefault="00E34820" w:rsidP="003652AD">
                              <w:pPr>
                                <w:spacing w:line="200" w:lineRule="exact"/>
                                <w:rPr>
                                  <w:sz w:val="24"/>
                                  <w:szCs w:val="24"/>
                                </w:rPr>
                              </w:pPr>
                              <w:r>
                                <w:rPr>
                                  <w:rFonts w:cs="Arial"/>
                                  <w:color w:val="000000"/>
                                  <w:kern w:val="24"/>
                                  <w:sz w:val="14"/>
                                  <w:szCs w:val="14"/>
                                </w:rPr>
                                <w:t>No</w:t>
                              </w:r>
                            </w:p>
                          </w:txbxContent>
                        </wps:txbx>
                        <wps:bodyPr rot="0" vert="horz" wrap="square" lIns="91440" tIns="45720" rIns="91440" bIns="45720" anchor="t" anchorCtr="0">
                          <a:noAutofit/>
                        </wps:bodyPr>
                      </wps:wsp>
                      <wps:wsp>
                        <wps:cNvPr id="33" name="Rectangle 33" descr="first time adoption of tier 1 or tier 2 reporting requirements&#10;&#10;flowchart information in regard to first time adoption of tier 1 or tier 2 reporting requirements for paragraphs 18 to 18d&#10;"/>
                        <wps:cNvSpPr/>
                        <wps:spPr>
                          <a:xfrm>
                            <a:off x="1166233" y="3185973"/>
                            <a:ext cx="1387053" cy="604978"/>
                          </a:xfrm>
                          <a:prstGeom prst="rect">
                            <a:avLst/>
                          </a:prstGeom>
                          <a:noFill/>
                          <a:ln w="9525" cap="flat" cmpd="sng" algn="ctr">
                            <a:solidFill>
                              <a:sysClr val="windowText" lastClr="000000"/>
                            </a:solidFill>
                            <a:prstDash val="solid"/>
                          </a:ln>
                          <a:effectLst/>
                        </wps:spPr>
                        <wps:txbx>
                          <w:txbxContent>
                            <w:p w14:paraId="08E99A98" w14:textId="77777777" w:rsidR="00E34820" w:rsidRDefault="00E34820" w:rsidP="003652AD">
                              <w:pPr>
                                <w:jc w:val="center"/>
                                <w:rPr>
                                  <w:sz w:val="24"/>
                                  <w:szCs w:val="24"/>
                                </w:rPr>
                              </w:pPr>
                              <w:r>
                                <w:rPr>
                                  <w:rFonts w:cs="Arial"/>
                                  <w:color w:val="000000"/>
                                  <w:kern w:val="24"/>
                                  <w:sz w:val="13"/>
                                  <w:szCs w:val="13"/>
                                </w:rPr>
                                <w:t>Apply AASB 1 and AASB 1060 paragraphs 206</w:t>
                              </w:r>
                              <w:r>
                                <w:rPr>
                                  <w:color w:val="000000"/>
                                  <w:kern w:val="24"/>
                                  <w:sz w:val="13"/>
                                  <w:szCs w:val="13"/>
                                </w:rPr>
                                <w:t>−</w:t>
                              </w:r>
                              <w:r>
                                <w:rPr>
                                  <w:rFonts w:cs="Arial"/>
                                  <w:color w:val="000000"/>
                                  <w:kern w:val="24"/>
                                  <w:sz w:val="13"/>
                                  <w:szCs w:val="13"/>
                                </w:rPr>
                                <w:t>213 disclosures or apply AASB 108 and AASB 1060 paragraphs 106</w:t>
                              </w:r>
                              <w:r>
                                <w:rPr>
                                  <w:color w:val="000000"/>
                                  <w:kern w:val="24"/>
                                  <w:sz w:val="13"/>
                                  <w:szCs w:val="13"/>
                                </w:rPr>
                                <w:t>−</w:t>
                              </w:r>
                              <w:r>
                                <w:rPr>
                                  <w:rFonts w:cs="Arial"/>
                                  <w:color w:val="000000"/>
                                  <w:kern w:val="24"/>
                                  <w:sz w:val="13"/>
                                  <w:szCs w:val="13"/>
                                </w:rPr>
                                <w:t>110 disclosures</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4" name="Hexagon 34" descr="first time adoption of tier 1 or tier 2 reporting requirements&#10;&#10;flowchart information in regard to first time adoption of tier 1 or tier 2 reporting requirements for paragraphs 18 to 18d&#10;"/>
                        <wps:cNvSpPr/>
                        <wps:spPr>
                          <a:xfrm>
                            <a:off x="1166139" y="4019475"/>
                            <a:ext cx="1387054" cy="661866"/>
                          </a:xfrm>
                          <a:prstGeom prst="hexagon">
                            <a:avLst/>
                          </a:prstGeom>
                          <a:noFill/>
                          <a:ln w="9525" cap="flat" cmpd="sng" algn="ctr">
                            <a:solidFill>
                              <a:sysClr val="windowText" lastClr="000000"/>
                            </a:solidFill>
                            <a:prstDash val="solid"/>
                          </a:ln>
                          <a:effectLst/>
                        </wps:spPr>
                        <wps:txbx>
                          <w:txbxContent>
                            <w:p w14:paraId="173CFA99" w14:textId="77777777" w:rsidR="00E34820" w:rsidRDefault="00E34820" w:rsidP="003652AD">
                              <w:pPr>
                                <w:spacing w:line="130" w:lineRule="exact"/>
                                <w:jc w:val="center"/>
                                <w:rPr>
                                  <w:sz w:val="24"/>
                                  <w:szCs w:val="24"/>
                                </w:rPr>
                              </w:pPr>
                              <w:r w:rsidRPr="001F38AC">
                                <w:rPr>
                                  <w:rFonts w:cs="Arial"/>
                                  <w:color w:val="000000"/>
                                  <w:kern w:val="24"/>
                                  <w:sz w:val="13"/>
                                  <w:szCs w:val="13"/>
                                </w:rPr>
                                <w:t>Is the entity a for-profit private sector entity that is adopting Tier 2 – Simplified Disclosures for a reporting period beginning before 1 July 2022?</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35" name="Rectangle 35" descr="first time adoption of tier 1 or tier 2 reporting requirements&#10;&#10;flowchart information in regard to first time adoption of tier 1 or tier 2 reporting requirements for paragraphs 18 to 18d&#10;"/>
                        <wps:cNvSpPr/>
                        <wps:spPr>
                          <a:xfrm>
                            <a:off x="1067918" y="6639950"/>
                            <a:ext cx="1516217" cy="693013"/>
                          </a:xfrm>
                          <a:prstGeom prst="rect">
                            <a:avLst/>
                          </a:prstGeom>
                          <a:noFill/>
                          <a:ln w="9525" cap="flat" cmpd="sng" algn="ctr">
                            <a:solidFill>
                              <a:sysClr val="windowText" lastClr="000000"/>
                            </a:solidFill>
                            <a:prstDash val="solid"/>
                          </a:ln>
                          <a:effectLst/>
                        </wps:spPr>
                        <wps:txbx>
                          <w:txbxContent>
                            <w:p w14:paraId="0B83CAAD" w14:textId="77777777" w:rsidR="00E34820" w:rsidRDefault="00E34820" w:rsidP="003652AD">
                              <w:pPr>
                                <w:rPr>
                                  <w:sz w:val="24"/>
                                  <w:szCs w:val="24"/>
                                </w:rPr>
                              </w:pPr>
                              <w:r>
                                <w:rPr>
                                  <w:rFonts w:cs="Arial"/>
                                  <w:color w:val="000000"/>
                                  <w:kern w:val="24"/>
                                  <w:sz w:val="13"/>
                                  <w:szCs w:val="13"/>
                                </w:rPr>
                                <w:t xml:space="preserve">   Additional optional relief from:</w:t>
                              </w:r>
                            </w:p>
                            <w:p w14:paraId="5A02FB47" w14:textId="77777777" w:rsidR="00E34820" w:rsidRDefault="00E34820" w:rsidP="003652AD">
                              <w:pPr>
                                <w:tabs>
                                  <w:tab w:val="left" w:pos="360"/>
                                </w:tabs>
                              </w:pPr>
                              <w:r>
                                <w:rPr>
                                  <w:rFonts w:cs="Arial"/>
                                  <w:color w:val="000000"/>
                                  <w:kern w:val="24"/>
                                  <w:sz w:val="13"/>
                                  <w:szCs w:val="13"/>
                                </w:rPr>
                                <w:t xml:space="preserve">   </w:t>
                              </w:r>
                              <w:proofErr w:type="gramStart"/>
                              <w:r>
                                <w:rPr>
                                  <w:rFonts w:cs="Arial"/>
                                  <w:color w:val="000000"/>
                                  <w:kern w:val="24"/>
                                  <w:sz w:val="13"/>
                                  <w:szCs w:val="13"/>
                                </w:rPr>
                                <w:t xml:space="preserve">●  </w:t>
                              </w:r>
                              <w:r>
                                <w:rPr>
                                  <w:rFonts w:cs="Arial"/>
                                  <w:color w:val="000000"/>
                                  <w:kern w:val="24"/>
                                  <w:sz w:val="13"/>
                                  <w:szCs w:val="13"/>
                                </w:rPr>
                                <w:tab/>
                              </w:r>
                              <w:proofErr w:type="gramEnd"/>
                              <w:r>
                                <w:rPr>
                                  <w:rFonts w:cs="Arial"/>
                                  <w:color w:val="000000"/>
                                  <w:kern w:val="24"/>
                                  <w:sz w:val="13"/>
                                  <w:szCs w:val="13"/>
                                </w:rPr>
                                <w:t>Restating comparative information</w:t>
                              </w:r>
                            </w:p>
                            <w:p w14:paraId="3F6EC7FB" w14:textId="77777777" w:rsidR="00E34820" w:rsidRDefault="00E34820" w:rsidP="003652AD">
                              <w:pPr>
                                <w:tabs>
                                  <w:tab w:val="left" w:pos="360"/>
                                </w:tabs>
                              </w:pPr>
                              <w:r>
                                <w:rPr>
                                  <w:rFonts w:cs="Arial"/>
                                  <w:color w:val="000000"/>
                                  <w:kern w:val="24"/>
                                  <w:sz w:val="13"/>
                                  <w:szCs w:val="13"/>
                                </w:rPr>
                                <w:t xml:space="preserve">   ●</w:t>
                              </w:r>
                              <w:r>
                                <w:rPr>
                                  <w:rFonts w:cs="Arial"/>
                                  <w:color w:val="000000"/>
                                  <w:kern w:val="24"/>
                                  <w:sz w:val="13"/>
                                  <w:szCs w:val="13"/>
                                </w:rPr>
                                <w:tab/>
                                <w:t xml:space="preserve">Providing comparative information </w:t>
                              </w:r>
                              <w:r>
                                <w:rPr>
                                  <w:rFonts w:cs="Arial"/>
                                  <w:color w:val="000000"/>
                                  <w:kern w:val="24"/>
                                  <w:sz w:val="13"/>
                                  <w:szCs w:val="13"/>
                                </w:rPr>
                                <w:tab/>
                                <w:t>for new disclosures</w:t>
                              </w:r>
                            </w:p>
                            <w:p w14:paraId="17FAC552" w14:textId="77777777" w:rsidR="00E34820" w:rsidRDefault="00E34820" w:rsidP="003652AD">
                              <w:pPr>
                                <w:jc w:val="center"/>
                              </w:pPr>
                              <w:r>
                                <w:rPr>
                                  <w:rFonts w:cs="Arial"/>
                                  <w:color w:val="000000"/>
                                  <w:kern w:val="24"/>
                                  <w:sz w:val="13"/>
                                  <w:szCs w:val="13"/>
                                </w:rPr>
                                <w:t>(See Appendix E)</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 name="Rectangle 36" descr="first time adoption of tier 1 or tier 2 reporting requirements&#10;&#10;flowchart information in regard to first time adoption of tier 1 or tier 2 reporting requirements for paragraphs 18 to 18d&#10;"/>
                        <wps:cNvSpPr/>
                        <wps:spPr>
                          <a:xfrm>
                            <a:off x="3137714" y="5804441"/>
                            <a:ext cx="1423905" cy="574085"/>
                          </a:xfrm>
                          <a:prstGeom prst="rect">
                            <a:avLst/>
                          </a:prstGeom>
                          <a:noFill/>
                          <a:ln w="9525" cap="flat" cmpd="sng" algn="ctr">
                            <a:solidFill>
                              <a:sysClr val="windowText" lastClr="000000"/>
                            </a:solidFill>
                            <a:prstDash val="solid"/>
                          </a:ln>
                          <a:effectLst/>
                        </wps:spPr>
                        <wps:txbx>
                          <w:txbxContent>
                            <w:p w14:paraId="1F8984C7" w14:textId="7ED13ECA" w:rsidR="00E34820" w:rsidRDefault="00E34820" w:rsidP="003652AD">
                              <w:pPr>
                                <w:jc w:val="center"/>
                                <w:rPr>
                                  <w:sz w:val="24"/>
                                  <w:szCs w:val="24"/>
                                </w:rPr>
                              </w:pPr>
                              <w:r>
                                <w:rPr>
                                  <w:rFonts w:cs="Arial"/>
                                  <w:color w:val="000000"/>
                                  <w:kern w:val="24"/>
                                  <w:sz w:val="13"/>
                                  <w:szCs w:val="13"/>
                                </w:rPr>
                                <w:t>Optional relief from providing comparative information for new disclosures</w:t>
                              </w:r>
                              <w:r>
                                <w:rPr>
                                  <w:rFonts w:cs="Arial"/>
                                  <w:color w:val="000000"/>
                                  <w:kern w:val="24"/>
                                  <w:sz w:val="13"/>
                                  <w:szCs w:val="13"/>
                                </w:rPr>
                                <w:br/>
                                <w:t>(See Appendix E)</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7" name="Elbow Connector 18" descr="arrows" title="directional arrows"/>
                        <wps:cNvCnPr/>
                        <wps:spPr>
                          <a:xfrm rot="5400000">
                            <a:off x="1669906" y="1867084"/>
                            <a:ext cx="268483" cy="1"/>
                          </a:xfrm>
                          <a:prstGeom prst="bentConnector3">
                            <a:avLst>
                              <a:gd name="adj1" fmla="val 50000"/>
                            </a:avLst>
                          </a:prstGeom>
                          <a:noFill/>
                          <a:ln w="9525" cap="flat" cmpd="sng" algn="ctr">
                            <a:solidFill>
                              <a:sysClr val="windowText" lastClr="000000"/>
                            </a:solidFill>
                            <a:prstDash val="solid"/>
                            <a:tailEnd type="triangle"/>
                          </a:ln>
                          <a:effectLst/>
                        </wps:spPr>
                        <wps:bodyPr/>
                      </wps:wsp>
                      <wps:wsp>
                        <wps:cNvPr id="38" name="Text Box 2" descr="yes" title="yes"/>
                        <wps:cNvSpPr txBox="1">
                          <a:spLocks noChangeArrowheads="1"/>
                        </wps:cNvSpPr>
                        <wps:spPr bwMode="auto">
                          <a:xfrm>
                            <a:off x="1865884" y="4661189"/>
                            <a:ext cx="405873" cy="238112"/>
                          </a:xfrm>
                          <a:prstGeom prst="rect">
                            <a:avLst/>
                          </a:prstGeom>
                          <a:noFill/>
                          <a:ln w="9525">
                            <a:noFill/>
                            <a:miter lim="800000"/>
                            <a:headEnd/>
                            <a:tailEnd/>
                          </a:ln>
                        </wps:spPr>
                        <wps:txbx>
                          <w:txbxContent>
                            <w:p w14:paraId="0F8223D6" w14:textId="77777777" w:rsidR="00E34820" w:rsidRDefault="00E34820" w:rsidP="003652AD">
                              <w:pPr>
                                <w:spacing w:line="200" w:lineRule="exact"/>
                                <w:rPr>
                                  <w:sz w:val="24"/>
                                  <w:szCs w:val="24"/>
                                </w:rPr>
                              </w:pPr>
                              <w:r>
                                <w:rPr>
                                  <w:rFonts w:cs="Arial"/>
                                  <w:color w:val="000000"/>
                                  <w:kern w:val="24"/>
                                  <w:sz w:val="14"/>
                                  <w:szCs w:val="14"/>
                                </w:rPr>
                                <w:t>Yes</w:t>
                              </w:r>
                            </w:p>
                          </w:txbxContent>
                        </wps:txbx>
                        <wps:bodyPr rot="0" vert="horz" wrap="square" lIns="91440" tIns="45720" rIns="91440" bIns="45720" anchor="t" anchorCtr="0">
                          <a:noAutofit/>
                        </wps:bodyPr>
                      </wps:wsp>
                      <wps:wsp>
                        <wps:cNvPr id="39" name="Text Box 2" descr="yes" title="yes"/>
                        <wps:cNvSpPr txBox="1">
                          <a:spLocks noChangeArrowheads="1"/>
                        </wps:cNvSpPr>
                        <wps:spPr bwMode="auto">
                          <a:xfrm>
                            <a:off x="2696329" y="3200220"/>
                            <a:ext cx="405873" cy="238112"/>
                          </a:xfrm>
                          <a:prstGeom prst="rect">
                            <a:avLst/>
                          </a:prstGeom>
                          <a:noFill/>
                          <a:ln w="9525">
                            <a:noFill/>
                            <a:miter lim="800000"/>
                            <a:headEnd/>
                            <a:tailEnd/>
                          </a:ln>
                        </wps:spPr>
                        <wps:txbx>
                          <w:txbxContent>
                            <w:p w14:paraId="7DA6C17F" w14:textId="77777777" w:rsidR="00E34820" w:rsidRDefault="00E34820" w:rsidP="003652AD">
                              <w:pPr>
                                <w:spacing w:line="200" w:lineRule="exact"/>
                                <w:rPr>
                                  <w:sz w:val="24"/>
                                  <w:szCs w:val="24"/>
                                </w:rPr>
                              </w:pPr>
                              <w:r>
                                <w:rPr>
                                  <w:rFonts w:cs="Arial"/>
                                  <w:color w:val="000000"/>
                                  <w:kern w:val="24"/>
                                  <w:sz w:val="14"/>
                                  <w:szCs w:val="14"/>
                                </w:rPr>
                                <w:t>Yes</w:t>
                              </w:r>
                            </w:p>
                          </w:txbxContent>
                        </wps:txbx>
                        <wps:bodyPr rot="0" vert="horz" wrap="square" lIns="91440" tIns="45720" rIns="91440" bIns="45720" anchor="t" anchorCtr="0">
                          <a:noAutofit/>
                        </wps:bodyPr>
                      </wps:wsp>
                      <wps:wsp>
                        <wps:cNvPr id="40" name="Text Box 2" descr="no" title="no"/>
                        <wps:cNvSpPr txBox="1">
                          <a:spLocks noChangeArrowheads="1"/>
                        </wps:cNvSpPr>
                        <wps:spPr bwMode="auto">
                          <a:xfrm>
                            <a:off x="3888023" y="3749316"/>
                            <a:ext cx="723822" cy="366239"/>
                          </a:xfrm>
                          <a:prstGeom prst="rect">
                            <a:avLst/>
                          </a:prstGeom>
                          <a:noFill/>
                          <a:ln w="9525">
                            <a:noFill/>
                            <a:miter lim="800000"/>
                            <a:headEnd/>
                            <a:tailEnd/>
                          </a:ln>
                        </wps:spPr>
                        <wps:txbx>
                          <w:txbxContent>
                            <w:p w14:paraId="77CDA994" w14:textId="77777777" w:rsidR="00E34820" w:rsidRDefault="00E34820" w:rsidP="003652AD">
                              <w:pPr>
                                <w:spacing w:line="200" w:lineRule="exact"/>
                                <w:jc w:val="left"/>
                                <w:rPr>
                                  <w:sz w:val="24"/>
                                  <w:szCs w:val="24"/>
                                </w:rPr>
                              </w:pPr>
                              <w:r>
                                <w:rPr>
                                  <w:rFonts w:cs="Arial"/>
                                  <w:color w:val="000000"/>
                                  <w:kern w:val="24"/>
                                  <w:sz w:val="14"/>
                                  <w:szCs w:val="14"/>
                                </w:rPr>
                                <w:t xml:space="preserve">No or </w:t>
                              </w:r>
                              <w:r>
                                <w:rPr>
                                  <w:rFonts w:cs="Arial"/>
                                  <w:color w:val="000000"/>
                                  <w:kern w:val="24"/>
                                  <w:sz w:val="14"/>
                                  <w:szCs w:val="14"/>
                                </w:rPr>
                                <w:br/>
                                <w:t>not applicable</w:t>
                              </w:r>
                            </w:p>
                          </w:txbxContent>
                        </wps:txbx>
                        <wps:bodyPr rot="0" vert="horz" wrap="square" lIns="91440" tIns="45720" rIns="91440" bIns="45720" anchor="t" anchorCtr="0">
                          <a:noAutofit/>
                        </wps:bodyPr>
                      </wps:wsp>
                      <wps:wsp>
                        <wps:cNvPr id="41" name="Hexagon 41" descr="first time adoption of tier 1 or tier 2 reporting requirements&#10;&#10;flowchart information in regard to first time adoption of tier 1 or tier 2 reporting requirements for paragraphs 18 to 18d&#10;"/>
                        <wps:cNvSpPr/>
                        <wps:spPr>
                          <a:xfrm>
                            <a:off x="3068244" y="3113264"/>
                            <a:ext cx="1505066" cy="660140"/>
                          </a:xfrm>
                          <a:prstGeom prst="hexagon">
                            <a:avLst/>
                          </a:prstGeom>
                          <a:noFill/>
                          <a:ln w="9525" cap="flat" cmpd="sng" algn="ctr">
                            <a:solidFill>
                              <a:sysClr val="windowText" lastClr="000000"/>
                            </a:solidFill>
                            <a:prstDash val="solid"/>
                          </a:ln>
                          <a:effectLst/>
                        </wps:spPr>
                        <wps:txbx>
                          <w:txbxContent>
                            <w:p w14:paraId="29B895E8" w14:textId="77777777" w:rsidR="00E34820" w:rsidRDefault="00E34820" w:rsidP="003652AD">
                              <w:pPr>
                                <w:jc w:val="center"/>
                                <w:rPr>
                                  <w:sz w:val="24"/>
                                  <w:szCs w:val="24"/>
                                </w:rPr>
                              </w:pPr>
                              <w:r>
                                <w:rPr>
                                  <w:rFonts w:cs="Arial"/>
                                  <w:color w:val="000000"/>
                                  <w:kern w:val="24"/>
                                  <w:sz w:val="13"/>
                                  <w:szCs w:val="13"/>
                                </w:rPr>
                                <w:t>If a parent, did the entity apply the reporting entity concept in order to not present consolidated financial statements?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42" name="Rectangle 42" descr="first time adoption of tier 1 or tier 2 reporting requirements&#10;&#10;flowchart information in regard to first time adoption of tier 1 or tier 2 reporting requirements for paragraphs 18 to 18d&#10;"/>
                        <wps:cNvSpPr/>
                        <wps:spPr>
                          <a:xfrm>
                            <a:off x="0" y="5634991"/>
                            <a:ext cx="712013" cy="743535"/>
                          </a:xfrm>
                          <a:prstGeom prst="rect">
                            <a:avLst/>
                          </a:prstGeom>
                          <a:noFill/>
                          <a:ln w="9525" cap="flat" cmpd="sng" algn="ctr">
                            <a:solidFill>
                              <a:sysClr val="windowText" lastClr="000000"/>
                            </a:solidFill>
                            <a:prstDash val="solid"/>
                          </a:ln>
                          <a:effectLst/>
                        </wps:spPr>
                        <wps:txbx>
                          <w:txbxContent>
                            <w:p w14:paraId="3C13E439" w14:textId="5F1A40A6" w:rsidR="00E34820" w:rsidRDefault="00E34820" w:rsidP="003652AD">
                              <w:pPr>
                                <w:spacing w:line="200" w:lineRule="exact"/>
                                <w:jc w:val="center"/>
                                <w:rPr>
                                  <w:sz w:val="24"/>
                                  <w:szCs w:val="24"/>
                                </w:rPr>
                              </w:pPr>
                              <w:r>
                                <w:rPr>
                                  <w:rFonts w:cs="Arial"/>
                                  <w:color w:val="000000"/>
                                  <w:kern w:val="24"/>
                                  <w:sz w:val="13"/>
                                  <w:szCs w:val="13"/>
                                </w:rPr>
                                <w:t>No additional relief</w:t>
                              </w:r>
                              <w:r w:rsidR="000202EB">
                                <w:rPr>
                                  <w:rFonts w:cs="Arial"/>
                                  <w:color w:val="000000"/>
                                  <w:kern w:val="24"/>
                                  <w:sz w:val="13"/>
                                  <w:szCs w:val="13"/>
                                </w:rPr>
                                <w:t xml:space="preserve"> </w:t>
                              </w:r>
                              <w:r w:rsidR="000202EB" w:rsidRPr="00210DCA">
                                <w:rPr>
                                  <w:rFonts w:cs="Arial"/>
                                  <w:color w:val="000000"/>
                                  <w:kern w:val="24"/>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descr="first time adoption of tier 1 or tier 2 reporting requirements&#10;&#10;flowchart information in regard to first time adoption of tier 1 or tier 2 reporting requirements for paragraphs 18 to 18d&#10;"/>
                        <wps:cNvSpPr/>
                        <wps:spPr>
                          <a:xfrm>
                            <a:off x="9532" y="3988363"/>
                            <a:ext cx="719705" cy="692979"/>
                          </a:xfrm>
                          <a:prstGeom prst="rect">
                            <a:avLst/>
                          </a:prstGeom>
                          <a:noFill/>
                          <a:ln w="9525" cap="flat" cmpd="sng" algn="ctr">
                            <a:solidFill>
                              <a:sysClr val="windowText" lastClr="000000"/>
                            </a:solidFill>
                            <a:prstDash val="solid"/>
                          </a:ln>
                          <a:effectLst/>
                        </wps:spPr>
                        <wps:txbx>
                          <w:txbxContent>
                            <w:p w14:paraId="165ABCE7" w14:textId="189F89FA" w:rsidR="00E34820" w:rsidRDefault="00E34820" w:rsidP="003652AD">
                              <w:pPr>
                                <w:spacing w:line="200" w:lineRule="exact"/>
                                <w:jc w:val="center"/>
                                <w:rPr>
                                  <w:sz w:val="24"/>
                                  <w:szCs w:val="24"/>
                                </w:rPr>
                              </w:pPr>
                              <w:r>
                                <w:rPr>
                                  <w:rFonts w:cs="Arial"/>
                                  <w:color w:val="000000"/>
                                  <w:kern w:val="24"/>
                                  <w:sz w:val="13"/>
                                  <w:szCs w:val="13"/>
                                </w:rPr>
                                <w:t>No relief</w:t>
                              </w:r>
                              <w:r w:rsidR="00F02A8E">
                                <w:rPr>
                                  <w:rFonts w:cs="Arial"/>
                                  <w:color w:val="000000"/>
                                  <w:kern w:val="24"/>
                                  <w:sz w:val="13"/>
                                  <w:szCs w:val="13"/>
                                </w:rPr>
                                <w:t xml:space="preserve"> </w:t>
                              </w:r>
                              <w:r w:rsidR="00F02A8E" w:rsidRPr="00094538">
                                <w:rPr>
                                  <w:rFonts w:cs="Arial"/>
                                  <w:color w:val="000000"/>
                                  <w:kern w:val="24"/>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Text Box 2" descr="no" title="no"/>
                        <wps:cNvSpPr txBox="1">
                          <a:spLocks noChangeArrowheads="1"/>
                        </wps:cNvSpPr>
                        <wps:spPr bwMode="auto">
                          <a:xfrm>
                            <a:off x="791549" y="4120789"/>
                            <a:ext cx="354934" cy="237477"/>
                          </a:xfrm>
                          <a:prstGeom prst="rect">
                            <a:avLst/>
                          </a:prstGeom>
                          <a:noFill/>
                          <a:ln w="9525">
                            <a:noFill/>
                            <a:miter lim="800000"/>
                            <a:headEnd/>
                            <a:tailEnd/>
                          </a:ln>
                        </wps:spPr>
                        <wps:txbx>
                          <w:txbxContent>
                            <w:p w14:paraId="5319324C" w14:textId="77777777" w:rsidR="00E34820" w:rsidRDefault="00E34820" w:rsidP="003652AD">
                              <w:pPr>
                                <w:spacing w:line="200" w:lineRule="exact"/>
                                <w:rPr>
                                  <w:sz w:val="24"/>
                                  <w:szCs w:val="24"/>
                                </w:rPr>
                              </w:pPr>
                              <w:r w:rsidRPr="00094538">
                                <w:rPr>
                                  <w:rFonts w:cs="Arial"/>
                                  <w:color w:val="000000"/>
                                  <w:kern w:val="24"/>
                                  <w:sz w:val="14"/>
                                  <w:szCs w:val="14"/>
                                </w:rPr>
                                <w:t>No</w:t>
                              </w:r>
                            </w:p>
                          </w:txbxContent>
                        </wps:txbx>
                        <wps:bodyPr rot="0" vert="horz" wrap="square" lIns="91440" tIns="45720" rIns="91440" bIns="45720" anchor="t" anchorCtr="0">
                          <a:noAutofit/>
                        </wps:bodyPr>
                      </wps:wsp>
                      <wps:wsp>
                        <wps:cNvPr id="45" name="Rectangle 45" descr="first time adoption of tier 1 or tier 2 reporting requirements&#10;&#10;flowchart information in regard to first time adoption of tier 1 or tier 2 reporting requirements for paragraphs 18 to 18d&#10;"/>
                        <wps:cNvSpPr/>
                        <wps:spPr>
                          <a:xfrm>
                            <a:off x="1263442" y="4942956"/>
                            <a:ext cx="1185635" cy="512172"/>
                          </a:xfrm>
                          <a:prstGeom prst="rect">
                            <a:avLst/>
                          </a:prstGeom>
                          <a:noFill/>
                          <a:ln w="9525" cap="flat" cmpd="sng" algn="ctr">
                            <a:solidFill>
                              <a:sysClr val="windowText" lastClr="000000"/>
                            </a:solidFill>
                            <a:prstDash val="solid"/>
                          </a:ln>
                          <a:effectLst/>
                        </wps:spPr>
                        <wps:txbx>
                          <w:txbxContent>
                            <w:p w14:paraId="33EB8A18" w14:textId="77777777" w:rsidR="00E34820" w:rsidRDefault="00E34820" w:rsidP="003652AD">
                              <w:pPr>
                                <w:jc w:val="center"/>
                              </w:pPr>
                              <w:r>
                                <w:rPr>
                                  <w:rFonts w:cs="Arial"/>
                                  <w:color w:val="000000"/>
                                  <w:kern w:val="24"/>
                                  <w:sz w:val="13"/>
                                  <w:szCs w:val="13"/>
                                </w:rPr>
                                <w:t>Optional relief from distinguishing errors and changes in accounting policy (See Appendix E)</w:t>
                              </w:r>
                            </w:p>
                            <w:p w14:paraId="6E1D9707" w14:textId="77777777" w:rsidR="00E34820" w:rsidRDefault="00E34820" w:rsidP="003652AD">
                              <w:pPr>
                                <w:jc w:val="center"/>
                                <w:rPr>
                                  <w:sz w:val="24"/>
                                  <w:szCs w:val="24"/>
                                </w:rPr>
                              </w:pP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46" name="Hexagon 46" descr="first time adoption of tier 1 or tier 2 reporting requirements&#10;&#10;flowchart information in regard to first time adoption of tier 1 or tier 2 reporting requirements for paragraphs 18 to 18d&#10;"/>
                        <wps:cNvSpPr/>
                        <wps:spPr>
                          <a:xfrm>
                            <a:off x="1137396" y="5631622"/>
                            <a:ext cx="1423025" cy="776425"/>
                          </a:xfrm>
                          <a:prstGeom prst="hexagon">
                            <a:avLst/>
                          </a:prstGeom>
                          <a:noFill/>
                          <a:ln w="9525" cap="flat" cmpd="sng" algn="ctr">
                            <a:solidFill>
                              <a:sysClr val="windowText" lastClr="000000"/>
                            </a:solidFill>
                            <a:prstDash val="solid"/>
                          </a:ln>
                          <a:effectLst/>
                        </wps:spPr>
                        <wps:txbx>
                          <w:txbxContent>
                            <w:p w14:paraId="7A806A9D" w14:textId="77777777" w:rsidR="00E34820" w:rsidRDefault="00E34820" w:rsidP="003652AD">
                              <w:pPr>
                                <w:jc w:val="center"/>
                                <w:rPr>
                                  <w:sz w:val="24"/>
                                  <w:szCs w:val="24"/>
                                </w:rPr>
                              </w:pPr>
                              <w:r w:rsidRPr="001F38AC">
                                <w:rPr>
                                  <w:rFonts w:cs="Arial"/>
                                  <w:color w:val="000000"/>
                                  <w:kern w:val="24"/>
                                  <w:sz w:val="13"/>
                                  <w:szCs w:val="13"/>
                                </w:rPr>
                                <w:t xml:space="preserve">Is the entity a </w:t>
                              </w:r>
                              <w:r w:rsidRPr="001F38AC">
                                <w:rPr>
                                  <w:rFonts w:cs="Arial"/>
                                  <w:bCs/>
                                  <w:color w:val="000000"/>
                                  <w:kern w:val="24"/>
                                  <w:sz w:val="13"/>
                                  <w:szCs w:val="13"/>
                                </w:rPr>
                                <w:t>for-profit private sector entity</w:t>
                              </w:r>
                              <w:r w:rsidRPr="001F38AC">
                                <w:rPr>
                                  <w:rFonts w:cs="Arial"/>
                                  <w:color w:val="000000"/>
                                  <w:kern w:val="24"/>
                                  <w:sz w:val="13"/>
                                  <w:szCs w:val="13"/>
                                </w:rPr>
                                <w:t xml:space="preserve"> that is adopting Tier 2 – Simplified Disclosures for a reporting period beginning before 1 July 2021?</w:t>
                              </w:r>
                            </w:p>
                          </w:txbxContent>
                        </wps:txbx>
                        <wps:bodyPr rot="0" spcFirstLastPara="0" vert="horz" wrap="square" lIns="36000" tIns="0" rIns="36000" bIns="0" numCol="1" spcCol="0" rtlCol="0" fromWordArt="0" anchor="ctr" anchorCtr="0" forceAA="0" compatLnSpc="1">
                          <a:prstTxWarp prst="textNoShape">
                            <a:avLst/>
                          </a:prstTxWarp>
                          <a:spAutoFit/>
                        </wps:bodyPr>
                      </wps:wsp>
                      <wps:wsp>
                        <wps:cNvPr id="49" name="Straight Arrow Connector 49" descr="arrow" title="directional arrow"/>
                        <wps:cNvCnPr>
                          <a:cxnSpLocks/>
                        </wps:cNvCnPr>
                        <wps:spPr>
                          <a:xfrm>
                            <a:off x="3881504" y="5558050"/>
                            <a:ext cx="1" cy="246191"/>
                          </a:xfrm>
                          <a:prstGeom prst="straightConnector1">
                            <a:avLst/>
                          </a:prstGeom>
                          <a:noFill/>
                          <a:ln w="9525" cap="flat" cmpd="sng" algn="ctr">
                            <a:solidFill>
                              <a:sysClr val="windowText" lastClr="000000"/>
                            </a:solidFill>
                            <a:prstDash val="solid"/>
                            <a:tailEnd type="triangle"/>
                          </a:ln>
                          <a:effectLst/>
                        </wps:spPr>
                        <wps:bodyPr/>
                      </wps:wsp>
                      <wps:wsp>
                        <wps:cNvPr id="47" name="Straight Arrow Connector 47" descr="arrow" title="directional arrow"/>
                        <wps:cNvCnPr>
                          <a:cxnSpLocks/>
                        </wps:cNvCnPr>
                        <wps:spPr>
                          <a:xfrm flipH="1">
                            <a:off x="2540896" y="3471677"/>
                            <a:ext cx="529411" cy="0"/>
                          </a:xfrm>
                          <a:prstGeom prst="straightConnector1">
                            <a:avLst/>
                          </a:prstGeom>
                          <a:noFill/>
                          <a:ln w="9525" cap="flat" cmpd="sng" algn="ctr">
                            <a:solidFill>
                              <a:sysClr val="windowText" lastClr="000000"/>
                            </a:solidFill>
                            <a:prstDash val="solid"/>
                            <a:tailEnd type="triangle"/>
                          </a:ln>
                          <a:effectLst/>
                        </wps:spPr>
                        <wps:bodyPr/>
                      </wps:wsp>
                      <wps:wsp>
                        <wps:cNvPr id="50" name="Straight Arrow Connector 50" descr="arrow" title="directional arrow"/>
                        <wps:cNvCnPr>
                          <a:cxnSpLocks/>
                        </wps:cNvCnPr>
                        <wps:spPr>
                          <a:xfrm>
                            <a:off x="1844717" y="4681179"/>
                            <a:ext cx="11243" cy="261436"/>
                          </a:xfrm>
                          <a:prstGeom prst="straightConnector1">
                            <a:avLst/>
                          </a:prstGeom>
                          <a:noFill/>
                          <a:ln w="9525" cap="flat" cmpd="sng" algn="ctr">
                            <a:solidFill>
                              <a:sysClr val="windowText" lastClr="000000"/>
                            </a:solidFill>
                            <a:prstDash val="solid"/>
                            <a:tailEnd type="triangle"/>
                          </a:ln>
                          <a:effectLst/>
                        </wps:spPr>
                        <wps:bodyPr/>
                      </wps:wsp>
                      <wps:wsp>
                        <wps:cNvPr id="51" name="Straight Arrow Connector 51" descr="arrow" title="directional arrow"/>
                        <wps:cNvCnPr>
                          <a:cxnSpLocks/>
                        </wps:cNvCnPr>
                        <wps:spPr>
                          <a:xfrm>
                            <a:off x="1855810" y="5454594"/>
                            <a:ext cx="3799" cy="180204"/>
                          </a:xfrm>
                          <a:prstGeom prst="straightConnector1">
                            <a:avLst/>
                          </a:prstGeom>
                          <a:noFill/>
                          <a:ln w="9525" cap="flat" cmpd="sng" algn="ctr">
                            <a:solidFill>
                              <a:sysClr val="windowText" lastClr="000000"/>
                            </a:solidFill>
                            <a:prstDash val="solid"/>
                            <a:tailEnd type="triangle"/>
                          </a:ln>
                          <a:effectLst/>
                        </wps:spPr>
                        <wps:bodyPr/>
                      </wps:wsp>
                      <wps:wsp>
                        <wps:cNvPr id="52" name="Straight Arrow Connector 52" descr="arrow" title="directional arrow"/>
                        <wps:cNvCnPr>
                          <a:cxnSpLocks/>
                        </wps:cNvCnPr>
                        <wps:spPr>
                          <a:xfrm flipV="1">
                            <a:off x="4562839" y="5206370"/>
                            <a:ext cx="450890" cy="712"/>
                          </a:xfrm>
                          <a:prstGeom prst="straightConnector1">
                            <a:avLst/>
                          </a:prstGeom>
                          <a:noFill/>
                          <a:ln w="9525" cap="flat" cmpd="sng" algn="ctr">
                            <a:solidFill>
                              <a:sysClr val="windowText" lastClr="000000"/>
                            </a:solidFill>
                            <a:prstDash val="solid"/>
                            <a:tailEnd type="triangle"/>
                          </a:ln>
                          <a:effectLst/>
                        </wps:spPr>
                        <wps:bodyPr/>
                      </wps:wsp>
                      <wps:wsp>
                        <wps:cNvPr id="53" name="Straight Arrow Connector 53" descr="arrow" title="directional arrow"/>
                        <wps:cNvCnPr>
                          <a:cxnSpLocks/>
                          <a:endCxn id="35" idx="0"/>
                        </wps:cNvCnPr>
                        <wps:spPr>
                          <a:xfrm>
                            <a:off x="1825731" y="6407608"/>
                            <a:ext cx="148" cy="231887"/>
                          </a:xfrm>
                          <a:prstGeom prst="straightConnector1">
                            <a:avLst/>
                          </a:prstGeom>
                          <a:noFill/>
                          <a:ln w="9525" cap="flat" cmpd="sng" algn="ctr">
                            <a:solidFill>
                              <a:sysClr val="windowText" lastClr="000000"/>
                            </a:solidFill>
                            <a:prstDash val="solid"/>
                            <a:tailEnd type="triangle"/>
                          </a:ln>
                          <a:effectLst/>
                        </wps:spPr>
                        <wps:bodyPr/>
                      </wps:wsp>
                      <wps:wsp>
                        <wps:cNvPr id="57" name="Text Box 2" descr="no" title="no"/>
                        <wps:cNvSpPr txBox="1">
                          <a:spLocks noChangeArrowheads="1"/>
                        </wps:cNvSpPr>
                        <wps:spPr bwMode="auto">
                          <a:xfrm>
                            <a:off x="4605492" y="4959647"/>
                            <a:ext cx="354934" cy="237477"/>
                          </a:xfrm>
                          <a:prstGeom prst="rect">
                            <a:avLst/>
                          </a:prstGeom>
                          <a:noFill/>
                          <a:ln w="9525">
                            <a:noFill/>
                            <a:miter lim="800000"/>
                            <a:headEnd/>
                            <a:tailEnd/>
                          </a:ln>
                        </wps:spPr>
                        <wps:txbx>
                          <w:txbxContent>
                            <w:p w14:paraId="30D2C1AF" w14:textId="77777777" w:rsidR="00E34820" w:rsidRDefault="00E34820" w:rsidP="003652AD">
                              <w:pPr>
                                <w:spacing w:line="200" w:lineRule="exact"/>
                                <w:rPr>
                                  <w:sz w:val="24"/>
                                  <w:szCs w:val="24"/>
                                </w:rPr>
                              </w:pPr>
                              <w:r w:rsidRPr="00094538">
                                <w:rPr>
                                  <w:rFonts w:cs="Arial"/>
                                  <w:color w:val="000000"/>
                                  <w:kern w:val="24"/>
                                  <w:sz w:val="14"/>
                                  <w:szCs w:val="14"/>
                                </w:rPr>
                                <w:t>No</w:t>
                              </w:r>
                            </w:p>
                          </w:txbxContent>
                        </wps:txbx>
                        <wps:bodyPr rot="0" vert="horz" wrap="square" lIns="91440" tIns="45720" rIns="91440" bIns="45720" anchor="t" anchorCtr="0">
                          <a:noAutofit/>
                        </wps:bodyPr>
                      </wps:wsp>
                      <wps:wsp>
                        <wps:cNvPr id="58" name="Straight Arrow Connector 58" descr="arrow" title="directional arrow"/>
                        <wps:cNvCnPr>
                          <a:cxnSpLocks/>
                        </wps:cNvCnPr>
                        <wps:spPr>
                          <a:xfrm flipH="1">
                            <a:off x="3860977" y="4589058"/>
                            <a:ext cx="2" cy="297345"/>
                          </a:xfrm>
                          <a:prstGeom prst="straightConnector1">
                            <a:avLst/>
                          </a:prstGeom>
                          <a:noFill/>
                          <a:ln w="9525" cap="flat" cmpd="sng" algn="ctr">
                            <a:solidFill>
                              <a:sysClr val="windowText" lastClr="000000"/>
                            </a:solidFill>
                            <a:prstDash val="solid"/>
                            <a:tailEnd type="triangle"/>
                          </a:ln>
                          <a:effectLst/>
                        </wps:spPr>
                        <wps:bodyPr/>
                      </wps:wsp>
                      <wps:wsp>
                        <wps:cNvPr id="59" name="Straight Arrow Connector 59" descr="arrow" title="directional arrow"/>
                        <wps:cNvCnPr>
                          <a:cxnSpLocks/>
                        </wps:cNvCnPr>
                        <wps:spPr>
                          <a:xfrm>
                            <a:off x="3861604" y="3773663"/>
                            <a:ext cx="0" cy="303223"/>
                          </a:xfrm>
                          <a:prstGeom prst="straightConnector1">
                            <a:avLst/>
                          </a:prstGeom>
                          <a:noFill/>
                          <a:ln w="9525" cap="flat" cmpd="sng" algn="ctr">
                            <a:solidFill>
                              <a:sysClr val="windowText" lastClr="000000"/>
                            </a:solidFill>
                            <a:prstDash val="solid"/>
                            <a:tailEnd type="triangle"/>
                          </a:ln>
                          <a:effectLst/>
                        </wps:spPr>
                        <wps:bodyPr/>
                      </wps:wsp>
                      <wps:wsp>
                        <wps:cNvPr id="60" name="Text Box 2" descr="no" title="no"/>
                        <wps:cNvSpPr txBox="1">
                          <a:spLocks noChangeArrowheads="1"/>
                        </wps:cNvSpPr>
                        <wps:spPr bwMode="auto">
                          <a:xfrm>
                            <a:off x="798157" y="5751622"/>
                            <a:ext cx="354934" cy="237477"/>
                          </a:xfrm>
                          <a:prstGeom prst="rect">
                            <a:avLst/>
                          </a:prstGeom>
                          <a:noFill/>
                          <a:ln w="9525">
                            <a:noFill/>
                            <a:miter lim="800000"/>
                            <a:headEnd/>
                            <a:tailEnd/>
                          </a:ln>
                        </wps:spPr>
                        <wps:txbx>
                          <w:txbxContent>
                            <w:p w14:paraId="3264C0B0" w14:textId="77777777" w:rsidR="00E34820" w:rsidRDefault="00E34820" w:rsidP="003652AD">
                              <w:pPr>
                                <w:spacing w:line="200" w:lineRule="exact"/>
                                <w:rPr>
                                  <w:sz w:val="24"/>
                                  <w:szCs w:val="24"/>
                                </w:rPr>
                              </w:pPr>
                              <w:r w:rsidRPr="00094538">
                                <w:rPr>
                                  <w:rFonts w:cs="Arial"/>
                                  <w:color w:val="000000"/>
                                  <w:kern w:val="24"/>
                                  <w:sz w:val="14"/>
                                  <w:szCs w:val="14"/>
                                </w:rPr>
                                <w:t>No</w:t>
                              </w:r>
                            </w:p>
                          </w:txbxContent>
                        </wps:txbx>
                        <wps:bodyPr rot="0" vert="horz" wrap="square" lIns="91440" tIns="45720" rIns="91440" bIns="45720" anchor="t" anchorCtr="0">
                          <a:noAutofit/>
                        </wps:bodyPr>
                      </wps:wsp>
                    </wpg:wgp>
                  </a:graphicData>
                </a:graphic>
              </wp:inline>
            </w:drawing>
          </mc:Choice>
          <mc:Fallback>
            <w:pict>
              <v:group w14:anchorId="64B2FC15" id="Group 6" o:spid="_x0000_s1030" alt="Chart 1: First-time Adoption of Tier 1 or Tier 2 Reporting Requirements (paragraphs 18−18D)" style="width:396pt;height:574.7pt;mso-position-horizontal-relative:char;mso-position-vertical-relative:line" coordorigin="-159,341" coordsize="50296,7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">
                <v:shape id="_x0000_s1031" type="#_x0000_t202" alt="yes" style="position:absolute;left:19032;top:64413;width:405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7A25BE5" w14:textId="77777777" w:rsidR="00E34820" w:rsidRDefault="00E34820" w:rsidP="003652AD">
                        <w:pPr>
                          <w:spacing w:line="200" w:lineRule="exact"/>
                          <w:rPr>
                            <w:sz w:val="24"/>
                            <w:szCs w:val="24"/>
                          </w:rPr>
                        </w:pPr>
                        <w:r>
                          <w:rPr>
                            <w:rFonts w:cs="Arial"/>
                            <w:color w:val="000000"/>
                            <w:kern w:val="24"/>
                            <w:sz w:val="14"/>
                            <w:szCs w:val="14"/>
                          </w:rPr>
                          <w:t>Yes</w:t>
                        </w:r>
                      </w:p>
                    </w:txbxContent>
                  </v:textbox>
                </v:shape>
                <v:rect id="Rectangle 9" o:spid="_x0000_s1032" alt="first time adoption of tier 1 or tier 2 reporting requirements&#10;&#10;flowchart information in regard to first time adoption of tier 1 or tier 2 reporting requirements for paragraphs 18 to 18d" style="position:absolute;left:12634;top:341;width:10699;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" filled="f" strokecolor="windowText">
                  <v:textbox>
                    <w:txbxContent>
                      <w:p w14:paraId="7801EBDB" w14:textId="77777777" w:rsidR="00E34820" w:rsidRDefault="00E34820" w:rsidP="003652AD">
                        <w:pPr>
                          <w:spacing w:line="130" w:lineRule="exact"/>
                          <w:jc w:val="center"/>
                          <w:rPr>
                            <w:sz w:val="24"/>
                            <w:szCs w:val="24"/>
                          </w:rPr>
                        </w:pPr>
                        <w:r>
                          <w:rPr>
                            <w:rFonts w:cs="Arial"/>
                            <w:color w:val="000000"/>
                            <w:kern w:val="24"/>
                            <w:sz w:val="13"/>
                            <w:szCs w:val="13"/>
                          </w:rPr>
                          <w:t>Transitioning from special purpose financial statements to Tier 1 or Tier 2 for the first time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33" type="#_x0000_t34" alt="arrows" style="position:absolute;left:16886;top:5777;width:2245;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" strokecolor="windowText">
                  <v:stroke endarrow="block"/>
                  <o:lock v:ext="edit" shapetype="f"/>
                </v:shape>
                <v:shape id="Hexagon 15" o:spid="_x0000_s1034" type="#_x0000_t9" alt="first time adoption of tier 1 or tier 2 reporting requirements&#10;&#10;flowchart information in regard to first time adoption of tier 1 or tier 2 reporting requirements for paragraphs 18 to 18d&#10;" style="position:absolute;left:12487;top:6913;width:10699;height:4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" adj="2394" filled="f" strokecolor="windowText">
                  <v:textbox inset="1mm,0,1mm,0">
                    <w:txbxContent>
                      <w:p w14:paraId="3FB60785" w14:textId="77777777" w:rsidR="00E34820" w:rsidRDefault="00E34820" w:rsidP="003652AD">
                        <w:pPr>
                          <w:spacing w:line="130" w:lineRule="exact"/>
                          <w:jc w:val="center"/>
                          <w:rPr>
                            <w:sz w:val="24"/>
                            <w:szCs w:val="24"/>
                          </w:rPr>
                        </w:pPr>
                        <w:r>
                          <w:rPr>
                            <w:rFonts w:cs="Arial"/>
                            <w:color w:val="000000"/>
                            <w:kern w:val="24"/>
                            <w:sz w:val="13"/>
                            <w:szCs w:val="13"/>
                          </w:rPr>
                          <w:t>Is the entity adopting Tier 1 requirements?</w:t>
                        </w:r>
                      </w:p>
                    </w:txbxContent>
                  </v:textbox>
                </v:shape>
                <v:shape id="Elbow Connector 18" o:spid="_x0000_s1035" type="#_x0000_t34" alt="arrows" style="position:absolute;left:16666;top:13070;width:2685;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" strokecolor="windowText">
                  <v:stroke endarrow="block"/>
                </v:shape>
                <v:shape id="_x0000_s1036" type="#_x0000_t202" alt="no" style="position:absolute;left:19151;top:11962;width:355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5437CE4" w14:textId="77777777" w:rsidR="00E34820" w:rsidRDefault="00E34820" w:rsidP="003652AD">
                        <w:pPr>
                          <w:spacing w:line="200" w:lineRule="exact"/>
                          <w:rPr>
                            <w:sz w:val="24"/>
                            <w:szCs w:val="24"/>
                          </w:rPr>
                        </w:pPr>
                        <w:r>
                          <w:rPr>
                            <w:rFonts w:cs="Arial"/>
                            <w:color w:val="000000"/>
                            <w:kern w:val="24"/>
                            <w:sz w:val="14"/>
                            <w:szCs w:val="14"/>
                          </w:rPr>
                          <w:t>No</w:t>
                        </w:r>
                      </w:p>
                    </w:txbxContent>
                  </v:textbox>
                </v:shape>
                <v:rect id="Rectangle 22" o:spid="_x0000_s1037" alt="first time adoption of tier 1 or tier 2 reporting requirements&#10;&#10;flowchart information in regard to first time adoption of tier 1 or tier 2 reporting requirements for paragraphs 18 to 18d&#10;" style="position:absolute;left:13380;top:14343;width:9321;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" filled="f" strokecolor="windowText">
                  <v:textbox>
                    <w:txbxContent>
                      <w:p w14:paraId="62775288" w14:textId="77777777" w:rsidR="00E34820" w:rsidRDefault="00E34820" w:rsidP="003652AD">
                        <w:pPr>
                          <w:jc w:val="center"/>
                          <w:rPr>
                            <w:sz w:val="24"/>
                            <w:szCs w:val="24"/>
                          </w:rPr>
                        </w:pPr>
                        <w:r>
                          <w:rPr>
                            <w:rFonts w:cs="Arial"/>
                            <w:color w:val="000000"/>
                            <w:kern w:val="24"/>
                            <w:sz w:val="13"/>
                            <w:szCs w:val="13"/>
                          </w:rPr>
                          <w:t>Adoption of Tier 2 requirements</w:t>
                        </w:r>
                      </w:p>
                    </w:txbxContent>
                  </v:textbox>
                </v:rect>
                <v:shape id="Elbow Connector 23" o:spid="_x0000_s1038" type="#_x0000_t34" alt="arrows" style="position:absolute;left:7037;top:9268;width:5450;height:1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" strokecolor="windowText">
                  <v:stroke endarrow="block"/>
                  <o:lock v:ext="edit" shapetype="f"/>
                </v:shape>
                <v:shape id="_x0000_s1039" type="#_x0000_t202" alt="yes" style="position:absolute;left:8877;top:6886;width:3620;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F0C3B0A" w14:textId="77777777" w:rsidR="00E34820" w:rsidRDefault="00E34820" w:rsidP="003652AD">
                        <w:pPr>
                          <w:spacing w:line="200" w:lineRule="exact"/>
                          <w:rPr>
                            <w:sz w:val="24"/>
                            <w:szCs w:val="24"/>
                          </w:rPr>
                        </w:pPr>
                        <w:r>
                          <w:rPr>
                            <w:rFonts w:cs="Arial"/>
                            <w:color w:val="000000"/>
                            <w:kern w:val="24"/>
                            <w:sz w:val="14"/>
                            <w:szCs w:val="14"/>
                          </w:rPr>
                          <w:t>Yes</w:t>
                        </w:r>
                      </w:p>
                    </w:txbxContent>
                  </v:textbox>
                </v:shape>
                <v:rect id="Rectangle 25" o:spid="_x0000_s1040" alt="first time adoption of tier 1 or tier 2 reporting requirements&#10;&#10;flowchart information in regard to first time adoption of tier 1 or tier 2 reporting requirements for paragraphs 18 to 18d&#10;" style="position:absolute;left:-159;top:5550;width:7196;height:7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" filled="f" strokecolor="windowText">
                  <v:textbox>
                    <w:txbxContent>
                      <w:p w14:paraId="63B67696" w14:textId="77777777" w:rsidR="00E34820" w:rsidRDefault="00E34820" w:rsidP="003652AD">
                        <w:pPr>
                          <w:jc w:val="center"/>
                          <w:rPr>
                            <w:sz w:val="24"/>
                            <w:szCs w:val="24"/>
                          </w:rPr>
                        </w:pPr>
                        <w:r>
                          <w:rPr>
                            <w:rFonts w:cs="Arial"/>
                            <w:color w:val="000000"/>
                            <w:kern w:val="24"/>
                            <w:sz w:val="13"/>
                            <w:szCs w:val="13"/>
                          </w:rPr>
                          <w:t xml:space="preserve">Apply AASB 1 </w:t>
                        </w:r>
                      </w:p>
                    </w:txbxContent>
                  </v:textbox>
                </v:rect>
                <v:shapetype id="_x0000_t32" coordsize="21600,21600" o:spt="32" o:oned="t" path="m,l21600,21600e" filled="f">
                  <v:path arrowok="t" fillok="f" o:connecttype="none"/>
                  <o:lock v:ext="edit" shapetype="t"/>
                </v:shapetype>
                <v:shape id="Straight Arrow Connector 26" o:spid="_x0000_s1041" type="#_x0000_t32" alt="arrow" style="position:absolute;left:18562;top:37909;width:35;height:2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" strokecolor="windowText">
                  <v:stroke endarrow="block"/>
                  <o:lock v:ext="edit" shapetype="f"/>
                </v:shape>
                <v:shape id="Hexagon 27" o:spid="_x0000_s1042" type="#_x0000_t9" alt="first time adoption of tier 1 or tier 2 reporting requirements&#10;&#10;flowchart information in regard to first time adoption of tier 1 or tier 2 reporting requirements for paragraphs 18 to 18d&#10;" style="position:absolute;left:12936;top:19995;width:10443;height:8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" adj="4420" filled="f" strokecolor="windowText">
                  <v:textbox inset="0,0,0,0">
                    <w:txbxContent>
                      <w:p w14:paraId="43D81E3A" w14:textId="77777777" w:rsidR="00E34820" w:rsidRDefault="00E34820" w:rsidP="003652AD">
                        <w:pPr>
                          <w:spacing w:line="130" w:lineRule="exact"/>
                          <w:jc w:val="center"/>
                          <w:rPr>
                            <w:sz w:val="24"/>
                            <w:szCs w:val="24"/>
                          </w:rPr>
                        </w:pPr>
                        <w:r>
                          <w:rPr>
                            <w:rFonts w:cs="Arial"/>
                            <w:color w:val="000000"/>
                            <w:kern w:val="24"/>
                            <w:sz w:val="13"/>
                            <w:szCs w:val="13"/>
                          </w:rPr>
                          <w:t>Did the entity apply all applicable R&amp;M requirements in its most recent financial statements, including AASB 10 if a parent?</w:t>
                        </w:r>
                      </w:p>
                    </w:txbxContent>
                  </v:textbox>
                </v:shape>
                <v:shape id="Elbow Connector 28" o:spid="_x0000_s1043" type="#_x0000_t34" alt="arrows" style="position:absolute;left:23377;top:24267;width:15500;height:674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" adj="21657" strokecolor="windowText">
                  <v:stroke endarrow="block"/>
                  <o:lock v:ext="edit" shapetype="f"/>
                </v:shape>
                <v:shape id="_x0000_s1044" type="#_x0000_t202" alt="yes" style="position:absolute;left:23379;top:21929;width:405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6B0EAB5" w14:textId="77777777" w:rsidR="00E34820" w:rsidRDefault="00E34820" w:rsidP="003652AD">
                        <w:pPr>
                          <w:spacing w:line="200" w:lineRule="exact"/>
                          <w:rPr>
                            <w:sz w:val="24"/>
                            <w:szCs w:val="24"/>
                          </w:rPr>
                        </w:pPr>
                        <w:r>
                          <w:rPr>
                            <w:rFonts w:cs="Arial"/>
                            <w:color w:val="000000"/>
                            <w:kern w:val="24"/>
                            <w:sz w:val="14"/>
                            <w:szCs w:val="14"/>
                          </w:rPr>
                          <w:t>Yes</w:t>
                        </w:r>
                      </w:p>
                    </w:txbxContent>
                  </v:textbox>
                </v:shape>
                <v:rect id="Rectangle 30" o:spid="_x0000_s1045" alt="first time adoption of tier 1 or tier 2 reporting requirements&#10;&#10;flowchart information in regard to first time adoption of tier 1 or tier 2 reporting requirements for paragraphs 18 to 18d&#10;" style="position:absolute;left:31496;top:40768;width:14239;height:5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" filled="f" strokecolor="windowText">
                  <v:textbox inset="1mm,,1mm">
                    <w:txbxContent>
                      <w:p w14:paraId="2C9ED881" w14:textId="77777777" w:rsidR="00E34820" w:rsidRDefault="00E34820" w:rsidP="003652AD">
                        <w:pPr>
                          <w:jc w:val="center"/>
                          <w:rPr>
                            <w:sz w:val="24"/>
                            <w:szCs w:val="24"/>
                          </w:rPr>
                        </w:pPr>
                        <w:r>
                          <w:rPr>
                            <w:rFonts w:cs="Arial"/>
                            <w:color w:val="000000"/>
                            <w:kern w:val="24"/>
                            <w:sz w:val="13"/>
                            <w:szCs w:val="13"/>
                          </w:rPr>
                          <w:t xml:space="preserve">Do not apply AASB 1 – continue applying applicable R&amp;M requirements </w:t>
                        </w:r>
                      </w:p>
                    </w:txbxContent>
                  </v:textbox>
                </v:rect>
                <v:shape id="Elbow Connector 24" o:spid="_x0000_s1046" type="#_x0000_t34" alt="arrows" style="position:absolute;left:16706;top:30186;width:3255;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" strokecolor="windowText">
                  <v:stroke endarrow="block"/>
                </v:shape>
                <v:shape id="_x0000_s1047" type="#_x0000_t202" alt="no" style="position:absolute;left:19151;top:28760;width:3549;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E4A2DB3" w14:textId="77777777" w:rsidR="00E34820" w:rsidRDefault="00E34820" w:rsidP="003652AD">
                        <w:pPr>
                          <w:spacing w:line="200" w:lineRule="exact"/>
                          <w:rPr>
                            <w:sz w:val="24"/>
                            <w:szCs w:val="24"/>
                          </w:rPr>
                        </w:pPr>
                        <w:r>
                          <w:rPr>
                            <w:rFonts w:cs="Arial"/>
                            <w:color w:val="000000"/>
                            <w:kern w:val="24"/>
                            <w:sz w:val="14"/>
                            <w:szCs w:val="14"/>
                          </w:rPr>
                          <w:t>No</w:t>
                        </w:r>
                      </w:p>
                    </w:txbxContent>
                  </v:textbox>
                </v:shape>
                <v:rect id="Rectangle 33" o:spid="_x0000_s1048" alt="first time adoption of tier 1 or tier 2 reporting requirements&#10;&#10;flowchart information in regard to first time adoption of tier 1 or tier 2 reporting requirements for paragraphs 18 to 18d&#10;" style="position:absolute;left:11662;top:31859;width:13870;height:6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" filled="f" strokecolor="windowText">
                  <v:textbox inset="1mm,,1mm">
                    <w:txbxContent>
                      <w:p w14:paraId="08E99A98" w14:textId="77777777" w:rsidR="00E34820" w:rsidRDefault="00E34820" w:rsidP="003652AD">
                        <w:pPr>
                          <w:jc w:val="center"/>
                          <w:rPr>
                            <w:sz w:val="24"/>
                            <w:szCs w:val="24"/>
                          </w:rPr>
                        </w:pPr>
                        <w:r>
                          <w:rPr>
                            <w:rFonts w:cs="Arial"/>
                            <w:color w:val="000000"/>
                            <w:kern w:val="24"/>
                            <w:sz w:val="13"/>
                            <w:szCs w:val="13"/>
                          </w:rPr>
                          <w:t>Apply AASB 1 and AASB 1060 paragraphs 206</w:t>
                        </w:r>
                        <w:r>
                          <w:rPr>
                            <w:color w:val="000000"/>
                            <w:kern w:val="24"/>
                            <w:sz w:val="13"/>
                            <w:szCs w:val="13"/>
                          </w:rPr>
                          <w:t>−</w:t>
                        </w:r>
                        <w:r>
                          <w:rPr>
                            <w:rFonts w:cs="Arial"/>
                            <w:color w:val="000000"/>
                            <w:kern w:val="24"/>
                            <w:sz w:val="13"/>
                            <w:szCs w:val="13"/>
                          </w:rPr>
                          <w:t>213 disclosures or apply AASB 108 and AASB 1060 paragraphs 106</w:t>
                        </w:r>
                        <w:r>
                          <w:rPr>
                            <w:color w:val="000000"/>
                            <w:kern w:val="24"/>
                            <w:sz w:val="13"/>
                            <w:szCs w:val="13"/>
                          </w:rPr>
                          <w:t>−</w:t>
                        </w:r>
                        <w:r>
                          <w:rPr>
                            <w:rFonts w:cs="Arial"/>
                            <w:color w:val="000000"/>
                            <w:kern w:val="24"/>
                            <w:sz w:val="13"/>
                            <w:szCs w:val="13"/>
                          </w:rPr>
                          <w:t>110 disclosures</w:t>
                        </w:r>
                      </w:p>
                    </w:txbxContent>
                  </v:textbox>
                </v:rect>
                <v:shape id="Hexagon 34" o:spid="_x0000_s1049" type="#_x0000_t9" alt="first time adoption of tier 1 or tier 2 reporting requirements&#10;&#10;flowchart information in regard to first time adoption of tier 1 or tier 2 reporting requirements for paragraphs 18 to 18d&#10;" style="position:absolute;left:11661;top:40194;width:13870;height:6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" adj="2577" filled="f" strokecolor="windowText">
                  <v:textbox inset="1mm,0,1mm,0">
                    <w:txbxContent>
                      <w:p w14:paraId="173CFA99" w14:textId="77777777" w:rsidR="00E34820" w:rsidRDefault="00E34820" w:rsidP="003652AD">
                        <w:pPr>
                          <w:spacing w:line="130" w:lineRule="exact"/>
                          <w:jc w:val="center"/>
                          <w:rPr>
                            <w:sz w:val="24"/>
                            <w:szCs w:val="24"/>
                          </w:rPr>
                        </w:pPr>
                        <w:r w:rsidRPr="001F38AC">
                          <w:rPr>
                            <w:rFonts w:cs="Arial"/>
                            <w:color w:val="000000"/>
                            <w:kern w:val="24"/>
                            <w:sz w:val="13"/>
                            <w:szCs w:val="13"/>
                          </w:rPr>
                          <w:t>Is the entity a for-profit private sector entity that is adopting Tier 2 – Simplified Disclosures for a reporting period beginning before 1 July 2022?</w:t>
                        </w:r>
                      </w:p>
                    </w:txbxContent>
                  </v:textbox>
                </v:shape>
                <v:rect id="Rectangle 35" o:spid="_x0000_s1050" alt="first time adoption of tier 1 or tier 2 reporting requirements&#10;&#10;flowchart information in regard to first time adoption of tier 1 or tier 2 reporting requirements for paragraphs 18 to 18d&#10;" style="position:absolute;left:10679;top:66399;width:15162;height:6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" filled="f" strokecolor="windowText">
                  <v:textbox inset="1mm,,1mm">
                    <w:txbxContent>
                      <w:p w14:paraId="0B83CAAD" w14:textId="77777777" w:rsidR="00E34820" w:rsidRDefault="00E34820" w:rsidP="003652AD">
                        <w:pPr>
                          <w:rPr>
                            <w:sz w:val="24"/>
                            <w:szCs w:val="24"/>
                          </w:rPr>
                        </w:pPr>
                        <w:r>
                          <w:rPr>
                            <w:rFonts w:cs="Arial"/>
                            <w:color w:val="000000"/>
                            <w:kern w:val="24"/>
                            <w:sz w:val="13"/>
                            <w:szCs w:val="13"/>
                          </w:rPr>
                          <w:t xml:space="preserve">   Additional optional relief from:</w:t>
                        </w:r>
                      </w:p>
                      <w:p w14:paraId="5A02FB47" w14:textId="77777777" w:rsidR="00E34820" w:rsidRDefault="00E34820" w:rsidP="003652AD">
                        <w:pPr>
                          <w:tabs>
                            <w:tab w:val="left" w:pos="360"/>
                          </w:tabs>
                        </w:pPr>
                        <w:r>
                          <w:rPr>
                            <w:rFonts w:cs="Arial"/>
                            <w:color w:val="000000"/>
                            <w:kern w:val="24"/>
                            <w:sz w:val="13"/>
                            <w:szCs w:val="13"/>
                          </w:rPr>
                          <w:t xml:space="preserve">   </w:t>
                        </w:r>
                        <w:proofErr w:type="gramStart"/>
                        <w:r>
                          <w:rPr>
                            <w:rFonts w:cs="Arial"/>
                            <w:color w:val="000000"/>
                            <w:kern w:val="24"/>
                            <w:sz w:val="13"/>
                            <w:szCs w:val="13"/>
                          </w:rPr>
                          <w:t xml:space="preserve">●  </w:t>
                        </w:r>
                        <w:r>
                          <w:rPr>
                            <w:rFonts w:cs="Arial"/>
                            <w:color w:val="000000"/>
                            <w:kern w:val="24"/>
                            <w:sz w:val="13"/>
                            <w:szCs w:val="13"/>
                          </w:rPr>
                          <w:tab/>
                        </w:r>
                        <w:proofErr w:type="gramEnd"/>
                        <w:r>
                          <w:rPr>
                            <w:rFonts w:cs="Arial"/>
                            <w:color w:val="000000"/>
                            <w:kern w:val="24"/>
                            <w:sz w:val="13"/>
                            <w:szCs w:val="13"/>
                          </w:rPr>
                          <w:t>Restating comparative information</w:t>
                        </w:r>
                      </w:p>
                      <w:p w14:paraId="3F6EC7FB" w14:textId="77777777" w:rsidR="00E34820" w:rsidRDefault="00E34820" w:rsidP="003652AD">
                        <w:pPr>
                          <w:tabs>
                            <w:tab w:val="left" w:pos="360"/>
                          </w:tabs>
                        </w:pPr>
                        <w:r>
                          <w:rPr>
                            <w:rFonts w:cs="Arial"/>
                            <w:color w:val="000000"/>
                            <w:kern w:val="24"/>
                            <w:sz w:val="13"/>
                            <w:szCs w:val="13"/>
                          </w:rPr>
                          <w:t xml:space="preserve">   ●</w:t>
                        </w:r>
                        <w:r>
                          <w:rPr>
                            <w:rFonts w:cs="Arial"/>
                            <w:color w:val="000000"/>
                            <w:kern w:val="24"/>
                            <w:sz w:val="13"/>
                            <w:szCs w:val="13"/>
                          </w:rPr>
                          <w:tab/>
                          <w:t xml:space="preserve">Providing comparative information </w:t>
                        </w:r>
                        <w:r>
                          <w:rPr>
                            <w:rFonts w:cs="Arial"/>
                            <w:color w:val="000000"/>
                            <w:kern w:val="24"/>
                            <w:sz w:val="13"/>
                            <w:szCs w:val="13"/>
                          </w:rPr>
                          <w:tab/>
                          <w:t>for new disclosures</w:t>
                        </w:r>
                      </w:p>
                      <w:p w14:paraId="17FAC552" w14:textId="77777777" w:rsidR="00E34820" w:rsidRDefault="00E34820" w:rsidP="003652AD">
                        <w:pPr>
                          <w:jc w:val="center"/>
                        </w:pPr>
                        <w:r>
                          <w:rPr>
                            <w:rFonts w:cs="Arial"/>
                            <w:color w:val="000000"/>
                            <w:kern w:val="24"/>
                            <w:sz w:val="13"/>
                            <w:szCs w:val="13"/>
                          </w:rPr>
                          <w:t>(See Appendix E)</w:t>
                        </w:r>
                      </w:p>
                    </w:txbxContent>
                  </v:textbox>
                </v:rect>
                <v:rect id="Rectangle 36" o:spid="_x0000_s1051" alt="first time adoption of tier 1 or tier 2 reporting requirements&#10;&#10;flowchart information in regard to first time adoption of tier 1 or tier 2 reporting requirements for paragraphs 18 to 18d&#10;" style="position:absolute;left:31377;top:58044;width:14239;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" filled="f" strokecolor="windowText">
                  <v:textbox inset="1mm,,1mm">
                    <w:txbxContent>
                      <w:p w14:paraId="1F8984C7" w14:textId="7ED13ECA" w:rsidR="00E34820" w:rsidRDefault="00E34820" w:rsidP="003652AD">
                        <w:pPr>
                          <w:jc w:val="center"/>
                          <w:rPr>
                            <w:sz w:val="24"/>
                            <w:szCs w:val="24"/>
                          </w:rPr>
                        </w:pPr>
                        <w:r>
                          <w:rPr>
                            <w:rFonts w:cs="Arial"/>
                            <w:color w:val="000000"/>
                            <w:kern w:val="24"/>
                            <w:sz w:val="13"/>
                            <w:szCs w:val="13"/>
                          </w:rPr>
                          <w:t>Optional relief from providing comparative information for new disclosures</w:t>
                        </w:r>
                        <w:r>
                          <w:rPr>
                            <w:rFonts w:cs="Arial"/>
                            <w:color w:val="000000"/>
                            <w:kern w:val="24"/>
                            <w:sz w:val="13"/>
                            <w:szCs w:val="13"/>
                          </w:rPr>
                          <w:br/>
                          <w:t>(See Appendix E)</w:t>
                        </w:r>
                      </w:p>
                    </w:txbxContent>
                  </v:textbox>
                </v:rect>
                <v:shape id="Elbow Connector 18" o:spid="_x0000_s1052" type="#_x0000_t34" alt="arrows" style="position:absolute;left:16698;top:18671;width:2685;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" strokecolor="windowText">
                  <v:stroke endarrow="block"/>
                </v:shape>
                <v:shape id="_x0000_s1053" type="#_x0000_t202" alt="yes" style="position:absolute;left:18658;top:46611;width:405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F8223D6" w14:textId="77777777" w:rsidR="00E34820" w:rsidRDefault="00E34820" w:rsidP="003652AD">
                        <w:pPr>
                          <w:spacing w:line="200" w:lineRule="exact"/>
                          <w:rPr>
                            <w:sz w:val="24"/>
                            <w:szCs w:val="24"/>
                          </w:rPr>
                        </w:pPr>
                        <w:r>
                          <w:rPr>
                            <w:rFonts w:cs="Arial"/>
                            <w:color w:val="000000"/>
                            <w:kern w:val="24"/>
                            <w:sz w:val="14"/>
                            <w:szCs w:val="14"/>
                          </w:rPr>
                          <w:t>Yes</w:t>
                        </w:r>
                      </w:p>
                    </w:txbxContent>
                  </v:textbox>
                </v:shape>
                <v:shape id="_x0000_s1054" type="#_x0000_t202" alt="yes" style="position:absolute;left:26963;top:32002;width:405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DA6C17F" w14:textId="77777777" w:rsidR="00E34820" w:rsidRDefault="00E34820" w:rsidP="003652AD">
                        <w:pPr>
                          <w:spacing w:line="200" w:lineRule="exact"/>
                          <w:rPr>
                            <w:sz w:val="24"/>
                            <w:szCs w:val="24"/>
                          </w:rPr>
                        </w:pPr>
                        <w:r>
                          <w:rPr>
                            <w:rFonts w:cs="Arial"/>
                            <w:color w:val="000000"/>
                            <w:kern w:val="24"/>
                            <w:sz w:val="14"/>
                            <w:szCs w:val="14"/>
                          </w:rPr>
                          <w:t>Yes</w:t>
                        </w:r>
                      </w:p>
                    </w:txbxContent>
                  </v:textbox>
                </v:shape>
                <v:shape id="_x0000_s1055" type="#_x0000_t202" alt="no" style="position:absolute;left:38880;top:37493;width:7238;height:3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7CDA994" w14:textId="77777777" w:rsidR="00E34820" w:rsidRDefault="00E34820" w:rsidP="003652AD">
                        <w:pPr>
                          <w:spacing w:line="200" w:lineRule="exact"/>
                          <w:jc w:val="left"/>
                          <w:rPr>
                            <w:sz w:val="24"/>
                            <w:szCs w:val="24"/>
                          </w:rPr>
                        </w:pPr>
                        <w:r>
                          <w:rPr>
                            <w:rFonts w:cs="Arial"/>
                            <w:color w:val="000000"/>
                            <w:kern w:val="24"/>
                            <w:sz w:val="14"/>
                            <w:szCs w:val="14"/>
                          </w:rPr>
                          <w:t xml:space="preserve">No or </w:t>
                        </w:r>
                        <w:r>
                          <w:rPr>
                            <w:rFonts w:cs="Arial"/>
                            <w:color w:val="000000"/>
                            <w:kern w:val="24"/>
                            <w:sz w:val="14"/>
                            <w:szCs w:val="14"/>
                          </w:rPr>
                          <w:br/>
                          <w:t>not applicable</w:t>
                        </w:r>
                      </w:p>
                    </w:txbxContent>
                  </v:textbox>
                </v:shape>
                <v:shape id="Hexagon 41" o:spid="_x0000_s1056" type="#_x0000_t9" alt="first time adoption of tier 1 or tier 2 reporting requirements&#10;&#10;flowchart information in regard to first time adoption of tier 1 or tier 2 reporting requirements for paragraphs 18 to 18d&#10;" style="position:absolute;left:30682;top:31132;width:15051;height:6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" adj="2369" filled="f" strokecolor="windowText">
                  <v:textbox inset="1mm,0,1mm,0">
                    <w:txbxContent>
                      <w:p w14:paraId="29B895E8" w14:textId="77777777" w:rsidR="00E34820" w:rsidRDefault="00E34820" w:rsidP="003652AD">
                        <w:pPr>
                          <w:jc w:val="center"/>
                          <w:rPr>
                            <w:sz w:val="24"/>
                            <w:szCs w:val="24"/>
                          </w:rPr>
                        </w:pPr>
                        <w:r>
                          <w:rPr>
                            <w:rFonts w:cs="Arial"/>
                            <w:color w:val="000000"/>
                            <w:kern w:val="24"/>
                            <w:sz w:val="13"/>
                            <w:szCs w:val="13"/>
                          </w:rPr>
                          <w:t>If a parent, did the entity apply the reporting entity concept in order to not present consolidated financial statements?</w:t>
                        </w:r>
                      </w:p>
                    </w:txbxContent>
                  </v:textbox>
                </v:shape>
                <v:rect id="Rectangle 42" o:spid="_x0000_s1057" alt="first time adoption of tier 1 or tier 2 reporting requirements&#10;&#10;flowchart information in regard to first time adoption of tier 1 or tier 2 reporting requirements for paragraphs 18 to 18d&#10;" style="position:absolute;top:56349;width:7120;height:7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" filled="f" strokecolor="windowText">
                  <v:textbox>
                    <w:txbxContent>
                      <w:p w14:paraId="3C13E439" w14:textId="5F1A40A6" w:rsidR="00E34820" w:rsidRDefault="00E34820" w:rsidP="003652AD">
                        <w:pPr>
                          <w:spacing w:line="200" w:lineRule="exact"/>
                          <w:jc w:val="center"/>
                          <w:rPr>
                            <w:sz w:val="24"/>
                            <w:szCs w:val="24"/>
                          </w:rPr>
                        </w:pPr>
                        <w:r>
                          <w:rPr>
                            <w:rFonts w:cs="Arial"/>
                            <w:color w:val="000000"/>
                            <w:kern w:val="24"/>
                            <w:sz w:val="13"/>
                            <w:szCs w:val="13"/>
                          </w:rPr>
                          <w:t>No additional relief</w:t>
                        </w:r>
                        <w:r w:rsidR="000202EB">
                          <w:rPr>
                            <w:rFonts w:cs="Arial"/>
                            <w:color w:val="000000"/>
                            <w:kern w:val="24"/>
                            <w:sz w:val="13"/>
                            <w:szCs w:val="13"/>
                          </w:rPr>
                          <w:t xml:space="preserve"> </w:t>
                        </w:r>
                        <w:r w:rsidR="000202EB" w:rsidRPr="00210DCA">
                          <w:rPr>
                            <w:rFonts w:cs="Arial"/>
                            <w:color w:val="000000"/>
                            <w:kern w:val="24"/>
                            <w:sz w:val="18"/>
                            <w:szCs w:val="18"/>
                          </w:rPr>
                          <w:t>*</w:t>
                        </w:r>
                      </w:p>
                    </w:txbxContent>
                  </v:textbox>
                </v:rect>
                <v:rect id="Rectangle 43" o:spid="_x0000_s1058" alt="first time adoption of tier 1 or tier 2 reporting requirements&#10;&#10;flowchart information in regard to first time adoption of tier 1 or tier 2 reporting requirements for paragraphs 18 to 18d&#10;" style="position:absolute;left:95;top:39883;width:7197;height:6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" filled="f" strokecolor="windowText">
                  <v:textbox>
                    <w:txbxContent>
                      <w:p w14:paraId="165ABCE7" w14:textId="189F89FA" w:rsidR="00E34820" w:rsidRDefault="00E34820" w:rsidP="003652AD">
                        <w:pPr>
                          <w:spacing w:line="200" w:lineRule="exact"/>
                          <w:jc w:val="center"/>
                          <w:rPr>
                            <w:sz w:val="24"/>
                            <w:szCs w:val="24"/>
                          </w:rPr>
                        </w:pPr>
                        <w:r>
                          <w:rPr>
                            <w:rFonts w:cs="Arial"/>
                            <w:color w:val="000000"/>
                            <w:kern w:val="24"/>
                            <w:sz w:val="13"/>
                            <w:szCs w:val="13"/>
                          </w:rPr>
                          <w:t>No relief</w:t>
                        </w:r>
                        <w:r w:rsidR="00F02A8E">
                          <w:rPr>
                            <w:rFonts w:cs="Arial"/>
                            <w:color w:val="000000"/>
                            <w:kern w:val="24"/>
                            <w:sz w:val="13"/>
                            <w:szCs w:val="13"/>
                          </w:rPr>
                          <w:t xml:space="preserve"> </w:t>
                        </w:r>
                        <w:r w:rsidR="00F02A8E" w:rsidRPr="00094538">
                          <w:rPr>
                            <w:rFonts w:cs="Arial"/>
                            <w:color w:val="000000"/>
                            <w:kern w:val="24"/>
                            <w:sz w:val="18"/>
                            <w:szCs w:val="18"/>
                          </w:rPr>
                          <w:t>*</w:t>
                        </w:r>
                      </w:p>
                    </w:txbxContent>
                  </v:textbox>
                </v:rect>
                <v:shape id="_x0000_s1059" type="#_x0000_t202" alt="no" style="position:absolute;left:7915;top:41207;width:354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319324C" w14:textId="77777777" w:rsidR="00E34820" w:rsidRDefault="00E34820" w:rsidP="003652AD">
                        <w:pPr>
                          <w:spacing w:line="200" w:lineRule="exact"/>
                          <w:rPr>
                            <w:sz w:val="24"/>
                            <w:szCs w:val="24"/>
                          </w:rPr>
                        </w:pPr>
                        <w:r w:rsidRPr="00094538">
                          <w:rPr>
                            <w:rFonts w:cs="Arial"/>
                            <w:color w:val="000000"/>
                            <w:kern w:val="24"/>
                            <w:sz w:val="14"/>
                            <w:szCs w:val="14"/>
                          </w:rPr>
                          <w:t>No</w:t>
                        </w:r>
                      </w:p>
                    </w:txbxContent>
                  </v:textbox>
                </v:shape>
                <v:rect id="Rectangle 45" o:spid="_x0000_s1060" alt="first time adoption of tier 1 or tier 2 reporting requirements&#10;&#10;flowchart information in regard to first time adoption of tier 1 or tier 2 reporting requirements for paragraphs 18 to 18d&#10;" style="position:absolute;left:12634;top:49429;width:11856;height:5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" filled="f" strokecolor="windowText">
                  <v:textbox inset="1mm,,1mm">
                    <w:txbxContent>
                      <w:p w14:paraId="33EB8A18" w14:textId="77777777" w:rsidR="00E34820" w:rsidRDefault="00E34820" w:rsidP="003652AD">
                        <w:pPr>
                          <w:jc w:val="center"/>
                        </w:pPr>
                        <w:r>
                          <w:rPr>
                            <w:rFonts w:cs="Arial"/>
                            <w:color w:val="000000"/>
                            <w:kern w:val="24"/>
                            <w:sz w:val="13"/>
                            <w:szCs w:val="13"/>
                          </w:rPr>
                          <w:t>Optional relief from distinguishing errors and changes in accounting policy (See Appendix E)</w:t>
                        </w:r>
                      </w:p>
                      <w:p w14:paraId="6E1D9707" w14:textId="77777777" w:rsidR="00E34820" w:rsidRDefault="00E34820" w:rsidP="003652AD">
                        <w:pPr>
                          <w:jc w:val="center"/>
                          <w:rPr>
                            <w:sz w:val="24"/>
                            <w:szCs w:val="24"/>
                          </w:rPr>
                        </w:pPr>
                      </w:p>
                    </w:txbxContent>
                  </v:textbox>
                </v:rect>
                <v:shape id="Hexagon 46" o:spid="_x0000_s1061" type="#_x0000_t9" alt="first time adoption of tier 1 or tier 2 reporting requirements&#10;&#10;flowchart information in regard to first time adoption of tier 1 or tier 2 reporting requirements for paragraphs 18 to 18d&#10;" style="position:absolute;left:11373;top:56316;width:14231;height:7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" adj="2946" filled="f" strokecolor="windowText">
                  <v:textbox style="mso-fit-shape-to-text:t" inset="1mm,0,1mm,0">
                    <w:txbxContent>
                      <w:p w14:paraId="7A806A9D" w14:textId="77777777" w:rsidR="00E34820" w:rsidRDefault="00E34820" w:rsidP="003652AD">
                        <w:pPr>
                          <w:jc w:val="center"/>
                          <w:rPr>
                            <w:sz w:val="24"/>
                            <w:szCs w:val="24"/>
                          </w:rPr>
                        </w:pPr>
                        <w:r w:rsidRPr="001F38AC">
                          <w:rPr>
                            <w:rFonts w:cs="Arial"/>
                            <w:color w:val="000000"/>
                            <w:kern w:val="24"/>
                            <w:sz w:val="13"/>
                            <w:szCs w:val="13"/>
                          </w:rPr>
                          <w:t xml:space="preserve">Is the entity a </w:t>
                        </w:r>
                        <w:r w:rsidRPr="001F38AC">
                          <w:rPr>
                            <w:rFonts w:cs="Arial"/>
                            <w:bCs/>
                            <w:color w:val="000000"/>
                            <w:kern w:val="24"/>
                            <w:sz w:val="13"/>
                            <w:szCs w:val="13"/>
                          </w:rPr>
                          <w:t>for-profit private sector entity</w:t>
                        </w:r>
                        <w:r w:rsidRPr="001F38AC">
                          <w:rPr>
                            <w:rFonts w:cs="Arial"/>
                            <w:color w:val="000000"/>
                            <w:kern w:val="24"/>
                            <w:sz w:val="13"/>
                            <w:szCs w:val="13"/>
                          </w:rPr>
                          <w:t xml:space="preserve"> that is adopting Tier 2 – Simplified Disclosures for a reporting period beginning before 1 July 2021?</w:t>
                        </w:r>
                      </w:p>
                    </w:txbxContent>
                  </v:textbox>
                </v:shape>
                <v:shape id="Straight Arrow Connector 49" o:spid="_x0000_s1062" type="#_x0000_t32" alt="arrow" style="position:absolute;left:38815;top:55580;width:0;height:2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" strokecolor="windowText">
                  <v:stroke endarrow="block"/>
                  <o:lock v:ext="edit" shapetype="f"/>
                </v:shape>
                <v:shape id="Straight Arrow Connector 47" o:spid="_x0000_s1063" type="#_x0000_t32" alt="arrow" style="position:absolute;left:25408;top:34716;width:52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" strokecolor="windowText">
                  <v:stroke endarrow="block"/>
                  <o:lock v:ext="edit" shapetype="f"/>
                </v:shape>
                <v:shape id="Straight Arrow Connector 50" o:spid="_x0000_s1064" type="#_x0000_t32" alt="arrow" style="position:absolute;left:18447;top:46811;width:112;height:2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" strokecolor="windowText">
                  <v:stroke endarrow="block"/>
                  <o:lock v:ext="edit" shapetype="f"/>
                </v:shape>
                <v:shape id="Straight Arrow Connector 51" o:spid="_x0000_s1065" type="#_x0000_t32" alt="arrow" style="position:absolute;left:18558;top:54545;width:38;height:1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" strokecolor="windowText">
                  <v:stroke endarrow="block"/>
                  <o:lock v:ext="edit" shapetype="f"/>
                </v:shape>
                <v:shape id="Straight Arrow Connector 52" o:spid="_x0000_s1066" type="#_x0000_t32" alt="arrow" style="position:absolute;left:45628;top:52063;width:4509;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" strokecolor="windowText">
                  <v:stroke endarrow="block"/>
                  <o:lock v:ext="edit" shapetype="f"/>
                </v:shape>
                <v:shape id="Straight Arrow Connector 53" o:spid="_x0000_s1067" type="#_x0000_t32" alt="arrow" style="position:absolute;left:18257;top:64076;width:1;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" strokecolor="windowText">
                  <v:stroke endarrow="block"/>
                  <o:lock v:ext="edit" shapetype="f"/>
                </v:shape>
                <v:shape id="_x0000_s1068" type="#_x0000_t202" alt="no" style="position:absolute;left:46054;top:49596;width:35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30D2C1AF" w14:textId="77777777" w:rsidR="00E34820" w:rsidRDefault="00E34820" w:rsidP="003652AD">
                        <w:pPr>
                          <w:spacing w:line="200" w:lineRule="exact"/>
                          <w:rPr>
                            <w:sz w:val="24"/>
                            <w:szCs w:val="24"/>
                          </w:rPr>
                        </w:pPr>
                        <w:r w:rsidRPr="00094538">
                          <w:rPr>
                            <w:rFonts w:cs="Arial"/>
                            <w:color w:val="000000"/>
                            <w:kern w:val="24"/>
                            <w:sz w:val="14"/>
                            <w:szCs w:val="14"/>
                          </w:rPr>
                          <w:t>No</w:t>
                        </w:r>
                      </w:p>
                    </w:txbxContent>
                  </v:textbox>
                </v:shape>
                <v:shape id="Straight Arrow Connector 58" o:spid="_x0000_s1069" type="#_x0000_t32" alt="arrow" style="position:absolute;left:38609;top:45890;width:0;height:29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" strokecolor="windowText">
                  <v:stroke endarrow="block"/>
                  <o:lock v:ext="edit" shapetype="f"/>
                </v:shape>
                <v:shape id="Straight Arrow Connector 59" o:spid="_x0000_s1070" type="#_x0000_t32" alt="arrow" style="position:absolute;left:38616;top:37736;width:0;height:3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" strokecolor="windowText">
                  <v:stroke endarrow="block"/>
                  <o:lock v:ext="edit" shapetype="f"/>
                </v:shape>
                <v:shape id="_x0000_s1071" type="#_x0000_t202" alt="no" style="position:absolute;left:7981;top:57516;width:3549;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264C0B0" w14:textId="77777777" w:rsidR="00E34820" w:rsidRDefault="00E34820" w:rsidP="003652AD">
                        <w:pPr>
                          <w:spacing w:line="200" w:lineRule="exact"/>
                          <w:rPr>
                            <w:sz w:val="24"/>
                            <w:szCs w:val="24"/>
                          </w:rPr>
                        </w:pPr>
                        <w:r w:rsidRPr="00094538">
                          <w:rPr>
                            <w:rFonts w:cs="Arial"/>
                            <w:color w:val="000000"/>
                            <w:kern w:val="24"/>
                            <w:sz w:val="14"/>
                            <w:szCs w:val="14"/>
                          </w:rPr>
                          <w:t>No</w:t>
                        </w:r>
                      </w:p>
                    </w:txbxContent>
                  </v:textbox>
                </v:shape>
                <w10:anchorlock/>
              </v:group>
            </w:pict>
          </mc:Fallback>
        </mc:AlternateContent>
      </w:r>
    </w:p>
    <w:p w14:paraId="39BCCCAD" w14:textId="77777777" w:rsidR="003652AD" w:rsidRDefault="003652AD" w:rsidP="0051636B">
      <w:pPr>
        <w:pStyle w:val="NumPlain1"/>
        <w:pageBreakBefore/>
        <w:numPr>
          <w:ilvl w:val="0"/>
          <w:numId w:val="23"/>
        </w:numPr>
        <w:spacing w:before="0"/>
        <w:ind w:left="782" w:hanging="782"/>
      </w:pPr>
      <w:r>
        <w:lastRenderedPageBreak/>
        <w:t>In Appendix E, a heading is added immediately before paragraph E1.</w:t>
      </w:r>
    </w:p>
    <w:p w14:paraId="1B04EDEE" w14:textId="77777777" w:rsidR="003652AD" w:rsidRPr="0066525A" w:rsidRDefault="003652AD" w:rsidP="005D0954">
      <w:pPr>
        <w:pStyle w:val="Heading1"/>
        <w:keepNext w:val="0"/>
        <w:spacing w:before="100" w:after="0"/>
        <w:ind w:firstLine="782"/>
        <w:jc w:val="both"/>
        <w:rPr>
          <w:rFonts w:ascii="Times New Roman" w:hAnsi="Times New Roman" w:cs="Times New Roman"/>
          <w:sz w:val="22"/>
          <w:szCs w:val="22"/>
        </w:rPr>
      </w:pPr>
      <w:r w:rsidRPr="0066525A">
        <w:rPr>
          <w:rFonts w:ascii="Times New Roman" w:hAnsi="Times New Roman" w:cs="Times New Roman"/>
          <w:sz w:val="22"/>
          <w:szCs w:val="22"/>
        </w:rPr>
        <w:t>Short-term exemptions for for-profit private sector entities</w:t>
      </w:r>
    </w:p>
    <w:p w14:paraId="27287836" w14:textId="77777777" w:rsidR="003652AD" w:rsidRDefault="003652AD" w:rsidP="003652AD">
      <w:pPr>
        <w:pStyle w:val="Heading2"/>
      </w:pPr>
      <w:r>
        <w:t>Amendments to AASB 1060</w:t>
      </w:r>
    </w:p>
    <w:p w14:paraId="569884A9" w14:textId="77777777" w:rsidR="003652AD" w:rsidRDefault="003652AD" w:rsidP="0051636B">
      <w:pPr>
        <w:pStyle w:val="NumPlain1"/>
        <w:numPr>
          <w:ilvl w:val="0"/>
          <w:numId w:val="23"/>
        </w:numPr>
        <w:spacing w:before="0"/>
        <w:ind w:left="782" w:hanging="782"/>
      </w:pPr>
      <w:r>
        <w:t>In Appendix B, paragraph B1 is amended.</w:t>
      </w:r>
    </w:p>
    <w:p w14:paraId="34262774" w14:textId="77777777" w:rsidR="003652AD" w:rsidRDefault="003652AD" w:rsidP="00A64F09">
      <w:pPr>
        <w:pStyle w:val="Default"/>
        <w:ind w:left="1564" w:hanging="782"/>
        <w:jc w:val="both"/>
        <w:rPr>
          <w:sz w:val="19"/>
          <w:szCs w:val="19"/>
        </w:rPr>
      </w:pPr>
      <w:r>
        <w:rPr>
          <w:sz w:val="19"/>
          <w:szCs w:val="19"/>
        </w:rPr>
        <w:t>B1</w:t>
      </w:r>
      <w:r>
        <w:rPr>
          <w:sz w:val="19"/>
          <w:szCs w:val="19"/>
        </w:rPr>
        <w:tab/>
        <w:t xml:space="preserve">An entity shall apply this Standard for annual reporting periods beginning on or after 1 July 2021. Earlier application is permitted. If an entity applies this Standard earlier: </w:t>
      </w:r>
    </w:p>
    <w:p w14:paraId="36C461BC" w14:textId="77777777" w:rsidR="003652AD" w:rsidRDefault="003652AD" w:rsidP="00475D66">
      <w:pPr>
        <w:pStyle w:val="Default"/>
        <w:spacing w:before="120" w:after="119"/>
        <w:ind w:left="2347" w:hanging="782"/>
        <w:jc w:val="both"/>
        <w:rPr>
          <w:sz w:val="19"/>
          <w:szCs w:val="19"/>
        </w:rPr>
      </w:pPr>
      <w:r>
        <w:rPr>
          <w:sz w:val="19"/>
          <w:szCs w:val="19"/>
        </w:rPr>
        <w:t>(a)</w:t>
      </w:r>
      <w:r>
        <w:rPr>
          <w:sz w:val="19"/>
          <w:szCs w:val="19"/>
        </w:rPr>
        <w:tab/>
        <w:t>it shall disclose that fact;</w:t>
      </w:r>
      <w:r w:rsidRPr="006E4F6A">
        <w:rPr>
          <w:sz w:val="19"/>
          <w:szCs w:val="19"/>
        </w:rPr>
        <w:t xml:space="preserve"> and</w:t>
      </w:r>
      <w:r>
        <w:rPr>
          <w:sz w:val="19"/>
          <w:szCs w:val="19"/>
        </w:rPr>
        <w:t xml:space="preserve"> </w:t>
      </w:r>
    </w:p>
    <w:p w14:paraId="26E645E9" w14:textId="77777777" w:rsidR="003652AD" w:rsidRDefault="003652AD" w:rsidP="00475D66">
      <w:pPr>
        <w:pStyle w:val="Default"/>
        <w:spacing w:before="120" w:after="119"/>
        <w:ind w:left="2347" w:hanging="782"/>
        <w:jc w:val="both"/>
        <w:rPr>
          <w:sz w:val="19"/>
          <w:szCs w:val="19"/>
        </w:rPr>
      </w:pPr>
      <w:r>
        <w:rPr>
          <w:sz w:val="19"/>
          <w:szCs w:val="19"/>
        </w:rPr>
        <w:t>(b)</w:t>
      </w:r>
      <w:r>
        <w:rPr>
          <w:sz w:val="19"/>
          <w:szCs w:val="19"/>
        </w:rPr>
        <w:tab/>
      </w:r>
      <w:r>
        <w:rPr>
          <w:sz w:val="19"/>
          <w:szCs w:val="19"/>
          <w:u w:val="single"/>
        </w:rPr>
        <w:t xml:space="preserve">if the entity is a for-profit private sector entity – </w:t>
      </w:r>
      <w:r>
        <w:rPr>
          <w:sz w:val="19"/>
          <w:szCs w:val="19"/>
        </w:rPr>
        <w:t xml:space="preserve">it may elect to apply the short-term exemptions in AASB 1053 </w:t>
      </w:r>
      <w:r>
        <w:rPr>
          <w:i/>
          <w:iCs/>
          <w:sz w:val="19"/>
          <w:szCs w:val="19"/>
        </w:rPr>
        <w:t xml:space="preserve">Application of Tiers of Australian Accounting Standards </w:t>
      </w:r>
      <w:r>
        <w:rPr>
          <w:sz w:val="19"/>
          <w:szCs w:val="19"/>
        </w:rPr>
        <w:t>Appendix E, where applicable</w:t>
      </w:r>
      <w:r w:rsidRPr="00012078">
        <w:rPr>
          <w:sz w:val="19"/>
          <w:szCs w:val="19"/>
          <w:u w:val="single"/>
        </w:rPr>
        <w:t xml:space="preserve">; </w:t>
      </w:r>
      <w:r>
        <w:rPr>
          <w:sz w:val="19"/>
          <w:szCs w:val="19"/>
          <w:u w:val="single"/>
        </w:rPr>
        <w:t>or</w:t>
      </w:r>
    </w:p>
    <w:p w14:paraId="6B14C299" w14:textId="78C81B54" w:rsidR="003652AD" w:rsidRDefault="003652AD" w:rsidP="00475D66">
      <w:pPr>
        <w:pStyle w:val="Default"/>
        <w:spacing w:before="120" w:after="119"/>
        <w:ind w:left="2347" w:hanging="782"/>
        <w:jc w:val="both"/>
        <w:rPr>
          <w:sz w:val="19"/>
          <w:szCs w:val="19"/>
        </w:rPr>
      </w:pPr>
      <w:r w:rsidRPr="001D7505">
        <w:rPr>
          <w:sz w:val="19"/>
          <w:szCs w:val="19"/>
          <w:u w:val="single"/>
        </w:rPr>
        <w:t>(c)</w:t>
      </w:r>
      <w:r>
        <w:rPr>
          <w:sz w:val="19"/>
          <w:szCs w:val="19"/>
        </w:rPr>
        <w:tab/>
      </w:r>
      <w:r w:rsidRPr="00012078">
        <w:rPr>
          <w:sz w:val="19"/>
          <w:szCs w:val="19"/>
          <w:u w:val="single"/>
        </w:rPr>
        <w:t xml:space="preserve">if the entity is a </w:t>
      </w:r>
      <w:r>
        <w:rPr>
          <w:sz w:val="19"/>
          <w:szCs w:val="19"/>
          <w:u w:val="single"/>
        </w:rPr>
        <w:t>not-</w:t>
      </w:r>
      <w:r w:rsidRPr="00012078">
        <w:rPr>
          <w:sz w:val="19"/>
          <w:szCs w:val="19"/>
          <w:u w:val="single"/>
        </w:rPr>
        <w:t xml:space="preserve">for-profit entity </w:t>
      </w:r>
      <w:r>
        <w:rPr>
          <w:sz w:val="19"/>
          <w:szCs w:val="19"/>
          <w:u w:val="single"/>
        </w:rPr>
        <w:t>–</w:t>
      </w:r>
      <w:r w:rsidRPr="00012078">
        <w:rPr>
          <w:sz w:val="19"/>
          <w:szCs w:val="19"/>
          <w:u w:val="single"/>
        </w:rPr>
        <w:t xml:space="preserve"> </w:t>
      </w:r>
      <w:r>
        <w:rPr>
          <w:sz w:val="19"/>
          <w:szCs w:val="19"/>
          <w:u w:val="single"/>
        </w:rPr>
        <w:t>n</w:t>
      </w:r>
      <w:r w:rsidRPr="00012078">
        <w:rPr>
          <w:sz w:val="19"/>
          <w:szCs w:val="19"/>
          <w:u w:val="single"/>
        </w:rPr>
        <w:t xml:space="preserve">otwithstanding paragraph 20, </w:t>
      </w:r>
      <w:r>
        <w:rPr>
          <w:sz w:val="19"/>
          <w:szCs w:val="19"/>
          <w:u w:val="single"/>
        </w:rPr>
        <w:t xml:space="preserve">it </w:t>
      </w:r>
      <w:r w:rsidR="00C059FE">
        <w:rPr>
          <w:sz w:val="19"/>
          <w:szCs w:val="19"/>
          <w:u w:val="single"/>
        </w:rPr>
        <w:t xml:space="preserve">may elect not to </w:t>
      </w:r>
      <w:r w:rsidRPr="00012078">
        <w:rPr>
          <w:sz w:val="19"/>
          <w:szCs w:val="19"/>
          <w:u w:val="single"/>
        </w:rPr>
        <w:t xml:space="preserve">present comparative information in the notes </w:t>
      </w:r>
      <w:r>
        <w:rPr>
          <w:sz w:val="19"/>
          <w:szCs w:val="19"/>
          <w:u w:val="single"/>
        </w:rPr>
        <w:t xml:space="preserve">to the financial statements </w:t>
      </w:r>
      <w:r w:rsidRPr="00012078">
        <w:rPr>
          <w:sz w:val="19"/>
          <w:szCs w:val="19"/>
          <w:u w:val="single"/>
        </w:rPr>
        <w:t xml:space="preserve">if the entity did not disclose the comparable information in its most recent previous </w:t>
      </w:r>
      <w:r w:rsidRPr="00FE6E3E">
        <w:rPr>
          <w:sz w:val="19"/>
          <w:szCs w:val="19"/>
          <w:u w:val="single"/>
        </w:rPr>
        <w:t>general purpose</w:t>
      </w:r>
      <w:r>
        <w:rPr>
          <w:sz w:val="19"/>
          <w:szCs w:val="19"/>
          <w:u w:val="single"/>
        </w:rPr>
        <w:t xml:space="preserve"> </w:t>
      </w:r>
      <w:r w:rsidRPr="00012078">
        <w:rPr>
          <w:sz w:val="19"/>
          <w:szCs w:val="19"/>
          <w:u w:val="single"/>
        </w:rPr>
        <w:t>financial statements</w:t>
      </w:r>
      <w:r>
        <w:rPr>
          <w:sz w:val="19"/>
          <w:szCs w:val="19"/>
        </w:rPr>
        <w:t>.</w:t>
      </w:r>
    </w:p>
    <w:p w14:paraId="167A6850" w14:textId="77777777" w:rsidR="003652AD" w:rsidRPr="003F779D" w:rsidRDefault="003652AD" w:rsidP="003652AD">
      <w:pPr>
        <w:pStyle w:val="Heading2"/>
        <w:rPr>
          <w:sz w:val="24"/>
          <w:szCs w:val="24"/>
        </w:rPr>
      </w:pPr>
      <w:r w:rsidRPr="003F779D">
        <w:rPr>
          <w:sz w:val="24"/>
          <w:szCs w:val="24"/>
        </w:rPr>
        <w:t>Commencement of the legislative instrument</w:t>
      </w:r>
    </w:p>
    <w:p w14:paraId="71007AEF" w14:textId="7048A242" w:rsidR="003652AD" w:rsidRDefault="003652AD" w:rsidP="0051636B">
      <w:pPr>
        <w:pStyle w:val="NumPlain1"/>
        <w:numPr>
          <w:ilvl w:val="0"/>
          <w:numId w:val="23"/>
        </w:numPr>
        <w:spacing w:before="0"/>
        <w:ind w:left="782" w:hanging="782"/>
      </w:pPr>
      <w:r w:rsidRPr="00273B7F">
        <w:t xml:space="preserve">For legal purposes, this legislative instrument commences on </w:t>
      </w:r>
      <w:r w:rsidR="00F721F8">
        <w:t>30 June 2021</w:t>
      </w:r>
      <w:r w:rsidRPr="00273B7F">
        <w:t>.</w:t>
      </w:r>
    </w:p>
    <w:p w14:paraId="3A7913AB" w14:textId="77777777" w:rsidR="003652AD" w:rsidRDefault="003652AD" w:rsidP="003652AD">
      <w:pPr>
        <w:pStyle w:val="NumPlain1"/>
        <w:numPr>
          <w:ilvl w:val="0"/>
          <w:numId w:val="0"/>
        </w:numPr>
        <w:spacing w:after="0"/>
      </w:pPr>
    </w:p>
    <w:p w14:paraId="51F44FE0" w14:textId="77777777" w:rsidR="003652AD" w:rsidRDefault="003652AD" w:rsidP="003652AD">
      <w:pPr>
        <w:jc w:val="left"/>
        <w:sectPr w:rsidR="003652AD" w:rsidSect="00E34820">
          <w:footerReference w:type="default" r:id="rId15"/>
          <w:headerReference w:type="first" r:id="rId16"/>
          <w:footerReference w:type="first" r:id="rId17"/>
          <w:pgSz w:w="11907" w:h="16840" w:code="9"/>
          <w:pgMar w:top="1418" w:right="1418" w:bottom="1418" w:left="1418" w:header="709" w:footer="709" w:gutter="0"/>
          <w:paperSrc w:first="7" w:other="7"/>
          <w:cols w:space="720"/>
        </w:sectPr>
      </w:pPr>
    </w:p>
    <w:p w14:paraId="24A92C87" w14:textId="77777777" w:rsidR="003652AD" w:rsidRPr="00014B48" w:rsidRDefault="003652AD" w:rsidP="003652AD">
      <w:pPr>
        <w:pStyle w:val="ConvSectionTitle"/>
      </w:pPr>
      <w:r w:rsidRPr="00014B48">
        <w:lastRenderedPageBreak/>
        <w:t>Basis for Conclusions</w:t>
      </w:r>
    </w:p>
    <w:p w14:paraId="091DFCF4" w14:textId="2DAC3A70" w:rsidR="003652AD" w:rsidRPr="000A5D53" w:rsidRDefault="003652AD" w:rsidP="00A57110">
      <w:pPr>
        <w:rPr>
          <w:i/>
          <w:color w:val="000000"/>
          <w:szCs w:val="19"/>
          <w:lang w:eastAsia="en-AU"/>
        </w:rPr>
      </w:pPr>
      <w:r w:rsidRPr="000A5D53">
        <w:rPr>
          <w:i/>
          <w:color w:val="000000"/>
          <w:szCs w:val="19"/>
          <w:lang w:eastAsia="en-AU"/>
        </w:rPr>
        <w:t xml:space="preserve">This Basis for Conclusions accompanies, but is not part of, </w:t>
      </w:r>
      <w:r>
        <w:rPr>
          <w:i/>
          <w:color w:val="000000"/>
          <w:szCs w:val="19"/>
          <w:lang w:eastAsia="en-AU"/>
        </w:rPr>
        <w:t xml:space="preserve">AASB </w:t>
      </w:r>
      <w:r w:rsidR="00BE0335" w:rsidRPr="00C17AAA">
        <w:rPr>
          <w:i/>
          <w:iCs/>
          <w:color w:val="000000"/>
          <w:szCs w:val="19"/>
          <w:lang w:eastAsia="en-AU"/>
        </w:rPr>
        <w:t>2021-1</w:t>
      </w:r>
      <w:r w:rsidR="00BE0335">
        <w:rPr>
          <w:color w:val="000000"/>
          <w:szCs w:val="19"/>
          <w:lang w:eastAsia="en-AU"/>
        </w:rPr>
        <w:t xml:space="preserve"> </w:t>
      </w:r>
      <w:r w:rsidR="00737590" w:rsidRPr="00737590">
        <w:rPr>
          <w:iCs/>
        </w:rPr>
        <w:fldChar w:fldCharType="begin" w:fldLock="1"/>
      </w:r>
      <w:r w:rsidR="00737590" w:rsidRPr="00737590">
        <w:rPr>
          <w:iCs/>
        </w:rPr>
        <w:instrText xml:space="preserve"> REF DocTitle \* charformat </w:instrText>
      </w:r>
      <w:r w:rsidR="00737590">
        <w:rPr>
          <w:iCs/>
        </w:rPr>
        <w:instrText xml:space="preserve"> \* MERGEFORMAT </w:instrText>
      </w:r>
      <w:r w:rsidR="00737590" w:rsidRPr="00737590">
        <w:rPr>
          <w:iCs/>
        </w:rPr>
        <w:fldChar w:fldCharType="separate"/>
      </w:r>
      <w:r w:rsidR="00660B1E" w:rsidRPr="00660B1E">
        <w:rPr>
          <w:iCs/>
        </w:rPr>
        <w:t>Amendments to Australian Accounting Standards – Transition to Tier 2: Simplified Disclosures for Not-for-Profit Entities</w:t>
      </w:r>
      <w:r w:rsidR="00737590" w:rsidRPr="00737590">
        <w:rPr>
          <w:iCs/>
        </w:rPr>
        <w:fldChar w:fldCharType="end"/>
      </w:r>
      <w:r w:rsidRPr="000A5D53">
        <w:rPr>
          <w:i/>
          <w:color w:val="000000"/>
          <w:szCs w:val="19"/>
          <w:lang w:eastAsia="en-AU"/>
        </w:rPr>
        <w:t>.</w:t>
      </w:r>
    </w:p>
    <w:p w14:paraId="5E7DE22C" w14:textId="01E88D45" w:rsidR="003652AD" w:rsidRPr="003D500D" w:rsidRDefault="003652AD" w:rsidP="003652AD">
      <w:pPr>
        <w:pStyle w:val="IASBSectionTitle1NonInd"/>
      </w:pPr>
      <w:r w:rsidRPr="003D500D">
        <w:t>Introduction</w:t>
      </w:r>
    </w:p>
    <w:p w14:paraId="1E5AA168" w14:textId="68EDC3C3" w:rsidR="003652AD" w:rsidRPr="00551C5D" w:rsidRDefault="003652AD" w:rsidP="003652AD">
      <w:pPr>
        <w:pStyle w:val="NumBC1"/>
        <w:numPr>
          <w:ilvl w:val="0"/>
          <w:numId w:val="12"/>
        </w:numPr>
      </w:pPr>
      <w:r w:rsidRPr="00551C5D">
        <w:t xml:space="preserve">This Basis for Conclusions summarises the Australian Accounting </w:t>
      </w:r>
      <w:r>
        <w:t>Standard</w:t>
      </w:r>
      <w:r w:rsidRPr="00551C5D">
        <w:t xml:space="preserve">s Board’s considerations in reaching the conclusions in this </w:t>
      </w:r>
      <w:r w:rsidR="00232E2C">
        <w:t>Standard</w:t>
      </w:r>
      <w:r w:rsidRPr="00551C5D">
        <w:t xml:space="preserve">. It sets out the reasons why the Board developed the </w:t>
      </w:r>
      <w:r w:rsidR="00232E2C">
        <w:t>Standard</w:t>
      </w:r>
      <w:r w:rsidRPr="00551C5D">
        <w:t xml:space="preserve">, the approach taken to developing the </w:t>
      </w:r>
      <w:r w:rsidR="00232E2C">
        <w:t xml:space="preserve">Standard </w:t>
      </w:r>
      <w:r w:rsidRPr="00551C5D">
        <w:t xml:space="preserve">and </w:t>
      </w:r>
      <w:r>
        <w:t xml:space="preserve">the bases for </w:t>
      </w:r>
      <w:r w:rsidRPr="00551C5D">
        <w:t xml:space="preserve">key decisions made. In making decisions, individual Board members gave greater weight to some factors than to others. </w:t>
      </w:r>
    </w:p>
    <w:p w14:paraId="15EECA15" w14:textId="7FC76631" w:rsidR="003652AD" w:rsidRDefault="003652AD" w:rsidP="003652AD">
      <w:pPr>
        <w:pStyle w:val="IASBSectionTitle1NonInd"/>
      </w:pPr>
      <w:r>
        <w:t xml:space="preserve">Reasons for </w:t>
      </w:r>
      <w:r w:rsidR="00232E2C">
        <w:t>issuing this Standard</w:t>
      </w:r>
    </w:p>
    <w:p w14:paraId="04CB3D0F" w14:textId="014725EA" w:rsidR="003652AD" w:rsidRDefault="003652AD" w:rsidP="00E34820">
      <w:pPr>
        <w:pStyle w:val="NumBC1"/>
        <w:numPr>
          <w:ilvl w:val="0"/>
          <w:numId w:val="12"/>
        </w:numPr>
      </w:pPr>
      <w:r>
        <w:t xml:space="preserve">The Board noted that not-for-profit (NFP) entities transitioning from </w:t>
      </w:r>
      <w:r w:rsidR="00901023">
        <w:t xml:space="preserve">either </w:t>
      </w:r>
      <w:r w:rsidR="006614CE">
        <w:t xml:space="preserve">Tier 1: Australian Accounting Standards or </w:t>
      </w:r>
      <w:r>
        <w:t>Tier 2</w:t>
      </w:r>
      <w:r w:rsidR="00363CB5">
        <w:t>: Australian Accounting Standards</w:t>
      </w:r>
      <w:r>
        <w:t xml:space="preserve"> – Reduced Disclosure Requirements </w:t>
      </w:r>
      <w:r w:rsidR="001452AD">
        <w:t xml:space="preserve">(RDR) </w:t>
      </w:r>
      <w:r>
        <w:t>and adopting Tier</w:t>
      </w:r>
      <w:r w:rsidR="001C35B1">
        <w:t> </w:t>
      </w:r>
      <w:r>
        <w:t>2</w:t>
      </w:r>
      <w:r w:rsidR="001C35B1">
        <w:t>: Australian Accounting Standards</w:t>
      </w:r>
      <w:r>
        <w:t xml:space="preserve"> – Simplified Disclosures </w:t>
      </w:r>
      <w:r w:rsidR="002D48EF">
        <w:t xml:space="preserve">(SD) </w:t>
      </w:r>
      <w:r>
        <w:t>early (</w:t>
      </w:r>
      <w:proofErr w:type="spellStart"/>
      <w:r>
        <w:t>ie</w:t>
      </w:r>
      <w:proofErr w:type="spellEnd"/>
      <w:r>
        <w:t xml:space="preserve"> for reporting periods beginning before 1 July 2021) would not be able to access the transitional relief that is available to for-profit private sector entities. For-profit private sector entities that transition between the Tier 2 frameworks by adopting </w:t>
      </w:r>
      <w:r w:rsidRPr="00F12B3A">
        <w:rPr>
          <w:szCs w:val="19"/>
        </w:rPr>
        <w:t>Tier</w:t>
      </w:r>
      <w:r w:rsidR="00047D99" w:rsidRPr="00F12B3A">
        <w:rPr>
          <w:szCs w:val="19"/>
        </w:rPr>
        <w:t> </w:t>
      </w:r>
      <w:r w:rsidRPr="00F12B3A">
        <w:rPr>
          <w:szCs w:val="19"/>
        </w:rPr>
        <w:t xml:space="preserve">2 </w:t>
      </w:r>
      <w:r w:rsidR="0061120B">
        <w:rPr>
          <w:szCs w:val="19"/>
        </w:rPr>
        <w:t>SD</w:t>
      </w:r>
      <w:r>
        <w:t xml:space="preserve"> early are provided </w:t>
      </w:r>
      <w:r w:rsidR="00C93E4F">
        <w:t xml:space="preserve">optional </w:t>
      </w:r>
      <w:r>
        <w:t xml:space="preserve">relief from presenting comparative information in the notes to the financial statements if the entity did not previously disclose the comparable information in its most recent previous financial statements. This relief is set out in paragraph E4 of AASB 1053 </w:t>
      </w:r>
      <w:r w:rsidRPr="00F12B3A">
        <w:rPr>
          <w:i/>
        </w:rPr>
        <w:t>Application of Tiers of Australian Accounting Standards</w:t>
      </w:r>
      <w:r>
        <w:t xml:space="preserve">. </w:t>
      </w:r>
      <w:r w:rsidR="00E33870">
        <w:t>For-profit private sector entities that transition from Tier 1 to Tier 2</w:t>
      </w:r>
      <w:r w:rsidR="005E78B6">
        <w:t xml:space="preserve"> SD</w:t>
      </w:r>
      <w:r w:rsidR="00E33870">
        <w:t xml:space="preserve"> </w:t>
      </w:r>
      <w:r w:rsidR="005717DC">
        <w:t xml:space="preserve">early are also provided with this same </w:t>
      </w:r>
      <w:r w:rsidR="00C93E4F">
        <w:t xml:space="preserve">optional </w:t>
      </w:r>
      <w:r w:rsidR="000E2F01">
        <w:t xml:space="preserve">disclosure </w:t>
      </w:r>
      <w:r w:rsidR="005717DC">
        <w:t>relief.</w:t>
      </w:r>
    </w:p>
    <w:p w14:paraId="66963B33" w14:textId="7B0B34B2" w:rsidR="00C265FF" w:rsidRDefault="002233CB" w:rsidP="003652AD">
      <w:pPr>
        <w:pStyle w:val="NumBC1"/>
        <w:numPr>
          <w:ilvl w:val="0"/>
          <w:numId w:val="12"/>
        </w:numPr>
      </w:pPr>
      <w:r>
        <w:t xml:space="preserve">To </w:t>
      </w:r>
      <w:r w:rsidR="00494454">
        <w:t>address this difference</w:t>
      </w:r>
      <w:r>
        <w:t xml:space="preserve">, the </w:t>
      </w:r>
      <w:r w:rsidR="006258F2">
        <w:t>Board decided to make</w:t>
      </w:r>
      <w:r w:rsidR="000D5A78">
        <w:t xml:space="preserve"> </w:t>
      </w:r>
      <w:r w:rsidR="00EC67C0">
        <w:t xml:space="preserve">a </w:t>
      </w:r>
      <w:r w:rsidR="000D5A78">
        <w:t>narrow-</w:t>
      </w:r>
      <w:r w:rsidR="009D49F9">
        <w:t xml:space="preserve">scope </w:t>
      </w:r>
      <w:r w:rsidR="006258F2">
        <w:t xml:space="preserve">amendment to AASB 1060 </w:t>
      </w:r>
      <w:r w:rsidR="001902B7" w:rsidRPr="00C34B8A">
        <w:rPr>
          <w:i/>
          <w:iCs/>
        </w:rPr>
        <w:t>General Purpose Financial Statements – Simplified Disclosures for For-Profit and Not-for-Profit Tier 2 Entities</w:t>
      </w:r>
      <w:r w:rsidR="006258F2">
        <w:t xml:space="preserve"> </w:t>
      </w:r>
      <w:r w:rsidR="001902B7">
        <w:t xml:space="preserve">to provide NFP entities with the same </w:t>
      </w:r>
      <w:r w:rsidR="00E34820">
        <w:t xml:space="preserve">optional </w:t>
      </w:r>
      <w:r w:rsidR="001902B7">
        <w:t xml:space="preserve">transition relief as </w:t>
      </w:r>
      <w:r w:rsidR="009D49F9">
        <w:t xml:space="preserve">for-profit </w:t>
      </w:r>
      <w:r w:rsidR="00E34820">
        <w:t xml:space="preserve">entities </w:t>
      </w:r>
      <w:r w:rsidR="002F380D">
        <w:t xml:space="preserve">when transitioning </w:t>
      </w:r>
      <w:r w:rsidR="00E34820">
        <w:t xml:space="preserve">early </w:t>
      </w:r>
      <w:r w:rsidR="002F380D">
        <w:t xml:space="preserve">from </w:t>
      </w:r>
      <w:r w:rsidR="00E34820">
        <w:t xml:space="preserve">Tier 1 or </w:t>
      </w:r>
      <w:r w:rsidR="002F380D">
        <w:t>Tier 2 RDR to Tier 2 SD</w:t>
      </w:r>
      <w:r w:rsidR="009D49F9">
        <w:t>.</w:t>
      </w:r>
    </w:p>
    <w:p w14:paraId="7D2145D0" w14:textId="39C37138" w:rsidR="00687708" w:rsidRDefault="00687708" w:rsidP="003652AD">
      <w:pPr>
        <w:pStyle w:val="IASBSectionTitle1NonInd"/>
      </w:pPr>
      <w:r>
        <w:t xml:space="preserve">Issue of Exposure Draft ED </w:t>
      </w:r>
      <w:r w:rsidR="006B2624">
        <w:t>306</w:t>
      </w:r>
    </w:p>
    <w:p w14:paraId="43E54A4E" w14:textId="6819A008" w:rsidR="00372F0B" w:rsidRDefault="00372F0B" w:rsidP="00F765E8">
      <w:pPr>
        <w:pStyle w:val="NumBC1"/>
        <w:numPr>
          <w:ilvl w:val="0"/>
          <w:numId w:val="12"/>
        </w:numPr>
      </w:pPr>
      <w:r w:rsidRPr="00372F0B">
        <w:t xml:space="preserve">The Board’s proposals with respect to the </w:t>
      </w:r>
      <w:r w:rsidR="007157FF">
        <w:t xml:space="preserve">transition relief </w:t>
      </w:r>
      <w:r w:rsidRPr="00372F0B">
        <w:t>finalised in this Standard were exposed for public</w:t>
      </w:r>
      <w:r>
        <w:t xml:space="preserve"> comment in </w:t>
      </w:r>
      <w:r w:rsidR="007157FF">
        <w:t xml:space="preserve">December 2020 </w:t>
      </w:r>
      <w:r>
        <w:t xml:space="preserve">as part of Exposure Draft ED </w:t>
      </w:r>
      <w:r w:rsidR="007157FF">
        <w:t>306</w:t>
      </w:r>
      <w:r>
        <w:t xml:space="preserve"> </w:t>
      </w:r>
      <w:r w:rsidR="00F765E8" w:rsidRPr="00F765E8">
        <w:rPr>
          <w:i/>
          <w:iCs/>
        </w:rPr>
        <w:t>Transition Between Tier 2 Frameworks for Not-for-Profit Entities</w:t>
      </w:r>
      <w:r>
        <w:t xml:space="preserve">. </w:t>
      </w:r>
    </w:p>
    <w:p w14:paraId="686E8055" w14:textId="1F7ED4C1" w:rsidR="00372F0B" w:rsidRDefault="00372F0B" w:rsidP="00372F0B">
      <w:pPr>
        <w:pStyle w:val="NumBC1"/>
        <w:numPr>
          <w:ilvl w:val="0"/>
          <w:numId w:val="12"/>
        </w:numPr>
      </w:pPr>
      <w:r>
        <w:t xml:space="preserve">The significant issues considered by the Board in developing ED </w:t>
      </w:r>
      <w:r w:rsidR="00F765E8">
        <w:t>306</w:t>
      </w:r>
      <w:r>
        <w:t xml:space="preserve"> are addressed in the following section</w:t>
      </w:r>
      <w:r w:rsidR="00E36EEF">
        <w:t>s</w:t>
      </w:r>
      <w:r>
        <w:t>.</w:t>
      </w:r>
    </w:p>
    <w:p w14:paraId="7754A53A" w14:textId="723E3A3B" w:rsidR="003652AD" w:rsidRPr="001F4A7F" w:rsidRDefault="003652AD" w:rsidP="00DF0AFD">
      <w:pPr>
        <w:pStyle w:val="ConvSectionTitle"/>
        <w:spacing w:before="240"/>
        <w:ind w:firstLine="782"/>
      </w:pPr>
      <w:r>
        <w:t>Scope</w:t>
      </w:r>
    </w:p>
    <w:p w14:paraId="50B1F516" w14:textId="38E2A74F" w:rsidR="00B665B2" w:rsidRDefault="007D1438" w:rsidP="007D1438">
      <w:pPr>
        <w:pStyle w:val="NumBC1"/>
        <w:numPr>
          <w:ilvl w:val="0"/>
          <w:numId w:val="12"/>
        </w:numPr>
      </w:pPr>
      <w:bookmarkStart w:id="17" w:name="_Ref57304782"/>
      <w:r>
        <w:t xml:space="preserve">ED 306 proposed amendments to AASB 1060 to provide </w:t>
      </w:r>
      <w:r w:rsidR="00E34820">
        <w:t xml:space="preserve">optional </w:t>
      </w:r>
      <w:r>
        <w:t xml:space="preserve">relief for NFP entities adopting AASB 1060 early from having to present comparative information in the notes to the financial statements where the entity did not previously disclose the comparable information in its most recent previous Tier 2 general purpose financial statements. </w:t>
      </w:r>
      <w:r w:rsidR="00E34820">
        <w:t xml:space="preserve">The ED </w:t>
      </w:r>
      <w:r>
        <w:t xml:space="preserve">proposed </w:t>
      </w:r>
      <w:r w:rsidR="00E34820">
        <w:t xml:space="preserve">this </w:t>
      </w:r>
      <w:r>
        <w:t xml:space="preserve">relief would be available for NFP entities transitioning </w:t>
      </w:r>
      <w:r w:rsidRPr="00F84766">
        <w:t xml:space="preserve">from </w:t>
      </w:r>
      <w:r w:rsidR="00F84766" w:rsidRPr="00E014CB">
        <w:t>Tier </w:t>
      </w:r>
      <w:r w:rsidRPr="00E014CB">
        <w:t>2</w:t>
      </w:r>
      <w:r w:rsidR="00C02A3B">
        <w:t xml:space="preserve"> RDR</w:t>
      </w:r>
      <w:r>
        <w:t xml:space="preserve"> to Tier 2</w:t>
      </w:r>
      <w:r w:rsidR="00C02A3B">
        <w:t xml:space="preserve"> SD </w:t>
      </w:r>
      <w:r w:rsidR="00932038">
        <w:t xml:space="preserve">before the </w:t>
      </w:r>
      <w:r>
        <w:t xml:space="preserve">mandatory application </w:t>
      </w:r>
      <w:r w:rsidR="00B01E47">
        <w:t xml:space="preserve">date </w:t>
      </w:r>
      <w:r>
        <w:t>of AASB 1060</w:t>
      </w:r>
      <w:r w:rsidR="00B01E47">
        <w:t>.</w:t>
      </w:r>
      <w:r>
        <w:t xml:space="preserve"> </w:t>
      </w:r>
    </w:p>
    <w:p w14:paraId="29E737BE" w14:textId="10FA8956" w:rsidR="00D37A71" w:rsidRDefault="00F244B7" w:rsidP="003652AD">
      <w:pPr>
        <w:pStyle w:val="NumBC1"/>
        <w:numPr>
          <w:ilvl w:val="0"/>
          <w:numId w:val="12"/>
        </w:numPr>
      </w:pPr>
      <w:bookmarkStart w:id="18" w:name="_Ref66201475"/>
      <w:r>
        <w:t>In developing ED 306, t</w:t>
      </w:r>
      <w:r w:rsidR="003652AD">
        <w:t xml:space="preserve">he Board </w:t>
      </w:r>
      <w:r w:rsidR="0069309A">
        <w:t xml:space="preserve">also </w:t>
      </w:r>
      <w:r w:rsidR="003652AD">
        <w:t>considered whether to extend to NFP entities other relief available to for-profit private sector entities under AASB 1053 Appendix E. For example, paragraphs E5</w:t>
      </w:r>
      <w:r w:rsidR="00E63CE2">
        <w:t>–</w:t>
      </w:r>
      <w:r w:rsidR="003652AD">
        <w:t xml:space="preserve">E7 provide </w:t>
      </w:r>
      <w:r w:rsidR="00E63CE2">
        <w:t xml:space="preserve">optional </w:t>
      </w:r>
      <w:r w:rsidR="003652AD">
        <w:t xml:space="preserve">relief from restating comparative information to for-profit private sector entities that had not complied with all the recognition and measurement requirements of Australian Accounting Standards (including, if a parent entity, not presenting consolidated financial statements prepared in accordance with AASB 10 </w:t>
      </w:r>
      <w:r w:rsidR="003652AD" w:rsidRPr="00FA1FEA">
        <w:rPr>
          <w:i/>
          <w:iCs/>
        </w:rPr>
        <w:t>Consolidated Financial Statements</w:t>
      </w:r>
      <w:r w:rsidR="003652AD">
        <w:t>) in their most recent previous special purpose financial statements (SPFS).</w:t>
      </w:r>
      <w:bookmarkEnd w:id="18"/>
      <w:r w:rsidR="003652AD">
        <w:t xml:space="preserve"> </w:t>
      </w:r>
    </w:p>
    <w:p w14:paraId="0553A067" w14:textId="3B531E21" w:rsidR="003652AD" w:rsidRDefault="003652AD" w:rsidP="003652AD">
      <w:pPr>
        <w:pStyle w:val="NumBC1"/>
        <w:numPr>
          <w:ilvl w:val="0"/>
          <w:numId w:val="12"/>
        </w:numPr>
      </w:pPr>
      <w:bookmarkStart w:id="19" w:name="_Ref66199588"/>
      <w:r>
        <w:t xml:space="preserve">However, </w:t>
      </w:r>
      <w:r w:rsidR="00CD0994">
        <w:t>when finalising the previous amendments to AASB 1053</w:t>
      </w:r>
      <w:r w:rsidR="00B34144">
        <w:t xml:space="preserve">, </w:t>
      </w:r>
      <w:r>
        <w:t xml:space="preserve">the Board decided not to extend any additional relief to NFP entities, as </w:t>
      </w:r>
      <w:r w:rsidR="00E63CE2">
        <w:t xml:space="preserve">that </w:t>
      </w:r>
      <w:r>
        <w:t xml:space="preserve">could result in the loss of useful, restated comparative information. The Board also noted that it had decided to grant such relief to for-profit private sector entities due to the removal of </w:t>
      </w:r>
      <w:r w:rsidR="00E63CE2">
        <w:t xml:space="preserve">the ability of </w:t>
      </w:r>
      <w:r>
        <w:t>such entities</w:t>
      </w:r>
      <w:r w:rsidR="00E63CE2">
        <w:t xml:space="preserve"> to prepare SPFS</w:t>
      </w:r>
      <w:r>
        <w:t>, which does not apply to NFP entities.</w:t>
      </w:r>
      <w:bookmarkEnd w:id="17"/>
      <w:r>
        <w:t xml:space="preserve"> Transition by NFP entities from SPFS to general purpose financial statements will be considered in more detail by the Board in its deliberations on the Board’s separate NFP </w:t>
      </w:r>
      <w:r w:rsidR="00E63CE2">
        <w:t xml:space="preserve">Private Sector </w:t>
      </w:r>
      <w:r>
        <w:t>Financial Reporting Framework project.</w:t>
      </w:r>
      <w:bookmarkEnd w:id="19"/>
      <w:r>
        <w:t xml:space="preserve"> </w:t>
      </w:r>
    </w:p>
    <w:p w14:paraId="743D4C7B" w14:textId="77777777" w:rsidR="003652AD" w:rsidRPr="001F4A7F" w:rsidRDefault="003652AD" w:rsidP="003474AB">
      <w:pPr>
        <w:pStyle w:val="ConvSectionTitle"/>
        <w:spacing w:before="240"/>
        <w:ind w:firstLine="782"/>
      </w:pPr>
      <w:r>
        <w:lastRenderedPageBreak/>
        <w:t>Location of amendments</w:t>
      </w:r>
    </w:p>
    <w:p w14:paraId="6EAC0C4F" w14:textId="2D8D40D0" w:rsidR="003652AD" w:rsidRDefault="00D37A71" w:rsidP="003652AD">
      <w:pPr>
        <w:pStyle w:val="NumBC1"/>
        <w:numPr>
          <w:ilvl w:val="0"/>
          <w:numId w:val="12"/>
        </w:numPr>
      </w:pPr>
      <w:bookmarkStart w:id="20" w:name="_Ref57882899"/>
      <w:r>
        <w:t>T</w:t>
      </w:r>
      <w:r w:rsidR="003652AD">
        <w:t xml:space="preserve">he Board </w:t>
      </w:r>
      <w:r>
        <w:t xml:space="preserve">also </w:t>
      </w:r>
      <w:r w:rsidR="003652AD">
        <w:t xml:space="preserve">considered whether to propose making the amendments to provide the </w:t>
      </w:r>
      <w:r w:rsidR="00E279B0">
        <w:t xml:space="preserve">optional </w:t>
      </w:r>
      <w:r w:rsidR="003652AD">
        <w:t xml:space="preserve">transitional relief to AASB 1053 or to AASB 1060. While </w:t>
      </w:r>
      <w:r w:rsidR="003652AD" w:rsidRPr="00443527">
        <w:t xml:space="preserve">the equivalent relief for for-profit </w:t>
      </w:r>
      <w:r w:rsidR="003652AD">
        <w:t xml:space="preserve">private sector </w:t>
      </w:r>
      <w:r w:rsidR="003652AD" w:rsidRPr="00443527">
        <w:t>entities is included in AASB 1053</w:t>
      </w:r>
      <w:r w:rsidR="003652AD">
        <w:t xml:space="preserve"> (Appendix E), the Board decided that in this instance AASB 1060 was the more appropriate location. This is because the relief </w:t>
      </w:r>
      <w:r w:rsidR="00E279B0">
        <w:t xml:space="preserve">proposed in ED 306 </w:t>
      </w:r>
      <w:r w:rsidR="003652AD">
        <w:t>would apply only to NFP entities that are transitioning early from Tier 2</w:t>
      </w:r>
      <w:r w:rsidR="00DD2E6F">
        <w:t xml:space="preserve"> RDR</w:t>
      </w:r>
      <w:r w:rsidR="003652AD">
        <w:t>. The Board concluded that entities transitioning between the Tier</w:t>
      </w:r>
      <w:r w:rsidR="00207CFE">
        <w:t> </w:t>
      </w:r>
      <w:r w:rsidR="003652AD">
        <w:t>2 frameworks would not normally refer to AASB 1053 for transition guidance as AASB 1053 deals with entities transitioning between tiers, rather than to new requirements relating to the same tier.</w:t>
      </w:r>
      <w:bookmarkEnd w:id="20"/>
    </w:p>
    <w:p w14:paraId="6FE23DD9" w14:textId="27306ACA" w:rsidR="00D646E5" w:rsidRPr="001F4A7F" w:rsidRDefault="00E6486A" w:rsidP="003474AB">
      <w:pPr>
        <w:pStyle w:val="ConvSectionTitle"/>
        <w:spacing w:before="240"/>
        <w:ind w:firstLine="782"/>
      </w:pPr>
      <w:r>
        <w:t xml:space="preserve">Other </w:t>
      </w:r>
      <w:r w:rsidR="00D646E5">
        <w:t>amendments</w:t>
      </w:r>
    </w:p>
    <w:p w14:paraId="596115D4" w14:textId="509FFB29" w:rsidR="003652AD" w:rsidRDefault="003652AD" w:rsidP="003652AD">
      <w:pPr>
        <w:pStyle w:val="NumBC1"/>
        <w:numPr>
          <w:ilvl w:val="0"/>
          <w:numId w:val="12"/>
        </w:numPr>
      </w:pPr>
      <w:r>
        <w:t>The Board also propos</w:t>
      </w:r>
      <w:r w:rsidR="00224C32">
        <w:t>ed</w:t>
      </w:r>
      <w:r>
        <w:t xml:space="preserve"> some editorial improvements to AASB 1053 to highlight that the relief set out in Appendix E of AASB 1053 applies only to for-profit private sector entities.</w:t>
      </w:r>
    </w:p>
    <w:p w14:paraId="61B6C487" w14:textId="2A19291A" w:rsidR="00D56156" w:rsidRDefault="00D56156" w:rsidP="00D56156">
      <w:pPr>
        <w:pStyle w:val="IASBSectionTitle1NonInd"/>
      </w:pPr>
      <w:r>
        <w:t xml:space="preserve">Finalisation of ED </w:t>
      </w:r>
      <w:r w:rsidR="00B377DE">
        <w:t>306 proposals</w:t>
      </w:r>
    </w:p>
    <w:p w14:paraId="3B9E5565" w14:textId="15C9243E" w:rsidR="00D56156" w:rsidRDefault="00B377DE" w:rsidP="00B377DE">
      <w:pPr>
        <w:pStyle w:val="NumBC1"/>
        <w:numPr>
          <w:ilvl w:val="0"/>
          <w:numId w:val="12"/>
        </w:numPr>
      </w:pPr>
      <w:r>
        <w:t xml:space="preserve">Following the consultation period, and after considering </w:t>
      </w:r>
      <w:r w:rsidR="005C1A3C">
        <w:t xml:space="preserve">the </w:t>
      </w:r>
      <w:r>
        <w:t xml:space="preserve">comments received, the Board decided to proceed with issuing this Standard, </w:t>
      </w:r>
      <w:r w:rsidR="009C568D">
        <w:t>with minimal changes from the proposals in ED 306</w:t>
      </w:r>
      <w:r>
        <w:t>.</w:t>
      </w:r>
      <w:r w:rsidR="00D56156">
        <w:t xml:space="preserve"> </w:t>
      </w:r>
    </w:p>
    <w:p w14:paraId="3DC4A833" w14:textId="77777777" w:rsidR="00265232" w:rsidRDefault="00265232" w:rsidP="003474AB">
      <w:pPr>
        <w:pStyle w:val="ConvSectionTitle"/>
        <w:spacing w:before="240"/>
        <w:ind w:firstLine="782"/>
      </w:pPr>
      <w:r>
        <w:t>Feedback from respondents on ED 306</w:t>
      </w:r>
    </w:p>
    <w:p w14:paraId="4A0EAF4F" w14:textId="2541E46E" w:rsidR="00EC5C5F" w:rsidRDefault="00265232" w:rsidP="00424CAD">
      <w:pPr>
        <w:pStyle w:val="NumBC1"/>
        <w:numPr>
          <w:ilvl w:val="0"/>
          <w:numId w:val="12"/>
        </w:numPr>
      </w:pPr>
      <w:r>
        <w:t xml:space="preserve">The Board received </w:t>
      </w:r>
      <w:r w:rsidR="001177F8">
        <w:t xml:space="preserve">six </w:t>
      </w:r>
      <w:r>
        <w:t xml:space="preserve">formal comment letters on ED </w:t>
      </w:r>
      <w:r w:rsidR="001177F8">
        <w:t>306</w:t>
      </w:r>
      <w:r>
        <w:t>.</w:t>
      </w:r>
      <w:r w:rsidR="00424CAD">
        <w:t xml:space="preserve"> </w:t>
      </w:r>
      <w:bookmarkStart w:id="21" w:name="_Ref66201788"/>
      <w:r w:rsidR="006E482A">
        <w:t>The feedback received indicated that</w:t>
      </w:r>
      <w:r w:rsidR="00424CAD">
        <w:t>,</w:t>
      </w:r>
      <w:r w:rsidR="006E482A">
        <w:t xml:space="preserve"> </w:t>
      </w:r>
      <w:r w:rsidR="00424CAD">
        <w:t xml:space="preserve">in general, </w:t>
      </w:r>
      <w:r w:rsidR="006E482A">
        <w:t>all respondents were supportive of the proposals</w:t>
      </w:r>
      <w:r w:rsidR="00687019">
        <w:t xml:space="preserve">. However, </w:t>
      </w:r>
      <w:r w:rsidR="006E482A">
        <w:t>some respondents suggested that</w:t>
      </w:r>
      <w:r w:rsidR="00EC5C5F">
        <w:t>:</w:t>
      </w:r>
      <w:bookmarkEnd w:id="21"/>
    </w:p>
    <w:p w14:paraId="4E533AAF" w14:textId="7E87B68B" w:rsidR="00EC5C5F" w:rsidRDefault="00BC324D" w:rsidP="0084753F">
      <w:pPr>
        <w:pStyle w:val="NumBC1"/>
        <w:numPr>
          <w:ilvl w:val="0"/>
          <w:numId w:val="17"/>
        </w:numPr>
        <w:ind w:left="1564" w:hanging="782"/>
      </w:pPr>
      <w:bookmarkStart w:id="22" w:name="_Ref66201781"/>
      <w:r>
        <w:t>the Board should adopt a sector</w:t>
      </w:r>
      <w:r w:rsidR="00424CAD">
        <w:t>-</w:t>
      </w:r>
      <w:r>
        <w:t>neutral approach to transition relief</w:t>
      </w:r>
      <w:r w:rsidR="005E5574">
        <w:t xml:space="preserve">. </w:t>
      </w:r>
      <w:r w:rsidR="008B5BDD">
        <w:t xml:space="preserve">In their view, </w:t>
      </w:r>
      <w:r w:rsidR="00DD7BB7">
        <w:t xml:space="preserve">NFP entities </w:t>
      </w:r>
      <w:r w:rsidR="008B5BDD">
        <w:t xml:space="preserve">should have </w:t>
      </w:r>
      <w:r>
        <w:t xml:space="preserve">the same transition relief </w:t>
      </w:r>
      <w:r w:rsidR="005E5574">
        <w:t xml:space="preserve">as for-profit </w:t>
      </w:r>
      <w:r w:rsidR="00696CC6">
        <w:t xml:space="preserve">private sector </w:t>
      </w:r>
      <w:r w:rsidR="005E5574">
        <w:t xml:space="preserve">entities whether they </w:t>
      </w:r>
      <w:r w:rsidR="00424CAD">
        <w:t xml:space="preserve">are </w:t>
      </w:r>
      <w:r w:rsidR="005E5574">
        <w:t>transition</w:t>
      </w:r>
      <w:r w:rsidR="005C4893">
        <w:t>ing</w:t>
      </w:r>
      <w:r w:rsidR="005E5574">
        <w:t xml:space="preserve"> from </w:t>
      </w:r>
      <w:r w:rsidR="00BE01EB">
        <w:t>SPFS</w:t>
      </w:r>
      <w:r w:rsidR="005E5574">
        <w:t xml:space="preserve">, </w:t>
      </w:r>
      <w:r w:rsidR="00424CAD">
        <w:t xml:space="preserve">Tier 1 or </w:t>
      </w:r>
      <w:r w:rsidR="005E5574">
        <w:t>Tier 2</w:t>
      </w:r>
      <w:r w:rsidR="009C1E4F">
        <w:t xml:space="preserve"> RDR</w:t>
      </w:r>
      <w:r w:rsidR="005E5574">
        <w:t xml:space="preserve"> and preparing Tier 2</w:t>
      </w:r>
      <w:r w:rsidR="009C1E4F">
        <w:t xml:space="preserve"> SD </w:t>
      </w:r>
      <w:r w:rsidR="005E5574">
        <w:t>for the first time</w:t>
      </w:r>
      <w:r w:rsidR="008B5BDD">
        <w:t>; and</w:t>
      </w:r>
      <w:bookmarkEnd w:id="22"/>
    </w:p>
    <w:p w14:paraId="68CA7AE1" w14:textId="70383D4A" w:rsidR="005E5574" w:rsidRDefault="0023618F" w:rsidP="005D4B47">
      <w:pPr>
        <w:pStyle w:val="NumBC1"/>
        <w:numPr>
          <w:ilvl w:val="0"/>
          <w:numId w:val="17"/>
        </w:numPr>
        <w:ind w:left="1564" w:hanging="782"/>
      </w:pPr>
      <w:r>
        <w:t xml:space="preserve">consequently, </w:t>
      </w:r>
      <w:r w:rsidR="00010504">
        <w:t xml:space="preserve">AASB 1060 may not be the best place for the </w:t>
      </w:r>
      <w:r w:rsidR="008B5BDD">
        <w:t xml:space="preserve">proposed amendments, </w:t>
      </w:r>
      <w:r>
        <w:t xml:space="preserve">given their support for </w:t>
      </w:r>
      <w:r w:rsidR="008B5BDD">
        <w:t>additional transitional relief for NFP entities.</w:t>
      </w:r>
    </w:p>
    <w:p w14:paraId="242D61CC" w14:textId="56EFB39F" w:rsidR="008829DE" w:rsidRDefault="00181AEA" w:rsidP="008829DE">
      <w:pPr>
        <w:pStyle w:val="NumBC1"/>
        <w:numPr>
          <w:ilvl w:val="0"/>
          <w:numId w:val="12"/>
        </w:numPr>
      </w:pPr>
      <w:r>
        <w:t>The Board considered this feedback and decided</w:t>
      </w:r>
      <w:r w:rsidR="003C4258">
        <w:t>:</w:t>
      </w:r>
    </w:p>
    <w:p w14:paraId="401633F2" w14:textId="4FCFCF08" w:rsidR="008829DE" w:rsidRDefault="008829DE" w:rsidP="005D4B47">
      <w:pPr>
        <w:pStyle w:val="NumBC1"/>
        <w:numPr>
          <w:ilvl w:val="0"/>
          <w:numId w:val="22"/>
        </w:numPr>
        <w:ind w:left="1564" w:hanging="782"/>
      </w:pPr>
      <w:r>
        <w:t xml:space="preserve">to extend the relief from presenting comparative information for those disclosures not previously made to also include transition from Tier 1 to </w:t>
      </w:r>
      <w:r w:rsidR="002F2CEF">
        <w:t>Tier 2</w:t>
      </w:r>
      <w:r w:rsidR="00C118EC">
        <w:t xml:space="preserve"> SD</w:t>
      </w:r>
      <w:r w:rsidR="00102CD1">
        <w:t xml:space="preserve">. This </w:t>
      </w:r>
      <w:r w:rsidR="00102CD1" w:rsidRPr="00A61B19">
        <w:t>was because</w:t>
      </w:r>
      <w:r w:rsidR="00102CD1">
        <w:t xml:space="preserve"> </w:t>
      </w:r>
      <w:r w:rsidR="006A5A78">
        <w:t xml:space="preserve">both </w:t>
      </w:r>
      <w:r w:rsidR="00102CD1">
        <w:t>Tier 1 and Tier 2</w:t>
      </w:r>
      <w:r w:rsidR="00C118EC">
        <w:t xml:space="preserve"> SD</w:t>
      </w:r>
      <w:r w:rsidR="00102CD1">
        <w:t xml:space="preserve"> </w:t>
      </w:r>
      <w:r w:rsidR="0052563F">
        <w:t>are prepared on the same recognition and measurement basis and there would be very few, if any, disclosure</w:t>
      </w:r>
      <w:r w:rsidR="006A5A78">
        <w:t>s</w:t>
      </w:r>
      <w:r w:rsidR="0052563F">
        <w:t xml:space="preserve"> for which comparative information was not presented. </w:t>
      </w:r>
      <w:r w:rsidR="0023618F">
        <w:t xml:space="preserve">Extending the relief </w:t>
      </w:r>
      <w:r w:rsidR="0052563F">
        <w:t xml:space="preserve">would </w:t>
      </w:r>
      <w:r w:rsidR="006A5A78">
        <w:t xml:space="preserve">therefore </w:t>
      </w:r>
      <w:r w:rsidR="0076438B">
        <w:t xml:space="preserve">have a limited impact on comparability and would provide consistent </w:t>
      </w:r>
      <w:r w:rsidR="0023618F">
        <w:t xml:space="preserve">optional </w:t>
      </w:r>
      <w:r w:rsidR="0076438B">
        <w:t>relief for NFP entities transitioning between types of general purpose financial statements</w:t>
      </w:r>
      <w:r>
        <w:t>;</w:t>
      </w:r>
    </w:p>
    <w:p w14:paraId="7B7B3608" w14:textId="3D37FF05" w:rsidR="00A110A3" w:rsidRDefault="008829DE" w:rsidP="005D4B47">
      <w:pPr>
        <w:pStyle w:val="NumBC1"/>
        <w:numPr>
          <w:ilvl w:val="0"/>
          <w:numId w:val="22"/>
        </w:numPr>
        <w:ind w:left="1564" w:hanging="782"/>
      </w:pPr>
      <w:r>
        <w:t xml:space="preserve">not to provide any relief to NFP entities transitioning from </w:t>
      </w:r>
      <w:r w:rsidR="00BE01EB">
        <w:t xml:space="preserve">SPFS </w:t>
      </w:r>
      <w:r>
        <w:t xml:space="preserve">at this time. </w:t>
      </w:r>
      <w:r w:rsidR="0023618F">
        <w:t xml:space="preserve">As </w:t>
      </w:r>
      <w:r w:rsidR="00E065DF">
        <w:t>noted in paragraph</w:t>
      </w:r>
      <w:r w:rsidR="00970FC1">
        <w:t xml:space="preserve">s </w:t>
      </w:r>
      <w:r w:rsidR="00970FC1">
        <w:fldChar w:fldCharType="begin" w:fldLock="1"/>
      </w:r>
      <w:r w:rsidR="00970FC1">
        <w:instrText xml:space="preserve"> REF _Ref66201475 \r \h </w:instrText>
      </w:r>
      <w:r w:rsidR="00970FC1">
        <w:fldChar w:fldCharType="separate"/>
      </w:r>
      <w:r w:rsidR="00660B1E">
        <w:t>BC7</w:t>
      </w:r>
      <w:r w:rsidR="00970FC1">
        <w:fldChar w:fldCharType="end"/>
      </w:r>
      <w:r w:rsidR="00970FC1">
        <w:t xml:space="preserve"> and</w:t>
      </w:r>
      <w:r w:rsidR="00E065DF">
        <w:t xml:space="preserve"> </w:t>
      </w:r>
      <w:r w:rsidR="00E065DF">
        <w:fldChar w:fldCharType="begin" w:fldLock="1"/>
      </w:r>
      <w:r w:rsidR="00E065DF">
        <w:instrText xml:space="preserve"> REF _Ref66199588 \r \h </w:instrText>
      </w:r>
      <w:r w:rsidR="00E065DF">
        <w:fldChar w:fldCharType="separate"/>
      </w:r>
      <w:r w:rsidR="00660B1E">
        <w:t>BC8</w:t>
      </w:r>
      <w:r w:rsidR="00E065DF">
        <w:fldChar w:fldCharType="end"/>
      </w:r>
      <w:r w:rsidR="00E065DF">
        <w:t>,</w:t>
      </w:r>
      <w:r>
        <w:t xml:space="preserve"> NFP entities are not currently required to transition from </w:t>
      </w:r>
      <w:r w:rsidR="00CF495D">
        <w:t>SPFS</w:t>
      </w:r>
      <w:r>
        <w:t xml:space="preserve">. The Board did however reaffirm that it intends to consider specific transition relief for NFP entities, including those that may be required to transition from </w:t>
      </w:r>
      <w:r w:rsidR="00CF495D">
        <w:t>SPFS</w:t>
      </w:r>
      <w:r>
        <w:t xml:space="preserve">, as part of its </w:t>
      </w:r>
      <w:r w:rsidR="00B707A9">
        <w:t xml:space="preserve">NFP </w:t>
      </w:r>
      <w:r>
        <w:t>Private Sector Financial Reporting Framework project</w:t>
      </w:r>
      <w:r w:rsidR="0003519C">
        <w:t>;</w:t>
      </w:r>
      <w:r w:rsidR="0084753F">
        <w:t xml:space="preserve"> and</w:t>
      </w:r>
    </w:p>
    <w:p w14:paraId="57E3BA5B" w14:textId="7B8B069E" w:rsidR="000B3CA4" w:rsidRPr="005075FD" w:rsidRDefault="00A110A3" w:rsidP="005075FD">
      <w:pPr>
        <w:pStyle w:val="NumBC1"/>
        <w:numPr>
          <w:ilvl w:val="0"/>
          <w:numId w:val="22"/>
        </w:numPr>
        <w:ind w:left="1564" w:hanging="782"/>
      </w:pPr>
      <w:r>
        <w:t xml:space="preserve">AASB 1060 </w:t>
      </w:r>
      <w:r w:rsidR="007B6AF5">
        <w:t xml:space="preserve">remained </w:t>
      </w:r>
      <w:r>
        <w:t>the most appropriate location for these amendments</w:t>
      </w:r>
      <w:r w:rsidR="00BC2FD4">
        <w:t xml:space="preserve">. </w:t>
      </w:r>
      <w:r w:rsidR="00767DE9">
        <w:t xml:space="preserve">Although </w:t>
      </w:r>
      <w:r w:rsidR="0004093A">
        <w:t xml:space="preserve">the optional relief in this Standard no longer applies </w:t>
      </w:r>
      <w:r w:rsidR="00C75729">
        <w:t xml:space="preserve">solely </w:t>
      </w:r>
      <w:r w:rsidR="0004093A">
        <w:t xml:space="preserve">to NFP entities transitioning between Tier 2 frameworks, the Board </w:t>
      </w:r>
      <w:r w:rsidR="000D01DB">
        <w:t xml:space="preserve">heard </w:t>
      </w:r>
      <w:r w:rsidR="0004093A">
        <w:t xml:space="preserve">no </w:t>
      </w:r>
      <w:r w:rsidR="000D01DB">
        <w:t xml:space="preserve">compelling </w:t>
      </w:r>
      <w:r w:rsidR="0004093A">
        <w:t>reason</w:t>
      </w:r>
      <w:r w:rsidR="000D01DB">
        <w:t>s</w:t>
      </w:r>
      <w:r w:rsidR="0004093A">
        <w:t xml:space="preserve"> to </w:t>
      </w:r>
      <w:r w:rsidR="00954C60">
        <w:t xml:space="preserve">relocate </w:t>
      </w:r>
      <w:r w:rsidR="0004093A">
        <w:t>the amendments from AASB 1060. NFP entities applying the optional relief will be transitioning to Tier 2 SD</w:t>
      </w:r>
      <w:r w:rsidR="007B6AF5">
        <w:t>.</w:t>
      </w:r>
      <w:r w:rsidR="0004093A">
        <w:t xml:space="preserve"> </w:t>
      </w:r>
      <w:r w:rsidR="007B6AF5">
        <w:t xml:space="preserve">Therefore, </w:t>
      </w:r>
      <w:r w:rsidR="0004093A">
        <w:t>including the relief in the applicable Tier 2 Standard (AASB 1060) rem</w:t>
      </w:r>
      <w:r w:rsidR="007B6AF5">
        <w:t>a</w:t>
      </w:r>
      <w:r w:rsidR="0004093A">
        <w:t>ined appropriate</w:t>
      </w:r>
      <w:r w:rsidR="00693610">
        <w:t>.</w:t>
      </w:r>
    </w:p>
    <w:p w14:paraId="4ED16F24" w14:textId="1C6967BE" w:rsidR="00D20427" w:rsidRPr="003766A0" w:rsidRDefault="00D20427" w:rsidP="00D20427">
      <w:pPr>
        <w:pStyle w:val="Heading2"/>
      </w:pPr>
      <w:r w:rsidRPr="003766A0">
        <w:t>Effective date</w:t>
      </w:r>
      <w:r w:rsidR="00CE354C">
        <w:t xml:space="preserve"> and early application</w:t>
      </w:r>
    </w:p>
    <w:p w14:paraId="38AA311D" w14:textId="682E0142" w:rsidR="00F55105" w:rsidRPr="003766A0" w:rsidRDefault="00F43012" w:rsidP="00813E50">
      <w:pPr>
        <w:pStyle w:val="NumBC1"/>
        <w:numPr>
          <w:ilvl w:val="0"/>
          <w:numId w:val="12"/>
        </w:numPr>
      </w:pPr>
      <w:r>
        <w:t xml:space="preserve">To ensure consistency between for-profit private sector entities and NFP entities, it was necessary to align the effective date of this </w:t>
      </w:r>
      <w:r w:rsidR="00F91641">
        <w:t>S</w:t>
      </w:r>
      <w:r>
        <w:t xml:space="preserve">tandard with the effective date of the </w:t>
      </w:r>
      <w:r w:rsidR="00D37CDA">
        <w:t xml:space="preserve">equivalent relief available to </w:t>
      </w:r>
      <w:r w:rsidR="00F91641">
        <w:t xml:space="preserve">for-profit </w:t>
      </w:r>
      <w:r w:rsidR="00D37CDA">
        <w:t>private sector entities</w:t>
      </w:r>
      <w:r w:rsidR="00F91641">
        <w:t>. For this reason</w:t>
      </w:r>
      <w:r w:rsidR="00813E50">
        <w:t>,</w:t>
      </w:r>
      <w:r w:rsidR="00F91641">
        <w:t xml:space="preserve"> the Board decided </w:t>
      </w:r>
      <w:r w:rsidR="00264CCA">
        <w:t xml:space="preserve">that </w:t>
      </w:r>
      <w:r w:rsidR="00D37CDA">
        <w:t xml:space="preserve">this </w:t>
      </w:r>
      <w:r w:rsidR="00F91641">
        <w:t xml:space="preserve">Standard </w:t>
      </w:r>
      <w:r w:rsidR="00B707A9">
        <w:t xml:space="preserve">would </w:t>
      </w:r>
      <w:r w:rsidR="00F91641">
        <w:t>be effective for annual periods beginning on or after 1 July 2021</w:t>
      </w:r>
      <w:r w:rsidR="00813E50">
        <w:t>, with earlier application permitted, provided AASB 1060 is also applied to the same period.</w:t>
      </w:r>
      <w:bookmarkStart w:id="23" w:name="_GoBack"/>
      <w:bookmarkEnd w:id="23"/>
    </w:p>
    <w:sectPr w:rsidR="00F55105" w:rsidRPr="003766A0" w:rsidSect="00D74C6A">
      <w:footerReference w:type="default" r:id="rId18"/>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F7AB1" w14:textId="77777777" w:rsidR="00782001" w:rsidRDefault="00782001">
      <w:r>
        <w:separator/>
      </w:r>
    </w:p>
  </w:endnote>
  <w:endnote w:type="continuationSeparator" w:id="0">
    <w:p w14:paraId="50F18683" w14:textId="77777777" w:rsidR="00782001" w:rsidRDefault="00782001">
      <w:r>
        <w:continuationSeparator/>
      </w:r>
    </w:p>
  </w:endnote>
  <w:endnote w:type="continuationNotice" w:id="1">
    <w:p w14:paraId="21CD1AD7" w14:textId="77777777" w:rsidR="00782001" w:rsidRDefault="00782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6AE9" w14:textId="2FE15E57" w:rsidR="00E34820" w:rsidRDefault="00E34820">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660B1E" w:rsidRPr="00660B1E">
      <w:rPr>
        <w:b/>
      </w:rPr>
      <w:t>2021-1</w:t>
    </w:r>
    <w:r>
      <w:rPr>
        <w:b/>
      </w:rPr>
      <w:fldChar w:fldCharType="end"/>
    </w:r>
    <w:r>
      <w:rPr>
        <w:b/>
      </w:rPr>
      <w:tab/>
    </w:r>
    <w:r>
      <w:fldChar w:fldCharType="begin"/>
    </w:r>
    <w:r>
      <w:instrText>PAGE</w:instrText>
    </w:r>
    <w:r>
      <w:fldChar w:fldCharType="separate"/>
    </w:r>
    <w:r>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F5206" w14:textId="663EB275" w:rsidR="00E34820" w:rsidRDefault="00E34820">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660B1E" w:rsidRPr="00660B1E">
      <w:rPr>
        <w:b/>
      </w:rPr>
      <w:t>2021-1</w:t>
    </w:r>
    <w:r>
      <w:rPr>
        <w:b/>
      </w:rPr>
      <w:fldChar w:fldCharType="end"/>
    </w:r>
    <w:r>
      <w:rPr>
        <w:b/>
      </w:rPr>
      <w:tab/>
    </w:r>
    <w:r>
      <w:fldChar w:fldCharType="begin"/>
    </w:r>
    <w:r>
      <w:instrText>PAGE</w:instrText>
    </w:r>
    <w:r>
      <w:fldChar w:fldCharType="separate"/>
    </w:r>
    <w:r>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FBE9" w14:textId="59883489" w:rsidR="00E34820" w:rsidRDefault="00E34820">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660B1E" w:rsidRPr="00660B1E">
      <w:rPr>
        <w:b/>
      </w:rPr>
      <w:t>2021-1</w:t>
    </w:r>
    <w:r>
      <w:rPr>
        <w:b/>
      </w:rPr>
      <w:fldChar w:fldCharType="end"/>
    </w:r>
    <w:r>
      <w:rPr>
        <w:b/>
      </w:rPr>
      <w:tab/>
    </w:r>
    <w:r>
      <w:fldChar w:fldCharType="begin"/>
    </w:r>
    <w:r>
      <w:instrText>PAGE</w:instrText>
    </w:r>
    <w:r>
      <w:fldChar w:fldCharType="separate"/>
    </w:r>
    <w:r>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431D3" w14:textId="220B4250" w:rsidR="003032D5" w:rsidRDefault="003032D5">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660B1E" w:rsidRPr="00660B1E">
      <w:rPr>
        <w:b/>
      </w:rPr>
      <w:t>2021-1</w:t>
    </w:r>
    <w:r>
      <w:rPr>
        <w:b/>
      </w:rPr>
      <w:fldChar w:fldCharType="end"/>
    </w:r>
    <w:r>
      <w:rPr>
        <w:b/>
      </w:rPr>
      <w:tab/>
    </w:r>
    <w:r>
      <w:fldChar w:fldCharType="begin"/>
    </w:r>
    <w:r>
      <w:instrText>PAGE</w:instrText>
    </w:r>
    <w:r>
      <w:fldChar w:fldCharType="separate"/>
    </w:r>
    <w:r>
      <w:rPr>
        <w:noProof/>
      </w:rPr>
      <w:t>4</w:t>
    </w:r>
    <w:r>
      <w:fldChar w:fldCharType="end"/>
    </w:r>
    <w:r>
      <w:tab/>
    </w:r>
    <w:r>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8DFB0" w14:textId="77777777" w:rsidR="00E34820" w:rsidRDefault="00E348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0BBFD" w14:textId="44FD87AF" w:rsidR="00E34820" w:rsidRDefault="00E34820" w:rsidP="00E34820">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660B1E" w:rsidRPr="00660B1E">
      <w:rPr>
        <w:b/>
      </w:rPr>
      <w:t>2021-1</w:t>
    </w:r>
    <w:r>
      <w:rPr>
        <w:b/>
      </w:rPr>
      <w:fldChar w:fldCharType="end"/>
    </w:r>
    <w:r>
      <w:rPr>
        <w:b/>
      </w:rPr>
      <w:tab/>
    </w:r>
    <w:r>
      <w:fldChar w:fldCharType="begin"/>
    </w:r>
    <w:r>
      <w:instrText>PAGE</w:instrText>
    </w:r>
    <w:r>
      <w:fldChar w:fldCharType="separate"/>
    </w:r>
    <w:r>
      <w:rPr>
        <w:noProof/>
      </w:rPr>
      <w:t>26</w:t>
    </w:r>
    <w:r>
      <w:fldChar w:fldCharType="end"/>
    </w:r>
    <w:r>
      <w:tab/>
    </w:r>
    <w:r>
      <w:rPr>
        <w:b/>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8AAD6" w14:textId="77777777" w:rsidR="00782001" w:rsidRDefault="00782001">
      <w:r>
        <w:separator/>
      </w:r>
    </w:p>
  </w:footnote>
  <w:footnote w:type="continuationSeparator" w:id="0">
    <w:p w14:paraId="67629826" w14:textId="77777777" w:rsidR="00782001" w:rsidRDefault="00782001">
      <w:r>
        <w:continuationSeparator/>
      </w:r>
    </w:p>
  </w:footnote>
  <w:footnote w:type="continuationNotice" w:id="1">
    <w:p w14:paraId="106A5F83" w14:textId="77777777" w:rsidR="00782001" w:rsidRDefault="00782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5DB3A" w14:textId="77777777" w:rsidR="00E34820" w:rsidRDefault="00E34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0F166BC1"/>
    <w:multiLevelType w:val="hybridMultilevel"/>
    <w:tmpl w:val="C6B47632"/>
    <w:lvl w:ilvl="0" w:tplc="B892537A">
      <w:numFmt w:val="bullet"/>
      <w:lvlText w:val="•"/>
      <w:lvlJc w:val="left"/>
      <w:pPr>
        <w:ind w:left="1142" w:hanging="360"/>
      </w:pPr>
      <w:rPr>
        <w:rFonts w:ascii="Times New Roman" w:eastAsia="Times New Roman" w:hAnsi="Times New Roman" w:cs="Times New Roman"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3"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4" w15:restartNumberingAfterBreak="0">
    <w:nsid w:val="15A16749"/>
    <w:multiLevelType w:val="hybridMultilevel"/>
    <w:tmpl w:val="E4A4FB34"/>
    <w:lvl w:ilvl="0" w:tplc="43C0A668">
      <w:start w:val="1"/>
      <w:numFmt w:val="lowerLetter"/>
      <w:lvlText w:val="(%1)"/>
      <w:lvlJc w:val="left"/>
      <w:pPr>
        <w:ind w:left="1142" w:hanging="360"/>
      </w:pPr>
      <w:rPr>
        <w:rFonts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5"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6" w15:restartNumberingAfterBreak="0">
    <w:nsid w:val="24E64954"/>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87842C3"/>
    <w:multiLevelType w:val="hybridMultilevel"/>
    <w:tmpl w:val="BF92D640"/>
    <w:lvl w:ilvl="0" w:tplc="1D4EBE58">
      <w:start w:val="1"/>
      <w:numFmt w:val="decimal"/>
      <w:lvlText w:val="BC%1"/>
      <w:lvlJc w:val="left"/>
      <w:pPr>
        <w:ind w:left="107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3C0A66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0" w15:restartNumberingAfterBreak="0">
    <w:nsid w:val="46B976D7"/>
    <w:multiLevelType w:val="hybridMultilevel"/>
    <w:tmpl w:val="E4A4FB34"/>
    <w:lvl w:ilvl="0" w:tplc="43C0A668">
      <w:start w:val="1"/>
      <w:numFmt w:val="lowerLetter"/>
      <w:lvlText w:val="(%1)"/>
      <w:lvlJc w:val="left"/>
      <w:pPr>
        <w:ind w:left="1142" w:hanging="360"/>
      </w:pPr>
      <w:rPr>
        <w:rFonts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1"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993C7F"/>
    <w:multiLevelType w:val="hybridMultilevel"/>
    <w:tmpl w:val="67546C3C"/>
    <w:lvl w:ilvl="0" w:tplc="9A5C6AAA">
      <w:start w:val="1"/>
      <w:numFmt w:val="decimal"/>
      <w:lvlText w:val="%1"/>
      <w:lvlJc w:val="left"/>
      <w:pPr>
        <w:ind w:left="720" w:hanging="360"/>
      </w:pPr>
      <w:rPr>
        <w:rFonts w:hint="default"/>
        <w:b w:val="0"/>
        <w:color w:val="auto"/>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4"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5"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5"/>
  </w:num>
  <w:num w:numId="6">
    <w:abstractNumId w:val="14"/>
  </w:num>
  <w:num w:numId="7">
    <w:abstractNumId w:val="7"/>
  </w:num>
  <w:num w:numId="8">
    <w:abstractNumId w:val="9"/>
  </w:num>
  <w:num w:numId="9">
    <w:abstractNumId w:val="1"/>
  </w:num>
  <w:num w:numId="10">
    <w:abstractNumId w:val="0"/>
  </w:num>
  <w:num w:numId="11">
    <w:abstractNumId w:val="11"/>
  </w:num>
  <w:num w:numId="12">
    <w:abstractNumId w:val="6"/>
  </w:num>
  <w:num w:numId="13">
    <w:abstractNumId w:val="3"/>
  </w:num>
  <w:num w:numId="14">
    <w:abstractNumId w:val="3"/>
  </w:num>
  <w:num w:numId="15">
    <w:abstractNumId w:val="3"/>
  </w:num>
  <w:num w:numId="16">
    <w:abstractNumId w:val="3"/>
  </w:num>
  <w:num w:numId="17">
    <w:abstractNumId w:val="4"/>
  </w:num>
  <w:num w:numId="18">
    <w:abstractNumId w:val="2"/>
  </w:num>
  <w:num w:numId="19">
    <w:abstractNumId w:val="3"/>
  </w:num>
  <w:num w:numId="20">
    <w:abstractNumId w:val="8"/>
  </w:num>
  <w:num w:numId="21">
    <w:abstractNumId w:val="3"/>
  </w:num>
  <w:num w:numId="22">
    <w:abstractNumId w:val="10"/>
  </w:num>
  <w:num w:numId="23">
    <w:abstractNumId w:val="12"/>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6145">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2MLMwNjA2MDA2NTdR0lEKTi0uzszPAykwNKkFAITK+wUtAAAA"/>
  </w:docVars>
  <w:rsids>
    <w:rsidRoot w:val="00E92A04"/>
    <w:rsid w:val="0000292B"/>
    <w:rsid w:val="00010504"/>
    <w:rsid w:val="000202EB"/>
    <w:rsid w:val="00027E8B"/>
    <w:rsid w:val="0003519C"/>
    <w:rsid w:val="0003692E"/>
    <w:rsid w:val="0004093A"/>
    <w:rsid w:val="0004455B"/>
    <w:rsid w:val="00045A73"/>
    <w:rsid w:val="00047D99"/>
    <w:rsid w:val="000625F2"/>
    <w:rsid w:val="00074133"/>
    <w:rsid w:val="000812F8"/>
    <w:rsid w:val="00090A6F"/>
    <w:rsid w:val="00090E4C"/>
    <w:rsid w:val="00090E8E"/>
    <w:rsid w:val="00093501"/>
    <w:rsid w:val="00094538"/>
    <w:rsid w:val="00096027"/>
    <w:rsid w:val="000B3CA4"/>
    <w:rsid w:val="000B7207"/>
    <w:rsid w:val="000B733C"/>
    <w:rsid w:val="000C0DDD"/>
    <w:rsid w:val="000C3EB0"/>
    <w:rsid w:val="000C6119"/>
    <w:rsid w:val="000D01DB"/>
    <w:rsid w:val="000D161F"/>
    <w:rsid w:val="000D2A71"/>
    <w:rsid w:val="000D4DB9"/>
    <w:rsid w:val="000D5A78"/>
    <w:rsid w:val="000D7B40"/>
    <w:rsid w:val="000E22C0"/>
    <w:rsid w:val="000E2F01"/>
    <w:rsid w:val="000E362D"/>
    <w:rsid w:val="000F64CC"/>
    <w:rsid w:val="00102CD1"/>
    <w:rsid w:val="00110B96"/>
    <w:rsid w:val="00114D2C"/>
    <w:rsid w:val="001162C5"/>
    <w:rsid w:val="0011630B"/>
    <w:rsid w:val="001177F8"/>
    <w:rsid w:val="001206CF"/>
    <w:rsid w:val="001452AD"/>
    <w:rsid w:val="00146DDD"/>
    <w:rsid w:val="00162981"/>
    <w:rsid w:val="001662B8"/>
    <w:rsid w:val="00166E81"/>
    <w:rsid w:val="00171F51"/>
    <w:rsid w:val="001727C4"/>
    <w:rsid w:val="001761C6"/>
    <w:rsid w:val="001778B5"/>
    <w:rsid w:val="00181AEA"/>
    <w:rsid w:val="001861C7"/>
    <w:rsid w:val="001864D4"/>
    <w:rsid w:val="001902B7"/>
    <w:rsid w:val="0019187C"/>
    <w:rsid w:val="00191AF9"/>
    <w:rsid w:val="001922AE"/>
    <w:rsid w:val="0019286F"/>
    <w:rsid w:val="001A4861"/>
    <w:rsid w:val="001B33A5"/>
    <w:rsid w:val="001B7FC6"/>
    <w:rsid w:val="001C225F"/>
    <w:rsid w:val="001C35B1"/>
    <w:rsid w:val="001D3B32"/>
    <w:rsid w:val="001D4D79"/>
    <w:rsid w:val="001D7505"/>
    <w:rsid w:val="001E0523"/>
    <w:rsid w:val="001E17AE"/>
    <w:rsid w:val="001E2D51"/>
    <w:rsid w:val="001E3688"/>
    <w:rsid w:val="001F21A8"/>
    <w:rsid w:val="001F5E81"/>
    <w:rsid w:val="001F78DF"/>
    <w:rsid w:val="00201A99"/>
    <w:rsid w:val="00207CFE"/>
    <w:rsid w:val="002132A0"/>
    <w:rsid w:val="0022022E"/>
    <w:rsid w:val="0022185D"/>
    <w:rsid w:val="002233CB"/>
    <w:rsid w:val="00224C32"/>
    <w:rsid w:val="002265E2"/>
    <w:rsid w:val="00232E2C"/>
    <w:rsid w:val="0023618F"/>
    <w:rsid w:val="002362D7"/>
    <w:rsid w:val="00240BF5"/>
    <w:rsid w:val="002417FF"/>
    <w:rsid w:val="00254B16"/>
    <w:rsid w:val="00255BB6"/>
    <w:rsid w:val="00261290"/>
    <w:rsid w:val="00264CCA"/>
    <w:rsid w:val="00265232"/>
    <w:rsid w:val="00266759"/>
    <w:rsid w:val="00275F6A"/>
    <w:rsid w:val="00276BC5"/>
    <w:rsid w:val="0028086D"/>
    <w:rsid w:val="00283482"/>
    <w:rsid w:val="00296112"/>
    <w:rsid w:val="0029647E"/>
    <w:rsid w:val="002A201D"/>
    <w:rsid w:val="002A214D"/>
    <w:rsid w:val="002B1EA5"/>
    <w:rsid w:val="002B4A90"/>
    <w:rsid w:val="002B4F38"/>
    <w:rsid w:val="002B7803"/>
    <w:rsid w:val="002D37A5"/>
    <w:rsid w:val="002D48EF"/>
    <w:rsid w:val="002F1CD0"/>
    <w:rsid w:val="002F2CEF"/>
    <w:rsid w:val="002F380D"/>
    <w:rsid w:val="002F3E3C"/>
    <w:rsid w:val="003032D5"/>
    <w:rsid w:val="0030333F"/>
    <w:rsid w:val="00307F26"/>
    <w:rsid w:val="0032021C"/>
    <w:rsid w:val="003251D8"/>
    <w:rsid w:val="0033581C"/>
    <w:rsid w:val="00340E05"/>
    <w:rsid w:val="00341BCD"/>
    <w:rsid w:val="003474AB"/>
    <w:rsid w:val="003501A4"/>
    <w:rsid w:val="00354925"/>
    <w:rsid w:val="00362787"/>
    <w:rsid w:val="00363CB5"/>
    <w:rsid w:val="00364B30"/>
    <w:rsid w:val="003652AD"/>
    <w:rsid w:val="00367DC9"/>
    <w:rsid w:val="00367EE7"/>
    <w:rsid w:val="00372F0B"/>
    <w:rsid w:val="00375426"/>
    <w:rsid w:val="00377B8D"/>
    <w:rsid w:val="00382796"/>
    <w:rsid w:val="00386DB9"/>
    <w:rsid w:val="0039009E"/>
    <w:rsid w:val="0039758A"/>
    <w:rsid w:val="003A3F78"/>
    <w:rsid w:val="003A488F"/>
    <w:rsid w:val="003A4F52"/>
    <w:rsid w:val="003B0CAA"/>
    <w:rsid w:val="003B0E71"/>
    <w:rsid w:val="003B1731"/>
    <w:rsid w:val="003B6633"/>
    <w:rsid w:val="003B687B"/>
    <w:rsid w:val="003C4258"/>
    <w:rsid w:val="003C5B85"/>
    <w:rsid w:val="003D1DD4"/>
    <w:rsid w:val="003D5995"/>
    <w:rsid w:val="003D688A"/>
    <w:rsid w:val="003E0A68"/>
    <w:rsid w:val="003E1900"/>
    <w:rsid w:val="003F0463"/>
    <w:rsid w:val="003F1A75"/>
    <w:rsid w:val="00401ECA"/>
    <w:rsid w:val="004115E0"/>
    <w:rsid w:val="004150BD"/>
    <w:rsid w:val="00415347"/>
    <w:rsid w:val="00417DDA"/>
    <w:rsid w:val="00422E4D"/>
    <w:rsid w:val="00424CAD"/>
    <w:rsid w:val="00426876"/>
    <w:rsid w:val="00434A7F"/>
    <w:rsid w:val="00434D86"/>
    <w:rsid w:val="00436A2D"/>
    <w:rsid w:val="004444F8"/>
    <w:rsid w:val="0044702C"/>
    <w:rsid w:val="0045546E"/>
    <w:rsid w:val="00460FBB"/>
    <w:rsid w:val="00470CE9"/>
    <w:rsid w:val="00475D66"/>
    <w:rsid w:val="0047683E"/>
    <w:rsid w:val="0048155F"/>
    <w:rsid w:val="00485ADE"/>
    <w:rsid w:val="00486ACC"/>
    <w:rsid w:val="00487CF6"/>
    <w:rsid w:val="00492206"/>
    <w:rsid w:val="00494454"/>
    <w:rsid w:val="004961F8"/>
    <w:rsid w:val="004A417F"/>
    <w:rsid w:val="004B038C"/>
    <w:rsid w:val="004B16AC"/>
    <w:rsid w:val="004B736C"/>
    <w:rsid w:val="004B7B8E"/>
    <w:rsid w:val="004C1424"/>
    <w:rsid w:val="004C5BDE"/>
    <w:rsid w:val="004D1A8B"/>
    <w:rsid w:val="004D3809"/>
    <w:rsid w:val="004D4D1C"/>
    <w:rsid w:val="004E15B0"/>
    <w:rsid w:val="004E43F9"/>
    <w:rsid w:val="004F1789"/>
    <w:rsid w:val="004F55FE"/>
    <w:rsid w:val="00500591"/>
    <w:rsid w:val="00500E80"/>
    <w:rsid w:val="005075FD"/>
    <w:rsid w:val="00511C34"/>
    <w:rsid w:val="005127FF"/>
    <w:rsid w:val="0051636B"/>
    <w:rsid w:val="005166B2"/>
    <w:rsid w:val="005169B1"/>
    <w:rsid w:val="00521FD3"/>
    <w:rsid w:val="0052563F"/>
    <w:rsid w:val="00533889"/>
    <w:rsid w:val="0053452C"/>
    <w:rsid w:val="00535EC5"/>
    <w:rsid w:val="0053634B"/>
    <w:rsid w:val="00544AF9"/>
    <w:rsid w:val="00546DEF"/>
    <w:rsid w:val="0056274D"/>
    <w:rsid w:val="005655CE"/>
    <w:rsid w:val="00565C82"/>
    <w:rsid w:val="005712EB"/>
    <w:rsid w:val="005717DC"/>
    <w:rsid w:val="00577065"/>
    <w:rsid w:val="0058004D"/>
    <w:rsid w:val="00580BC4"/>
    <w:rsid w:val="00590051"/>
    <w:rsid w:val="005A2514"/>
    <w:rsid w:val="005A384C"/>
    <w:rsid w:val="005A4AA9"/>
    <w:rsid w:val="005A5DEA"/>
    <w:rsid w:val="005A6AC7"/>
    <w:rsid w:val="005B146F"/>
    <w:rsid w:val="005B14FD"/>
    <w:rsid w:val="005B33A6"/>
    <w:rsid w:val="005C1A3C"/>
    <w:rsid w:val="005C4893"/>
    <w:rsid w:val="005C5064"/>
    <w:rsid w:val="005C66FF"/>
    <w:rsid w:val="005D0954"/>
    <w:rsid w:val="005D1BCF"/>
    <w:rsid w:val="005D3341"/>
    <w:rsid w:val="005D4B47"/>
    <w:rsid w:val="005D6189"/>
    <w:rsid w:val="005E5574"/>
    <w:rsid w:val="005E6BE4"/>
    <w:rsid w:val="005E78B6"/>
    <w:rsid w:val="005F647A"/>
    <w:rsid w:val="00602261"/>
    <w:rsid w:val="0061120B"/>
    <w:rsid w:val="00612F59"/>
    <w:rsid w:val="006166B8"/>
    <w:rsid w:val="00617DA3"/>
    <w:rsid w:val="00620C3F"/>
    <w:rsid w:val="006258F2"/>
    <w:rsid w:val="00632062"/>
    <w:rsid w:val="00641282"/>
    <w:rsid w:val="00652DF8"/>
    <w:rsid w:val="00660B1E"/>
    <w:rsid w:val="006614CE"/>
    <w:rsid w:val="00661CFD"/>
    <w:rsid w:val="00670DF2"/>
    <w:rsid w:val="00672F22"/>
    <w:rsid w:val="006852AD"/>
    <w:rsid w:val="00687019"/>
    <w:rsid w:val="00687708"/>
    <w:rsid w:val="00692DF9"/>
    <w:rsid w:val="0069309A"/>
    <w:rsid w:val="00693610"/>
    <w:rsid w:val="00696CC6"/>
    <w:rsid w:val="006A2309"/>
    <w:rsid w:val="006A3AE9"/>
    <w:rsid w:val="006A40E5"/>
    <w:rsid w:val="006A4AA0"/>
    <w:rsid w:val="006A5A78"/>
    <w:rsid w:val="006B0CD6"/>
    <w:rsid w:val="006B2624"/>
    <w:rsid w:val="006C2E37"/>
    <w:rsid w:val="006D055E"/>
    <w:rsid w:val="006D134A"/>
    <w:rsid w:val="006D4700"/>
    <w:rsid w:val="006D57F8"/>
    <w:rsid w:val="006D71A1"/>
    <w:rsid w:val="006D7679"/>
    <w:rsid w:val="006E0047"/>
    <w:rsid w:val="006E2C39"/>
    <w:rsid w:val="006E369A"/>
    <w:rsid w:val="006E482A"/>
    <w:rsid w:val="006F0306"/>
    <w:rsid w:val="006F0B03"/>
    <w:rsid w:val="006F302E"/>
    <w:rsid w:val="006F6B6E"/>
    <w:rsid w:val="00714340"/>
    <w:rsid w:val="007157FF"/>
    <w:rsid w:val="00717946"/>
    <w:rsid w:val="007219F7"/>
    <w:rsid w:val="00724F72"/>
    <w:rsid w:val="007333C2"/>
    <w:rsid w:val="00737590"/>
    <w:rsid w:val="00737714"/>
    <w:rsid w:val="00742E4B"/>
    <w:rsid w:val="0074527B"/>
    <w:rsid w:val="007455F0"/>
    <w:rsid w:val="00751F6A"/>
    <w:rsid w:val="007530C3"/>
    <w:rsid w:val="00753E5C"/>
    <w:rsid w:val="007547EB"/>
    <w:rsid w:val="007554ED"/>
    <w:rsid w:val="00755E40"/>
    <w:rsid w:val="00756FF6"/>
    <w:rsid w:val="0076127E"/>
    <w:rsid w:val="0076438B"/>
    <w:rsid w:val="00767DE9"/>
    <w:rsid w:val="00773616"/>
    <w:rsid w:val="00773F2C"/>
    <w:rsid w:val="00777EA4"/>
    <w:rsid w:val="0078116B"/>
    <w:rsid w:val="00782001"/>
    <w:rsid w:val="00784ADF"/>
    <w:rsid w:val="007927F2"/>
    <w:rsid w:val="007A6BC3"/>
    <w:rsid w:val="007B6AF5"/>
    <w:rsid w:val="007B6DAE"/>
    <w:rsid w:val="007B7F17"/>
    <w:rsid w:val="007C1493"/>
    <w:rsid w:val="007D1438"/>
    <w:rsid w:val="007D54E2"/>
    <w:rsid w:val="007E71BC"/>
    <w:rsid w:val="007F1D3D"/>
    <w:rsid w:val="00801542"/>
    <w:rsid w:val="00812637"/>
    <w:rsid w:val="00813227"/>
    <w:rsid w:val="00813516"/>
    <w:rsid w:val="00813E50"/>
    <w:rsid w:val="008158B5"/>
    <w:rsid w:val="00816593"/>
    <w:rsid w:val="008168F8"/>
    <w:rsid w:val="00817EA4"/>
    <w:rsid w:val="00820794"/>
    <w:rsid w:val="00820E27"/>
    <w:rsid w:val="00826209"/>
    <w:rsid w:val="00826886"/>
    <w:rsid w:val="00831497"/>
    <w:rsid w:val="00836E39"/>
    <w:rsid w:val="008415A8"/>
    <w:rsid w:val="00841A42"/>
    <w:rsid w:val="008459E8"/>
    <w:rsid w:val="0084753F"/>
    <w:rsid w:val="00864ADE"/>
    <w:rsid w:val="00867FB0"/>
    <w:rsid w:val="00871A12"/>
    <w:rsid w:val="00874508"/>
    <w:rsid w:val="00876A33"/>
    <w:rsid w:val="00881BBE"/>
    <w:rsid w:val="008829DE"/>
    <w:rsid w:val="00883AAD"/>
    <w:rsid w:val="0088615C"/>
    <w:rsid w:val="00892A09"/>
    <w:rsid w:val="00893131"/>
    <w:rsid w:val="00895809"/>
    <w:rsid w:val="00895AC5"/>
    <w:rsid w:val="008A16EB"/>
    <w:rsid w:val="008A2E39"/>
    <w:rsid w:val="008A6182"/>
    <w:rsid w:val="008B0AA0"/>
    <w:rsid w:val="008B1D94"/>
    <w:rsid w:val="008B4C8D"/>
    <w:rsid w:val="008B5BDD"/>
    <w:rsid w:val="008B643A"/>
    <w:rsid w:val="008C1C4A"/>
    <w:rsid w:val="008C300C"/>
    <w:rsid w:val="008C60B1"/>
    <w:rsid w:val="008C6BD0"/>
    <w:rsid w:val="008D2EBD"/>
    <w:rsid w:val="008D7EC4"/>
    <w:rsid w:val="008E3AF9"/>
    <w:rsid w:val="008F0A81"/>
    <w:rsid w:val="008F3EBA"/>
    <w:rsid w:val="008F4AC5"/>
    <w:rsid w:val="008F5963"/>
    <w:rsid w:val="00901023"/>
    <w:rsid w:val="00921C63"/>
    <w:rsid w:val="00923261"/>
    <w:rsid w:val="009256B7"/>
    <w:rsid w:val="00926CB2"/>
    <w:rsid w:val="00932038"/>
    <w:rsid w:val="00935784"/>
    <w:rsid w:val="00941BC0"/>
    <w:rsid w:val="00952A1D"/>
    <w:rsid w:val="00954C60"/>
    <w:rsid w:val="00970C7A"/>
    <w:rsid w:val="00970FC1"/>
    <w:rsid w:val="009721DB"/>
    <w:rsid w:val="00972BFA"/>
    <w:rsid w:val="00973488"/>
    <w:rsid w:val="00980A46"/>
    <w:rsid w:val="009943AB"/>
    <w:rsid w:val="009965BA"/>
    <w:rsid w:val="009A7661"/>
    <w:rsid w:val="009B6535"/>
    <w:rsid w:val="009C1E4F"/>
    <w:rsid w:val="009C2479"/>
    <w:rsid w:val="009C568D"/>
    <w:rsid w:val="009D06F8"/>
    <w:rsid w:val="009D21C2"/>
    <w:rsid w:val="009D49F9"/>
    <w:rsid w:val="009D73F1"/>
    <w:rsid w:val="009E05A7"/>
    <w:rsid w:val="009E07F1"/>
    <w:rsid w:val="009E2CE4"/>
    <w:rsid w:val="009F2231"/>
    <w:rsid w:val="00A04B62"/>
    <w:rsid w:val="00A05041"/>
    <w:rsid w:val="00A110A3"/>
    <w:rsid w:val="00A13F82"/>
    <w:rsid w:val="00A16664"/>
    <w:rsid w:val="00A22E0D"/>
    <w:rsid w:val="00A244AE"/>
    <w:rsid w:val="00A41ED3"/>
    <w:rsid w:val="00A4258F"/>
    <w:rsid w:val="00A45B58"/>
    <w:rsid w:val="00A47FA2"/>
    <w:rsid w:val="00A51A7E"/>
    <w:rsid w:val="00A554AC"/>
    <w:rsid w:val="00A55F4F"/>
    <w:rsid w:val="00A57110"/>
    <w:rsid w:val="00A61B19"/>
    <w:rsid w:val="00A64F09"/>
    <w:rsid w:val="00A748BA"/>
    <w:rsid w:val="00A83862"/>
    <w:rsid w:val="00A8486C"/>
    <w:rsid w:val="00A909C1"/>
    <w:rsid w:val="00A96702"/>
    <w:rsid w:val="00A97EB2"/>
    <w:rsid w:val="00AA14A9"/>
    <w:rsid w:val="00AA1B77"/>
    <w:rsid w:val="00AA2E9E"/>
    <w:rsid w:val="00AA4C66"/>
    <w:rsid w:val="00AB4245"/>
    <w:rsid w:val="00AB69F8"/>
    <w:rsid w:val="00AB780A"/>
    <w:rsid w:val="00AC4315"/>
    <w:rsid w:val="00AD42DA"/>
    <w:rsid w:val="00AD7A25"/>
    <w:rsid w:val="00AE24D6"/>
    <w:rsid w:val="00AE7137"/>
    <w:rsid w:val="00AF435C"/>
    <w:rsid w:val="00AF61B8"/>
    <w:rsid w:val="00B01E47"/>
    <w:rsid w:val="00B110AD"/>
    <w:rsid w:val="00B151EE"/>
    <w:rsid w:val="00B16904"/>
    <w:rsid w:val="00B22833"/>
    <w:rsid w:val="00B271BA"/>
    <w:rsid w:val="00B31DD6"/>
    <w:rsid w:val="00B34046"/>
    <w:rsid w:val="00B34144"/>
    <w:rsid w:val="00B3429E"/>
    <w:rsid w:val="00B377DE"/>
    <w:rsid w:val="00B40807"/>
    <w:rsid w:val="00B510E9"/>
    <w:rsid w:val="00B620C1"/>
    <w:rsid w:val="00B6271D"/>
    <w:rsid w:val="00B665B2"/>
    <w:rsid w:val="00B707A9"/>
    <w:rsid w:val="00B74237"/>
    <w:rsid w:val="00B75DA9"/>
    <w:rsid w:val="00B82F15"/>
    <w:rsid w:val="00B86798"/>
    <w:rsid w:val="00BA3AB4"/>
    <w:rsid w:val="00BA4622"/>
    <w:rsid w:val="00BB4C9F"/>
    <w:rsid w:val="00BC0794"/>
    <w:rsid w:val="00BC0D5D"/>
    <w:rsid w:val="00BC2FD4"/>
    <w:rsid w:val="00BC324D"/>
    <w:rsid w:val="00BD4662"/>
    <w:rsid w:val="00BE01EB"/>
    <w:rsid w:val="00BE0335"/>
    <w:rsid w:val="00BE2F68"/>
    <w:rsid w:val="00BE38FC"/>
    <w:rsid w:val="00BE5BF3"/>
    <w:rsid w:val="00BF0190"/>
    <w:rsid w:val="00C0082B"/>
    <w:rsid w:val="00C02A3B"/>
    <w:rsid w:val="00C03C7B"/>
    <w:rsid w:val="00C059FE"/>
    <w:rsid w:val="00C118EC"/>
    <w:rsid w:val="00C1379D"/>
    <w:rsid w:val="00C17AAA"/>
    <w:rsid w:val="00C17DDA"/>
    <w:rsid w:val="00C265FF"/>
    <w:rsid w:val="00C31691"/>
    <w:rsid w:val="00C3493B"/>
    <w:rsid w:val="00C37458"/>
    <w:rsid w:val="00C438DD"/>
    <w:rsid w:val="00C43CD1"/>
    <w:rsid w:val="00C45020"/>
    <w:rsid w:val="00C47D16"/>
    <w:rsid w:val="00C5022C"/>
    <w:rsid w:val="00C552FD"/>
    <w:rsid w:val="00C61671"/>
    <w:rsid w:val="00C63573"/>
    <w:rsid w:val="00C72A40"/>
    <w:rsid w:val="00C75729"/>
    <w:rsid w:val="00C87061"/>
    <w:rsid w:val="00C93E4F"/>
    <w:rsid w:val="00C95D8A"/>
    <w:rsid w:val="00CA61C5"/>
    <w:rsid w:val="00CB51AD"/>
    <w:rsid w:val="00CB719A"/>
    <w:rsid w:val="00CC1DF4"/>
    <w:rsid w:val="00CC6FCD"/>
    <w:rsid w:val="00CD0994"/>
    <w:rsid w:val="00CD5D1C"/>
    <w:rsid w:val="00CE2F09"/>
    <w:rsid w:val="00CE2F8C"/>
    <w:rsid w:val="00CE354C"/>
    <w:rsid w:val="00CE6BC4"/>
    <w:rsid w:val="00CF495D"/>
    <w:rsid w:val="00CF5A18"/>
    <w:rsid w:val="00CF75CA"/>
    <w:rsid w:val="00CF7B67"/>
    <w:rsid w:val="00D00FD5"/>
    <w:rsid w:val="00D13592"/>
    <w:rsid w:val="00D14B63"/>
    <w:rsid w:val="00D20427"/>
    <w:rsid w:val="00D30F1A"/>
    <w:rsid w:val="00D37512"/>
    <w:rsid w:val="00D37A71"/>
    <w:rsid w:val="00D37CDA"/>
    <w:rsid w:val="00D52086"/>
    <w:rsid w:val="00D54806"/>
    <w:rsid w:val="00D54F5C"/>
    <w:rsid w:val="00D56156"/>
    <w:rsid w:val="00D60C4A"/>
    <w:rsid w:val="00D646E5"/>
    <w:rsid w:val="00D67336"/>
    <w:rsid w:val="00D74038"/>
    <w:rsid w:val="00D74C6A"/>
    <w:rsid w:val="00D74EE8"/>
    <w:rsid w:val="00D86BDB"/>
    <w:rsid w:val="00D942EB"/>
    <w:rsid w:val="00D96A64"/>
    <w:rsid w:val="00DA2A7B"/>
    <w:rsid w:val="00DA34DD"/>
    <w:rsid w:val="00DA4109"/>
    <w:rsid w:val="00DB00CD"/>
    <w:rsid w:val="00DB17DF"/>
    <w:rsid w:val="00DC240C"/>
    <w:rsid w:val="00DC7E1B"/>
    <w:rsid w:val="00DD1DDC"/>
    <w:rsid w:val="00DD2E6F"/>
    <w:rsid w:val="00DD7BB7"/>
    <w:rsid w:val="00DD7E7A"/>
    <w:rsid w:val="00DE5FCC"/>
    <w:rsid w:val="00DF0AFD"/>
    <w:rsid w:val="00DF1125"/>
    <w:rsid w:val="00DF39E3"/>
    <w:rsid w:val="00E00440"/>
    <w:rsid w:val="00E014CB"/>
    <w:rsid w:val="00E033B7"/>
    <w:rsid w:val="00E057A0"/>
    <w:rsid w:val="00E065DF"/>
    <w:rsid w:val="00E06C2F"/>
    <w:rsid w:val="00E160D9"/>
    <w:rsid w:val="00E1657B"/>
    <w:rsid w:val="00E24399"/>
    <w:rsid w:val="00E24B6D"/>
    <w:rsid w:val="00E24C45"/>
    <w:rsid w:val="00E274C6"/>
    <w:rsid w:val="00E279B0"/>
    <w:rsid w:val="00E3273A"/>
    <w:rsid w:val="00E33870"/>
    <w:rsid w:val="00E34820"/>
    <w:rsid w:val="00E36EEF"/>
    <w:rsid w:val="00E41399"/>
    <w:rsid w:val="00E4678B"/>
    <w:rsid w:val="00E46988"/>
    <w:rsid w:val="00E50B21"/>
    <w:rsid w:val="00E5203C"/>
    <w:rsid w:val="00E57F8C"/>
    <w:rsid w:val="00E60070"/>
    <w:rsid w:val="00E62DDE"/>
    <w:rsid w:val="00E63279"/>
    <w:rsid w:val="00E63CE2"/>
    <w:rsid w:val="00E6486A"/>
    <w:rsid w:val="00E712B7"/>
    <w:rsid w:val="00E74BD5"/>
    <w:rsid w:val="00E7592A"/>
    <w:rsid w:val="00E839DA"/>
    <w:rsid w:val="00E90B4F"/>
    <w:rsid w:val="00E915E3"/>
    <w:rsid w:val="00E92A04"/>
    <w:rsid w:val="00E94DA2"/>
    <w:rsid w:val="00E96D45"/>
    <w:rsid w:val="00E97B4B"/>
    <w:rsid w:val="00EA2854"/>
    <w:rsid w:val="00EA2B98"/>
    <w:rsid w:val="00EA626B"/>
    <w:rsid w:val="00EB4197"/>
    <w:rsid w:val="00EB4756"/>
    <w:rsid w:val="00EC4AFD"/>
    <w:rsid w:val="00EC5C5F"/>
    <w:rsid w:val="00EC67C0"/>
    <w:rsid w:val="00EC6938"/>
    <w:rsid w:val="00ED0067"/>
    <w:rsid w:val="00ED06E4"/>
    <w:rsid w:val="00EE2509"/>
    <w:rsid w:val="00EE3D03"/>
    <w:rsid w:val="00EE3FC9"/>
    <w:rsid w:val="00EE4DB3"/>
    <w:rsid w:val="00EE740D"/>
    <w:rsid w:val="00F02A8E"/>
    <w:rsid w:val="00F12B3A"/>
    <w:rsid w:val="00F13C5A"/>
    <w:rsid w:val="00F14BDB"/>
    <w:rsid w:val="00F22AF2"/>
    <w:rsid w:val="00F244B7"/>
    <w:rsid w:val="00F2677A"/>
    <w:rsid w:val="00F27D29"/>
    <w:rsid w:val="00F27E5E"/>
    <w:rsid w:val="00F335B4"/>
    <w:rsid w:val="00F424C9"/>
    <w:rsid w:val="00F43012"/>
    <w:rsid w:val="00F433F7"/>
    <w:rsid w:val="00F4379F"/>
    <w:rsid w:val="00F501D0"/>
    <w:rsid w:val="00F505D6"/>
    <w:rsid w:val="00F506E7"/>
    <w:rsid w:val="00F53042"/>
    <w:rsid w:val="00F55105"/>
    <w:rsid w:val="00F66B41"/>
    <w:rsid w:val="00F67DD9"/>
    <w:rsid w:val="00F721F8"/>
    <w:rsid w:val="00F74F56"/>
    <w:rsid w:val="00F754B3"/>
    <w:rsid w:val="00F765E8"/>
    <w:rsid w:val="00F82A0E"/>
    <w:rsid w:val="00F84766"/>
    <w:rsid w:val="00F85B11"/>
    <w:rsid w:val="00F91641"/>
    <w:rsid w:val="00F970FB"/>
    <w:rsid w:val="00F97F40"/>
    <w:rsid w:val="00FB05EF"/>
    <w:rsid w:val="00FB39CB"/>
    <w:rsid w:val="00FB79E9"/>
    <w:rsid w:val="00FC2254"/>
    <w:rsid w:val="00FC30DA"/>
    <w:rsid w:val="00FC64EE"/>
    <w:rsid w:val="00FE2305"/>
    <w:rsid w:val="00FF0BB9"/>
    <w:rsid w:val="00FF117C"/>
    <w:rsid w:val="00FF51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3EB0BB87"/>
  <w15:docId w15:val="{F994198B-F1F9-46E6-A2A2-C87ACB62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link w:val="Heading1Char"/>
    <w:uiPriority w:val="9"/>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580BC4"/>
    <w:pPr>
      <w:numPr>
        <w:numId w:val="1"/>
      </w:numPr>
      <w:spacing w:before="100" w:after="100"/>
    </w:pPr>
  </w:style>
  <w:style w:type="paragraph" w:customStyle="1" w:styleId="NumPlain2">
    <w:name w:val="Num Plain2"/>
    <w:basedOn w:val="NumPlain1"/>
    <w:uiPriority w:val="2"/>
    <w:qFormat/>
    <w:rsid w:val="00426876"/>
    <w:pPr>
      <w:numPr>
        <w:ilvl w:val="1"/>
      </w:numPr>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uiPriority w:val="2"/>
    <w:rsid w:val="000812F8"/>
    <w:rPr>
      <w:sz w:val="19"/>
      <w:lang w:eastAsia="en-US"/>
    </w:rPr>
  </w:style>
  <w:style w:type="character" w:styleId="PlaceholderText">
    <w:name w:val="Placeholder Text"/>
    <w:basedOn w:val="DefaultParagraphFont"/>
    <w:uiPriority w:val="99"/>
    <w:semiHidden/>
    <w:rsid w:val="006852AD"/>
    <w:rPr>
      <w:color w:val="808080"/>
    </w:rPr>
  </w:style>
  <w:style w:type="character" w:customStyle="1" w:styleId="FooterChar">
    <w:name w:val="Footer Char"/>
    <w:basedOn w:val="DefaultParagraphFont"/>
    <w:link w:val="Footer"/>
    <w:rsid w:val="003652AD"/>
    <w:rPr>
      <w:sz w:val="19"/>
      <w:lang w:eastAsia="en-US"/>
    </w:rPr>
  </w:style>
  <w:style w:type="paragraph" w:customStyle="1" w:styleId="IASBSectionTitle1NonInd">
    <w:name w:val="IASB Section Title 1 NonInd"/>
    <w:basedOn w:val="Normal"/>
    <w:link w:val="IASBSectionTitle1NonIndChar"/>
    <w:uiPriority w:val="8"/>
    <w:rsid w:val="003652AD"/>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3652AD"/>
    <w:rPr>
      <w:rFonts w:ascii="Arial" w:hAnsi="Arial" w:cs="Arial"/>
      <w:b/>
      <w:sz w:val="26"/>
      <w:lang w:eastAsia="en-US"/>
    </w:rPr>
  </w:style>
  <w:style w:type="character" w:customStyle="1" w:styleId="Heading1Char">
    <w:name w:val="Heading 1 Char"/>
    <w:basedOn w:val="DefaultParagraphFont"/>
    <w:link w:val="Heading1"/>
    <w:uiPriority w:val="9"/>
    <w:rsid w:val="003652AD"/>
    <w:rPr>
      <w:rFonts w:ascii="Arial" w:hAnsi="Arial" w:cs="Arial"/>
      <w:b/>
      <w:bCs/>
      <w:sz w:val="26"/>
      <w:szCs w:val="32"/>
      <w:lang w:eastAsia="en-US"/>
    </w:rPr>
  </w:style>
  <w:style w:type="character" w:customStyle="1" w:styleId="HeaderChar">
    <w:name w:val="Header Char"/>
    <w:link w:val="Header"/>
    <w:uiPriority w:val="99"/>
    <w:rsid w:val="003652AD"/>
    <w:rPr>
      <w:sz w:val="19"/>
      <w:lang w:eastAsia="en-US"/>
    </w:rPr>
  </w:style>
  <w:style w:type="character" w:customStyle="1" w:styleId="Heading2Char">
    <w:name w:val="Heading 2 Char"/>
    <w:basedOn w:val="DefaultParagraphFont"/>
    <w:link w:val="Heading2"/>
    <w:rsid w:val="003652AD"/>
    <w:rPr>
      <w:rFonts w:ascii="Arial" w:hAnsi="Arial" w:cs="Arial"/>
      <w:b/>
      <w:iCs/>
      <w:sz w:val="26"/>
      <w:szCs w:val="28"/>
      <w:lang w:eastAsia="en-US"/>
    </w:rPr>
  </w:style>
  <w:style w:type="paragraph" w:customStyle="1" w:styleId="ConvSectionTitle">
    <w:name w:val="Conv Section Title"/>
    <w:basedOn w:val="IASBSectionTitle1NonInd"/>
    <w:uiPriority w:val="9"/>
    <w:qFormat/>
    <w:rsid w:val="003652AD"/>
    <w:pPr>
      <w:pBdr>
        <w:bottom w:val="none" w:sz="0" w:space="0" w:color="auto"/>
      </w:pBdr>
    </w:pPr>
  </w:style>
  <w:style w:type="paragraph" w:customStyle="1" w:styleId="Default">
    <w:name w:val="Default"/>
    <w:rsid w:val="003652AD"/>
    <w:pPr>
      <w:autoSpaceDE w:val="0"/>
      <w:autoSpaceDN w:val="0"/>
      <w:adjustRightInd w:val="0"/>
    </w:pPr>
    <w:rPr>
      <w:color w:val="000000"/>
      <w:sz w:val="24"/>
      <w:szCs w:val="24"/>
    </w:rPr>
  </w:style>
  <w:style w:type="paragraph" w:customStyle="1" w:styleId="IASBNormalnparaL1">
    <w:name w:val="IASB Normal nparaL1"/>
    <w:basedOn w:val="Normal"/>
    <w:rsid w:val="003652AD"/>
    <w:pPr>
      <w:spacing w:before="100"/>
      <w:ind w:left="1564" w:hanging="782"/>
    </w:pPr>
    <w:rPr>
      <w:lang w:val="en-US"/>
    </w:rPr>
  </w:style>
  <w:style w:type="character" w:styleId="CommentReference">
    <w:name w:val="annotation reference"/>
    <w:basedOn w:val="DefaultParagraphFont"/>
    <w:semiHidden/>
    <w:unhideWhenUsed/>
    <w:rsid w:val="00EE4DB3"/>
    <w:rPr>
      <w:sz w:val="16"/>
      <w:szCs w:val="16"/>
    </w:rPr>
  </w:style>
  <w:style w:type="paragraph" w:styleId="CommentText">
    <w:name w:val="annotation text"/>
    <w:basedOn w:val="Normal"/>
    <w:link w:val="CommentTextChar"/>
    <w:semiHidden/>
    <w:unhideWhenUsed/>
    <w:rsid w:val="00EE4DB3"/>
    <w:rPr>
      <w:sz w:val="20"/>
    </w:rPr>
  </w:style>
  <w:style w:type="character" w:customStyle="1" w:styleId="CommentTextChar">
    <w:name w:val="Comment Text Char"/>
    <w:basedOn w:val="DefaultParagraphFont"/>
    <w:link w:val="CommentText"/>
    <w:semiHidden/>
    <w:rsid w:val="00EE4DB3"/>
    <w:rPr>
      <w:lang w:eastAsia="en-US"/>
    </w:rPr>
  </w:style>
  <w:style w:type="paragraph" w:styleId="CommentSubject">
    <w:name w:val="annotation subject"/>
    <w:basedOn w:val="CommentText"/>
    <w:next w:val="CommentText"/>
    <w:link w:val="CommentSubjectChar"/>
    <w:semiHidden/>
    <w:unhideWhenUsed/>
    <w:rsid w:val="00EE4DB3"/>
    <w:rPr>
      <w:b/>
      <w:bCs/>
    </w:rPr>
  </w:style>
  <w:style w:type="character" w:customStyle="1" w:styleId="CommentSubjectChar">
    <w:name w:val="Comment Subject Char"/>
    <w:basedOn w:val="CommentTextChar"/>
    <w:link w:val="CommentSubject"/>
    <w:semiHidden/>
    <w:rsid w:val="00EE4DB3"/>
    <w:rPr>
      <w:b/>
      <w:bCs/>
      <w:lang w:eastAsia="en-US"/>
    </w:rPr>
  </w:style>
  <w:style w:type="paragraph" w:styleId="BalloonText">
    <w:name w:val="Balloon Text"/>
    <w:basedOn w:val="Normal"/>
    <w:link w:val="BalloonTextChar"/>
    <w:semiHidden/>
    <w:unhideWhenUsed/>
    <w:rsid w:val="00EE4DB3"/>
    <w:rPr>
      <w:rFonts w:ascii="Segoe UI" w:hAnsi="Segoe UI" w:cs="Segoe UI"/>
      <w:sz w:val="18"/>
      <w:szCs w:val="18"/>
    </w:rPr>
  </w:style>
  <w:style w:type="character" w:customStyle="1" w:styleId="BalloonTextChar">
    <w:name w:val="Balloon Text Char"/>
    <w:basedOn w:val="DefaultParagraphFont"/>
    <w:link w:val="BalloonText"/>
    <w:semiHidden/>
    <w:rsid w:val="00EE4DB3"/>
    <w:rPr>
      <w:rFonts w:ascii="Segoe UI" w:hAnsi="Segoe UI" w:cs="Segoe UI"/>
      <w:sz w:val="18"/>
      <w:szCs w:val="18"/>
      <w:lang w:eastAsia="en-US"/>
    </w:rPr>
  </w:style>
  <w:style w:type="paragraph" w:styleId="Revision">
    <w:name w:val="Revision"/>
    <w:hidden/>
    <w:uiPriority w:val="99"/>
    <w:semiHidden/>
    <w:rsid w:val="001D4D79"/>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rney\AUSTRALIAN%20ACCOUNTING%20STANDARDS%20-%20AUDITING%20AND%20ASSURANCE%20STANDARDS%20BOARD\OfficeTemplates%20-%20Documents\Templates\AmendingDomest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C760E49-5645-44EC-8987-9C855B947A28}"/>
      </w:docPartPr>
      <w:docPartBody>
        <w:p w:rsidR="007930FF" w:rsidRDefault="000208DF">
          <w:r w:rsidRPr="002679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DF"/>
    <w:rsid w:val="000208DF"/>
    <w:rsid w:val="003B269E"/>
    <w:rsid w:val="004F4EBB"/>
    <w:rsid w:val="005F1AFE"/>
    <w:rsid w:val="00694E4C"/>
    <w:rsid w:val="006E643B"/>
    <w:rsid w:val="007930FF"/>
    <w:rsid w:val="00883D93"/>
    <w:rsid w:val="00B3090A"/>
    <w:rsid w:val="00D724A9"/>
    <w:rsid w:val="00F86C61"/>
    <w:rsid w:val="00FE2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8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2" ma:contentTypeDescription="Create a new document." ma:contentTypeScope="" ma:versionID="3e4d94533e1245df224070f0190d9307">
  <xsd:schema xmlns:xsd="http://www.w3.org/2001/XMLSchema" xmlns:xs="http://www.w3.org/2001/XMLSchema" xmlns:p="http://schemas.microsoft.com/office/2006/metadata/properties" xmlns:ns3="2fffc6f8-0ce6-4feb-a150-9d1574269ef9" xmlns:ns4="dacb3ef7-33a4-4aaf-8e2c-a382b35b1891" targetNamespace="http://schemas.microsoft.com/office/2006/metadata/properties" ma:root="true" ma:fieldsID="4754d291937c6c670f995608dc233df5" ns3:_="" ns4:_="">
    <xsd:import namespace="2fffc6f8-0ce6-4feb-a150-9d1574269ef9"/>
    <xsd:import namespace="dacb3ef7-33a4-4aaf-8e2c-a382b35b18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0FD0-EDDE-4FB8-A1EC-1B9468972B9B}">
  <ds:schemaRefs>
    <ds:schemaRef ds:uri="http://schemas.microsoft.com/sharepoint/v3/contenttype/forms"/>
  </ds:schemaRefs>
</ds:datastoreItem>
</file>

<file path=customXml/itemProps2.xml><?xml version="1.0" encoding="utf-8"?>
<ds:datastoreItem xmlns:ds="http://schemas.openxmlformats.org/officeDocument/2006/customXml" ds:itemID="{AC99595A-9EEF-4AB1-9A41-C5D662CF7D33}">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dacb3ef7-33a4-4aaf-8e2c-a382b35b1891"/>
    <ds:schemaRef ds:uri="http://purl.org/dc/dcmitype/"/>
    <ds:schemaRef ds:uri="2fffc6f8-0ce6-4feb-a150-9d1574269ef9"/>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D55285C8-E172-42FF-819C-B23CF6CF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fc6f8-0ce6-4feb-a150-9d1574269ef9"/>
    <ds:schemaRef ds:uri="dacb3ef7-33a4-4aaf-8e2c-a382b35b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58C27-56F8-4E6C-8268-5CB33681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AmendingDomestic</Template>
  <TotalTime>37</TotalTime>
  <Pages>9</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AASB2021-1_03-21</dc:title>
  <dc:subject/>
  <dc:creator>.</dc:creator>
  <cp:keywords/>
  <cp:lastModifiedBy>Kimberley Carney</cp:lastModifiedBy>
  <cp:revision>20</cp:revision>
  <cp:lastPrinted>2021-03-16T05:03:00Z</cp:lastPrinted>
  <dcterms:created xsi:type="dcterms:W3CDTF">2021-04-11T21:18:00Z</dcterms:created>
  <dcterms:modified xsi:type="dcterms:W3CDTF">2021-04-14T11:13:00Z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