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888BB" w14:textId="3CFEB591" w:rsidR="001A0EEA" w:rsidRPr="00313006" w:rsidRDefault="001A0EEA">
      <w:pPr>
        <w:pStyle w:val="Title"/>
        <w:spacing w:before="0"/>
      </w:pPr>
      <w:r w:rsidRPr="00313006">
        <w:t>EXPLANATORY STATEMENT</w:t>
      </w:r>
    </w:p>
    <w:p w14:paraId="14585929" w14:textId="77777777" w:rsidR="001A0EEA" w:rsidRPr="00313006" w:rsidRDefault="001A0EEA">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before="240"/>
        <w:ind w:left="57"/>
        <w:jc w:val="center"/>
        <w:rPr>
          <w:b/>
          <w:lang w:val="en-AU"/>
        </w:rPr>
      </w:pPr>
      <w:r w:rsidRPr="00313006">
        <w:rPr>
          <w:b/>
          <w:i/>
          <w:lang w:val="en-AU"/>
        </w:rPr>
        <w:t>HEALTH INSURANCE ACT 1973</w:t>
      </w:r>
    </w:p>
    <w:p w14:paraId="1C61237B" w14:textId="6F407E4B" w:rsidR="001A0EEA" w:rsidRPr="00313006" w:rsidRDefault="000E2FF7" w:rsidP="006C5B5D">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before="240"/>
        <w:ind w:left="57"/>
        <w:jc w:val="center"/>
        <w:rPr>
          <w:b/>
          <w:i/>
          <w:lang w:val="en-AU"/>
        </w:rPr>
      </w:pPr>
      <w:r w:rsidRPr="00313006">
        <w:rPr>
          <w:b/>
          <w:i/>
          <w:lang w:val="en-AU"/>
        </w:rPr>
        <w:t>Health Insurance (</w:t>
      </w:r>
      <w:r w:rsidR="006F2670" w:rsidRPr="00313006">
        <w:rPr>
          <w:b/>
          <w:i/>
          <w:lang w:val="en-AU"/>
        </w:rPr>
        <w:t xml:space="preserve">Quality Assurance Activity </w:t>
      </w:r>
      <w:r w:rsidR="006F2670" w:rsidRPr="00313006">
        <w:rPr>
          <w:b/>
          <w:i/>
          <w:iCs/>
          <w:lang w:val="en-AU"/>
        </w:rPr>
        <w:t xml:space="preserve">– Top End Health Service Peer Review Clinical Audits </w:t>
      </w:r>
      <w:r w:rsidR="00796607" w:rsidRPr="00313006">
        <w:rPr>
          <w:b/>
          <w:i/>
          <w:iCs/>
          <w:lang w:val="en-AU"/>
        </w:rPr>
        <w:t>of Surgical Mortalities and Morbidities</w:t>
      </w:r>
      <w:r w:rsidR="008B6BE8" w:rsidRPr="00313006">
        <w:rPr>
          <w:b/>
          <w:i/>
          <w:iCs/>
          <w:lang w:val="en-AU"/>
        </w:rPr>
        <w:t>)</w:t>
      </w:r>
      <w:r w:rsidR="00F152FF" w:rsidRPr="00313006">
        <w:rPr>
          <w:b/>
          <w:i/>
          <w:lang w:val="en-AU"/>
        </w:rPr>
        <w:t xml:space="preserve"> Declaration 2021</w:t>
      </w:r>
    </w:p>
    <w:p w14:paraId="383A60E9" w14:textId="7943BD65" w:rsidR="00D72829" w:rsidRPr="00313006" w:rsidRDefault="00D72829" w:rsidP="00BB3F2C">
      <w:pPr>
        <w:tabs>
          <w:tab w:val="left" w:pos="6521"/>
        </w:tabs>
        <w:spacing w:before="240" w:after="120"/>
        <w:ind w:right="-164"/>
        <w:rPr>
          <w:b/>
          <w:bCs/>
        </w:rPr>
      </w:pPr>
      <w:r w:rsidRPr="00313006">
        <w:rPr>
          <w:b/>
          <w:bCs/>
        </w:rPr>
        <w:t>Authority</w:t>
      </w:r>
    </w:p>
    <w:p w14:paraId="76AB0F0A" w14:textId="3F645A1E" w:rsidR="00D72829" w:rsidRPr="00313006" w:rsidRDefault="00D72829" w:rsidP="00BB3F2C">
      <w:pPr>
        <w:tabs>
          <w:tab w:val="left" w:pos="6521"/>
        </w:tabs>
        <w:spacing w:before="240" w:after="120"/>
        <w:ind w:right="-164"/>
      </w:pPr>
      <w:r w:rsidRPr="00313006">
        <w:t xml:space="preserve">The </w:t>
      </w:r>
      <w:r w:rsidRPr="00313006">
        <w:rPr>
          <w:i/>
        </w:rPr>
        <w:t>Health Insurance (</w:t>
      </w:r>
      <w:r w:rsidR="006F2670" w:rsidRPr="00313006">
        <w:rPr>
          <w:i/>
          <w:lang w:val="en-AU"/>
        </w:rPr>
        <w:t xml:space="preserve">Quality Assurance Activity </w:t>
      </w:r>
      <w:r w:rsidR="006F2670" w:rsidRPr="00313006">
        <w:rPr>
          <w:i/>
          <w:iCs/>
          <w:lang w:val="en-AU"/>
        </w:rPr>
        <w:t xml:space="preserve">– Top End Health Service Peer Review Clinical Audits </w:t>
      </w:r>
      <w:r w:rsidR="00796607" w:rsidRPr="00313006">
        <w:rPr>
          <w:i/>
        </w:rPr>
        <w:t>of Surgical Mortalities and Morbidities</w:t>
      </w:r>
      <w:r w:rsidRPr="00313006">
        <w:rPr>
          <w:i/>
        </w:rPr>
        <w:t>) Declaration 202</w:t>
      </w:r>
      <w:r w:rsidR="00F152FF" w:rsidRPr="00313006">
        <w:rPr>
          <w:i/>
        </w:rPr>
        <w:t>1</w:t>
      </w:r>
      <w:r w:rsidRPr="00313006">
        <w:t xml:space="preserve"> is a declaration made under subsection 124X(1) of the </w:t>
      </w:r>
      <w:r w:rsidRPr="00313006">
        <w:rPr>
          <w:i/>
        </w:rPr>
        <w:t>Health Insurance Act 1973</w:t>
      </w:r>
      <w:r w:rsidRPr="00313006">
        <w:t xml:space="preserve"> (the Act). </w:t>
      </w:r>
    </w:p>
    <w:p w14:paraId="697EF2B5" w14:textId="1543C040" w:rsidR="00D72829" w:rsidRPr="00313006" w:rsidRDefault="00967479" w:rsidP="00BB3F2C">
      <w:pPr>
        <w:tabs>
          <w:tab w:val="left" w:pos="6521"/>
        </w:tabs>
        <w:spacing w:before="240" w:after="120"/>
        <w:ind w:right="-164"/>
        <w:rPr>
          <w:b/>
        </w:rPr>
      </w:pPr>
      <w:r w:rsidRPr="00313006">
        <w:rPr>
          <w:b/>
        </w:rPr>
        <w:t>Purpose of the Instrument</w:t>
      </w:r>
    </w:p>
    <w:p w14:paraId="559AF841" w14:textId="2F9B8FED" w:rsidR="000A7BC2" w:rsidRPr="00313006" w:rsidRDefault="001A0EEA" w:rsidP="00BB3F2C">
      <w:pPr>
        <w:tabs>
          <w:tab w:val="left" w:pos="6521"/>
        </w:tabs>
        <w:spacing w:before="240" w:after="120"/>
        <w:ind w:right="-164"/>
      </w:pPr>
      <w:r w:rsidRPr="00313006">
        <w:t>Part VC of the Act creates a scheme to encourage efficient qualit</w:t>
      </w:r>
      <w:r w:rsidR="00FA54AF" w:rsidRPr="00313006">
        <w:t>y assurance activities</w:t>
      </w:r>
      <w:r w:rsidR="00894FBC" w:rsidRPr="00313006">
        <w:t xml:space="preserve"> in connection with the provision of health services</w:t>
      </w:r>
      <w:r w:rsidR="004F143B" w:rsidRPr="00313006">
        <w:t xml:space="preserve">. </w:t>
      </w:r>
      <w:r w:rsidR="00FA54AF" w:rsidRPr="00313006">
        <w:t>Those a</w:t>
      </w:r>
      <w:r w:rsidRPr="00313006">
        <w:t>ctivities help to ensure the quality of health s</w:t>
      </w:r>
      <w:r w:rsidR="000708D9" w:rsidRPr="00313006">
        <w:t>ervices that are funded by the G</w:t>
      </w:r>
      <w:r w:rsidR="00D82F34" w:rsidRPr="00313006">
        <w:t xml:space="preserve">overnment, </w:t>
      </w:r>
      <w:r w:rsidR="006C5B5D" w:rsidRPr="00313006">
        <w:t xml:space="preserve">including </w:t>
      </w:r>
      <w:r w:rsidRPr="00313006">
        <w:t xml:space="preserve">through </w:t>
      </w:r>
      <w:r w:rsidR="00544652" w:rsidRPr="00313006">
        <w:t xml:space="preserve">the </w:t>
      </w:r>
      <w:r w:rsidR="00143010" w:rsidRPr="00313006">
        <w:t>public hospital services</w:t>
      </w:r>
      <w:r w:rsidR="004F143B" w:rsidRPr="00313006">
        <w:t xml:space="preserve">. </w:t>
      </w:r>
      <w:r w:rsidRPr="00313006">
        <w:t xml:space="preserve">The scheme encourages participation in such activities by protecting certain information from disclosure, and also by </w:t>
      </w:r>
      <w:r w:rsidR="00C64681" w:rsidRPr="00313006">
        <w:t>providing some protection from civil liability to certain persons engaged in those activities in good faith, in respect of those activities</w:t>
      </w:r>
      <w:r w:rsidR="004F143B" w:rsidRPr="00313006">
        <w:t xml:space="preserve">. </w:t>
      </w:r>
    </w:p>
    <w:p w14:paraId="3532B5E6" w14:textId="55EB04DD" w:rsidR="00186763" w:rsidRPr="00313006" w:rsidRDefault="002522DE" w:rsidP="00C77BEE">
      <w:pPr>
        <w:tabs>
          <w:tab w:val="left" w:pos="6521"/>
        </w:tabs>
        <w:spacing w:before="200" w:after="120"/>
        <w:ind w:right="-164"/>
      </w:pPr>
      <w:r w:rsidRPr="00313006">
        <w:t>S</w:t>
      </w:r>
      <w:r w:rsidR="00D049AB" w:rsidRPr="00313006">
        <w:t>ubs</w:t>
      </w:r>
      <w:r w:rsidR="00C64681" w:rsidRPr="00313006">
        <w:t>ection 124X</w:t>
      </w:r>
      <w:r w:rsidR="00D049AB" w:rsidRPr="00313006">
        <w:t>(1)</w:t>
      </w:r>
      <w:r w:rsidR="00C64681" w:rsidRPr="00313006">
        <w:t xml:space="preserve"> of the </w:t>
      </w:r>
      <w:r w:rsidR="00DC5F1A" w:rsidRPr="00313006">
        <w:t xml:space="preserve">Act </w:t>
      </w:r>
      <w:r w:rsidR="00BD7B19" w:rsidRPr="00313006">
        <w:t>provides that the Minister may, b</w:t>
      </w:r>
      <w:r w:rsidR="00A43D12" w:rsidRPr="00313006">
        <w:rPr>
          <w:rFonts w:hint="eastAsia"/>
          <w:lang w:eastAsia="ja-JP"/>
        </w:rPr>
        <w:t>y</w:t>
      </w:r>
      <w:r w:rsidR="00BD7B19" w:rsidRPr="00313006">
        <w:t xml:space="preserve"> legislative instrument, declare a quality assurance activity described in the declaration to be </w:t>
      </w:r>
      <w:r w:rsidR="00C64681" w:rsidRPr="00313006">
        <w:t>a quality assurance acti</w:t>
      </w:r>
      <w:r w:rsidR="004F143B" w:rsidRPr="00313006">
        <w:t xml:space="preserve">vity to which Part VC applies. </w:t>
      </w:r>
    </w:p>
    <w:p w14:paraId="7578FBB0" w14:textId="518E8E84" w:rsidR="00D04F03" w:rsidRPr="00313006" w:rsidRDefault="006C5B5D" w:rsidP="00C77BEE">
      <w:pPr>
        <w:tabs>
          <w:tab w:val="left" w:pos="6521"/>
        </w:tabs>
        <w:spacing w:before="200" w:after="120"/>
        <w:ind w:right="-164"/>
        <w:rPr>
          <w:lang w:val="en-AU"/>
        </w:rPr>
      </w:pPr>
      <w:r w:rsidRPr="00313006">
        <w:t>The</w:t>
      </w:r>
      <w:r w:rsidR="006869EF" w:rsidRPr="00313006">
        <w:t xml:space="preserve"> purpose of the</w:t>
      </w:r>
      <w:r w:rsidRPr="00313006">
        <w:t xml:space="preserve"> </w:t>
      </w:r>
      <w:r w:rsidR="000E2FF7" w:rsidRPr="00313006">
        <w:rPr>
          <w:i/>
          <w:lang w:val="en-AU"/>
        </w:rPr>
        <w:t xml:space="preserve">Health Insurance (Quality Assurance Activity </w:t>
      </w:r>
      <w:r w:rsidR="000E2FF7" w:rsidRPr="00313006">
        <w:rPr>
          <w:i/>
          <w:iCs/>
          <w:lang w:val="en-AU"/>
        </w:rPr>
        <w:t xml:space="preserve">– </w:t>
      </w:r>
      <w:r w:rsidR="00796607" w:rsidRPr="00313006">
        <w:rPr>
          <w:i/>
          <w:iCs/>
          <w:lang w:val="en-AU"/>
        </w:rPr>
        <w:t xml:space="preserve">Top End Health Service </w:t>
      </w:r>
      <w:r w:rsidR="006F2670" w:rsidRPr="00313006">
        <w:rPr>
          <w:i/>
          <w:iCs/>
          <w:lang w:val="en-AU"/>
        </w:rPr>
        <w:t xml:space="preserve">Peer Review </w:t>
      </w:r>
      <w:r w:rsidR="00796607" w:rsidRPr="00313006">
        <w:rPr>
          <w:i/>
          <w:iCs/>
          <w:lang w:val="en-AU"/>
        </w:rPr>
        <w:t>Clinical Audits of Surgical Mortalities and Morbidities</w:t>
      </w:r>
      <w:r w:rsidR="000E2FF7" w:rsidRPr="00313006">
        <w:rPr>
          <w:i/>
          <w:lang w:val="en-AU"/>
        </w:rPr>
        <w:t>) Declaration 202</w:t>
      </w:r>
      <w:r w:rsidR="00F152FF" w:rsidRPr="00313006">
        <w:rPr>
          <w:i/>
          <w:lang w:val="en-AU"/>
        </w:rPr>
        <w:t>1</w:t>
      </w:r>
      <w:r w:rsidR="00FA3A88" w:rsidRPr="00313006">
        <w:t xml:space="preserve"> </w:t>
      </w:r>
      <w:r w:rsidRPr="00313006">
        <w:t>(the</w:t>
      </w:r>
      <w:r w:rsidR="00A43D12" w:rsidRPr="00313006">
        <w:rPr>
          <w:lang w:eastAsia="ja-JP"/>
        </w:rPr>
        <w:t> </w:t>
      </w:r>
      <w:r w:rsidR="00C64681" w:rsidRPr="00313006">
        <w:t>Declaration</w:t>
      </w:r>
      <w:r w:rsidRPr="00313006">
        <w:t>)</w:t>
      </w:r>
      <w:r w:rsidR="00C64681" w:rsidRPr="00313006">
        <w:t xml:space="preserve"> </w:t>
      </w:r>
      <w:r w:rsidR="00F43A20" w:rsidRPr="00313006">
        <w:t>is to</w:t>
      </w:r>
      <w:r w:rsidR="006869EF" w:rsidRPr="00313006">
        <w:t xml:space="preserve"> declare</w:t>
      </w:r>
      <w:r w:rsidR="0060629E" w:rsidRPr="00313006">
        <w:t xml:space="preserve"> the</w:t>
      </w:r>
      <w:r w:rsidR="00CC5FCE" w:rsidRPr="00313006">
        <w:rPr>
          <w:lang w:val="en-AU"/>
        </w:rPr>
        <w:t xml:space="preserve"> </w:t>
      </w:r>
      <w:r w:rsidR="008B1E6D" w:rsidRPr="00313006">
        <w:rPr>
          <w:lang w:val="en-AU"/>
        </w:rPr>
        <w:t xml:space="preserve">Top End Health Service (TEHS) </w:t>
      </w:r>
      <w:r w:rsidR="008B1E6D" w:rsidRPr="00313006">
        <w:rPr>
          <w:iCs/>
          <w:lang w:val="en-AU"/>
        </w:rPr>
        <w:t xml:space="preserve">Peer Review Clinical Audits </w:t>
      </w:r>
      <w:r w:rsidR="008B1E6D" w:rsidRPr="00313006">
        <w:t>of Surgical Mortalities and Morbidities</w:t>
      </w:r>
      <w:r w:rsidR="008B1E6D" w:rsidRPr="00313006">
        <w:rPr>
          <w:lang w:val="en-AU"/>
        </w:rPr>
        <w:t xml:space="preserve"> Activity (the Activity)</w:t>
      </w:r>
      <w:r w:rsidR="00D04F03" w:rsidRPr="00313006">
        <w:rPr>
          <w:lang w:val="en-AU"/>
        </w:rPr>
        <w:t xml:space="preserve"> </w:t>
      </w:r>
      <w:r w:rsidR="0060629E" w:rsidRPr="00313006">
        <w:rPr>
          <w:lang w:val="en-AU"/>
        </w:rPr>
        <w:t>to be a quality a</w:t>
      </w:r>
      <w:r w:rsidR="00B60C72" w:rsidRPr="00313006">
        <w:rPr>
          <w:lang w:val="en-AU"/>
        </w:rPr>
        <w:t>ssurance activity to which Part </w:t>
      </w:r>
      <w:r w:rsidR="0060629E" w:rsidRPr="00313006">
        <w:rPr>
          <w:lang w:val="en-AU"/>
        </w:rPr>
        <w:t>VC of the Act applies</w:t>
      </w:r>
      <w:r w:rsidR="00894FBC" w:rsidRPr="00313006">
        <w:rPr>
          <w:lang w:val="en-AU"/>
        </w:rPr>
        <w:t>.</w:t>
      </w:r>
      <w:r w:rsidR="00BD7B19" w:rsidRPr="00313006">
        <w:rPr>
          <w:lang w:val="en-AU"/>
        </w:rPr>
        <w:t xml:space="preserve"> </w:t>
      </w:r>
    </w:p>
    <w:p w14:paraId="7A39E8E3" w14:textId="481F66A7" w:rsidR="00C11BFC" w:rsidRPr="00313006" w:rsidRDefault="00C11BFC" w:rsidP="00C77BEE">
      <w:pPr>
        <w:tabs>
          <w:tab w:val="left" w:pos="6521"/>
        </w:tabs>
        <w:spacing w:before="200" w:after="120"/>
        <w:ind w:right="-164"/>
        <w:rPr>
          <w:lang w:val="en-AU"/>
        </w:rPr>
      </w:pPr>
      <w:r w:rsidRPr="00313006">
        <w:rPr>
          <w:lang w:val="en-AU"/>
        </w:rPr>
        <w:t xml:space="preserve">The Declaration is a legislative instrument for the purposes of the </w:t>
      </w:r>
      <w:r w:rsidRPr="00313006">
        <w:rPr>
          <w:i/>
          <w:lang w:val="en-AU"/>
        </w:rPr>
        <w:t>Legislation Act 2003</w:t>
      </w:r>
      <w:r w:rsidRPr="00313006">
        <w:rPr>
          <w:lang w:val="en-AU"/>
        </w:rPr>
        <w:t xml:space="preserve">. The Declaration commences on the day after registration on the Federal Register of Legislation. </w:t>
      </w:r>
    </w:p>
    <w:p w14:paraId="57E85B39" w14:textId="26E61A88" w:rsidR="00EF5C60" w:rsidRPr="00313006" w:rsidRDefault="00BD7B19" w:rsidP="00C77BEE">
      <w:pPr>
        <w:tabs>
          <w:tab w:val="left" w:pos="6521"/>
        </w:tabs>
        <w:spacing w:before="200" w:after="120"/>
        <w:ind w:right="-164"/>
        <w:rPr>
          <w:szCs w:val="24"/>
          <w:lang w:val="en-AU"/>
        </w:rPr>
      </w:pPr>
      <w:r w:rsidRPr="00313006">
        <w:rPr>
          <w:lang w:val="en-AU"/>
        </w:rPr>
        <w:t xml:space="preserve">The </w:t>
      </w:r>
      <w:r w:rsidR="00D111CA" w:rsidRPr="00313006">
        <w:rPr>
          <w:lang w:val="en-AU"/>
        </w:rPr>
        <w:t>A</w:t>
      </w:r>
      <w:r w:rsidRPr="00313006">
        <w:rPr>
          <w:lang w:val="en-AU"/>
        </w:rPr>
        <w:t xml:space="preserve">ctivity </w:t>
      </w:r>
      <w:r w:rsidR="005902CA" w:rsidRPr="00313006">
        <w:rPr>
          <w:lang w:val="en-AU"/>
        </w:rPr>
        <w:t>is undertaken</w:t>
      </w:r>
      <w:r w:rsidR="00894755" w:rsidRPr="00313006">
        <w:rPr>
          <w:lang w:val="en-AU"/>
        </w:rPr>
        <w:t xml:space="preserve"> by</w:t>
      </w:r>
      <w:r w:rsidR="000E2FF7" w:rsidRPr="00313006">
        <w:rPr>
          <w:lang w:val="en-AU"/>
        </w:rPr>
        <w:t xml:space="preserve"> </w:t>
      </w:r>
      <w:r w:rsidR="007E520F" w:rsidRPr="00313006">
        <w:rPr>
          <w:lang w:val="en-AU"/>
        </w:rPr>
        <w:t xml:space="preserve">the </w:t>
      </w:r>
      <w:r w:rsidR="008B1E6D" w:rsidRPr="00313006">
        <w:rPr>
          <w:szCs w:val="24"/>
          <w:lang w:val="en-AU"/>
        </w:rPr>
        <w:t>TEHS.</w:t>
      </w:r>
      <w:r w:rsidR="00D04F03" w:rsidRPr="00313006">
        <w:rPr>
          <w:bCs/>
          <w:szCs w:val="24"/>
        </w:rPr>
        <w:t xml:space="preserve"> </w:t>
      </w:r>
      <w:r w:rsidR="004F143B" w:rsidRPr="00313006">
        <w:rPr>
          <w:bCs/>
          <w:szCs w:val="24"/>
        </w:rPr>
        <w:t xml:space="preserve">The </w:t>
      </w:r>
      <w:r w:rsidR="004F143B" w:rsidRPr="00313006">
        <w:t xml:space="preserve">quality assurance activity </w:t>
      </w:r>
      <w:r w:rsidR="004F143B" w:rsidRPr="00313006">
        <w:rPr>
          <w:szCs w:val="24"/>
        </w:rPr>
        <w:t xml:space="preserve">described in this declaration applies </w:t>
      </w:r>
      <w:r w:rsidR="00CC699C" w:rsidRPr="00313006">
        <w:rPr>
          <w:bCs/>
          <w:szCs w:val="24"/>
        </w:rPr>
        <w:t xml:space="preserve">only </w:t>
      </w:r>
      <w:r w:rsidR="004F143B" w:rsidRPr="00313006">
        <w:rPr>
          <w:szCs w:val="24"/>
        </w:rPr>
        <w:t>to health services provided in Australia</w:t>
      </w:r>
      <w:r w:rsidR="004C0DD2" w:rsidRPr="00313006">
        <w:rPr>
          <w:szCs w:val="24"/>
          <w:lang w:val="en-AU"/>
        </w:rPr>
        <w:t xml:space="preserve">. The </w:t>
      </w:r>
      <w:r w:rsidR="008B1E6D" w:rsidRPr="00313006">
        <w:rPr>
          <w:szCs w:val="24"/>
          <w:lang w:val="en-AU"/>
        </w:rPr>
        <w:t>Activity is undertaken</w:t>
      </w:r>
      <w:r w:rsidR="004C0DD2" w:rsidRPr="00313006">
        <w:rPr>
          <w:szCs w:val="24"/>
          <w:lang w:val="en-AU"/>
        </w:rPr>
        <w:t xml:space="preserve"> </w:t>
      </w:r>
      <w:bookmarkStart w:id="0" w:name="_Hlk57196523"/>
      <w:r w:rsidR="004C0DD2" w:rsidRPr="00313006">
        <w:rPr>
          <w:szCs w:val="24"/>
          <w:lang w:val="en-AU"/>
        </w:rPr>
        <w:t xml:space="preserve">by the </w:t>
      </w:r>
      <w:r w:rsidR="008B1E6D" w:rsidRPr="00313006">
        <w:rPr>
          <w:szCs w:val="24"/>
          <w:lang w:val="en-AU"/>
        </w:rPr>
        <w:t xml:space="preserve">TEHS under the auspices of the Northern Territory (NT) Department of Health. </w:t>
      </w:r>
      <w:bookmarkEnd w:id="0"/>
      <w:r w:rsidR="00EF5C60" w:rsidRPr="00313006">
        <w:rPr>
          <w:szCs w:val="24"/>
          <w:lang w:val="en-AU"/>
        </w:rPr>
        <w:t xml:space="preserve">The Activity is clinician-led and enables clinical review of cases to identify contributing clinical factors and make recommendations about changes or improvements in a policy, procedure or practice relating to health services to reduce the likelihood of, or prevent, the same type of event from occurring again. </w:t>
      </w:r>
      <w:r w:rsidR="00012945" w:rsidRPr="00313006">
        <w:rPr>
          <w:rFonts w:eastAsia="Times New Roman"/>
          <w:kern w:val="28"/>
          <w:szCs w:val="22"/>
          <w:lang w:eastAsia="en-AU"/>
        </w:rPr>
        <w:t xml:space="preserve">The Activity also includes the monitoring of those recommendations. </w:t>
      </w:r>
    </w:p>
    <w:p w14:paraId="0A51A104" w14:textId="4A255DD9" w:rsidR="00EF5C60" w:rsidRPr="00313006" w:rsidRDefault="00EF5C60" w:rsidP="00C77BEE">
      <w:pPr>
        <w:tabs>
          <w:tab w:val="left" w:pos="6521"/>
        </w:tabs>
        <w:spacing w:before="200" w:after="120"/>
        <w:ind w:right="-164"/>
        <w:rPr>
          <w:szCs w:val="24"/>
          <w:lang w:val="en-AU"/>
        </w:rPr>
      </w:pPr>
      <w:r w:rsidRPr="00313006">
        <w:rPr>
          <w:rFonts w:eastAsia="Times New Roman"/>
          <w:kern w:val="28"/>
          <w:szCs w:val="22"/>
          <w:lang w:eastAsia="en-AU"/>
        </w:rPr>
        <w:t xml:space="preserve">Staff involved in case reviews </w:t>
      </w:r>
      <w:r w:rsidR="00C06FE0" w:rsidRPr="00313006">
        <w:rPr>
          <w:rFonts w:eastAsia="Times New Roman"/>
          <w:kern w:val="28"/>
          <w:szCs w:val="22"/>
          <w:lang w:eastAsia="en-AU"/>
        </w:rPr>
        <w:t xml:space="preserve">include </w:t>
      </w:r>
      <w:r w:rsidRPr="00313006">
        <w:rPr>
          <w:rFonts w:eastAsia="Times New Roman"/>
          <w:kern w:val="28"/>
          <w:szCs w:val="22"/>
          <w:lang w:eastAsia="en-AU"/>
        </w:rPr>
        <w:t>specialist surgeons, anaesthetists and other clinicians who perform surgical operations and provide</w:t>
      </w:r>
      <w:r w:rsidR="00453DEE" w:rsidRPr="00313006">
        <w:rPr>
          <w:rFonts w:eastAsia="Times New Roman"/>
          <w:kern w:val="28"/>
          <w:szCs w:val="22"/>
          <w:lang w:eastAsia="en-AU"/>
        </w:rPr>
        <w:t xml:space="preserve"> care for patients at the Top End Health Service, including patients admitted under the surgical team but who did not proceed to have an operation,</w:t>
      </w:r>
      <w:r w:rsidRPr="00313006">
        <w:rPr>
          <w:rFonts w:eastAsia="Times New Roman"/>
          <w:kern w:val="28"/>
          <w:szCs w:val="22"/>
          <w:lang w:eastAsia="en-AU"/>
        </w:rPr>
        <w:t xml:space="preserve"> with recommendations provided to the Executive Director Medical Service of the TEHS</w:t>
      </w:r>
      <w:r w:rsidR="008836DD" w:rsidRPr="00313006">
        <w:rPr>
          <w:rFonts w:eastAsia="Times New Roman"/>
          <w:kern w:val="28"/>
          <w:szCs w:val="22"/>
          <w:lang w:eastAsia="en-AU"/>
        </w:rPr>
        <w:t>.</w:t>
      </w:r>
    </w:p>
    <w:p w14:paraId="3C312155" w14:textId="3BF33D08" w:rsidR="009D289E" w:rsidRPr="00313006" w:rsidRDefault="00EF5C60" w:rsidP="009D289E">
      <w:pPr>
        <w:spacing w:before="200"/>
      </w:pPr>
      <w:r w:rsidRPr="00313006">
        <w:t xml:space="preserve">Review, analysis and assessment by clinician peers </w:t>
      </w:r>
      <w:r w:rsidR="00C06FE0" w:rsidRPr="00313006">
        <w:t>t</w:t>
      </w:r>
      <w:r w:rsidRPr="00313006">
        <w:t xml:space="preserve">o the operational and clinical issues and factors which contribute to an unexpected event resulting in cases of death or substantial morbidity, </w:t>
      </w:r>
      <w:r w:rsidR="00957FD1" w:rsidRPr="00313006">
        <w:t xml:space="preserve">are </w:t>
      </w:r>
      <w:r w:rsidR="001753A2" w:rsidRPr="00313006">
        <w:t xml:space="preserve">a regular feature of </w:t>
      </w:r>
      <w:r w:rsidR="00B55809" w:rsidRPr="00313006">
        <w:t xml:space="preserve">hospital </w:t>
      </w:r>
      <w:r w:rsidR="00957FD1" w:rsidRPr="00313006">
        <w:t xml:space="preserve">operations. </w:t>
      </w:r>
      <w:r w:rsidR="009D289E" w:rsidRPr="00313006">
        <w:t xml:space="preserve">Most jurisdictions in Australia permit </w:t>
      </w:r>
      <w:r w:rsidR="00C06FE0" w:rsidRPr="00313006">
        <w:t>these activities</w:t>
      </w:r>
      <w:r w:rsidR="009D289E" w:rsidRPr="00313006">
        <w:t xml:space="preserve"> to operate under qualified privilege. However, there is currently no legislation in NT to cover the </w:t>
      </w:r>
      <w:r w:rsidR="00C06FE0" w:rsidRPr="00313006">
        <w:t>Activity</w:t>
      </w:r>
      <w:r w:rsidR="009D289E" w:rsidRPr="00313006">
        <w:t xml:space="preserve"> and accordingly, it is open for Part VC of the Act to apply to the </w:t>
      </w:r>
      <w:r w:rsidR="00C06FE0" w:rsidRPr="00313006">
        <w:t>Activity</w:t>
      </w:r>
      <w:r w:rsidR="00A969E3" w:rsidRPr="00313006">
        <w:t>.</w:t>
      </w:r>
      <w:r w:rsidR="009D289E" w:rsidRPr="00313006">
        <w:t xml:space="preserve"> Pursuant to s124ZC of the Act, Part VC of the Act will continue to apply to the </w:t>
      </w:r>
      <w:r w:rsidR="00C06FE0" w:rsidRPr="00313006">
        <w:t>Activity</w:t>
      </w:r>
      <w:r w:rsidR="00A969E3" w:rsidRPr="00313006">
        <w:t xml:space="preserve"> </w:t>
      </w:r>
      <w:r w:rsidR="009D289E" w:rsidRPr="00313006">
        <w:t xml:space="preserve">only to the extent to which any relevant NT law would not otherwise apply. </w:t>
      </w:r>
    </w:p>
    <w:p w14:paraId="3269BE5A" w14:textId="35A0D328" w:rsidR="00DF4CAF" w:rsidRPr="00313006" w:rsidRDefault="00A969E3" w:rsidP="005902CA">
      <w:pPr>
        <w:spacing w:before="200"/>
      </w:pPr>
      <w:r w:rsidRPr="00313006">
        <w:lastRenderedPageBreak/>
        <w:t xml:space="preserve">Under the </w:t>
      </w:r>
      <w:r w:rsidR="00C06FE0" w:rsidRPr="00313006">
        <w:t>Activity,</w:t>
      </w:r>
      <w:r w:rsidR="00231EC4" w:rsidRPr="00313006">
        <w:t xml:space="preserve"> t</w:t>
      </w:r>
      <w:r w:rsidR="00143010" w:rsidRPr="00313006">
        <w:t>he team</w:t>
      </w:r>
      <w:r w:rsidR="00B55809" w:rsidRPr="00313006">
        <w:t>(s)</w:t>
      </w:r>
      <w:r w:rsidR="00143010" w:rsidRPr="00313006">
        <w:t xml:space="preserve"> </w:t>
      </w:r>
      <w:r w:rsidR="00E8509C" w:rsidRPr="00313006">
        <w:t xml:space="preserve">responsible for </w:t>
      </w:r>
      <w:r w:rsidR="00143010" w:rsidRPr="00313006">
        <w:t>patients</w:t>
      </w:r>
      <w:r w:rsidR="00E943B1" w:rsidRPr="00313006">
        <w:t>’ clinical</w:t>
      </w:r>
      <w:r w:rsidR="00143010" w:rsidRPr="00313006">
        <w:t xml:space="preserve"> care </w:t>
      </w:r>
      <w:r w:rsidR="00E8509C" w:rsidRPr="00313006">
        <w:t xml:space="preserve">meet to </w:t>
      </w:r>
      <w:r w:rsidR="00143010" w:rsidRPr="00313006">
        <w:t xml:space="preserve">discuss the </w:t>
      </w:r>
      <w:r w:rsidR="00E943B1" w:rsidRPr="00313006">
        <w:t xml:space="preserve">events and decisions </w:t>
      </w:r>
      <w:r w:rsidR="00143010" w:rsidRPr="00313006">
        <w:t xml:space="preserve">that </w:t>
      </w:r>
      <w:r w:rsidR="00E943B1" w:rsidRPr="00313006">
        <w:t xml:space="preserve">contributed to </w:t>
      </w:r>
      <w:r w:rsidR="00143010" w:rsidRPr="00313006">
        <w:t>a complication or death</w:t>
      </w:r>
      <w:r w:rsidR="00E8509C" w:rsidRPr="00313006">
        <w:t xml:space="preserve">. </w:t>
      </w:r>
      <w:r w:rsidR="00434B20" w:rsidRPr="00313006">
        <w:t xml:space="preserve">Clinical audit </w:t>
      </w:r>
      <w:r w:rsidR="00A94B48" w:rsidRPr="00313006">
        <w:t>discussions</w:t>
      </w:r>
      <w:r w:rsidR="00957FD1" w:rsidRPr="00313006">
        <w:t xml:space="preserve"> provide a </w:t>
      </w:r>
      <w:r w:rsidR="00A94B48" w:rsidRPr="00313006">
        <w:t>means</w:t>
      </w:r>
      <w:r w:rsidR="00957FD1" w:rsidRPr="00313006">
        <w:t xml:space="preserve"> for the sharing of</w:t>
      </w:r>
      <w:r w:rsidR="00A94B48" w:rsidRPr="00313006">
        <w:t xml:space="preserve"> information about</w:t>
      </w:r>
      <w:r w:rsidR="00957FD1" w:rsidRPr="00313006">
        <w:t xml:space="preserve"> clinical cases which have resulted in complications or death in an open non-punitive environment </w:t>
      </w:r>
      <w:r w:rsidR="00A94B48" w:rsidRPr="00313006">
        <w:t xml:space="preserve">oriented towards learning from analysis of the event </w:t>
      </w:r>
      <w:r w:rsidR="00957FD1" w:rsidRPr="00313006">
        <w:t xml:space="preserve">with the goal of </w:t>
      </w:r>
      <w:r w:rsidR="00A94B48" w:rsidRPr="00313006">
        <w:t xml:space="preserve">improving </w:t>
      </w:r>
      <w:r w:rsidR="00957FD1" w:rsidRPr="00313006">
        <w:t xml:space="preserve">patient safety. </w:t>
      </w:r>
    </w:p>
    <w:p w14:paraId="10CE2F59" w14:textId="3F9B3778" w:rsidR="00143010" w:rsidRPr="00313006" w:rsidRDefault="00DF4CAF" w:rsidP="005902CA">
      <w:pPr>
        <w:spacing w:before="200"/>
      </w:pPr>
      <w:r w:rsidRPr="00313006">
        <w:t xml:space="preserve">Cases included in the Activity </w:t>
      </w:r>
      <w:r w:rsidR="008836DD" w:rsidRPr="00313006">
        <w:t>are those resulting in mortality</w:t>
      </w:r>
      <w:r w:rsidRPr="00313006">
        <w:t xml:space="preserve"> and cases of substantial morbidity. Complications that have the potential for long-l</w:t>
      </w:r>
      <w:r w:rsidR="008836DD" w:rsidRPr="00313006">
        <w:t>a</w:t>
      </w:r>
      <w:r w:rsidRPr="00313006">
        <w:t xml:space="preserve">sting disability after patient’s discharge are </w:t>
      </w:r>
      <w:r w:rsidR="00C06FE0" w:rsidRPr="00313006">
        <w:t>included</w:t>
      </w:r>
      <w:r w:rsidR="008836DD" w:rsidRPr="00313006">
        <w:t>.</w:t>
      </w:r>
      <w:r w:rsidRPr="00313006">
        <w:t xml:space="preserve"> </w:t>
      </w:r>
      <w:r w:rsidR="00434B20" w:rsidRPr="00313006">
        <w:rPr>
          <w:szCs w:val="24"/>
        </w:rPr>
        <w:t xml:space="preserve">Clinicians are encouraged to </w:t>
      </w:r>
      <w:r w:rsidR="00A94B48" w:rsidRPr="00313006">
        <w:rPr>
          <w:szCs w:val="24"/>
        </w:rPr>
        <w:t xml:space="preserve">participate to promote system improvement rather than apportion clinician blame. </w:t>
      </w:r>
    </w:p>
    <w:p w14:paraId="5DC396D8" w14:textId="1444F82D" w:rsidR="00693048" w:rsidRPr="00313006" w:rsidRDefault="00693048" w:rsidP="00693048">
      <w:pPr>
        <w:spacing w:before="200"/>
        <w:rPr>
          <w:rFonts w:eastAsia="Times New Roman"/>
          <w:kern w:val="28"/>
          <w:szCs w:val="22"/>
          <w:lang w:eastAsia="en-AU"/>
        </w:rPr>
      </w:pPr>
      <w:r w:rsidRPr="00313006">
        <w:rPr>
          <w:rFonts w:eastAsia="Times New Roman"/>
          <w:kern w:val="28"/>
          <w:szCs w:val="22"/>
          <w:lang w:eastAsia="en-AU"/>
        </w:rPr>
        <w:t xml:space="preserve">Key components of the Activity </w:t>
      </w:r>
      <w:r w:rsidR="00C06FE0" w:rsidRPr="00313006">
        <w:rPr>
          <w:rFonts w:eastAsia="Times New Roman"/>
          <w:kern w:val="28"/>
          <w:szCs w:val="22"/>
          <w:lang w:eastAsia="en-AU"/>
        </w:rPr>
        <w:t>include</w:t>
      </w:r>
      <w:r w:rsidRPr="00313006">
        <w:rPr>
          <w:rFonts w:eastAsia="Times New Roman"/>
          <w:kern w:val="28"/>
          <w:szCs w:val="22"/>
          <w:lang w:eastAsia="en-AU"/>
        </w:rPr>
        <w:t>:</w:t>
      </w:r>
    </w:p>
    <w:p w14:paraId="337ED15C" w14:textId="77017878" w:rsidR="00693048" w:rsidRPr="00313006" w:rsidRDefault="00693048" w:rsidP="00693048">
      <w:pPr>
        <w:pStyle w:val="ListParagraph"/>
        <w:numPr>
          <w:ilvl w:val="0"/>
          <w:numId w:val="41"/>
        </w:numPr>
        <w:autoSpaceDE w:val="0"/>
        <w:autoSpaceDN w:val="0"/>
        <w:adjustRightInd w:val="0"/>
        <w:spacing w:before="120" w:after="0" w:line="240" w:lineRule="auto"/>
        <w:ind w:left="709" w:hanging="505"/>
        <w:contextualSpacing w:val="0"/>
      </w:pPr>
      <w:bookmarkStart w:id="1" w:name="_Hlk54702526"/>
      <w:r w:rsidRPr="00313006">
        <w:t>A</w:t>
      </w:r>
      <w:r w:rsidR="00E81F60" w:rsidRPr="00313006">
        <w:t xml:space="preserve"> review of a</w:t>
      </w:r>
      <w:r w:rsidRPr="00313006">
        <w:t>ll deaths and substantial morbidity cases to identify whether a complication has occurred</w:t>
      </w:r>
      <w:r w:rsidR="00E81F60" w:rsidRPr="00313006">
        <w:t>. The review is undertaken</w:t>
      </w:r>
      <w:r w:rsidRPr="00313006">
        <w:t xml:space="preserve"> in an objective and reproducible manner and </w:t>
      </w:r>
      <w:r w:rsidR="00E81F60" w:rsidRPr="00313006">
        <w:t xml:space="preserve">may result in </w:t>
      </w:r>
      <w:r w:rsidR="00E81F60" w:rsidRPr="00313006">
        <w:rPr>
          <w:lang w:val="en-US"/>
        </w:rPr>
        <w:t>recommendations to the Executive Director Medical Service of the TEHS about changes or improvements in a policy, procedure or practice relating to the provision of health services to reduce the likelihood, or to prevent the same or similar event from occurring again</w:t>
      </w:r>
      <w:r w:rsidRPr="00313006">
        <w:t>;</w:t>
      </w:r>
    </w:p>
    <w:p w14:paraId="233277B0" w14:textId="25B9D536" w:rsidR="00693048" w:rsidRPr="00313006" w:rsidRDefault="00E81F60" w:rsidP="00693048">
      <w:pPr>
        <w:pStyle w:val="ListParagraph"/>
        <w:numPr>
          <w:ilvl w:val="0"/>
          <w:numId w:val="41"/>
        </w:numPr>
        <w:autoSpaceDE w:val="0"/>
        <w:autoSpaceDN w:val="0"/>
        <w:adjustRightInd w:val="0"/>
        <w:spacing w:before="240" w:after="0" w:line="240" w:lineRule="auto"/>
        <w:ind w:left="709" w:hanging="502"/>
      </w:pPr>
      <w:r w:rsidRPr="00313006">
        <w:t>Case</w:t>
      </w:r>
      <w:r w:rsidR="00693048" w:rsidRPr="00313006">
        <w:t xml:space="preserve"> discussions and</w:t>
      </w:r>
      <w:r w:rsidRPr="00313006">
        <w:t xml:space="preserve"> analysis</w:t>
      </w:r>
      <w:r w:rsidR="00693048" w:rsidRPr="00313006">
        <w:t xml:space="preserve"> amongst clinician peers, supported by professional evidence and literature;</w:t>
      </w:r>
    </w:p>
    <w:p w14:paraId="6226566E" w14:textId="27C8F864" w:rsidR="00693048" w:rsidRPr="00313006" w:rsidRDefault="00693048" w:rsidP="00693048">
      <w:pPr>
        <w:pStyle w:val="ListParagraph"/>
        <w:numPr>
          <w:ilvl w:val="0"/>
          <w:numId w:val="41"/>
        </w:numPr>
        <w:autoSpaceDE w:val="0"/>
        <w:autoSpaceDN w:val="0"/>
        <w:adjustRightInd w:val="0"/>
        <w:spacing w:before="120" w:after="0" w:line="240" w:lineRule="auto"/>
        <w:ind w:left="709" w:hanging="502"/>
        <w:rPr>
          <w:rFonts w:cstheme="minorBidi"/>
          <w:szCs w:val="20"/>
        </w:rPr>
      </w:pPr>
      <w:r w:rsidRPr="00313006">
        <w:t>Review of operational policies, procedures or practices and clinical issues and factors that contribute to the occurrence of an event;</w:t>
      </w:r>
    </w:p>
    <w:p w14:paraId="73CE9C57" w14:textId="117B1B32" w:rsidR="00693048" w:rsidRPr="00313006" w:rsidRDefault="00693048" w:rsidP="00693048">
      <w:pPr>
        <w:pStyle w:val="ListParagraph"/>
        <w:numPr>
          <w:ilvl w:val="0"/>
          <w:numId w:val="41"/>
        </w:numPr>
        <w:autoSpaceDE w:val="0"/>
        <w:autoSpaceDN w:val="0"/>
        <w:adjustRightInd w:val="0"/>
        <w:spacing w:before="120" w:after="0" w:line="240" w:lineRule="auto"/>
        <w:ind w:left="709" w:hanging="502"/>
      </w:pPr>
      <w:r w:rsidRPr="00313006">
        <w:t xml:space="preserve">From time to time and dependent on the circumstances of the event, the </w:t>
      </w:r>
      <w:r w:rsidR="00C75EFE" w:rsidRPr="00313006">
        <w:t xml:space="preserve">clinical practice and performance </w:t>
      </w:r>
      <w:r w:rsidRPr="00313006">
        <w:t>of individuals may be discussed;</w:t>
      </w:r>
    </w:p>
    <w:p w14:paraId="5850A266" w14:textId="77777777" w:rsidR="00693048" w:rsidRPr="00313006" w:rsidRDefault="00693048" w:rsidP="00693048">
      <w:pPr>
        <w:pStyle w:val="ListParagraph"/>
        <w:numPr>
          <w:ilvl w:val="0"/>
          <w:numId w:val="41"/>
        </w:numPr>
        <w:autoSpaceDE w:val="0"/>
        <w:autoSpaceDN w:val="0"/>
        <w:adjustRightInd w:val="0"/>
        <w:spacing w:before="120" w:after="0" w:line="240" w:lineRule="auto"/>
        <w:ind w:left="709" w:hanging="502"/>
      </w:pPr>
      <w:r w:rsidRPr="00313006">
        <w:t>The clinical audit report which is approved by the Executive Director of Surgery TEHS and its recommendations are forwarded to the Chief Operating Officer and Executive Director Medical Services TEHS and circulated within the hospital; and</w:t>
      </w:r>
    </w:p>
    <w:p w14:paraId="2873195E" w14:textId="7B304B4F" w:rsidR="00693048" w:rsidRPr="00313006" w:rsidRDefault="00693048" w:rsidP="00693048">
      <w:pPr>
        <w:pStyle w:val="ListParagraph"/>
        <w:numPr>
          <w:ilvl w:val="0"/>
          <w:numId w:val="41"/>
        </w:numPr>
        <w:spacing w:after="0" w:line="260" w:lineRule="atLeast"/>
        <w:ind w:left="709" w:hanging="502"/>
        <w:rPr>
          <w:rFonts w:eastAsia="Times New Roman"/>
          <w:kern w:val="28"/>
          <w:lang w:eastAsia="en-AU"/>
        </w:rPr>
      </w:pPr>
      <w:r w:rsidRPr="00313006">
        <w:rPr>
          <w:rFonts w:eastAsia="Times New Roman"/>
          <w:kern w:val="28"/>
          <w:lang w:eastAsia="en-AU"/>
        </w:rPr>
        <w:t xml:space="preserve">Publication of non-identifying information to occur through the NT Health Annual Report, </w:t>
      </w:r>
      <w:r w:rsidR="00D111CA" w:rsidRPr="00313006">
        <w:rPr>
          <w:rFonts w:eastAsia="Times New Roman"/>
          <w:kern w:val="28"/>
          <w:lang w:eastAsia="en-AU"/>
        </w:rPr>
        <w:t>NT</w:t>
      </w:r>
      <w:r w:rsidRPr="00313006">
        <w:rPr>
          <w:rFonts w:eastAsia="Times New Roman"/>
          <w:kern w:val="28"/>
          <w:lang w:eastAsia="en-AU"/>
        </w:rPr>
        <w:t xml:space="preserve"> Health Clinical Quality and Patient Safety Surveillance Report and NT Audit of Surgical Mortality, the following specific information arising from the Activity:</w:t>
      </w:r>
    </w:p>
    <w:p w14:paraId="62A0FDB8" w14:textId="77777777" w:rsidR="00693048" w:rsidRPr="00313006" w:rsidRDefault="00693048" w:rsidP="00693048">
      <w:pPr>
        <w:pStyle w:val="ListParagraph"/>
        <w:numPr>
          <w:ilvl w:val="2"/>
          <w:numId w:val="42"/>
        </w:numPr>
        <w:spacing w:after="0" w:line="260" w:lineRule="atLeast"/>
        <w:ind w:left="1560"/>
        <w:rPr>
          <w:rFonts w:eastAsia="Times New Roman"/>
          <w:kern w:val="28"/>
          <w:lang w:eastAsia="en-AU"/>
        </w:rPr>
      </w:pPr>
      <w:r w:rsidRPr="00313006">
        <w:rPr>
          <w:rFonts w:eastAsia="Times New Roman"/>
          <w:kern w:val="28"/>
          <w:lang w:eastAsia="en-AU"/>
        </w:rPr>
        <w:t>number of cases reviewed;</w:t>
      </w:r>
    </w:p>
    <w:p w14:paraId="55325C20" w14:textId="77777777" w:rsidR="00693048" w:rsidRPr="00313006" w:rsidRDefault="00693048" w:rsidP="00693048">
      <w:pPr>
        <w:pStyle w:val="ListParagraph"/>
        <w:numPr>
          <w:ilvl w:val="2"/>
          <w:numId w:val="42"/>
        </w:numPr>
        <w:spacing w:after="0" w:line="260" w:lineRule="atLeast"/>
        <w:ind w:left="1560"/>
        <w:rPr>
          <w:rFonts w:eastAsia="Times New Roman"/>
          <w:kern w:val="28"/>
          <w:lang w:eastAsia="en-AU"/>
        </w:rPr>
      </w:pPr>
      <w:r w:rsidRPr="00313006">
        <w:rPr>
          <w:rFonts w:eastAsia="Times New Roman"/>
          <w:kern w:val="28"/>
          <w:lang w:eastAsia="en-AU"/>
        </w:rPr>
        <w:t>audit of attendance numbers at the TEHS Activity;</w:t>
      </w:r>
    </w:p>
    <w:p w14:paraId="08052121" w14:textId="77777777" w:rsidR="00693048" w:rsidRPr="00313006" w:rsidRDefault="00693048" w:rsidP="00693048">
      <w:pPr>
        <w:pStyle w:val="ListParagraph"/>
        <w:numPr>
          <w:ilvl w:val="2"/>
          <w:numId w:val="42"/>
        </w:numPr>
        <w:spacing w:after="0" w:line="260" w:lineRule="atLeast"/>
        <w:ind w:left="1560"/>
        <w:rPr>
          <w:rFonts w:eastAsia="Times New Roman"/>
          <w:kern w:val="28"/>
          <w:lang w:eastAsia="en-AU"/>
        </w:rPr>
      </w:pPr>
      <w:r w:rsidRPr="00313006">
        <w:rPr>
          <w:rFonts w:eastAsia="Times New Roman"/>
          <w:kern w:val="28"/>
          <w:lang w:eastAsia="en-AU"/>
        </w:rPr>
        <w:t>percentage of eligible cases audited;</w:t>
      </w:r>
    </w:p>
    <w:p w14:paraId="47D498E0" w14:textId="77777777" w:rsidR="00693048" w:rsidRPr="00313006" w:rsidRDefault="00693048" w:rsidP="00693048">
      <w:pPr>
        <w:pStyle w:val="ListParagraph"/>
        <w:numPr>
          <w:ilvl w:val="2"/>
          <w:numId w:val="42"/>
        </w:numPr>
        <w:spacing w:after="0" w:line="260" w:lineRule="atLeast"/>
        <w:ind w:left="1560"/>
        <w:rPr>
          <w:rFonts w:eastAsia="Times New Roman"/>
          <w:kern w:val="28"/>
          <w:lang w:eastAsia="en-AU"/>
        </w:rPr>
      </w:pPr>
      <w:r w:rsidRPr="00313006">
        <w:t>a summary of themes that contribute to morbidity and mortality;</w:t>
      </w:r>
    </w:p>
    <w:p w14:paraId="41F99175" w14:textId="77777777" w:rsidR="00693048" w:rsidRPr="00313006" w:rsidRDefault="00693048" w:rsidP="00693048">
      <w:pPr>
        <w:pStyle w:val="ListParagraph"/>
        <w:numPr>
          <w:ilvl w:val="2"/>
          <w:numId w:val="42"/>
        </w:numPr>
        <w:spacing w:after="0" w:line="260" w:lineRule="atLeast"/>
        <w:ind w:left="1560"/>
        <w:rPr>
          <w:rFonts w:eastAsia="Times New Roman"/>
          <w:kern w:val="28"/>
          <w:lang w:eastAsia="en-AU"/>
        </w:rPr>
      </w:pPr>
      <w:r w:rsidRPr="00313006">
        <w:t>high level details of particular cases;</w:t>
      </w:r>
    </w:p>
    <w:p w14:paraId="1E4E054E" w14:textId="77777777" w:rsidR="00693048" w:rsidRPr="00313006" w:rsidRDefault="00693048" w:rsidP="00693048">
      <w:pPr>
        <w:pStyle w:val="ListParagraph"/>
        <w:numPr>
          <w:ilvl w:val="2"/>
          <w:numId w:val="42"/>
        </w:numPr>
        <w:spacing w:after="0" w:line="260" w:lineRule="atLeast"/>
        <w:ind w:left="1560"/>
        <w:rPr>
          <w:rFonts w:eastAsia="Times New Roman"/>
          <w:kern w:val="28"/>
          <w:lang w:eastAsia="en-AU"/>
        </w:rPr>
      </w:pPr>
      <w:r w:rsidRPr="00313006">
        <w:rPr>
          <w:rFonts w:eastAsia="Times New Roman"/>
          <w:kern w:val="28"/>
          <w:lang w:eastAsia="en-AU"/>
        </w:rPr>
        <w:t>recommendations made to improve policies, practices and procedures; and</w:t>
      </w:r>
    </w:p>
    <w:p w14:paraId="322E45F9" w14:textId="77777777" w:rsidR="00693048" w:rsidRPr="00313006" w:rsidRDefault="00693048" w:rsidP="00693048">
      <w:pPr>
        <w:pStyle w:val="ListParagraph"/>
        <w:numPr>
          <w:ilvl w:val="2"/>
          <w:numId w:val="42"/>
        </w:numPr>
        <w:spacing w:after="0" w:line="260" w:lineRule="atLeast"/>
        <w:ind w:left="1560"/>
        <w:rPr>
          <w:rFonts w:eastAsia="Times New Roman"/>
          <w:kern w:val="28"/>
        </w:rPr>
      </w:pPr>
      <w:r w:rsidRPr="00313006">
        <w:rPr>
          <w:rFonts w:eastAsia="Times New Roman"/>
          <w:kern w:val="28"/>
          <w:lang w:eastAsia="en-AU"/>
        </w:rPr>
        <w:t xml:space="preserve">a description of issues raised during M&amp;M meetings that arise from assessing safety and quality systems and M&amp;M meetings at the TEHS. </w:t>
      </w:r>
      <w:bookmarkEnd w:id="1"/>
    </w:p>
    <w:p w14:paraId="343F239F" w14:textId="77777777" w:rsidR="00693048" w:rsidRPr="00313006" w:rsidRDefault="00693048" w:rsidP="00693048">
      <w:pPr>
        <w:rPr>
          <w:rFonts w:eastAsia="Times New Roman"/>
          <w:kern w:val="28"/>
          <w:szCs w:val="22"/>
          <w:lang w:eastAsia="en-AU"/>
        </w:rPr>
      </w:pPr>
    </w:p>
    <w:p w14:paraId="22DA00D9" w14:textId="77777777" w:rsidR="00EA0E47" w:rsidRPr="00313006" w:rsidRDefault="00693048" w:rsidP="00693048">
      <w:pPr>
        <w:rPr>
          <w:rFonts w:eastAsia="Times New Roman"/>
          <w:kern w:val="28"/>
          <w:szCs w:val="22"/>
          <w:lang w:eastAsia="en-AU"/>
        </w:rPr>
      </w:pPr>
      <w:r w:rsidRPr="00313006">
        <w:rPr>
          <w:rFonts w:eastAsia="Times New Roman"/>
          <w:kern w:val="28"/>
          <w:szCs w:val="22"/>
          <w:lang w:eastAsia="en-AU"/>
        </w:rPr>
        <w:t>Access to identifying information is limited to</w:t>
      </w:r>
      <w:r w:rsidR="00663F5B" w:rsidRPr="00313006">
        <w:rPr>
          <w:rFonts w:eastAsia="Times New Roman"/>
          <w:kern w:val="28"/>
          <w:szCs w:val="22"/>
          <w:lang w:eastAsia="en-AU"/>
        </w:rPr>
        <w:t xml:space="preserve"> the Quality Assurance coordinator, lead reviewer,</w:t>
      </w:r>
      <w:r w:rsidRPr="00313006">
        <w:rPr>
          <w:rFonts w:eastAsia="Times New Roman"/>
          <w:kern w:val="28"/>
          <w:szCs w:val="22"/>
          <w:lang w:eastAsia="en-AU"/>
        </w:rPr>
        <w:t xml:space="preserve"> clinician peers </w:t>
      </w:r>
      <w:r w:rsidR="00663F5B" w:rsidRPr="00313006">
        <w:rPr>
          <w:rFonts w:eastAsia="Times New Roman"/>
          <w:kern w:val="28"/>
          <w:szCs w:val="22"/>
          <w:lang w:eastAsia="en-AU"/>
        </w:rPr>
        <w:t xml:space="preserve">participating in the audit activity, </w:t>
      </w:r>
      <w:r w:rsidRPr="00313006">
        <w:rPr>
          <w:rFonts w:eastAsia="Times New Roman"/>
          <w:kern w:val="28"/>
          <w:szCs w:val="22"/>
          <w:lang w:eastAsia="en-AU"/>
        </w:rPr>
        <w:t xml:space="preserve">the Executive Director of Medical Services, Chief Operating Officer and </w:t>
      </w:r>
      <w:r w:rsidR="00D111CA" w:rsidRPr="00313006">
        <w:rPr>
          <w:rFonts w:eastAsia="Times New Roman"/>
          <w:kern w:val="28"/>
          <w:szCs w:val="22"/>
          <w:lang w:eastAsia="en-AU"/>
        </w:rPr>
        <w:t>NT</w:t>
      </w:r>
      <w:r w:rsidRPr="00313006">
        <w:rPr>
          <w:rFonts w:eastAsia="Times New Roman"/>
          <w:kern w:val="28"/>
          <w:szCs w:val="22"/>
          <w:lang w:eastAsia="en-AU"/>
        </w:rPr>
        <w:t xml:space="preserve"> Department of Health Legal Services. </w:t>
      </w:r>
    </w:p>
    <w:p w14:paraId="75464D25" w14:textId="536D197F" w:rsidR="00693048" w:rsidRPr="00313006" w:rsidRDefault="00693048" w:rsidP="00693048">
      <w:pPr>
        <w:rPr>
          <w:rFonts w:eastAsia="Times New Roman"/>
          <w:kern w:val="28"/>
          <w:szCs w:val="22"/>
          <w:lang w:eastAsia="en-AU"/>
        </w:rPr>
      </w:pPr>
      <w:r w:rsidRPr="00313006">
        <w:rPr>
          <w:rFonts w:eastAsia="Times New Roman"/>
          <w:kern w:val="28"/>
          <w:szCs w:val="22"/>
          <w:lang w:eastAsia="en-AU"/>
        </w:rPr>
        <w:t xml:space="preserve"> </w:t>
      </w:r>
    </w:p>
    <w:p w14:paraId="29E471F9" w14:textId="1A9924A2" w:rsidR="00D460D1" w:rsidRPr="00313006" w:rsidRDefault="006869EF" w:rsidP="00C77BEE">
      <w:pPr>
        <w:spacing w:before="200" w:after="120"/>
        <w:rPr>
          <w:lang w:val="en-AU"/>
        </w:rPr>
      </w:pPr>
      <w:r w:rsidRPr="00313006">
        <w:rPr>
          <w:lang w:val="en-AU"/>
        </w:rPr>
        <w:t>Details of the Declaration are</w:t>
      </w:r>
      <w:r w:rsidR="00F43A20" w:rsidRPr="00313006">
        <w:rPr>
          <w:lang w:val="en-AU"/>
        </w:rPr>
        <w:t xml:space="preserve"> set out in </w:t>
      </w:r>
      <w:r w:rsidR="00D460D1" w:rsidRPr="00313006">
        <w:rPr>
          <w:b/>
          <w:lang w:val="en-AU"/>
        </w:rPr>
        <w:t>Attachment</w:t>
      </w:r>
      <w:r w:rsidR="00DE17F1" w:rsidRPr="00313006">
        <w:rPr>
          <w:b/>
          <w:lang w:val="en-AU"/>
        </w:rPr>
        <w:t> A</w:t>
      </w:r>
      <w:r w:rsidR="00D460D1" w:rsidRPr="00313006">
        <w:rPr>
          <w:lang w:val="en-AU"/>
        </w:rPr>
        <w:t>.</w:t>
      </w:r>
    </w:p>
    <w:p w14:paraId="2D4DD936" w14:textId="77777777" w:rsidR="009F2F65" w:rsidRPr="00313006" w:rsidRDefault="009F2F65" w:rsidP="009F2F65">
      <w:pPr>
        <w:tabs>
          <w:tab w:val="left" w:pos="6521"/>
        </w:tabs>
        <w:spacing w:before="200" w:after="120"/>
        <w:ind w:right="-164"/>
        <w:rPr>
          <w:b/>
          <w:lang w:val="en-AU"/>
        </w:rPr>
      </w:pPr>
      <w:r w:rsidRPr="00313006">
        <w:rPr>
          <w:b/>
          <w:lang w:val="en-AU"/>
        </w:rPr>
        <w:t xml:space="preserve">CONSULTATION </w:t>
      </w:r>
    </w:p>
    <w:p w14:paraId="1E92BB38" w14:textId="56B37ADD" w:rsidR="009F2F65" w:rsidRPr="00313006" w:rsidRDefault="009F2F65" w:rsidP="009F2F65">
      <w:pPr>
        <w:tabs>
          <w:tab w:val="left" w:pos="6521"/>
        </w:tabs>
        <w:spacing w:before="200" w:after="120"/>
        <w:ind w:right="-164"/>
        <w:rPr>
          <w:lang w:val="en-AU"/>
        </w:rPr>
      </w:pPr>
      <w:r w:rsidRPr="00313006">
        <w:rPr>
          <w:lang w:val="en-AU"/>
        </w:rPr>
        <w:t xml:space="preserve">The </w:t>
      </w:r>
      <w:r w:rsidR="00DC6C56" w:rsidRPr="00313006">
        <w:rPr>
          <w:lang w:val="en-AU"/>
        </w:rPr>
        <w:t>TEHS</w:t>
      </w:r>
      <w:r w:rsidRPr="00313006">
        <w:rPr>
          <w:lang w:val="en-AU"/>
        </w:rPr>
        <w:t xml:space="preserve">, as the applicant for declaration of the </w:t>
      </w:r>
      <w:r w:rsidR="00620EA1" w:rsidRPr="00313006">
        <w:rPr>
          <w:lang w:val="en-AU"/>
        </w:rPr>
        <w:t xml:space="preserve">Activity </w:t>
      </w:r>
      <w:r w:rsidRPr="00313006">
        <w:rPr>
          <w:lang w:val="en-AU"/>
        </w:rPr>
        <w:t xml:space="preserve">and the Australian Commission </w:t>
      </w:r>
      <w:r w:rsidR="002F5DA3" w:rsidRPr="00313006">
        <w:rPr>
          <w:lang w:val="en-AU"/>
        </w:rPr>
        <w:t>o</w:t>
      </w:r>
      <w:r w:rsidR="00023A18" w:rsidRPr="00313006">
        <w:rPr>
          <w:lang w:val="en-AU"/>
        </w:rPr>
        <w:t>n</w:t>
      </w:r>
      <w:r w:rsidRPr="00313006">
        <w:rPr>
          <w:lang w:val="en-AU"/>
        </w:rPr>
        <w:t xml:space="preserve"> Safety </w:t>
      </w:r>
      <w:r w:rsidR="00023A18" w:rsidRPr="00313006">
        <w:rPr>
          <w:lang w:val="en-AU"/>
        </w:rPr>
        <w:t xml:space="preserve">and Quality </w:t>
      </w:r>
      <w:r w:rsidRPr="00313006">
        <w:rPr>
          <w:lang w:val="en-AU"/>
        </w:rPr>
        <w:t>in Health Care</w:t>
      </w:r>
      <w:r w:rsidR="002E4C2E" w:rsidRPr="00313006">
        <w:rPr>
          <w:lang w:val="en-AU"/>
        </w:rPr>
        <w:t xml:space="preserve"> </w:t>
      </w:r>
      <w:r w:rsidR="00023A18" w:rsidRPr="00313006">
        <w:rPr>
          <w:lang w:val="en-AU"/>
        </w:rPr>
        <w:t>was</w:t>
      </w:r>
      <w:r w:rsidRPr="00313006">
        <w:rPr>
          <w:lang w:val="en-AU"/>
        </w:rPr>
        <w:t xml:space="preserve"> consulted in relation to the content of the Declaration. </w:t>
      </w:r>
    </w:p>
    <w:p w14:paraId="65C13302" w14:textId="2ABFE1F6" w:rsidR="00704536" w:rsidRPr="00313006" w:rsidRDefault="006701A5" w:rsidP="00F63584">
      <w:pPr>
        <w:tabs>
          <w:tab w:val="left" w:pos="6521"/>
        </w:tabs>
        <w:spacing w:after="120"/>
        <w:ind w:right="-164"/>
        <w:sectPr w:rsidR="00704536" w:rsidRPr="00313006" w:rsidSect="00DC5F1A">
          <w:headerReference w:type="default" r:id="rId9"/>
          <w:footerReference w:type="even" r:id="rId10"/>
          <w:footerReference w:type="default" r:id="rId11"/>
          <w:footerReference w:type="first" r:id="rId12"/>
          <w:endnotePr>
            <w:numFmt w:val="decimal"/>
          </w:endnotePr>
          <w:pgSz w:w="11906" w:h="16838"/>
          <w:pgMar w:top="585" w:right="1274" w:bottom="663" w:left="1418" w:header="554" w:footer="527" w:gutter="0"/>
          <w:cols w:space="720"/>
          <w:noEndnote/>
          <w:titlePg/>
        </w:sectPr>
      </w:pPr>
      <w:r w:rsidRPr="00313006">
        <w:rPr>
          <w:lang w:val="en-AU"/>
        </w:rPr>
        <w:t xml:space="preserve">The Declaration will not result in any direct or substantial indirect effect on business. </w:t>
      </w:r>
    </w:p>
    <w:p w14:paraId="3FCEB176" w14:textId="77777777" w:rsidR="00386994" w:rsidRPr="00313006" w:rsidRDefault="00386994" w:rsidP="00F63584">
      <w:pPr>
        <w:tabs>
          <w:tab w:val="left" w:pos="6521"/>
        </w:tabs>
        <w:spacing w:after="120"/>
        <w:ind w:right="-164"/>
      </w:pPr>
    </w:p>
    <w:p w14:paraId="777ADE9F" w14:textId="77777777" w:rsidR="00F43A20" w:rsidRPr="00313006" w:rsidRDefault="000708D9" w:rsidP="00DE17F1">
      <w:pPr>
        <w:pStyle w:val="BodyText"/>
        <w:tabs>
          <w:tab w:val="left" w:pos="0"/>
        </w:tabs>
        <w:jc w:val="right"/>
        <w:rPr>
          <w:lang w:val="en-AU"/>
        </w:rPr>
      </w:pPr>
      <w:r w:rsidRPr="00313006">
        <w:rPr>
          <w:b/>
          <w:noProof w:val="0"/>
          <w:lang w:val="en-AU"/>
        </w:rPr>
        <w:t>ATTACHMENT A</w:t>
      </w:r>
    </w:p>
    <w:p w14:paraId="12D3320E" w14:textId="77777777" w:rsidR="00D049AB" w:rsidRPr="00313006" w:rsidRDefault="00D049AB" w:rsidP="00DE17F1">
      <w:pPr>
        <w:spacing w:before="360" w:after="120"/>
        <w:rPr>
          <w:b/>
          <w:lang w:val="en-AU"/>
        </w:rPr>
      </w:pPr>
      <w:r w:rsidRPr="00313006">
        <w:rPr>
          <w:b/>
          <w:lang w:val="en-AU"/>
        </w:rPr>
        <w:t>Section 1 – Name</w:t>
      </w:r>
    </w:p>
    <w:p w14:paraId="4B33F823" w14:textId="5AF939D4" w:rsidR="00D049AB" w:rsidRPr="00313006" w:rsidRDefault="00D049AB" w:rsidP="00DE17F1">
      <w:pPr>
        <w:spacing w:before="360" w:after="120"/>
        <w:rPr>
          <w:lang w:val="en-AU"/>
        </w:rPr>
      </w:pPr>
      <w:r w:rsidRPr="00313006">
        <w:rPr>
          <w:lang w:val="en-AU"/>
        </w:rPr>
        <w:t xml:space="preserve">This section provides for the Declaration to be referred to as the </w:t>
      </w:r>
      <w:r w:rsidR="006F2670" w:rsidRPr="00313006">
        <w:rPr>
          <w:i/>
        </w:rPr>
        <w:t>Health Insurance (</w:t>
      </w:r>
      <w:r w:rsidR="006F2670" w:rsidRPr="00313006">
        <w:rPr>
          <w:i/>
          <w:lang w:val="en-AU"/>
        </w:rPr>
        <w:t xml:space="preserve">Quality Assurance Activity </w:t>
      </w:r>
      <w:r w:rsidR="006F2670" w:rsidRPr="00313006">
        <w:rPr>
          <w:i/>
          <w:iCs/>
          <w:lang w:val="en-AU"/>
        </w:rPr>
        <w:t xml:space="preserve">– </w:t>
      </w:r>
      <w:r w:rsidR="00C40ACA" w:rsidRPr="00313006">
        <w:rPr>
          <w:i/>
          <w:iCs/>
          <w:lang w:val="en-AU"/>
        </w:rPr>
        <w:t xml:space="preserve">Top End Health Service Peer Review Clinical Audits </w:t>
      </w:r>
      <w:r w:rsidR="00C40ACA" w:rsidRPr="00313006">
        <w:rPr>
          <w:i/>
        </w:rPr>
        <w:t>of Surgical Mortalities and Morbidities) Declaration 202</w:t>
      </w:r>
      <w:r w:rsidR="00F152FF" w:rsidRPr="00313006">
        <w:rPr>
          <w:i/>
        </w:rPr>
        <w:t>1</w:t>
      </w:r>
      <w:r w:rsidR="00C40ACA" w:rsidRPr="00313006">
        <w:t xml:space="preserve"> </w:t>
      </w:r>
      <w:r w:rsidR="00A43D12" w:rsidRPr="00313006">
        <w:rPr>
          <w:rFonts w:hint="eastAsia"/>
          <w:lang w:val="en-AU" w:eastAsia="ja-JP"/>
        </w:rPr>
        <w:t>(the Declaration)</w:t>
      </w:r>
      <w:r w:rsidRPr="00313006">
        <w:rPr>
          <w:lang w:val="en-AU"/>
        </w:rPr>
        <w:t>.</w:t>
      </w:r>
      <w:r w:rsidR="00FA3A88" w:rsidRPr="00313006">
        <w:rPr>
          <w:lang w:val="en-AU"/>
        </w:rPr>
        <w:t xml:space="preserve"> </w:t>
      </w:r>
    </w:p>
    <w:p w14:paraId="23C32145" w14:textId="77777777" w:rsidR="00D049AB" w:rsidRPr="00313006" w:rsidRDefault="00D049AB" w:rsidP="00DE17F1">
      <w:pPr>
        <w:spacing w:before="360" w:after="120"/>
        <w:rPr>
          <w:b/>
          <w:lang w:val="en-AU"/>
        </w:rPr>
      </w:pPr>
      <w:r w:rsidRPr="00313006">
        <w:rPr>
          <w:b/>
          <w:lang w:val="en-AU"/>
        </w:rPr>
        <w:t>Section 2 – Commencement</w:t>
      </w:r>
    </w:p>
    <w:p w14:paraId="0FE023A5" w14:textId="77777777" w:rsidR="00D049AB" w:rsidRPr="00313006" w:rsidRDefault="00D049AB" w:rsidP="00DE17F1">
      <w:pPr>
        <w:spacing w:before="360" w:after="120"/>
        <w:rPr>
          <w:lang w:val="en-AU"/>
        </w:rPr>
      </w:pPr>
      <w:r w:rsidRPr="00313006">
        <w:rPr>
          <w:lang w:val="en-AU"/>
        </w:rPr>
        <w:t>This section provides that the Declaration commences on the day after it is registered on the Federal Register of Legislation.</w:t>
      </w:r>
    </w:p>
    <w:p w14:paraId="24C420AC" w14:textId="77777777" w:rsidR="00DF7C67" w:rsidRPr="00313006" w:rsidRDefault="00D049AB" w:rsidP="00DE17F1">
      <w:pPr>
        <w:spacing w:before="360" w:after="120"/>
        <w:rPr>
          <w:b/>
          <w:lang w:val="en-AU"/>
        </w:rPr>
      </w:pPr>
      <w:r w:rsidRPr="00313006">
        <w:rPr>
          <w:b/>
          <w:lang w:val="en-AU"/>
        </w:rPr>
        <w:t xml:space="preserve">Section 3 </w:t>
      </w:r>
      <w:r w:rsidR="00DF7C67" w:rsidRPr="00313006">
        <w:rPr>
          <w:b/>
          <w:lang w:val="en-AU"/>
        </w:rPr>
        <w:t>–</w:t>
      </w:r>
      <w:r w:rsidRPr="00313006">
        <w:rPr>
          <w:b/>
          <w:lang w:val="en-AU"/>
        </w:rPr>
        <w:t xml:space="preserve"> Authority</w:t>
      </w:r>
    </w:p>
    <w:p w14:paraId="13263503" w14:textId="77777777" w:rsidR="00DF7C67" w:rsidRPr="00313006" w:rsidRDefault="00DF7C67" w:rsidP="00DE17F1">
      <w:pPr>
        <w:spacing w:before="360" w:after="120"/>
        <w:rPr>
          <w:lang w:val="en-AU"/>
        </w:rPr>
      </w:pPr>
      <w:r w:rsidRPr="00313006">
        <w:rPr>
          <w:lang w:val="en-AU"/>
        </w:rPr>
        <w:t xml:space="preserve">This section provides that the Declaration is made under subsection 124X(1) of the </w:t>
      </w:r>
      <w:r w:rsidR="00EC275C" w:rsidRPr="00313006">
        <w:rPr>
          <w:i/>
          <w:lang w:val="en-AU"/>
        </w:rPr>
        <w:t>Health </w:t>
      </w:r>
      <w:r w:rsidRPr="00313006">
        <w:rPr>
          <w:i/>
          <w:lang w:val="en-AU"/>
        </w:rPr>
        <w:t>Insurance Act 1973</w:t>
      </w:r>
      <w:r w:rsidRPr="00313006">
        <w:rPr>
          <w:lang w:val="en-AU"/>
        </w:rPr>
        <w:t>.</w:t>
      </w:r>
    </w:p>
    <w:p w14:paraId="185D6A59" w14:textId="1251CFE7" w:rsidR="00CD6B1B" w:rsidRPr="00313006" w:rsidRDefault="00CD6B1B" w:rsidP="00DE17F1">
      <w:pPr>
        <w:spacing w:before="360" w:after="120"/>
        <w:rPr>
          <w:b/>
          <w:lang w:val="en-AU"/>
        </w:rPr>
      </w:pPr>
      <w:r w:rsidRPr="00313006">
        <w:rPr>
          <w:b/>
          <w:lang w:val="en-AU"/>
        </w:rPr>
        <w:t xml:space="preserve">Section </w:t>
      </w:r>
      <w:r w:rsidR="00FB4D50" w:rsidRPr="00313006">
        <w:rPr>
          <w:b/>
          <w:lang w:val="en-AU"/>
        </w:rPr>
        <w:t xml:space="preserve">4 </w:t>
      </w:r>
      <w:r w:rsidRPr="00313006">
        <w:rPr>
          <w:b/>
          <w:lang w:val="en-AU"/>
        </w:rPr>
        <w:t>– Repeal</w:t>
      </w:r>
    </w:p>
    <w:p w14:paraId="0E521027" w14:textId="22B8413E" w:rsidR="00CD6B1B" w:rsidRPr="00313006" w:rsidRDefault="00CD6B1B" w:rsidP="00DE17F1">
      <w:pPr>
        <w:spacing w:before="360" w:after="120"/>
        <w:rPr>
          <w:lang w:val="en-AU"/>
        </w:rPr>
      </w:pPr>
      <w:r w:rsidRPr="00313006">
        <w:rPr>
          <w:lang w:val="en-AU"/>
        </w:rPr>
        <w:t>This section provides that the Declaration will be repealed when it ceases to be in force in accordance with s</w:t>
      </w:r>
      <w:r w:rsidR="00FB4D50" w:rsidRPr="00313006">
        <w:rPr>
          <w:lang w:val="en-AU"/>
        </w:rPr>
        <w:t xml:space="preserve">ubsection 124X(4) of the </w:t>
      </w:r>
      <w:r w:rsidR="00FB4D50" w:rsidRPr="00313006">
        <w:rPr>
          <w:i/>
          <w:lang w:val="en-AU"/>
        </w:rPr>
        <w:t>Health Insurance Act 1973</w:t>
      </w:r>
      <w:r w:rsidR="00FB4D50" w:rsidRPr="00313006">
        <w:rPr>
          <w:lang w:val="en-AU"/>
        </w:rPr>
        <w:t>.</w:t>
      </w:r>
    </w:p>
    <w:p w14:paraId="27E6607E" w14:textId="4FA973CF" w:rsidR="00FB4D50" w:rsidRPr="00313006" w:rsidRDefault="00FB4D50" w:rsidP="00DE17F1">
      <w:pPr>
        <w:spacing w:before="360" w:after="120"/>
        <w:rPr>
          <w:lang w:val="en-AU"/>
        </w:rPr>
      </w:pPr>
      <w:r w:rsidRPr="00313006">
        <w:rPr>
          <w:lang w:val="en-AU"/>
        </w:rPr>
        <w:t xml:space="preserve">Subsection 124X(4) of the </w:t>
      </w:r>
      <w:r w:rsidRPr="00313006">
        <w:rPr>
          <w:i/>
          <w:lang w:val="en-AU"/>
        </w:rPr>
        <w:t>Health Insurance Act 1973</w:t>
      </w:r>
      <w:r w:rsidRPr="00313006">
        <w:rPr>
          <w:lang w:val="en-AU"/>
        </w:rPr>
        <w:t xml:space="preserve"> provides that a declaration of a quality assurance activity ceases to be in force at the end of 5 years after it is signed, unless sooner revoked.</w:t>
      </w:r>
    </w:p>
    <w:p w14:paraId="0E93069B" w14:textId="4F18DB77" w:rsidR="00DF7C67" w:rsidRPr="00313006" w:rsidRDefault="00DF7C67" w:rsidP="00DE17F1">
      <w:pPr>
        <w:spacing w:before="360" w:after="120"/>
        <w:rPr>
          <w:b/>
          <w:lang w:val="en-AU"/>
        </w:rPr>
      </w:pPr>
      <w:r w:rsidRPr="00313006">
        <w:rPr>
          <w:b/>
          <w:lang w:val="en-AU"/>
        </w:rPr>
        <w:t xml:space="preserve">Section </w:t>
      </w:r>
      <w:r w:rsidR="00FB4D50" w:rsidRPr="00313006">
        <w:rPr>
          <w:b/>
          <w:lang w:val="en-AU"/>
        </w:rPr>
        <w:t xml:space="preserve">5 </w:t>
      </w:r>
      <w:r w:rsidRPr="00313006">
        <w:rPr>
          <w:b/>
          <w:lang w:val="en-AU"/>
        </w:rPr>
        <w:t>– Schedule</w:t>
      </w:r>
    </w:p>
    <w:p w14:paraId="39712EBE" w14:textId="77777777" w:rsidR="00A43D12" w:rsidRPr="00313006" w:rsidRDefault="00DF7C67" w:rsidP="00DE17F1">
      <w:pPr>
        <w:spacing w:before="360" w:after="120"/>
        <w:rPr>
          <w:i/>
          <w:lang w:val="en-AU" w:eastAsia="ja-JP"/>
        </w:rPr>
      </w:pPr>
      <w:r w:rsidRPr="00313006">
        <w:rPr>
          <w:lang w:val="en-AU"/>
        </w:rPr>
        <w:t xml:space="preserve">This section provides that the </w:t>
      </w:r>
      <w:r w:rsidR="00F70114" w:rsidRPr="00313006">
        <w:rPr>
          <w:lang w:val="en-AU"/>
        </w:rPr>
        <w:t xml:space="preserve">activity described in the Schedule is declared to be a quality assurance activity to which Part VC of the </w:t>
      </w:r>
      <w:r w:rsidR="00F70114" w:rsidRPr="00313006">
        <w:rPr>
          <w:i/>
          <w:lang w:val="en-AU"/>
        </w:rPr>
        <w:t>Health Insurance Act 1973</w:t>
      </w:r>
      <w:r w:rsidR="00F70114" w:rsidRPr="00313006">
        <w:t xml:space="preserve"> applies.</w:t>
      </w:r>
      <w:r w:rsidRPr="00313006">
        <w:rPr>
          <w:u w:val="single"/>
          <w:lang w:val="en-AU"/>
        </w:rPr>
        <w:t xml:space="preserve"> </w:t>
      </w:r>
      <w:r w:rsidR="00F43A20" w:rsidRPr="00313006">
        <w:rPr>
          <w:i/>
          <w:lang w:val="en-AU"/>
        </w:rPr>
        <w:t xml:space="preserve"> </w:t>
      </w:r>
    </w:p>
    <w:p w14:paraId="461AFEF9" w14:textId="76E45C24" w:rsidR="00A43D12" w:rsidRPr="00313006" w:rsidRDefault="00A43D12" w:rsidP="00DE17F1">
      <w:pPr>
        <w:spacing w:before="360" w:after="120"/>
        <w:rPr>
          <w:b/>
          <w:lang w:val="en-AU" w:eastAsia="ja-JP"/>
        </w:rPr>
      </w:pPr>
      <w:r w:rsidRPr="00313006">
        <w:rPr>
          <w:b/>
          <w:lang w:val="en-AU" w:eastAsia="ja-JP"/>
        </w:rPr>
        <w:t>Schedule</w:t>
      </w:r>
      <w:r w:rsidR="00EC58C0" w:rsidRPr="00313006">
        <w:rPr>
          <w:b/>
          <w:lang w:val="en-AU" w:eastAsia="ja-JP"/>
        </w:rPr>
        <w:t xml:space="preserve"> 1</w:t>
      </w:r>
      <w:r w:rsidRPr="00313006">
        <w:rPr>
          <w:b/>
          <w:lang w:val="en-AU" w:eastAsia="ja-JP"/>
        </w:rPr>
        <w:t xml:space="preserve"> – D</w:t>
      </w:r>
      <w:r w:rsidR="00311791" w:rsidRPr="00313006">
        <w:rPr>
          <w:b/>
          <w:lang w:val="en-AU" w:eastAsia="ja-JP"/>
        </w:rPr>
        <w:t>escription</w:t>
      </w:r>
      <w:r w:rsidRPr="00313006">
        <w:rPr>
          <w:b/>
          <w:lang w:val="en-AU" w:eastAsia="ja-JP"/>
        </w:rPr>
        <w:t xml:space="preserve"> of quality assurance activity</w:t>
      </w:r>
    </w:p>
    <w:p w14:paraId="361E3F7C" w14:textId="65FF4AA7" w:rsidR="00256A0D" w:rsidRPr="00313006" w:rsidRDefault="00A43D12" w:rsidP="00DE17F1">
      <w:pPr>
        <w:spacing w:before="360" w:after="120"/>
        <w:rPr>
          <w:lang w:val="en-AU" w:eastAsia="ja-JP"/>
        </w:rPr>
      </w:pPr>
      <w:r w:rsidRPr="00313006">
        <w:rPr>
          <w:szCs w:val="24"/>
          <w:lang w:val="en-AU" w:eastAsia="ja-JP"/>
        </w:rPr>
        <w:t>The Schedule provides that the name of the activity is ‘</w:t>
      </w:r>
      <w:r w:rsidR="00247E41" w:rsidRPr="00313006">
        <w:rPr>
          <w:bCs/>
          <w:szCs w:val="24"/>
        </w:rPr>
        <w:t xml:space="preserve">Top End Health Service </w:t>
      </w:r>
      <w:r w:rsidR="00C40ACA" w:rsidRPr="00313006">
        <w:rPr>
          <w:bCs/>
          <w:szCs w:val="24"/>
        </w:rPr>
        <w:t xml:space="preserve">Peer Review </w:t>
      </w:r>
      <w:r w:rsidR="00247E41" w:rsidRPr="00313006">
        <w:rPr>
          <w:bCs/>
          <w:szCs w:val="24"/>
        </w:rPr>
        <w:t>Clinical Audit</w:t>
      </w:r>
      <w:r w:rsidR="00C40ACA" w:rsidRPr="00313006">
        <w:rPr>
          <w:bCs/>
          <w:szCs w:val="24"/>
        </w:rPr>
        <w:t>s</w:t>
      </w:r>
      <w:r w:rsidR="00247E41" w:rsidRPr="00313006">
        <w:rPr>
          <w:bCs/>
          <w:szCs w:val="24"/>
        </w:rPr>
        <w:t xml:space="preserve"> of Surgical Mortalities and Morbidities</w:t>
      </w:r>
      <w:r w:rsidRPr="00313006">
        <w:rPr>
          <w:szCs w:val="24"/>
          <w:lang w:val="en-AU" w:eastAsia="ja-JP"/>
        </w:rPr>
        <w:t>’. It describes the quality assurance activity as</w:t>
      </w:r>
      <w:r w:rsidR="00C40ACA" w:rsidRPr="00313006">
        <w:rPr>
          <w:szCs w:val="24"/>
          <w:lang w:val="en-AU" w:eastAsia="ja-JP"/>
        </w:rPr>
        <w:t xml:space="preserve"> a</w:t>
      </w:r>
      <w:r w:rsidR="0093180E" w:rsidRPr="00313006">
        <w:rPr>
          <w:szCs w:val="24"/>
          <w:lang w:val="en-AU" w:eastAsia="ja-JP"/>
        </w:rPr>
        <w:t xml:space="preserve"> </w:t>
      </w:r>
      <w:r w:rsidR="00C40ACA" w:rsidRPr="00313006">
        <w:rPr>
          <w:szCs w:val="24"/>
          <w:lang w:val="en-AU" w:eastAsia="ja-JP"/>
        </w:rPr>
        <w:t xml:space="preserve">clinician-led activity that enables clinical review of identified cases to discuss and evaluate contributing clinical factors that led to an adverse outcome and the making </w:t>
      </w:r>
      <w:r w:rsidR="00B60EE5" w:rsidRPr="00313006">
        <w:rPr>
          <w:szCs w:val="24"/>
          <w:lang w:val="en-AU" w:eastAsia="ja-JP"/>
        </w:rPr>
        <w:t xml:space="preserve">and monitoring </w:t>
      </w:r>
      <w:r w:rsidR="00C40ACA" w:rsidRPr="00313006">
        <w:rPr>
          <w:szCs w:val="24"/>
          <w:lang w:val="en-AU" w:eastAsia="ja-JP"/>
        </w:rPr>
        <w:t>of recommendations about changes or improvements in a policy, procedure or practice relating to health services to reduce the likelihood of, or prevent, the same type of event from occurring again.</w:t>
      </w:r>
    </w:p>
    <w:p w14:paraId="682E11D3" w14:textId="77777777" w:rsidR="00E45B1E" w:rsidRPr="00313006" w:rsidRDefault="008E00C3" w:rsidP="00DE17F1">
      <w:pPr>
        <w:spacing w:before="360" w:after="120"/>
      </w:pPr>
      <w:r w:rsidRPr="00313006">
        <w:br w:type="page"/>
      </w:r>
    </w:p>
    <w:p w14:paraId="4A6EB527" w14:textId="25FA71DC" w:rsidR="008E00C3" w:rsidRPr="00313006" w:rsidRDefault="006F2670" w:rsidP="006F2670">
      <w:pPr>
        <w:tabs>
          <w:tab w:val="center" w:pos="4595"/>
          <w:tab w:val="right" w:pos="9190"/>
        </w:tabs>
        <w:spacing w:before="360" w:after="120"/>
        <w:rPr>
          <w:b/>
          <w:sz w:val="28"/>
          <w:szCs w:val="28"/>
        </w:rPr>
      </w:pPr>
      <w:r w:rsidRPr="00313006">
        <w:rPr>
          <w:b/>
          <w:sz w:val="28"/>
          <w:szCs w:val="28"/>
        </w:rPr>
        <w:lastRenderedPageBreak/>
        <w:tab/>
      </w:r>
      <w:r w:rsidR="008E00C3" w:rsidRPr="00313006">
        <w:rPr>
          <w:b/>
          <w:sz w:val="28"/>
          <w:szCs w:val="28"/>
        </w:rPr>
        <w:t>Statement of Compatibility with Human Rights</w:t>
      </w:r>
      <w:r w:rsidRPr="00313006">
        <w:rPr>
          <w:b/>
          <w:sz w:val="28"/>
          <w:szCs w:val="28"/>
        </w:rPr>
        <w:tab/>
      </w:r>
    </w:p>
    <w:p w14:paraId="1428696B" w14:textId="77777777" w:rsidR="008E00C3" w:rsidRPr="00313006" w:rsidRDefault="008E00C3" w:rsidP="008E00C3">
      <w:pPr>
        <w:spacing w:before="120" w:after="120"/>
        <w:jc w:val="center"/>
        <w:rPr>
          <w:szCs w:val="24"/>
        </w:rPr>
      </w:pPr>
      <w:r w:rsidRPr="00313006">
        <w:rPr>
          <w:i/>
          <w:szCs w:val="24"/>
        </w:rPr>
        <w:t>Prepared in accordance with Part 3 of the Human Rights (Parliamentary Scrutiny) Act 2011</w:t>
      </w:r>
    </w:p>
    <w:p w14:paraId="6D60F5F3" w14:textId="77777777" w:rsidR="008E00C3" w:rsidRPr="00313006" w:rsidRDefault="008E00C3" w:rsidP="008E00C3">
      <w:pPr>
        <w:spacing w:before="120" w:after="120"/>
        <w:jc w:val="center"/>
        <w:rPr>
          <w:szCs w:val="24"/>
        </w:rPr>
      </w:pPr>
    </w:p>
    <w:p w14:paraId="3BC86171" w14:textId="188BA2DB" w:rsidR="008E00C3" w:rsidRPr="00313006" w:rsidRDefault="006F2670" w:rsidP="008E00C3">
      <w:pPr>
        <w:spacing w:before="120" w:after="120"/>
        <w:jc w:val="center"/>
        <w:rPr>
          <w:i/>
          <w:szCs w:val="24"/>
        </w:rPr>
      </w:pPr>
      <w:r w:rsidRPr="00313006">
        <w:rPr>
          <w:i/>
          <w:szCs w:val="24"/>
        </w:rPr>
        <w:t>Health Insurance (</w:t>
      </w:r>
      <w:r w:rsidRPr="00313006">
        <w:rPr>
          <w:i/>
          <w:szCs w:val="24"/>
          <w:lang w:val="en-AU"/>
        </w:rPr>
        <w:t xml:space="preserve">Quality Assurance Activity </w:t>
      </w:r>
      <w:r w:rsidRPr="00313006">
        <w:rPr>
          <w:i/>
          <w:iCs/>
          <w:szCs w:val="24"/>
          <w:lang w:val="en-AU"/>
        </w:rPr>
        <w:t xml:space="preserve">– Top End Health Service Peer Review Clinical Audits </w:t>
      </w:r>
      <w:r w:rsidRPr="00313006">
        <w:rPr>
          <w:i/>
          <w:szCs w:val="24"/>
        </w:rPr>
        <w:t>of Surgical Mortalities a</w:t>
      </w:r>
      <w:r w:rsidR="00F152FF" w:rsidRPr="00313006">
        <w:rPr>
          <w:i/>
          <w:szCs w:val="24"/>
        </w:rPr>
        <w:t>nd Morbidities) Declaration 2021</w:t>
      </w:r>
      <w:r w:rsidRPr="00313006">
        <w:rPr>
          <w:i/>
          <w:szCs w:val="24"/>
        </w:rPr>
        <w:t xml:space="preserve"> </w:t>
      </w:r>
      <w:r w:rsidR="008E00C3" w:rsidRPr="00313006">
        <w:rPr>
          <w:i/>
          <w:szCs w:val="24"/>
        </w:rPr>
        <w:t xml:space="preserve"> </w:t>
      </w:r>
      <w:r w:rsidR="008E00C3" w:rsidRPr="00313006">
        <w:rPr>
          <w:i/>
          <w:szCs w:val="24"/>
        </w:rPr>
        <w:br/>
      </w:r>
    </w:p>
    <w:p w14:paraId="114EF0C3" w14:textId="7DA247BB" w:rsidR="008E00C3" w:rsidRPr="00313006" w:rsidRDefault="008E00C3" w:rsidP="005C3946">
      <w:pPr>
        <w:spacing w:before="120" w:after="120"/>
        <w:rPr>
          <w:szCs w:val="24"/>
        </w:rPr>
      </w:pPr>
      <w:r w:rsidRPr="00313006">
        <w:rPr>
          <w:szCs w:val="24"/>
        </w:rPr>
        <w:t xml:space="preserve">This </w:t>
      </w:r>
      <w:r w:rsidR="00EC58C0" w:rsidRPr="00313006">
        <w:rPr>
          <w:szCs w:val="24"/>
        </w:rPr>
        <w:t>Declaration</w:t>
      </w:r>
      <w:r w:rsidRPr="00313006">
        <w:rPr>
          <w:szCs w:val="24"/>
        </w:rPr>
        <w:t xml:space="preserve"> is compatible with the human rights and freedoms recognised or declared in the international instruments listed in section 3 of the </w:t>
      </w:r>
      <w:r w:rsidRPr="00313006">
        <w:rPr>
          <w:i/>
          <w:szCs w:val="24"/>
        </w:rPr>
        <w:t>Human</w:t>
      </w:r>
      <w:r w:rsidR="00A43D12" w:rsidRPr="00313006">
        <w:rPr>
          <w:i/>
          <w:szCs w:val="24"/>
          <w:lang w:eastAsia="ja-JP"/>
        </w:rPr>
        <w:t> </w:t>
      </w:r>
      <w:r w:rsidRPr="00313006">
        <w:rPr>
          <w:i/>
          <w:szCs w:val="24"/>
        </w:rPr>
        <w:t>Rights</w:t>
      </w:r>
      <w:r w:rsidR="00A43D12" w:rsidRPr="00313006">
        <w:rPr>
          <w:i/>
          <w:szCs w:val="24"/>
          <w:lang w:eastAsia="ja-JP"/>
        </w:rPr>
        <w:t> </w:t>
      </w:r>
      <w:r w:rsidRPr="00313006">
        <w:rPr>
          <w:i/>
          <w:szCs w:val="24"/>
        </w:rPr>
        <w:t>(Parliamentary Scrutiny) Act 2011</w:t>
      </w:r>
      <w:r w:rsidRPr="00313006">
        <w:rPr>
          <w:szCs w:val="24"/>
        </w:rPr>
        <w:t>.</w:t>
      </w:r>
    </w:p>
    <w:p w14:paraId="1C7731F9" w14:textId="77777777" w:rsidR="008E00C3" w:rsidRPr="00313006" w:rsidRDefault="008E00C3" w:rsidP="008E00C3">
      <w:pPr>
        <w:spacing w:before="120" w:after="120"/>
        <w:jc w:val="both"/>
        <w:rPr>
          <w:b/>
          <w:szCs w:val="24"/>
        </w:rPr>
      </w:pPr>
      <w:r w:rsidRPr="00313006">
        <w:rPr>
          <w:b/>
          <w:szCs w:val="24"/>
        </w:rPr>
        <w:t>Overview of the Legislative Instrument</w:t>
      </w:r>
    </w:p>
    <w:p w14:paraId="23C4DBB9" w14:textId="305F6F43" w:rsidR="000B710C" w:rsidRPr="00313006" w:rsidRDefault="008E00C3" w:rsidP="008E00C3">
      <w:pPr>
        <w:spacing w:before="120" w:after="120"/>
        <w:rPr>
          <w:szCs w:val="24"/>
        </w:rPr>
      </w:pPr>
      <w:r w:rsidRPr="00313006">
        <w:rPr>
          <w:szCs w:val="24"/>
        </w:rPr>
        <w:t>Th</w:t>
      </w:r>
      <w:r w:rsidR="00F77CC4" w:rsidRPr="00313006">
        <w:rPr>
          <w:szCs w:val="24"/>
        </w:rPr>
        <w:t xml:space="preserve">e </w:t>
      </w:r>
      <w:r w:rsidR="006F2670" w:rsidRPr="00313006">
        <w:rPr>
          <w:i/>
        </w:rPr>
        <w:t>Health Insurance (</w:t>
      </w:r>
      <w:r w:rsidR="006F2670" w:rsidRPr="00313006">
        <w:rPr>
          <w:i/>
          <w:lang w:val="en-AU"/>
        </w:rPr>
        <w:t xml:space="preserve">Quality Assurance Activity </w:t>
      </w:r>
      <w:r w:rsidR="006F2670" w:rsidRPr="00313006">
        <w:rPr>
          <w:i/>
          <w:iCs/>
          <w:lang w:val="en-AU"/>
        </w:rPr>
        <w:t xml:space="preserve">– Top End Health Service Peer Review Clinical Audits </w:t>
      </w:r>
      <w:r w:rsidR="006F2670" w:rsidRPr="00313006">
        <w:rPr>
          <w:i/>
        </w:rPr>
        <w:t>of Surgical Mortalities and Morbidities) Declaration 202</w:t>
      </w:r>
      <w:r w:rsidR="00F152FF" w:rsidRPr="00313006">
        <w:rPr>
          <w:i/>
        </w:rPr>
        <w:t>1</w:t>
      </w:r>
      <w:r w:rsidR="006F2670" w:rsidRPr="00313006">
        <w:t xml:space="preserve"> </w:t>
      </w:r>
      <w:r w:rsidR="00F77CC4" w:rsidRPr="00313006">
        <w:rPr>
          <w:szCs w:val="24"/>
        </w:rPr>
        <w:t xml:space="preserve">(the Declaration) </w:t>
      </w:r>
      <w:r w:rsidRPr="00313006">
        <w:rPr>
          <w:szCs w:val="24"/>
        </w:rPr>
        <w:t xml:space="preserve">declares </w:t>
      </w:r>
      <w:r w:rsidR="00194B14" w:rsidRPr="00313006">
        <w:rPr>
          <w:szCs w:val="24"/>
        </w:rPr>
        <w:t>the</w:t>
      </w:r>
      <w:r w:rsidR="0060043D" w:rsidRPr="00313006">
        <w:rPr>
          <w:szCs w:val="24"/>
        </w:rPr>
        <w:t xml:space="preserve"> </w:t>
      </w:r>
      <w:r w:rsidR="00247E41" w:rsidRPr="00313006">
        <w:rPr>
          <w:rFonts w:eastAsia="Times New Roman"/>
          <w:kern w:val="28"/>
          <w:szCs w:val="22"/>
          <w:lang w:eastAsia="en-AU"/>
        </w:rPr>
        <w:t>Top End Health Service</w:t>
      </w:r>
      <w:r w:rsidR="00D111CA" w:rsidRPr="00313006">
        <w:rPr>
          <w:rFonts w:eastAsia="Times New Roman"/>
          <w:kern w:val="28"/>
          <w:szCs w:val="22"/>
          <w:lang w:eastAsia="en-AU"/>
        </w:rPr>
        <w:t xml:space="preserve"> (TEHS)</w:t>
      </w:r>
      <w:r w:rsidR="00247E41" w:rsidRPr="00313006">
        <w:rPr>
          <w:rFonts w:eastAsia="Times New Roman"/>
          <w:kern w:val="28"/>
          <w:szCs w:val="22"/>
          <w:lang w:eastAsia="en-AU"/>
        </w:rPr>
        <w:t xml:space="preserve"> Clinical Audit of Surgical Mortalities and Morbidities</w:t>
      </w:r>
      <w:r w:rsidR="00845F4C" w:rsidRPr="00313006">
        <w:rPr>
          <w:szCs w:val="24"/>
        </w:rPr>
        <w:t xml:space="preserve"> </w:t>
      </w:r>
      <w:r w:rsidRPr="00313006">
        <w:rPr>
          <w:szCs w:val="24"/>
        </w:rPr>
        <w:t>to be a quality assurance a</w:t>
      </w:r>
      <w:r w:rsidR="00910454" w:rsidRPr="00313006">
        <w:rPr>
          <w:szCs w:val="24"/>
        </w:rPr>
        <w:t xml:space="preserve">ctivity to which Part VC of the </w:t>
      </w:r>
      <w:r w:rsidR="00910454" w:rsidRPr="00313006">
        <w:rPr>
          <w:i/>
          <w:szCs w:val="24"/>
        </w:rPr>
        <w:t>Health Insurance </w:t>
      </w:r>
      <w:r w:rsidR="00EC275C" w:rsidRPr="00313006">
        <w:rPr>
          <w:i/>
        </w:rPr>
        <w:t>Act</w:t>
      </w:r>
      <w:r w:rsidR="00247E41" w:rsidRPr="00313006">
        <w:rPr>
          <w:i/>
        </w:rPr>
        <w:t> </w:t>
      </w:r>
      <w:r w:rsidRPr="00313006">
        <w:rPr>
          <w:i/>
        </w:rPr>
        <w:t>1973</w:t>
      </w:r>
      <w:r w:rsidRPr="00313006">
        <w:rPr>
          <w:szCs w:val="24"/>
        </w:rPr>
        <w:t xml:space="preserve"> </w:t>
      </w:r>
      <w:r w:rsidR="00F77CC4" w:rsidRPr="00313006">
        <w:rPr>
          <w:szCs w:val="24"/>
        </w:rPr>
        <w:t xml:space="preserve">(the Act) </w:t>
      </w:r>
      <w:r w:rsidRPr="00313006">
        <w:rPr>
          <w:szCs w:val="24"/>
        </w:rPr>
        <w:t xml:space="preserve">applies. </w:t>
      </w:r>
      <w:r w:rsidR="000B710C" w:rsidRPr="00313006">
        <w:rPr>
          <w:szCs w:val="24"/>
        </w:rPr>
        <w:t>Information known solely as the result of</w:t>
      </w:r>
      <w:r w:rsidR="00EC275C" w:rsidRPr="00313006">
        <w:rPr>
          <w:szCs w:val="24"/>
        </w:rPr>
        <w:t xml:space="preserve"> conducting</w:t>
      </w:r>
      <w:r w:rsidR="000B710C" w:rsidRPr="00313006">
        <w:rPr>
          <w:szCs w:val="24"/>
        </w:rPr>
        <w:t xml:space="preserve"> the </w:t>
      </w:r>
      <w:r w:rsidR="00C70E4E" w:rsidRPr="00313006">
        <w:rPr>
          <w:szCs w:val="24"/>
        </w:rPr>
        <w:t>activity</w:t>
      </w:r>
      <w:r w:rsidR="000B710C" w:rsidRPr="00313006">
        <w:rPr>
          <w:szCs w:val="24"/>
        </w:rPr>
        <w:t xml:space="preserve">, or documents created solely for the purposes of the </w:t>
      </w:r>
      <w:r w:rsidR="00C70E4E" w:rsidRPr="00313006">
        <w:rPr>
          <w:szCs w:val="24"/>
        </w:rPr>
        <w:t>activity</w:t>
      </w:r>
      <w:r w:rsidR="000B710C" w:rsidRPr="00313006">
        <w:rPr>
          <w:szCs w:val="24"/>
        </w:rPr>
        <w:t>, will be covered by qualified privilege.</w:t>
      </w:r>
    </w:p>
    <w:p w14:paraId="522E1FDF" w14:textId="77777777" w:rsidR="008E00C3" w:rsidRPr="00313006" w:rsidRDefault="008E00C3" w:rsidP="008E00C3">
      <w:pPr>
        <w:spacing w:before="120" w:after="120"/>
        <w:rPr>
          <w:b/>
          <w:szCs w:val="24"/>
        </w:rPr>
      </w:pPr>
      <w:r w:rsidRPr="00313006">
        <w:rPr>
          <w:b/>
          <w:szCs w:val="24"/>
        </w:rPr>
        <w:t>Human rights implications</w:t>
      </w:r>
    </w:p>
    <w:p w14:paraId="4E899BC8" w14:textId="77777777" w:rsidR="000B710C" w:rsidRPr="00313006" w:rsidRDefault="000B710C" w:rsidP="000B710C">
      <w:pPr>
        <w:spacing w:before="120" w:after="120"/>
        <w:rPr>
          <w:szCs w:val="24"/>
        </w:rPr>
      </w:pPr>
      <w:r w:rsidRPr="00313006">
        <w:rPr>
          <w:szCs w:val="24"/>
        </w:rPr>
        <w:t>This Declaration engages the right to health as set out in Article 12 of the International Covenant on Economic, Social and Cultural Right by assisting with the progressive realisation by all appropriate means of the right of everyone to the enjoyment of the highest attainable standard of physical and mental health.</w:t>
      </w:r>
    </w:p>
    <w:p w14:paraId="102A2578" w14:textId="064C1E66" w:rsidR="000B710C" w:rsidRPr="00313006" w:rsidRDefault="000B710C" w:rsidP="00680161">
      <w:pPr>
        <w:widowControl/>
        <w:autoSpaceDE w:val="0"/>
        <w:autoSpaceDN w:val="0"/>
        <w:adjustRightInd w:val="0"/>
        <w:rPr>
          <w:szCs w:val="24"/>
        </w:rPr>
      </w:pPr>
      <w:r w:rsidRPr="00313006">
        <w:rPr>
          <w:szCs w:val="24"/>
        </w:rPr>
        <w:t xml:space="preserve">The </w:t>
      </w:r>
      <w:r w:rsidR="00630C36" w:rsidRPr="00313006">
        <w:rPr>
          <w:szCs w:val="24"/>
        </w:rPr>
        <w:t>q</w:t>
      </w:r>
      <w:r w:rsidRPr="00313006">
        <w:rPr>
          <w:szCs w:val="24"/>
        </w:rPr>
        <w:t xml:space="preserve">ualified </w:t>
      </w:r>
      <w:r w:rsidR="00630C36" w:rsidRPr="00313006">
        <w:rPr>
          <w:szCs w:val="24"/>
        </w:rPr>
        <w:t>p</w:t>
      </w:r>
      <w:r w:rsidRPr="00313006">
        <w:rPr>
          <w:szCs w:val="24"/>
        </w:rPr>
        <w:t xml:space="preserve">rivilege </w:t>
      </w:r>
      <w:r w:rsidR="00630C36" w:rsidRPr="00313006">
        <w:rPr>
          <w:szCs w:val="24"/>
        </w:rPr>
        <w:t>s</w:t>
      </w:r>
      <w:r w:rsidRPr="00313006">
        <w:rPr>
          <w:szCs w:val="24"/>
        </w:rPr>
        <w:t xml:space="preserve">cheme established by Part VC of the Act is aimed at encouraging participation in quality assurance activities that help ensure the highest possible health care standards are maintained. The quality assurance activity described in this Declaration will provide participants with a greater degree of confidence and security that their participation is for the benefit of </w:t>
      </w:r>
      <w:r w:rsidR="005C3946" w:rsidRPr="00313006">
        <w:rPr>
          <w:szCs w:val="24"/>
        </w:rPr>
        <w:t xml:space="preserve">improving clinical management and </w:t>
      </w:r>
      <w:r w:rsidR="0025197F" w:rsidRPr="00313006">
        <w:rPr>
          <w:szCs w:val="24"/>
        </w:rPr>
        <w:t xml:space="preserve">delivery of care </w:t>
      </w:r>
      <w:r w:rsidR="00F74CBB" w:rsidRPr="00313006">
        <w:rPr>
          <w:szCs w:val="24"/>
        </w:rPr>
        <w:t xml:space="preserve">within </w:t>
      </w:r>
      <w:r w:rsidR="0061765C" w:rsidRPr="00313006">
        <w:rPr>
          <w:szCs w:val="24"/>
        </w:rPr>
        <w:t xml:space="preserve">the hospitals </w:t>
      </w:r>
      <w:r w:rsidR="00B60EE5" w:rsidRPr="00313006">
        <w:rPr>
          <w:szCs w:val="24"/>
        </w:rPr>
        <w:t xml:space="preserve">in the TEHS under the auspices of the Northern Territory (NT) Department of Health. </w:t>
      </w:r>
      <w:r w:rsidRPr="00313006">
        <w:rPr>
          <w:szCs w:val="24"/>
        </w:rPr>
        <w:t xml:space="preserve">. </w:t>
      </w:r>
    </w:p>
    <w:p w14:paraId="0E2BC5A5" w14:textId="77777777" w:rsidR="0025197F" w:rsidRPr="00313006" w:rsidRDefault="0025197F" w:rsidP="00680161">
      <w:pPr>
        <w:widowControl/>
        <w:autoSpaceDE w:val="0"/>
        <w:autoSpaceDN w:val="0"/>
        <w:adjustRightInd w:val="0"/>
        <w:rPr>
          <w:szCs w:val="24"/>
        </w:rPr>
      </w:pPr>
    </w:p>
    <w:p w14:paraId="018AD692" w14:textId="26DD4584" w:rsidR="0025197F" w:rsidRPr="00313006" w:rsidRDefault="0051686F" w:rsidP="0025197F">
      <w:pPr>
        <w:widowControl/>
        <w:autoSpaceDE w:val="0"/>
        <w:autoSpaceDN w:val="0"/>
        <w:adjustRightInd w:val="0"/>
        <w:rPr>
          <w:szCs w:val="24"/>
        </w:rPr>
      </w:pPr>
      <w:r w:rsidRPr="00313006">
        <w:rPr>
          <w:szCs w:val="24"/>
        </w:rPr>
        <w:t xml:space="preserve">This Declaration also engages, but does not limit, the right to </w:t>
      </w:r>
      <w:r w:rsidR="00EC275C" w:rsidRPr="00313006">
        <w:rPr>
          <w:szCs w:val="24"/>
        </w:rPr>
        <w:t xml:space="preserve">privacy as contained in </w:t>
      </w:r>
      <w:r w:rsidR="00825475" w:rsidRPr="00313006">
        <w:rPr>
          <w:szCs w:val="24"/>
        </w:rPr>
        <w:t>A</w:t>
      </w:r>
      <w:r w:rsidR="00EC275C" w:rsidRPr="00313006">
        <w:rPr>
          <w:szCs w:val="24"/>
        </w:rPr>
        <w:t>rticle </w:t>
      </w:r>
      <w:r w:rsidRPr="00313006">
        <w:rPr>
          <w:szCs w:val="24"/>
        </w:rPr>
        <w:t xml:space="preserve">17 of the International Covenant on Civil and Political Rights by involving the collection, storage, security, use, disclosure or publication of personal information. Data collected as part of the quality assurance activity will be </w:t>
      </w:r>
      <w:r w:rsidR="0025197F" w:rsidRPr="00313006">
        <w:rPr>
          <w:szCs w:val="24"/>
        </w:rPr>
        <w:t xml:space="preserve">subsequently </w:t>
      </w:r>
      <w:r w:rsidRPr="00313006">
        <w:rPr>
          <w:szCs w:val="24"/>
        </w:rPr>
        <w:t>de-identified to ensure that no individual or individuals are identified prior to analysis or disclosure of the information.</w:t>
      </w:r>
      <w:r w:rsidR="0025197F" w:rsidRPr="00313006">
        <w:rPr>
          <w:szCs w:val="24"/>
        </w:rPr>
        <w:t xml:space="preserve"> </w:t>
      </w:r>
      <w:r w:rsidR="00B60EE5" w:rsidRPr="00313006">
        <w:rPr>
          <w:szCs w:val="24"/>
        </w:rPr>
        <w:t>Participants</w:t>
      </w:r>
      <w:r w:rsidR="0061765C" w:rsidRPr="00313006">
        <w:rPr>
          <w:szCs w:val="24"/>
        </w:rPr>
        <w:t xml:space="preserve"> </w:t>
      </w:r>
      <w:r w:rsidR="00406F66" w:rsidRPr="00313006">
        <w:rPr>
          <w:szCs w:val="24"/>
        </w:rPr>
        <w:t xml:space="preserve">will </w:t>
      </w:r>
      <w:r w:rsidR="0025197F" w:rsidRPr="00313006">
        <w:rPr>
          <w:szCs w:val="24"/>
        </w:rPr>
        <w:t xml:space="preserve">publish a range of information relating to clinical and system factors that contribute to patient morbidity and mortality in the </w:t>
      </w:r>
      <w:r w:rsidR="002049D4" w:rsidRPr="00313006">
        <w:rPr>
          <w:szCs w:val="24"/>
        </w:rPr>
        <w:t>NT</w:t>
      </w:r>
      <w:r w:rsidR="0061765C" w:rsidRPr="00313006">
        <w:rPr>
          <w:szCs w:val="24"/>
        </w:rPr>
        <w:t xml:space="preserve"> Health Annual Report, NT Audit of Surgical Mortality and the NT Health Clinical Quality and Patient Safety Surveillance Report.  </w:t>
      </w:r>
    </w:p>
    <w:p w14:paraId="3BEC2FF4" w14:textId="4C8E1365" w:rsidR="0051686F" w:rsidRPr="00313006" w:rsidRDefault="0051686F" w:rsidP="000B710C">
      <w:pPr>
        <w:spacing w:before="120" w:after="120"/>
        <w:rPr>
          <w:szCs w:val="24"/>
        </w:rPr>
      </w:pPr>
    </w:p>
    <w:p w14:paraId="6EF888CB" w14:textId="77777777" w:rsidR="008E00C3" w:rsidRPr="00313006" w:rsidRDefault="008E00C3" w:rsidP="008E00C3">
      <w:pPr>
        <w:spacing w:before="120" w:after="120"/>
        <w:rPr>
          <w:b/>
          <w:szCs w:val="24"/>
        </w:rPr>
      </w:pPr>
      <w:r w:rsidRPr="00313006">
        <w:rPr>
          <w:b/>
          <w:szCs w:val="24"/>
        </w:rPr>
        <w:t>Conclusion</w:t>
      </w:r>
    </w:p>
    <w:p w14:paraId="4FA4B5D4" w14:textId="77777777" w:rsidR="000B710C" w:rsidRPr="00313006" w:rsidRDefault="000B710C" w:rsidP="000B710C">
      <w:pPr>
        <w:spacing w:before="120" w:after="120"/>
        <w:rPr>
          <w:szCs w:val="24"/>
        </w:rPr>
      </w:pPr>
      <w:r w:rsidRPr="00313006">
        <w:rPr>
          <w:szCs w:val="24"/>
        </w:rPr>
        <w:t>This Declaration is compatible with human rights as it promotes the right to health</w:t>
      </w:r>
      <w:r w:rsidR="00CE59BE" w:rsidRPr="00313006">
        <w:rPr>
          <w:szCs w:val="24"/>
        </w:rPr>
        <w:t xml:space="preserve"> and does not limit the right to privacy</w:t>
      </w:r>
      <w:r w:rsidRPr="00313006">
        <w:rPr>
          <w:szCs w:val="24"/>
        </w:rPr>
        <w:t>.</w:t>
      </w:r>
    </w:p>
    <w:p w14:paraId="7CE05702" w14:textId="77777777" w:rsidR="001F29CD" w:rsidRPr="00313006" w:rsidRDefault="001F29CD" w:rsidP="001F29CD">
      <w:pPr>
        <w:pStyle w:val="BodyText"/>
        <w:tabs>
          <w:tab w:val="left" w:pos="0"/>
        </w:tabs>
        <w:jc w:val="center"/>
        <w:rPr>
          <w:b/>
        </w:rPr>
      </w:pPr>
    </w:p>
    <w:p w14:paraId="4576F57E" w14:textId="519E5F3E" w:rsidR="001F29CD" w:rsidRPr="00313006" w:rsidRDefault="001F29CD" w:rsidP="001F29CD">
      <w:pPr>
        <w:pStyle w:val="BodyText"/>
        <w:tabs>
          <w:tab w:val="left" w:pos="0"/>
        </w:tabs>
        <w:jc w:val="center"/>
        <w:rPr>
          <w:b/>
        </w:rPr>
      </w:pPr>
      <w:r w:rsidRPr="00313006">
        <w:rPr>
          <w:b/>
        </w:rPr>
        <w:t xml:space="preserve">Prof. </w:t>
      </w:r>
      <w:r w:rsidR="0093180E" w:rsidRPr="00313006">
        <w:rPr>
          <w:b/>
        </w:rPr>
        <w:t>Paul Kelly</w:t>
      </w:r>
    </w:p>
    <w:p w14:paraId="7FB4AFB9" w14:textId="4CA77EB4" w:rsidR="001F29CD" w:rsidRPr="00313006" w:rsidRDefault="001F29CD">
      <w:pPr>
        <w:pStyle w:val="BodyText"/>
        <w:tabs>
          <w:tab w:val="left" w:pos="0"/>
        </w:tabs>
        <w:jc w:val="center"/>
        <w:rPr>
          <w:b/>
        </w:rPr>
      </w:pPr>
      <w:r w:rsidRPr="00313006">
        <w:rPr>
          <w:b/>
        </w:rPr>
        <w:t>Chief Medical Officer</w:t>
      </w:r>
    </w:p>
    <w:p w14:paraId="51C63AF3" w14:textId="77777777" w:rsidR="00EF3D0A" w:rsidRDefault="001F29CD" w:rsidP="006F3061">
      <w:pPr>
        <w:pStyle w:val="BodyText"/>
        <w:tabs>
          <w:tab w:val="clear" w:pos="1132"/>
          <w:tab w:val="clear" w:pos="3684"/>
          <w:tab w:val="left" w:pos="0"/>
        </w:tabs>
        <w:jc w:val="center"/>
      </w:pPr>
      <w:r w:rsidRPr="00313006">
        <w:rPr>
          <w:b/>
          <w:snapToGrid w:val="0"/>
        </w:rPr>
        <w:t>Department of Health</w:t>
      </w:r>
      <w:bookmarkStart w:id="2" w:name="_GoBack"/>
      <w:bookmarkEnd w:id="2"/>
    </w:p>
    <w:sectPr w:rsidR="00EF3D0A" w:rsidSect="00367C5E">
      <w:endnotePr>
        <w:numFmt w:val="decimal"/>
      </w:endnotePr>
      <w:pgSz w:w="11906" w:h="16838"/>
      <w:pgMar w:top="585" w:right="1440" w:bottom="663" w:left="1276" w:header="554" w:footer="527" w:gutter="0"/>
      <w:cols w:space="720"/>
      <w:noEndnote/>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C09BA9" w16cid:durableId="2368B6A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BF788" w14:textId="77777777" w:rsidR="00B050CA" w:rsidRDefault="00B050CA">
      <w:r>
        <w:separator/>
      </w:r>
    </w:p>
  </w:endnote>
  <w:endnote w:type="continuationSeparator" w:id="0">
    <w:p w14:paraId="46232537" w14:textId="77777777" w:rsidR="00B050CA" w:rsidRDefault="00B05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6E6FC" w14:textId="6B3C767B" w:rsidR="00697B5B" w:rsidRDefault="00697B5B" w:rsidP="00367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5986">
      <w:rPr>
        <w:rStyle w:val="PageNumber"/>
        <w:noProof/>
      </w:rPr>
      <w:t>1</w:t>
    </w:r>
    <w:r>
      <w:rPr>
        <w:rStyle w:val="PageNumber"/>
      </w:rPr>
      <w:fldChar w:fldCharType="end"/>
    </w:r>
    <w:r>
      <w:rPr>
        <w:rStyle w:val="PageNumber"/>
      </w:rPr>
      <w:t>EUC\EUC\76419726\1</w:t>
    </w:r>
  </w:p>
  <w:p w14:paraId="00A83FD8" w14:textId="77777777" w:rsidR="00697B5B" w:rsidRDefault="00697B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AA0C1" w14:textId="013C3B8D" w:rsidR="00697B5B" w:rsidRDefault="00697B5B" w:rsidP="003673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13006">
      <w:rPr>
        <w:rStyle w:val="PageNumber"/>
        <w:noProof/>
      </w:rPr>
      <w:t>4</w:t>
    </w:r>
    <w:r>
      <w:rPr>
        <w:rStyle w:val="PageNumber"/>
      </w:rPr>
      <w:fldChar w:fldCharType="end"/>
    </w:r>
  </w:p>
  <w:p w14:paraId="2655FF5B" w14:textId="77777777" w:rsidR="00697B5B" w:rsidRDefault="00697B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57663" w14:textId="72DC8383" w:rsidR="00697B5B" w:rsidRDefault="00697B5B">
    <w:pPr>
      <w:pStyle w:val="Footer"/>
      <w:jc w:val="center"/>
    </w:pPr>
    <w:r>
      <w:fldChar w:fldCharType="begin"/>
    </w:r>
    <w:r>
      <w:instrText xml:space="preserve"> PAGE   \* MERGEFORMAT </w:instrText>
    </w:r>
    <w:r>
      <w:fldChar w:fldCharType="separate"/>
    </w:r>
    <w:r w:rsidR="00313006">
      <w:rPr>
        <w:noProof/>
      </w:rPr>
      <w:t>1</w:t>
    </w:r>
    <w:r>
      <w:rPr>
        <w:noProof/>
      </w:rPr>
      <w:fldChar w:fldCharType="end"/>
    </w:r>
  </w:p>
  <w:p w14:paraId="07AB8E1B" w14:textId="77777777" w:rsidR="00697B5B" w:rsidRDefault="00697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1AFB8" w14:textId="77777777" w:rsidR="00B050CA" w:rsidRDefault="00B050CA">
      <w:r>
        <w:separator/>
      </w:r>
    </w:p>
  </w:footnote>
  <w:footnote w:type="continuationSeparator" w:id="0">
    <w:p w14:paraId="02586694" w14:textId="77777777" w:rsidR="00B050CA" w:rsidRDefault="00B05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CF7F9" w14:textId="77777777" w:rsidR="00697B5B" w:rsidRDefault="00697B5B">
    <w:pPr>
      <w:ind w:left="-2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CB7"/>
    <w:multiLevelType w:val="hybridMultilevel"/>
    <w:tmpl w:val="5082F6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0321D86"/>
    <w:multiLevelType w:val="hybridMultilevel"/>
    <w:tmpl w:val="AECC6072"/>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8825E1"/>
    <w:multiLevelType w:val="hybridMultilevel"/>
    <w:tmpl w:val="BDDAD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04612F"/>
    <w:multiLevelType w:val="hybridMultilevel"/>
    <w:tmpl w:val="1D2EF34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F625130"/>
    <w:multiLevelType w:val="hybridMultilevel"/>
    <w:tmpl w:val="C07E57B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C222FD"/>
    <w:multiLevelType w:val="hybridMultilevel"/>
    <w:tmpl w:val="16FC2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FB4D0D"/>
    <w:multiLevelType w:val="hybridMultilevel"/>
    <w:tmpl w:val="B582C510"/>
    <w:lvl w:ilvl="0" w:tplc="F55C67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290D22"/>
    <w:multiLevelType w:val="hybridMultilevel"/>
    <w:tmpl w:val="1D547EB4"/>
    <w:lvl w:ilvl="0" w:tplc="0C090001">
      <w:start w:val="1"/>
      <w:numFmt w:val="bullet"/>
      <w:lvlText w:val=""/>
      <w:lvlJc w:val="left"/>
      <w:pPr>
        <w:ind w:left="2234" w:hanging="360"/>
      </w:pPr>
      <w:rPr>
        <w:rFonts w:ascii="Symbol" w:hAnsi="Symbol" w:hint="default"/>
      </w:rPr>
    </w:lvl>
    <w:lvl w:ilvl="1" w:tplc="0C090003" w:tentative="1">
      <w:start w:val="1"/>
      <w:numFmt w:val="bullet"/>
      <w:lvlText w:val="o"/>
      <w:lvlJc w:val="left"/>
      <w:pPr>
        <w:ind w:left="2954" w:hanging="360"/>
      </w:pPr>
      <w:rPr>
        <w:rFonts w:ascii="Courier New" w:hAnsi="Courier New" w:cs="Courier New" w:hint="default"/>
      </w:rPr>
    </w:lvl>
    <w:lvl w:ilvl="2" w:tplc="0C090005" w:tentative="1">
      <w:start w:val="1"/>
      <w:numFmt w:val="bullet"/>
      <w:lvlText w:val=""/>
      <w:lvlJc w:val="left"/>
      <w:pPr>
        <w:ind w:left="3674" w:hanging="360"/>
      </w:pPr>
      <w:rPr>
        <w:rFonts w:ascii="Wingdings" w:hAnsi="Wingdings" w:hint="default"/>
      </w:rPr>
    </w:lvl>
    <w:lvl w:ilvl="3" w:tplc="0C090001" w:tentative="1">
      <w:start w:val="1"/>
      <w:numFmt w:val="bullet"/>
      <w:lvlText w:val=""/>
      <w:lvlJc w:val="left"/>
      <w:pPr>
        <w:ind w:left="4394" w:hanging="360"/>
      </w:pPr>
      <w:rPr>
        <w:rFonts w:ascii="Symbol" w:hAnsi="Symbol" w:hint="default"/>
      </w:rPr>
    </w:lvl>
    <w:lvl w:ilvl="4" w:tplc="0C090003" w:tentative="1">
      <w:start w:val="1"/>
      <w:numFmt w:val="bullet"/>
      <w:lvlText w:val="o"/>
      <w:lvlJc w:val="left"/>
      <w:pPr>
        <w:ind w:left="5114" w:hanging="360"/>
      </w:pPr>
      <w:rPr>
        <w:rFonts w:ascii="Courier New" w:hAnsi="Courier New" w:cs="Courier New" w:hint="default"/>
      </w:rPr>
    </w:lvl>
    <w:lvl w:ilvl="5" w:tplc="0C090005" w:tentative="1">
      <w:start w:val="1"/>
      <w:numFmt w:val="bullet"/>
      <w:lvlText w:val=""/>
      <w:lvlJc w:val="left"/>
      <w:pPr>
        <w:ind w:left="5834" w:hanging="360"/>
      </w:pPr>
      <w:rPr>
        <w:rFonts w:ascii="Wingdings" w:hAnsi="Wingdings" w:hint="default"/>
      </w:rPr>
    </w:lvl>
    <w:lvl w:ilvl="6" w:tplc="0C090001" w:tentative="1">
      <w:start w:val="1"/>
      <w:numFmt w:val="bullet"/>
      <w:lvlText w:val=""/>
      <w:lvlJc w:val="left"/>
      <w:pPr>
        <w:ind w:left="6554" w:hanging="360"/>
      </w:pPr>
      <w:rPr>
        <w:rFonts w:ascii="Symbol" w:hAnsi="Symbol" w:hint="default"/>
      </w:rPr>
    </w:lvl>
    <w:lvl w:ilvl="7" w:tplc="0C090003" w:tentative="1">
      <w:start w:val="1"/>
      <w:numFmt w:val="bullet"/>
      <w:lvlText w:val="o"/>
      <w:lvlJc w:val="left"/>
      <w:pPr>
        <w:ind w:left="7274" w:hanging="360"/>
      </w:pPr>
      <w:rPr>
        <w:rFonts w:ascii="Courier New" w:hAnsi="Courier New" w:cs="Courier New" w:hint="default"/>
      </w:rPr>
    </w:lvl>
    <w:lvl w:ilvl="8" w:tplc="0C090005" w:tentative="1">
      <w:start w:val="1"/>
      <w:numFmt w:val="bullet"/>
      <w:lvlText w:val=""/>
      <w:lvlJc w:val="left"/>
      <w:pPr>
        <w:ind w:left="7994" w:hanging="360"/>
      </w:pPr>
      <w:rPr>
        <w:rFonts w:ascii="Wingdings" w:hAnsi="Wingdings" w:hint="default"/>
      </w:rPr>
    </w:lvl>
  </w:abstractNum>
  <w:abstractNum w:abstractNumId="8" w15:restartNumberingAfterBreak="0">
    <w:nsid w:val="1BB76FBD"/>
    <w:multiLevelType w:val="hybridMultilevel"/>
    <w:tmpl w:val="F3F48F48"/>
    <w:lvl w:ilvl="0" w:tplc="0C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080"/>
        </w:tabs>
        <w:ind w:left="1080" w:hanging="360"/>
      </w:pPr>
      <w:rPr>
        <w:rFonts w:ascii="Symbol" w:hAnsi="Symbo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C604E68"/>
    <w:multiLevelType w:val="hybridMultilevel"/>
    <w:tmpl w:val="75300C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1425D4"/>
    <w:multiLevelType w:val="hybridMultilevel"/>
    <w:tmpl w:val="D3FC0D7E"/>
    <w:lvl w:ilvl="0" w:tplc="C83067E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3A4B42"/>
    <w:multiLevelType w:val="hybridMultilevel"/>
    <w:tmpl w:val="B4080B08"/>
    <w:lvl w:ilvl="0" w:tplc="5DD073AA">
      <w:start w:val="1"/>
      <w:numFmt w:val="lowerRoman"/>
      <w:lvlText w:val="(%1)"/>
      <w:lvlJc w:val="right"/>
      <w:pPr>
        <w:ind w:left="720" w:hanging="360"/>
      </w:pPr>
      <w:rPr>
        <w:rFonts w:ascii="Times New Roman" w:hAnsi="Times New Roman" w:cs="Times New Roman" w:hint="default"/>
      </w:rPr>
    </w:lvl>
    <w:lvl w:ilvl="1" w:tplc="0C090019">
      <w:start w:val="1"/>
      <w:numFmt w:val="lowerLetter"/>
      <w:lvlText w:val="%2."/>
      <w:lvlJc w:val="left"/>
      <w:pPr>
        <w:ind w:left="1440" w:hanging="360"/>
      </w:pPr>
    </w:lvl>
    <w:lvl w:ilvl="2" w:tplc="F0D60034">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3C01DE"/>
    <w:multiLevelType w:val="hybridMultilevel"/>
    <w:tmpl w:val="B50E75DA"/>
    <w:lvl w:ilvl="0" w:tplc="1028281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9B947BC"/>
    <w:multiLevelType w:val="hybridMultilevel"/>
    <w:tmpl w:val="F6F47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2755CF"/>
    <w:multiLevelType w:val="hybridMultilevel"/>
    <w:tmpl w:val="663EF944"/>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B5C1296"/>
    <w:multiLevelType w:val="hybridMultilevel"/>
    <w:tmpl w:val="0136AE48"/>
    <w:lvl w:ilvl="0" w:tplc="743CB0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0513FD4"/>
    <w:multiLevelType w:val="hybridMultilevel"/>
    <w:tmpl w:val="E51ACD72"/>
    <w:lvl w:ilvl="0" w:tplc="F55C67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2FB00C5"/>
    <w:multiLevelType w:val="hybridMultilevel"/>
    <w:tmpl w:val="4C560C3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339A646F"/>
    <w:multiLevelType w:val="hybridMultilevel"/>
    <w:tmpl w:val="5F8C1C82"/>
    <w:lvl w:ilvl="0" w:tplc="F55C674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322047"/>
    <w:multiLevelType w:val="hybridMultilevel"/>
    <w:tmpl w:val="19982F60"/>
    <w:lvl w:ilvl="0" w:tplc="9D4CE1EC">
      <w:start w:val="1"/>
      <w:numFmt w:val="bullet"/>
      <w:lvlText w:val="­"/>
      <w:lvlJc w:val="left"/>
      <w:pPr>
        <w:tabs>
          <w:tab w:val="num" w:pos="1440"/>
        </w:tabs>
        <w:ind w:left="144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095D38"/>
    <w:multiLevelType w:val="hybridMultilevel"/>
    <w:tmpl w:val="C49C51CA"/>
    <w:lvl w:ilvl="0" w:tplc="0C09000F">
      <w:start w:val="1"/>
      <w:numFmt w:val="decimal"/>
      <w:lvlText w:val="%1."/>
      <w:lvlJc w:val="left"/>
      <w:pPr>
        <w:tabs>
          <w:tab w:val="num" w:pos="1080"/>
        </w:tabs>
        <w:ind w:left="1080" w:hanging="360"/>
      </w:pPr>
      <w:rPr>
        <w:rFont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008441D"/>
    <w:multiLevelType w:val="hybridMultilevel"/>
    <w:tmpl w:val="AA368214"/>
    <w:lvl w:ilvl="0" w:tplc="F55C674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40757ED9"/>
    <w:multiLevelType w:val="hybridMultilevel"/>
    <w:tmpl w:val="FC562382"/>
    <w:lvl w:ilvl="0" w:tplc="9B6C1D14">
      <w:start w:val="1"/>
      <w:numFmt w:val="lowerLetter"/>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410693E"/>
    <w:multiLevelType w:val="hybridMultilevel"/>
    <w:tmpl w:val="17D21E64"/>
    <w:lvl w:ilvl="0" w:tplc="5DD073AA">
      <w:start w:val="1"/>
      <w:numFmt w:val="lowerRoman"/>
      <w:lvlText w:val="(%1)"/>
      <w:lvlJc w:val="right"/>
      <w:pPr>
        <w:ind w:left="720" w:hanging="360"/>
      </w:pPr>
      <w:rPr>
        <w:rFonts w:ascii="Times New Roman" w:hAnsi="Times New Roman" w:cs="Times New Roman"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563192F"/>
    <w:multiLevelType w:val="hybridMultilevel"/>
    <w:tmpl w:val="B142B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C44493"/>
    <w:multiLevelType w:val="hybridMultilevel"/>
    <w:tmpl w:val="04102E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487855A8"/>
    <w:multiLevelType w:val="hybridMultilevel"/>
    <w:tmpl w:val="AE06CB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4F0953CD"/>
    <w:multiLevelType w:val="hybridMultilevel"/>
    <w:tmpl w:val="6B66AE12"/>
    <w:lvl w:ilvl="0" w:tplc="F55C674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53B87708"/>
    <w:multiLevelType w:val="hybridMultilevel"/>
    <w:tmpl w:val="8FA074AE"/>
    <w:lvl w:ilvl="0" w:tplc="0C090001">
      <w:start w:val="1"/>
      <w:numFmt w:val="bullet"/>
      <w:lvlText w:val=""/>
      <w:lvlJc w:val="left"/>
      <w:pPr>
        <w:tabs>
          <w:tab w:val="num" w:pos="720"/>
        </w:tabs>
        <w:ind w:left="720" w:hanging="360"/>
      </w:pPr>
      <w:rPr>
        <w:rFonts w:ascii="Symbol" w:hAnsi="Symbol" w:hint="default"/>
      </w:rPr>
    </w:lvl>
    <w:lvl w:ilvl="1" w:tplc="9D4CE1EC">
      <w:start w:val="1"/>
      <w:numFmt w:val="bullet"/>
      <w:lvlText w:val="­"/>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C74385"/>
    <w:multiLevelType w:val="hybridMultilevel"/>
    <w:tmpl w:val="320A20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51E2422"/>
    <w:multiLevelType w:val="multilevel"/>
    <w:tmpl w:val="A132AA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A93AD3"/>
    <w:multiLevelType w:val="hybridMultilevel"/>
    <w:tmpl w:val="EB1C2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7413D9"/>
    <w:multiLevelType w:val="hybridMultilevel"/>
    <w:tmpl w:val="4D041AB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9C2021"/>
    <w:multiLevelType w:val="hybridMultilevel"/>
    <w:tmpl w:val="220C86B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644E8B"/>
    <w:multiLevelType w:val="hybridMultilevel"/>
    <w:tmpl w:val="E2687270"/>
    <w:lvl w:ilvl="0" w:tplc="A0B6D4F4">
      <w:start w:val="3"/>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12A5F77"/>
    <w:multiLevelType w:val="hybridMultilevel"/>
    <w:tmpl w:val="686EC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736534C"/>
    <w:multiLevelType w:val="hybridMultilevel"/>
    <w:tmpl w:val="C7102B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9884CD0"/>
    <w:multiLevelType w:val="hybridMultilevel"/>
    <w:tmpl w:val="12B6137A"/>
    <w:lvl w:ilvl="0" w:tplc="9D4CE1EC">
      <w:start w:val="1"/>
      <w:numFmt w:val="bullet"/>
      <w:lvlText w:val="­"/>
      <w:lvlJc w:val="left"/>
      <w:pPr>
        <w:tabs>
          <w:tab w:val="num" w:pos="1440"/>
        </w:tabs>
        <w:ind w:left="144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590851"/>
    <w:multiLevelType w:val="hybridMultilevel"/>
    <w:tmpl w:val="C49C51CA"/>
    <w:lvl w:ilvl="0" w:tplc="0C09000F">
      <w:start w:val="1"/>
      <w:numFmt w:val="decimal"/>
      <w:lvlText w:val="%1."/>
      <w:lvlJc w:val="left"/>
      <w:pPr>
        <w:tabs>
          <w:tab w:val="num" w:pos="1080"/>
        </w:tabs>
        <w:ind w:left="1080" w:hanging="360"/>
      </w:pPr>
      <w:rPr>
        <w:rFont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EE760BC"/>
    <w:multiLevelType w:val="hybridMultilevel"/>
    <w:tmpl w:val="A132AA3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156B73"/>
    <w:multiLevelType w:val="hybridMultilevel"/>
    <w:tmpl w:val="C11E5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D10C06"/>
    <w:multiLevelType w:val="hybridMultilevel"/>
    <w:tmpl w:val="09229AEE"/>
    <w:lvl w:ilvl="0" w:tplc="F55C67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39"/>
  </w:num>
  <w:num w:numId="3">
    <w:abstractNumId w:val="31"/>
  </w:num>
  <w:num w:numId="4">
    <w:abstractNumId w:val="9"/>
  </w:num>
  <w:num w:numId="5">
    <w:abstractNumId w:val="32"/>
  </w:num>
  <w:num w:numId="6">
    <w:abstractNumId w:val="33"/>
  </w:num>
  <w:num w:numId="7">
    <w:abstractNumId w:val="30"/>
  </w:num>
  <w:num w:numId="8">
    <w:abstractNumId w:val="28"/>
  </w:num>
  <w:num w:numId="9">
    <w:abstractNumId w:val="38"/>
  </w:num>
  <w:num w:numId="10">
    <w:abstractNumId w:val="37"/>
  </w:num>
  <w:num w:numId="11">
    <w:abstractNumId w:val="19"/>
  </w:num>
  <w:num w:numId="12">
    <w:abstractNumId w:val="1"/>
  </w:num>
  <w:num w:numId="13">
    <w:abstractNumId w:val="4"/>
  </w:num>
  <w:num w:numId="14">
    <w:abstractNumId w:val="2"/>
  </w:num>
  <w:num w:numId="15">
    <w:abstractNumId w:val="5"/>
  </w:num>
  <w:num w:numId="16">
    <w:abstractNumId w:val="12"/>
  </w:num>
  <w:num w:numId="17">
    <w:abstractNumId w:val="35"/>
  </w:num>
  <w:num w:numId="18">
    <w:abstractNumId w:val="3"/>
  </w:num>
  <w:num w:numId="19">
    <w:abstractNumId w:val="20"/>
  </w:num>
  <w:num w:numId="20">
    <w:abstractNumId w:val="8"/>
  </w:num>
  <w:num w:numId="21">
    <w:abstractNumId w:val="7"/>
  </w:num>
  <w:num w:numId="22">
    <w:abstractNumId w:val="25"/>
  </w:num>
  <w:num w:numId="23">
    <w:abstractNumId w:val="13"/>
  </w:num>
  <w:num w:numId="24">
    <w:abstractNumId w:val="26"/>
  </w:num>
  <w:num w:numId="25">
    <w:abstractNumId w:val="15"/>
  </w:num>
  <w:num w:numId="26">
    <w:abstractNumId w:val="24"/>
  </w:num>
  <w:num w:numId="27">
    <w:abstractNumId w:val="10"/>
  </w:num>
  <w:num w:numId="28">
    <w:abstractNumId w:val="0"/>
  </w:num>
  <w:num w:numId="29">
    <w:abstractNumId w:val="40"/>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34"/>
  </w:num>
  <w:num w:numId="33">
    <w:abstractNumId w:val="36"/>
  </w:num>
  <w:num w:numId="34">
    <w:abstractNumId w:val="6"/>
  </w:num>
  <w:num w:numId="35">
    <w:abstractNumId w:val="21"/>
  </w:num>
  <w:num w:numId="36">
    <w:abstractNumId w:val="41"/>
  </w:num>
  <w:num w:numId="37">
    <w:abstractNumId w:val="16"/>
  </w:num>
  <w:num w:numId="38">
    <w:abstractNumId w:val="22"/>
  </w:num>
  <w:num w:numId="39">
    <w:abstractNumId w:val="27"/>
  </w:num>
  <w:num w:numId="40">
    <w:abstractNumId w:val="23"/>
  </w:num>
  <w:num w:numId="41">
    <w:abstractNumId w:val="18"/>
  </w:num>
  <w:num w:numId="42">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5D9DF97-B921-421A-AE46-9635181B3826}"/>
    <w:docVar w:name="dgnword-eventsink" w:val="154899376"/>
    <w:docVar w:name="filename" w:val="EUC\EUC\76835755\1"/>
  </w:docVars>
  <w:rsids>
    <w:rsidRoot w:val="001A0EEA"/>
    <w:rsid w:val="00001930"/>
    <w:rsid w:val="00004793"/>
    <w:rsid w:val="000073C7"/>
    <w:rsid w:val="00012945"/>
    <w:rsid w:val="00016446"/>
    <w:rsid w:val="00020B61"/>
    <w:rsid w:val="00023A18"/>
    <w:rsid w:val="00024139"/>
    <w:rsid w:val="000244F6"/>
    <w:rsid w:val="0002482F"/>
    <w:rsid w:val="00024B6C"/>
    <w:rsid w:val="00026984"/>
    <w:rsid w:val="00027912"/>
    <w:rsid w:val="0003424C"/>
    <w:rsid w:val="00036041"/>
    <w:rsid w:val="000365CD"/>
    <w:rsid w:val="0003751C"/>
    <w:rsid w:val="00040431"/>
    <w:rsid w:val="00042412"/>
    <w:rsid w:val="00047AAB"/>
    <w:rsid w:val="00056D57"/>
    <w:rsid w:val="00057F2F"/>
    <w:rsid w:val="00063825"/>
    <w:rsid w:val="0006577C"/>
    <w:rsid w:val="00067E02"/>
    <w:rsid w:val="000708D9"/>
    <w:rsid w:val="0007093C"/>
    <w:rsid w:val="00081655"/>
    <w:rsid w:val="0008290A"/>
    <w:rsid w:val="00084425"/>
    <w:rsid w:val="000847AF"/>
    <w:rsid w:val="00087FB8"/>
    <w:rsid w:val="00097E5B"/>
    <w:rsid w:val="000A0963"/>
    <w:rsid w:val="000A3116"/>
    <w:rsid w:val="000A5E97"/>
    <w:rsid w:val="000A7BC2"/>
    <w:rsid w:val="000B2EAD"/>
    <w:rsid w:val="000B5FF8"/>
    <w:rsid w:val="000B64AF"/>
    <w:rsid w:val="000B710C"/>
    <w:rsid w:val="000B79A6"/>
    <w:rsid w:val="000C0BBF"/>
    <w:rsid w:val="000C4A6E"/>
    <w:rsid w:val="000C5A2C"/>
    <w:rsid w:val="000C7EE8"/>
    <w:rsid w:val="000D1C15"/>
    <w:rsid w:val="000D5FEA"/>
    <w:rsid w:val="000D646F"/>
    <w:rsid w:val="000D6AEF"/>
    <w:rsid w:val="000D75E6"/>
    <w:rsid w:val="000E2FF7"/>
    <w:rsid w:val="000E32DF"/>
    <w:rsid w:val="000F0487"/>
    <w:rsid w:val="000F3C8E"/>
    <w:rsid w:val="000F48F7"/>
    <w:rsid w:val="000F72E9"/>
    <w:rsid w:val="000F7337"/>
    <w:rsid w:val="00101D28"/>
    <w:rsid w:val="001065A7"/>
    <w:rsid w:val="00116CFC"/>
    <w:rsid w:val="00117FA8"/>
    <w:rsid w:val="00121331"/>
    <w:rsid w:val="00123FCF"/>
    <w:rsid w:val="0013121C"/>
    <w:rsid w:val="0013745C"/>
    <w:rsid w:val="001410A1"/>
    <w:rsid w:val="00143010"/>
    <w:rsid w:val="00146AD4"/>
    <w:rsid w:val="00147924"/>
    <w:rsid w:val="001510EB"/>
    <w:rsid w:val="00157678"/>
    <w:rsid w:val="00157F33"/>
    <w:rsid w:val="0016685B"/>
    <w:rsid w:val="00174334"/>
    <w:rsid w:val="001753A2"/>
    <w:rsid w:val="00175EF3"/>
    <w:rsid w:val="00185986"/>
    <w:rsid w:val="00186763"/>
    <w:rsid w:val="00192337"/>
    <w:rsid w:val="001924EE"/>
    <w:rsid w:val="00194B14"/>
    <w:rsid w:val="00196FCA"/>
    <w:rsid w:val="001A0D7F"/>
    <w:rsid w:val="001A0EEA"/>
    <w:rsid w:val="001A1875"/>
    <w:rsid w:val="001A5D7B"/>
    <w:rsid w:val="001A6EAC"/>
    <w:rsid w:val="001B1CB7"/>
    <w:rsid w:val="001B3F60"/>
    <w:rsid w:val="001B5337"/>
    <w:rsid w:val="001B5CDD"/>
    <w:rsid w:val="001B6105"/>
    <w:rsid w:val="001B6BE0"/>
    <w:rsid w:val="001B7CCE"/>
    <w:rsid w:val="001C266B"/>
    <w:rsid w:val="001C3E6A"/>
    <w:rsid w:val="001C4573"/>
    <w:rsid w:val="001D2025"/>
    <w:rsid w:val="001D20D3"/>
    <w:rsid w:val="001D6175"/>
    <w:rsid w:val="001D62C6"/>
    <w:rsid w:val="001E042B"/>
    <w:rsid w:val="001E2B6D"/>
    <w:rsid w:val="001E40AB"/>
    <w:rsid w:val="001E794E"/>
    <w:rsid w:val="001F0288"/>
    <w:rsid w:val="001F26E6"/>
    <w:rsid w:val="001F29CD"/>
    <w:rsid w:val="00204297"/>
    <w:rsid w:val="002049D4"/>
    <w:rsid w:val="00205B46"/>
    <w:rsid w:val="0021004C"/>
    <w:rsid w:val="00210E05"/>
    <w:rsid w:val="00211811"/>
    <w:rsid w:val="00212061"/>
    <w:rsid w:val="00212F2F"/>
    <w:rsid w:val="00214AFB"/>
    <w:rsid w:val="002165AF"/>
    <w:rsid w:val="002256C6"/>
    <w:rsid w:val="00231EC4"/>
    <w:rsid w:val="0023303D"/>
    <w:rsid w:val="0023529F"/>
    <w:rsid w:val="002359BC"/>
    <w:rsid w:val="002377F1"/>
    <w:rsid w:val="00245979"/>
    <w:rsid w:val="00247E41"/>
    <w:rsid w:val="0025197F"/>
    <w:rsid w:val="002522DE"/>
    <w:rsid w:val="00254AAB"/>
    <w:rsid w:val="00254D78"/>
    <w:rsid w:val="00256A0D"/>
    <w:rsid w:val="002643BD"/>
    <w:rsid w:val="00264539"/>
    <w:rsid w:val="00264E9C"/>
    <w:rsid w:val="002650D6"/>
    <w:rsid w:val="00267DA7"/>
    <w:rsid w:val="00267E5A"/>
    <w:rsid w:val="00271F0D"/>
    <w:rsid w:val="00277A45"/>
    <w:rsid w:val="00282B16"/>
    <w:rsid w:val="0028322C"/>
    <w:rsid w:val="00285789"/>
    <w:rsid w:val="00292D56"/>
    <w:rsid w:val="002A0613"/>
    <w:rsid w:val="002A0691"/>
    <w:rsid w:val="002A2327"/>
    <w:rsid w:val="002A2FF5"/>
    <w:rsid w:val="002A3BB2"/>
    <w:rsid w:val="002A5470"/>
    <w:rsid w:val="002A5754"/>
    <w:rsid w:val="002B2D83"/>
    <w:rsid w:val="002B4416"/>
    <w:rsid w:val="002B7705"/>
    <w:rsid w:val="002C238F"/>
    <w:rsid w:val="002C3A82"/>
    <w:rsid w:val="002C77F2"/>
    <w:rsid w:val="002D0D32"/>
    <w:rsid w:val="002D73DC"/>
    <w:rsid w:val="002E131C"/>
    <w:rsid w:val="002E4C2E"/>
    <w:rsid w:val="002E6606"/>
    <w:rsid w:val="002F5DA3"/>
    <w:rsid w:val="003015AC"/>
    <w:rsid w:val="003048AD"/>
    <w:rsid w:val="00305037"/>
    <w:rsid w:val="00306520"/>
    <w:rsid w:val="00310C2E"/>
    <w:rsid w:val="0031151E"/>
    <w:rsid w:val="00311791"/>
    <w:rsid w:val="00313006"/>
    <w:rsid w:val="00315522"/>
    <w:rsid w:val="0031748F"/>
    <w:rsid w:val="0032058C"/>
    <w:rsid w:val="00324068"/>
    <w:rsid w:val="00330784"/>
    <w:rsid w:val="00331624"/>
    <w:rsid w:val="003429AD"/>
    <w:rsid w:val="0034491A"/>
    <w:rsid w:val="00350308"/>
    <w:rsid w:val="003528D4"/>
    <w:rsid w:val="003634C5"/>
    <w:rsid w:val="00364455"/>
    <w:rsid w:val="00365A2F"/>
    <w:rsid w:val="00367322"/>
    <w:rsid w:val="00367C5E"/>
    <w:rsid w:val="0037147E"/>
    <w:rsid w:val="00371929"/>
    <w:rsid w:val="00371C4B"/>
    <w:rsid w:val="00372D67"/>
    <w:rsid w:val="003741AF"/>
    <w:rsid w:val="00380A84"/>
    <w:rsid w:val="00380BEE"/>
    <w:rsid w:val="00386994"/>
    <w:rsid w:val="00386C30"/>
    <w:rsid w:val="003920A6"/>
    <w:rsid w:val="00392491"/>
    <w:rsid w:val="003928E7"/>
    <w:rsid w:val="00393BDD"/>
    <w:rsid w:val="00397C01"/>
    <w:rsid w:val="00397FFE"/>
    <w:rsid w:val="003A0CBB"/>
    <w:rsid w:val="003A195A"/>
    <w:rsid w:val="003A7322"/>
    <w:rsid w:val="003B2BE9"/>
    <w:rsid w:val="003B73A4"/>
    <w:rsid w:val="003C1E2E"/>
    <w:rsid w:val="003C3A63"/>
    <w:rsid w:val="003C4FCF"/>
    <w:rsid w:val="003C5CFA"/>
    <w:rsid w:val="003D5652"/>
    <w:rsid w:val="003D5B5C"/>
    <w:rsid w:val="003E055E"/>
    <w:rsid w:val="003E06F0"/>
    <w:rsid w:val="003E618A"/>
    <w:rsid w:val="003F12ED"/>
    <w:rsid w:val="003F1B6D"/>
    <w:rsid w:val="003F699C"/>
    <w:rsid w:val="003F6AE6"/>
    <w:rsid w:val="004029E8"/>
    <w:rsid w:val="00405147"/>
    <w:rsid w:val="00406F66"/>
    <w:rsid w:val="00412523"/>
    <w:rsid w:val="00413579"/>
    <w:rsid w:val="0041636C"/>
    <w:rsid w:val="00424BA9"/>
    <w:rsid w:val="0042690F"/>
    <w:rsid w:val="00433E00"/>
    <w:rsid w:val="00434B20"/>
    <w:rsid w:val="00442D91"/>
    <w:rsid w:val="004443DE"/>
    <w:rsid w:val="0044466C"/>
    <w:rsid w:val="00453DEE"/>
    <w:rsid w:val="00463746"/>
    <w:rsid w:val="004660C4"/>
    <w:rsid w:val="00474591"/>
    <w:rsid w:val="004843FE"/>
    <w:rsid w:val="00496C05"/>
    <w:rsid w:val="00497B74"/>
    <w:rsid w:val="00497EF5"/>
    <w:rsid w:val="004A0544"/>
    <w:rsid w:val="004A0D25"/>
    <w:rsid w:val="004A1B0E"/>
    <w:rsid w:val="004A79B9"/>
    <w:rsid w:val="004B381D"/>
    <w:rsid w:val="004B46C4"/>
    <w:rsid w:val="004B7A03"/>
    <w:rsid w:val="004C0DD2"/>
    <w:rsid w:val="004C1ED6"/>
    <w:rsid w:val="004C2934"/>
    <w:rsid w:val="004C314F"/>
    <w:rsid w:val="004D4A86"/>
    <w:rsid w:val="004D6611"/>
    <w:rsid w:val="004E1F1C"/>
    <w:rsid w:val="004E5C93"/>
    <w:rsid w:val="004E63A3"/>
    <w:rsid w:val="004F143B"/>
    <w:rsid w:val="004F5709"/>
    <w:rsid w:val="00500151"/>
    <w:rsid w:val="00501879"/>
    <w:rsid w:val="0050295E"/>
    <w:rsid w:val="00503DC1"/>
    <w:rsid w:val="00504585"/>
    <w:rsid w:val="0051686F"/>
    <w:rsid w:val="0051753E"/>
    <w:rsid w:val="00517C30"/>
    <w:rsid w:val="00520544"/>
    <w:rsid w:val="00527BA3"/>
    <w:rsid w:val="00527DA8"/>
    <w:rsid w:val="00530B97"/>
    <w:rsid w:val="00532C56"/>
    <w:rsid w:val="0054435D"/>
    <w:rsid w:val="00544652"/>
    <w:rsid w:val="0054487A"/>
    <w:rsid w:val="00547656"/>
    <w:rsid w:val="00550565"/>
    <w:rsid w:val="00554245"/>
    <w:rsid w:val="005572C0"/>
    <w:rsid w:val="00562D9A"/>
    <w:rsid w:val="0056302D"/>
    <w:rsid w:val="00565694"/>
    <w:rsid w:val="005717B8"/>
    <w:rsid w:val="00571C46"/>
    <w:rsid w:val="00574DB4"/>
    <w:rsid w:val="005873A8"/>
    <w:rsid w:val="005902CA"/>
    <w:rsid w:val="0059058B"/>
    <w:rsid w:val="00594DBD"/>
    <w:rsid w:val="005957AC"/>
    <w:rsid w:val="005A2338"/>
    <w:rsid w:val="005A5173"/>
    <w:rsid w:val="005A6425"/>
    <w:rsid w:val="005A6DF4"/>
    <w:rsid w:val="005A7DBE"/>
    <w:rsid w:val="005B0DA3"/>
    <w:rsid w:val="005B2189"/>
    <w:rsid w:val="005B410E"/>
    <w:rsid w:val="005B4EC6"/>
    <w:rsid w:val="005C06A2"/>
    <w:rsid w:val="005C2EF1"/>
    <w:rsid w:val="005C3946"/>
    <w:rsid w:val="005C42D4"/>
    <w:rsid w:val="005C49CF"/>
    <w:rsid w:val="005C6654"/>
    <w:rsid w:val="005D2C4F"/>
    <w:rsid w:val="005D34D7"/>
    <w:rsid w:val="005E15C2"/>
    <w:rsid w:val="005E2FF5"/>
    <w:rsid w:val="005F1E92"/>
    <w:rsid w:val="005F2F09"/>
    <w:rsid w:val="005F711D"/>
    <w:rsid w:val="005F78DA"/>
    <w:rsid w:val="0060043D"/>
    <w:rsid w:val="00603868"/>
    <w:rsid w:val="00604CC5"/>
    <w:rsid w:val="0060629E"/>
    <w:rsid w:val="00606340"/>
    <w:rsid w:val="0060788D"/>
    <w:rsid w:val="0061765C"/>
    <w:rsid w:val="0062093F"/>
    <w:rsid w:val="00620EA1"/>
    <w:rsid w:val="00624A06"/>
    <w:rsid w:val="00625052"/>
    <w:rsid w:val="006262AF"/>
    <w:rsid w:val="006267A7"/>
    <w:rsid w:val="00626BDB"/>
    <w:rsid w:val="00626F40"/>
    <w:rsid w:val="00630C36"/>
    <w:rsid w:val="00631450"/>
    <w:rsid w:val="00644270"/>
    <w:rsid w:val="00645387"/>
    <w:rsid w:val="00652744"/>
    <w:rsid w:val="00656832"/>
    <w:rsid w:val="0066018B"/>
    <w:rsid w:val="00663F5B"/>
    <w:rsid w:val="006672B8"/>
    <w:rsid w:val="0066794F"/>
    <w:rsid w:val="006701A5"/>
    <w:rsid w:val="006735F8"/>
    <w:rsid w:val="00674F63"/>
    <w:rsid w:val="00680161"/>
    <w:rsid w:val="00680438"/>
    <w:rsid w:val="00682285"/>
    <w:rsid w:val="0068684F"/>
    <w:rsid w:val="006869EF"/>
    <w:rsid w:val="00686E09"/>
    <w:rsid w:val="00687512"/>
    <w:rsid w:val="00693048"/>
    <w:rsid w:val="00693370"/>
    <w:rsid w:val="00694955"/>
    <w:rsid w:val="00695ED1"/>
    <w:rsid w:val="00696CD0"/>
    <w:rsid w:val="00697B5B"/>
    <w:rsid w:val="006A1247"/>
    <w:rsid w:val="006B0896"/>
    <w:rsid w:val="006B0DAC"/>
    <w:rsid w:val="006B7173"/>
    <w:rsid w:val="006C03EF"/>
    <w:rsid w:val="006C3CFA"/>
    <w:rsid w:val="006C5B5D"/>
    <w:rsid w:val="006C5C17"/>
    <w:rsid w:val="006C7066"/>
    <w:rsid w:val="006D2732"/>
    <w:rsid w:val="006E24E7"/>
    <w:rsid w:val="006E2C26"/>
    <w:rsid w:val="006E62EB"/>
    <w:rsid w:val="006E6E71"/>
    <w:rsid w:val="006F1136"/>
    <w:rsid w:val="006F2670"/>
    <w:rsid w:val="006F26AA"/>
    <w:rsid w:val="006F274A"/>
    <w:rsid w:val="006F3061"/>
    <w:rsid w:val="006F36E4"/>
    <w:rsid w:val="00702F10"/>
    <w:rsid w:val="00704280"/>
    <w:rsid w:val="00704536"/>
    <w:rsid w:val="00711F8B"/>
    <w:rsid w:val="00715267"/>
    <w:rsid w:val="00717DE2"/>
    <w:rsid w:val="0072038D"/>
    <w:rsid w:val="007229CE"/>
    <w:rsid w:val="0072595A"/>
    <w:rsid w:val="00726957"/>
    <w:rsid w:val="00733391"/>
    <w:rsid w:val="00733D31"/>
    <w:rsid w:val="0073571E"/>
    <w:rsid w:val="0073779D"/>
    <w:rsid w:val="007411BF"/>
    <w:rsid w:val="00743B6D"/>
    <w:rsid w:val="00754CC7"/>
    <w:rsid w:val="007566F7"/>
    <w:rsid w:val="00756B70"/>
    <w:rsid w:val="007657E3"/>
    <w:rsid w:val="0077129D"/>
    <w:rsid w:val="00772FAA"/>
    <w:rsid w:val="00773940"/>
    <w:rsid w:val="007744E5"/>
    <w:rsid w:val="00775E13"/>
    <w:rsid w:val="0077747D"/>
    <w:rsid w:val="00780257"/>
    <w:rsid w:val="00785920"/>
    <w:rsid w:val="007936E7"/>
    <w:rsid w:val="00796607"/>
    <w:rsid w:val="007A0CC9"/>
    <w:rsid w:val="007A1E95"/>
    <w:rsid w:val="007A5018"/>
    <w:rsid w:val="007A5566"/>
    <w:rsid w:val="007B2CA5"/>
    <w:rsid w:val="007B7E41"/>
    <w:rsid w:val="007C1E1B"/>
    <w:rsid w:val="007C48B7"/>
    <w:rsid w:val="007C7FB2"/>
    <w:rsid w:val="007D4D99"/>
    <w:rsid w:val="007D7A4F"/>
    <w:rsid w:val="007E520F"/>
    <w:rsid w:val="007E77BF"/>
    <w:rsid w:val="007F4C8F"/>
    <w:rsid w:val="008022F2"/>
    <w:rsid w:val="008034BA"/>
    <w:rsid w:val="008042B6"/>
    <w:rsid w:val="008043BF"/>
    <w:rsid w:val="008125DF"/>
    <w:rsid w:val="008141C0"/>
    <w:rsid w:val="008160CB"/>
    <w:rsid w:val="00817508"/>
    <w:rsid w:val="00824366"/>
    <w:rsid w:val="00824C91"/>
    <w:rsid w:val="0082526D"/>
    <w:rsid w:val="00825475"/>
    <w:rsid w:val="00825B68"/>
    <w:rsid w:val="00830000"/>
    <w:rsid w:val="00832041"/>
    <w:rsid w:val="0083368A"/>
    <w:rsid w:val="00833EBC"/>
    <w:rsid w:val="00845874"/>
    <w:rsid w:val="00845C87"/>
    <w:rsid w:val="00845F4C"/>
    <w:rsid w:val="00850264"/>
    <w:rsid w:val="00852514"/>
    <w:rsid w:val="00852DE4"/>
    <w:rsid w:val="00857B43"/>
    <w:rsid w:val="0087699B"/>
    <w:rsid w:val="00881552"/>
    <w:rsid w:val="008836DD"/>
    <w:rsid w:val="008935FA"/>
    <w:rsid w:val="00894755"/>
    <w:rsid w:val="00894FBC"/>
    <w:rsid w:val="008A09D0"/>
    <w:rsid w:val="008A22C9"/>
    <w:rsid w:val="008A236F"/>
    <w:rsid w:val="008A2CE2"/>
    <w:rsid w:val="008A2D0E"/>
    <w:rsid w:val="008A2F9B"/>
    <w:rsid w:val="008A35EC"/>
    <w:rsid w:val="008A5B1C"/>
    <w:rsid w:val="008B01A3"/>
    <w:rsid w:val="008B0914"/>
    <w:rsid w:val="008B1748"/>
    <w:rsid w:val="008B193F"/>
    <w:rsid w:val="008B1E6D"/>
    <w:rsid w:val="008B2E99"/>
    <w:rsid w:val="008B3321"/>
    <w:rsid w:val="008B3351"/>
    <w:rsid w:val="008B5650"/>
    <w:rsid w:val="008B6BE8"/>
    <w:rsid w:val="008C10E5"/>
    <w:rsid w:val="008C52A4"/>
    <w:rsid w:val="008D16D2"/>
    <w:rsid w:val="008E00C3"/>
    <w:rsid w:val="008F148F"/>
    <w:rsid w:val="008F1CFA"/>
    <w:rsid w:val="008F374F"/>
    <w:rsid w:val="008F54B6"/>
    <w:rsid w:val="00901D94"/>
    <w:rsid w:val="00905073"/>
    <w:rsid w:val="00910454"/>
    <w:rsid w:val="009117D9"/>
    <w:rsid w:val="00912AD0"/>
    <w:rsid w:val="009139FC"/>
    <w:rsid w:val="00915316"/>
    <w:rsid w:val="009162FB"/>
    <w:rsid w:val="00917709"/>
    <w:rsid w:val="00921BBC"/>
    <w:rsid w:val="00921BD9"/>
    <w:rsid w:val="00922072"/>
    <w:rsid w:val="0092217D"/>
    <w:rsid w:val="0092714E"/>
    <w:rsid w:val="0093180E"/>
    <w:rsid w:val="00935A6D"/>
    <w:rsid w:val="00936EF7"/>
    <w:rsid w:val="00945BEC"/>
    <w:rsid w:val="00952F61"/>
    <w:rsid w:val="0095330E"/>
    <w:rsid w:val="00957FD1"/>
    <w:rsid w:val="00960977"/>
    <w:rsid w:val="00961C94"/>
    <w:rsid w:val="00961F67"/>
    <w:rsid w:val="00967479"/>
    <w:rsid w:val="0096770E"/>
    <w:rsid w:val="00970E7E"/>
    <w:rsid w:val="00972DBA"/>
    <w:rsid w:val="0097370C"/>
    <w:rsid w:val="00975E9C"/>
    <w:rsid w:val="00975F99"/>
    <w:rsid w:val="00976BC2"/>
    <w:rsid w:val="0098093D"/>
    <w:rsid w:val="0098195C"/>
    <w:rsid w:val="0098240E"/>
    <w:rsid w:val="009945FC"/>
    <w:rsid w:val="0099535A"/>
    <w:rsid w:val="009A4466"/>
    <w:rsid w:val="009A62B7"/>
    <w:rsid w:val="009B1019"/>
    <w:rsid w:val="009B275E"/>
    <w:rsid w:val="009B5745"/>
    <w:rsid w:val="009B6A1A"/>
    <w:rsid w:val="009C18E4"/>
    <w:rsid w:val="009C3FD3"/>
    <w:rsid w:val="009D289E"/>
    <w:rsid w:val="009D3BA1"/>
    <w:rsid w:val="009D3D4D"/>
    <w:rsid w:val="009E0974"/>
    <w:rsid w:val="009E3AB3"/>
    <w:rsid w:val="009E5D74"/>
    <w:rsid w:val="009F1EA5"/>
    <w:rsid w:val="009F2F65"/>
    <w:rsid w:val="009F3107"/>
    <w:rsid w:val="009F3961"/>
    <w:rsid w:val="00A02AD0"/>
    <w:rsid w:val="00A03531"/>
    <w:rsid w:val="00A0423E"/>
    <w:rsid w:val="00A10860"/>
    <w:rsid w:val="00A145E9"/>
    <w:rsid w:val="00A159C5"/>
    <w:rsid w:val="00A216BF"/>
    <w:rsid w:val="00A238D4"/>
    <w:rsid w:val="00A2419A"/>
    <w:rsid w:val="00A2671E"/>
    <w:rsid w:val="00A26E2D"/>
    <w:rsid w:val="00A26F3E"/>
    <w:rsid w:val="00A34917"/>
    <w:rsid w:val="00A42943"/>
    <w:rsid w:val="00A43D12"/>
    <w:rsid w:val="00A43D88"/>
    <w:rsid w:val="00A44E73"/>
    <w:rsid w:val="00A50542"/>
    <w:rsid w:val="00A52278"/>
    <w:rsid w:val="00A606DC"/>
    <w:rsid w:val="00A63799"/>
    <w:rsid w:val="00A67F04"/>
    <w:rsid w:val="00A72435"/>
    <w:rsid w:val="00A7691D"/>
    <w:rsid w:val="00A826BA"/>
    <w:rsid w:val="00A84859"/>
    <w:rsid w:val="00A93B07"/>
    <w:rsid w:val="00A948B0"/>
    <w:rsid w:val="00A94B48"/>
    <w:rsid w:val="00A969E3"/>
    <w:rsid w:val="00AA20F2"/>
    <w:rsid w:val="00AA2BEB"/>
    <w:rsid w:val="00AA6002"/>
    <w:rsid w:val="00AA7BE7"/>
    <w:rsid w:val="00AB7704"/>
    <w:rsid w:val="00AC391C"/>
    <w:rsid w:val="00AC5761"/>
    <w:rsid w:val="00AC6700"/>
    <w:rsid w:val="00AC6C25"/>
    <w:rsid w:val="00AE0103"/>
    <w:rsid w:val="00AE10DF"/>
    <w:rsid w:val="00AE322E"/>
    <w:rsid w:val="00AE4213"/>
    <w:rsid w:val="00AF01AE"/>
    <w:rsid w:val="00AF0363"/>
    <w:rsid w:val="00AF1308"/>
    <w:rsid w:val="00AF34DD"/>
    <w:rsid w:val="00AF756A"/>
    <w:rsid w:val="00B050CA"/>
    <w:rsid w:val="00B06AAC"/>
    <w:rsid w:val="00B1136F"/>
    <w:rsid w:val="00B14B7A"/>
    <w:rsid w:val="00B165B4"/>
    <w:rsid w:val="00B17351"/>
    <w:rsid w:val="00B22852"/>
    <w:rsid w:val="00B32429"/>
    <w:rsid w:val="00B35D42"/>
    <w:rsid w:val="00B40BBC"/>
    <w:rsid w:val="00B50088"/>
    <w:rsid w:val="00B5117F"/>
    <w:rsid w:val="00B515ED"/>
    <w:rsid w:val="00B55809"/>
    <w:rsid w:val="00B56FB7"/>
    <w:rsid w:val="00B60C72"/>
    <w:rsid w:val="00B60EE5"/>
    <w:rsid w:val="00B653C8"/>
    <w:rsid w:val="00B71B48"/>
    <w:rsid w:val="00B76755"/>
    <w:rsid w:val="00B808B2"/>
    <w:rsid w:val="00B97081"/>
    <w:rsid w:val="00BA03C0"/>
    <w:rsid w:val="00BB3CC4"/>
    <w:rsid w:val="00BB3F2C"/>
    <w:rsid w:val="00BB7711"/>
    <w:rsid w:val="00BB7919"/>
    <w:rsid w:val="00BC39DE"/>
    <w:rsid w:val="00BC5C98"/>
    <w:rsid w:val="00BD14E5"/>
    <w:rsid w:val="00BD5A04"/>
    <w:rsid w:val="00BD6758"/>
    <w:rsid w:val="00BD7B19"/>
    <w:rsid w:val="00BE12A9"/>
    <w:rsid w:val="00BE62D2"/>
    <w:rsid w:val="00BE7619"/>
    <w:rsid w:val="00BE7927"/>
    <w:rsid w:val="00BF073A"/>
    <w:rsid w:val="00BF2553"/>
    <w:rsid w:val="00BF3C8D"/>
    <w:rsid w:val="00BF5456"/>
    <w:rsid w:val="00C002B3"/>
    <w:rsid w:val="00C00C31"/>
    <w:rsid w:val="00C06FE0"/>
    <w:rsid w:val="00C106E6"/>
    <w:rsid w:val="00C11B78"/>
    <w:rsid w:val="00C11BFC"/>
    <w:rsid w:val="00C140BC"/>
    <w:rsid w:val="00C141A5"/>
    <w:rsid w:val="00C22E66"/>
    <w:rsid w:val="00C24652"/>
    <w:rsid w:val="00C27098"/>
    <w:rsid w:val="00C30CF2"/>
    <w:rsid w:val="00C3294A"/>
    <w:rsid w:val="00C3755A"/>
    <w:rsid w:val="00C37690"/>
    <w:rsid w:val="00C40ACA"/>
    <w:rsid w:val="00C41D0B"/>
    <w:rsid w:val="00C42082"/>
    <w:rsid w:val="00C42D72"/>
    <w:rsid w:val="00C4756A"/>
    <w:rsid w:val="00C5089D"/>
    <w:rsid w:val="00C50F60"/>
    <w:rsid w:val="00C532A0"/>
    <w:rsid w:val="00C5604E"/>
    <w:rsid w:val="00C56A1B"/>
    <w:rsid w:val="00C57DE4"/>
    <w:rsid w:val="00C63F96"/>
    <w:rsid w:val="00C64681"/>
    <w:rsid w:val="00C64FA1"/>
    <w:rsid w:val="00C707C3"/>
    <w:rsid w:val="00C70E4E"/>
    <w:rsid w:val="00C72E9A"/>
    <w:rsid w:val="00C740A8"/>
    <w:rsid w:val="00C742EE"/>
    <w:rsid w:val="00C75EFE"/>
    <w:rsid w:val="00C76975"/>
    <w:rsid w:val="00C77BEE"/>
    <w:rsid w:val="00C80B4E"/>
    <w:rsid w:val="00C813C0"/>
    <w:rsid w:val="00C875F1"/>
    <w:rsid w:val="00C878A9"/>
    <w:rsid w:val="00C87EB2"/>
    <w:rsid w:val="00C9175E"/>
    <w:rsid w:val="00C954D1"/>
    <w:rsid w:val="00CA7764"/>
    <w:rsid w:val="00CA7D4D"/>
    <w:rsid w:val="00CB1939"/>
    <w:rsid w:val="00CB2F10"/>
    <w:rsid w:val="00CB31A3"/>
    <w:rsid w:val="00CB4044"/>
    <w:rsid w:val="00CB5C6C"/>
    <w:rsid w:val="00CB7FAC"/>
    <w:rsid w:val="00CC5FCE"/>
    <w:rsid w:val="00CC608A"/>
    <w:rsid w:val="00CC699C"/>
    <w:rsid w:val="00CC7154"/>
    <w:rsid w:val="00CD398A"/>
    <w:rsid w:val="00CD6B1B"/>
    <w:rsid w:val="00CD7945"/>
    <w:rsid w:val="00CD7EDD"/>
    <w:rsid w:val="00CE0C84"/>
    <w:rsid w:val="00CE228E"/>
    <w:rsid w:val="00CE4C7F"/>
    <w:rsid w:val="00CE59BE"/>
    <w:rsid w:val="00CE695D"/>
    <w:rsid w:val="00CF0876"/>
    <w:rsid w:val="00CF1502"/>
    <w:rsid w:val="00CF424A"/>
    <w:rsid w:val="00CF65AE"/>
    <w:rsid w:val="00D02BB6"/>
    <w:rsid w:val="00D037FF"/>
    <w:rsid w:val="00D049AB"/>
    <w:rsid w:val="00D04F03"/>
    <w:rsid w:val="00D05128"/>
    <w:rsid w:val="00D10639"/>
    <w:rsid w:val="00D111CA"/>
    <w:rsid w:val="00D17F01"/>
    <w:rsid w:val="00D25F3B"/>
    <w:rsid w:val="00D269AF"/>
    <w:rsid w:val="00D26EAF"/>
    <w:rsid w:val="00D333FB"/>
    <w:rsid w:val="00D34F94"/>
    <w:rsid w:val="00D438D3"/>
    <w:rsid w:val="00D460D1"/>
    <w:rsid w:val="00D5450F"/>
    <w:rsid w:val="00D55768"/>
    <w:rsid w:val="00D60DF4"/>
    <w:rsid w:val="00D62AF3"/>
    <w:rsid w:val="00D6414D"/>
    <w:rsid w:val="00D67401"/>
    <w:rsid w:val="00D72829"/>
    <w:rsid w:val="00D75E9E"/>
    <w:rsid w:val="00D80856"/>
    <w:rsid w:val="00D82F34"/>
    <w:rsid w:val="00D8320B"/>
    <w:rsid w:val="00D95CCE"/>
    <w:rsid w:val="00D969F0"/>
    <w:rsid w:val="00DA6251"/>
    <w:rsid w:val="00DA7244"/>
    <w:rsid w:val="00DA72DD"/>
    <w:rsid w:val="00DB03A6"/>
    <w:rsid w:val="00DB1B6F"/>
    <w:rsid w:val="00DB2346"/>
    <w:rsid w:val="00DC009C"/>
    <w:rsid w:val="00DC1065"/>
    <w:rsid w:val="00DC1A59"/>
    <w:rsid w:val="00DC39C7"/>
    <w:rsid w:val="00DC44D8"/>
    <w:rsid w:val="00DC4573"/>
    <w:rsid w:val="00DC5F1A"/>
    <w:rsid w:val="00DC6C56"/>
    <w:rsid w:val="00DD05DF"/>
    <w:rsid w:val="00DD0D33"/>
    <w:rsid w:val="00DD2030"/>
    <w:rsid w:val="00DE17F1"/>
    <w:rsid w:val="00DE2BC5"/>
    <w:rsid w:val="00DE2BED"/>
    <w:rsid w:val="00DE2C3F"/>
    <w:rsid w:val="00DE3848"/>
    <w:rsid w:val="00DE3D79"/>
    <w:rsid w:val="00DE408B"/>
    <w:rsid w:val="00DE4245"/>
    <w:rsid w:val="00DE54ED"/>
    <w:rsid w:val="00DE6432"/>
    <w:rsid w:val="00DF2F0B"/>
    <w:rsid w:val="00DF4CAF"/>
    <w:rsid w:val="00DF5543"/>
    <w:rsid w:val="00DF7C67"/>
    <w:rsid w:val="00E01600"/>
    <w:rsid w:val="00E0386E"/>
    <w:rsid w:val="00E12F7F"/>
    <w:rsid w:val="00E136B9"/>
    <w:rsid w:val="00E20671"/>
    <w:rsid w:val="00E21DF9"/>
    <w:rsid w:val="00E25461"/>
    <w:rsid w:val="00E37525"/>
    <w:rsid w:val="00E40C25"/>
    <w:rsid w:val="00E443A7"/>
    <w:rsid w:val="00E45B1E"/>
    <w:rsid w:val="00E53C35"/>
    <w:rsid w:val="00E6013D"/>
    <w:rsid w:val="00E6028C"/>
    <w:rsid w:val="00E617CE"/>
    <w:rsid w:val="00E62AB2"/>
    <w:rsid w:val="00E66DAC"/>
    <w:rsid w:val="00E73C25"/>
    <w:rsid w:val="00E75028"/>
    <w:rsid w:val="00E807A0"/>
    <w:rsid w:val="00E81F60"/>
    <w:rsid w:val="00E8509C"/>
    <w:rsid w:val="00E909DE"/>
    <w:rsid w:val="00E943B1"/>
    <w:rsid w:val="00EA0E47"/>
    <w:rsid w:val="00EA1431"/>
    <w:rsid w:val="00EA25D9"/>
    <w:rsid w:val="00EA306C"/>
    <w:rsid w:val="00EA6F0B"/>
    <w:rsid w:val="00EB33B5"/>
    <w:rsid w:val="00EB4FC6"/>
    <w:rsid w:val="00EB504C"/>
    <w:rsid w:val="00EB667D"/>
    <w:rsid w:val="00EC053B"/>
    <w:rsid w:val="00EC2586"/>
    <w:rsid w:val="00EC275C"/>
    <w:rsid w:val="00EC3298"/>
    <w:rsid w:val="00EC58C0"/>
    <w:rsid w:val="00EC5FB3"/>
    <w:rsid w:val="00ED042A"/>
    <w:rsid w:val="00ED2CF7"/>
    <w:rsid w:val="00ED2E48"/>
    <w:rsid w:val="00ED3AB3"/>
    <w:rsid w:val="00ED441A"/>
    <w:rsid w:val="00ED7307"/>
    <w:rsid w:val="00EE2549"/>
    <w:rsid w:val="00EE2F05"/>
    <w:rsid w:val="00EE62E4"/>
    <w:rsid w:val="00EE691D"/>
    <w:rsid w:val="00EF2FA4"/>
    <w:rsid w:val="00EF3D0A"/>
    <w:rsid w:val="00EF4373"/>
    <w:rsid w:val="00EF5913"/>
    <w:rsid w:val="00EF5C60"/>
    <w:rsid w:val="00EF6510"/>
    <w:rsid w:val="00F008AF"/>
    <w:rsid w:val="00F03B78"/>
    <w:rsid w:val="00F1315B"/>
    <w:rsid w:val="00F152FF"/>
    <w:rsid w:val="00F161EB"/>
    <w:rsid w:val="00F32B81"/>
    <w:rsid w:val="00F345DA"/>
    <w:rsid w:val="00F36568"/>
    <w:rsid w:val="00F402DF"/>
    <w:rsid w:val="00F41F54"/>
    <w:rsid w:val="00F42275"/>
    <w:rsid w:val="00F43828"/>
    <w:rsid w:val="00F43A20"/>
    <w:rsid w:val="00F4755B"/>
    <w:rsid w:val="00F4775D"/>
    <w:rsid w:val="00F54612"/>
    <w:rsid w:val="00F553D6"/>
    <w:rsid w:val="00F60595"/>
    <w:rsid w:val="00F6138A"/>
    <w:rsid w:val="00F62ABA"/>
    <w:rsid w:val="00F6347E"/>
    <w:rsid w:val="00F63584"/>
    <w:rsid w:val="00F64F46"/>
    <w:rsid w:val="00F70114"/>
    <w:rsid w:val="00F73C7C"/>
    <w:rsid w:val="00F74CBB"/>
    <w:rsid w:val="00F77CC4"/>
    <w:rsid w:val="00F77F9F"/>
    <w:rsid w:val="00F8202B"/>
    <w:rsid w:val="00F83ADA"/>
    <w:rsid w:val="00F860AC"/>
    <w:rsid w:val="00F923EB"/>
    <w:rsid w:val="00F9289F"/>
    <w:rsid w:val="00F93604"/>
    <w:rsid w:val="00F93EC3"/>
    <w:rsid w:val="00F959D1"/>
    <w:rsid w:val="00FA3A88"/>
    <w:rsid w:val="00FA54AF"/>
    <w:rsid w:val="00FB4D50"/>
    <w:rsid w:val="00FB6466"/>
    <w:rsid w:val="00FB7083"/>
    <w:rsid w:val="00FB7A27"/>
    <w:rsid w:val="00FC1C48"/>
    <w:rsid w:val="00FC3897"/>
    <w:rsid w:val="00FC50BE"/>
    <w:rsid w:val="00FC7320"/>
    <w:rsid w:val="00FD1EC1"/>
    <w:rsid w:val="00FD319F"/>
    <w:rsid w:val="00FD4B10"/>
    <w:rsid w:val="00FD6F51"/>
    <w:rsid w:val="00FE6321"/>
    <w:rsid w:val="00FF08E5"/>
    <w:rsid w:val="00FF367D"/>
    <w:rsid w:val="00FF3E10"/>
    <w:rsid w:val="00FF4AEA"/>
    <w:rsid w:val="00FF589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4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BodyTextIndent">
    <w:name w:val="Body Text Indent"/>
    <w:basedOn w:val="Normal"/>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ind w:left="565" w:hanging="565"/>
    </w:pPr>
    <w:rPr>
      <w:lang w:val="en-AU"/>
    </w:rPr>
  </w:style>
  <w:style w:type="paragraph" w:styleId="BodyText">
    <w:name w:val="Body Text"/>
    <w:basedOn w:val="Normal"/>
    <w:link w:val="BodyTextChar"/>
    <w:pPr>
      <w:tabs>
        <w:tab w:val="left" w:pos="1132"/>
        <w:tab w:val="left" w:pos="3684"/>
      </w:tabs>
      <w:spacing w:before="120" w:after="120"/>
      <w:jc w:val="both"/>
    </w:pPr>
    <w:rPr>
      <w:noProof/>
      <w:snapToGrid/>
    </w:rPr>
  </w:style>
  <w:style w:type="paragraph" w:styleId="ListBullet">
    <w:name w:val="List Bullet"/>
    <w:basedOn w:val="Normal"/>
    <w:autoRedefine/>
    <w:pPr>
      <w:tabs>
        <w:tab w:val="left" w:pos="-1"/>
      </w:tabs>
      <w:spacing w:before="120"/>
    </w:pPr>
    <w:rPr>
      <w:color w:val="000000"/>
      <w:lang w:val="en-AU"/>
    </w:rPr>
  </w:style>
  <w:style w:type="paragraph" w:styleId="ListContinue">
    <w:name w:val="List Continue"/>
    <w:basedOn w:val="Normal"/>
    <w:pPr>
      <w:spacing w:after="120"/>
      <w:ind w:left="283"/>
    </w:pPr>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before="120"/>
      <w:jc w:val="center"/>
      <w:outlineLvl w:val="0"/>
    </w:pPr>
    <w:rPr>
      <w:b/>
      <w:sz w:val="22"/>
      <w:lang w:val="en-AU"/>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2">
    <w:name w:val="Body Text Indent 2"/>
    <w:basedOn w:val="Normal"/>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before="120"/>
      <w:ind w:left="57"/>
    </w:pPr>
    <w:rPr>
      <w:lang w:val="en-AU"/>
    </w:rPr>
  </w:style>
  <w:style w:type="paragraph" w:customStyle="1" w:styleId="CharCharChar">
    <w:name w:val="Char Char Char"/>
    <w:basedOn w:val="Normal"/>
    <w:rsid w:val="008935FA"/>
    <w:pPr>
      <w:widowControl/>
    </w:pPr>
    <w:rPr>
      <w:rFonts w:ascii="Arial" w:hAnsi="Arial" w:cs="Arial"/>
      <w:snapToGrid/>
      <w:sz w:val="22"/>
      <w:szCs w:val="22"/>
      <w:lang w:val="en-AU"/>
    </w:rPr>
  </w:style>
  <w:style w:type="paragraph" w:styleId="BalloonText">
    <w:name w:val="Balloon Text"/>
    <w:basedOn w:val="Normal"/>
    <w:semiHidden/>
    <w:rsid w:val="002C77F2"/>
    <w:rPr>
      <w:rFonts w:ascii="Tahoma" w:hAnsi="Tahoma" w:cs="Tahoma"/>
      <w:sz w:val="16"/>
      <w:szCs w:val="16"/>
    </w:rPr>
  </w:style>
  <w:style w:type="paragraph" w:customStyle="1" w:styleId="Char2Char">
    <w:name w:val="Char2 Char"/>
    <w:basedOn w:val="Normal"/>
    <w:rsid w:val="00C64681"/>
    <w:pPr>
      <w:widowControl/>
      <w:spacing w:after="160" w:line="240" w:lineRule="exact"/>
    </w:pPr>
    <w:rPr>
      <w:rFonts w:ascii="Verdana" w:hAnsi="Verdana" w:cs="Verdana"/>
      <w:snapToGrid/>
      <w:sz w:val="21"/>
      <w:szCs w:val="21"/>
    </w:rPr>
  </w:style>
  <w:style w:type="character" w:styleId="PageNumber">
    <w:name w:val="page number"/>
    <w:basedOn w:val="DefaultParagraphFont"/>
    <w:rsid w:val="00FC7320"/>
  </w:style>
  <w:style w:type="character" w:styleId="Hyperlink">
    <w:name w:val="Hyperlink"/>
    <w:rsid w:val="00CB1939"/>
    <w:rPr>
      <w:color w:val="0000FF"/>
      <w:u w:val="single"/>
    </w:rPr>
  </w:style>
  <w:style w:type="character" w:customStyle="1" w:styleId="FooterChar">
    <w:name w:val="Footer Char"/>
    <w:link w:val="Footer"/>
    <w:uiPriority w:val="99"/>
    <w:rsid w:val="005C49CF"/>
    <w:rPr>
      <w:snapToGrid w:val="0"/>
      <w:sz w:val="24"/>
      <w:lang w:val="en-US" w:eastAsia="en-US"/>
    </w:rPr>
  </w:style>
  <w:style w:type="paragraph" w:styleId="ListParagraph">
    <w:name w:val="List Paragraph"/>
    <w:basedOn w:val="Normal"/>
    <w:uiPriority w:val="34"/>
    <w:qFormat/>
    <w:rsid w:val="00BF3C8D"/>
    <w:pPr>
      <w:widowControl/>
      <w:spacing w:after="200" w:line="276" w:lineRule="auto"/>
      <w:ind w:left="720"/>
      <w:contextualSpacing/>
    </w:pPr>
    <w:rPr>
      <w:rFonts w:eastAsia="Calibri"/>
      <w:snapToGrid/>
      <w:szCs w:val="22"/>
      <w:lang w:val="en-AU"/>
    </w:rPr>
  </w:style>
  <w:style w:type="character" w:styleId="CommentReference">
    <w:name w:val="annotation reference"/>
    <w:uiPriority w:val="99"/>
    <w:rsid w:val="00CC608A"/>
    <w:rPr>
      <w:sz w:val="16"/>
      <w:szCs w:val="16"/>
    </w:rPr>
  </w:style>
  <w:style w:type="paragraph" w:styleId="CommentText">
    <w:name w:val="annotation text"/>
    <w:basedOn w:val="Normal"/>
    <w:link w:val="CommentTextChar"/>
    <w:uiPriority w:val="99"/>
    <w:rsid w:val="00CC608A"/>
    <w:rPr>
      <w:sz w:val="20"/>
    </w:rPr>
  </w:style>
  <w:style w:type="character" w:customStyle="1" w:styleId="CommentTextChar">
    <w:name w:val="Comment Text Char"/>
    <w:link w:val="CommentText"/>
    <w:uiPriority w:val="99"/>
    <w:rsid w:val="00CC608A"/>
    <w:rPr>
      <w:snapToGrid w:val="0"/>
      <w:lang w:val="en-US" w:eastAsia="en-US"/>
    </w:rPr>
  </w:style>
  <w:style w:type="paragraph" w:styleId="CommentSubject">
    <w:name w:val="annotation subject"/>
    <w:basedOn w:val="CommentText"/>
    <w:next w:val="CommentText"/>
    <w:link w:val="CommentSubjectChar"/>
    <w:rsid w:val="00CC608A"/>
    <w:rPr>
      <w:b/>
      <w:bCs/>
    </w:rPr>
  </w:style>
  <w:style w:type="character" w:customStyle="1" w:styleId="CommentSubjectChar">
    <w:name w:val="Comment Subject Char"/>
    <w:link w:val="CommentSubject"/>
    <w:rsid w:val="00CC608A"/>
    <w:rPr>
      <w:b/>
      <w:bCs/>
      <w:snapToGrid w:val="0"/>
      <w:lang w:val="en-US" w:eastAsia="en-US"/>
    </w:rPr>
  </w:style>
  <w:style w:type="paragraph" w:styleId="Revision">
    <w:name w:val="Revision"/>
    <w:hidden/>
    <w:uiPriority w:val="99"/>
    <w:semiHidden/>
    <w:rsid w:val="001B7CCE"/>
    <w:rPr>
      <w:snapToGrid w:val="0"/>
      <w:sz w:val="24"/>
      <w:lang w:val="en-US" w:eastAsia="en-US"/>
    </w:rPr>
  </w:style>
  <w:style w:type="character" w:customStyle="1" w:styleId="BodyTextChar">
    <w:name w:val="Body Text Char"/>
    <w:basedOn w:val="DefaultParagraphFont"/>
    <w:link w:val="BodyText"/>
    <w:rsid w:val="001F29CD"/>
    <w:rPr>
      <w:noProof/>
      <w:sz w:val="24"/>
      <w:lang w:val="en-US" w:eastAsia="en-US"/>
    </w:rPr>
  </w:style>
  <w:style w:type="paragraph" w:styleId="FootnoteText">
    <w:name w:val="footnote text"/>
    <w:basedOn w:val="Normal"/>
    <w:link w:val="FootnoteTextChar"/>
    <w:rsid w:val="0051686F"/>
    <w:rPr>
      <w:rFonts w:eastAsia="Times New Roman"/>
      <w:sz w:val="20"/>
    </w:rPr>
  </w:style>
  <w:style w:type="character" w:customStyle="1" w:styleId="FootnoteTextChar">
    <w:name w:val="Footnote Text Char"/>
    <w:basedOn w:val="DefaultParagraphFont"/>
    <w:link w:val="FootnoteText"/>
    <w:rsid w:val="0051686F"/>
    <w:rPr>
      <w:rFonts w:eastAsia="Times New Roman"/>
      <w:snapToGrid w:val="0"/>
      <w:lang w:val="en-US" w:eastAsia="en-US"/>
    </w:rPr>
  </w:style>
  <w:style w:type="paragraph" w:styleId="NormalWeb">
    <w:name w:val="Normal (Web)"/>
    <w:basedOn w:val="Normal"/>
    <w:uiPriority w:val="99"/>
    <w:unhideWhenUsed/>
    <w:rsid w:val="002A0691"/>
    <w:pPr>
      <w:widowControl/>
      <w:spacing w:before="100" w:beforeAutospacing="1" w:after="100" w:afterAutospacing="1"/>
    </w:pPr>
    <w:rPr>
      <w:rFonts w:eastAsia="Times New Roman"/>
      <w:snapToGrid/>
      <w:szCs w:val="24"/>
      <w:lang w:val="en-AU" w:eastAsia="en-AU"/>
    </w:rPr>
  </w:style>
  <w:style w:type="paragraph" w:customStyle="1" w:styleId="Default">
    <w:name w:val="Default"/>
    <w:rsid w:val="001C3E6A"/>
    <w:pPr>
      <w:autoSpaceDE w:val="0"/>
      <w:autoSpaceDN w:val="0"/>
      <w:adjustRightInd w:val="0"/>
    </w:pPr>
    <w:rPr>
      <w:rFonts w:ascii="Arial" w:hAnsi="Arial" w:cs="Arial"/>
      <w:color w:val="000000"/>
      <w:sz w:val="24"/>
      <w:szCs w:val="24"/>
    </w:rPr>
  </w:style>
  <w:style w:type="paragraph" w:styleId="Subtitle">
    <w:name w:val="Subtitle"/>
    <w:basedOn w:val="Normal"/>
    <w:link w:val="SubtitleChar"/>
    <w:qFormat/>
    <w:rsid w:val="000B79A6"/>
    <w:pPr>
      <w:widowControl/>
    </w:pPr>
    <w:rPr>
      <w:rFonts w:eastAsia="Times New Roman"/>
      <w:b/>
      <w:snapToGrid/>
      <w:lang w:val="en-AU"/>
    </w:rPr>
  </w:style>
  <w:style w:type="character" w:customStyle="1" w:styleId="SubtitleChar">
    <w:name w:val="Subtitle Char"/>
    <w:basedOn w:val="DefaultParagraphFont"/>
    <w:link w:val="Subtitle"/>
    <w:rsid w:val="000B79A6"/>
    <w:rPr>
      <w:rFonts w:eastAsia="Times New Roman"/>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943479">
      <w:bodyDiv w:val="1"/>
      <w:marLeft w:val="0"/>
      <w:marRight w:val="0"/>
      <w:marTop w:val="0"/>
      <w:marBottom w:val="0"/>
      <w:divBdr>
        <w:top w:val="none" w:sz="0" w:space="0" w:color="auto"/>
        <w:left w:val="none" w:sz="0" w:space="0" w:color="auto"/>
        <w:bottom w:val="none" w:sz="0" w:space="0" w:color="auto"/>
        <w:right w:val="none" w:sz="0" w:space="0" w:color="auto"/>
      </w:divBdr>
    </w:div>
    <w:div w:id="801120279">
      <w:bodyDiv w:val="1"/>
      <w:marLeft w:val="0"/>
      <w:marRight w:val="0"/>
      <w:marTop w:val="0"/>
      <w:marBottom w:val="0"/>
      <w:divBdr>
        <w:top w:val="none" w:sz="0" w:space="0" w:color="auto"/>
        <w:left w:val="none" w:sz="0" w:space="0" w:color="auto"/>
        <w:bottom w:val="none" w:sz="0" w:space="0" w:color="auto"/>
        <w:right w:val="none" w:sz="0" w:space="0" w:color="auto"/>
      </w:divBdr>
    </w:div>
    <w:div w:id="1754475938">
      <w:bodyDiv w:val="1"/>
      <w:marLeft w:val="0"/>
      <w:marRight w:val="0"/>
      <w:marTop w:val="0"/>
      <w:marBottom w:val="0"/>
      <w:divBdr>
        <w:top w:val="none" w:sz="0" w:space="0" w:color="auto"/>
        <w:left w:val="none" w:sz="0" w:space="0" w:color="auto"/>
        <w:bottom w:val="none" w:sz="0" w:space="0" w:color="auto"/>
        <w:right w:val="none" w:sz="0" w:space="0" w:color="auto"/>
      </w:divBdr>
    </w:div>
    <w:div w:id="1834368141">
      <w:bodyDiv w:val="1"/>
      <w:marLeft w:val="0"/>
      <w:marRight w:val="0"/>
      <w:marTop w:val="0"/>
      <w:marBottom w:val="0"/>
      <w:divBdr>
        <w:top w:val="none" w:sz="0" w:space="0" w:color="auto"/>
        <w:left w:val="none" w:sz="0" w:space="0" w:color="auto"/>
        <w:bottom w:val="none" w:sz="0" w:space="0" w:color="auto"/>
        <w:right w:val="none" w:sz="0" w:space="0" w:color="auto"/>
      </w:divBdr>
    </w:div>
    <w:div w:id="200142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 M A T T ! 7 6 4 1 9 7 2 6 . 2 < / d o c u m e n t i d >  
     < s e n d e r i d > E U C < / s e n d e r i d >  
     < s e n d e r e m a i l > E L L E N . C U R R A N @ S P A R K E . C O M . A U < / s e n d e r e m a i l >  
     < l a s t m o d i f i e d > 2 0 2 0 - 1 0 - 2 9 T 1 1 : 5 8 : 0 0 . 0 0 0 0 0 0 0 + 1 1 : 0 0 < / l a s t m o d i f i e d >  
     < d a t a b a s e > M A T T < / 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A1B44-A4BC-4C41-B8E9-446B124BCEB6}">
  <ds:schemaRefs>
    <ds:schemaRef ds:uri="http://www.imanage.com/work/xmlschema"/>
  </ds:schemaRefs>
</ds:datastoreItem>
</file>

<file path=customXml/itemProps2.xml><?xml version="1.0" encoding="utf-8"?>
<ds:datastoreItem xmlns:ds="http://schemas.openxmlformats.org/officeDocument/2006/customXml" ds:itemID="{7CE6BBD1-6DCD-40AC-A9EC-773112049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1697</Words>
  <Characters>9674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2020-12-08T01:54:00Z</dcterms:created>
  <dcterms:modified xsi:type="dcterms:W3CDTF">2021-04-19T01:10:00Z</dcterms:modified>
</cp:coreProperties>
</file>