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448F2" w14:textId="77777777" w:rsidR="00715914" w:rsidRPr="00EB5485" w:rsidRDefault="00DA186E" w:rsidP="00715914">
      <w:pPr>
        <w:rPr>
          <w:sz w:val="28"/>
        </w:rPr>
      </w:pPr>
      <w:r w:rsidRPr="00EB5485">
        <w:rPr>
          <w:noProof/>
          <w:lang w:eastAsia="en-AU"/>
        </w:rPr>
        <w:drawing>
          <wp:inline distT="0" distB="0" distL="0" distR="0" wp14:anchorId="5808CB77" wp14:editId="64726753">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B9F1ABE" w14:textId="77777777" w:rsidR="00715914" w:rsidRPr="00EB5485" w:rsidRDefault="00715914" w:rsidP="00715914">
      <w:pPr>
        <w:rPr>
          <w:sz w:val="19"/>
        </w:rPr>
      </w:pPr>
    </w:p>
    <w:p w14:paraId="31D1D905" w14:textId="567AD8B2" w:rsidR="0089375A" w:rsidRPr="00EB5485" w:rsidRDefault="006E3A95" w:rsidP="0089375A">
      <w:pPr>
        <w:pStyle w:val="Title"/>
        <w:spacing w:before="0"/>
        <w:rPr>
          <w:rFonts w:ascii="Times New Roman" w:hAnsi="Times New Roman" w:cs="Times New Roman"/>
        </w:rPr>
      </w:pPr>
      <w:r w:rsidRPr="00EB5485">
        <w:rPr>
          <w:rFonts w:ascii="Times New Roman" w:hAnsi="Times New Roman" w:cs="Times New Roman"/>
          <w:lang w:val="en-US"/>
        </w:rPr>
        <w:t>Health Insurance (</w:t>
      </w:r>
      <w:r w:rsidRPr="00EB5485">
        <w:rPr>
          <w:rFonts w:ascii="Times New Roman" w:hAnsi="Times New Roman" w:cs="Times New Roman"/>
        </w:rPr>
        <w:t xml:space="preserve">Quality Assurance Activity </w:t>
      </w:r>
      <w:r w:rsidRPr="00EB5485">
        <w:rPr>
          <w:rFonts w:ascii="Times New Roman" w:hAnsi="Times New Roman" w:cs="Times New Roman"/>
          <w:iCs/>
        </w:rPr>
        <w:t xml:space="preserve">– Top End Health Service Peer Review Clinical Audits </w:t>
      </w:r>
      <w:r w:rsidRPr="00EB5485">
        <w:rPr>
          <w:rFonts w:ascii="Times New Roman" w:hAnsi="Times New Roman" w:cs="Times New Roman"/>
          <w:lang w:val="en-US"/>
        </w:rPr>
        <w:t>of Surgical Mortalities and Morbidities) Declaration 202</w:t>
      </w:r>
      <w:r w:rsidR="00F32570" w:rsidRPr="00EB5485">
        <w:rPr>
          <w:rFonts w:ascii="Times New Roman" w:hAnsi="Times New Roman" w:cs="Times New Roman"/>
          <w:lang w:val="en-US"/>
        </w:rPr>
        <w:t>1</w:t>
      </w:r>
    </w:p>
    <w:p w14:paraId="5A7F612B" w14:textId="12AFE6C4" w:rsidR="00554826" w:rsidRPr="00EB5485" w:rsidRDefault="00554826" w:rsidP="00554826">
      <w:pPr>
        <w:pStyle w:val="SignCoverPageStart"/>
        <w:spacing w:before="240"/>
        <w:ind w:right="91"/>
        <w:rPr>
          <w:szCs w:val="22"/>
        </w:rPr>
      </w:pPr>
      <w:r w:rsidRPr="00EB5485">
        <w:rPr>
          <w:szCs w:val="22"/>
        </w:rPr>
        <w:t xml:space="preserve">I, </w:t>
      </w:r>
      <w:r w:rsidR="00B140BA" w:rsidRPr="00EB5485">
        <w:rPr>
          <w:szCs w:val="22"/>
        </w:rPr>
        <w:t>PAUL KELLY</w:t>
      </w:r>
      <w:r w:rsidRPr="00EB5485">
        <w:rPr>
          <w:szCs w:val="22"/>
        </w:rPr>
        <w:t xml:space="preserve">, </w:t>
      </w:r>
      <w:r w:rsidR="008B7802" w:rsidRPr="00EB5485">
        <w:rPr>
          <w:szCs w:val="22"/>
        </w:rPr>
        <w:t>delegate for the Minister for Health</w:t>
      </w:r>
      <w:r w:rsidRPr="00EB5485">
        <w:rPr>
          <w:szCs w:val="22"/>
        </w:rPr>
        <w:t xml:space="preserve">, make the following </w:t>
      </w:r>
      <w:r w:rsidR="0089375A" w:rsidRPr="00EB5485">
        <w:rPr>
          <w:szCs w:val="22"/>
        </w:rPr>
        <w:t>declaration under</w:t>
      </w:r>
      <w:r w:rsidR="008B7802" w:rsidRPr="00EB5485">
        <w:rPr>
          <w:szCs w:val="22"/>
        </w:rPr>
        <w:t xml:space="preserve"> </w:t>
      </w:r>
      <w:r w:rsidR="008B7802" w:rsidRPr="00EB5485">
        <w:t xml:space="preserve">section 124X of the </w:t>
      </w:r>
      <w:r w:rsidR="008B7802" w:rsidRPr="00EB5485">
        <w:rPr>
          <w:i/>
        </w:rPr>
        <w:t>Health Insurance Act 1973</w:t>
      </w:r>
      <w:r w:rsidR="008B7802" w:rsidRPr="00EB5485">
        <w:t>.</w:t>
      </w:r>
    </w:p>
    <w:p w14:paraId="63BF8BFB" w14:textId="6F25EC37" w:rsidR="00554826" w:rsidRPr="00EB5485" w:rsidRDefault="00554826" w:rsidP="00554826">
      <w:pPr>
        <w:keepNext/>
        <w:spacing w:before="300" w:line="240" w:lineRule="atLeast"/>
        <w:ind w:right="397"/>
        <w:jc w:val="both"/>
        <w:rPr>
          <w:szCs w:val="22"/>
        </w:rPr>
      </w:pPr>
      <w:r w:rsidRPr="00EB5485">
        <w:rPr>
          <w:szCs w:val="22"/>
        </w:rPr>
        <w:t>Dated</w:t>
      </w:r>
      <w:r w:rsidR="00EB5485" w:rsidRPr="00EB5485">
        <w:rPr>
          <w:szCs w:val="22"/>
        </w:rPr>
        <w:t xml:space="preserve"> 15 </w:t>
      </w:r>
      <w:r w:rsidR="006A02A3" w:rsidRPr="00EB5485">
        <w:rPr>
          <w:szCs w:val="22"/>
        </w:rPr>
        <w:t>April</w:t>
      </w:r>
      <w:r w:rsidR="0089375A" w:rsidRPr="00EB5485">
        <w:rPr>
          <w:szCs w:val="22"/>
        </w:rPr>
        <w:t xml:space="preserve"> 202</w:t>
      </w:r>
      <w:r w:rsidR="00F32570" w:rsidRPr="00EB5485">
        <w:rPr>
          <w:szCs w:val="22"/>
        </w:rPr>
        <w:t>1</w:t>
      </w:r>
      <w:r w:rsidRPr="00EB5485">
        <w:rPr>
          <w:szCs w:val="22"/>
        </w:rPr>
        <w:tab/>
      </w:r>
      <w:r w:rsidRPr="00EB5485">
        <w:rPr>
          <w:szCs w:val="22"/>
        </w:rPr>
        <w:tab/>
      </w:r>
    </w:p>
    <w:p w14:paraId="466A0276" w14:textId="77777777" w:rsidR="00554826" w:rsidRPr="00EB5485" w:rsidRDefault="0089375A" w:rsidP="00554826">
      <w:pPr>
        <w:keepNext/>
        <w:tabs>
          <w:tab w:val="left" w:pos="3402"/>
        </w:tabs>
        <w:spacing w:before="1440" w:line="300" w:lineRule="atLeast"/>
        <w:ind w:right="397"/>
        <w:rPr>
          <w:b/>
          <w:szCs w:val="22"/>
        </w:rPr>
      </w:pPr>
      <w:proofErr w:type="spellStart"/>
      <w:r w:rsidRPr="00EB5485">
        <w:rPr>
          <w:szCs w:val="22"/>
        </w:rPr>
        <w:t>Prof.</w:t>
      </w:r>
      <w:proofErr w:type="spellEnd"/>
      <w:r w:rsidR="008B7802" w:rsidRPr="00EB5485">
        <w:rPr>
          <w:szCs w:val="22"/>
        </w:rPr>
        <w:t xml:space="preserve"> </w:t>
      </w:r>
      <w:r w:rsidR="00773193" w:rsidRPr="00EB5485">
        <w:rPr>
          <w:szCs w:val="22"/>
        </w:rPr>
        <w:t>Paul Kelly</w:t>
      </w:r>
    </w:p>
    <w:p w14:paraId="6BED4062" w14:textId="32DC2329" w:rsidR="008B7802" w:rsidRPr="00EB5485" w:rsidRDefault="008B7802" w:rsidP="008B7802">
      <w:pPr>
        <w:spacing w:line="300" w:lineRule="atLeast"/>
        <w:ind w:right="397"/>
        <w:outlineLvl w:val="0"/>
      </w:pPr>
      <w:r w:rsidRPr="00EB5485">
        <w:t>Chief Medical Office</w:t>
      </w:r>
      <w:r w:rsidR="00075D0A" w:rsidRPr="00EB5485">
        <w:t>r</w:t>
      </w:r>
    </w:p>
    <w:p w14:paraId="07CBCF70" w14:textId="77777777" w:rsidR="00554826" w:rsidRPr="00EB5485" w:rsidRDefault="008B7802" w:rsidP="00554826">
      <w:pPr>
        <w:pStyle w:val="SignCoverPageEnd"/>
        <w:ind w:right="91"/>
        <w:rPr>
          <w:sz w:val="22"/>
        </w:rPr>
      </w:pPr>
      <w:r w:rsidRPr="00EB5485">
        <w:rPr>
          <w:sz w:val="22"/>
        </w:rPr>
        <w:t>Department of Health</w:t>
      </w:r>
    </w:p>
    <w:p w14:paraId="30E1BB74" w14:textId="77777777" w:rsidR="00554826" w:rsidRPr="00EB5485" w:rsidRDefault="00554826" w:rsidP="00554826"/>
    <w:p w14:paraId="5EE11AB8" w14:textId="77777777" w:rsidR="00554826" w:rsidRPr="00EB5485" w:rsidRDefault="00554826" w:rsidP="00554826"/>
    <w:p w14:paraId="7CCAECEA" w14:textId="77777777" w:rsidR="00F6696E" w:rsidRPr="00EB5485" w:rsidRDefault="00F6696E" w:rsidP="00F6696E"/>
    <w:p w14:paraId="0FEFD8AD" w14:textId="77777777" w:rsidR="00F6696E" w:rsidRPr="00EB5485" w:rsidRDefault="00F6696E" w:rsidP="00F6696E">
      <w:pPr>
        <w:sectPr w:rsidR="00F6696E" w:rsidRPr="00EB5485" w:rsidSect="00F6696E">
          <w:headerReference w:type="even" r:id="rId10"/>
          <w:headerReference w:type="default" r:id="rId11"/>
          <w:footerReference w:type="even" r:id="rId12"/>
          <w:footerReference w:type="default" r:id="rId13"/>
          <w:footerReference w:type="first" r:id="rId14"/>
          <w:type w:val="continuous"/>
          <w:pgSz w:w="11907" w:h="16839" w:code="9"/>
          <w:pgMar w:top="2234" w:right="1797" w:bottom="1440" w:left="1797" w:header="720" w:footer="989" w:gutter="0"/>
          <w:pgNumType w:start="1"/>
          <w:cols w:space="708"/>
          <w:titlePg/>
          <w:docGrid w:linePitch="360"/>
        </w:sectPr>
      </w:pPr>
    </w:p>
    <w:p w14:paraId="7F582E80" w14:textId="77777777" w:rsidR="003A160B" w:rsidRPr="00EB5485" w:rsidRDefault="00715914" w:rsidP="003A160B">
      <w:pPr>
        <w:outlineLvl w:val="0"/>
        <w:rPr>
          <w:noProof/>
          <w:sz w:val="36"/>
        </w:rPr>
      </w:pPr>
      <w:r w:rsidRPr="00EB5485">
        <w:rPr>
          <w:sz w:val="36"/>
        </w:rPr>
        <w:lastRenderedPageBreak/>
        <w:t>Contents</w:t>
      </w:r>
      <w:r w:rsidR="00B418CB" w:rsidRPr="00EB5485">
        <w:rPr>
          <w:rFonts w:eastAsia="Times New Roman" w:cs="Times New Roman"/>
          <w:kern w:val="28"/>
          <w:sz w:val="18"/>
          <w:lang w:eastAsia="en-AU"/>
        </w:rPr>
        <w:fldChar w:fldCharType="begin" w:fldLock="1"/>
      </w:r>
      <w:r w:rsidR="00B418CB" w:rsidRPr="00EB5485">
        <w:instrText xml:space="preserve"> TOC \o "1-9" </w:instrText>
      </w:r>
      <w:r w:rsidR="00B418CB" w:rsidRPr="00EB5485">
        <w:rPr>
          <w:rFonts w:eastAsia="Times New Roman" w:cs="Times New Roman"/>
          <w:kern w:val="28"/>
          <w:sz w:val="18"/>
          <w:lang w:eastAsia="en-AU"/>
        </w:rPr>
        <w:fldChar w:fldCharType="separate"/>
      </w:r>
    </w:p>
    <w:p w14:paraId="74FCD38A" w14:textId="77777777" w:rsidR="003A160B" w:rsidRPr="00EB5485" w:rsidRDefault="003A160B" w:rsidP="003A160B">
      <w:pPr>
        <w:pStyle w:val="TOC6"/>
        <w:rPr>
          <w:noProof/>
        </w:rPr>
      </w:pPr>
      <w:r w:rsidRPr="00EB5485">
        <w:rPr>
          <w:noProof/>
        </w:rPr>
        <w:t>Part 1 —</w:t>
      </w:r>
      <w:r w:rsidRPr="00EB5485">
        <w:rPr>
          <w:noProof/>
        </w:rPr>
        <w:tab/>
        <w:t>Preliminary</w:t>
      </w:r>
      <w:r w:rsidRPr="00EB5485">
        <w:rPr>
          <w:noProof/>
        </w:rPr>
        <w:tab/>
        <w:t>1</w:t>
      </w:r>
    </w:p>
    <w:p w14:paraId="224C5CD5" w14:textId="77777777" w:rsidR="003A160B" w:rsidRPr="00EB5485" w:rsidRDefault="003A160B" w:rsidP="003A160B">
      <w:pPr>
        <w:pStyle w:val="TOC5"/>
        <w:rPr>
          <w:rFonts w:asciiTheme="minorHAnsi" w:eastAsiaTheme="minorEastAsia" w:hAnsiTheme="minorHAnsi" w:cstheme="minorBidi"/>
          <w:noProof/>
          <w:kern w:val="0"/>
          <w:sz w:val="22"/>
          <w:szCs w:val="22"/>
        </w:rPr>
      </w:pPr>
      <w:r w:rsidRPr="00EB5485">
        <w:rPr>
          <w:noProof/>
        </w:rPr>
        <w:t>1  Name</w:t>
      </w:r>
      <w:r w:rsidRPr="00EB5485">
        <w:rPr>
          <w:noProof/>
        </w:rPr>
        <w:tab/>
      </w:r>
      <w:r w:rsidRPr="00EB5485">
        <w:rPr>
          <w:noProof/>
        </w:rPr>
        <w:fldChar w:fldCharType="begin" w:fldLock="1"/>
      </w:r>
      <w:r w:rsidRPr="00EB5485">
        <w:rPr>
          <w:noProof/>
        </w:rPr>
        <w:instrText xml:space="preserve"> PAGEREF _Toc40440727 \h </w:instrText>
      </w:r>
      <w:r w:rsidRPr="00EB5485">
        <w:rPr>
          <w:noProof/>
        </w:rPr>
      </w:r>
      <w:r w:rsidRPr="00EB5485">
        <w:rPr>
          <w:noProof/>
        </w:rPr>
        <w:fldChar w:fldCharType="separate"/>
      </w:r>
      <w:r w:rsidRPr="00EB5485">
        <w:rPr>
          <w:noProof/>
        </w:rPr>
        <w:t>1</w:t>
      </w:r>
      <w:r w:rsidRPr="00EB5485">
        <w:rPr>
          <w:noProof/>
        </w:rPr>
        <w:fldChar w:fldCharType="end"/>
      </w:r>
    </w:p>
    <w:p w14:paraId="6692090E" w14:textId="77777777" w:rsidR="003A160B" w:rsidRPr="00EB5485" w:rsidRDefault="003A160B">
      <w:pPr>
        <w:pStyle w:val="TOC5"/>
        <w:rPr>
          <w:rFonts w:asciiTheme="minorHAnsi" w:eastAsiaTheme="minorEastAsia" w:hAnsiTheme="minorHAnsi" w:cstheme="minorBidi"/>
          <w:noProof/>
          <w:kern w:val="0"/>
          <w:sz w:val="22"/>
          <w:szCs w:val="22"/>
        </w:rPr>
      </w:pPr>
      <w:r w:rsidRPr="00EB5485">
        <w:rPr>
          <w:noProof/>
        </w:rPr>
        <w:t>2  Commencement</w:t>
      </w:r>
      <w:r w:rsidRPr="00EB5485">
        <w:rPr>
          <w:noProof/>
        </w:rPr>
        <w:tab/>
      </w:r>
      <w:r w:rsidRPr="00EB5485">
        <w:rPr>
          <w:noProof/>
        </w:rPr>
        <w:fldChar w:fldCharType="begin" w:fldLock="1"/>
      </w:r>
      <w:r w:rsidRPr="00EB5485">
        <w:rPr>
          <w:noProof/>
        </w:rPr>
        <w:instrText xml:space="preserve"> PAGEREF _Toc40440728 \h </w:instrText>
      </w:r>
      <w:r w:rsidRPr="00EB5485">
        <w:rPr>
          <w:noProof/>
        </w:rPr>
      </w:r>
      <w:r w:rsidRPr="00EB5485">
        <w:rPr>
          <w:noProof/>
        </w:rPr>
        <w:fldChar w:fldCharType="separate"/>
      </w:r>
      <w:r w:rsidRPr="00EB5485">
        <w:rPr>
          <w:noProof/>
        </w:rPr>
        <w:t>1</w:t>
      </w:r>
      <w:r w:rsidRPr="00EB5485">
        <w:rPr>
          <w:noProof/>
        </w:rPr>
        <w:fldChar w:fldCharType="end"/>
      </w:r>
    </w:p>
    <w:p w14:paraId="0B724856" w14:textId="77777777" w:rsidR="003A160B" w:rsidRPr="00EB5485" w:rsidRDefault="003A160B">
      <w:pPr>
        <w:pStyle w:val="TOC5"/>
        <w:rPr>
          <w:rFonts w:asciiTheme="minorHAnsi" w:eastAsiaTheme="minorEastAsia" w:hAnsiTheme="minorHAnsi" w:cstheme="minorBidi"/>
          <w:noProof/>
          <w:kern w:val="0"/>
          <w:sz w:val="22"/>
          <w:szCs w:val="22"/>
        </w:rPr>
      </w:pPr>
      <w:r w:rsidRPr="00EB5485">
        <w:rPr>
          <w:noProof/>
        </w:rPr>
        <w:t>3  Authority</w:t>
      </w:r>
      <w:r w:rsidRPr="00EB5485">
        <w:rPr>
          <w:noProof/>
        </w:rPr>
        <w:tab/>
      </w:r>
      <w:r w:rsidRPr="00EB5485">
        <w:rPr>
          <w:noProof/>
        </w:rPr>
        <w:fldChar w:fldCharType="begin" w:fldLock="1"/>
      </w:r>
      <w:r w:rsidRPr="00EB5485">
        <w:rPr>
          <w:noProof/>
        </w:rPr>
        <w:instrText xml:space="preserve"> PAGEREF _Toc40440729 \h </w:instrText>
      </w:r>
      <w:r w:rsidRPr="00EB5485">
        <w:rPr>
          <w:noProof/>
        </w:rPr>
      </w:r>
      <w:r w:rsidRPr="00EB5485">
        <w:rPr>
          <w:noProof/>
        </w:rPr>
        <w:fldChar w:fldCharType="separate"/>
      </w:r>
      <w:r w:rsidRPr="00EB5485">
        <w:rPr>
          <w:noProof/>
        </w:rPr>
        <w:t>1</w:t>
      </w:r>
      <w:r w:rsidRPr="00EB5485">
        <w:rPr>
          <w:noProof/>
        </w:rPr>
        <w:fldChar w:fldCharType="end"/>
      </w:r>
    </w:p>
    <w:p w14:paraId="4A33E00F" w14:textId="7C18EE23" w:rsidR="005329E7" w:rsidRPr="00EB5485" w:rsidRDefault="0035000E">
      <w:pPr>
        <w:pStyle w:val="TOC5"/>
        <w:rPr>
          <w:noProof/>
        </w:rPr>
      </w:pPr>
      <w:r w:rsidRPr="00EB5485">
        <w:rPr>
          <w:noProof/>
        </w:rPr>
        <w:t xml:space="preserve">4  </w:t>
      </w:r>
      <w:r w:rsidR="005329E7" w:rsidRPr="00EB5485">
        <w:rPr>
          <w:noProof/>
        </w:rPr>
        <w:t>Repeal</w:t>
      </w:r>
      <w:r w:rsidR="003A160B" w:rsidRPr="00EB5485">
        <w:rPr>
          <w:noProof/>
        </w:rPr>
        <w:t xml:space="preserve"> </w:t>
      </w:r>
      <w:r w:rsidR="005329E7" w:rsidRPr="00EB5485">
        <w:rPr>
          <w:noProof/>
        </w:rPr>
        <w:tab/>
      </w:r>
      <w:r w:rsidR="005329E7" w:rsidRPr="00EB5485">
        <w:rPr>
          <w:noProof/>
        </w:rPr>
        <w:fldChar w:fldCharType="begin" w:fldLock="1"/>
      </w:r>
      <w:r w:rsidR="005329E7" w:rsidRPr="00EB5485">
        <w:rPr>
          <w:noProof/>
        </w:rPr>
        <w:instrText xml:space="preserve"> PAGEREF _Toc40440730 \h </w:instrText>
      </w:r>
      <w:r w:rsidR="005329E7" w:rsidRPr="00EB5485">
        <w:rPr>
          <w:noProof/>
        </w:rPr>
      </w:r>
      <w:r w:rsidR="005329E7" w:rsidRPr="00EB5485">
        <w:rPr>
          <w:noProof/>
        </w:rPr>
        <w:fldChar w:fldCharType="separate"/>
      </w:r>
      <w:r w:rsidR="005329E7" w:rsidRPr="00EB5485">
        <w:rPr>
          <w:noProof/>
        </w:rPr>
        <w:t>1</w:t>
      </w:r>
      <w:r w:rsidR="005329E7" w:rsidRPr="00EB5485">
        <w:rPr>
          <w:noProof/>
        </w:rPr>
        <w:fldChar w:fldCharType="end"/>
      </w:r>
    </w:p>
    <w:p w14:paraId="56DC0503" w14:textId="7BD675A7" w:rsidR="003A160B" w:rsidRPr="00EB5485" w:rsidRDefault="0035000E">
      <w:pPr>
        <w:pStyle w:val="TOC5"/>
        <w:rPr>
          <w:rFonts w:asciiTheme="minorHAnsi" w:eastAsiaTheme="minorEastAsia" w:hAnsiTheme="minorHAnsi" w:cstheme="minorBidi"/>
          <w:noProof/>
          <w:kern w:val="0"/>
          <w:sz w:val="22"/>
          <w:szCs w:val="22"/>
        </w:rPr>
      </w:pPr>
      <w:r w:rsidRPr="00EB5485">
        <w:rPr>
          <w:noProof/>
        </w:rPr>
        <w:t xml:space="preserve">5  </w:t>
      </w:r>
      <w:r w:rsidR="003A160B" w:rsidRPr="00EB5485">
        <w:rPr>
          <w:noProof/>
        </w:rPr>
        <w:t>Schedule</w:t>
      </w:r>
      <w:r w:rsidR="003A160B" w:rsidRPr="00EB5485">
        <w:rPr>
          <w:noProof/>
        </w:rPr>
        <w:tab/>
      </w:r>
      <w:r w:rsidR="003A160B" w:rsidRPr="00EB5485">
        <w:rPr>
          <w:noProof/>
        </w:rPr>
        <w:fldChar w:fldCharType="begin" w:fldLock="1"/>
      </w:r>
      <w:r w:rsidR="003A160B" w:rsidRPr="00EB5485">
        <w:rPr>
          <w:noProof/>
        </w:rPr>
        <w:instrText xml:space="preserve"> PAGEREF _Toc40440731 \h </w:instrText>
      </w:r>
      <w:r w:rsidR="003A160B" w:rsidRPr="00EB5485">
        <w:rPr>
          <w:noProof/>
        </w:rPr>
      </w:r>
      <w:r w:rsidR="003A160B" w:rsidRPr="00EB5485">
        <w:rPr>
          <w:noProof/>
        </w:rPr>
        <w:fldChar w:fldCharType="separate"/>
      </w:r>
      <w:r w:rsidR="003A160B" w:rsidRPr="00EB5485">
        <w:rPr>
          <w:noProof/>
        </w:rPr>
        <w:t>1</w:t>
      </w:r>
      <w:r w:rsidR="003A160B" w:rsidRPr="00EB5485">
        <w:rPr>
          <w:noProof/>
        </w:rPr>
        <w:fldChar w:fldCharType="end"/>
      </w:r>
    </w:p>
    <w:p w14:paraId="51B917A2" w14:textId="77777777" w:rsidR="003A160B" w:rsidRPr="00EB5485" w:rsidRDefault="003A160B">
      <w:pPr>
        <w:pStyle w:val="TOC6"/>
        <w:rPr>
          <w:noProof/>
        </w:rPr>
      </w:pPr>
      <w:r w:rsidRPr="00EB5485">
        <w:rPr>
          <w:noProof/>
        </w:rPr>
        <w:t xml:space="preserve">Schedule 1— Description of quality </w:t>
      </w:r>
      <w:bookmarkStart w:id="0" w:name="_GoBack"/>
      <w:bookmarkEnd w:id="0"/>
      <w:r w:rsidRPr="00EB5485">
        <w:rPr>
          <w:noProof/>
        </w:rPr>
        <w:t>assurance activity</w:t>
      </w:r>
      <w:r w:rsidRPr="00EB5485">
        <w:rPr>
          <w:noProof/>
        </w:rPr>
        <w:tab/>
      </w:r>
      <w:r w:rsidRPr="00EB5485">
        <w:rPr>
          <w:noProof/>
        </w:rPr>
        <w:fldChar w:fldCharType="begin" w:fldLock="1"/>
      </w:r>
      <w:r w:rsidRPr="00EB5485">
        <w:rPr>
          <w:noProof/>
        </w:rPr>
        <w:instrText xml:space="preserve"> PAGEREF _Toc40440732 \h </w:instrText>
      </w:r>
      <w:r w:rsidRPr="00EB5485">
        <w:rPr>
          <w:noProof/>
        </w:rPr>
      </w:r>
      <w:r w:rsidRPr="00EB5485">
        <w:rPr>
          <w:noProof/>
        </w:rPr>
        <w:fldChar w:fldCharType="separate"/>
      </w:r>
      <w:r w:rsidRPr="00EB5485">
        <w:rPr>
          <w:noProof/>
        </w:rPr>
        <w:t>2</w:t>
      </w:r>
      <w:r w:rsidRPr="00EB5485">
        <w:rPr>
          <w:noProof/>
        </w:rPr>
        <w:fldChar w:fldCharType="end"/>
      </w:r>
    </w:p>
    <w:p w14:paraId="44CC8FFF" w14:textId="77777777" w:rsidR="003A160B" w:rsidRPr="00EB5485" w:rsidRDefault="003A160B" w:rsidP="003A160B">
      <w:pPr>
        <w:pStyle w:val="TOC5"/>
        <w:rPr>
          <w:rFonts w:asciiTheme="minorHAnsi" w:eastAsiaTheme="minorEastAsia" w:hAnsiTheme="minorHAnsi" w:cstheme="minorBidi"/>
          <w:noProof/>
          <w:kern w:val="0"/>
          <w:sz w:val="22"/>
          <w:szCs w:val="22"/>
        </w:rPr>
      </w:pPr>
      <w:r w:rsidRPr="00EB5485">
        <w:rPr>
          <w:noProof/>
        </w:rPr>
        <w:t xml:space="preserve">1  Name of activity </w:t>
      </w:r>
      <w:r w:rsidRPr="00EB5485">
        <w:rPr>
          <w:noProof/>
        </w:rPr>
        <w:tab/>
        <w:t>2</w:t>
      </w:r>
    </w:p>
    <w:p w14:paraId="76BD03EC" w14:textId="77777777" w:rsidR="003A160B" w:rsidRPr="00EB5485" w:rsidRDefault="003A160B" w:rsidP="003A160B">
      <w:pPr>
        <w:pStyle w:val="TOC5"/>
        <w:rPr>
          <w:rFonts w:asciiTheme="minorHAnsi" w:eastAsiaTheme="minorEastAsia" w:hAnsiTheme="minorHAnsi" w:cstheme="minorBidi"/>
          <w:noProof/>
          <w:kern w:val="0"/>
          <w:sz w:val="22"/>
          <w:szCs w:val="22"/>
        </w:rPr>
      </w:pPr>
      <w:r w:rsidRPr="00EB5485">
        <w:rPr>
          <w:noProof/>
        </w:rPr>
        <w:t>2  Description of activity</w:t>
      </w:r>
      <w:r w:rsidRPr="00EB5485">
        <w:rPr>
          <w:noProof/>
        </w:rPr>
        <w:tab/>
        <w:t>2</w:t>
      </w:r>
    </w:p>
    <w:p w14:paraId="4C4C7037" w14:textId="77777777" w:rsidR="003A160B" w:rsidRPr="00EB5485" w:rsidRDefault="003A160B" w:rsidP="003A160B">
      <w:pPr>
        <w:rPr>
          <w:noProof/>
          <w:lang w:eastAsia="en-AU"/>
        </w:rPr>
      </w:pPr>
    </w:p>
    <w:p w14:paraId="2B79D502" w14:textId="77777777" w:rsidR="00F6696E" w:rsidRPr="00EB5485" w:rsidRDefault="00B418CB" w:rsidP="003A160B">
      <w:pPr>
        <w:pStyle w:val="TOC5"/>
        <w:ind w:left="0" w:firstLine="0"/>
      </w:pPr>
      <w:r w:rsidRPr="00EB5485">
        <w:fldChar w:fldCharType="end"/>
      </w:r>
    </w:p>
    <w:p w14:paraId="7BED7E32" w14:textId="77777777" w:rsidR="00F6696E" w:rsidRPr="00EB5485" w:rsidRDefault="00F6696E" w:rsidP="00F6696E">
      <w:pPr>
        <w:outlineLvl w:val="0"/>
        <w:rPr>
          <w:sz w:val="20"/>
        </w:rPr>
      </w:pPr>
    </w:p>
    <w:p w14:paraId="610F4783" w14:textId="77777777" w:rsidR="00F6696E" w:rsidRPr="00EB5485" w:rsidRDefault="00F6696E" w:rsidP="00F6696E">
      <w:pPr>
        <w:sectPr w:rsidR="00F6696E" w:rsidRPr="00EB5485" w:rsidSect="0089375A">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22375677" w14:textId="77777777" w:rsidR="003A160B" w:rsidRPr="00EB5485" w:rsidRDefault="003A160B" w:rsidP="003A160B">
      <w:pPr>
        <w:pStyle w:val="ActHead6"/>
      </w:pPr>
      <w:bookmarkStart w:id="1" w:name="_Toc40440727"/>
      <w:r w:rsidRPr="00EB5485">
        <w:lastRenderedPageBreak/>
        <w:t>Part 1— Preliminary</w:t>
      </w:r>
    </w:p>
    <w:p w14:paraId="3FFCDFF5" w14:textId="77777777" w:rsidR="00554826" w:rsidRPr="00EB5485" w:rsidRDefault="00554826" w:rsidP="00554826">
      <w:pPr>
        <w:pStyle w:val="ActHead5"/>
      </w:pPr>
      <w:proofErr w:type="gramStart"/>
      <w:r w:rsidRPr="00EB5485">
        <w:t>1  Name</w:t>
      </w:r>
      <w:bookmarkEnd w:id="1"/>
      <w:proofErr w:type="gramEnd"/>
    </w:p>
    <w:p w14:paraId="632893D7" w14:textId="1FEBD971" w:rsidR="00554826" w:rsidRPr="00EB5485" w:rsidRDefault="00554826" w:rsidP="00554826">
      <w:pPr>
        <w:pStyle w:val="subsection"/>
      </w:pPr>
      <w:r w:rsidRPr="00EB5485">
        <w:tab/>
      </w:r>
      <w:r w:rsidRPr="00EB5485">
        <w:tab/>
        <w:t xml:space="preserve">This </w:t>
      </w:r>
      <w:r w:rsidR="0093646D" w:rsidRPr="00EB5485">
        <w:t>instrument</w:t>
      </w:r>
      <w:r w:rsidRPr="00EB5485">
        <w:t xml:space="preserve"> is the </w:t>
      </w:r>
      <w:bookmarkStart w:id="2" w:name="BKCheck15B_3"/>
      <w:bookmarkEnd w:id="2"/>
      <w:r w:rsidR="007D7424" w:rsidRPr="00EB5485">
        <w:rPr>
          <w:i/>
        </w:rPr>
        <w:t xml:space="preserve">Health Insurance (Quality Assurance Activity </w:t>
      </w:r>
      <w:r w:rsidR="007D7424" w:rsidRPr="00EB5485">
        <w:rPr>
          <w:i/>
          <w:iCs/>
        </w:rPr>
        <w:t>–</w:t>
      </w:r>
      <w:r w:rsidR="00FA065D" w:rsidRPr="00EB5485">
        <w:rPr>
          <w:i/>
          <w:iCs/>
        </w:rPr>
        <w:t xml:space="preserve"> </w:t>
      </w:r>
      <w:r w:rsidR="00C23C6F" w:rsidRPr="00EB5485">
        <w:rPr>
          <w:i/>
          <w:iCs/>
        </w:rPr>
        <w:t xml:space="preserve">Top End Health Service Peer Review Clinical Audits </w:t>
      </w:r>
      <w:r w:rsidR="00C23C6F" w:rsidRPr="00EB5485">
        <w:rPr>
          <w:i/>
          <w:iCs/>
          <w:lang w:val="en-US"/>
        </w:rPr>
        <w:t>of Surgical Mortalities and Morbidities</w:t>
      </w:r>
      <w:r w:rsidR="007D7424" w:rsidRPr="00EB5485">
        <w:rPr>
          <w:i/>
        </w:rPr>
        <w:t>) Declaration 202</w:t>
      </w:r>
      <w:r w:rsidR="006A02A3" w:rsidRPr="00EB5485">
        <w:rPr>
          <w:i/>
        </w:rPr>
        <w:t>1</w:t>
      </w:r>
      <w:r w:rsidR="00875B2A" w:rsidRPr="00EB5485">
        <w:rPr>
          <w:i/>
        </w:rPr>
        <w:t>.</w:t>
      </w:r>
    </w:p>
    <w:p w14:paraId="26BC9724" w14:textId="77777777" w:rsidR="00554826" w:rsidRPr="00EB5485" w:rsidRDefault="00554826" w:rsidP="00554826">
      <w:pPr>
        <w:pStyle w:val="ActHead5"/>
      </w:pPr>
      <w:bookmarkStart w:id="3" w:name="_Toc40440728"/>
      <w:proofErr w:type="gramStart"/>
      <w:r w:rsidRPr="00EB5485">
        <w:t>2  Commencement</w:t>
      </w:r>
      <w:bookmarkEnd w:id="3"/>
      <w:proofErr w:type="gramEnd"/>
    </w:p>
    <w:p w14:paraId="2BFF1978" w14:textId="77777777" w:rsidR="003767E2" w:rsidRPr="00EB5485" w:rsidRDefault="003767E2" w:rsidP="003767E2">
      <w:pPr>
        <w:pStyle w:val="subsection"/>
      </w:pPr>
      <w:r w:rsidRPr="00EB5485">
        <w:tab/>
        <w:t>(1)</w:t>
      </w:r>
      <w:r w:rsidRPr="00EB5485">
        <w:tab/>
        <w:t>Each provision of this instrument specified in column 1 of the table commences, or is taken to have commenced, in accordance with column 2 of the table. Any other statement in column 2 has effect according to its terms.</w:t>
      </w:r>
    </w:p>
    <w:p w14:paraId="7480DED1" w14:textId="77777777" w:rsidR="003767E2" w:rsidRPr="00EB5485"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EB5485" w14:paraId="4B4F740C" w14:textId="77777777" w:rsidTr="0089375A">
        <w:trPr>
          <w:tblHeader/>
        </w:trPr>
        <w:tc>
          <w:tcPr>
            <w:tcW w:w="8364" w:type="dxa"/>
            <w:gridSpan w:val="3"/>
            <w:tcBorders>
              <w:top w:val="single" w:sz="12" w:space="0" w:color="auto"/>
              <w:bottom w:val="single" w:sz="6" w:space="0" w:color="auto"/>
            </w:tcBorders>
            <w:shd w:val="clear" w:color="auto" w:fill="auto"/>
            <w:hideMark/>
          </w:tcPr>
          <w:p w14:paraId="0EF0EA0B" w14:textId="77777777" w:rsidR="003767E2" w:rsidRPr="00EB5485" w:rsidRDefault="003767E2" w:rsidP="0089375A">
            <w:pPr>
              <w:pStyle w:val="TableHeading"/>
            </w:pPr>
            <w:r w:rsidRPr="00EB5485">
              <w:t>Commencement information</w:t>
            </w:r>
          </w:p>
        </w:tc>
      </w:tr>
      <w:tr w:rsidR="003767E2" w:rsidRPr="00EB5485" w14:paraId="0B9F9C84" w14:textId="77777777" w:rsidTr="0089375A">
        <w:trPr>
          <w:tblHeader/>
        </w:trPr>
        <w:tc>
          <w:tcPr>
            <w:tcW w:w="2127" w:type="dxa"/>
            <w:tcBorders>
              <w:top w:val="single" w:sz="6" w:space="0" w:color="auto"/>
              <w:bottom w:val="single" w:sz="6" w:space="0" w:color="auto"/>
            </w:tcBorders>
            <w:shd w:val="clear" w:color="auto" w:fill="auto"/>
            <w:hideMark/>
          </w:tcPr>
          <w:p w14:paraId="4223D836" w14:textId="77777777" w:rsidR="003767E2" w:rsidRPr="00EB5485" w:rsidRDefault="003767E2" w:rsidP="0089375A">
            <w:pPr>
              <w:pStyle w:val="TableHeading"/>
            </w:pPr>
            <w:r w:rsidRPr="00EB5485">
              <w:t>Column 1</w:t>
            </w:r>
          </w:p>
        </w:tc>
        <w:tc>
          <w:tcPr>
            <w:tcW w:w="4394" w:type="dxa"/>
            <w:tcBorders>
              <w:top w:val="single" w:sz="6" w:space="0" w:color="auto"/>
              <w:bottom w:val="single" w:sz="6" w:space="0" w:color="auto"/>
            </w:tcBorders>
            <w:shd w:val="clear" w:color="auto" w:fill="auto"/>
            <w:hideMark/>
          </w:tcPr>
          <w:p w14:paraId="742A6003" w14:textId="77777777" w:rsidR="003767E2" w:rsidRPr="00EB5485" w:rsidRDefault="003767E2" w:rsidP="0089375A">
            <w:pPr>
              <w:pStyle w:val="TableHeading"/>
            </w:pPr>
            <w:r w:rsidRPr="00EB5485">
              <w:t>Column 2</w:t>
            </w:r>
          </w:p>
        </w:tc>
        <w:tc>
          <w:tcPr>
            <w:tcW w:w="1843" w:type="dxa"/>
            <w:tcBorders>
              <w:top w:val="single" w:sz="6" w:space="0" w:color="auto"/>
              <w:bottom w:val="single" w:sz="6" w:space="0" w:color="auto"/>
            </w:tcBorders>
            <w:shd w:val="clear" w:color="auto" w:fill="auto"/>
            <w:hideMark/>
          </w:tcPr>
          <w:p w14:paraId="18B24F79" w14:textId="77777777" w:rsidR="003767E2" w:rsidRPr="00EB5485" w:rsidRDefault="003767E2" w:rsidP="0089375A">
            <w:pPr>
              <w:pStyle w:val="TableHeading"/>
            </w:pPr>
            <w:r w:rsidRPr="00EB5485">
              <w:t>Column 3</w:t>
            </w:r>
          </w:p>
        </w:tc>
      </w:tr>
      <w:tr w:rsidR="003767E2" w:rsidRPr="00EB5485" w14:paraId="6B38D135" w14:textId="77777777" w:rsidTr="0089375A">
        <w:trPr>
          <w:tblHeader/>
        </w:trPr>
        <w:tc>
          <w:tcPr>
            <w:tcW w:w="2127" w:type="dxa"/>
            <w:tcBorders>
              <w:top w:val="single" w:sz="6" w:space="0" w:color="auto"/>
              <w:bottom w:val="single" w:sz="12" w:space="0" w:color="auto"/>
            </w:tcBorders>
            <w:shd w:val="clear" w:color="auto" w:fill="auto"/>
            <w:hideMark/>
          </w:tcPr>
          <w:p w14:paraId="05443957" w14:textId="77777777" w:rsidR="003767E2" w:rsidRPr="00EB5485" w:rsidRDefault="003767E2" w:rsidP="0089375A">
            <w:pPr>
              <w:pStyle w:val="TableHeading"/>
            </w:pPr>
            <w:r w:rsidRPr="00EB5485">
              <w:t>Provisions</w:t>
            </w:r>
          </w:p>
        </w:tc>
        <w:tc>
          <w:tcPr>
            <w:tcW w:w="4394" w:type="dxa"/>
            <w:tcBorders>
              <w:top w:val="single" w:sz="6" w:space="0" w:color="auto"/>
              <w:bottom w:val="single" w:sz="12" w:space="0" w:color="auto"/>
            </w:tcBorders>
            <w:shd w:val="clear" w:color="auto" w:fill="auto"/>
            <w:hideMark/>
          </w:tcPr>
          <w:p w14:paraId="255879BA" w14:textId="77777777" w:rsidR="003767E2" w:rsidRPr="00EB5485" w:rsidRDefault="003767E2" w:rsidP="0089375A">
            <w:pPr>
              <w:pStyle w:val="TableHeading"/>
            </w:pPr>
            <w:r w:rsidRPr="00EB5485">
              <w:t>Commencement</w:t>
            </w:r>
          </w:p>
        </w:tc>
        <w:tc>
          <w:tcPr>
            <w:tcW w:w="1843" w:type="dxa"/>
            <w:tcBorders>
              <w:top w:val="single" w:sz="6" w:space="0" w:color="auto"/>
              <w:bottom w:val="single" w:sz="12" w:space="0" w:color="auto"/>
            </w:tcBorders>
            <w:shd w:val="clear" w:color="auto" w:fill="auto"/>
            <w:hideMark/>
          </w:tcPr>
          <w:p w14:paraId="4E42941C" w14:textId="77777777" w:rsidR="003767E2" w:rsidRPr="00EB5485" w:rsidRDefault="003767E2" w:rsidP="0089375A">
            <w:pPr>
              <w:pStyle w:val="TableHeading"/>
            </w:pPr>
            <w:r w:rsidRPr="00EB5485">
              <w:t>Date/Details</w:t>
            </w:r>
          </w:p>
        </w:tc>
      </w:tr>
      <w:tr w:rsidR="003767E2" w:rsidRPr="00EB5485" w14:paraId="15E47FB5" w14:textId="77777777" w:rsidTr="0089375A">
        <w:tc>
          <w:tcPr>
            <w:tcW w:w="2127" w:type="dxa"/>
            <w:tcBorders>
              <w:top w:val="single" w:sz="12" w:space="0" w:color="auto"/>
              <w:bottom w:val="single" w:sz="12" w:space="0" w:color="auto"/>
            </w:tcBorders>
            <w:shd w:val="clear" w:color="auto" w:fill="auto"/>
            <w:hideMark/>
          </w:tcPr>
          <w:p w14:paraId="7DBED2B0" w14:textId="77777777" w:rsidR="003767E2" w:rsidRPr="00EB5485" w:rsidRDefault="003767E2" w:rsidP="00552319">
            <w:pPr>
              <w:pStyle w:val="Tabletext"/>
              <w:rPr>
                <w:i/>
              </w:rPr>
            </w:pPr>
            <w:r w:rsidRPr="00EB5485">
              <w:t xml:space="preserve">1.  </w:t>
            </w:r>
            <w:r w:rsidR="00552319" w:rsidRPr="00EB5485">
              <w:t>The whole of this instrument</w:t>
            </w:r>
          </w:p>
        </w:tc>
        <w:tc>
          <w:tcPr>
            <w:tcW w:w="4394" w:type="dxa"/>
            <w:tcBorders>
              <w:top w:val="single" w:sz="12" w:space="0" w:color="auto"/>
              <w:bottom w:val="single" w:sz="12" w:space="0" w:color="auto"/>
            </w:tcBorders>
            <w:shd w:val="clear" w:color="auto" w:fill="auto"/>
            <w:hideMark/>
          </w:tcPr>
          <w:p w14:paraId="1CA5B4A2" w14:textId="77777777" w:rsidR="003767E2" w:rsidRPr="00EB5485" w:rsidRDefault="00552319" w:rsidP="0089375A">
            <w:pPr>
              <w:pStyle w:val="Tabletext"/>
            </w:pPr>
            <w:r w:rsidRPr="00EB5485">
              <w:t>The day after this instrument is registered.</w:t>
            </w:r>
          </w:p>
        </w:tc>
        <w:tc>
          <w:tcPr>
            <w:tcW w:w="1843" w:type="dxa"/>
            <w:tcBorders>
              <w:top w:val="single" w:sz="12" w:space="0" w:color="auto"/>
              <w:bottom w:val="single" w:sz="12" w:space="0" w:color="auto"/>
            </w:tcBorders>
            <w:shd w:val="clear" w:color="auto" w:fill="auto"/>
          </w:tcPr>
          <w:p w14:paraId="1C0F66B9" w14:textId="77777777" w:rsidR="003767E2" w:rsidRPr="00EB5485" w:rsidRDefault="003767E2" w:rsidP="0089375A">
            <w:pPr>
              <w:pStyle w:val="Tabletext"/>
              <w:rPr>
                <w:i/>
              </w:rPr>
            </w:pPr>
          </w:p>
        </w:tc>
      </w:tr>
    </w:tbl>
    <w:p w14:paraId="7A03F494" w14:textId="77777777" w:rsidR="003767E2" w:rsidRPr="00EB5485" w:rsidRDefault="003767E2" w:rsidP="003767E2">
      <w:pPr>
        <w:pStyle w:val="notetext"/>
      </w:pPr>
      <w:r w:rsidRPr="00EB5485">
        <w:rPr>
          <w:snapToGrid w:val="0"/>
          <w:lang w:eastAsia="en-US"/>
        </w:rPr>
        <w:t>Note:</w:t>
      </w:r>
      <w:r w:rsidRPr="00EB5485">
        <w:rPr>
          <w:snapToGrid w:val="0"/>
          <w:lang w:eastAsia="en-US"/>
        </w:rPr>
        <w:tab/>
        <w:t>This table relates only to the provisions of this instrument</w:t>
      </w:r>
      <w:r w:rsidRPr="00EB5485">
        <w:t xml:space="preserve"> </w:t>
      </w:r>
      <w:r w:rsidRPr="00EB5485">
        <w:rPr>
          <w:snapToGrid w:val="0"/>
          <w:lang w:eastAsia="en-US"/>
        </w:rPr>
        <w:t>as originally made. It will not be amended to deal with any later amendments of this instrument.</w:t>
      </w:r>
    </w:p>
    <w:p w14:paraId="04CAC9F4" w14:textId="77777777" w:rsidR="003767E2" w:rsidRPr="00EB5485" w:rsidRDefault="003767E2" w:rsidP="003767E2">
      <w:pPr>
        <w:pStyle w:val="subsection"/>
      </w:pPr>
      <w:r w:rsidRPr="00EB5485">
        <w:tab/>
        <w:t>(2)</w:t>
      </w:r>
      <w:r w:rsidRPr="00EB5485">
        <w:tab/>
        <w:t>Any information in column 3 of the table is not part of this instrument. Information may be inserted in this column, or information in it may be edited, in any published version of this instrument.</w:t>
      </w:r>
    </w:p>
    <w:p w14:paraId="72B2569A" w14:textId="77777777" w:rsidR="00554826" w:rsidRPr="00EB5485" w:rsidRDefault="00554826" w:rsidP="00554826">
      <w:pPr>
        <w:pStyle w:val="ActHead5"/>
      </w:pPr>
      <w:bookmarkStart w:id="4" w:name="_Toc40440729"/>
      <w:proofErr w:type="gramStart"/>
      <w:r w:rsidRPr="00EB5485">
        <w:t>3  Authority</w:t>
      </w:r>
      <w:bookmarkEnd w:id="4"/>
      <w:proofErr w:type="gramEnd"/>
    </w:p>
    <w:p w14:paraId="3EB13E4B" w14:textId="77777777" w:rsidR="00554826" w:rsidRPr="00EB5485" w:rsidRDefault="00554826" w:rsidP="00554826">
      <w:pPr>
        <w:pStyle w:val="subsection"/>
      </w:pPr>
      <w:r w:rsidRPr="00EB5485">
        <w:tab/>
      </w:r>
      <w:r w:rsidRPr="00EB5485">
        <w:tab/>
        <w:t xml:space="preserve">This </w:t>
      </w:r>
      <w:r w:rsidR="00875B2A" w:rsidRPr="00EB5485">
        <w:t>declaration</w:t>
      </w:r>
      <w:r w:rsidRPr="00EB5485">
        <w:t xml:space="preserve"> is made under </w:t>
      </w:r>
      <w:r w:rsidR="00875B2A" w:rsidRPr="00EB5485">
        <w:t xml:space="preserve">subsection </w:t>
      </w:r>
      <w:proofErr w:type="gramStart"/>
      <w:r w:rsidR="00875B2A" w:rsidRPr="00EB5485">
        <w:t>124X(</w:t>
      </w:r>
      <w:proofErr w:type="gramEnd"/>
      <w:r w:rsidR="00875B2A" w:rsidRPr="00EB5485">
        <w:t xml:space="preserve">1) of the </w:t>
      </w:r>
      <w:r w:rsidR="0081571F" w:rsidRPr="00EB5485">
        <w:rPr>
          <w:i/>
        </w:rPr>
        <w:t>Health Insurance Act </w:t>
      </w:r>
      <w:r w:rsidR="00875B2A" w:rsidRPr="00EB5485">
        <w:rPr>
          <w:i/>
        </w:rPr>
        <w:t>1973</w:t>
      </w:r>
      <w:r w:rsidR="00875B2A" w:rsidRPr="00EB5485">
        <w:t>.</w:t>
      </w:r>
    </w:p>
    <w:p w14:paraId="1402B51C" w14:textId="0B6CE730" w:rsidR="005329E7" w:rsidRPr="00EB5485" w:rsidRDefault="005313C3" w:rsidP="00554826">
      <w:pPr>
        <w:pStyle w:val="ActHead5"/>
      </w:pPr>
      <w:bookmarkStart w:id="5" w:name="_Toc454781205"/>
      <w:bookmarkStart w:id="6" w:name="_Toc40440731"/>
      <w:proofErr w:type="gramStart"/>
      <w:r w:rsidRPr="00EB5485">
        <w:t xml:space="preserve">4  </w:t>
      </w:r>
      <w:r w:rsidR="005329E7" w:rsidRPr="00EB5485">
        <w:t>Repeal</w:t>
      </w:r>
      <w:proofErr w:type="gramEnd"/>
    </w:p>
    <w:p w14:paraId="23A6F96D" w14:textId="0E3CF527" w:rsidR="005313C3" w:rsidRPr="00EB5485" w:rsidRDefault="005313C3" w:rsidP="005313C3"/>
    <w:p w14:paraId="24C4DD8D" w14:textId="52542C55" w:rsidR="005313C3" w:rsidRPr="00EB5485" w:rsidRDefault="005313C3" w:rsidP="00DE7E55">
      <w:pPr>
        <w:ind w:left="1134"/>
      </w:pPr>
      <w:r w:rsidRPr="00EB5485">
        <w:t xml:space="preserve">This instrument is repealed when it ceases to be in force in accordance with subsection </w:t>
      </w:r>
      <w:proofErr w:type="gramStart"/>
      <w:r w:rsidRPr="00EB5485">
        <w:t>124X(</w:t>
      </w:r>
      <w:proofErr w:type="gramEnd"/>
      <w:r w:rsidRPr="00EB5485">
        <w:t xml:space="preserve">4) of the </w:t>
      </w:r>
      <w:r w:rsidRPr="00EB5485">
        <w:rPr>
          <w:i/>
          <w:iCs/>
        </w:rPr>
        <w:t>Health Insurance Act 1973</w:t>
      </w:r>
      <w:r w:rsidRPr="00EB5485">
        <w:t>.</w:t>
      </w:r>
    </w:p>
    <w:p w14:paraId="07B15465" w14:textId="64A1A58C" w:rsidR="00554826" w:rsidRPr="00EB5485" w:rsidRDefault="005313C3" w:rsidP="00554826">
      <w:pPr>
        <w:pStyle w:val="ActHead5"/>
      </w:pPr>
      <w:proofErr w:type="gramStart"/>
      <w:r w:rsidRPr="00EB5485">
        <w:t xml:space="preserve">5  </w:t>
      </w:r>
      <w:r w:rsidR="00554826" w:rsidRPr="00EB5485">
        <w:t>Schedule</w:t>
      </w:r>
      <w:bookmarkEnd w:id="5"/>
      <w:bookmarkEnd w:id="6"/>
      <w:proofErr w:type="gramEnd"/>
    </w:p>
    <w:p w14:paraId="38FF5958" w14:textId="77777777" w:rsidR="00213C5A" w:rsidRPr="00EB5485" w:rsidRDefault="00554826" w:rsidP="00213C5A">
      <w:pPr>
        <w:pStyle w:val="subsection"/>
      </w:pPr>
      <w:r w:rsidRPr="00EB5485">
        <w:tab/>
      </w:r>
      <w:r w:rsidRPr="00EB5485">
        <w:tab/>
      </w:r>
      <w:r w:rsidR="00213C5A" w:rsidRPr="00EB5485">
        <w:t>The quality assurance activity described in the Schedule to this Declaration is, to the extent that the quality assurance activity relates to health services provided in Australia,</w:t>
      </w:r>
      <w:r w:rsidR="00213C5A" w:rsidRPr="00EB5485" w:rsidDel="00B91FC9">
        <w:t xml:space="preserve"> </w:t>
      </w:r>
      <w:r w:rsidR="00213C5A" w:rsidRPr="00EB5485">
        <w:t xml:space="preserve">declared to be a quality assurance activity to which Part VC of the </w:t>
      </w:r>
      <w:r w:rsidR="00213C5A" w:rsidRPr="00EB5485">
        <w:rPr>
          <w:i/>
        </w:rPr>
        <w:t>Health Insurance Act 1973</w:t>
      </w:r>
      <w:r w:rsidR="00213C5A" w:rsidRPr="00EB5485">
        <w:t xml:space="preserve"> applies.</w:t>
      </w:r>
    </w:p>
    <w:p w14:paraId="371356B7" w14:textId="77777777" w:rsidR="00554826" w:rsidRPr="00EB5485" w:rsidRDefault="00554826" w:rsidP="00554826">
      <w:pPr>
        <w:pStyle w:val="subsection"/>
      </w:pPr>
    </w:p>
    <w:p w14:paraId="7BF28AD6" w14:textId="77777777" w:rsidR="00554826" w:rsidRPr="00EB5485" w:rsidRDefault="00554826" w:rsidP="00554826">
      <w:pPr>
        <w:spacing w:line="240" w:lineRule="auto"/>
        <w:rPr>
          <w:rFonts w:eastAsia="Times New Roman" w:cs="Times New Roman"/>
          <w:lang w:eastAsia="en-AU"/>
        </w:rPr>
      </w:pPr>
      <w:r w:rsidRPr="00EB5485">
        <w:br w:type="page"/>
      </w:r>
    </w:p>
    <w:p w14:paraId="22C52436" w14:textId="77777777" w:rsidR="003A160B" w:rsidRPr="00EB5485" w:rsidRDefault="003A160B" w:rsidP="003A160B">
      <w:pPr>
        <w:pStyle w:val="ActHead6"/>
        <w:rPr>
          <w:rFonts w:ascii="Times New Roman" w:hAnsi="Times New Roman"/>
        </w:rPr>
      </w:pPr>
      <w:bookmarkStart w:id="7" w:name="_Toc40440732"/>
      <w:r w:rsidRPr="00EB5485">
        <w:rPr>
          <w:rFonts w:ascii="Times New Roman" w:hAnsi="Times New Roman"/>
        </w:rPr>
        <w:lastRenderedPageBreak/>
        <w:t>Schedule 1— Description of quality assurance activity</w:t>
      </w:r>
      <w:bookmarkEnd w:id="7"/>
    </w:p>
    <w:p w14:paraId="000AF7D3" w14:textId="77777777" w:rsidR="00E732C1" w:rsidRPr="00EB5485" w:rsidRDefault="00E732C1" w:rsidP="00E732C1">
      <w:pPr>
        <w:rPr>
          <w:rFonts w:eastAsia="Times New Roman" w:cs="Times New Roman"/>
          <w:b/>
          <w:kern w:val="28"/>
          <w:sz w:val="24"/>
          <w:lang w:eastAsia="en-AU"/>
        </w:rPr>
      </w:pPr>
    </w:p>
    <w:p w14:paraId="3FD202B7" w14:textId="77777777" w:rsidR="00E732C1" w:rsidRPr="00EB5485" w:rsidRDefault="00E732C1" w:rsidP="00E732C1">
      <w:pPr>
        <w:rPr>
          <w:rFonts w:eastAsia="Times New Roman" w:cs="Times New Roman"/>
          <w:b/>
          <w:kern w:val="28"/>
          <w:sz w:val="24"/>
          <w:lang w:eastAsia="en-AU"/>
        </w:rPr>
      </w:pPr>
      <w:bookmarkStart w:id="8" w:name="_Toc224716706"/>
      <w:bookmarkStart w:id="9" w:name="_Toc356814665"/>
      <w:bookmarkStart w:id="10" w:name="_Toc211660228"/>
      <w:bookmarkStart w:id="11" w:name="_Toc211660714"/>
      <w:bookmarkStart w:id="12" w:name="_Toc211660883"/>
      <w:bookmarkStart w:id="13" w:name="_Toc211663005"/>
      <w:bookmarkStart w:id="14" w:name="_Toc211663849"/>
      <w:bookmarkStart w:id="15" w:name="_Toc211663876"/>
      <w:bookmarkStart w:id="16" w:name="_Toc211664001"/>
      <w:bookmarkStart w:id="17" w:name="_Toc211664366"/>
      <w:r w:rsidRPr="00EB5485">
        <w:rPr>
          <w:rFonts w:eastAsia="Times New Roman" w:cs="Times New Roman"/>
          <w:b/>
          <w:bCs/>
          <w:kern w:val="28"/>
          <w:sz w:val="24"/>
          <w:lang w:eastAsia="en-AU"/>
        </w:rPr>
        <w:t>1</w:t>
      </w:r>
      <w:r w:rsidRPr="00EB5485">
        <w:rPr>
          <w:rFonts w:eastAsia="Times New Roman" w:cs="Times New Roman"/>
          <w:b/>
          <w:bCs/>
          <w:kern w:val="28"/>
          <w:sz w:val="24"/>
          <w:lang w:eastAsia="en-AU"/>
        </w:rPr>
        <w:tab/>
      </w:r>
      <w:bookmarkEnd w:id="8"/>
      <w:bookmarkEnd w:id="9"/>
      <w:r w:rsidRPr="00EB5485">
        <w:rPr>
          <w:rFonts w:eastAsia="Times New Roman" w:cs="Times New Roman"/>
          <w:b/>
          <w:bCs/>
          <w:kern w:val="28"/>
          <w:sz w:val="24"/>
          <w:lang w:eastAsia="en-AU"/>
        </w:rPr>
        <w:t>Name of activity:</w:t>
      </w:r>
      <w:r w:rsidRPr="00EB5485">
        <w:rPr>
          <w:rFonts w:eastAsia="Times New Roman" w:cs="Times New Roman"/>
          <w:b/>
          <w:bCs/>
          <w:kern w:val="28"/>
          <w:sz w:val="24"/>
          <w:lang w:eastAsia="en-AU"/>
        </w:rPr>
        <w:br/>
      </w:r>
    </w:p>
    <w:p w14:paraId="76BEEEA3" w14:textId="38AAADF8" w:rsidR="00E732C1" w:rsidRPr="00EB5485" w:rsidRDefault="00C23C6F" w:rsidP="00CD7CC8">
      <w:pPr>
        <w:ind w:left="709"/>
        <w:rPr>
          <w:rFonts w:eastAsia="Times New Roman" w:cs="Times New Roman"/>
          <w:kern w:val="28"/>
          <w:szCs w:val="22"/>
          <w:lang w:eastAsia="en-AU"/>
        </w:rPr>
      </w:pPr>
      <w:r w:rsidRPr="00EB5485">
        <w:rPr>
          <w:rFonts w:eastAsia="Times New Roman" w:cs="Times New Roman"/>
          <w:iCs/>
          <w:kern w:val="28"/>
          <w:szCs w:val="22"/>
          <w:lang w:eastAsia="en-AU"/>
        </w:rPr>
        <w:t xml:space="preserve">Top End Health Service Peer Review Clinical Audits </w:t>
      </w:r>
      <w:r w:rsidRPr="00EB5485">
        <w:rPr>
          <w:rFonts w:eastAsia="Times New Roman" w:cs="Times New Roman"/>
          <w:kern w:val="28"/>
          <w:szCs w:val="22"/>
          <w:lang w:val="en-US" w:eastAsia="en-AU"/>
        </w:rPr>
        <w:t>of Surgical Mortalities and Morbidities</w:t>
      </w:r>
    </w:p>
    <w:p w14:paraId="15D5C79F" w14:textId="77777777" w:rsidR="00E732C1" w:rsidRPr="00EB5485" w:rsidRDefault="00E732C1" w:rsidP="00E732C1">
      <w:pPr>
        <w:rPr>
          <w:rFonts w:eastAsia="Times New Roman" w:cs="Times New Roman"/>
          <w:b/>
          <w:kern w:val="28"/>
          <w:sz w:val="24"/>
          <w:lang w:eastAsia="en-AU"/>
        </w:rPr>
      </w:pPr>
    </w:p>
    <w:p w14:paraId="4557E186" w14:textId="77777777" w:rsidR="00E732C1" w:rsidRPr="00EB5485" w:rsidRDefault="00E732C1" w:rsidP="00E732C1">
      <w:pPr>
        <w:rPr>
          <w:rFonts w:eastAsia="Times New Roman" w:cs="Times New Roman"/>
          <w:b/>
          <w:kern w:val="28"/>
          <w:sz w:val="24"/>
          <w:lang w:eastAsia="en-AU"/>
        </w:rPr>
      </w:pPr>
      <w:r w:rsidRPr="00EB5485">
        <w:rPr>
          <w:rFonts w:eastAsia="Times New Roman" w:cs="Times New Roman"/>
          <w:b/>
          <w:kern w:val="28"/>
          <w:sz w:val="24"/>
          <w:lang w:eastAsia="en-AU"/>
        </w:rPr>
        <w:t>2</w:t>
      </w:r>
      <w:r w:rsidRPr="00EB5485">
        <w:rPr>
          <w:rFonts w:eastAsia="Times New Roman" w:cs="Times New Roman"/>
          <w:b/>
          <w:kern w:val="28"/>
          <w:sz w:val="24"/>
          <w:lang w:eastAsia="en-AU"/>
        </w:rPr>
        <w:tab/>
        <w:t>Description of activity:</w:t>
      </w:r>
    </w:p>
    <w:p w14:paraId="5773A573" w14:textId="77777777" w:rsidR="00E732C1" w:rsidRPr="00EB5485" w:rsidRDefault="00E732C1" w:rsidP="00E732C1">
      <w:pPr>
        <w:rPr>
          <w:rFonts w:eastAsia="Times New Roman" w:cs="Times New Roman"/>
          <w:b/>
          <w:kern w:val="28"/>
          <w:sz w:val="24"/>
          <w:lang w:eastAsia="en-AU"/>
        </w:rPr>
      </w:pPr>
    </w:p>
    <w:bookmarkEnd w:id="10"/>
    <w:bookmarkEnd w:id="11"/>
    <w:bookmarkEnd w:id="12"/>
    <w:bookmarkEnd w:id="13"/>
    <w:bookmarkEnd w:id="14"/>
    <w:bookmarkEnd w:id="15"/>
    <w:bookmarkEnd w:id="16"/>
    <w:bookmarkEnd w:id="17"/>
    <w:p w14:paraId="478D4B80" w14:textId="0EDCEE95" w:rsidR="00172F29" w:rsidRPr="00EB5485" w:rsidRDefault="00E732C1" w:rsidP="00172F29">
      <w:pPr>
        <w:ind w:left="720"/>
        <w:rPr>
          <w:rFonts w:eastAsia="Times New Roman" w:cs="Times New Roman"/>
          <w:kern w:val="28"/>
          <w:szCs w:val="22"/>
          <w:lang w:eastAsia="en-AU"/>
        </w:rPr>
      </w:pPr>
      <w:r w:rsidRPr="00EB5485">
        <w:rPr>
          <w:rFonts w:eastAsia="Times New Roman" w:cs="Times New Roman"/>
          <w:kern w:val="28"/>
          <w:szCs w:val="22"/>
          <w:lang w:eastAsia="en-AU"/>
        </w:rPr>
        <w:t>This declaration applies to the</w:t>
      </w:r>
      <w:r w:rsidR="007D7424" w:rsidRPr="00EB5485">
        <w:rPr>
          <w:rFonts w:eastAsia="Times New Roman" w:cs="Times New Roman"/>
          <w:kern w:val="28"/>
          <w:szCs w:val="22"/>
          <w:lang w:eastAsia="en-AU"/>
        </w:rPr>
        <w:t xml:space="preserve"> </w:t>
      </w:r>
      <w:r w:rsidR="00EF6407" w:rsidRPr="00EB5485">
        <w:rPr>
          <w:rFonts w:eastAsia="Times New Roman" w:cs="Times New Roman"/>
          <w:kern w:val="28"/>
          <w:szCs w:val="22"/>
          <w:lang w:eastAsia="en-AU"/>
        </w:rPr>
        <w:t>Top End Health Service</w:t>
      </w:r>
      <w:r w:rsidR="007D73F8" w:rsidRPr="00EB5485">
        <w:rPr>
          <w:rFonts w:eastAsia="Times New Roman" w:cs="Times New Roman"/>
          <w:kern w:val="28"/>
          <w:szCs w:val="22"/>
          <w:lang w:eastAsia="en-AU"/>
        </w:rPr>
        <w:t xml:space="preserve"> </w:t>
      </w:r>
      <w:r w:rsidR="00607FA2" w:rsidRPr="00EB5485">
        <w:rPr>
          <w:rFonts w:eastAsia="Times New Roman" w:cs="Times New Roman"/>
          <w:kern w:val="28"/>
          <w:szCs w:val="22"/>
          <w:lang w:eastAsia="en-AU"/>
        </w:rPr>
        <w:t xml:space="preserve">(TEHS) </w:t>
      </w:r>
      <w:r w:rsidR="00C23C6F" w:rsidRPr="00EB5485">
        <w:rPr>
          <w:rFonts w:eastAsia="Times New Roman" w:cs="Times New Roman"/>
          <w:iCs/>
          <w:kern w:val="28"/>
          <w:szCs w:val="22"/>
          <w:lang w:eastAsia="en-AU"/>
        </w:rPr>
        <w:t xml:space="preserve">Peer Review Clinical Audits </w:t>
      </w:r>
      <w:r w:rsidR="00C23C6F" w:rsidRPr="00EB5485">
        <w:rPr>
          <w:rFonts w:eastAsia="Times New Roman" w:cs="Times New Roman"/>
          <w:kern w:val="28"/>
          <w:szCs w:val="22"/>
          <w:lang w:val="en-US" w:eastAsia="en-AU"/>
        </w:rPr>
        <w:t>of Surgical Mortalities and Morbidities</w:t>
      </w:r>
      <w:r w:rsidR="00C23C6F" w:rsidRPr="00EB5485">
        <w:rPr>
          <w:rFonts w:eastAsia="Times New Roman" w:cs="Times New Roman"/>
          <w:kern w:val="28"/>
          <w:szCs w:val="22"/>
          <w:lang w:eastAsia="en-AU"/>
        </w:rPr>
        <w:t xml:space="preserve"> </w:t>
      </w:r>
      <w:r w:rsidR="00220B16" w:rsidRPr="00EB5485">
        <w:rPr>
          <w:rFonts w:eastAsia="Times New Roman" w:cs="Times New Roman"/>
          <w:kern w:val="28"/>
          <w:szCs w:val="22"/>
          <w:lang w:eastAsia="en-AU"/>
        </w:rPr>
        <w:t>(</w:t>
      </w:r>
      <w:r w:rsidR="00171060" w:rsidRPr="00EB5485">
        <w:rPr>
          <w:rFonts w:eastAsia="Times New Roman" w:cs="Times New Roman"/>
          <w:kern w:val="28"/>
          <w:szCs w:val="22"/>
          <w:lang w:eastAsia="en-AU"/>
        </w:rPr>
        <w:t xml:space="preserve">the </w:t>
      </w:r>
      <w:r w:rsidR="003B0F11" w:rsidRPr="00EB5485">
        <w:rPr>
          <w:rFonts w:eastAsia="Times New Roman" w:cs="Times New Roman"/>
          <w:kern w:val="28"/>
          <w:szCs w:val="22"/>
          <w:lang w:eastAsia="en-AU"/>
        </w:rPr>
        <w:t>A</w:t>
      </w:r>
      <w:r w:rsidRPr="00EB5485">
        <w:rPr>
          <w:rFonts w:eastAsia="Times New Roman" w:cs="Times New Roman"/>
          <w:kern w:val="28"/>
          <w:szCs w:val="22"/>
          <w:lang w:eastAsia="en-AU"/>
        </w:rPr>
        <w:t>ctivity</w:t>
      </w:r>
      <w:r w:rsidR="00220B16" w:rsidRPr="00EB5485">
        <w:rPr>
          <w:rFonts w:eastAsia="Times New Roman" w:cs="Times New Roman"/>
          <w:kern w:val="28"/>
          <w:szCs w:val="22"/>
          <w:lang w:eastAsia="en-AU"/>
        </w:rPr>
        <w:t>)</w:t>
      </w:r>
      <w:r w:rsidRPr="00EB5485">
        <w:rPr>
          <w:rFonts w:eastAsia="Times New Roman" w:cs="Times New Roman"/>
          <w:kern w:val="28"/>
          <w:szCs w:val="22"/>
          <w:lang w:eastAsia="en-AU"/>
        </w:rPr>
        <w:t xml:space="preserve">. </w:t>
      </w:r>
      <w:r w:rsidR="005262C3" w:rsidRPr="00EB5485">
        <w:rPr>
          <w:rFonts w:eastAsia="Times New Roman" w:cs="Times New Roman"/>
          <w:kern w:val="28"/>
          <w:szCs w:val="22"/>
          <w:lang w:eastAsia="en-AU"/>
        </w:rPr>
        <w:t xml:space="preserve">The Activity </w:t>
      </w:r>
      <w:r w:rsidR="001641B9" w:rsidRPr="00EB5485">
        <w:rPr>
          <w:rFonts w:eastAsia="Times New Roman" w:cs="Times New Roman"/>
          <w:kern w:val="28"/>
          <w:szCs w:val="22"/>
          <w:lang w:eastAsia="en-AU"/>
        </w:rPr>
        <w:t>involves clinical reviews and analysis of</w:t>
      </w:r>
      <w:r w:rsidR="005262C3" w:rsidRPr="00EB5485">
        <w:rPr>
          <w:rFonts w:eastAsia="Times New Roman" w:cs="Times New Roman"/>
          <w:kern w:val="28"/>
          <w:szCs w:val="22"/>
          <w:lang w:eastAsia="en-AU"/>
        </w:rPr>
        <w:t xml:space="preserve"> </w:t>
      </w:r>
      <w:r w:rsidR="001641B9" w:rsidRPr="00EB5485">
        <w:rPr>
          <w:rFonts w:eastAsia="Times New Roman" w:cs="Times New Roman"/>
          <w:kern w:val="28"/>
          <w:szCs w:val="22"/>
          <w:lang w:eastAsia="en-AU"/>
        </w:rPr>
        <w:t xml:space="preserve">patient cases </w:t>
      </w:r>
      <w:r w:rsidR="004C300E" w:rsidRPr="00EB5485">
        <w:rPr>
          <w:rFonts w:eastAsia="Times New Roman" w:cs="Times New Roman"/>
          <w:kern w:val="28"/>
          <w:szCs w:val="22"/>
          <w:lang w:eastAsia="en-AU"/>
        </w:rPr>
        <w:t xml:space="preserve">that </w:t>
      </w:r>
      <w:r w:rsidR="001641B9" w:rsidRPr="00EB5485">
        <w:rPr>
          <w:rFonts w:eastAsia="Times New Roman" w:cs="Times New Roman"/>
          <w:kern w:val="28"/>
          <w:szCs w:val="22"/>
          <w:lang w:eastAsia="en-AU"/>
        </w:rPr>
        <w:t xml:space="preserve">result in death, or where the patient incurred complications or </w:t>
      </w:r>
      <w:r w:rsidR="004C300E" w:rsidRPr="00EB5485">
        <w:rPr>
          <w:rFonts w:eastAsia="Times New Roman" w:cs="Times New Roman"/>
          <w:kern w:val="28"/>
          <w:szCs w:val="22"/>
          <w:lang w:eastAsia="en-AU"/>
        </w:rPr>
        <w:t xml:space="preserve">substantial or </w:t>
      </w:r>
      <w:r w:rsidR="001641B9" w:rsidRPr="00EB5485">
        <w:rPr>
          <w:rFonts w:eastAsia="Times New Roman" w:cs="Times New Roman"/>
          <w:kern w:val="28"/>
          <w:szCs w:val="22"/>
          <w:lang w:eastAsia="en-AU"/>
        </w:rPr>
        <w:t>long-lasting disability after discharge. The reviews</w:t>
      </w:r>
      <w:r w:rsidR="00FD5F77" w:rsidRPr="00EB5485">
        <w:rPr>
          <w:rFonts w:eastAsia="Times New Roman" w:cs="Times New Roman"/>
          <w:kern w:val="28"/>
          <w:szCs w:val="22"/>
          <w:lang w:eastAsia="en-AU"/>
        </w:rPr>
        <w:t xml:space="preserve"> and analysis</w:t>
      </w:r>
      <w:r w:rsidR="001641B9" w:rsidRPr="00EB5485">
        <w:rPr>
          <w:rFonts w:eastAsia="Times New Roman" w:cs="Times New Roman"/>
          <w:kern w:val="28"/>
          <w:szCs w:val="22"/>
          <w:lang w:eastAsia="en-AU"/>
        </w:rPr>
        <w:t xml:space="preserve"> involve </w:t>
      </w:r>
      <w:r w:rsidR="00970555" w:rsidRPr="00EB5485">
        <w:rPr>
          <w:rFonts w:eastAsia="Times New Roman" w:cs="Times New Roman"/>
          <w:kern w:val="28"/>
          <w:szCs w:val="22"/>
          <w:lang w:eastAsia="en-AU"/>
        </w:rPr>
        <w:t xml:space="preserve">specialist surgeons, anaesthetists and other clinicians who perform surgical operations and </w:t>
      </w:r>
      <w:r w:rsidR="001641B9" w:rsidRPr="00EB5485">
        <w:rPr>
          <w:rFonts w:eastAsia="Times New Roman" w:cs="Times New Roman"/>
          <w:kern w:val="28"/>
          <w:szCs w:val="22"/>
          <w:lang w:eastAsia="en-AU"/>
        </w:rPr>
        <w:t xml:space="preserve">who </w:t>
      </w:r>
      <w:r w:rsidR="00970555" w:rsidRPr="00EB5485">
        <w:rPr>
          <w:rFonts w:eastAsia="Times New Roman" w:cs="Times New Roman"/>
          <w:kern w:val="28"/>
          <w:szCs w:val="22"/>
          <w:lang w:eastAsia="en-AU"/>
        </w:rPr>
        <w:t>provide care for patients at the Top End Health Service</w:t>
      </w:r>
      <w:r w:rsidR="00B64235" w:rsidRPr="00EB5485">
        <w:rPr>
          <w:rFonts w:eastAsia="Times New Roman" w:cs="Times New Roman"/>
          <w:kern w:val="28"/>
          <w:szCs w:val="22"/>
          <w:lang w:eastAsia="en-AU"/>
        </w:rPr>
        <w:t>, including patients admitted under the surgical team but who did not proceed to have an operation</w:t>
      </w:r>
      <w:r w:rsidR="00970555" w:rsidRPr="00EB5485">
        <w:rPr>
          <w:rFonts w:eastAsia="Times New Roman" w:cs="Times New Roman"/>
          <w:kern w:val="28"/>
          <w:szCs w:val="22"/>
          <w:lang w:eastAsia="en-AU"/>
        </w:rPr>
        <w:t xml:space="preserve">. </w:t>
      </w:r>
      <w:r w:rsidR="005262C3" w:rsidRPr="00EB5485">
        <w:rPr>
          <w:rFonts w:eastAsia="Times New Roman" w:cs="Times New Roman"/>
          <w:kern w:val="28"/>
          <w:szCs w:val="22"/>
          <w:lang w:eastAsia="en-AU"/>
        </w:rPr>
        <w:t xml:space="preserve">The Activity </w:t>
      </w:r>
      <w:r w:rsidR="001641B9" w:rsidRPr="00EB5485">
        <w:rPr>
          <w:rFonts w:eastAsia="Times New Roman" w:cs="Times New Roman"/>
          <w:kern w:val="28"/>
          <w:szCs w:val="22"/>
          <w:lang w:eastAsia="en-AU"/>
        </w:rPr>
        <w:t>identifies</w:t>
      </w:r>
      <w:r w:rsidR="00172F29" w:rsidRPr="00EB5485">
        <w:rPr>
          <w:rFonts w:eastAsia="Times New Roman" w:cs="Times New Roman"/>
          <w:kern w:val="28"/>
          <w:szCs w:val="22"/>
          <w:lang w:eastAsia="en-AU"/>
        </w:rPr>
        <w:t xml:space="preserve"> contributing clinical factors </w:t>
      </w:r>
      <w:r w:rsidR="004C300E" w:rsidRPr="00EB5485">
        <w:rPr>
          <w:rFonts w:eastAsia="Times New Roman" w:cs="Times New Roman"/>
          <w:kern w:val="28"/>
          <w:szCs w:val="22"/>
          <w:lang w:eastAsia="en-AU"/>
        </w:rPr>
        <w:t xml:space="preserve">to these events </w:t>
      </w:r>
      <w:r w:rsidR="00172F29" w:rsidRPr="00EB5485">
        <w:rPr>
          <w:rFonts w:eastAsia="Times New Roman" w:cs="Times New Roman"/>
          <w:kern w:val="28"/>
          <w:szCs w:val="22"/>
          <w:lang w:eastAsia="en-AU"/>
        </w:rPr>
        <w:t xml:space="preserve">and </w:t>
      </w:r>
      <w:r w:rsidR="00970555" w:rsidRPr="00EB5485">
        <w:rPr>
          <w:rFonts w:eastAsia="Times New Roman" w:cs="Times New Roman"/>
          <w:kern w:val="28"/>
          <w:szCs w:val="22"/>
          <w:lang w:eastAsia="en-AU"/>
        </w:rPr>
        <w:t>make</w:t>
      </w:r>
      <w:r w:rsidR="001641B9" w:rsidRPr="00EB5485">
        <w:rPr>
          <w:rFonts w:eastAsia="Times New Roman" w:cs="Times New Roman"/>
          <w:kern w:val="28"/>
          <w:szCs w:val="22"/>
          <w:lang w:eastAsia="en-AU"/>
        </w:rPr>
        <w:t>s</w:t>
      </w:r>
      <w:r w:rsidR="00970555" w:rsidRPr="00EB5485">
        <w:rPr>
          <w:rFonts w:eastAsia="Times New Roman" w:cs="Times New Roman"/>
          <w:kern w:val="28"/>
          <w:szCs w:val="22"/>
          <w:lang w:eastAsia="en-AU"/>
        </w:rPr>
        <w:t xml:space="preserve"> recommendations to the Executive Director Medical Service of the TEHS </w:t>
      </w:r>
      <w:r w:rsidR="00172F29" w:rsidRPr="00EB5485">
        <w:rPr>
          <w:rFonts w:eastAsia="Times New Roman" w:cs="Times New Roman"/>
          <w:kern w:val="28"/>
          <w:szCs w:val="22"/>
          <w:lang w:eastAsia="en-AU"/>
        </w:rPr>
        <w:t>about changes or improvements in a policy, procedure or practice relating to the provision of health services to reduce the likelihood</w:t>
      </w:r>
      <w:r w:rsidR="001641B9" w:rsidRPr="00EB5485">
        <w:rPr>
          <w:rFonts w:eastAsia="Times New Roman" w:cs="Times New Roman"/>
          <w:kern w:val="28"/>
          <w:szCs w:val="22"/>
          <w:lang w:eastAsia="en-AU"/>
        </w:rPr>
        <w:t>,</w:t>
      </w:r>
      <w:r w:rsidR="00172F29" w:rsidRPr="00EB5485">
        <w:rPr>
          <w:rFonts w:eastAsia="Times New Roman" w:cs="Times New Roman"/>
          <w:kern w:val="28"/>
          <w:szCs w:val="22"/>
          <w:lang w:eastAsia="en-AU"/>
        </w:rPr>
        <w:t xml:space="preserve"> </w:t>
      </w:r>
      <w:r w:rsidR="001641B9" w:rsidRPr="00EB5485">
        <w:rPr>
          <w:rFonts w:eastAsia="Times New Roman" w:cs="Times New Roman"/>
          <w:kern w:val="28"/>
          <w:szCs w:val="22"/>
          <w:lang w:eastAsia="en-AU"/>
        </w:rPr>
        <w:t>or prevent the same or similar event from occurring again</w:t>
      </w:r>
      <w:r w:rsidR="00172F29" w:rsidRPr="00EB5485">
        <w:rPr>
          <w:rFonts w:eastAsia="Times New Roman" w:cs="Times New Roman"/>
          <w:kern w:val="28"/>
          <w:szCs w:val="22"/>
          <w:lang w:eastAsia="en-AU"/>
        </w:rPr>
        <w:t>.</w:t>
      </w:r>
      <w:r w:rsidR="00970555" w:rsidRPr="00EB5485">
        <w:rPr>
          <w:rFonts w:eastAsia="Times New Roman" w:cs="Times New Roman"/>
          <w:kern w:val="28"/>
          <w:szCs w:val="22"/>
          <w:lang w:eastAsia="en-AU"/>
        </w:rPr>
        <w:t xml:space="preserve"> </w:t>
      </w:r>
      <w:bookmarkStart w:id="18" w:name="_Hlk57195879"/>
      <w:r w:rsidR="00EC6EF3" w:rsidRPr="00EB5485">
        <w:rPr>
          <w:rFonts w:eastAsia="Times New Roman" w:cs="Times New Roman"/>
          <w:kern w:val="28"/>
          <w:szCs w:val="22"/>
          <w:lang w:eastAsia="en-AU"/>
        </w:rPr>
        <w:t xml:space="preserve">The Activity includes the monitoring of those recommendations. </w:t>
      </w:r>
      <w:bookmarkEnd w:id="18"/>
    </w:p>
    <w:p w14:paraId="71E9161B" w14:textId="77777777" w:rsidR="00172F29" w:rsidRPr="00EB5485" w:rsidRDefault="00172F29" w:rsidP="00172F29">
      <w:pPr>
        <w:ind w:left="720"/>
        <w:rPr>
          <w:rFonts w:eastAsia="Times New Roman" w:cs="Times New Roman"/>
          <w:kern w:val="28"/>
          <w:szCs w:val="22"/>
          <w:lang w:eastAsia="en-AU"/>
        </w:rPr>
      </w:pPr>
    </w:p>
    <w:p w14:paraId="60F10116" w14:textId="1AF4FF3C" w:rsidR="00970555" w:rsidRPr="00EB5485" w:rsidRDefault="00970555" w:rsidP="00970555">
      <w:pPr>
        <w:ind w:left="720"/>
        <w:rPr>
          <w:rFonts w:cs="Times New Roman"/>
          <w:szCs w:val="22"/>
        </w:rPr>
      </w:pPr>
      <w:bookmarkStart w:id="19" w:name="_Hlk54702526"/>
      <w:r w:rsidRPr="00EB5485">
        <w:rPr>
          <w:rFonts w:cs="Times New Roman"/>
          <w:szCs w:val="22"/>
        </w:rPr>
        <w:t xml:space="preserve">The Activity </w:t>
      </w:r>
      <w:r w:rsidR="00EC6EF3" w:rsidRPr="00EB5485">
        <w:rPr>
          <w:rFonts w:cs="Times New Roman"/>
          <w:szCs w:val="22"/>
        </w:rPr>
        <w:t xml:space="preserve">also </w:t>
      </w:r>
      <w:r w:rsidRPr="00EB5485">
        <w:rPr>
          <w:rFonts w:cs="Times New Roman"/>
          <w:szCs w:val="22"/>
        </w:rPr>
        <w:t xml:space="preserve">includes </w:t>
      </w:r>
      <w:r w:rsidR="004C300E" w:rsidRPr="00EB5485">
        <w:rPr>
          <w:rFonts w:cs="Times New Roman"/>
          <w:szCs w:val="22"/>
        </w:rPr>
        <w:t>reviewing and analysing</w:t>
      </w:r>
      <w:r w:rsidRPr="00EB5485">
        <w:rPr>
          <w:rFonts w:cs="Times New Roman"/>
          <w:szCs w:val="22"/>
        </w:rPr>
        <w:t xml:space="preserve"> operational policies, procedures or practices and clinical issues and factors that contribute to the occurrence of an event</w:t>
      </w:r>
      <w:r w:rsidR="001641B9" w:rsidRPr="00EB5485">
        <w:rPr>
          <w:rFonts w:cs="Times New Roman"/>
          <w:szCs w:val="22"/>
        </w:rPr>
        <w:t xml:space="preserve">. Dependent on the circumstances of the event, the </w:t>
      </w:r>
      <w:r w:rsidR="00CB036F" w:rsidRPr="00EB5485">
        <w:t xml:space="preserve">clinical practice and performance </w:t>
      </w:r>
      <w:r w:rsidR="001641B9" w:rsidRPr="00EB5485">
        <w:rPr>
          <w:rFonts w:cs="Times New Roman"/>
          <w:szCs w:val="22"/>
        </w:rPr>
        <w:t xml:space="preserve">of individuals may </w:t>
      </w:r>
      <w:r w:rsidR="004C300E" w:rsidRPr="00EB5485">
        <w:rPr>
          <w:rFonts w:cs="Times New Roman"/>
          <w:szCs w:val="22"/>
        </w:rPr>
        <w:t xml:space="preserve">also </w:t>
      </w:r>
      <w:r w:rsidR="001641B9" w:rsidRPr="00EB5485">
        <w:rPr>
          <w:rFonts w:cs="Times New Roman"/>
          <w:szCs w:val="22"/>
        </w:rPr>
        <w:t>be discussed.</w:t>
      </w:r>
    </w:p>
    <w:p w14:paraId="79523312" w14:textId="48D8DD5B" w:rsidR="001641B9" w:rsidRPr="00EB5485" w:rsidRDefault="001641B9" w:rsidP="00970555">
      <w:pPr>
        <w:ind w:left="720"/>
        <w:rPr>
          <w:rFonts w:cs="Times New Roman"/>
          <w:szCs w:val="22"/>
        </w:rPr>
      </w:pPr>
    </w:p>
    <w:p w14:paraId="42B0D914" w14:textId="50B2BA97" w:rsidR="001641B9" w:rsidRPr="00EB5485" w:rsidRDefault="004C300E" w:rsidP="004C300E">
      <w:pPr>
        <w:ind w:left="720"/>
        <w:rPr>
          <w:rFonts w:cs="Times New Roman"/>
          <w:szCs w:val="22"/>
        </w:rPr>
      </w:pPr>
      <w:r w:rsidRPr="00EB5485">
        <w:rPr>
          <w:rFonts w:cs="Times New Roman"/>
          <w:szCs w:val="22"/>
        </w:rPr>
        <w:t>Cl</w:t>
      </w:r>
      <w:r w:rsidR="001641B9" w:rsidRPr="00EB5485">
        <w:rPr>
          <w:rFonts w:cs="Times New Roman"/>
          <w:szCs w:val="22"/>
        </w:rPr>
        <w:t>inical audit report</w:t>
      </w:r>
      <w:r w:rsidRPr="00EB5485">
        <w:rPr>
          <w:rFonts w:cs="Times New Roman"/>
          <w:szCs w:val="22"/>
        </w:rPr>
        <w:t>s</w:t>
      </w:r>
      <w:r w:rsidR="001641B9" w:rsidRPr="00EB5485">
        <w:rPr>
          <w:rFonts w:cs="Times New Roman"/>
          <w:szCs w:val="22"/>
        </w:rPr>
        <w:t xml:space="preserve"> and recommendations approved by the Executive Director of Surgery TEHS are provided to the Chief Operating Officer and Executive Director, Medical Services TEHS and circulated within the hospital. Publication</w:t>
      </w:r>
      <w:r w:rsidRPr="00EB5485">
        <w:rPr>
          <w:rFonts w:cs="Times New Roman"/>
          <w:szCs w:val="22"/>
        </w:rPr>
        <w:t xml:space="preserve"> of non</w:t>
      </w:r>
      <w:r w:rsidRPr="00EB5485">
        <w:rPr>
          <w:rFonts w:cs="Times New Roman"/>
          <w:szCs w:val="22"/>
        </w:rPr>
        <w:noBreakHyphen/>
      </w:r>
      <w:r w:rsidR="001641B9" w:rsidRPr="00EB5485">
        <w:rPr>
          <w:rFonts w:cs="Times New Roman"/>
          <w:szCs w:val="22"/>
        </w:rPr>
        <w:t>identifying information will occur through the NT Health Annual Report, NT Health Clinical Quality and Patient Safety Surveillance Report and NT Audit of Surgical Mortality. The following specific information will be published arising from the Activity</w:t>
      </w:r>
      <w:r w:rsidR="00C633B0" w:rsidRPr="00EB5485">
        <w:rPr>
          <w:rFonts w:cs="Times New Roman"/>
          <w:szCs w:val="22"/>
        </w:rPr>
        <w:t>:</w:t>
      </w:r>
    </w:p>
    <w:p w14:paraId="3FDEA27E" w14:textId="77777777" w:rsidR="00F206DD" w:rsidRPr="00EB5485" w:rsidRDefault="00F206DD" w:rsidP="001641B9">
      <w:pPr>
        <w:pStyle w:val="ListParagraph"/>
        <w:numPr>
          <w:ilvl w:val="2"/>
          <w:numId w:val="21"/>
        </w:numPr>
        <w:ind w:left="1560"/>
        <w:rPr>
          <w:rFonts w:eastAsia="Times New Roman" w:cs="Times New Roman"/>
          <w:kern w:val="28"/>
          <w:szCs w:val="22"/>
          <w:lang w:eastAsia="en-AU"/>
        </w:rPr>
      </w:pPr>
      <w:r w:rsidRPr="00EB5485">
        <w:rPr>
          <w:rFonts w:eastAsia="Times New Roman"/>
          <w:kern w:val="28"/>
          <w:lang w:eastAsia="en-AU"/>
        </w:rPr>
        <w:t>n</w:t>
      </w:r>
      <w:r w:rsidRPr="00EB5485">
        <w:rPr>
          <w:rFonts w:eastAsia="Times New Roman" w:cs="Times New Roman"/>
          <w:kern w:val="28"/>
          <w:szCs w:val="22"/>
          <w:lang w:eastAsia="en-AU"/>
        </w:rPr>
        <w:t>umber of cases reviewed;</w:t>
      </w:r>
    </w:p>
    <w:p w14:paraId="5B0C91CA" w14:textId="77777777" w:rsidR="00F206DD" w:rsidRPr="00EB5485" w:rsidRDefault="00F206DD" w:rsidP="001641B9">
      <w:pPr>
        <w:pStyle w:val="ListParagraph"/>
        <w:numPr>
          <w:ilvl w:val="2"/>
          <w:numId w:val="21"/>
        </w:numPr>
        <w:ind w:left="1560"/>
        <w:rPr>
          <w:rFonts w:eastAsia="Times New Roman" w:cs="Times New Roman"/>
          <w:kern w:val="28"/>
          <w:szCs w:val="22"/>
          <w:lang w:eastAsia="en-AU"/>
        </w:rPr>
      </w:pPr>
      <w:r w:rsidRPr="00EB5485">
        <w:rPr>
          <w:rFonts w:eastAsia="Times New Roman"/>
          <w:kern w:val="28"/>
          <w:lang w:eastAsia="en-AU"/>
        </w:rPr>
        <w:t>a</w:t>
      </w:r>
      <w:r w:rsidRPr="00EB5485">
        <w:rPr>
          <w:rFonts w:eastAsia="Times New Roman" w:cs="Times New Roman"/>
          <w:kern w:val="28"/>
          <w:szCs w:val="22"/>
          <w:lang w:eastAsia="en-AU"/>
        </w:rPr>
        <w:t>udit of attendance numbers at the TEHS Activity;</w:t>
      </w:r>
    </w:p>
    <w:p w14:paraId="0C41E04E" w14:textId="77777777" w:rsidR="00F206DD" w:rsidRPr="00EB5485" w:rsidRDefault="00F206DD" w:rsidP="001641B9">
      <w:pPr>
        <w:pStyle w:val="ListParagraph"/>
        <w:numPr>
          <w:ilvl w:val="2"/>
          <w:numId w:val="21"/>
        </w:numPr>
        <w:ind w:left="1560"/>
        <w:rPr>
          <w:rFonts w:eastAsia="Times New Roman" w:cs="Times New Roman"/>
          <w:kern w:val="28"/>
          <w:szCs w:val="22"/>
          <w:lang w:eastAsia="en-AU"/>
        </w:rPr>
      </w:pPr>
      <w:r w:rsidRPr="00EB5485">
        <w:rPr>
          <w:rFonts w:eastAsia="Times New Roman"/>
          <w:kern w:val="28"/>
          <w:lang w:eastAsia="en-AU"/>
        </w:rPr>
        <w:t>p</w:t>
      </w:r>
      <w:r w:rsidRPr="00EB5485">
        <w:rPr>
          <w:rFonts w:eastAsia="Times New Roman" w:cs="Times New Roman"/>
          <w:kern w:val="28"/>
          <w:szCs w:val="22"/>
          <w:lang w:eastAsia="en-AU"/>
        </w:rPr>
        <w:t>ercentage of eligible cases audited;</w:t>
      </w:r>
    </w:p>
    <w:p w14:paraId="5646D5B8" w14:textId="54EBD9DF" w:rsidR="00F206DD" w:rsidRPr="00EB5485" w:rsidRDefault="00F206DD" w:rsidP="001641B9">
      <w:pPr>
        <w:pStyle w:val="ListParagraph"/>
        <w:numPr>
          <w:ilvl w:val="2"/>
          <w:numId w:val="21"/>
        </w:numPr>
        <w:ind w:left="1560"/>
        <w:rPr>
          <w:rFonts w:eastAsia="Times New Roman" w:cs="Times New Roman"/>
          <w:kern w:val="28"/>
          <w:szCs w:val="22"/>
          <w:lang w:eastAsia="en-AU"/>
        </w:rPr>
      </w:pPr>
      <w:r w:rsidRPr="00EB5485">
        <w:rPr>
          <w:rFonts w:cs="Times New Roman"/>
          <w:szCs w:val="22"/>
        </w:rPr>
        <w:t>a summary of themes</w:t>
      </w:r>
      <w:r w:rsidRPr="00EB5485">
        <w:rPr>
          <w:szCs w:val="22"/>
        </w:rPr>
        <w:t xml:space="preserve"> that contribute to morbidity and mortality;</w:t>
      </w:r>
    </w:p>
    <w:p w14:paraId="68899FB3" w14:textId="74FD8B47" w:rsidR="008E44F2" w:rsidRPr="00EB5485" w:rsidRDefault="008E44F2" w:rsidP="001641B9">
      <w:pPr>
        <w:pStyle w:val="ListParagraph"/>
        <w:numPr>
          <w:ilvl w:val="2"/>
          <w:numId w:val="21"/>
        </w:numPr>
        <w:ind w:left="1560"/>
        <w:rPr>
          <w:rFonts w:eastAsia="Times New Roman" w:cs="Times New Roman"/>
          <w:kern w:val="28"/>
          <w:szCs w:val="22"/>
          <w:lang w:eastAsia="en-AU"/>
        </w:rPr>
      </w:pPr>
      <w:r w:rsidRPr="00EB5485">
        <w:rPr>
          <w:szCs w:val="22"/>
        </w:rPr>
        <w:t>high level details of particular cases;</w:t>
      </w:r>
    </w:p>
    <w:p w14:paraId="7681D553" w14:textId="434B650B" w:rsidR="00F206DD" w:rsidRPr="00EB5485" w:rsidRDefault="00F206DD" w:rsidP="001641B9">
      <w:pPr>
        <w:pStyle w:val="ListParagraph"/>
        <w:numPr>
          <w:ilvl w:val="2"/>
          <w:numId w:val="21"/>
        </w:numPr>
        <w:ind w:left="1560"/>
        <w:rPr>
          <w:rFonts w:eastAsia="Times New Roman" w:cs="Times New Roman"/>
          <w:kern w:val="28"/>
          <w:szCs w:val="22"/>
          <w:lang w:eastAsia="en-AU"/>
        </w:rPr>
      </w:pPr>
      <w:r w:rsidRPr="00EB5485">
        <w:rPr>
          <w:rFonts w:eastAsia="Times New Roman" w:cs="Times New Roman"/>
          <w:kern w:val="28"/>
          <w:szCs w:val="22"/>
          <w:lang w:eastAsia="en-AU"/>
        </w:rPr>
        <w:t>recommendations made</w:t>
      </w:r>
      <w:r w:rsidR="008E44F2" w:rsidRPr="00EB5485">
        <w:rPr>
          <w:rFonts w:eastAsia="Times New Roman" w:cs="Times New Roman"/>
          <w:kern w:val="28"/>
          <w:szCs w:val="22"/>
          <w:lang w:eastAsia="en-AU"/>
        </w:rPr>
        <w:t xml:space="preserve"> to improve policies, practices and procedures</w:t>
      </w:r>
      <w:r w:rsidRPr="00EB5485">
        <w:rPr>
          <w:rFonts w:eastAsia="Times New Roman" w:cs="Times New Roman"/>
          <w:kern w:val="28"/>
          <w:szCs w:val="22"/>
          <w:lang w:eastAsia="en-AU"/>
        </w:rPr>
        <w:t>; and</w:t>
      </w:r>
    </w:p>
    <w:p w14:paraId="6DE1B70D" w14:textId="77777777" w:rsidR="00F206DD" w:rsidRPr="00EB5485" w:rsidRDefault="00F206DD" w:rsidP="001641B9">
      <w:pPr>
        <w:pStyle w:val="ListParagraph"/>
        <w:numPr>
          <w:ilvl w:val="2"/>
          <w:numId w:val="21"/>
        </w:numPr>
        <w:ind w:left="1560"/>
        <w:rPr>
          <w:rFonts w:eastAsia="Times New Roman"/>
          <w:kern w:val="28"/>
        </w:rPr>
      </w:pPr>
      <w:proofErr w:type="gramStart"/>
      <w:r w:rsidRPr="00EB5485">
        <w:rPr>
          <w:rFonts w:eastAsia="Times New Roman" w:cs="Times New Roman"/>
          <w:kern w:val="28"/>
          <w:szCs w:val="22"/>
          <w:lang w:eastAsia="en-AU"/>
        </w:rPr>
        <w:t>a</w:t>
      </w:r>
      <w:proofErr w:type="gramEnd"/>
      <w:r w:rsidRPr="00EB5485">
        <w:rPr>
          <w:rFonts w:eastAsia="Times New Roman" w:cs="Times New Roman"/>
          <w:kern w:val="28"/>
          <w:szCs w:val="22"/>
          <w:lang w:eastAsia="en-AU"/>
        </w:rPr>
        <w:t xml:space="preserve"> description of issues raised during M&amp;M meetings that arise from assessing safety and quality systems and M&amp;M meetings at the TEHS. </w:t>
      </w:r>
      <w:bookmarkEnd w:id="19"/>
    </w:p>
    <w:p w14:paraId="07386F21" w14:textId="77777777" w:rsidR="00F206DD" w:rsidRPr="00EB5485" w:rsidRDefault="00F206DD" w:rsidP="004C300E">
      <w:pPr>
        <w:ind w:left="720"/>
        <w:rPr>
          <w:rFonts w:eastAsia="Times New Roman"/>
          <w:kern w:val="28"/>
          <w:szCs w:val="22"/>
          <w:lang w:eastAsia="en-AU"/>
        </w:rPr>
      </w:pPr>
    </w:p>
    <w:p w14:paraId="36723FDD" w14:textId="7AAB72B6" w:rsidR="00A75FE9" w:rsidRPr="009A7240" w:rsidRDefault="0066791A" w:rsidP="001641B9">
      <w:pPr>
        <w:ind w:left="720"/>
        <w:rPr>
          <w:rFonts w:eastAsia="Times New Roman" w:cs="Times New Roman"/>
          <w:kern w:val="28"/>
          <w:szCs w:val="22"/>
          <w:lang w:eastAsia="en-AU"/>
        </w:rPr>
      </w:pPr>
      <w:r w:rsidRPr="00EB5485">
        <w:rPr>
          <w:rFonts w:eastAsia="Times New Roman" w:cs="Times New Roman"/>
          <w:kern w:val="28"/>
          <w:szCs w:val="22"/>
          <w:lang w:eastAsia="en-AU"/>
        </w:rPr>
        <w:t>Access to identifying information is limited to</w:t>
      </w:r>
      <w:r w:rsidR="008369EB" w:rsidRPr="00EB5485">
        <w:rPr>
          <w:rFonts w:eastAsia="Times New Roman" w:cs="Times New Roman"/>
          <w:kern w:val="28"/>
          <w:szCs w:val="22"/>
          <w:lang w:eastAsia="en-AU"/>
        </w:rPr>
        <w:t xml:space="preserve"> clinician peers conducting the audit activity and</w:t>
      </w:r>
      <w:r w:rsidRPr="00EB5485">
        <w:rPr>
          <w:rFonts w:eastAsia="Times New Roman" w:cs="Times New Roman"/>
          <w:kern w:val="28"/>
          <w:szCs w:val="22"/>
          <w:lang w:eastAsia="en-AU"/>
        </w:rPr>
        <w:t xml:space="preserve"> the </w:t>
      </w:r>
      <w:r w:rsidRPr="00EB5485">
        <w:rPr>
          <w:rFonts w:cs="Times New Roman"/>
          <w:szCs w:val="22"/>
        </w:rPr>
        <w:t>Executive</w:t>
      </w:r>
      <w:r w:rsidRPr="00EB5485">
        <w:rPr>
          <w:rFonts w:eastAsia="Times New Roman" w:cs="Times New Roman"/>
          <w:kern w:val="28"/>
          <w:szCs w:val="22"/>
          <w:lang w:eastAsia="en-AU"/>
        </w:rPr>
        <w:t xml:space="preserve"> Director of Medical</w:t>
      </w:r>
      <w:r w:rsidR="00E20BD4" w:rsidRPr="00EB5485">
        <w:rPr>
          <w:rFonts w:eastAsia="Times New Roman" w:cs="Times New Roman"/>
          <w:kern w:val="28"/>
          <w:szCs w:val="22"/>
          <w:lang w:eastAsia="en-AU"/>
        </w:rPr>
        <w:t xml:space="preserve"> Services, Chief Operating Officer and </w:t>
      </w:r>
      <w:r w:rsidR="00392FF2" w:rsidRPr="00EB5485">
        <w:rPr>
          <w:rFonts w:eastAsia="Times New Roman" w:cs="Times New Roman"/>
          <w:kern w:val="28"/>
          <w:szCs w:val="22"/>
          <w:lang w:eastAsia="en-AU"/>
        </w:rPr>
        <w:t>NT</w:t>
      </w:r>
      <w:r w:rsidRPr="00EB5485">
        <w:rPr>
          <w:rFonts w:eastAsia="Times New Roman" w:cs="Times New Roman"/>
          <w:kern w:val="28"/>
          <w:szCs w:val="22"/>
          <w:lang w:eastAsia="en-AU"/>
        </w:rPr>
        <w:t xml:space="preserve"> Department of Health Legal Services</w:t>
      </w:r>
      <w:r w:rsidR="008369EB" w:rsidRPr="00EB5485">
        <w:rPr>
          <w:rFonts w:eastAsia="Times New Roman" w:cs="Times New Roman"/>
          <w:kern w:val="28"/>
          <w:szCs w:val="22"/>
          <w:lang w:eastAsia="en-AU"/>
        </w:rPr>
        <w:t>.</w:t>
      </w:r>
      <w:r w:rsidR="008369EB">
        <w:rPr>
          <w:rFonts w:eastAsia="Times New Roman" w:cs="Times New Roman"/>
          <w:kern w:val="28"/>
          <w:szCs w:val="22"/>
          <w:lang w:eastAsia="en-AU"/>
        </w:rPr>
        <w:t xml:space="preserve"> </w:t>
      </w:r>
    </w:p>
    <w:sectPr w:rsidR="00A75FE9" w:rsidRPr="009A7240" w:rsidSect="004C300E">
      <w:headerReference w:type="even" r:id="rId20"/>
      <w:headerReference w:type="default" r:id="rId21"/>
      <w:footerReference w:type="even" r:id="rId22"/>
      <w:footerReference w:type="default" r:id="rId23"/>
      <w:pgSz w:w="11907" w:h="16839" w:code="9"/>
      <w:pgMar w:top="2234" w:right="1797" w:bottom="1440" w:left="1701" w:header="720" w:footer="709"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C56A16" w16cid:durableId="2368B70B"/>
  <w16cid:commentId w16cid:paraId="0AA33643" w16cid:durableId="2368B3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4D463" w14:textId="77777777" w:rsidR="00D33024" w:rsidRDefault="00D33024" w:rsidP="00715914">
      <w:pPr>
        <w:spacing w:line="240" w:lineRule="auto"/>
      </w:pPr>
      <w:r>
        <w:separator/>
      </w:r>
    </w:p>
  </w:endnote>
  <w:endnote w:type="continuationSeparator" w:id="0">
    <w:p w14:paraId="28F116DD" w14:textId="77777777" w:rsidR="00D33024" w:rsidRDefault="00D3302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7A79C" w14:textId="77777777" w:rsidR="00E732C1" w:rsidRPr="00E33C1C" w:rsidRDefault="00E732C1"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732C1" w14:paraId="2D232410" w14:textId="77777777" w:rsidTr="00B33709">
      <w:tc>
        <w:tcPr>
          <w:tcW w:w="709" w:type="dxa"/>
          <w:tcBorders>
            <w:top w:val="nil"/>
            <w:left w:val="nil"/>
            <w:bottom w:val="nil"/>
            <w:right w:val="nil"/>
          </w:tcBorders>
        </w:tcPr>
        <w:p w14:paraId="73D5B21B" w14:textId="77777777" w:rsidR="00E732C1" w:rsidRDefault="00E732C1"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681EBCFA" w14:textId="28747276" w:rsidR="00E732C1" w:rsidRPr="004E1307" w:rsidRDefault="00E732C1"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633B0">
            <w:rPr>
              <w:b/>
              <w:bCs/>
              <w:i/>
              <w:noProof/>
              <w:sz w:val="18"/>
              <w:lang w:val="en-US"/>
            </w:rPr>
            <w:t>Error! No text of specified style in document.</w:t>
          </w:r>
          <w:r w:rsidRPr="004E1307">
            <w:rPr>
              <w:i/>
              <w:sz w:val="18"/>
            </w:rPr>
            <w:fldChar w:fldCharType="end"/>
          </w:r>
        </w:p>
      </w:tc>
      <w:tc>
        <w:tcPr>
          <w:tcW w:w="1383" w:type="dxa"/>
          <w:tcBorders>
            <w:top w:val="nil"/>
            <w:left w:val="nil"/>
            <w:bottom w:val="nil"/>
            <w:right w:val="nil"/>
          </w:tcBorders>
        </w:tcPr>
        <w:p w14:paraId="7E44B6BB" w14:textId="77777777" w:rsidR="00E732C1" w:rsidRDefault="00E732C1" w:rsidP="00A369E3">
          <w:pPr>
            <w:spacing w:line="0" w:lineRule="atLeast"/>
            <w:jc w:val="right"/>
            <w:rPr>
              <w:sz w:val="18"/>
            </w:rPr>
          </w:pPr>
        </w:p>
      </w:tc>
    </w:tr>
    <w:tr w:rsidR="00E732C1" w14:paraId="6EF61934"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82B44AB" w14:textId="77777777" w:rsidR="00E732C1" w:rsidRDefault="00E732C1" w:rsidP="00A369E3">
          <w:pPr>
            <w:jc w:val="right"/>
            <w:rPr>
              <w:sz w:val="18"/>
            </w:rPr>
          </w:pPr>
        </w:p>
      </w:tc>
    </w:tr>
  </w:tbl>
  <w:p w14:paraId="7231CBDC" w14:textId="77777777" w:rsidR="00E732C1" w:rsidRPr="00ED79B6" w:rsidRDefault="00E732C1"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66930" w14:textId="77777777" w:rsidR="00E732C1" w:rsidRPr="00E33C1C" w:rsidRDefault="00E732C1"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E732C1" w14:paraId="67AE2B5D" w14:textId="77777777" w:rsidTr="00A369E3">
      <w:tc>
        <w:tcPr>
          <w:tcW w:w="1384" w:type="dxa"/>
          <w:tcBorders>
            <w:top w:val="nil"/>
            <w:left w:val="nil"/>
            <w:bottom w:val="nil"/>
            <w:right w:val="nil"/>
          </w:tcBorders>
        </w:tcPr>
        <w:p w14:paraId="4FCE0F28" w14:textId="77777777" w:rsidR="00E732C1" w:rsidRDefault="00E732C1" w:rsidP="00A369E3">
          <w:pPr>
            <w:spacing w:line="0" w:lineRule="atLeast"/>
            <w:rPr>
              <w:sz w:val="18"/>
            </w:rPr>
          </w:pPr>
        </w:p>
      </w:tc>
      <w:tc>
        <w:tcPr>
          <w:tcW w:w="6379" w:type="dxa"/>
          <w:tcBorders>
            <w:top w:val="nil"/>
            <w:left w:val="nil"/>
            <w:bottom w:val="nil"/>
            <w:right w:val="nil"/>
          </w:tcBorders>
        </w:tcPr>
        <w:p w14:paraId="2F285EA1" w14:textId="36858C06" w:rsidR="00E732C1" w:rsidRDefault="00E732C1"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633B0">
            <w:rPr>
              <w:b/>
              <w:bCs/>
              <w:i/>
              <w:noProof/>
              <w:sz w:val="18"/>
              <w:lang w:val="en-US"/>
            </w:rPr>
            <w:t>Error! No text of specified style in document.</w:t>
          </w:r>
          <w:r w:rsidRPr="004E1307">
            <w:rPr>
              <w:i/>
              <w:sz w:val="18"/>
            </w:rPr>
            <w:fldChar w:fldCharType="end"/>
          </w:r>
        </w:p>
      </w:tc>
      <w:tc>
        <w:tcPr>
          <w:tcW w:w="709" w:type="dxa"/>
          <w:tcBorders>
            <w:top w:val="nil"/>
            <w:left w:val="nil"/>
            <w:bottom w:val="nil"/>
            <w:right w:val="nil"/>
          </w:tcBorders>
        </w:tcPr>
        <w:p w14:paraId="3AC30BF3" w14:textId="77777777" w:rsidR="00E732C1" w:rsidRDefault="00E732C1"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E732C1" w14:paraId="01654618"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FC27092" w14:textId="77777777" w:rsidR="00E732C1" w:rsidRDefault="00E732C1" w:rsidP="00A369E3">
          <w:pPr>
            <w:rPr>
              <w:sz w:val="18"/>
            </w:rPr>
          </w:pPr>
        </w:p>
      </w:tc>
    </w:tr>
  </w:tbl>
  <w:p w14:paraId="253EAAE9" w14:textId="77777777" w:rsidR="00E732C1" w:rsidRPr="00ED79B6" w:rsidRDefault="00E732C1"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D51F0" w14:textId="77777777" w:rsidR="00E732C1" w:rsidRPr="00E33C1C" w:rsidRDefault="00E732C1"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E732C1" w14:paraId="04105311" w14:textId="77777777" w:rsidTr="00B33709">
      <w:tc>
        <w:tcPr>
          <w:tcW w:w="1384" w:type="dxa"/>
          <w:tcBorders>
            <w:top w:val="nil"/>
            <w:left w:val="nil"/>
            <w:bottom w:val="nil"/>
            <w:right w:val="nil"/>
          </w:tcBorders>
        </w:tcPr>
        <w:p w14:paraId="41FD4179" w14:textId="77777777" w:rsidR="00E732C1" w:rsidRDefault="00E732C1" w:rsidP="00A369E3">
          <w:pPr>
            <w:spacing w:line="0" w:lineRule="atLeast"/>
            <w:rPr>
              <w:sz w:val="18"/>
            </w:rPr>
          </w:pPr>
        </w:p>
      </w:tc>
      <w:tc>
        <w:tcPr>
          <w:tcW w:w="6379" w:type="dxa"/>
          <w:tcBorders>
            <w:top w:val="nil"/>
            <w:left w:val="nil"/>
            <w:bottom w:val="nil"/>
            <w:right w:val="nil"/>
          </w:tcBorders>
        </w:tcPr>
        <w:p w14:paraId="2BC59E44" w14:textId="77777777" w:rsidR="00E732C1" w:rsidRDefault="00E732C1" w:rsidP="00A369E3">
          <w:pPr>
            <w:spacing w:line="0" w:lineRule="atLeast"/>
            <w:jc w:val="center"/>
            <w:rPr>
              <w:sz w:val="18"/>
            </w:rPr>
          </w:pPr>
        </w:p>
      </w:tc>
      <w:tc>
        <w:tcPr>
          <w:tcW w:w="709" w:type="dxa"/>
          <w:tcBorders>
            <w:top w:val="nil"/>
            <w:left w:val="nil"/>
            <w:bottom w:val="nil"/>
            <w:right w:val="nil"/>
          </w:tcBorders>
        </w:tcPr>
        <w:p w14:paraId="57557257" w14:textId="77777777" w:rsidR="00E732C1" w:rsidRDefault="00E732C1" w:rsidP="00A369E3">
          <w:pPr>
            <w:spacing w:line="0" w:lineRule="atLeast"/>
            <w:jc w:val="right"/>
            <w:rPr>
              <w:sz w:val="18"/>
            </w:rPr>
          </w:pPr>
        </w:p>
      </w:tc>
    </w:tr>
  </w:tbl>
  <w:p w14:paraId="014F7664" w14:textId="77777777" w:rsidR="00E732C1" w:rsidRPr="00ED79B6" w:rsidRDefault="00E732C1"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04E04" w14:textId="77777777" w:rsidR="00E732C1" w:rsidRPr="002B0EA5" w:rsidRDefault="00E732C1" w:rsidP="0089375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E732C1" w14:paraId="1D4A46DC" w14:textId="77777777" w:rsidTr="0089375A">
      <w:tc>
        <w:tcPr>
          <w:tcW w:w="365" w:type="pct"/>
        </w:tcPr>
        <w:p w14:paraId="119DB36B" w14:textId="77777777" w:rsidR="00E732C1" w:rsidRDefault="00E732C1" w:rsidP="0089375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A160B">
            <w:rPr>
              <w:i/>
              <w:noProof/>
              <w:sz w:val="18"/>
            </w:rPr>
            <w:t>ii</w:t>
          </w:r>
          <w:r w:rsidRPr="00ED79B6">
            <w:rPr>
              <w:i/>
              <w:sz w:val="18"/>
            </w:rPr>
            <w:fldChar w:fldCharType="end"/>
          </w:r>
        </w:p>
      </w:tc>
      <w:tc>
        <w:tcPr>
          <w:tcW w:w="3688" w:type="pct"/>
        </w:tcPr>
        <w:p w14:paraId="69F8B9AE" w14:textId="31FFFEFC" w:rsidR="00E732C1" w:rsidRDefault="00E732C1" w:rsidP="0089375A">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633B0">
            <w:rPr>
              <w:b/>
              <w:bCs/>
              <w:i/>
              <w:noProof/>
              <w:sz w:val="18"/>
              <w:lang w:val="en-US"/>
            </w:rPr>
            <w:t>Error! No text of specified style in document.</w:t>
          </w:r>
          <w:r w:rsidRPr="004E1307">
            <w:rPr>
              <w:i/>
              <w:sz w:val="18"/>
            </w:rPr>
            <w:fldChar w:fldCharType="end"/>
          </w:r>
        </w:p>
      </w:tc>
      <w:tc>
        <w:tcPr>
          <w:tcW w:w="947" w:type="pct"/>
        </w:tcPr>
        <w:p w14:paraId="05F82FB1" w14:textId="77777777" w:rsidR="00E732C1" w:rsidRDefault="00E732C1" w:rsidP="0089375A">
          <w:pPr>
            <w:spacing w:line="0" w:lineRule="atLeast"/>
            <w:jc w:val="right"/>
            <w:rPr>
              <w:sz w:val="18"/>
            </w:rPr>
          </w:pPr>
        </w:p>
      </w:tc>
    </w:tr>
    <w:tr w:rsidR="00E732C1" w14:paraId="539812C2" w14:textId="77777777" w:rsidTr="0089375A">
      <w:tc>
        <w:tcPr>
          <w:tcW w:w="5000" w:type="pct"/>
          <w:gridSpan w:val="3"/>
        </w:tcPr>
        <w:p w14:paraId="458D2A2E" w14:textId="77777777" w:rsidR="00E732C1" w:rsidRDefault="00E732C1" w:rsidP="0089375A">
          <w:pPr>
            <w:jc w:val="right"/>
            <w:rPr>
              <w:sz w:val="18"/>
            </w:rPr>
          </w:pPr>
        </w:p>
      </w:tc>
    </w:tr>
  </w:tbl>
  <w:p w14:paraId="0C147379" w14:textId="77777777" w:rsidR="00E732C1" w:rsidRPr="00ED79B6" w:rsidRDefault="00E732C1" w:rsidP="0089375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A87A0" w14:textId="77777777" w:rsidR="00E732C1" w:rsidRPr="002B0EA5" w:rsidRDefault="00E732C1" w:rsidP="0089375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E732C1" w14:paraId="38F4E049" w14:textId="77777777" w:rsidTr="0089375A">
      <w:tc>
        <w:tcPr>
          <w:tcW w:w="947" w:type="pct"/>
        </w:tcPr>
        <w:p w14:paraId="6271EB7A" w14:textId="77777777" w:rsidR="00E732C1" w:rsidRDefault="00E732C1" w:rsidP="0089375A">
          <w:pPr>
            <w:spacing w:line="0" w:lineRule="atLeast"/>
            <w:rPr>
              <w:sz w:val="18"/>
            </w:rPr>
          </w:pPr>
        </w:p>
      </w:tc>
      <w:tc>
        <w:tcPr>
          <w:tcW w:w="3688" w:type="pct"/>
        </w:tcPr>
        <w:p w14:paraId="476385CE" w14:textId="67F22C07" w:rsidR="00E732C1" w:rsidRPr="001A3958" w:rsidRDefault="006E3A95" w:rsidP="006A02A3">
          <w:pPr>
            <w:spacing w:line="0" w:lineRule="atLeast"/>
            <w:jc w:val="center"/>
            <w:rPr>
              <w:i/>
              <w:sz w:val="18"/>
            </w:rPr>
          </w:pPr>
          <w:r w:rsidRPr="006E3A95">
            <w:rPr>
              <w:i/>
              <w:sz w:val="18"/>
              <w:lang w:val="en-US"/>
            </w:rPr>
            <w:t>Health Insurance (</w:t>
          </w:r>
          <w:r w:rsidRPr="006E3A95">
            <w:rPr>
              <w:i/>
              <w:sz w:val="18"/>
            </w:rPr>
            <w:t xml:space="preserve">Quality Assurance Activity </w:t>
          </w:r>
          <w:r w:rsidRPr="006E3A95">
            <w:rPr>
              <w:i/>
              <w:iCs/>
              <w:sz w:val="18"/>
            </w:rPr>
            <w:t xml:space="preserve">– </w:t>
          </w:r>
          <w:r w:rsidR="00C23C6F" w:rsidRPr="00C23C6F">
            <w:rPr>
              <w:i/>
              <w:iCs/>
              <w:sz w:val="18"/>
            </w:rPr>
            <w:t xml:space="preserve">Top End Health Service Peer Review Clinical Audits </w:t>
          </w:r>
          <w:r w:rsidR="00C23C6F" w:rsidRPr="00C23C6F">
            <w:rPr>
              <w:i/>
              <w:iCs/>
              <w:sz w:val="18"/>
              <w:lang w:val="en-US"/>
            </w:rPr>
            <w:t>of Surgical Mortalities and Morbidities</w:t>
          </w:r>
          <w:r w:rsidRPr="006E3A95">
            <w:rPr>
              <w:i/>
              <w:sz w:val="18"/>
              <w:lang w:val="en-US"/>
            </w:rPr>
            <w:t>) Declaration 202</w:t>
          </w:r>
          <w:r w:rsidR="006A02A3">
            <w:rPr>
              <w:i/>
              <w:sz w:val="18"/>
              <w:lang w:val="en-US"/>
            </w:rPr>
            <w:t>1</w:t>
          </w:r>
        </w:p>
      </w:tc>
      <w:tc>
        <w:tcPr>
          <w:tcW w:w="365" w:type="pct"/>
        </w:tcPr>
        <w:p w14:paraId="50110B8C" w14:textId="2CCA2675" w:rsidR="00E732C1" w:rsidRDefault="00E732C1" w:rsidP="0089375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5485">
            <w:rPr>
              <w:i/>
              <w:noProof/>
              <w:sz w:val="18"/>
            </w:rPr>
            <w:t>i</w:t>
          </w:r>
          <w:r w:rsidRPr="00ED79B6">
            <w:rPr>
              <w:i/>
              <w:sz w:val="18"/>
            </w:rPr>
            <w:fldChar w:fldCharType="end"/>
          </w:r>
        </w:p>
      </w:tc>
    </w:tr>
    <w:tr w:rsidR="00E732C1" w14:paraId="1E1C690D" w14:textId="77777777" w:rsidTr="0089375A">
      <w:tc>
        <w:tcPr>
          <w:tcW w:w="5000" w:type="pct"/>
          <w:gridSpan w:val="3"/>
        </w:tcPr>
        <w:p w14:paraId="254D35F9" w14:textId="77777777" w:rsidR="00E732C1" w:rsidRDefault="00E732C1" w:rsidP="0089375A">
          <w:pPr>
            <w:rPr>
              <w:sz w:val="18"/>
            </w:rPr>
          </w:pPr>
        </w:p>
      </w:tc>
    </w:tr>
  </w:tbl>
  <w:p w14:paraId="42F6D829" w14:textId="77777777" w:rsidR="00E732C1" w:rsidRPr="00ED79B6" w:rsidRDefault="00E732C1" w:rsidP="0089375A">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A952A" w14:textId="77777777" w:rsidR="00E732C1" w:rsidRPr="002B0EA5" w:rsidRDefault="00E732C1" w:rsidP="0089375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
      <w:gridCol w:w="6202"/>
      <w:gridCol w:w="1593"/>
    </w:tblGrid>
    <w:tr w:rsidR="00E732C1" w14:paraId="66887975" w14:textId="77777777" w:rsidTr="0089375A">
      <w:tc>
        <w:tcPr>
          <w:tcW w:w="365" w:type="pct"/>
        </w:tcPr>
        <w:p w14:paraId="34291F6F" w14:textId="1757608B" w:rsidR="00E732C1" w:rsidRDefault="00E732C1" w:rsidP="0089375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5485">
            <w:rPr>
              <w:i/>
              <w:noProof/>
              <w:sz w:val="18"/>
            </w:rPr>
            <w:t>2</w:t>
          </w:r>
          <w:r w:rsidRPr="00ED79B6">
            <w:rPr>
              <w:i/>
              <w:sz w:val="18"/>
            </w:rPr>
            <w:fldChar w:fldCharType="end"/>
          </w:r>
        </w:p>
      </w:tc>
      <w:tc>
        <w:tcPr>
          <w:tcW w:w="3688" w:type="pct"/>
        </w:tcPr>
        <w:p w14:paraId="28A7C17D" w14:textId="6120335C" w:rsidR="00E732C1" w:rsidRPr="001A3958" w:rsidRDefault="006E3A95" w:rsidP="0093646D">
          <w:pPr>
            <w:pStyle w:val="Footer"/>
            <w:jc w:val="center"/>
            <w:rPr>
              <w:i/>
              <w:sz w:val="18"/>
              <w:szCs w:val="18"/>
            </w:rPr>
          </w:pPr>
          <w:r w:rsidRPr="006E3A95">
            <w:rPr>
              <w:i/>
              <w:sz w:val="18"/>
              <w:szCs w:val="18"/>
              <w:lang w:val="en-US"/>
            </w:rPr>
            <w:t>Health Insurance (</w:t>
          </w:r>
          <w:r w:rsidRPr="006E3A95">
            <w:rPr>
              <w:i/>
              <w:sz w:val="18"/>
              <w:szCs w:val="18"/>
            </w:rPr>
            <w:t xml:space="preserve">Quality Assurance Activity </w:t>
          </w:r>
          <w:r w:rsidRPr="006E3A95">
            <w:rPr>
              <w:i/>
              <w:iCs/>
              <w:sz w:val="18"/>
              <w:szCs w:val="18"/>
            </w:rPr>
            <w:t xml:space="preserve">– Top End Health Service Peer Review Clinical Audits </w:t>
          </w:r>
          <w:r w:rsidRPr="006E3A95">
            <w:rPr>
              <w:i/>
              <w:sz w:val="18"/>
              <w:szCs w:val="18"/>
              <w:lang w:val="en-US"/>
            </w:rPr>
            <w:t>of Surgical Mortalities a</w:t>
          </w:r>
          <w:r w:rsidR="006A02A3">
            <w:rPr>
              <w:i/>
              <w:sz w:val="18"/>
              <w:szCs w:val="18"/>
              <w:lang w:val="en-US"/>
            </w:rPr>
            <w:t>nd Morbidities) Declaration 2021</w:t>
          </w:r>
        </w:p>
      </w:tc>
      <w:tc>
        <w:tcPr>
          <w:tcW w:w="947" w:type="pct"/>
        </w:tcPr>
        <w:p w14:paraId="46B69BEC" w14:textId="77777777" w:rsidR="00E732C1" w:rsidRDefault="00E732C1" w:rsidP="0089375A">
          <w:pPr>
            <w:spacing w:line="0" w:lineRule="atLeast"/>
            <w:jc w:val="right"/>
            <w:rPr>
              <w:sz w:val="18"/>
            </w:rPr>
          </w:pPr>
        </w:p>
      </w:tc>
    </w:tr>
    <w:tr w:rsidR="00E732C1" w14:paraId="06EB5A6E" w14:textId="77777777" w:rsidTr="0089375A">
      <w:tc>
        <w:tcPr>
          <w:tcW w:w="5000" w:type="pct"/>
          <w:gridSpan w:val="3"/>
        </w:tcPr>
        <w:p w14:paraId="1CA87DB5" w14:textId="77777777" w:rsidR="00E732C1" w:rsidRDefault="00E732C1" w:rsidP="0089375A">
          <w:pPr>
            <w:jc w:val="right"/>
            <w:rPr>
              <w:sz w:val="18"/>
            </w:rPr>
          </w:pPr>
        </w:p>
      </w:tc>
    </w:tr>
  </w:tbl>
  <w:p w14:paraId="0DF8E0FE" w14:textId="77777777" w:rsidR="00E732C1" w:rsidRPr="00ED79B6" w:rsidRDefault="00E732C1" w:rsidP="0089375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6C277" w14:textId="77777777" w:rsidR="00E732C1" w:rsidRPr="002B0EA5" w:rsidRDefault="00E732C1" w:rsidP="0089375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6202"/>
      <w:gridCol w:w="614"/>
    </w:tblGrid>
    <w:tr w:rsidR="00E732C1" w14:paraId="3CFF8B42" w14:textId="77777777" w:rsidTr="0089375A">
      <w:tc>
        <w:tcPr>
          <w:tcW w:w="947" w:type="pct"/>
        </w:tcPr>
        <w:p w14:paraId="07AF4193" w14:textId="77777777" w:rsidR="00E732C1" w:rsidRDefault="00E732C1" w:rsidP="0089375A">
          <w:pPr>
            <w:spacing w:line="0" w:lineRule="atLeast"/>
            <w:rPr>
              <w:sz w:val="18"/>
            </w:rPr>
          </w:pPr>
        </w:p>
      </w:tc>
      <w:tc>
        <w:tcPr>
          <w:tcW w:w="3688" w:type="pct"/>
        </w:tcPr>
        <w:p w14:paraId="69735EEB" w14:textId="19D45B3C" w:rsidR="00E732C1" w:rsidRPr="001A3958" w:rsidRDefault="006E3A95" w:rsidP="00EF6407">
          <w:pPr>
            <w:pStyle w:val="Footer"/>
            <w:jc w:val="center"/>
            <w:rPr>
              <w:i/>
              <w:sz w:val="18"/>
              <w:szCs w:val="18"/>
            </w:rPr>
          </w:pPr>
          <w:r w:rsidRPr="006E3A95">
            <w:rPr>
              <w:i/>
              <w:sz w:val="18"/>
              <w:lang w:val="en-US"/>
            </w:rPr>
            <w:t>Health Insurance (</w:t>
          </w:r>
          <w:r w:rsidRPr="006E3A95">
            <w:rPr>
              <w:i/>
              <w:sz w:val="18"/>
            </w:rPr>
            <w:t xml:space="preserve">Quality Assurance Activity </w:t>
          </w:r>
          <w:r w:rsidRPr="006E3A95">
            <w:rPr>
              <w:i/>
              <w:iCs/>
              <w:sz w:val="18"/>
            </w:rPr>
            <w:t xml:space="preserve">– Top End Health Service Peer Review Clinical Audits </w:t>
          </w:r>
          <w:r w:rsidRPr="006E3A95">
            <w:rPr>
              <w:i/>
              <w:sz w:val="18"/>
              <w:lang w:val="en-US"/>
            </w:rPr>
            <w:t>of Surgical Mortalities a</w:t>
          </w:r>
          <w:r w:rsidR="006A02A3">
            <w:rPr>
              <w:i/>
              <w:sz w:val="18"/>
              <w:lang w:val="en-US"/>
            </w:rPr>
            <w:t>nd Morbidities) Declaration 2021</w:t>
          </w:r>
          <w:r w:rsidRPr="006E3A95">
            <w:rPr>
              <w:i/>
              <w:sz w:val="18"/>
              <w:lang w:val="en-US"/>
            </w:rPr>
            <w:t xml:space="preserve"> </w:t>
          </w:r>
          <w:r w:rsidR="001A3958" w:rsidRPr="001A3958">
            <w:rPr>
              <w:i/>
              <w:sz w:val="18"/>
              <w:szCs w:val="18"/>
            </w:rPr>
            <w:t xml:space="preserve"> </w:t>
          </w:r>
        </w:p>
      </w:tc>
      <w:tc>
        <w:tcPr>
          <w:tcW w:w="365" w:type="pct"/>
        </w:tcPr>
        <w:p w14:paraId="0A0D5842" w14:textId="75AAB98B" w:rsidR="00E732C1" w:rsidRDefault="00E732C1" w:rsidP="0089375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5485">
            <w:rPr>
              <w:i/>
              <w:noProof/>
              <w:sz w:val="18"/>
            </w:rPr>
            <w:t>1</w:t>
          </w:r>
          <w:r w:rsidRPr="00ED79B6">
            <w:rPr>
              <w:i/>
              <w:sz w:val="18"/>
            </w:rPr>
            <w:fldChar w:fldCharType="end"/>
          </w:r>
        </w:p>
      </w:tc>
    </w:tr>
    <w:tr w:rsidR="00E732C1" w14:paraId="1389A914" w14:textId="77777777" w:rsidTr="0089375A">
      <w:tc>
        <w:tcPr>
          <w:tcW w:w="5000" w:type="pct"/>
          <w:gridSpan w:val="3"/>
        </w:tcPr>
        <w:p w14:paraId="328E2E0E" w14:textId="77777777" w:rsidR="00E732C1" w:rsidRDefault="00E732C1" w:rsidP="0089375A">
          <w:pPr>
            <w:rPr>
              <w:sz w:val="18"/>
            </w:rPr>
          </w:pPr>
        </w:p>
      </w:tc>
    </w:tr>
  </w:tbl>
  <w:p w14:paraId="23281D83" w14:textId="77777777" w:rsidR="00E732C1" w:rsidRPr="00ED79B6" w:rsidRDefault="00E732C1" w:rsidP="0089375A">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681D2" w14:textId="77777777" w:rsidR="00D33024" w:rsidRDefault="00D33024" w:rsidP="00715914">
      <w:pPr>
        <w:spacing w:line="240" w:lineRule="auto"/>
      </w:pPr>
      <w:r>
        <w:separator/>
      </w:r>
    </w:p>
  </w:footnote>
  <w:footnote w:type="continuationSeparator" w:id="0">
    <w:p w14:paraId="13A4FAD1" w14:textId="77777777" w:rsidR="00D33024" w:rsidRDefault="00D33024"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2FEA6" w14:textId="77777777" w:rsidR="00E732C1" w:rsidRPr="005F1388" w:rsidRDefault="00E732C1"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6869C" w14:textId="77777777" w:rsidR="00E732C1" w:rsidRPr="005F1388" w:rsidRDefault="00E732C1"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14E09" w14:textId="77777777" w:rsidR="00E732C1" w:rsidRPr="00ED79B6" w:rsidRDefault="00E732C1" w:rsidP="0089375A">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CC5BD" w14:textId="77777777" w:rsidR="00E732C1" w:rsidRPr="00ED79B6" w:rsidRDefault="00E732C1" w:rsidP="0089375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14E01" w14:textId="77777777" w:rsidR="00E732C1" w:rsidRPr="00ED79B6" w:rsidRDefault="00E732C1"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3432B" w14:textId="77777777" w:rsidR="00E732C1" w:rsidRDefault="00E732C1" w:rsidP="00715914">
    <w:pPr>
      <w:rPr>
        <w:sz w:val="20"/>
      </w:rPr>
    </w:pPr>
  </w:p>
  <w:p w14:paraId="15D4BE09" w14:textId="77777777" w:rsidR="00E732C1" w:rsidRDefault="00E732C1" w:rsidP="00715914">
    <w:pPr>
      <w:rPr>
        <w:sz w:val="20"/>
      </w:rPr>
    </w:pPr>
  </w:p>
  <w:p w14:paraId="1D8B2AF3" w14:textId="77777777" w:rsidR="00E732C1" w:rsidRPr="007A1328" w:rsidRDefault="00E732C1" w:rsidP="00715914">
    <w:pPr>
      <w:rPr>
        <w:sz w:val="20"/>
      </w:rPr>
    </w:pPr>
  </w:p>
  <w:p w14:paraId="7EFB7148" w14:textId="77777777" w:rsidR="00E732C1" w:rsidRPr="007A1328" w:rsidRDefault="00E732C1" w:rsidP="00715914">
    <w:pPr>
      <w:rPr>
        <w:b/>
        <w:sz w:val="24"/>
      </w:rPr>
    </w:pPr>
  </w:p>
  <w:p w14:paraId="0F35E287" w14:textId="77777777" w:rsidR="00E732C1" w:rsidRPr="007A1328" w:rsidRDefault="00E732C1"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931D1" w14:textId="77777777" w:rsidR="00E732C1" w:rsidRPr="007A1328" w:rsidRDefault="00E732C1" w:rsidP="00715914">
    <w:pPr>
      <w:jc w:val="right"/>
      <w:rPr>
        <w:sz w:val="20"/>
      </w:rPr>
    </w:pPr>
  </w:p>
  <w:p w14:paraId="6EB8FE9B" w14:textId="77777777" w:rsidR="00E732C1" w:rsidRPr="007A1328" w:rsidRDefault="00E732C1" w:rsidP="00715914">
    <w:pPr>
      <w:jc w:val="right"/>
      <w:rPr>
        <w:sz w:val="20"/>
      </w:rPr>
    </w:pPr>
  </w:p>
  <w:p w14:paraId="4A0C7ECA" w14:textId="77777777" w:rsidR="00E732C1" w:rsidRPr="007A1328" w:rsidRDefault="00E732C1" w:rsidP="00715914">
    <w:pPr>
      <w:jc w:val="right"/>
      <w:rPr>
        <w:sz w:val="20"/>
      </w:rPr>
    </w:pPr>
  </w:p>
  <w:p w14:paraId="5C68D63C" w14:textId="77777777" w:rsidR="00E732C1" w:rsidRPr="007A1328" w:rsidRDefault="00E732C1" w:rsidP="00715914">
    <w:pPr>
      <w:jc w:val="right"/>
      <w:rPr>
        <w:b/>
        <w:sz w:val="24"/>
      </w:rPr>
    </w:pPr>
  </w:p>
  <w:p w14:paraId="3CEFA73F" w14:textId="77777777" w:rsidR="00E732C1" w:rsidRPr="007A1328" w:rsidRDefault="00E732C1"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CE2A93"/>
    <w:multiLevelType w:val="hybridMultilevel"/>
    <w:tmpl w:val="29F610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3A4B42"/>
    <w:multiLevelType w:val="hybridMultilevel"/>
    <w:tmpl w:val="B4080B08"/>
    <w:lvl w:ilvl="0" w:tplc="5DD073AA">
      <w:start w:val="1"/>
      <w:numFmt w:val="lowerRoman"/>
      <w:lvlText w:val="(%1)"/>
      <w:lvlJc w:val="right"/>
      <w:pPr>
        <w:ind w:left="720" w:hanging="360"/>
      </w:pPr>
      <w:rPr>
        <w:rFonts w:ascii="Times New Roman" w:hAnsi="Times New Roman" w:cs="Times New Roman" w:hint="default"/>
      </w:rPr>
    </w:lvl>
    <w:lvl w:ilvl="1" w:tplc="0C090019">
      <w:start w:val="1"/>
      <w:numFmt w:val="lowerLetter"/>
      <w:lvlText w:val="%2."/>
      <w:lvlJc w:val="left"/>
      <w:pPr>
        <w:ind w:left="1440" w:hanging="360"/>
      </w:pPr>
    </w:lvl>
    <w:lvl w:ilvl="2" w:tplc="F0D6003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39A646F"/>
    <w:multiLevelType w:val="hybridMultilevel"/>
    <w:tmpl w:val="5F8C1C82"/>
    <w:lvl w:ilvl="0" w:tplc="F55C674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008441D"/>
    <w:multiLevelType w:val="hybridMultilevel"/>
    <w:tmpl w:val="AA368214"/>
    <w:lvl w:ilvl="0" w:tplc="F55C6740">
      <w:start w:val="1"/>
      <w:numFmt w:val="lowerLetter"/>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7" w15:restartNumberingAfterBreak="0">
    <w:nsid w:val="4410693E"/>
    <w:multiLevelType w:val="hybridMultilevel"/>
    <w:tmpl w:val="17D21E64"/>
    <w:lvl w:ilvl="0" w:tplc="5DD073AA">
      <w:start w:val="1"/>
      <w:numFmt w:val="lowerRoman"/>
      <w:lvlText w:val="(%1)"/>
      <w:lvlJc w:val="right"/>
      <w:pPr>
        <w:ind w:left="720" w:hanging="360"/>
      </w:pPr>
      <w:rPr>
        <w:rFonts w:ascii="Times New Roman" w:hAnsi="Times New Roman"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F0953CD"/>
    <w:multiLevelType w:val="hybridMultilevel"/>
    <w:tmpl w:val="19B8FD58"/>
    <w:lvl w:ilvl="0" w:tplc="F55C6740">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F0D60034">
      <w:start w:val="1"/>
      <w:numFmt w:val="lowerRoman"/>
      <w:lvlText w:val="(%3)"/>
      <w:lvlJc w:val="right"/>
      <w:pPr>
        <w:ind w:left="2880" w:hanging="18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5F644E8B"/>
    <w:multiLevelType w:val="hybridMultilevel"/>
    <w:tmpl w:val="E2687270"/>
    <w:lvl w:ilvl="0" w:tplc="A0B6D4F4">
      <w:start w:val="3"/>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DD10C06"/>
    <w:multiLevelType w:val="hybridMultilevel"/>
    <w:tmpl w:val="09229AEE"/>
    <w:lvl w:ilvl="0" w:tplc="F55C67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2"/>
  </w:num>
  <w:num w:numId="14">
    <w:abstractNumId w:val="16"/>
  </w:num>
  <w:num w:numId="15">
    <w:abstractNumId w:val="19"/>
  </w:num>
  <w:num w:numId="16">
    <w:abstractNumId w:val="18"/>
  </w:num>
  <w:num w:numId="17">
    <w:abstractNumId w:val="20"/>
  </w:num>
  <w:num w:numId="18">
    <w:abstractNumId w:val="11"/>
  </w:num>
  <w:num w:numId="19">
    <w:abstractNumId w:val="17"/>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lename" w:val="EUC\EUC\76834371\1"/>
  </w:docVars>
  <w:rsids>
    <w:rsidRoot w:val="0042231F"/>
    <w:rsid w:val="00004174"/>
    <w:rsid w:val="00004470"/>
    <w:rsid w:val="000136AF"/>
    <w:rsid w:val="00023145"/>
    <w:rsid w:val="000258B1"/>
    <w:rsid w:val="000325A6"/>
    <w:rsid w:val="00040A89"/>
    <w:rsid w:val="000437C1"/>
    <w:rsid w:val="0004455A"/>
    <w:rsid w:val="0004781A"/>
    <w:rsid w:val="00052899"/>
    <w:rsid w:val="0005365D"/>
    <w:rsid w:val="000614BF"/>
    <w:rsid w:val="0006709C"/>
    <w:rsid w:val="00074376"/>
    <w:rsid w:val="00075D0A"/>
    <w:rsid w:val="000978F5"/>
    <w:rsid w:val="000A090B"/>
    <w:rsid w:val="000B0EC0"/>
    <w:rsid w:val="000B1306"/>
    <w:rsid w:val="000B15CD"/>
    <w:rsid w:val="000B35EB"/>
    <w:rsid w:val="000C0867"/>
    <w:rsid w:val="000D05EF"/>
    <w:rsid w:val="000E2261"/>
    <w:rsid w:val="000E46C3"/>
    <w:rsid w:val="000E78B7"/>
    <w:rsid w:val="000F21C1"/>
    <w:rsid w:val="0010745C"/>
    <w:rsid w:val="00132CEB"/>
    <w:rsid w:val="001339B0"/>
    <w:rsid w:val="00142B62"/>
    <w:rsid w:val="001441B7"/>
    <w:rsid w:val="001516CB"/>
    <w:rsid w:val="00152336"/>
    <w:rsid w:val="00157B8B"/>
    <w:rsid w:val="001641B9"/>
    <w:rsid w:val="00166C2F"/>
    <w:rsid w:val="00171060"/>
    <w:rsid w:val="00172F29"/>
    <w:rsid w:val="001809D7"/>
    <w:rsid w:val="001939E1"/>
    <w:rsid w:val="00194C3E"/>
    <w:rsid w:val="00195382"/>
    <w:rsid w:val="001A3958"/>
    <w:rsid w:val="001A791B"/>
    <w:rsid w:val="001B2CB6"/>
    <w:rsid w:val="001C61C5"/>
    <w:rsid w:val="001C69C4"/>
    <w:rsid w:val="001D37EF"/>
    <w:rsid w:val="001D7036"/>
    <w:rsid w:val="001E3590"/>
    <w:rsid w:val="001E7407"/>
    <w:rsid w:val="001E7988"/>
    <w:rsid w:val="001F5D5E"/>
    <w:rsid w:val="001F6219"/>
    <w:rsid w:val="001F6CD4"/>
    <w:rsid w:val="0020267D"/>
    <w:rsid w:val="00202F6F"/>
    <w:rsid w:val="00206C4D"/>
    <w:rsid w:val="00213C5A"/>
    <w:rsid w:val="00215AF1"/>
    <w:rsid w:val="00220B16"/>
    <w:rsid w:val="002321E8"/>
    <w:rsid w:val="00232984"/>
    <w:rsid w:val="0023587B"/>
    <w:rsid w:val="0024010F"/>
    <w:rsid w:val="00240749"/>
    <w:rsid w:val="00243018"/>
    <w:rsid w:val="002564A4"/>
    <w:rsid w:val="002653F1"/>
    <w:rsid w:val="0026736C"/>
    <w:rsid w:val="00281308"/>
    <w:rsid w:val="00284719"/>
    <w:rsid w:val="00297ECB"/>
    <w:rsid w:val="002A50FC"/>
    <w:rsid w:val="002A7BCF"/>
    <w:rsid w:val="002C3FD1"/>
    <w:rsid w:val="002D043A"/>
    <w:rsid w:val="002D266B"/>
    <w:rsid w:val="002D6224"/>
    <w:rsid w:val="002F05BE"/>
    <w:rsid w:val="002F5A40"/>
    <w:rsid w:val="00304F8B"/>
    <w:rsid w:val="00335BC6"/>
    <w:rsid w:val="003415D3"/>
    <w:rsid w:val="00341C15"/>
    <w:rsid w:val="00344338"/>
    <w:rsid w:val="00344701"/>
    <w:rsid w:val="0035000E"/>
    <w:rsid w:val="00352B0F"/>
    <w:rsid w:val="00360459"/>
    <w:rsid w:val="003767E2"/>
    <w:rsid w:val="00377E51"/>
    <w:rsid w:val="0038049F"/>
    <w:rsid w:val="003855AC"/>
    <w:rsid w:val="0038792C"/>
    <w:rsid w:val="00392FF2"/>
    <w:rsid w:val="003A160B"/>
    <w:rsid w:val="003B0F11"/>
    <w:rsid w:val="003B15D3"/>
    <w:rsid w:val="003C6231"/>
    <w:rsid w:val="003C7535"/>
    <w:rsid w:val="003D0BFE"/>
    <w:rsid w:val="003D5700"/>
    <w:rsid w:val="003E341B"/>
    <w:rsid w:val="003E4D00"/>
    <w:rsid w:val="0040182C"/>
    <w:rsid w:val="004116CD"/>
    <w:rsid w:val="00417EB9"/>
    <w:rsid w:val="0042180C"/>
    <w:rsid w:val="0042231F"/>
    <w:rsid w:val="004241BA"/>
    <w:rsid w:val="00424CA9"/>
    <w:rsid w:val="004276DF"/>
    <w:rsid w:val="0043058B"/>
    <w:rsid w:val="004318FA"/>
    <w:rsid w:val="00431E9B"/>
    <w:rsid w:val="004379E3"/>
    <w:rsid w:val="0044015E"/>
    <w:rsid w:val="0044291A"/>
    <w:rsid w:val="00467661"/>
    <w:rsid w:val="0047170A"/>
    <w:rsid w:val="00472DBE"/>
    <w:rsid w:val="00474A19"/>
    <w:rsid w:val="00477830"/>
    <w:rsid w:val="00487764"/>
    <w:rsid w:val="00496F97"/>
    <w:rsid w:val="004B6C48"/>
    <w:rsid w:val="004C300E"/>
    <w:rsid w:val="004C4E59"/>
    <w:rsid w:val="004C6809"/>
    <w:rsid w:val="004D4223"/>
    <w:rsid w:val="004E063A"/>
    <w:rsid w:val="004E1307"/>
    <w:rsid w:val="004E7BEC"/>
    <w:rsid w:val="004F59A3"/>
    <w:rsid w:val="00505D3D"/>
    <w:rsid w:val="00506AF6"/>
    <w:rsid w:val="00516B8D"/>
    <w:rsid w:val="005262C3"/>
    <w:rsid w:val="005303C8"/>
    <w:rsid w:val="005313C3"/>
    <w:rsid w:val="005329E7"/>
    <w:rsid w:val="00537FBC"/>
    <w:rsid w:val="00544099"/>
    <w:rsid w:val="00552319"/>
    <w:rsid w:val="00554826"/>
    <w:rsid w:val="005548DE"/>
    <w:rsid w:val="00562877"/>
    <w:rsid w:val="00571192"/>
    <w:rsid w:val="00583103"/>
    <w:rsid w:val="00584811"/>
    <w:rsid w:val="00585784"/>
    <w:rsid w:val="00593AA6"/>
    <w:rsid w:val="00594161"/>
    <w:rsid w:val="00594749"/>
    <w:rsid w:val="005A65D5"/>
    <w:rsid w:val="005B4067"/>
    <w:rsid w:val="005C3F41"/>
    <w:rsid w:val="005D1D92"/>
    <w:rsid w:val="005D2D09"/>
    <w:rsid w:val="00600219"/>
    <w:rsid w:val="00604F2A"/>
    <w:rsid w:val="00605F19"/>
    <w:rsid w:val="00607FA2"/>
    <w:rsid w:val="00620076"/>
    <w:rsid w:val="0062475E"/>
    <w:rsid w:val="00627E0A"/>
    <w:rsid w:val="0063069C"/>
    <w:rsid w:val="0065488B"/>
    <w:rsid w:val="0066791A"/>
    <w:rsid w:val="00670EA1"/>
    <w:rsid w:val="00677CC2"/>
    <w:rsid w:val="00677D81"/>
    <w:rsid w:val="0068744B"/>
    <w:rsid w:val="006905DE"/>
    <w:rsid w:val="0069207B"/>
    <w:rsid w:val="006A02A3"/>
    <w:rsid w:val="006A154F"/>
    <w:rsid w:val="006A437B"/>
    <w:rsid w:val="006B5789"/>
    <w:rsid w:val="006C30C5"/>
    <w:rsid w:val="006C7F8C"/>
    <w:rsid w:val="006D29B6"/>
    <w:rsid w:val="006E2E1C"/>
    <w:rsid w:val="006E3A95"/>
    <w:rsid w:val="006E5A87"/>
    <w:rsid w:val="006E6246"/>
    <w:rsid w:val="006E69C2"/>
    <w:rsid w:val="006E6DCC"/>
    <w:rsid w:val="006F318F"/>
    <w:rsid w:val="006F3743"/>
    <w:rsid w:val="0070017E"/>
    <w:rsid w:val="00700B2C"/>
    <w:rsid w:val="007050A2"/>
    <w:rsid w:val="00713084"/>
    <w:rsid w:val="00714F20"/>
    <w:rsid w:val="0071590F"/>
    <w:rsid w:val="00715914"/>
    <w:rsid w:val="0072147A"/>
    <w:rsid w:val="00723791"/>
    <w:rsid w:val="00731E00"/>
    <w:rsid w:val="00734843"/>
    <w:rsid w:val="0073651B"/>
    <w:rsid w:val="00743A35"/>
    <w:rsid w:val="007440B7"/>
    <w:rsid w:val="007500C8"/>
    <w:rsid w:val="00756272"/>
    <w:rsid w:val="007611BE"/>
    <w:rsid w:val="00762D38"/>
    <w:rsid w:val="007715C9"/>
    <w:rsid w:val="00771613"/>
    <w:rsid w:val="00773193"/>
    <w:rsid w:val="00774EDD"/>
    <w:rsid w:val="007757EC"/>
    <w:rsid w:val="00783E89"/>
    <w:rsid w:val="00790D02"/>
    <w:rsid w:val="00793915"/>
    <w:rsid w:val="007A52E7"/>
    <w:rsid w:val="007A6EF9"/>
    <w:rsid w:val="007C2253"/>
    <w:rsid w:val="007D73F8"/>
    <w:rsid w:val="007D7424"/>
    <w:rsid w:val="007D7911"/>
    <w:rsid w:val="007E163D"/>
    <w:rsid w:val="007E667A"/>
    <w:rsid w:val="007F28C9"/>
    <w:rsid w:val="007F51B2"/>
    <w:rsid w:val="0080324A"/>
    <w:rsid w:val="008040DD"/>
    <w:rsid w:val="008117E9"/>
    <w:rsid w:val="0081571F"/>
    <w:rsid w:val="00824498"/>
    <w:rsid w:val="00826A45"/>
    <w:rsid w:val="00826BD1"/>
    <w:rsid w:val="00831E08"/>
    <w:rsid w:val="008369EB"/>
    <w:rsid w:val="00847C75"/>
    <w:rsid w:val="00854D0B"/>
    <w:rsid w:val="00856A31"/>
    <w:rsid w:val="00860B4E"/>
    <w:rsid w:val="00867B37"/>
    <w:rsid w:val="008754D0"/>
    <w:rsid w:val="00875B2A"/>
    <w:rsid w:val="00875D13"/>
    <w:rsid w:val="008855C9"/>
    <w:rsid w:val="00886456"/>
    <w:rsid w:val="0089375A"/>
    <w:rsid w:val="00896176"/>
    <w:rsid w:val="008A0888"/>
    <w:rsid w:val="008A46E1"/>
    <w:rsid w:val="008A4F43"/>
    <w:rsid w:val="008B2706"/>
    <w:rsid w:val="008B7802"/>
    <w:rsid w:val="008C2EAC"/>
    <w:rsid w:val="008D0EE0"/>
    <w:rsid w:val="008E0027"/>
    <w:rsid w:val="008E44F2"/>
    <w:rsid w:val="008E6067"/>
    <w:rsid w:val="008F54E7"/>
    <w:rsid w:val="00903422"/>
    <w:rsid w:val="009138D2"/>
    <w:rsid w:val="0092265A"/>
    <w:rsid w:val="009244C8"/>
    <w:rsid w:val="009254C3"/>
    <w:rsid w:val="00926216"/>
    <w:rsid w:val="00932377"/>
    <w:rsid w:val="0093646D"/>
    <w:rsid w:val="00941236"/>
    <w:rsid w:val="00943FD5"/>
    <w:rsid w:val="00947D5A"/>
    <w:rsid w:val="009532A5"/>
    <w:rsid w:val="009545BD"/>
    <w:rsid w:val="00954F93"/>
    <w:rsid w:val="00964CF0"/>
    <w:rsid w:val="00970555"/>
    <w:rsid w:val="00972958"/>
    <w:rsid w:val="00977806"/>
    <w:rsid w:val="00982242"/>
    <w:rsid w:val="009868E9"/>
    <w:rsid w:val="00987A96"/>
    <w:rsid w:val="009900A3"/>
    <w:rsid w:val="00997DB4"/>
    <w:rsid w:val="009A0E87"/>
    <w:rsid w:val="009A7240"/>
    <w:rsid w:val="009C2794"/>
    <w:rsid w:val="009C3413"/>
    <w:rsid w:val="009E0DB4"/>
    <w:rsid w:val="009F69EF"/>
    <w:rsid w:val="00A0441E"/>
    <w:rsid w:val="00A12128"/>
    <w:rsid w:val="00A22C98"/>
    <w:rsid w:val="00A231E2"/>
    <w:rsid w:val="00A369E3"/>
    <w:rsid w:val="00A50601"/>
    <w:rsid w:val="00A56A72"/>
    <w:rsid w:val="00A57600"/>
    <w:rsid w:val="00A64912"/>
    <w:rsid w:val="00A70A74"/>
    <w:rsid w:val="00A75FE9"/>
    <w:rsid w:val="00AD097D"/>
    <w:rsid w:val="00AD53CC"/>
    <w:rsid w:val="00AD5641"/>
    <w:rsid w:val="00AD74D8"/>
    <w:rsid w:val="00AF06CF"/>
    <w:rsid w:val="00B07CDB"/>
    <w:rsid w:val="00B140BA"/>
    <w:rsid w:val="00B16A31"/>
    <w:rsid w:val="00B17DFD"/>
    <w:rsid w:val="00B25306"/>
    <w:rsid w:val="00B27831"/>
    <w:rsid w:val="00B308FE"/>
    <w:rsid w:val="00B33709"/>
    <w:rsid w:val="00B33B3C"/>
    <w:rsid w:val="00B36392"/>
    <w:rsid w:val="00B418CB"/>
    <w:rsid w:val="00B47444"/>
    <w:rsid w:val="00B50ADC"/>
    <w:rsid w:val="00B566B1"/>
    <w:rsid w:val="00B63834"/>
    <w:rsid w:val="00B641C3"/>
    <w:rsid w:val="00B64235"/>
    <w:rsid w:val="00B76439"/>
    <w:rsid w:val="00B80199"/>
    <w:rsid w:val="00B83204"/>
    <w:rsid w:val="00B856E7"/>
    <w:rsid w:val="00BA220B"/>
    <w:rsid w:val="00BA3A57"/>
    <w:rsid w:val="00BB1533"/>
    <w:rsid w:val="00BB4CAE"/>
    <w:rsid w:val="00BB4E1A"/>
    <w:rsid w:val="00BC015E"/>
    <w:rsid w:val="00BC76AC"/>
    <w:rsid w:val="00BD0ECB"/>
    <w:rsid w:val="00BE2155"/>
    <w:rsid w:val="00BE26A9"/>
    <w:rsid w:val="00BE719A"/>
    <w:rsid w:val="00BE720A"/>
    <w:rsid w:val="00BF0D73"/>
    <w:rsid w:val="00BF2465"/>
    <w:rsid w:val="00C16619"/>
    <w:rsid w:val="00C23C6F"/>
    <w:rsid w:val="00C25E7F"/>
    <w:rsid w:val="00C2746F"/>
    <w:rsid w:val="00C323D6"/>
    <w:rsid w:val="00C324A0"/>
    <w:rsid w:val="00C42BF8"/>
    <w:rsid w:val="00C50043"/>
    <w:rsid w:val="00C633B0"/>
    <w:rsid w:val="00C64D8A"/>
    <w:rsid w:val="00C72EF0"/>
    <w:rsid w:val="00C7573B"/>
    <w:rsid w:val="00C86390"/>
    <w:rsid w:val="00C97A54"/>
    <w:rsid w:val="00CA5B23"/>
    <w:rsid w:val="00CB036F"/>
    <w:rsid w:val="00CB602E"/>
    <w:rsid w:val="00CB7E90"/>
    <w:rsid w:val="00CD7CC8"/>
    <w:rsid w:val="00CE051D"/>
    <w:rsid w:val="00CE1335"/>
    <w:rsid w:val="00CE493D"/>
    <w:rsid w:val="00CF07FA"/>
    <w:rsid w:val="00CF0BB2"/>
    <w:rsid w:val="00CF3EE8"/>
    <w:rsid w:val="00D12723"/>
    <w:rsid w:val="00D13441"/>
    <w:rsid w:val="00D150E7"/>
    <w:rsid w:val="00D33024"/>
    <w:rsid w:val="00D52DC2"/>
    <w:rsid w:val="00D53BCC"/>
    <w:rsid w:val="00D54C9E"/>
    <w:rsid w:val="00D6537E"/>
    <w:rsid w:val="00D70DFB"/>
    <w:rsid w:val="00D751DB"/>
    <w:rsid w:val="00D75980"/>
    <w:rsid w:val="00D766DF"/>
    <w:rsid w:val="00D8206C"/>
    <w:rsid w:val="00D906AE"/>
    <w:rsid w:val="00D91F10"/>
    <w:rsid w:val="00D942C6"/>
    <w:rsid w:val="00DA186E"/>
    <w:rsid w:val="00DA4116"/>
    <w:rsid w:val="00DB251C"/>
    <w:rsid w:val="00DB4630"/>
    <w:rsid w:val="00DC4F88"/>
    <w:rsid w:val="00DE107C"/>
    <w:rsid w:val="00DE7E55"/>
    <w:rsid w:val="00DF12D4"/>
    <w:rsid w:val="00DF2388"/>
    <w:rsid w:val="00E035CE"/>
    <w:rsid w:val="00E05704"/>
    <w:rsid w:val="00E20BD4"/>
    <w:rsid w:val="00E338EF"/>
    <w:rsid w:val="00E544BB"/>
    <w:rsid w:val="00E62143"/>
    <w:rsid w:val="00E732C1"/>
    <w:rsid w:val="00E74DC7"/>
    <w:rsid w:val="00E8075A"/>
    <w:rsid w:val="00E910AF"/>
    <w:rsid w:val="00E940D8"/>
    <w:rsid w:val="00E94D5E"/>
    <w:rsid w:val="00EA7100"/>
    <w:rsid w:val="00EA7F9F"/>
    <w:rsid w:val="00EB1274"/>
    <w:rsid w:val="00EB5485"/>
    <w:rsid w:val="00EB5B6B"/>
    <w:rsid w:val="00EC6EF3"/>
    <w:rsid w:val="00ED2BB6"/>
    <w:rsid w:val="00ED34E1"/>
    <w:rsid w:val="00ED3B8D"/>
    <w:rsid w:val="00EE5E36"/>
    <w:rsid w:val="00EF15A2"/>
    <w:rsid w:val="00EF2E3A"/>
    <w:rsid w:val="00EF6407"/>
    <w:rsid w:val="00F02C7C"/>
    <w:rsid w:val="00F072A7"/>
    <w:rsid w:val="00F078DC"/>
    <w:rsid w:val="00F16957"/>
    <w:rsid w:val="00F206DD"/>
    <w:rsid w:val="00F247DA"/>
    <w:rsid w:val="00F32570"/>
    <w:rsid w:val="00F32BA8"/>
    <w:rsid w:val="00F32EE0"/>
    <w:rsid w:val="00F349F1"/>
    <w:rsid w:val="00F4350D"/>
    <w:rsid w:val="00F479C4"/>
    <w:rsid w:val="00F54C39"/>
    <w:rsid w:val="00F567F7"/>
    <w:rsid w:val="00F6696E"/>
    <w:rsid w:val="00F73BD6"/>
    <w:rsid w:val="00F83989"/>
    <w:rsid w:val="00F85099"/>
    <w:rsid w:val="00F856BE"/>
    <w:rsid w:val="00F9379C"/>
    <w:rsid w:val="00F9632C"/>
    <w:rsid w:val="00FA065D"/>
    <w:rsid w:val="00FA1E52"/>
    <w:rsid w:val="00FB5A08"/>
    <w:rsid w:val="00FC6A80"/>
    <w:rsid w:val="00FD5F77"/>
    <w:rsid w:val="00FD67CC"/>
    <w:rsid w:val="00FE36BA"/>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ABDE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qFormat/>
    <w:rsid w:val="0089375A"/>
    <w:pPr>
      <w:autoSpaceDE w:val="0"/>
      <w:autoSpaceDN w:val="0"/>
      <w:spacing w:before="480" w:line="240" w:lineRule="auto"/>
    </w:pPr>
    <w:rPr>
      <w:rFonts w:ascii="Arial" w:eastAsia="MS Mincho" w:hAnsi="Arial" w:cs="Arial"/>
      <w:b/>
      <w:bCs/>
      <w:sz w:val="40"/>
      <w:szCs w:val="40"/>
    </w:rPr>
  </w:style>
  <w:style w:type="character" w:customStyle="1" w:styleId="TitleChar">
    <w:name w:val="Title Char"/>
    <w:basedOn w:val="DefaultParagraphFont"/>
    <w:link w:val="Title"/>
    <w:rsid w:val="0089375A"/>
    <w:rPr>
      <w:rFonts w:ascii="Arial" w:eastAsia="MS Mincho" w:hAnsi="Arial" w:cs="Arial"/>
      <w:b/>
      <w:bCs/>
      <w:sz w:val="40"/>
      <w:szCs w:val="40"/>
    </w:rPr>
  </w:style>
  <w:style w:type="character" w:styleId="CommentReference">
    <w:name w:val="annotation reference"/>
    <w:basedOn w:val="DefaultParagraphFont"/>
    <w:uiPriority w:val="99"/>
    <w:unhideWhenUsed/>
    <w:rsid w:val="00875B2A"/>
    <w:rPr>
      <w:sz w:val="16"/>
      <w:szCs w:val="16"/>
    </w:rPr>
  </w:style>
  <w:style w:type="paragraph" w:styleId="CommentText">
    <w:name w:val="annotation text"/>
    <w:basedOn w:val="Normal"/>
    <w:link w:val="CommentTextChar"/>
    <w:uiPriority w:val="99"/>
    <w:unhideWhenUsed/>
    <w:rsid w:val="00875B2A"/>
    <w:pPr>
      <w:spacing w:line="240" w:lineRule="auto"/>
    </w:pPr>
    <w:rPr>
      <w:sz w:val="20"/>
    </w:rPr>
  </w:style>
  <w:style w:type="character" w:customStyle="1" w:styleId="CommentTextChar">
    <w:name w:val="Comment Text Char"/>
    <w:basedOn w:val="DefaultParagraphFont"/>
    <w:link w:val="CommentText"/>
    <w:uiPriority w:val="99"/>
    <w:rsid w:val="00875B2A"/>
  </w:style>
  <w:style w:type="paragraph" w:styleId="CommentSubject">
    <w:name w:val="annotation subject"/>
    <w:basedOn w:val="CommentText"/>
    <w:next w:val="CommentText"/>
    <w:link w:val="CommentSubjectChar"/>
    <w:uiPriority w:val="99"/>
    <w:semiHidden/>
    <w:unhideWhenUsed/>
    <w:rsid w:val="00875B2A"/>
    <w:rPr>
      <w:b/>
      <w:bCs/>
    </w:rPr>
  </w:style>
  <w:style w:type="character" w:customStyle="1" w:styleId="CommentSubjectChar">
    <w:name w:val="Comment Subject Char"/>
    <w:basedOn w:val="CommentTextChar"/>
    <w:link w:val="CommentSubject"/>
    <w:uiPriority w:val="99"/>
    <w:semiHidden/>
    <w:rsid w:val="00875B2A"/>
    <w:rPr>
      <w:b/>
      <w:bCs/>
    </w:rPr>
  </w:style>
  <w:style w:type="paragraph" w:styleId="ListParagraph">
    <w:name w:val="List Paragraph"/>
    <w:basedOn w:val="Normal"/>
    <w:uiPriority w:val="34"/>
    <w:qFormat/>
    <w:rsid w:val="00FA065D"/>
    <w:pPr>
      <w:ind w:left="720"/>
      <w:contextualSpacing/>
    </w:pPr>
  </w:style>
  <w:style w:type="paragraph" w:customStyle="1" w:styleId="Default">
    <w:name w:val="Default"/>
    <w:rsid w:val="00D751DB"/>
    <w:pPr>
      <w:autoSpaceDE w:val="0"/>
      <w:autoSpaceDN w:val="0"/>
      <w:adjustRightInd w:val="0"/>
    </w:pPr>
    <w:rPr>
      <w:rFonts w:ascii="Arial" w:eastAsiaTheme="minorEastAsia"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330118">
      <w:bodyDiv w:val="1"/>
      <w:marLeft w:val="0"/>
      <w:marRight w:val="0"/>
      <w:marTop w:val="0"/>
      <w:marBottom w:val="0"/>
      <w:divBdr>
        <w:top w:val="none" w:sz="0" w:space="0" w:color="auto"/>
        <w:left w:val="none" w:sz="0" w:space="0" w:color="auto"/>
        <w:bottom w:val="none" w:sz="0" w:space="0" w:color="auto"/>
        <w:right w:val="none" w:sz="0" w:space="0" w:color="auto"/>
      </w:divBdr>
    </w:div>
    <w:div w:id="1853294761">
      <w:bodyDiv w:val="1"/>
      <w:marLeft w:val="0"/>
      <w:marRight w:val="0"/>
      <w:marTop w:val="0"/>
      <w:marBottom w:val="0"/>
      <w:divBdr>
        <w:top w:val="none" w:sz="0" w:space="0" w:color="auto"/>
        <w:left w:val="none" w:sz="0" w:space="0" w:color="auto"/>
        <w:bottom w:val="none" w:sz="0" w:space="0" w:color="auto"/>
        <w:right w:val="none" w:sz="0" w:space="0" w:color="auto"/>
      </w:divBdr>
    </w:div>
    <w:div w:id="206656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28" Type="http://schemas.microsoft.com/office/2016/09/relationships/commentsIds" Target="commentsIds.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 M A T T ! 7 6 4 1 2 6 1 1 . 2 < / d o c u m e n t i d >  
     < s e n d e r i d > E U C < / s e n d e r i d >  
     < s e n d e r e m a i l > E L L E N . C U R R A N @ S P A R K E . C O M . A U < / s e n d e r e m a i l >  
     < l a s t m o d i f i e d > 2 0 2 0 - 1 0 - 2 9 T 1 2 : 0 3 : 0 0 . 0 0 0 0 0 0 0 + 1 1 : 0 0 < / l a s t m o d i f i e d >  
     < d a t a b a s e > M A T T < / 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65B42-C708-434A-B0C1-C6BDD1329F2C}">
  <ds:schemaRefs>
    <ds:schemaRef ds:uri="http://www.imanage.com/work/xmlschema"/>
  </ds:schemaRefs>
</ds:datastoreItem>
</file>

<file path=customXml/itemProps2.xml><?xml version="1.0" encoding="utf-8"?>
<ds:datastoreItem xmlns:ds="http://schemas.openxmlformats.org/officeDocument/2006/customXml" ds:itemID="{7192FC7A-1302-4A86-A648-E2C6B95F3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2020-12-08T01:51:00Z</dcterms:created>
  <dcterms:modified xsi:type="dcterms:W3CDTF">2021-04-15T06:54:00Z</dcterms:modified>
</cp:coreProperties>
</file>