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B71B" w14:textId="77777777" w:rsidR="00414BC3" w:rsidRPr="00C549FE" w:rsidRDefault="00414BC3" w:rsidP="00A94F2A">
      <w:pPr>
        <w:pStyle w:val="CoverTitle"/>
        <w:spacing w:after="600"/>
        <w:jc w:val="center"/>
      </w:pPr>
      <w:r w:rsidRPr="00C549FE">
        <w:t>Explanatory Statement</w:t>
      </w:r>
    </w:p>
    <w:p w14:paraId="64B6B71C" w14:textId="275A54BC"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w:t>
      </w:r>
      <w:r w:rsidR="00E1280A">
        <w:rPr>
          <w:sz w:val="36"/>
          <w:szCs w:val="36"/>
        </w:rPr>
        <w:t>1</w:t>
      </w:r>
      <w:r w:rsidR="00C61FC9" w:rsidRPr="00C549FE">
        <w:rPr>
          <w:sz w:val="36"/>
          <w:szCs w:val="36"/>
        </w:rPr>
        <w:t>-</w:t>
      </w:r>
      <w:r w:rsidR="008225F9">
        <w:rPr>
          <w:sz w:val="36"/>
          <w:szCs w:val="36"/>
        </w:rPr>
        <w:t>2</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95060D" w:rsidRPr="00C549FE">
        <w:rPr>
          <w:i/>
          <w:sz w:val="36"/>
          <w:szCs w:val="36"/>
        </w:rPr>
        <w:t xml:space="preserve"> </w:t>
      </w:r>
      <w:r w:rsidR="00E1280A">
        <w:rPr>
          <w:i/>
          <w:sz w:val="36"/>
          <w:szCs w:val="36"/>
        </w:rPr>
        <w:t>Disclosure of Accounting Policies and Definition of Accounting Estimates</w:t>
      </w:r>
    </w:p>
    <w:p w14:paraId="64B6B71D" w14:textId="77777777" w:rsidR="006776BD" w:rsidRPr="00C549FE" w:rsidRDefault="006776BD" w:rsidP="006776BD">
      <w:pPr>
        <w:pStyle w:val="CoverSubtitle"/>
        <w:spacing w:after="3120"/>
        <w:rPr>
          <w:sz w:val="32"/>
          <w:szCs w:val="32"/>
        </w:rPr>
      </w:pPr>
    </w:p>
    <w:p w14:paraId="64B6B71E" w14:textId="6A02FCB2" w:rsidR="00414BC3" w:rsidRPr="00C549FE" w:rsidRDefault="00E1280A" w:rsidP="001F35B6">
      <w:pPr>
        <w:pStyle w:val="CoverDate"/>
        <w:tabs>
          <w:tab w:val="left" w:pos="3794"/>
          <w:tab w:val="left" w:pos="6232"/>
        </w:tabs>
        <w:spacing w:before="840"/>
        <w:jc w:val="center"/>
        <w:rPr>
          <w:b/>
          <w:sz w:val="28"/>
          <w:szCs w:val="28"/>
        </w:rPr>
      </w:pPr>
      <w:r>
        <w:rPr>
          <w:b/>
          <w:sz w:val="28"/>
          <w:szCs w:val="28"/>
        </w:rPr>
        <w:t>March</w:t>
      </w:r>
      <w:r w:rsidR="001F35B6" w:rsidRPr="00C549FE">
        <w:rPr>
          <w:b/>
          <w:sz w:val="28"/>
          <w:szCs w:val="28"/>
        </w:rPr>
        <w:t xml:space="preserve"> 202</w:t>
      </w:r>
      <w:r>
        <w:rPr>
          <w:b/>
          <w:sz w:val="28"/>
          <w:szCs w:val="28"/>
        </w:rPr>
        <w:t>1</w:t>
      </w:r>
    </w:p>
    <w:p w14:paraId="64B6B71F" w14:textId="77777777" w:rsidR="00414BC3" w:rsidRPr="00C549FE" w:rsidRDefault="00DA2024">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680093239" r:id="rId13"/>
        </w:object>
      </w:r>
    </w:p>
    <w:p w14:paraId="64B6B720" w14:textId="77777777" w:rsidR="00414BC3" w:rsidRPr="00C549FE" w:rsidRDefault="00414BC3">
      <w:pPr>
        <w:pStyle w:val="Heading1"/>
      </w:pPr>
      <w:r w:rsidRPr="00C549FE">
        <w:lastRenderedPageBreak/>
        <w:t>EXPLANATORY STATEMENT</w:t>
      </w:r>
    </w:p>
    <w:p w14:paraId="64B6B721" w14:textId="4E1E5CCE"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w:t>
      </w:r>
      <w:r w:rsidR="00722443">
        <w:t>1</w:t>
      </w:r>
      <w:r w:rsidR="00C068D8" w:rsidRPr="00C549FE">
        <w:t>-</w:t>
      </w:r>
      <w:r w:rsidR="008225F9">
        <w:t>2</w:t>
      </w:r>
    </w:p>
    <w:p w14:paraId="730690FE" w14:textId="77777777" w:rsidR="00E1280A" w:rsidRDefault="00E1280A" w:rsidP="00E1280A">
      <w:pPr>
        <w:pStyle w:val="NoNumPlain1"/>
      </w:pPr>
      <w:r>
        <w:t>This Standard makes amendments to the following Australian Accounting Standards:</w:t>
      </w:r>
    </w:p>
    <w:p w14:paraId="5DF54E6B" w14:textId="77777777" w:rsidR="00E1280A" w:rsidRDefault="00E1280A" w:rsidP="00722443">
      <w:pPr>
        <w:pStyle w:val="NoNumPlain1"/>
        <w:numPr>
          <w:ilvl w:val="0"/>
          <w:numId w:val="19"/>
        </w:numPr>
        <w:ind w:left="510" w:hanging="510"/>
        <w:jc w:val="both"/>
        <w:rPr>
          <w:i/>
        </w:rPr>
      </w:pPr>
      <w:r>
        <w:t xml:space="preserve">AASB 7 </w:t>
      </w:r>
      <w:r>
        <w:rPr>
          <w:i/>
          <w:iCs/>
        </w:rPr>
        <w:t xml:space="preserve">Financial Instruments: Disclosures </w:t>
      </w:r>
      <w:r>
        <w:t>(August 2015);</w:t>
      </w:r>
    </w:p>
    <w:p w14:paraId="26CE3950" w14:textId="77777777" w:rsidR="00E1280A" w:rsidRDefault="00E1280A" w:rsidP="00722443">
      <w:pPr>
        <w:pStyle w:val="NoNumPlain1"/>
        <w:numPr>
          <w:ilvl w:val="0"/>
          <w:numId w:val="19"/>
        </w:numPr>
        <w:ind w:left="510" w:hanging="510"/>
        <w:jc w:val="both"/>
        <w:rPr>
          <w:i/>
          <w:iCs/>
        </w:rPr>
      </w:pPr>
      <w:r>
        <w:t xml:space="preserve">AASB 101 </w:t>
      </w:r>
      <w:r>
        <w:rPr>
          <w:i/>
          <w:iCs/>
        </w:rPr>
        <w:t xml:space="preserve">Presentation of Financial Statements </w:t>
      </w:r>
      <w:r>
        <w:t>(July 2015);</w:t>
      </w:r>
    </w:p>
    <w:p w14:paraId="50796EC1" w14:textId="77777777" w:rsidR="00E1280A" w:rsidRDefault="00E1280A" w:rsidP="00722443">
      <w:pPr>
        <w:pStyle w:val="NoNumPlain1"/>
        <w:numPr>
          <w:ilvl w:val="0"/>
          <w:numId w:val="19"/>
        </w:numPr>
        <w:ind w:left="510" w:hanging="510"/>
        <w:jc w:val="both"/>
        <w:rPr>
          <w:i/>
        </w:rPr>
      </w:pPr>
      <w:r>
        <w:t xml:space="preserve">AASB 108 </w:t>
      </w:r>
      <w:r>
        <w:rPr>
          <w:i/>
          <w:iCs/>
        </w:rPr>
        <w:t xml:space="preserve">Accounting Policies, Changes in Accounting Estimates and Errors </w:t>
      </w:r>
      <w:r>
        <w:t>(August 2015); and</w:t>
      </w:r>
    </w:p>
    <w:p w14:paraId="5D9AC0E5" w14:textId="77777777" w:rsidR="00E1280A" w:rsidRDefault="00E1280A" w:rsidP="00722443">
      <w:pPr>
        <w:pStyle w:val="NoNumPlain1"/>
        <w:numPr>
          <w:ilvl w:val="0"/>
          <w:numId w:val="19"/>
        </w:numPr>
        <w:ind w:left="510" w:hanging="510"/>
        <w:jc w:val="both"/>
        <w:rPr>
          <w:i/>
          <w:iCs/>
        </w:rPr>
      </w:pPr>
      <w:r>
        <w:t xml:space="preserve">AASB 134 </w:t>
      </w:r>
      <w:r>
        <w:rPr>
          <w:i/>
          <w:iCs/>
        </w:rPr>
        <w:t xml:space="preserve">Interim Financial Reporting </w:t>
      </w:r>
      <w:r>
        <w:t>(August 2015).</w:t>
      </w:r>
    </w:p>
    <w:p w14:paraId="14E708C8" w14:textId="77777777" w:rsidR="00E1280A" w:rsidRDefault="00E1280A" w:rsidP="00E1280A">
      <w:pPr>
        <w:pStyle w:val="NoNumPlain1"/>
      </w:pPr>
      <w:r>
        <w:t xml:space="preserve">The Standard also makes amendments to AASB Practice Statement 2 </w:t>
      </w:r>
      <w:r>
        <w:rPr>
          <w:i/>
          <w:iCs/>
        </w:rPr>
        <w:t xml:space="preserve">Making Materiality Judgements </w:t>
      </w:r>
      <w:r>
        <w:t>(December 2017).</w:t>
      </w:r>
    </w:p>
    <w:p w14:paraId="7E48903B" w14:textId="77777777" w:rsidR="00E1280A" w:rsidRDefault="00E1280A" w:rsidP="00E1280A">
      <w:pPr>
        <w:pStyle w:val="NoNumPlain1"/>
      </w:pPr>
      <w:r>
        <w:t>These amendments arise from the issuance by the International Accounting Standards Board (IASB) in February 2021 of the following International Financial Reporting Standards:</w:t>
      </w:r>
    </w:p>
    <w:p w14:paraId="40D234C0" w14:textId="77777777" w:rsidR="00E1280A" w:rsidRDefault="00E1280A" w:rsidP="00722443">
      <w:pPr>
        <w:pStyle w:val="NoNumPlain1"/>
        <w:numPr>
          <w:ilvl w:val="0"/>
          <w:numId w:val="20"/>
        </w:numPr>
        <w:ind w:left="510" w:hanging="510"/>
        <w:jc w:val="both"/>
      </w:pPr>
      <w:r>
        <w:rPr>
          <w:i/>
          <w:iCs/>
        </w:rPr>
        <w:t xml:space="preserve">Disclosure of Accounting Policies </w:t>
      </w:r>
      <w:r>
        <w:t>(Amendments to IAS 1 and IFRS Practice Statement 2); and</w:t>
      </w:r>
    </w:p>
    <w:p w14:paraId="5B3E7367" w14:textId="77777777" w:rsidR="00E1280A" w:rsidRDefault="00E1280A" w:rsidP="00E1280A">
      <w:pPr>
        <w:pStyle w:val="NoNumPlain1"/>
        <w:numPr>
          <w:ilvl w:val="0"/>
          <w:numId w:val="20"/>
        </w:numPr>
        <w:ind w:left="510" w:hanging="510"/>
        <w:jc w:val="both"/>
      </w:pPr>
      <w:r>
        <w:rPr>
          <w:i/>
          <w:iCs/>
        </w:rPr>
        <w:t xml:space="preserve">Definition of Accounting Estimates </w:t>
      </w:r>
      <w:r>
        <w:t>(Amendments to IAS 8).</w:t>
      </w:r>
    </w:p>
    <w:p w14:paraId="7A327888" w14:textId="489967E6" w:rsidR="005C6FF3" w:rsidRPr="00C549FE" w:rsidRDefault="005C6FF3" w:rsidP="005C6FF3">
      <w:pPr>
        <w:pStyle w:val="Heading3"/>
      </w:pPr>
      <w:r w:rsidRPr="00C549FE">
        <w:t xml:space="preserve">Marked-up </w:t>
      </w:r>
      <w:proofErr w:type="gramStart"/>
      <w:r w:rsidRPr="00C549FE">
        <w:t>Text</w:t>
      </w:r>
      <w:proofErr w:type="gramEnd"/>
    </w:p>
    <w:p w14:paraId="526072E9" w14:textId="024C25DC" w:rsidR="00B468E3" w:rsidRPr="00C549FE" w:rsidRDefault="00B468E3" w:rsidP="00B468E3">
      <w:pPr>
        <w:pStyle w:val="NoNumPlain1"/>
      </w:pPr>
      <w:r w:rsidRPr="00FC0FAA">
        <w:t xml:space="preserve">This Standard incorporates marked-up text to clearly identify </w:t>
      </w:r>
      <w:r w:rsidR="00CF1826">
        <w:t xml:space="preserve">some </w:t>
      </w:r>
      <w:r w:rsidR="006F0F82">
        <w:t xml:space="preserve">or all </w:t>
      </w:r>
      <w:r w:rsidR="00CF1826">
        <w:t xml:space="preserve">of the amendments </w:t>
      </w:r>
      <w:r w:rsidR="00ED5ADB" w:rsidRPr="00FC0FAA">
        <w:t>to</w:t>
      </w:r>
      <w:r w:rsidR="006F0F82">
        <w:t xml:space="preserve"> the Standards</w:t>
      </w:r>
      <w:r w:rsidR="0079565D" w:rsidRPr="00FC0FAA">
        <w:t xml:space="preserve">. </w:t>
      </w:r>
      <w:r w:rsidR="00940662" w:rsidRPr="00FC0FAA">
        <w:t xml:space="preserve">All </w:t>
      </w:r>
      <w:r w:rsidRPr="00FC0FAA">
        <w:t>amendments are incorporated using clean text into the compilations of those Standards 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xml:space="preserve">, where an Act confers a power to make, grant or issue any instrument of a legislative or administrative character (including rules, </w:t>
      </w:r>
      <w:proofErr w:type="gramStart"/>
      <w:r w:rsidR="00A94F2A" w:rsidRPr="00C549FE">
        <w:t>regulations</w:t>
      </w:r>
      <w:proofErr w:type="gramEnd"/>
      <w:r w:rsidR="00A94F2A" w:rsidRPr="00C549FE">
        <w:t xml:space="preserve">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4A70FF63" w:rsidR="00FD4C0C" w:rsidRPr="00C549FE" w:rsidRDefault="00FD4C0C" w:rsidP="00FD4C0C">
      <w:pPr>
        <w:pStyle w:val="Heading2"/>
      </w:pPr>
      <w:r w:rsidRPr="00C549FE">
        <w:t xml:space="preserve">Main Features of AASB </w:t>
      </w:r>
      <w:r w:rsidR="00722443">
        <w:t>2021</w:t>
      </w:r>
      <w:r w:rsidR="00C068D8" w:rsidRPr="00C549FE">
        <w:t>-</w:t>
      </w:r>
      <w:r w:rsidR="008225F9">
        <w:t>2</w:t>
      </w:r>
    </w:p>
    <w:p w14:paraId="396642D8" w14:textId="5748F093" w:rsidR="00E07552" w:rsidRPr="00C549FE" w:rsidRDefault="00E07552" w:rsidP="00E07552">
      <w:pPr>
        <w:pStyle w:val="Heading3"/>
      </w:pPr>
      <w:r w:rsidRPr="00C549FE">
        <w:t>Main Requirements</w:t>
      </w:r>
    </w:p>
    <w:p w14:paraId="1BE4BAE7" w14:textId="77777777" w:rsidR="00722443" w:rsidRDefault="00722443" w:rsidP="00722443">
      <w:pPr>
        <w:pStyle w:val="NoNumPlain1"/>
      </w:pPr>
      <w:r>
        <w:t>This Standard amends:</w:t>
      </w:r>
    </w:p>
    <w:p w14:paraId="30E2F72D" w14:textId="77777777" w:rsidR="00722443" w:rsidRDefault="00722443" w:rsidP="00722443">
      <w:pPr>
        <w:pStyle w:val="NoNumPlain1"/>
        <w:numPr>
          <w:ilvl w:val="0"/>
          <w:numId w:val="21"/>
        </w:numPr>
        <w:ind w:left="510" w:hanging="510"/>
        <w:jc w:val="both"/>
      </w:pPr>
      <w:r>
        <w:t>AASB 7, to clarify that information about measurement bases for financial instruments is expected to be material to an entity’s financial statements;</w:t>
      </w:r>
    </w:p>
    <w:p w14:paraId="0E314939" w14:textId="77777777" w:rsidR="00722443" w:rsidRDefault="00722443" w:rsidP="00722443">
      <w:pPr>
        <w:pStyle w:val="NoNumPlain1"/>
        <w:numPr>
          <w:ilvl w:val="0"/>
          <w:numId w:val="21"/>
        </w:numPr>
        <w:ind w:left="510" w:hanging="510"/>
        <w:jc w:val="both"/>
      </w:pPr>
      <w:r>
        <w:t>AASB 101, to require entities to disclose their material accounting policy information rather than their significant accounting policies;</w:t>
      </w:r>
    </w:p>
    <w:p w14:paraId="13D2DB50" w14:textId="77777777" w:rsidR="00722443" w:rsidRDefault="00722443" w:rsidP="00722443">
      <w:pPr>
        <w:pStyle w:val="NoNumPlain1"/>
        <w:numPr>
          <w:ilvl w:val="0"/>
          <w:numId w:val="21"/>
        </w:numPr>
        <w:ind w:left="510" w:hanging="510"/>
        <w:jc w:val="both"/>
      </w:pPr>
      <w:r>
        <w:t>AASB 108, to clarify how entities should distinguish changes in accounting policies and changes in accounting estimates;</w:t>
      </w:r>
    </w:p>
    <w:p w14:paraId="1B344A1B" w14:textId="77777777" w:rsidR="00722443" w:rsidRDefault="00722443" w:rsidP="00722443">
      <w:pPr>
        <w:pStyle w:val="NoNumPlain1"/>
        <w:numPr>
          <w:ilvl w:val="0"/>
          <w:numId w:val="21"/>
        </w:numPr>
        <w:ind w:left="510" w:hanging="510"/>
        <w:jc w:val="both"/>
      </w:pPr>
      <w:r>
        <w:t>AASB 134, to identify material accounting policy information as a component of a complete set of financial statements; and</w:t>
      </w:r>
    </w:p>
    <w:p w14:paraId="400BB092" w14:textId="77777777" w:rsidR="00722443" w:rsidRDefault="00722443" w:rsidP="00722443">
      <w:pPr>
        <w:pStyle w:val="NoNumPlain1"/>
        <w:numPr>
          <w:ilvl w:val="0"/>
          <w:numId w:val="21"/>
        </w:numPr>
        <w:ind w:left="510" w:hanging="510"/>
        <w:jc w:val="both"/>
      </w:pPr>
      <w:r>
        <w:t>AASB Practice Statement 2, to provide guidance on how to apply the concept of materiality to accounting policy disclosures.</w:t>
      </w:r>
    </w:p>
    <w:p w14:paraId="64B6B728" w14:textId="77777777" w:rsidR="00FD4C0C" w:rsidRPr="00C549FE" w:rsidRDefault="00FD4C0C" w:rsidP="006B1B4A">
      <w:pPr>
        <w:pStyle w:val="Heading3"/>
      </w:pPr>
      <w:r w:rsidRPr="00C549FE">
        <w:t>Application Date</w:t>
      </w:r>
    </w:p>
    <w:p w14:paraId="64B6B729" w14:textId="71764DB7" w:rsidR="00BE66D4" w:rsidRPr="00C549FE" w:rsidRDefault="005F1173" w:rsidP="00A92FFA">
      <w:pPr>
        <w:pStyle w:val="NoNumPlain1"/>
      </w:pPr>
      <w:r w:rsidRPr="00C549FE">
        <w:t xml:space="preserve">AASB </w:t>
      </w:r>
      <w:r w:rsidR="00C068D8" w:rsidRPr="00C549FE">
        <w:t>20</w:t>
      </w:r>
      <w:r w:rsidR="00DF4C2A" w:rsidRPr="00C549FE">
        <w:t>2</w:t>
      </w:r>
      <w:r w:rsidR="00722443">
        <w:t>1</w:t>
      </w:r>
      <w:r w:rsidR="00C068D8" w:rsidRPr="00C549FE">
        <w:t>-</w:t>
      </w:r>
      <w:r w:rsidR="008225F9">
        <w:t>2</w:t>
      </w:r>
      <w:r w:rsidR="006D6B35" w:rsidRPr="00C549FE">
        <w:t xml:space="preserve"> </w:t>
      </w:r>
      <w:r w:rsidR="00DD5AC5" w:rsidRPr="00C549FE">
        <w:t xml:space="preserve">applies to annual reporting periods beginning on or after </w:t>
      </w:r>
      <w:r w:rsidR="006E77D9" w:rsidRPr="00C549FE">
        <w:t>1 January 202</w:t>
      </w:r>
      <w:r w:rsidR="00722443">
        <w:t>3</w:t>
      </w:r>
      <w:r w:rsidR="006E77D9" w:rsidRPr="00C549FE">
        <w:t xml:space="preserve">. </w:t>
      </w:r>
      <w:r w:rsidR="00722443">
        <w:t>The amendments to individual Standards may be applied early, separately from the amendments to the other Standards, where feasible.</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lastRenderedPageBreak/>
        <w:t xml:space="preserve">Consultation Prior to Issuing this </w:t>
      </w:r>
      <w:proofErr w:type="gramStart"/>
      <w:r w:rsidRPr="00C549FE">
        <w:t>Standard</w:t>
      </w:r>
      <w:proofErr w:type="gramEnd"/>
    </w:p>
    <w:p w14:paraId="00BF0690" w14:textId="01BB6F44" w:rsidR="001D6837" w:rsidRDefault="00843BF6" w:rsidP="008C7E24">
      <w:pPr>
        <w:spacing w:after="200"/>
      </w:pPr>
      <w:r w:rsidRPr="00C549FE">
        <w:t>The A</w:t>
      </w:r>
      <w:r w:rsidR="00FD0F0A" w:rsidRPr="00C549FE">
        <w:t>ASB</w:t>
      </w:r>
      <w:r w:rsidR="00210BA3" w:rsidRPr="00C549FE">
        <w:t xml:space="preserve"> issued Exposure Draft ED </w:t>
      </w:r>
      <w:r w:rsidR="00F33A97" w:rsidRPr="00C549FE">
        <w:t>2</w:t>
      </w:r>
      <w:r w:rsidR="005E3AD6">
        <w:t>81</w:t>
      </w:r>
      <w:r w:rsidR="00F33A97" w:rsidRPr="00C549FE">
        <w:t xml:space="preserve"> </w:t>
      </w:r>
      <w:r w:rsidR="005E3AD6">
        <w:rPr>
          <w:i/>
          <w:iCs/>
        </w:rPr>
        <w:t>Accounting Policies and Accounting Estimates</w:t>
      </w:r>
      <w:r w:rsidR="00F33A97" w:rsidRPr="00C549FE">
        <w:rPr>
          <w:i/>
          <w:iCs/>
        </w:rPr>
        <w:t xml:space="preserve"> </w:t>
      </w:r>
      <w:r w:rsidR="00633D29" w:rsidRPr="00C549FE">
        <w:t xml:space="preserve">in </w:t>
      </w:r>
      <w:r w:rsidR="005E3AD6">
        <w:t>September 2017</w:t>
      </w:r>
      <w:r w:rsidR="00633D29" w:rsidRPr="00C549FE">
        <w:t xml:space="preserve"> for </w:t>
      </w:r>
      <w:r w:rsidR="00B60A66">
        <w:t xml:space="preserve">comment </w:t>
      </w:r>
      <w:r w:rsidR="00633D29" w:rsidRPr="00C549FE">
        <w:t xml:space="preserve">by </w:t>
      </w:r>
      <w:r w:rsidR="004541B3">
        <w:t>1</w:t>
      </w:r>
      <w:r w:rsidR="005E3AD6">
        <w:t>7</w:t>
      </w:r>
      <w:r w:rsidR="00FF10AF" w:rsidRPr="00C549FE">
        <w:t xml:space="preserve"> </w:t>
      </w:r>
      <w:r w:rsidR="005E3AD6">
        <w:t>November</w:t>
      </w:r>
      <w:r w:rsidR="00FF10AF" w:rsidRPr="00C549FE">
        <w:t xml:space="preserve"> 20</w:t>
      </w:r>
      <w:r w:rsidR="005E3AD6">
        <w:t>17</w:t>
      </w:r>
      <w:r w:rsidR="00FF10AF" w:rsidRPr="00C549FE">
        <w:t>. ED</w:t>
      </w:r>
      <w:r w:rsidR="005167EE">
        <w:t> </w:t>
      </w:r>
      <w:r w:rsidR="00FF10AF" w:rsidRPr="00C549FE">
        <w:t>2</w:t>
      </w:r>
      <w:r w:rsidR="005E3AD6">
        <w:t>81</w:t>
      </w:r>
      <w:r w:rsidR="00FF10AF" w:rsidRPr="00C549FE">
        <w:t xml:space="preserve"> incorporated IASB Exposure Draft ED/20</w:t>
      </w:r>
      <w:r w:rsidR="005E3AD6">
        <w:t>17</w:t>
      </w:r>
      <w:r w:rsidR="00FF10AF" w:rsidRPr="00C549FE">
        <w:t>/</w:t>
      </w:r>
      <w:r w:rsidR="005E3AD6">
        <w:t>5</w:t>
      </w:r>
      <w:r w:rsidR="00B82334" w:rsidRPr="00C549FE">
        <w:t xml:space="preserve"> </w:t>
      </w:r>
      <w:r w:rsidR="001D6837">
        <w:rPr>
          <w:i/>
          <w:iCs/>
        </w:rPr>
        <w:t>Accounting Policies and Accounting Estimates</w:t>
      </w:r>
      <w:r w:rsidR="00B82334" w:rsidRPr="00C549FE">
        <w:rPr>
          <w:i/>
          <w:iCs/>
        </w:rPr>
        <w:t xml:space="preserve">. </w:t>
      </w:r>
      <w:r w:rsidR="004F1EA9">
        <w:t xml:space="preserve">Two </w:t>
      </w:r>
      <w:r w:rsidR="001D6837">
        <w:t>comment letters</w:t>
      </w:r>
      <w:r w:rsidR="009443DD" w:rsidRPr="00C549FE">
        <w:t xml:space="preserve"> were received by the AASB </w:t>
      </w:r>
      <w:r w:rsidR="001D6837">
        <w:t>relating to</w:t>
      </w:r>
      <w:r w:rsidR="009443DD" w:rsidRPr="00C549FE">
        <w:t xml:space="preserve"> ED </w:t>
      </w:r>
      <w:r w:rsidR="001D6837">
        <w:t xml:space="preserve">281, which supported the proposals and did not raise any concerns. </w:t>
      </w:r>
      <w:r w:rsidR="003D3AA6">
        <w:t>T</w:t>
      </w:r>
      <w:r w:rsidR="001D6837">
        <w:t>he AASB did not make a submission to the IASB on ED/2017/5.</w:t>
      </w:r>
    </w:p>
    <w:p w14:paraId="25EB888A" w14:textId="53AE3283" w:rsidR="001D6837" w:rsidRPr="003D3AA6" w:rsidRDefault="001D6837" w:rsidP="008C7E24">
      <w:pPr>
        <w:spacing w:after="200"/>
      </w:pPr>
      <w:r>
        <w:t xml:space="preserve">The AASB issued Exposure Draft ED 296 </w:t>
      </w:r>
      <w:r>
        <w:rPr>
          <w:i/>
          <w:iCs/>
        </w:rPr>
        <w:t>Disclosure of Accounting Policies</w:t>
      </w:r>
      <w:r>
        <w:t xml:space="preserve"> in August 2019 for comment by 28 October 2019. ED 296 incorporated </w:t>
      </w:r>
      <w:r w:rsidR="003D3AA6">
        <w:t xml:space="preserve">IASB Exposure Draft ED/2019/6 </w:t>
      </w:r>
      <w:r w:rsidR="003D3AA6">
        <w:rPr>
          <w:i/>
          <w:iCs/>
        </w:rPr>
        <w:t>Disclosure of Accounting Policies</w:t>
      </w:r>
      <w:r w:rsidR="003D3AA6">
        <w:t>. Three comment letters were received by the AASB relating to ED 296, which generally supported the proposals but raised some concerns relating to the application of materiality and strict interpretation of immaterial transactions in the proposed amendments. The AASB did not make a submission to the IASB on ED/2019/6.</w:t>
      </w:r>
    </w:p>
    <w:p w14:paraId="51D88C25" w14:textId="13A10FA2" w:rsidR="007935A9" w:rsidRDefault="007935A9" w:rsidP="00362678">
      <w:pPr>
        <w:spacing w:after="200"/>
      </w:pPr>
      <w:r w:rsidRPr="00C549FE">
        <w:t xml:space="preserve">The IASB analysed the feedback it received on the proposed amendments and decided to finalise </w:t>
      </w:r>
      <w:r w:rsidR="00237E40">
        <w:t>the</w:t>
      </w:r>
      <w:r w:rsidRPr="00C549FE">
        <w:t xml:space="preserve"> amendments</w:t>
      </w:r>
      <w:r w:rsidR="00D65E97">
        <w:t xml:space="preserve"> after making </w:t>
      </w:r>
      <w:r w:rsidR="00D22F21">
        <w:t>some minor</w:t>
      </w:r>
      <w:r w:rsidR="004A22CE">
        <w:t xml:space="preserve"> changes</w:t>
      </w:r>
      <w:r w:rsidR="003D3AA6">
        <w:t>, including expanding the interpretation of immaterial transactions</w:t>
      </w:r>
      <w:r w:rsidR="007F6F7F">
        <w:t>.</w:t>
      </w:r>
      <w:r w:rsidR="00E43BE9">
        <w:t xml:space="preserve"> </w:t>
      </w:r>
      <w:r w:rsidR="00615B9C">
        <w:t xml:space="preserve">The IASB set an effective date </w:t>
      </w:r>
      <w:r w:rsidR="00CE171A">
        <w:t xml:space="preserve">for the amendments </w:t>
      </w:r>
      <w:r w:rsidR="00615B9C">
        <w:t xml:space="preserve">of annual periods beginning on or </w:t>
      </w:r>
      <w:r w:rsidR="00743AFE">
        <w:t>after 1 January 202</w:t>
      </w:r>
      <w:r w:rsidR="00071E94">
        <w:t>3</w:t>
      </w:r>
      <w:r w:rsidR="004B3F6E">
        <w:t>,</w:t>
      </w:r>
      <w:r w:rsidR="004A22CE">
        <w:t xml:space="preserve"> </w:t>
      </w:r>
      <w:r w:rsidR="00C9757F">
        <w:t>with e</w:t>
      </w:r>
      <w:r w:rsidR="00CE171A">
        <w:t xml:space="preserve">arlier </w:t>
      </w:r>
      <w:r w:rsidR="000440EC">
        <w:t>application permitte</w:t>
      </w:r>
      <w:r w:rsidR="00332206">
        <w:t>d</w:t>
      </w:r>
      <w:r w:rsidR="000440EC">
        <w:t>.</w:t>
      </w:r>
      <w:r w:rsidR="00FD3127">
        <w:t xml:space="preserve"> The AASB considered </w:t>
      </w:r>
      <w:r w:rsidR="00EE4045">
        <w:t xml:space="preserve">and adopted </w:t>
      </w:r>
      <w:r w:rsidR="00FD3127">
        <w:t xml:space="preserve">the amendments made by the IASB to IFRS </w:t>
      </w:r>
      <w:r w:rsidR="00ED7A97">
        <w:t xml:space="preserve">Standards </w:t>
      </w:r>
      <w:r w:rsidR="0076592F">
        <w:t>in finalising AASB 202</w:t>
      </w:r>
      <w:r w:rsidR="003D3AA6">
        <w:t>1</w:t>
      </w:r>
      <w:r w:rsidR="0076592F">
        <w:t>-</w:t>
      </w:r>
      <w:r w:rsidR="008225F9">
        <w:t>2</w:t>
      </w:r>
      <w:r w:rsidR="0076592F">
        <w:t xml:space="preserve"> and the amendments to</w:t>
      </w:r>
      <w:r w:rsidR="00ED7A97">
        <w:t xml:space="preserve"> the Australian Accounting Standards</w:t>
      </w:r>
      <w:r w:rsidR="0076592F">
        <w:t>.</w:t>
      </w:r>
    </w:p>
    <w:p w14:paraId="64B6B72F" w14:textId="59771249" w:rsidR="00A94F2A" w:rsidRPr="00362678" w:rsidRDefault="004D74A9" w:rsidP="000352E0">
      <w:pPr>
        <w:spacing w:after="200"/>
      </w:pPr>
      <w:r>
        <w:t>A Regulation Impact Statement (RIS) has not been prepared in connection with the issue of AASB 2</w:t>
      </w:r>
      <w:r w:rsidR="00FF6C9F">
        <w:t>02</w:t>
      </w:r>
      <w:r w:rsidR="003D3AA6">
        <w:t>1</w:t>
      </w:r>
      <w:r w:rsidR="00FF6C9F">
        <w:t>-</w:t>
      </w:r>
      <w:r w:rsidR="008225F9">
        <w:t>2</w:t>
      </w:r>
      <w:r>
        <w:t xml:space="preserve"> as the</w:t>
      </w:r>
      <w:r w:rsidR="00055553">
        <w:t xml:space="preserve"> </w:t>
      </w:r>
      <w:r>
        <w:t>amendments made do not have a substantial direct or indirect impact on business or competition.</w:t>
      </w:r>
    </w:p>
    <w:p w14:paraId="64B6B730" w14:textId="04155714" w:rsidR="00AD44F9" w:rsidRPr="00C549FE" w:rsidRDefault="00CD0A54" w:rsidP="004E7E5E">
      <w:pPr>
        <w:pStyle w:val="Heading2"/>
        <w:spacing w:before="1200"/>
        <w:jc w:val="center"/>
      </w:pPr>
      <w:r w:rsidRPr="00C549FE">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2E1E924E" w:rsidR="00E770E5" w:rsidRPr="00C549FE" w:rsidRDefault="00A90A3D" w:rsidP="00A90A3D">
      <w:pPr>
        <w:pStyle w:val="Heading3"/>
        <w:spacing w:after="360"/>
        <w:jc w:val="center"/>
        <w:rPr>
          <w:i/>
          <w:iCs w:val="0"/>
        </w:rPr>
      </w:pPr>
      <w:r w:rsidRPr="00C549FE">
        <w:t>Accounting Standard AASB 20</w:t>
      </w:r>
      <w:r w:rsidR="00D610CE" w:rsidRPr="00C549FE">
        <w:t>2</w:t>
      </w:r>
      <w:r w:rsidR="00071E94">
        <w:t>1</w:t>
      </w:r>
      <w:r w:rsidRPr="00C549FE">
        <w:t>-</w:t>
      </w:r>
      <w:r w:rsidR="008225F9">
        <w:t>2</w:t>
      </w:r>
      <w:r w:rsidRPr="00C549FE">
        <w:rPr>
          <w:i/>
          <w:iCs w:val="0"/>
        </w:rPr>
        <w:br/>
      </w:r>
      <w:r w:rsidR="00071E94">
        <w:rPr>
          <w:i/>
          <w:iCs w:val="0"/>
        </w:rPr>
        <w:t>Disclosure of Accounting Policies and</w:t>
      </w:r>
      <w:r w:rsidRPr="00C549FE">
        <w:br/>
      </w:r>
      <w:r w:rsidR="00071E94">
        <w:rPr>
          <w:i/>
          <w:iCs w:val="0"/>
        </w:rPr>
        <w:t>Definition of Accounting Estimates</w:t>
      </w:r>
    </w:p>
    <w:p w14:paraId="64B6B733" w14:textId="77777777" w:rsidR="00A90A3D" w:rsidRPr="00C549FE" w:rsidRDefault="00A90A3D" w:rsidP="00A90A3D">
      <w:pPr>
        <w:pStyle w:val="Heading3"/>
      </w:pPr>
      <w:r w:rsidRPr="00C549FE">
        <w:t>Overview of the Accounting Standard</w:t>
      </w:r>
    </w:p>
    <w:p w14:paraId="3BFA5CE4" w14:textId="77777777" w:rsidR="005E3AD6" w:rsidRDefault="005E3AD6" w:rsidP="005E3AD6">
      <w:pPr>
        <w:pStyle w:val="NoNumPlain1"/>
      </w:pPr>
      <w:r>
        <w:t>This Standard makes amendments to the following Australian Accounting Standards:</w:t>
      </w:r>
    </w:p>
    <w:p w14:paraId="0ECA716B" w14:textId="77777777" w:rsidR="005E3AD6" w:rsidRDefault="005E3AD6" w:rsidP="00A17FD9">
      <w:pPr>
        <w:pStyle w:val="NoNumPlain1"/>
        <w:numPr>
          <w:ilvl w:val="0"/>
          <w:numId w:val="23"/>
        </w:numPr>
        <w:jc w:val="both"/>
        <w:rPr>
          <w:i/>
        </w:rPr>
      </w:pPr>
      <w:r>
        <w:t xml:space="preserve">AASB 7 </w:t>
      </w:r>
      <w:r>
        <w:rPr>
          <w:i/>
          <w:iCs/>
        </w:rPr>
        <w:t xml:space="preserve">Financial Instruments: Disclosures </w:t>
      </w:r>
      <w:r>
        <w:t>(August 2015);</w:t>
      </w:r>
    </w:p>
    <w:p w14:paraId="076DE081" w14:textId="77777777" w:rsidR="005E3AD6" w:rsidRDefault="005E3AD6" w:rsidP="00A17FD9">
      <w:pPr>
        <w:pStyle w:val="NoNumPlain1"/>
        <w:numPr>
          <w:ilvl w:val="0"/>
          <w:numId w:val="23"/>
        </w:numPr>
        <w:jc w:val="both"/>
        <w:rPr>
          <w:i/>
          <w:iCs/>
        </w:rPr>
      </w:pPr>
      <w:r>
        <w:t xml:space="preserve">AASB 101 </w:t>
      </w:r>
      <w:r>
        <w:rPr>
          <w:i/>
          <w:iCs/>
        </w:rPr>
        <w:t xml:space="preserve">Presentation of Financial Statements </w:t>
      </w:r>
      <w:r>
        <w:t>(July 2015);</w:t>
      </w:r>
    </w:p>
    <w:p w14:paraId="1D4A650B" w14:textId="129E62AC" w:rsidR="005E3AD6" w:rsidRDefault="005E3AD6" w:rsidP="00A17FD9">
      <w:pPr>
        <w:pStyle w:val="NoNumPlain1"/>
        <w:numPr>
          <w:ilvl w:val="0"/>
          <w:numId w:val="23"/>
        </w:numPr>
        <w:jc w:val="both"/>
        <w:rPr>
          <w:i/>
        </w:rPr>
      </w:pPr>
      <w:r>
        <w:t xml:space="preserve">AASB 108 </w:t>
      </w:r>
      <w:r>
        <w:rPr>
          <w:i/>
          <w:iCs/>
        </w:rPr>
        <w:t xml:space="preserve">Accounting Policies, Changes in Accounting Estimates and Errors </w:t>
      </w:r>
      <w:r>
        <w:t>(August 2015); and</w:t>
      </w:r>
    </w:p>
    <w:p w14:paraId="4A1328F8" w14:textId="77777777" w:rsidR="005E3AD6" w:rsidRDefault="005E3AD6" w:rsidP="00A17FD9">
      <w:pPr>
        <w:pStyle w:val="NoNumPlain1"/>
        <w:numPr>
          <w:ilvl w:val="0"/>
          <w:numId w:val="23"/>
        </w:numPr>
        <w:jc w:val="both"/>
        <w:rPr>
          <w:i/>
          <w:iCs/>
        </w:rPr>
      </w:pPr>
      <w:r>
        <w:t xml:space="preserve">AASB 134 </w:t>
      </w:r>
      <w:r>
        <w:rPr>
          <w:i/>
          <w:iCs/>
        </w:rPr>
        <w:t xml:space="preserve">Interim Financial Reporting </w:t>
      </w:r>
      <w:r>
        <w:t>(August 2015).</w:t>
      </w:r>
    </w:p>
    <w:p w14:paraId="5C1780FE" w14:textId="77777777" w:rsidR="005E3AD6" w:rsidRDefault="005E3AD6" w:rsidP="005E3AD6">
      <w:pPr>
        <w:pStyle w:val="NoNumPlain1"/>
      </w:pPr>
      <w:r>
        <w:t xml:space="preserve">The Standard also makes amendments to AASB Practice Statement 2 </w:t>
      </w:r>
      <w:r>
        <w:rPr>
          <w:i/>
          <w:iCs/>
        </w:rPr>
        <w:t xml:space="preserve">Making Materiality Judgements </w:t>
      </w:r>
      <w:r>
        <w:t>(December 2017).</w:t>
      </w:r>
    </w:p>
    <w:p w14:paraId="0CBC7462" w14:textId="77777777" w:rsidR="005E3AD6" w:rsidRDefault="005E3AD6" w:rsidP="005E3AD6">
      <w:pPr>
        <w:pStyle w:val="NoNumPlain1"/>
      </w:pPr>
      <w:r>
        <w:t>These amendments arise from the issuance by the International Accounting Standards Board (IASB) in February 2021 of the following International Financial Reporting Standards:</w:t>
      </w:r>
    </w:p>
    <w:p w14:paraId="34C97A7E" w14:textId="77777777" w:rsidR="005E3AD6" w:rsidRDefault="005E3AD6" w:rsidP="00A17FD9">
      <w:pPr>
        <w:pStyle w:val="NoNumPlain1"/>
        <w:numPr>
          <w:ilvl w:val="0"/>
          <w:numId w:val="25"/>
        </w:numPr>
        <w:jc w:val="both"/>
      </w:pPr>
      <w:r>
        <w:rPr>
          <w:i/>
          <w:iCs/>
        </w:rPr>
        <w:t xml:space="preserve">Disclosure of Accounting Policies </w:t>
      </w:r>
      <w:r>
        <w:t>(Amendments to IAS 1 and IFRS Practice Statement 2); and</w:t>
      </w:r>
    </w:p>
    <w:p w14:paraId="306CF1AA" w14:textId="77777777" w:rsidR="005E3AD6" w:rsidRDefault="005E3AD6" w:rsidP="00A17FD9">
      <w:pPr>
        <w:pStyle w:val="NoNumPlain1"/>
        <w:numPr>
          <w:ilvl w:val="0"/>
          <w:numId w:val="25"/>
        </w:numPr>
        <w:jc w:val="both"/>
      </w:pPr>
      <w:r>
        <w:rPr>
          <w:i/>
          <w:iCs/>
        </w:rPr>
        <w:t xml:space="preserve">Definition of Accounting Estimates </w:t>
      </w:r>
      <w:r>
        <w:t>(Amendments to IAS 8).</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4"/>
      <w:footerReference w:type="defaul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81B3D" w14:textId="77777777" w:rsidR="00DA2024" w:rsidRDefault="00DA2024">
      <w:r>
        <w:separator/>
      </w:r>
    </w:p>
  </w:endnote>
  <w:endnote w:type="continuationSeparator" w:id="0">
    <w:p w14:paraId="16E4B231" w14:textId="77777777" w:rsidR="00DA2024" w:rsidRDefault="00DA2024">
      <w:r>
        <w:continuationSeparator/>
      </w:r>
    </w:p>
  </w:endnote>
  <w:endnote w:type="continuationNotice" w:id="1">
    <w:p w14:paraId="0C3FDC58" w14:textId="77777777" w:rsidR="00DA2024" w:rsidRDefault="00DA20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1" w14:textId="0A89DD87" w:rsidR="007E2AC9" w:rsidRDefault="007E2AC9" w:rsidP="00B93CE4">
    <w:pPr>
      <w:pStyle w:val="Footer"/>
      <w:tabs>
        <w:tab w:val="clear" w:pos="3119"/>
        <w:tab w:val="clear" w:pos="6237"/>
        <w:tab w:val="center" w:pos="4820"/>
        <w:tab w:val="right" w:pos="9639"/>
      </w:tabs>
      <w:rPr>
        <w:b/>
      </w:rPr>
    </w:pPr>
    <w:r>
      <w:rPr>
        <w:b/>
      </w:rPr>
      <w:t>AASB 202</w:t>
    </w:r>
    <w:r w:rsidR="00FC0FAA">
      <w:rPr>
        <w:b/>
      </w:rPr>
      <w:t>1</w:t>
    </w:r>
    <w:r>
      <w:rPr>
        <w:b/>
      </w:rPr>
      <w:t>-</w:t>
    </w:r>
    <w:r w:rsidR="008225F9">
      <w:rPr>
        <w:b/>
      </w:rPr>
      <w:t>2</w:t>
    </w:r>
    <w:r>
      <w:rPr>
        <w:b/>
      </w:rPr>
      <w:tab/>
    </w:r>
    <w:r>
      <w:fldChar w:fldCharType="begin"/>
    </w:r>
    <w:r>
      <w:instrText>PAGE</w:instrText>
    </w:r>
    <w:r>
      <w:fldChar w:fldCharType="separate"/>
    </w:r>
    <w:r w:rsidR="00507D38">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3203B" w14:textId="77777777" w:rsidR="00DA2024" w:rsidRDefault="00DA2024">
      <w:r>
        <w:separator/>
      </w:r>
    </w:p>
  </w:footnote>
  <w:footnote w:type="continuationSeparator" w:id="0">
    <w:p w14:paraId="30A74D2C" w14:textId="77777777" w:rsidR="00DA2024" w:rsidRDefault="00DA2024">
      <w:r>
        <w:continuationSeparator/>
      </w:r>
    </w:p>
  </w:footnote>
  <w:footnote w:type="continuationNotice" w:id="1">
    <w:p w14:paraId="7F2E2733" w14:textId="77777777" w:rsidR="00DA2024" w:rsidRDefault="00DA20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3F" w14:textId="77777777" w:rsidR="007E2AC9" w:rsidRPr="00B259A2" w:rsidRDefault="007E2AC9" w:rsidP="00B259A2">
    <w:pPr>
      <w:pStyle w:val="Header"/>
      <w:numPr>
        <w:ins w:id="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0" w14:textId="77777777" w:rsidR="007E2AC9" w:rsidRDefault="007E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1C2BF7"/>
    <w:multiLevelType w:val="hybridMultilevel"/>
    <w:tmpl w:val="3D228BB0"/>
    <w:lvl w:ilvl="0" w:tplc="EACAFBD2">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B860FA"/>
    <w:multiLevelType w:val="hybridMultilevel"/>
    <w:tmpl w:val="4A0C1FD8"/>
    <w:lvl w:ilvl="0" w:tplc="0CB4CF9C">
      <w:start w:val="1"/>
      <w:numFmt w:val="lowerLetter"/>
      <w:lvlText w:val="(%1)"/>
      <w:lvlJc w:val="left"/>
      <w:pPr>
        <w:ind w:left="510" w:hanging="51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6"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4875FB"/>
    <w:multiLevelType w:val="hybridMultilevel"/>
    <w:tmpl w:val="A9582782"/>
    <w:lvl w:ilvl="0" w:tplc="794E2B4E">
      <w:start w:val="1"/>
      <w:numFmt w:val="lowerLetter"/>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3127CB"/>
    <w:multiLevelType w:val="hybridMultilevel"/>
    <w:tmpl w:val="9A22A710"/>
    <w:lvl w:ilvl="0" w:tplc="A86CAE8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11612"/>
    <w:multiLevelType w:val="hybridMultilevel"/>
    <w:tmpl w:val="E8CC9420"/>
    <w:lvl w:ilvl="0" w:tplc="67BE5F3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0"/>
  </w:num>
  <w:num w:numId="5">
    <w:abstractNumId w:val="8"/>
  </w:num>
  <w:num w:numId="6">
    <w:abstractNumId w:val="7"/>
  </w:num>
  <w:num w:numId="7">
    <w:abstractNumId w:val="1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9"/>
  </w:num>
  <w:num w:numId="15">
    <w:abstractNumId w:val="12"/>
  </w:num>
  <w:num w:numId="16">
    <w:abstractNumId w:val="3"/>
  </w:num>
  <w:num w:numId="17">
    <w:abstractNumId w:val="18"/>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C8"/>
    <w:rsid w:val="000018C8"/>
    <w:rsid w:val="00005371"/>
    <w:rsid w:val="00013F09"/>
    <w:rsid w:val="0001484E"/>
    <w:rsid w:val="0001534B"/>
    <w:rsid w:val="00031DBC"/>
    <w:rsid w:val="00033109"/>
    <w:rsid w:val="000352E0"/>
    <w:rsid w:val="000440EC"/>
    <w:rsid w:val="0004439B"/>
    <w:rsid w:val="00055553"/>
    <w:rsid w:val="00055755"/>
    <w:rsid w:val="000623C8"/>
    <w:rsid w:val="00071E94"/>
    <w:rsid w:val="00075626"/>
    <w:rsid w:val="00077A0D"/>
    <w:rsid w:val="00077DF5"/>
    <w:rsid w:val="00080331"/>
    <w:rsid w:val="00080A90"/>
    <w:rsid w:val="0008234F"/>
    <w:rsid w:val="0008242C"/>
    <w:rsid w:val="000845D4"/>
    <w:rsid w:val="00085B62"/>
    <w:rsid w:val="000869C9"/>
    <w:rsid w:val="00090AA2"/>
    <w:rsid w:val="00090D77"/>
    <w:rsid w:val="000920D3"/>
    <w:rsid w:val="000936C7"/>
    <w:rsid w:val="000963C2"/>
    <w:rsid w:val="000976A2"/>
    <w:rsid w:val="000A14F7"/>
    <w:rsid w:val="000A2A30"/>
    <w:rsid w:val="000A2F25"/>
    <w:rsid w:val="000B28C9"/>
    <w:rsid w:val="000B7C61"/>
    <w:rsid w:val="000C0242"/>
    <w:rsid w:val="000C4494"/>
    <w:rsid w:val="000C53F5"/>
    <w:rsid w:val="000D0748"/>
    <w:rsid w:val="000D26A2"/>
    <w:rsid w:val="000D41A4"/>
    <w:rsid w:val="000D428B"/>
    <w:rsid w:val="000E1B26"/>
    <w:rsid w:val="000E4CB0"/>
    <w:rsid w:val="000E6E09"/>
    <w:rsid w:val="000E7712"/>
    <w:rsid w:val="000E7F81"/>
    <w:rsid w:val="000F281A"/>
    <w:rsid w:val="000F2911"/>
    <w:rsid w:val="000F4C2A"/>
    <w:rsid w:val="000F6012"/>
    <w:rsid w:val="00101ED2"/>
    <w:rsid w:val="0010538A"/>
    <w:rsid w:val="00111680"/>
    <w:rsid w:val="00113A47"/>
    <w:rsid w:val="00114E2B"/>
    <w:rsid w:val="001169EC"/>
    <w:rsid w:val="001218DE"/>
    <w:rsid w:val="00121C54"/>
    <w:rsid w:val="0012730F"/>
    <w:rsid w:val="00130B9F"/>
    <w:rsid w:val="00131465"/>
    <w:rsid w:val="00131C3F"/>
    <w:rsid w:val="00144CC0"/>
    <w:rsid w:val="0015670A"/>
    <w:rsid w:val="001639EB"/>
    <w:rsid w:val="00167F05"/>
    <w:rsid w:val="001773C3"/>
    <w:rsid w:val="001821F7"/>
    <w:rsid w:val="001A1B6E"/>
    <w:rsid w:val="001A3A3D"/>
    <w:rsid w:val="001C1871"/>
    <w:rsid w:val="001C4F14"/>
    <w:rsid w:val="001D1FFA"/>
    <w:rsid w:val="001D6837"/>
    <w:rsid w:val="001D7DA0"/>
    <w:rsid w:val="001E0872"/>
    <w:rsid w:val="001E0EA2"/>
    <w:rsid w:val="001E4107"/>
    <w:rsid w:val="001F35B6"/>
    <w:rsid w:val="001F3ED4"/>
    <w:rsid w:val="00200047"/>
    <w:rsid w:val="0020067C"/>
    <w:rsid w:val="0020218F"/>
    <w:rsid w:val="0020261B"/>
    <w:rsid w:val="00206A47"/>
    <w:rsid w:val="00210BA3"/>
    <w:rsid w:val="00211323"/>
    <w:rsid w:val="002233E5"/>
    <w:rsid w:val="00225101"/>
    <w:rsid w:val="00230E6D"/>
    <w:rsid w:val="0023104C"/>
    <w:rsid w:val="002322EA"/>
    <w:rsid w:val="00236896"/>
    <w:rsid w:val="00237E40"/>
    <w:rsid w:val="0024118D"/>
    <w:rsid w:val="00243728"/>
    <w:rsid w:val="00250E42"/>
    <w:rsid w:val="0025380C"/>
    <w:rsid w:val="0026109F"/>
    <w:rsid w:val="00267D86"/>
    <w:rsid w:val="00270BD2"/>
    <w:rsid w:val="002807EC"/>
    <w:rsid w:val="00280986"/>
    <w:rsid w:val="00284D8D"/>
    <w:rsid w:val="00284DE4"/>
    <w:rsid w:val="002922D7"/>
    <w:rsid w:val="00295E74"/>
    <w:rsid w:val="002A7634"/>
    <w:rsid w:val="002B1A78"/>
    <w:rsid w:val="002C66F3"/>
    <w:rsid w:val="002D1A97"/>
    <w:rsid w:val="002D5BBA"/>
    <w:rsid w:val="002D6698"/>
    <w:rsid w:val="002D6D7A"/>
    <w:rsid w:val="002F724F"/>
    <w:rsid w:val="00302FEE"/>
    <w:rsid w:val="003039C1"/>
    <w:rsid w:val="00310F98"/>
    <w:rsid w:val="00315A08"/>
    <w:rsid w:val="00320F3D"/>
    <w:rsid w:val="0032467B"/>
    <w:rsid w:val="00332206"/>
    <w:rsid w:val="003329B8"/>
    <w:rsid w:val="00343DE4"/>
    <w:rsid w:val="00344576"/>
    <w:rsid w:val="00347521"/>
    <w:rsid w:val="00347B50"/>
    <w:rsid w:val="00350F59"/>
    <w:rsid w:val="00352568"/>
    <w:rsid w:val="00362678"/>
    <w:rsid w:val="00374420"/>
    <w:rsid w:val="003770CE"/>
    <w:rsid w:val="00384832"/>
    <w:rsid w:val="00385E62"/>
    <w:rsid w:val="0039164A"/>
    <w:rsid w:val="00391DC5"/>
    <w:rsid w:val="00396BCD"/>
    <w:rsid w:val="003A5EC1"/>
    <w:rsid w:val="003C22AA"/>
    <w:rsid w:val="003C2BE8"/>
    <w:rsid w:val="003C3C64"/>
    <w:rsid w:val="003D3AA6"/>
    <w:rsid w:val="003D3F75"/>
    <w:rsid w:val="003E0D83"/>
    <w:rsid w:val="003F575F"/>
    <w:rsid w:val="004002FF"/>
    <w:rsid w:val="004055B6"/>
    <w:rsid w:val="00411797"/>
    <w:rsid w:val="00414BC3"/>
    <w:rsid w:val="00416FE6"/>
    <w:rsid w:val="004179BF"/>
    <w:rsid w:val="004209B2"/>
    <w:rsid w:val="00425BDF"/>
    <w:rsid w:val="00425F5E"/>
    <w:rsid w:val="0043257F"/>
    <w:rsid w:val="00442527"/>
    <w:rsid w:val="00451018"/>
    <w:rsid w:val="00451CA9"/>
    <w:rsid w:val="004541B3"/>
    <w:rsid w:val="00454D5F"/>
    <w:rsid w:val="00457698"/>
    <w:rsid w:val="00457DCC"/>
    <w:rsid w:val="004642BE"/>
    <w:rsid w:val="00472F3C"/>
    <w:rsid w:val="004808F0"/>
    <w:rsid w:val="00492A74"/>
    <w:rsid w:val="00493DD4"/>
    <w:rsid w:val="004A1676"/>
    <w:rsid w:val="004A22CE"/>
    <w:rsid w:val="004B0D14"/>
    <w:rsid w:val="004B3F6E"/>
    <w:rsid w:val="004C1746"/>
    <w:rsid w:val="004C27CC"/>
    <w:rsid w:val="004C62D2"/>
    <w:rsid w:val="004D2BDB"/>
    <w:rsid w:val="004D360D"/>
    <w:rsid w:val="004D74A9"/>
    <w:rsid w:val="004E23D0"/>
    <w:rsid w:val="004E7E5E"/>
    <w:rsid w:val="004F1EA9"/>
    <w:rsid w:val="005024A1"/>
    <w:rsid w:val="005038F6"/>
    <w:rsid w:val="00506534"/>
    <w:rsid w:val="00507D38"/>
    <w:rsid w:val="005108D2"/>
    <w:rsid w:val="00510E48"/>
    <w:rsid w:val="00512F90"/>
    <w:rsid w:val="005156AA"/>
    <w:rsid w:val="005167EE"/>
    <w:rsid w:val="00520E9E"/>
    <w:rsid w:val="00523387"/>
    <w:rsid w:val="00526DA0"/>
    <w:rsid w:val="00540E70"/>
    <w:rsid w:val="00545DEE"/>
    <w:rsid w:val="00551F40"/>
    <w:rsid w:val="00560CB5"/>
    <w:rsid w:val="00565477"/>
    <w:rsid w:val="00571559"/>
    <w:rsid w:val="00571F43"/>
    <w:rsid w:val="005A1F0D"/>
    <w:rsid w:val="005A7B12"/>
    <w:rsid w:val="005B0933"/>
    <w:rsid w:val="005B238F"/>
    <w:rsid w:val="005B7BB7"/>
    <w:rsid w:val="005C6FF3"/>
    <w:rsid w:val="005D7662"/>
    <w:rsid w:val="005E2BBE"/>
    <w:rsid w:val="005E3AD6"/>
    <w:rsid w:val="005F0581"/>
    <w:rsid w:val="005F1173"/>
    <w:rsid w:val="005F3618"/>
    <w:rsid w:val="005F3AA4"/>
    <w:rsid w:val="005F4451"/>
    <w:rsid w:val="00601017"/>
    <w:rsid w:val="00603AB1"/>
    <w:rsid w:val="006104FA"/>
    <w:rsid w:val="00611CE9"/>
    <w:rsid w:val="00615B9C"/>
    <w:rsid w:val="00616B47"/>
    <w:rsid w:val="00623C92"/>
    <w:rsid w:val="00626AC2"/>
    <w:rsid w:val="00631140"/>
    <w:rsid w:val="006312D1"/>
    <w:rsid w:val="00633D29"/>
    <w:rsid w:val="00635FA2"/>
    <w:rsid w:val="0064675C"/>
    <w:rsid w:val="00654FF7"/>
    <w:rsid w:val="006572E1"/>
    <w:rsid w:val="006628B2"/>
    <w:rsid w:val="006646CF"/>
    <w:rsid w:val="00666164"/>
    <w:rsid w:val="0067195B"/>
    <w:rsid w:val="00672100"/>
    <w:rsid w:val="006776BD"/>
    <w:rsid w:val="00680442"/>
    <w:rsid w:val="00680795"/>
    <w:rsid w:val="00684668"/>
    <w:rsid w:val="00686B7C"/>
    <w:rsid w:val="006A01D2"/>
    <w:rsid w:val="006A0C7C"/>
    <w:rsid w:val="006A2A04"/>
    <w:rsid w:val="006A56D8"/>
    <w:rsid w:val="006A6876"/>
    <w:rsid w:val="006A71A8"/>
    <w:rsid w:val="006B1B4A"/>
    <w:rsid w:val="006C2ABD"/>
    <w:rsid w:val="006C34F1"/>
    <w:rsid w:val="006C3752"/>
    <w:rsid w:val="006C39D1"/>
    <w:rsid w:val="006C5EB8"/>
    <w:rsid w:val="006C65C7"/>
    <w:rsid w:val="006D5858"/>
    <w:rsid w:val="006D65D3"/>
    <w:rsid w:val="006D6B35"/>
    <w:rsid w:val="006E62D5"/>
    <w:rsid w:val="006E77D9"/>
    <w:rsid w:val="006E7E8F"/>
    <w:rsid w:val="006F0F82"/>
    <w:rsid w:val="006F13EF"/>
    <w:rsid w:val="006F1FA6"/>
    <w:rsid w:val="006F217C"/>
    <w:rsid w:val="006F46DE"/>
    <w:rsid w:val="006F54C0"/>
    <w:rsid w:val="006F7F1A"/>
    <w:rsid w:val="00703ACF"/>
    <w:rsid w:val="007048F4"/>
    <w:rsid w:val="00711664"/>
    <w:rsid w:val="00717627"/>
    <w:rsid w:val="00720919"/>
    <w:rsid w:val="00722443"/>
    <w:rsid w:val="007231BD"/>
    <w:rsid w:val="007261ED"/>
    <w:rsid w:val="007322D6"/>
    <w:rsid w:val="007328C0"/>
    <w:rsid w:val="00734970"/>
    <w:rsid w:val="00741AD2"/>
    <w:rsid w:val="00743AFE"/>
    <w:rsid w:val="00746F3D"/>
    <w:rsid w:val="00752719"/>
    <w:rsid w:val="00753193"/>
    <w:rsid w:val="00755B4C"/>
    <w:rsid w:val="00755D8C"/>
    <w:rsid w:val="0076592F"/>
    <w:rsid w:val="007676C0"/>
    <w:rsid w:val="00781C08"/>
    <w:rsid w:val="00783BEC"/>
    <w:rsid w:val="00787825"/>
    <w:rsid w:val="00791279"/>
    <w:rsid w:val="007916AE"/>
    <w:rsid w:val="007935A9"/>
    <w:rsid w:val="00793810"/>
    <w:rsid w:val="0079565D"/>
    <w:rsid w:val="00796787"/>
    <w:rsid w:val="007A0B4B"/>
    <w:rsid w:val="007A1E93"/>
    <w:rsid w:val="007B02E3"/>
    <w:rsid w:val="007B3132"/>
    <w:rsid w:val="007B323F"/>
    <w:rsid w:val="007B539D"/>
    <w:rsid w:val="007B7963"/>
    <w:rsid w:val="007C0F08"/>
    <w:rsid w:val="007C13D0"/>
    <w:rsid w:val="007C1E39"/>
    <w:rsid w:val="007C2A76"/>
    <w:rsid w:val="007C2B04"/>
    <w:rsid w:val="007E2AC9"/>
    <w:rsid w:val="007E548A"/>
    <w:rsid w:val="007F4E20"/>
    <w:rsid w:val="007F6F7F"/>
    <w:rsid w:val="007F7086"/>
    <w:rsid w:val="00802C2B"/>
    <w:rsid w:val="008076FA"/>
    <w:rsid w:val="00820241"/>
    <w:rsid w:val="008225F9"/>
    <w:rsid w:val="00822659"/>
    <w:rsid w:val="008240F7"/>
    <w:rsid w:val="00824809"/>
    <w:rsid w:val="0082668C"/>
    <w:rsid w:val="00826FE1"/>
    <w:rsid w:val="00835CCD"/>
    <w:rsid w:val="00836B23"/>
    <w:rsid w:val="008377FF"/>
    <w:rsid w:val="00843BF6"/>
    <w:rsid w:val="00854BCD"/>
    <w:rsid w:val="00855513"/>
    <w:rsid w:val="00861349"/>
    <w:rsid w:val="00861618"/>
    <w:rsid w:val="00865890"/>
    <w:rsid w:val="00896AE0"/>
    <w:rsid w:val="008A5EB5"/>
    <w:rsid w:val="008B147C"/>
    <w:rsid w:val="008B1F76"/>
    <w:rsid w:val="008B445C"/>
    <w:rsid w:val="008B55F2"/>
    <w:rsid w:val="008B63BA"/>
    <w:rsid w:val="008B66C2"/>
    <w:rsid w:val="008C0F68"/>
    <w:rsid w:val="008C5B82"/>
    <w:rsid w:val="008C7E24"/>
    <w:rsid w:val="008D3E1A"/>
    <w:rsid w:val="008E2695"/>
    <w:rsid w:val="008E4294"/>
    <w:rsid w:val="008F02DD"/>
    <w:rsid w:val="008F344A"/>
    <w:rsid w:val="00916B64"/>
    <w:rsid w:val="00924470"/>
    <w:rsid w:val="00930915"/>
    <w:rsid w:val="00936AD7"/>
    <w:rsid w:val="00940662"/>
    <w:rsid w:val="009443DD"/>
    <w:rsid w:val="0095060D"/>
    <w:rsid w:val="00967764"/>
    <w:rsid w:val="00981098"/>
    <w:rsid w:val="009823F8"/>
    <w:rsid w:val="00982974"/>
    <w:rsid w:val="00982A10"/>
    <w:rsid w:val="00983056"/>
    <w:rsid w:val="009839D3"/>
    <w:rsid w:val="0098568E"/>
    <w:rsid w:val="009A385E"/>
    <w:rsid w:val="009A5F64"/>
    <w:rsid w:val="009A7483"/>
    <w:rsid w:val="009B1A57"/>
    <w:rsid w:val="009C5C89"/>
    <w:rsid w:val="009C6386"/>
    <w:rsid w:val="009D5CEF"/>
    <w:rsid w:val="009D6119"/>
    <w:rsid w:val="009E324D"/>
    <w:rsid w:val="009E33FB"/>
    <w:rsid w:val="009E494C"/>
    <w:rsid w:val="009F2A8A"/>
    <w:rsid w:val="00A019AB"/>
    <w:rsid w:val="00A01ED9"/>
    <w:rsid w:val="00A02B65"/>
    <w:rsid w:val="00A07B58"/>
    <w:rsid w:val="00A11193"/>
    <w:rsid w:val="00A14C37"/>
    <w:rsid w:val="00A17FD9"/>
    <w:rsid w:val="00A20458"/>
    <w:rsid w:val="00A221C0"/>
    <w:rsid w:val="00A33757"/>
    <w:rsid w:val="00A33DEF"/>
    <w:rsid w:val="00A41EF3"/>
    <w:rsid w:val="00A46379"/>
    <w:rsid w:val="00A4663A"/>
    <w:rsid w:val="00A545A9"/>
    <w:rsid w:val="00A55FA5"/>
    <w:rsid w:val="00A61CB2"/>
    <w:rsid w:val="00A6431F"/>
    <w:rsid w:val="00A650D8"/>
    <w:rsid w:val="00A722F4"/>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EB"/>
    <w:rsid w:val="00AD44F9"/>
    <w:rsid w:val="00AE1F8A"/>
    <w:rsid w:val="00AE7AA9"/>
    <w:rsid w:val="00AF054F"/>
    <w:rsid w:val="00B00C1B"/>
    <w:rsid w:val="00B07DFE"/>
    <w:rsid w:val="00B103F1"/>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B2459"/>
    <w:rsid w:val="00BC2A8A"/>
    <w:rsid w:val="00BC4E30"/>
    <w:rsid w:val="00BC5C33"/>
    <w:rsid w:val="00BD0B5B"/>
    <w:rsid w:val="00BD5956"/>
    <w:rsid w:val="00BD7877"/>
    <w:rsid w:val="00BE6433"/>
    <w:rsid w:val="00BE66D4"/>
    <w:rsid w:val="00C068D8"/>
    <w:rsid w:val="00C11640"/>
    <w:rsid w:val="00C119CC"/>
    <w:rsid w:val="00C14CCB"/>
    <w:rsid w:val="00C21F45"/>
    <w:rsid w:val="00C35A20"/>
    <w:rsid w:val="00C418EC"/>
    <w:rsid w:val="00C43F6E"/>
    <w:rsid w:val="00C44C82"/>
    <w:rsid w:val="00C546C0"/>
    <w:rsid w:val="00C549FE"/>
    <w:rsid w:val="00C56CC4"/>
    <w:rsid w:val="00C617DC"/>
    <w:rsid w:val="00C61FC9"/>
    <w:rsid w:val="00C634BB"/>
    <w:rsid w:val="00C63F4D"/>
    <w:rsid w:val="00C6491F"/>
    <w:rsid w:val="00C65AA1"/>
    <w:rsid w:val="00C661A8"/>
    <w:rsid w:val="00C66953"/>
    <w:rsid w:val="00C80CE0"/>
    <w:rsid w:val="00C82560"/>
    <w:rsid w:val="00C82A8C"/>
    <w:rsid w:val="00C83DB5"/>
    <w:rsid w:val="00C926B4"/>
    <w:rsid w:val="00C9757F"/>
    <w:rsid w:val="00CA0345"/>
    <w:rsid w:val="00CA20FA"/>
    <w:rsid w:val="00CA518E"/>
    <w:rsid w:val="00CB5BAD"/>
    <w:rsid w:val="00CB74B0"/>
    <w:rsid w:val="00CC546B"/>
    <w:rsid w:val="00CD0A54"/>
    <w:rsid w:val="00CD3283"/>
    <w:rsid w:val="00CD50A4"/>
    <w:rsid w:val="00CD74E9"/>
    <w:rsid w:val="00CE171A"/>
    <w:rsid w:val="00CE4D45"/>
    <w:rsid w:val="00CE7138"/>
    <w:rsid w:val="00CF0EF9"/>
    <w:rsid w:val="00CF1826"/>
    <w:rsid w:val="00CF1B83"/>
    <w:rsid w:val="00CF4D2F"/>
    <w:rsid w:val="00CF72F6"/>
    <w:rsid w:val="00D03547"/>
    <w:rsid w:val="00D22F21"/>
    <w:rsid w:val="00D24634"/>
    <w:rsid w:val="00D27E14"/>
    <w:rsid w:val="00D40502"/>
    <w:rsid w:val="00D429C8"/>
    <w:rsid w:val="00D43163"/>
    <w:rsid w:val="00D467FF"/>
    <w:rsid w:val="00D5323B"/>
    <w:rsid w:val="00D60E04"/>
    <w:rsid w:val="00D610CE"/>
    <w:rsid w:val="00D623DB"/>
    <w:rsid w:val="00D65E97"/>
    <w:rsid w:val="00D67C43"/>
    <w:rsid w:val="00D70E82"/>
    <w:rsid w:val="00D71916"/>
    <w:rsid w:val="00D71B35"/>
    <w:rsid w:val="00D73C46"/>
    <w:rsid w:val="00D850DE"/>
    <w:rsid w:val="00D905B7"/>
    <w:rsid w:val="00D955F8"/>
    <w:rsid w:val="00DA17BB"/>
    <w:rsid w:val="00DA2024"/>
    <w:rsid w:val="00DA2E07"/>
    <w:rsid w:val="00DA52B1"/>
    <w:rsid w:val="00DB3BF8"/>
    <w:rsid w:val="00DB5798"/>
    <w:rsid w:val="00DC1371"/>
    <w:rsid w:val="00DD1167"/>
    <w:rsid w:val="00DD2C28"/>
    <w:rsid w:val="00DD3FDF"/>
    <w:rsid w:val="00DD5AC5"/>
    <w:rsid w:val="00DE2BF2"/>
    <w:rsid w:val="00DF4C2A"/>
    <w:rsid w:val="00E00D64"/>
    <w:rsid w:val="00E07552"/>
    <w:rsid w:val="00E079C1"/>
    <w:rsid w:val="00E11F07"/>
    <w:rsid w:val="00E1280A"/>
    <w:rsid w:val="00E14C97"/>
    <w:rsid w:val="00E1658F"/>
    <w:rsid w:val="00E3408F"/>
    <w:rsid w:val="00E34411"/>
    <w:rsid w:val="00E3636E"/>
    <w:rsid w:val="00E41534"/>
    <w:rsid w:val="00E41E4F"/>
    <w:rsid w:val="00E42DF8"/>
    <w:rsid w:val="00E43BE9"/>
    <w:rsid w:val="00E4487C"/>
    <w:rsid w:val="00E45F6D"/>
    <w:rsid w:val="00E460CB"/>
    <w:rsid w:val="00E74B9D"/>
    <w:rsid w:val="00E770E5"/>
    <w:rsid w:val="00E7777B"/>
    <w:rsid w:val="00E81116"/>
    <w:rsid w:val="00E839B1"/>
    <w:rsid w:val="00E919F9"/>
    <w:rsid w:val="00E95CEE"/>
    <w:rsid w:val="00E9682C"/>
    <w:rsid w:val="00EA0A87"/>
    <w:rsid w:val="00EA56FD"/>
    <w:rsid w:val="00EB63C0"/>
    <w:rsid w:val="00EB749E"/>
    <w:rsid w:val="00EC3BD5"/>
    <w:rsid w:val="00ED5ADB"/>
    <w:rsid w:val="00ED7A97"/>
    <w:rsid w:val="00EE3B4D"/>
    <w:rsid w:val="00EE4045"/>
    <w:rsid w:val="00EF11AD"/>
    <w:rsid w:val="00EF5099"/>
    <w:rsid w:val="00F019C5"/>
    <w:rsid w:val="00F041AA"/>
    <w:rsid w:val="00F04EBC"/>
    <w:rsid w:val="00F10252"/>
    <w:rsid w:val="00F12DF8"/>
    <w:rsid w:val="00F216E5"/>
    <w:rsid w:val="00F23FEF"/>
    <w:rsid w:val="00F333A9"/>
    <w:rsid w:val="00F33A97"/>
    <w:rsid w:val="00F43ADF"/>
    <w:rsid w:val="00F60281"/>
    <w:rsid w:val="00F62F5C"/>
    <w:rsid w:val="00F63F3B"/>
    <w:rsid w:val="00F67288"/>
    <w:rsid w:val="00F71510"/>
    <w:rsid w:val="00F72062"/>
    <w:rsid w:val="00F75E3D"/>
    <w:rsid w:val="00F81F26"/>
    <w:rsid w:val="00F81FC3"/>
    <w:rsid w:val="00F8246A"/>
    <w:rsid w:val="00FA30CB"/>
    <w:rsid w:val="00FA7999"/>
    <w:rsid w:val="00FA7C5C"/>
    <w:rsid w:val="00FB0CFC"/>
    <w:rsid w:val="00FC0FAA"/>
    <w:rsid w:val="00FC6232"/>
    <w:rsid w:val="00FC709A"/>
    <w:rsid w:val="00FC7C56"/>
    <w:rsid w:val="00FD0F0A"/>
    <w:rsid w:val="00FD3127"/>
    <w:rsid w:val="00FD3663"/>
    <w:rsid w:val="00FD4C0C"/>
    <w:rsid w:val="00FD7AAC"/>
    <w:rsid w:val="00FF084D"/>
    <w:rsid w:val="00FF10AF"/>
    <w:rsid w:val="00FF354C"/>
    <w:rsid w:val="00FF6C9F"/>
    <w:rsid w:val="4178294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silver,#eaeaea"/>
    </o:shapedefaults>
    <o:shapelayout v:ext="edit">
      <o:idmap v:ext="edit" data="1"/>
    </o:shapelayout>
  </w:shapeDefaults>
  <w:decimalSymbol w:val="."/>
  <w:listSeparator w:val=","/>
  <w14:docId w14:val="64B6B71B"/>
  <w15:docId w15:val="{9BD1B728-5F1A-4AD7-82A5-2D52E09B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20552">
      <w:bodyDiv w:val="1"/>
      <w:marLeft w:val="0"/>
      <w:marRight w:val="0"/>
      <w:marTop w:val="0"/>
      <w:marBottom w:val="0"/>
      <w:divBdr>
        <w:top w:val="none" w:sz="0" w:space="0" w:color="auto"/>
        <w:left w:val="none" w:sz="0" w:space="0" w:color="auto"/>
        <w:bottom w:val="none" w:sz="0" w:space="0" w:color="auto"/>
        <w:right w:val="none" w:sz="0" w:space="0" w:color="auto"/>
      </w:divBdr>
    </w:div>
    <w:div w:id="621421964">
      <w:bodyDiv w:val="1"/>
      <w:marLeft w:val="0"/>
      <w:marRight w:val="0"/>
      <w:marTop w:val="0"/>
      <w:marBottom w:val="0"/>
      <w:divBdr>
        <w:top w:val="none" w:sz="0" w:space="0" w:color="auto"/>
        <w:left w:val="none" w:sz="0" w:space="0" w:color="auto"/>
        <w:bottom w:val="none" w:sz="0" w:space="0" w:color="auto"/>
        <w:right w:val="none" w:sz="0" w:space="0" w:color="auto"/>
      </w:divBdr>
    </w:div>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8672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2.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1D2CB-7BA3-4F31-AEB9-1FFE84D8D0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A7913-3EED-4B1E-BDAA-7CA7DC57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James Wake</cp:lastModifiedBy>
  <cp:revision>4</cp:revision>
  <cp:lastPrinted>2020-03-10T08:38:00Z</cp:lastPrinted>
  <dcterms:created xsi:type="dcterms:W3CDTF">2021-04-16T00:34:00Z</dcterms:created>
  <dcterms:modified xsi:type="dcterms:W3CDTF">2021-04-16T05:48:00Z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