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22"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8D5E21" w14:paraId="2DC9978C" w14:textId="77777777" w:rsidTr="00A22E0D">
        <w:tc>
          <w:tcPr>
            <w:tcW w:w="4661" w:type="dxa"/>
          </w:tcPr>
          <w:p w14:paraId="17F4495A" w14:textId="7EC68F62" w:rsidR="00090A6F" w:rsidRPr="0000292B" w:rsidRDefault="00364B30" w:rsidP="00E41C50">
            <w:pPr>
              <w:pStyle w:val="CoverStandard"/>
              <w:tabs>
                <w:tab w:val="right" w:pos="4445"/>
              </w:tabs>
            </w:pPr>
            <w:r>
              <w:t>AASB</w:t>
            </w:r>
            <w:r w:rsidR="00831497">
              <w:t xml:space="preserve"> Standard</w:t>
            </w:r>
            <w:r w:rsidR="00E41C50">
              <w:tab/>
            </w:r>
          </w:p>
        </w:tc>
        <w:tc>
          <w:tcPr>
            <w:tcW w:w="4661" w:type="dxa"/>
          </w:tcPr>
          <w:p w14:paraId="11AEB5C6" w14:textId="7C0AA628" w:rsidR="00090A6F" w:rsidRPr="008D5E21" w:rsidRDefault="00831497">
            <w:pPr>
              <w:pStyle w:val="CoverNumber"/>
            </w:pPr>
            <w:r w:rsidRPr="008D5E21">
              <w:t>AASB</w:t>
            </w:r>
            <w:r w:rsidR="00090A6F" w:rsidRPr="008D5E21">
              <w:t xml:space="preserve"> </w:t>
            </w:r>
            <w:bookmarkStart w:id="0" w:name="DocNo"/>
            <w:r w:rsidR="002454EF" w:rsidRPr="008D5E21">
              <w:t>2021</w:t>
            </w:r>
            <w:r w:rsidR="00E41C50">
              <w:t>-2</w:t>
            </w:r>
            <w:bookmarkEnd w:id="0"/>
          </w:p>
          <w:p w14:paraId="7680299E" w14:textId="77777777" w:rsidR="00090A6F" w:rsidRPr="008D5E21" w:rsidRDefault="002454EF">
            <w:pPr>
              <w:pStyle w:val="CoverDate"/>
            </w:pPr>
            <w:bookmarkStart w:id="1" w:name="DocDate"/>
            <w:r w:rsidRPr="008D5E21">
              <w:t>March 2021</w:t>
            </w:r>
            <w:bookmarkEnd w:id="1"/>
          </w:p>
        </w:tc>
      </w:tr>
    </w:tbl>
    <w:p w14:paraId="29C7A729" w14:textId="4B862AD1" w:rsidR="00090A6F" w:rsidRPr="0000292B" w:rsidRDefault="002454EF" w:rsidP="00B42740">
      <w:pPr>
        <w:pStyle w:val="CoverTitle"/>
        <w:jc w:val="left"/>
      </w:pPr>
      <w:bookmarkStart w:id="2" w:name="DocTitle"/>
      <w:r>
        <w:t>Amendments to Australian Accounting Standards – Disclosure of Accounting Policies and Definition of Accounting Estimates</w:t>
      </w:r>
      <w:bookmarkEnd w:id="2"/>
    </w:p>
    <w:p w14:paraId="6B648671" w14:textId="63B26BCD" w:rsidR="00C5022C" w:rsidRPr="00C5022C" w:rsidRDefault="002B7803" w:rsidP="000E74AB">
      <w:pPr>
        <w:pStyle w:val="CoverSubtitle"/>
        <w:jc w:val="left"/>
      </w:pPr>
      <w:r>
        <w:t>[</w:t>
      </w:r>
      <w:bookmarkStart w:id="3" w:name="AmendingNos"/>
      <w:r w:rsidR="002454EF">
        <w:t xml:space="preserve">AASB </w:t>
      </w:r>
      <w:r w:rsidR="004F5EF0">
        <w:t>7</w:t>
      </w:r>
      <w:r w:rsidR="002454EF">
        <w:t xml:space="preserve">, </w:t>
      </w:r>
      <w:r w:rsidR="002454EF" w:rsidDel="00F004EC">
        <w:t xml:space="preserve">AASB </w:t>
      </w:r>
      <w:r w:rsidR="004F5EF0">
        <w:t>101</w:t>
      </w:r>
      <w:r w:rsidR="00C45283">
        <w:t xml:space="preserve">, AASB </w:t>
      </w:r>
      <w:r w:rsidR="004F5EF0">
        <w:t>108</w:t>
      </w:r>
      <w:r w:rsidR="00F004EC">
        <w:t>, AASB 134</w:t>
      </w:r>
      <w:r w:rsidR="002454EF">
        <w:t xml:space="preserve"> &amp; AASB</w:t>
      </w:r>
      <w:r w:rsidR="00AE0A48">
        <w:t> </w:t>
      </w:r>
      <w:r w:rsidR="002454EF">
        <w:t>Practice Statement 2</w:t>
      </w:r>
      <w:bookmarkEnd w:id="3"/>
      <w:r>
        <w:t>]</w:t>
      </w:r>
    </w:p>
    <w:p w14:paraId="0A867FE3" w14:textId="77777777" w:rsidR="00737714" w:rsidRPr="0000292B" w:rsidRDefault="00737714" w:rsidP="00737714"/>
    <w:p w14:paraId="64E4CB0E" w14:textId="77777777" w:rsidR="00090A6F" w:rsidRPr="0000292B" w:rsidRDefault="008B643A">
      <w:pPr>
        <w:sectPr w:rsidR="00090A6F" w:rsidRPr="0000292B" w:rsidSect="00BE6D57">
          <w:pgSz w:w="11907" w:h="16840" w:code="9"/>
          <w:pgMar w:top="1418" w:right="1418" w:bottom="1418" w:left="1418" w:header="709" w:footer="709" w:gutter="0"/>
          <w:paperSrc w:first="7" w:other="7"/>
          <w:cols w:space="720"/>
        </w:sectPr>
      </w:pPr>
      <w:r>
        <w:rPr>
          <w:noProof/>
          <w:lang w:eastAsia="en-AU"/>
        </w:rPr>
        <w:drawing>
          <wp:anchor distT="0" distB="0" distL="114300" distR="114300" simplePos="0" relativeHeight="251658240" behindDoc="0" locked="1" layoutInCell="1" allowOverlap="1" wp14:anchorId="54B29863" wp14:editId="628CDE83">
            <wp:simplePos x="0" y="0"/>
            <wp:positionH relativeFrom="margin">
              <wp:posOffset>0</wp:posOffset>
            </wp:positionH>
            <wp:positionV relativeFrom="margin">
              <wp:align>bottom</wp:align>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4EBCA4" w14:textId="77777777" w:rsidR="00737714" w:rsidRPr="0000292B" w:rsidRDefault="00737714" w:rsidP="007E58E5">
      <w:pPr>
        <w:pStyle w:val="Heading1"/>
      </w:pPr>
      <w:r w:rsidRPr="0000292B">
        <w:lastRenderedPageBreak/>
        <w:t xml:space="preserve">Obtaining a </w:t>
      </w:r>
      <w:r w:rsidR="005655CE">
        <w:t>c</w:t>
      </w:r>
      <w:r w:rsidRPr="0000292B">
        <w:t xml:space="preserve">opy of this </w:t>
      </w:r>
      <w:r w:rsidR="00C5022C">
        <w:t>Accounting Standard</w:t>
      </w:r>
    </w:p>
    <w:p w14:paraId="3FA7B047" w14:textId="77777777" w:rsidR="00737714" w:rsidRPr="0000292B" w:rsidRDefault="00737714" w:rsidP="00895809">
      <w:pPr>
        <w:spacing w:after="200"/>
      </w:pPr>
      <w:r w:rsidRPr="0000292B">
        <w:t xml:space="preserve">This </w:t>
      </w:r>
      <w:r w:rsidR="00C5022C">
        <w:t>Standard</w:t>
      </w:r>
      <w:r w:rsidRPr="0000292B">
        <w:t xml:space="preserve"> is available o</w:t>
      </w:r>
      <w:r w:rsidR="00923261">
        <w:t>n the AASB website: www.aasb.gov</w:t>
      </w:r>
      <w:r w:rsidRPr="0000292B">
        <w:t>.au.</w:t>
      </w:r>
    </w:p>
    <w:p w14:paraId="1F225F53" w14:textId="77777777" w:rsidR="00895809" w:rsidRPr="0000292B" w:rsidRDefault="00895809" w:rsidP="00895809">
      <w:r w:rsidRPr="0000292B">
        <w:t>Australian Accounting Standards Board</w:t>
      </w:r>
    </w:p>
    <w:p w14:paraId="04AFAA3B" w14:textId="77777777" w:rsidR="00895809" w:rsidRPr="0000292B" w:rsidRDefault="00895809" w:rsidP="00895809">
      <w:r>
        <w:t>PO Box 204</w:t>
      </w:r>
    </w:p>
    <w:p w14:paraId="622239F3" w14:textId="77777777" w:rsidR="00895809" w:rsidRPr="0000292B" w:rsidRDefault="00895809" w:rsidP="00895809">
      <w:r>
        <w:t>Collins Street West</w:t>
      </w:r>
    </w:p>
    <w:p w14:paraId="56161909" w14:textId="77777777" w:rsidR="00895809" w:rsidRPr="0000292B" w:rsidRDefault="00895809" w:rsidP="00895809">
      <w:r>
        <w:t>Victoria   8007</w:t>
      </w:r>
    </w:p>
    <w:p w14:paraId="28CB4E7B" w14:textId="77777777" w:rsidR="00895809" w:rsidRDefault="00895809" w:rsidP="00895809">
      <w:pPr>
        <w:pStyle w:val="CoverContact"/>
        <w:spacing w:after="200"/>
      </w:pPr>
      <w:r w:rsidRPr="0000292B">
        <w:t>AUSTRALIA</w:t>
      </w:r>
    </w:p>
    <w:p w14:paraId="1A8E80DB" w14:textId="77777777" w:rsidR="00737714" w:rsidRDefault="0034243B" w:rsidP="00B82F15">
      <w:pPr>
        <w:pStyle w:val="CoverContact"/>
      </w:pPr>
      <w:r>
        <w:t>Phone:</w:t>
      </w:r>
      <w:r>
        <w:tab/>
        <w:t>(03) 9617 7600</w:t>
      </w:r>
    </w:p>
    <w:p w14:paraId="67F1FF90" w14:textId="77777777" w:rsidR="00E96D45" w:rsidRDefault="00DB00CD" w:rsidP="00DB00CD">
      <w:pPr>
        <w:pStyle w:val="CoverContact"/>
      </w:pPr>
      <w:r>
        <w:t>E-mail:</w:t>
      </w:r>
      <w:r>
        <w:tab/>
      </w:r>
      <w:r w:rsidR="0034243B">
        <w:t>standard</w:t>
      </w:r>
      <w:r>
        <w:t>@aasb.gov</w:t>
      </w:r>
      <w:r w:rsidRPr="00C5022C">
        <w:t>.au</w:t>
      </w:r>
    </w:p>
    <w:p w14:paraId="49E62562" w14:textId="77777777" w:rsidR="00E96D45" w:rsidRPr="00E96D45" w:rsidRDefault="00DB00CD" w:rsidP="00DB00CD">
      <w:pPr>
        <w:pStyle w:val="CoverContact"/>
        <w:spacing w:after="240"/>
      </w:pPr>
      <w:r>
        <w:t>Website:</w:t>
      </w:r>
      <w:r>
        <w:tab/>
        <w:t>www.aasb.gov.au</w:t>
      </w:r>
    </w:p>
    <w:p w14:paraId="1D34F3ED" w14:textId="77777777" w:rsidR="00090A6F" w:rsidRPr="0000292B" w:rsidRDefault="00090A6F" w:rsidP="00F13C5A">
      <w:pPr>
        <w:pStyle w:val="Heading1"/>
      </w:pPr>
      <w:r w:rsidRPr="0000292B">
        <w:t xml:space="preserve">Other </w:t>
      </w:r>
      <w:r w:rsidR="005655CE" w:rsidRPr="0000292B">
        <w:t>enquiries</w:t>
      </w:r>
    </w:p>
    <w:p w14:paraId="137E7DFA" w14:textId="77777777" w:rsidR="00090A6F" w:rsidRPr="0000292B" w:rsidRDefault="00090A6F" w:rsidP="00B82F15">
      <w:pPr>
        <w:pStyle w:val="CoverContact"/>
      </w:pPr>
      <w:r w:rsidRPr="0000292B">
        <w:t>Phone:</w:t>
      </w:r>
      <w:r w:rsidRPr="0000292B">
        <w:tab/>
        <w:t xml:space="preserve">(03) </w:t>
      </w:r>
      <w:r w:rsidRPr="00B82F15">
        <w:t>9617</w:t>
      </w:r>
      <w:r w:rsidRPr="0000292B">
        <w:t xml:space="preserve"> 7600</w:t>
      </w:r>
    </w:p>
    <w:p w14:paraId="76B3A01B" w14:textId="77777777" w:rsidR="00090A6F" w:rsidRPr="0000292B" w:rsidRDefault="00923261">
      <w:pPr>
        <w:pStyle w:val="CoverContact"/>
      </w:pPr>
      <w:r>
        <w:t>E-mail:</w:t>
      </w:r>
      <w:r>
        <w:tab/>
        <w:t>standard@aasb.gov</w:t>
      </w:r>
      <w:r w:rsidR="00090A6F" w:rsidRPr="0000292B">
        <w:t>.au</w:t>
      </w:r>
    </w:p>
    <w:p w14:paraId="6412262A" w14:textId="77777777" w:rsidR="00276BC5" w:rsidRDefault="00276BC5" w:rsidP="00895809">
      <w:pPr>
        <w:pStyle w:val="NoNumPlain1"/>
        <w:spacing w:before="6240"/>
      </w:pPr>
      <w:r>
        <w:t>COPYRIGHT</w:t>
      </w:r>
    </w:p>
    <w:p w14:paraId="274F0AED" w14:textId="77777777" w:rsidR="00276BC5" w:rsidRDefault="00276BC5" w:rsidP="00276BC5">
      <w:pPr>
        <w:pStyle w:val="NoNumPlain1"/>
      </w:pPr>
      <w:r>
        <w:t xml:space="preserve">© Commonwealth of Australia </w:t>
      </w:r>
      <w:bookmarkStart w:id="4" w:name="Year"/>
      <w:r w:rsidR="002454EF">
        <w:t>2021</w:t>
      </w:r>
      <w:bookmarkEnd w:id="4"/>
    </w:p>
    <w:p w14:paraId="1E62EEA1" w14:textId="77777777" w:rsidR="00276BC5" w:rsidRPr="00DE4E67" w:rsidRDefault="00276BC5" w:rsidP="00276BC5">
      <w:pPr>
        <w:pStyle w:val="NoNumPlain1"/>
      </w:pPr>
      <w:r w:rsidRPr="00DE4E67">
        <w:t xml:space="preserve">This AASB Standard contains </w:t>
      </w:r>
      <w:r>
        <w:t>IFRS</w:t>
      </w:r>
      <w:r w:rsidRPr="00DE4E67">
        <w:t xml:space="preserve"> Foundation copyright material.  Reproduction within Australia in unaltered form (retaining this notice) is permitted for personal and non</w:t>
      </w:r>
      <w:r w:rsidR="00895809">
        <w:t>-</w:t>
      </w:r>
      <w:r w:rsidRPr="00DE4E67">
        <w:t xml:space="preserve">commercial use subject to the inclusion of an acknowledgment of the source.  Requests and enquiries concerning reproduction and rights for commercial purposes within Australia should be addressed to The </w:t>
      </w:r>
      <w:r w:rsidR="0034243B">
        <w:t xml:space="preserve">National </w:t>
      </w:r>
      <w:r w:rsidRPr="00DE4E67">
        <w:t xml:space="preserve">Director, Australian Accounting Standards Board, </w:t>
      </w:r>
      <w:r w:rsidR="00895809">
        <w:t>PO Box </w:t>
      </w:r>
      <w:r w:rsidRPr="00DE4E67">
        <w:t>204, Collins Street West, Victoria 8007.</w:t>
      </w:r>
    </w:p>
    <w:p w14:paraId="546969BC" w14:textId="77777777" w:rsidR="00276BC5" w:rsidRPr="00DE4E67" w:rsidRDefault="00276BC5" w:rsidP="00895809">
      <w:pPr>
        <w:spacing w:after="200"/>
      </w:pPr>
      <w:r w:rsidRPr="00DE4E67">
        <w:t>All existing rights in this material are reserved outside Australia.</w:t>
      </w:r>
      <w:r w:rsidR="00895809">
        <w:t xml:space="preserve">  </w:t>
      </w:r>
      <w:r w:rsidRPr="00DE4E67">
        <w:t xml:space="preserve">Reproduction outside Australia in unaltered form (retaining this notice) is permitted for personal and non-commercial use only.  Further information and requests for authorisation to reproduce for commercial purposes outside Australia should be addressed to the </w:t>
      </w:r>
      <w:r>
        <w:t>IFRS</w:t>
      </w:r>
      <w:r w:rsidRPr="00DE4E67">
        <w:t xml:space="preserve"> Foundation at www.</w:t>
      </w:r>
      <w:r>
        <w:t>ifrs</w:t>
      </w:r>
      <w:r w:rsidRPr="00DE4E67">
        <w:t>.org.</w:t>
      </w:r>
    </w:p>
    <w:p w14:paraId="6B0A2391" w14:textId="77777777" w:rsidR="007455F0" w:rsidRPr="0000292B" w:rsidRDefault="006D4700" w:rsidP="006D4700">
      <w:r>
        <w:t xml:space="preserve">ISSN </w:t>
      </w:r>
      <w:bookmarkStart w:id="5" w:name="ISSN"/>
      <w:r w:rsidR="002454EF">
        <w:t>1036-4803</w:t>
      </w:r>
      <w:bookmarkEnd w:id="5"/>
    </w:p>
    <w:p w14:paraId="7F035C72" w14:textId="77777777" w:rsidR="00090A6F" w:rsidRPr="0000292B" w:rsidRDefault="00090A6F">
      <w:pPr>
        <w:sectPr w:rsidR="00090A6F" w:rsidRPr="0000292B" w:rsidSect="00BE6D57">
          <w:footerReference w:type="default" r:id="rId12"/>
          <w:pgSz w:w="11907" w:h="16840" w:code="9"/>
          <w:pgMar w:top="1418" w:right="1418" w:bottom="1418" w:left="1418" w:header="709" w:footer="709" w:gutter="0"/>
          <w:paperSrc w:first="7" w:other="7"/>
          <w:cols w:space="720"/>
        </w:sectPr>
      </w:pPr>
    </w:p>
    <w:p w14:paraId="0AA2111B" w14:textId="6BB7A92B" w:rsidR="007F3F45" w:rsidRDefault="005655CE" w:rsidP="007F3F45">
      <w:pPr>
        <w:pStyle w:val="Heading1"/>
      </w:pPr>
      <w:r w:rsidRPr="0000292B">
        <w:lastRenderedPageBreak/>
        <w:t>Contents</w:t>
      </w:r>
    </w:p>
    <w:p w14:paraId="43D3A6C0" w14:textId="06EE9A4C" w:rsidR="00090A6F" w:rsidRPr="0000292B" w:rsidRDefault="00090A6F" w:rsidP="0019316B">
      <w:pPr>
        <w:pStyle w:val="ContentsCapsPlain"/>
        <w:spacing w:before="400"/>
      </w:pPr>
      <w:r w:rsidRPr="0000292B">
        <w:t>Preface</w:t>
      </w:r>
    </w:p>
    <w:p w14:paraId="29B0ECC4" w14:textId="77777777" w:rsidR="00090A6F" w:rsidRPr="0000292B" w:rsidRDefault="00090A6F">
      <w:pPr>
        <w:pStyle w:val="ContentsCapsBold"/>
      </w:pPr>
      <w:r w:rsidRPr="0000292B">
        <w:t>Accounting Standard</w:t>
      </w:r>
    </w:p>
    <w:p w14:paraId="0377ECF4" w14:textId="69126FCD" w:rsidR="00090A6F" w:rsidRDefault="00090A6F">
      <w:pPr>
        <w:pStyle w:val="ContentsCapsBold"/>
        <w:rPr>
          <w:i/>
          <w:iCs/>
        </w:rPr>
      </w:pPr>
      <w:r w:rsidRPr="0000292B">
        <w:t xml:space="preserve">AASB </w:t>
      </w:r>
      <w:r w:rsidR="009C2479" w:rsidRPr="008D5E21">
        <w:rPr>
          <w:iCs/>
        </w:rPr>
        <w:fldChar w:fldCharType="begin" w:fldLock="1"/>
      </w:r>
      <w:r w:rsidR="009C2479" w:rsidRPr="008D5E21">
        <w:rPr>
          <w:iCs/>
        </w:rPr>
        <w:instrText xml:space="preserve"> REF DocNo \* charformat </w:instrText>
      </w:r>
      <w:r w:rsidR="00651B62" w:rsidRPr="008D5E21">
        <w:rPr>
          <w:iCs/>
        </w:rPr>
        <w:instrText xml:space="preserve"> \* MERGEFORMAT </w:instrText>
      </w:r>
      <w:r w:rsidR="009C2479" w:rsidRPr="008D5E21">
        <w:rPr>
          <w:iCs/>
        </w:rPr>
        <w:fldChar w:fldCharType="separate"/>
      </w:r>
      <w:r w:rsidR="002454EF" w:rsidRPr="008D5E21">
        <w:rPr>
          <w:iCs/>
        </w:rPr>
        <w:t>2021-</w:t>
      </w:r>
      <w:r w:rsidR="00673627">
        <w:rPr>
          <w:iCs/>
        </w:rPr>
        <w:t>2</w:t>
      </w:r>
      <w:r w:rsidR="009C2479" w:rsidRPr="008D5E21">
        <w:rPr>
          <w:iCs/>
        </w:rPr>
        <w:fldChar w:fldCharType="end"/>
      </w:r>
      <w:r w:rsidRPr="0000292B">
        <w:t xml:space="preserve"> </w:t>
      </w:r>
      <w:r w:rsidR="00CC1DF4" w:rsidRPr="00CC1DF4">
        <w:rPr>
          <w:i/>
        </w:rPr>
        <w:fldChar w:fldCharType="begin" w:fldLock="1"/>
      </w:r>
      <w:r w:rsidR="00CC1DF4" w:rsidRPr="00CC1DF4">
        <w:rPr>
          <w:i/>
        </w:rPr>
        <w:instrText xml:space="preserve"> REF DocTitle \* charformat </w:instrText>
      </w:r>
      <w:r w:rsidR="00CC1DF4" w:rsidRPr="00CC1DF4">
        <w:rPr>
          <w:i/>
        </w:rPr>
        <w:fldChar w:fldCharType="separate"/>
      </w:r>
      <w:r w:rsidR="002454EF" w:rsidRPr="002454EF">
        <w:rPr>
          <w:i/>
        </w:rPr>
        <w:t xml:space="preserve">Amendments to Australian Accounting Standards – Disclosure of Accounting Policies and Definition of Accounting Estimates </w:t>
      </w:r>
      <w:r w:rsidR="00CC1DF4" w:rsidRPr="00CC1DF4">
        <w:rPr>
          <w:i/>
        </w:rPr>
        <w:fldChar w:fldCharType="end"/>
      </w:r>
    </w:p>
    <w:p w14:paraId="2ACA06A3" w14:textId="77777777" w:rsidR="002B7803" w:rsidRPr="002B7803" w:rsidRDefault="002B7803" w:rsidP="002B7803"/>
    <w:p w14:paraId="236D6552" w14:textId="55125CE1" w:rsidR="00090A6F" w:rsidRDefault="009965BA">
      <w:pPr>
        <w:pStyle w:val="ContentsParaHead"/>
      </w:pPr>
      <w:r>
        <w:t>from page</w:t>
      </w:r>
    </w:p>
    <w:p w14:paraId="36D4C6EB" w14:textId="5FDF30CC" w:rsidR="00090A6F" w:rsidRPr="0000292B" w:rsidRDefault="00090A6F" w:rsidP="008C5732">
      <w:pPr>
        <w:pStyle w:val="ContentsLevel1"/>
        <w:ind w:right="0"/>
      </w:pPr>
      <w:bookmarkStart w:id="6" w:name="TOCRange"/>
      <w:r w:rsidRPr="0000292B">
        <w:t>Objective</w:t>
      </w:r>
      <w:r w:rsidRPr="0000292B">
        <w:tab/>
      </w:r>
      <w:r w:rsidR="00C7361C">
        <w:t>5</w:t>
      </w:r>
    </w:p>
    <w:p w14:paraId="1BDFEDD4" w14:textId="1ADADD05" w:rsidR="00090A6F" w:rsidRDefault="00090A6F" w:rsidP="00810D8B">
      <w:pPr>
        <w:pStyle w:val="ContentsLevel1"/>
        <w:ind w:right="0"/>
      </w:pPr>
      <w:r w:rsidRPr="0000292B">
        <w:t>Application</w:t>
      </w:r>
      <w:r w:rsidRPr="0000292B">
        <w:tab/>
      </w:r>
      <w:r w:rsidR="00810D8B">
        <w:t>5</w:t>
      </w:r>
    </w:p>
    <w:p w14:paraId="78B3AA4A" w14:textId="0758CB32" w:rsidR="002454EF" w:rsidRDefault="002454EF" w:rsidP="007407BD">
      <w:pPr>
        <w:pStyle w:val="ContentsLevel1"/>
        <w:ind w:right="0"/>
      </w:pPr>
      <w:r>
        <w:t>Amendments to AASB 101</w:t>
      </w:r>
      <w:r>
        <w:tab/>
      </w:r>
      <w:r w:rsidR="007407BD">
        <w:t>5</w:t>
      </w:r>
    </w:p>
    <w:p w14:paraId="1F98D5A4" w14:textId="11291AE1" w:rsidR="002454EF" w:rsidRDefault="002454EF" w:rsidP="00EB00CD">
      <w:pPr>
        <w:pStyle w:val="ContentsLevel1"/>
        <w:ind w:right="0"/>
      </w:pPr>
      <w:r>
        <w:t>Amendments to AASB 108</w:t>
      </w:r>
      <w:r>
        <w:tab/>
      </w:r>
      <w:r w:rsidR="00EB00CD">
        <w:t>8</w:t>
      </w:r>
    </w:p>
    <w:p w14:paraId="7D85795E" w14:textId="04FC3F49" w:rsidR="000A458A" w:rsidRDefault="000A458A" w:rsidP="0069069D">
      <w:pPr>
        <w:pStyle w:val="ContentsLevel1"/>
        <w:tabs>
          <w:tab w:val="clear" w:pos="9072"/>
          <w:tab w:val="right" w:pos="9071"/>
        </w:tabs>
        <w:ind w:right="0"/>
      </w:pPr>
      <w:r>
        <w:t xml:space="preserve">AMENDMENTS TO OTHER </w:t>
      </w:r>
      <w:r w:rsidR="009C004D">
        <w:t>AASB STANDARDS AND PUBLICATIONS</w:t>
      </w:r>
      <w:r w:rsidR="007F3535">
        <w:tab/>
      </w:r>
      <w:r w:rsidR="00296E8C">
        <w:t>9</w:t>
      </w:r>
    </w:p>
    <w:p w14:paraId="7AFAA3CD" w14:textId="44E8147A" w:rsidR="00296E8C" w:rsidRDefault="00595F1D" w:rsidP="00296E8C">
      <w:pPr>
        <w:pStyle w:val="ContentsLevel1"/>
        <w:ind w:right="0"/>
      </w:pPr>
      <w:r>
        <w:rPr>
          <w:caps w:val="0"/>
        </w:rPr>
        <w:t xml:space="preserve">Amendments </w:t>
      </w:r>
      <w:r w:rsidR="00600D9A">
        <w:rPr>
          <w:caps w:val="0"/>
        </w:rPr>
        <w:t>to</w:t>
      </w:r>
      <w:r w:rsidR="00296E8C">
        <w:t xml:space="preserve"> AASB </w:t>
      </w:r>
      <w:r w:rsidR="00600D9A">
        <w:t>7</w:t>
      </w:r>
      <w:r w:rsidR="00296E8C">
        <w:tab/>
        <w:t>9</w:t>
      </w:r>
    </w:p>
    <w:p w14:paraId="2410D2B2" w14:textId="3B6E7C4A" w:rsidR="00600D9A" w:rsidRDefault="00600D9A" w:rsidP="00600D9A">
      <w:pPr>
        <w:pStyle w:val="ContentsLevel1"/>
        <w:ind w:right="0"/>
      </w:pPr>
      <w:r>
        <w:rPr>
          <w:caps w:val="0"/>
        </w:rPr>
        <w:t>Amendments to</w:t>
      </w:r>
      <w:r>
        <w:t xml:space="preserve"> AASB </w:t>
      </w:r>
      <w:r w:rsidR="00F004EC">
        <w:t>1</w:t>
      </w:r>
      <w:r>
        <w:t>34</w:t>
      </w:r>
      <w:r>
        <w:tab/>
      </w:r>
      <w:r w:rsidR="00E957EC">
        <w:t>11</w:t>
      </w:r>
    </w:p>
    <w:p w14:paraId="5BEC5B40" w14:textId="6627C0FF" w:rsidR="00600D9A" w:rsidRDefault="00600D9A" w:rsidP="00600D9A">
      <w:pPr>
        <w:pStyle w:val="ContentsLevel1"/>
        <w:ind w:right="0"/>
      </w:pPr>
      <w:r>
        <w:rPr>
          <w:caps w:val="0"/>
        </w:rPr>
        <w:t>Amendments to</w:t>
      </w:r>
      <w:r>
        <w:t xml:space="preserve"> AASB P</w:t>
      </w:r>
      <w:r>
        <w:rPr>
          <w:caps w:val="0"/>
        </w:rPr>
        <w:t>ractice</w:t>
      </w:r>
      <w:r>
        <w:t xml:space="preserve"> S</w:t>
      </w:r>
      <w:r>
        <w:rPr>
          <w:caps w:val="0"/>
        </w:rPr>
        <w:t>tatement</w:t>
      </w:r>
      <w:r>
        <w:t xml:space="preserve"> 2</w:t>
      </w:r>
      <w:r>
        <w:tab/>
        <w:t>11</w:t>
      </w:r>
    </w:p>
    <w:p w14:paraId="11E2160D" w14:textId="176EA2FF" w:rsidR="00090A6F" w:rsidRPr="00E95350" w:rsidRDefault="00E95350" w:rsidP="00EA6388">
      <w:pPr>
        <w:tabs>
          <w:tab w:val="right" w:pos="9071"/>
        </w:tabs>
        <w:rPr>
          <w:b/>
          <w:bCs/>
        </w:rPr>
      </w:pPr>
      <w:r w:rsidRPr="00E95350">
        <w:rPr>
          <w:b/>
          <w:bCs/>
        </w:rPr>
        <w:t>COMMENCEMENT OF THE LEGISLATIVE INSTRUMENT</w:t>
      </w:r>
      <w:r w:rsidR="00EA6388">
        <w:rPr>
          <w:b/>
          <w:bCs/>
        </w:rPr>
        <w:tab/>
        <w:t>1</w:t>
      </w:r>
      <w:r w:rsidR="00E957EC">
        <w:rPr>
          <w:b/>
          <w:bCs/>
        </w:rPr>
        <w:t>7</w:t>
      </w:r>
    </w:p>
    <w:bookmarkEnd w:id="6"/>
    <w:p w14:paraId="2974A998" w14:textId="77777777" w:rsidR="0034243B" w:rsidRDefault="0034243B" w:rsidP="00CE4A10">
      <w:pPr>
        <w:pStyle w:val="ContentsCapsBold"/>
        <w:spacing w:before="400" w:after="60"/>
      </w:pPr>
      <w:r>
        <w:t>aVailable on the AASB website</w:t>
      </w:r>
    </w:p>
    <w:p w14:paraId="3FFE4056" w14:textId="0A1FFCDA" w:rsidR="00E94051" w:rsidRDefault="00E94051" w:rsidP="0019316B">
      <w:pPr>
        <w:pStyle w:val="ContentsCapsBoldPg"/>
        <w:spacing w:after="60"/>
        <w:ind w:right="0"/>
      </w:pPr>
      <w:r>
        <w:t xml:space="preserve">IASB </w:t>
      </w:r>
      <w:r w:rsidR="00577564">
        <w:t xml:space="preserve">Implementation guidance </w:t>
      </w:r>
      <w:r>
        <w:t>– Amendments</w:t>
      </w:r>
    </w:p>
    <w:p w14:paraId="730065B5" w14:textId="77777777" w:rsidR="00577564" w:rsidRDefault="00577564" w:rsidP="00577564">
      <w:pPr>
        <w:pStyle w:val="ContentsCapsBoldPg"/>
        <w:spacing w:after="60"/>
      </w:pPr>
      <w:r>
        <w:t>IASB Bases for Conclusions – Amendments</w:t>
      </w:r>
    </w:p>
    <w:p w14:paraId="047DE80C" w14:textId="77777777" w:rsidR="0034243B" w:rsidRPr="0034243B" w:rsidRDefault="0034243B" w:rsidP="0034243B">
      <w:pPr>
        <w:pStyle w:val="ContentsCapsBoldPg"/>
      </w:pPr>
    </w:p>
    <w:p w14:paraId="6D3BD745" w14:textId="0BFDB84C" w:rsidR="00090A6F" w:rsidRPr="0000292B" w:rsidRDefault="00090A6F" w:rsidP="001A029A">
      <w:pPr>
        <w:pStyle w:val="ContentsBox"/>
        <w:spacing w:before="100"/>
      </w:pPr>
      <w:r w:rsidRPr="0000292B">
        <w:t xml:space="preserve">Australian Accounting Standard AASB </w:t>
      </w:r>
      <w:r w:rsidR="00BC0D5D" w:rsidRPr="00BC0D5D">
        <w:rPr>
          <w:iCs/>
        </w:rPr>
        <w:fldChar w:fldCharType="begin" w:fldLock="1"/>
      </w:r>
      <w:r w:rsidR="00BC0D5D" w:rsidRPr="00BC0D5D">
        <w:rPr>
          <w:iCs/>
        </w:rPr>
        <w:instrText xml:space="preserve"> REF </w:instrText>
      </w:r>
      <w:r w:rsidR="009C2479">
        <w:rPr>
          <w:iCs/>
        </w:rPr>
        <w:instrText>Doc</w:instrText>
      </w:r>
      <w:r w:rsidR="00BC0D5D" w:rsidRPr="00BC0D5D">
        <w:rPr>
          <w:iCs/>
        </w:rPr>
        <w:instrText xml:space="preserve">No \* charformat </w:instrText>
      </w:r>
      <w:r w:rsidR="00BC0D5D" w:rsidRPr="00BC0D5D">
        <w:rPr>
          <w:iCs/>
        </w:rPr>
        <w:fldChar w:fldCharType="separate"/>
      </w:r>
      <w:r w:rsidR="002454EF" w:rsidRPr="002454EF">
        <w:rPr>
          <w:iCs/>
        </w:rPr>
        <w:t>2021-</w:t>
      </w:r>
      <w:r w:rsidR="00673627">
        <w:rPr>
          <w:iCs/>
        </w:rPr>
        <w:t>2</w:t>
      </w:r>
      <w:r w:rsidR="00BC0D5D" w:rsidRPr="00BC0D5D">
        <w:rPr>
          <w:iCs/>
        </w:rPr>
        <w:fldChar w:fldCharType="end"/>
      </w:r>
      <w:r w:rsidRPr="0000292B">
        <w:t xml:space="preserve"> </w:t>
      </w:r>
      <w:r w:rsidR="00CC1DF4" w:rsidRPr="00CC1DF4">
        <w:rPr>
          <w:i/>
        </w:rPr>
        <w:fldChar w:fldCharType="begin"/>
      </w:r>
      <w:r w:rsidR="00CC1DF4" w:rsidRPr="00CC1DF4">
        <w:rPr>
          <w:i/>
        </w:rPr>
        <w:instrText xml:space="preserve"> REF DocTitle \* charformat </w:instrText>
      </w:r>
      <w:r w:rsidR="00CC1DF4" w:rsidRPr="00CC1DF4">
        <w:rPr>
          <w:i/>
        </w:rPr>
        <w:fldChar w:fldCharType="separate"/>
      </w:r>
      <w:r w:rsidR="0069069D" w:rsidRPr="0069069D">
        <w:rPr>
          <w:i/>
        </w:rPr>
        <w:t>Amendments to Australian Accounting Standards – Disclosure of Accounting Policies and Definition of Accounting Estimates</w:t>
      </w:r>
      <w:r w:rsidR="00CC1DF4" w:rsidRPr="00CC1DF4">
        <w:rPr>
          <w:i/>
        </w:rPr>
        <w:fldChar w:fldCharType="end"/>
      </w:r>
      <w:r w:rsidR="00495019">
        <w:rPr>
          <w:i/>
        </w:rPr>
        <w:t xml:space="preserve"> </w:t>
      </w:r>
      <w:r w:rsidRPr="0000292B">
        <w:t xml:space="preserve">is set out </w:t>
      </w:r>
      <w:r w:rsidR="005655CE">
        <w:t>o</w:t>
      </w:r>
      <w:r w:rsidRPr="0000292B">
        <w:t xml:space="preserve">n </w:t>
      </w:r>
      <w:r w:rsidR="005655CE">
        <w:t>pages</w:t>
      </w:r>
      <w:r w:rsidR="001906F5">
        <w:t xml:space="preserve"> 5</w:t>
      </w:r>
      <w:r w:rsidR="00CD64B2">
        <w:t xml:space="preserve"> </w:t>
      </w:r>
      <w:r w:rsidR="006F2929">
        <w:t>–</w:t>
      </w:r>
      <w:r w:rsidR="00CD64B2">
        <w:t xml:space="preserve"> </w:t>
      </w:r>
      <w:r w:rsidR="001906F5" w:rsidRPr="00E957EC">
        <w:t>1</w:t>
      </w:r>
      <w:r w:rsidR="00E957EC">
        <w:t>7</w:t>
      </w:r>
      <w:r w:rsidRPr="0000292B">
        <w:t>. All the pa</w:t>
      </w:r>
      <w:r w:rsidR="009C2479">
        <w:t>ragraphs have equal authority.</w:t>
      </w:r>
    </w:p>
    <w:p w14:paraId="2BBE53C6" w14:textId="3983A36B" w:rsidR="00090A6F" w:rsidRPr="0000292B" w:rsidDel="005F320D" w:rsidRDefault="00090A6F">
      <w:pPr>
        <w:pStyle w:val="ContentsBox"/>
        <w:pBdr>
          <w:top w:val="none" w:sz="0" w:space="0" w:color="auto"/>
          <w:left w:val="none" w:sz="0" w:space="0" w:color="auto"/>
          <w:bottom w:val="none" w:sz="0" w:space="0" w:color="auto"/>
          <w:right w:val="none" w:sz="0" w:space="0" w:color="auto"/>
        </w:pBdr>
      </w:pPr>
    </w:p>
    <w:p w14:paraId="3FA0A760" w14:textId="77777777" w:rsidR="00090A6F" w:rsidRPr="0000292B" w:rsidRDefault="00090A6F">
      <w:pPr>
        <w:sectPr w:rsidR="00090A6F" w:rsidRPr="0000292B" w:rsidSect="00BE6D57">
          <w:footerReference w:type="default" r:id="rId13"/>
          <w:pgSz w:w="11907" w:h="16840" w:code="9"/>
          <w:pgMar w:top="1418" w:right="1418" w:bottom="1418" w:left="1418" w:header="709" w:footer="709" w:gutter="0"/>
          <w:paperSrc w:first="7" w:other="7"/>
          <w:cols w:space="720"/>
        </w:sectPr>
      </w:pPr>
    </w:p>
    <w:p w14:paraId="1141DC8E" w14:textId="77777777" w:rsidR="00090A6F" w:rsidRPr="0000292B" w:rsidRDefault="00090A6F">
      <w:pPr>
        <w:pStyle w:val="Heading1"/>
      </w:pPr>
      <w:r w:rsidRPr="0000292B">
        <w:lastRenderedPageBreak/>
        <w:t>Preface</w:t>
      </w:r>
    </w:p>
    <w:p w14:paraId="26B6DC6C" w14:textId="109F1F07" w:rsidR="000F64CC" w:rsidRPr="0000292B" w:rsidRDefault="00CA61C5" w:rsidP="002172FF">
      <w:pPr>
        <w:pStyle w:val="Heading2"/>
        <w:spacing w:before="400"/>
      </w:pPr>
      <w:r>
        <w:t xml:space="preserve">Standards amended by AASB </w:t>
      </w:r>
      <w:r w:rsidRPr="008D5E21">
        <w:fldChar w:fldCharType="begin" w:fldLock="1"/>
      </w:r>
      <w:r w:rsidRPr="008D5E21">
        <w:instrText xml:space="preserve"> REF DocNo \* charformat</w:instrText>
      </w:r>
      <w:r w:rsidR="008D5E21" w:rsidRPr="008D5E21">
        <w:instrText xml:space="preserve"> \* MERGEFORMAT </w:instrText>
      </w:r>
      <w:r w:rsidRPr="008D5E21">
        <w:fldChar w:fldCharType="separate"/>
      </w:r>
      <w:r w:rsidR="002454EF" w:rsidRPr="008D5E21">
        <w:t>2021-</w:t>
      </w:r>
      <w:r w:rsidR="00673627">
        <w:t>2</w:t>
      </w:r>
      <w:r w:rsidRPr="008D5E21">
        <w:fldChar w:fldCharType="end"/>
      </w:r>
    </w:p>
    <w:p w14:paraId="76A66A33" w14:textId="77777777" w:rsidR="005D3048" w:rsidRDefault="009C2479" w:rsidP="006372DB">
      <w:pPr>
        <w:pStyle w:val="NoNumPlain1"/>
      </w:pPr>
      <w:r>
        <w:t>This Standard makes amendments to</w:t>
      </w:r>
      <w:r w:rsidR="005D3048">
        <w:t xml:space="preserve"> the following Australian Accounting Standards:</w:t>
      </w:r>
    </w:p>
    <w:p w14:paraId="6E80EF9A" w14:textId="6BEB9F8E" w:rsidR="00766098" w:rsidRPr="002C5237" w:rsidRDefault="00766098" w:rsidP="00735DA7">
      <w:pPr>
        <w:pStyle w:val="NoNumPlain1"/>
        <w:numPr>
          <w:ilvl w:val="0"/>
          <w:numId w:val="13"/>
        </w:numPr>
        <w:ind w:left="510" w:hanging="510"/>
        <w:rPr>
          <w:i/>
        </w:rPr>
      </w:pPr>
      <w:r>
        <w:t xml:space="preserve">AASB 7 </w:t>
      </w:r>
      <w:r w:rsidR="00E553F1">
        <w:rPr>
          <w:i/>
          <w:iCs/>
        </w:rPr>
        <w:t>Financial Instruments: Disclosures</w:t>
      </w:r>
      <w:r w:rsidR="009C2EBE">
        <w:rPr>
          <w:i/>
          <w:iCs/>
        </w:rPr>
        <w:t xml:space="preserve"> </w:t>
      </w:r>
      <w:r w:rsidR="009C2EBE">
        <w:t>(August 2015);</w:t>
      </w:r>
    </w:p>
    <w:p w14:paraId="6B342777" w14:textId="74C61783" w:rsidR="005D3048" w:rsidRPr="005D3048" w:rsidRDefault="00156DD5" w:rsidP="00735DA7">
      <w:pPr>
        <w:pStyle w:val="NoNumPlain1"/>
        <w:numPr>
          <w:ilvl w:val="0"/>
          <w:numId w:val="13"/>
        </w:numPr>
        <w:ind w:left="510" w:hanging="510"/>
        <w:rPr>
          <w:i/>
          <w:iCs/>
        </w:rPr>
      </w:pPr>
      <w:r>
        <w:t>AASB 101</w:t>
      </w:r>
      <w:r w:rsidR="000639EF">
        <w:t xml:space="preserve"> </w:t>
      </w:r>
      <w:r w:rsidR="000639EF" w:rsidRPr="000639EF">
        <w:rPr>
          <w:i/>
          <w:iCs/>
        </w:rPr>
        <w:t>Presentation of Financial Statements</w:t>
      </w:r>
      <w:r w:rsidR="00DC7397">
        <w:rPr>
          <w:i/>
          <w:iCs/>
        </w:rPr>
        <w:t xml:space="preserve"> </w:t>
      </w:r>
      <w:r w:rsidR="00DC7397">
        <w:t>(July 2015)</w:t>
      </w:r>
      <w:r w:rsidR="005D3048">
        <w:t>;</w:t>
      </w:r>
    </w:p>
    <w:p w14:paraId="41323127" w14:textId="6FECAF5A" w:rsidR="005D3048" w:rsidRPr="002C5237" w:rsidRDefault="00DC7397" w:rsidP="00735DA7">
      <w:pPr>
        <w:pStyle w:val="NoNumPlain1"/>
        <w:numPr>
          <w:ilvl w:val="0"/>
          <w:numId w:val="13"/>
        </w:numPr>
        <w:ind w:left="510" w:hanging="510"/>
        <w:rPr>
          <w:i/>
        </w:rPr>
      </w:pPr>
      <w:r>
        <w:t>AASB 108</w:t>
      </w:r>
      <w:r w:rsidR="0026586F">
        <w:t xml:space="preserve"> </w:t>
      </w:r>
      <w:r w:rsidR="0026586F" w:rsidRPr="0026586F">
        <w:rPr>
          <w:i/>
          <w:iCs/>
        </w:rPr>
        <w:t>Accounting Policies, Changes in Accounting Estimates and Errors</w:t>
      </w:r>
      <w:r w:rsidR="0026586F">
        <w:rPr>
          <w:i/>
          <w:iCs/>
        </w:rPr>
        <w:t xml:space="preserve"> </w:t>
      </w:r>
      <w:r w:rsidR="0026586F">
        <w:t>(August 2015)</w:t>
      </w:r>
      <w:r w:rsidR="005D3048">
        <w:t>;</w:t>
      </w:r>
      <w:r w:rsidR="001404C6">
        <w:t xml:space="preserve"> and</w:t>
      </w:r>
    </w:p>
    <w:p w14:paraId="2E063C82" w14:textId="1D95A417" w:rsidR="00F004EC" w:rsidRPr="005D3048" w:rsidRDefault="00F004EC" w:rsidP="00735DA7">
      <w:pPr>
        <w:pStyle w:val="NoNumPlain1"/>
        <w:numPr>
          <w:ilvl w:val="0"/>
          <w:numId w:val="13"/>
        </w:numPr>
        <w:ind w:left="510" w:hanging="510"/>
        <w:rPr>
          <w:i/>
          <w:iCs/>
        </w:rPr>
      </w:pPr>
      <w:r>
        <w:t xml:space="preserve">AASB 134 </w:t>
      </w:r>
      <w:r w:rsidR="001404C6">
        <w:rPr>
          <w:i/>
          <w:iCs/>
        </w:rPr>
        <w:t xml:space="preserve">Interim Financial Reporting </w:t>
      </w:r>
      <w:r w:rsidR="001404C6">
        <w:t>(August 2015).</w:t>
      </w:r>
    </w:p>
    <w:p w14:paraId="702E0586" w14:textId="19266A52" w:rsidR="00AA42C1" w:rsidRDefault="00AA42C1" w:rsidP="00487EDE">
      <w:pPr>
        <w:pStyle w:val="NoNumPlain1"/>
      </w:pPr>
      <w:r>
        <w:t xml:space="preserve">The Standard also makes amendments to AASB Practice Statement 2 </w:t>
      </w:r>
      <w:r>
        <w:rPr>
          <w:i/>
          <w:iCs/>
        </w:rPr>
        <w:t xml:space="preserve">Making Materiality Judgements </w:t>
      </w:r>
      <w:r>
        <w:t>(December 2017).</w:t>
      </w:r>
    </w:p>
    <w:p w14:paraId="1E39B74F" w14:textId="1E139453" w:rsidR="00487EDE" w:rsidRDefault="00401ECA" w:rsidP="00487EDE">
      <w:pPr>
        <w:pStyle w:val="NoNumPlain1"/>
      </w:pPr>
      <w:r>
        <w:t xml:space="preserve">These </w:t>
      </w:r>
      <w:r w:rsidR="00460FBB">
        <w:t>a</w:t>
      </w:r>
      <w:r>
        <w:t>mendments arise from</w:t>
      </w:r>
      <w:r w:rsidR="00D00FD5">
        <w:t xml:space="preserve"> the issuance</w:t>
      </w:r>
      <w:r w:rsidR="00487EDE">
        <w:t xml:space="preserve"> by the International Accounting Standards Board (IASB) in February 2021</w:t>
      </w:r>
      <w:r w:rsidR="00BC237B">
        <w:t xml:space="preserve"> of the following</w:t>
      </w:r>
      <w:r w:rsidR="00BC237B" w:rsidRPr="00BC237B">
        <w:t xml:space="preserve"> </w:t>
      </w:r>
      <w:r w:rsidR="00BC237B">
        <w:t>International Financial Reporting Standards:</w:t>
      </w:r>
    </w:p>
    <w:p w14:paraId="08CEFDD8" w14:textId="6F14272A" w:rsidR="00BC237B" w:rsidRDefault="00BC237B" w:rsidP="00E31A93">
      <w:pPr>
        <w:pStyle w:val="NoNumPlain1"/>
        <w:numPr>
          <w:ilvl w:val="0"/>
          <w:numId w:val="14"/>
        </w:numPr>
        <w:ind w:left="510" w:hanging="510"/>
      </w:pPr>
      <w:r>
        <w:rPr>
          <w:i/>
          <w:iCs/>
        </w:rPr>
        <w:t xml:space="preserve">Disclosure of Accounting Policies </w:t>
      </w:r>
      <w:r>
        <w:t>(Amendments to IAS 1 and IFRS Practice Statement 2)</w:t>
      </w:r>
      <w:r w:rsidR="00A00242">
        <w:t>; and</w:t>
      </w:r>
    </w:p>
    <w:p w14:paraId="4B043DA4" w14:textId="2AACE068" w:rsidR="00487EDE" w:rsidRDefault="00A00242" w:rsidP="00E31A93">
      <w:pPr>
        <w:pStyle w:val="NoNumPlain1"/>
        <w:numPr>
          <w:ilvl w:val="0"/>
          <w:numId w:val="14"/>
        </w:numPr>
        <w:ind w:left="510" w:hanging="510"/>
      </w:pPr>
      <w:r>
        <w:rPr>
          <w:i/>
          <w:iCs/>
        </w:rPr>
        <w:t xml:space="preserve">Definition of Accounting Estimates </w:t>
      </w:r>
      <w:r>
        <w:t>(Amendments to IAS 8)</w:t>
      </w:r>
      <w:r w:rsidR="00AD015B">
        <w:t>.</w:t>
      </w:r>
    </w:p>
    <w:p w14:paraId="7A868219" w14:textId="77777777" w:rsidR="00090A6F" w:rsidRDefault="00F22AF2" w:rsidP="002172FF">
      <w:pPr>
        <w:pStyle w:val="Heading2"/>
        <w:spacing w:before="400"/>
      </w:pPr>
      <w:bookmarkStart w:id="7" w:name="ArisingTitle"/>
      <w:bookmarkEnd w:id="7"/>
      <w:r>
        <w:t>Main features of this Standard</w:t>
      </w:r>
    </w:p>
    <w:p w14:paraId="153A02E1" w14:textId="77777777" w:rsidR="00F22AF2" w:rsidRDefault="00F22AF2" w:rsidP="00F22AF2">
      <w:pPr>
        <w:pStyle w:val="Heading2Indent1"/>
      </w:pPr>
      <w:r>
        <w:t>Main requirements</w:t>
      </w:r>
    </w:p>
    <w:p w14:paraId="6D8D26B6" w14:textId="43BB0E23" w:rsidR="00F22AF2" w:rsidRDefault="001A2E0C" w:rsidP="00F22AF2">
      <w:pPr>
        <w:pStyle w:val="NoNumPlain1"/>
      </w:pPr>
      <w:r>
        <w:t>This Standard amends:</w:t>
      </w:r>
    </w:p>
    <w:p w14:paraId="045DE6B5" w14:textId="0AAF8DAA" w:rsidR="00FD1713" w:rsidRDefault="00FD1713" w:rsidP="00B751D7">
      <w:pPr>
        <w:pStyle w:val="NoNumPlain1"/>
        <w:numPr>
          <w:ilvl w:val="0"/>
          <w:numId w:val="12"/>
        </w:numPr>
        <w:ind w:left="510" w:hanging="510"/>
      </w:pPr>
      <w:r>
        <w:t>AASB 7</w:t>
      </w:r>
      <w:r w:rsidR="00B356FB">
        <w:t>,</w:t>
      </w:r>
      <w:r>
        <w:t xml:space="preserve"> to </w:t>
      </w:r>
      <w:r w:rsidR="00763B44">
        <w:t>clari</w:t>
      </w:r>
      <w:r w:rsidR="00327E43">
        <w:t>f</w:t>
      </w:r>
      <w:r w:rsidR="00763B44">
        <w:t xml:space="preserve">y </w:t>
      </w:r>
      <w:r w:rsidR="00C57F15">
        <w:t xml:space="preserve">that </w:t>
      </w:r>
      <w:r w:rsidR="00767244">
        <w:t xml:space="preserve">information </w:t>
      </w:r>
      <w:r w:rsidR="00C57F15">
        <w:t xml:space="preserve">about measurement bases for </w:t>
      </w:r>
      <w:r w:rsidR="00767244">
        <w:t xml:space="preserve">financial instruments </w:t>
      </w:r>
      <w:r w:rsidR="00C57F15">
        <w:t xml:space="preserve">is expected to be </w:t>
      </w:r>
      <w:r w:rsidR="00767244">
        <w:t xml:space="preserve">material </w:t>
      </w:r>
      <w:r w:rsidR="00327E43">
        <w:t>to an entity’s financial statements;</w:t>
      </w:r>
    </w:p>
    <w:p w14:paraId="7A1A1CA5" w14:textId="3DB0076A" w:rsidR="001A2E0C" w:rsidRDefault="00A12826" w:rsidP="00B751D7">
      <w:pPr>
        <w:pStyle w:val="NoNumPlain1"/>
        <w:numPr>
          <w:ilvl w:val="0"/>
          <w:numId w:val="12"/>
        </w:numPr>
        <w:ind w:left="510" w:hanging="510"/>
      </w:pPr>
      <w:r>
        <w:t>AASB 101</w:t>
      </w:r>
      <w:r w:rsidR="00C57F15">
        <w:t>,</w:t>
      </w:r>
      <w:r>
        <w:t xml:space="preserve"> to require </w:t>
      </w:r>
      <w:r w:rsidR="0097284D">
        <w:t>entities</w:t>
      </w:r>
      <w:r>
        <w:t xml:space="preserve"> to </w:t>
      </w:r>
      <w:r w:rsidR="00841AAE">
        <w:t>disclose their material</w:t>
      </w:r>
      <w:r w:rsidR="00920EE5">
        <w:t xml:space="preserve"> accounting policy information rather than their significant accounting policies</w:t>
      </w:r>
      <w:r w:rsidR="005D7BA0">
        <w:t>;</w:t>
      </w:r>
    </w:p>
    <w:p w14:paraId="5CEBBB68" w14:textId="0BDA7573" w:rsidR="00920EE5" w:rsidRDefault="00920EE5" w:rsidP="00B751D7">
      <w:pPr>
        <w:pStyle w:val="NoNumPlain1"/>
        <w:numPr>
          <w:ilvl w:val="0"/>
          <w:numId w:val="12"/>
        </w:numPr>
        <w:ind w:left="510" w:hanging="510"/>
      </w:pPr>
      <w:r>
        <w:t>AASB 108</w:t>
      </w:r>
      <w:r w:rsidR="00C57F15">
        <w:t>,</w:t>
      </w:r>
      <w:r>
        <w:t xml:space="preserve"> to </w:t>
      </w:r>
      <w:r w:rsidR="00325A47">
        <w:t xml:space="preserve">clarify how </w:t>
      </w:r>
      <w:r w:rsidR="008A1894">
        <w:t>entities</w:t>
      </w:r>
      <w:r w:rsidR="00325A47">
        <w:t xml:space="preserve"> should distinguish changes in accounting policies </w:t>
      </w:r>
      <w:r w:rsidR="00B3462F">
        <w:t xml:space="preserve">and </w:t>
      </w:r>
      <w:r w:rsidR="00325A47">
        <w:t>changes in accounting estimates</w:t>
      </w:r>
      <w:r w:rsidR="005D7BA0">
        <w:t>;</w:t>
      </w:r>
    </w:p>
    <w:p w14:paraId="2DFF83E5" w14:textId="51677192" w:rsidR="00F64841" w:rsidRDefault="00F64841" w:rsidP="00B751D7">
      <w:pPr>
        <w:pStyle w:val="NoNumPlain1"/>
        <w:numPr>
          <w:ilvl w:val="0"/>
          <w:numId w:val="12"/>
        </w:numPr>
        <w:ind w:left="510" w:hanging="510"/>
      </w:pPr>
      <w:r>
        <w:t>AASB 134</w:t>
      </w:r>
      <w:r w:rsidR="00C57F15">
        <w:t>,</w:t>
      </w:r>
      <w:r>
        <w:t xml:space="preserve"> to </w:t>
      </w:r>
      <w:r w:rsidR="00121D81">
        <w:t xml:space="preserve">identify material accounting policy information </w:t>
      </w:r>
      <w:r w:rsidR="00AD358B">
        <w:t>as a component of a complete set of financial statements; and</w:t>
      </w:r>
    </w:p>
    <w:p w14:paraId="1F535588" w14:textId="087CCDF3" w:rsidR="005D7BA0" w:rsidRDefault="005D7BA0" w:rsidP="00B751D7">
      <w:pPr>
        <w:pStyle w:val="NoNumPlain1"/>
        <w:numPr>
          <w:ilvl w:val="0"/>
          <w:numId w:val="12"/>
        </w:numPr>
        <w:ind w:left="510" w:hanging="510"/>
      </w:pPr>
      <w:r>
        <w:t>AASB Practice Statement 2</w:t>
      </w:r>
      <w:r w:rsidR="00C57F15">
        <w:t>,</w:t>
      </w:r>
      <w:r>
        <w:t xml:space="preserve"> to provide guidance on how to apply the concept of materiality to accounting policy disclosures.</w:t>
      </w:r>
    </w:p>
    <w:p w14:paraId="5B12FE11" w14:textId="77777777" w:rsidR="00F22AF2" w:rsidRDefault="00F22AF2" w:rsidP="00F22AF2">
      <w:pPr>
        <w:pStyle w:val="Heading2Indent1"/>
      </w:pPr>
      <w:r>
        <w:t>Application date</w:t>
      </w:r>
    </w:p>
    <w:p w14:paraId="02A9A606" w14:textId="08E71EFA" w:rsidR="00F22AF2" w:rsidRPr="00F22AF2" w:rsidRDefault="00B16904" w:rsidP="00F22AF2">
      <w:pPr>
        <w:pStyle w:val="NoNumPlain1"/>
      </w:pPr>
      <w:r>
        <w:t xml:space="preserve">This Standard applies to annual periods </w:t>
      </w:r>
      <w:bookmarkStart w:id="8" w:name="ApplyText"/>
      <w:r>
        <w:t>beginning</w:t>
      </w:r>
      <w:bookmarkEnd w:id="8"/>
      <w:r>
        <w:t xml:space="preserve"> on or after</w:t>
      </w:r>
      <w:r w:rsidR="00867FB0">
        <w:t xml:space="preserve"> </w:t>
      </w:r>
      <w:bookmarkStart w:id="9" w:name="ApplyDate"/>
      <w:r w:rsidR="002454EF">
        <w:t>1 January 2023</w:t>
      </w:r>
      <w:bookmarkEnd w:id="9"/>
      <w:r>
        <w:t>.</w:t>
      </w:r>
      <w:r w:rsidR="00CD2051">
        <w:t xml:space="preserve"> The amendments to individual Standards may be applied early, separately from the amendments to the other Standards</w:t>
      </w:r>
      <w:r w:rsidR="009E7D48">
        <w:t>, where feasible</w:t>
      </w:r>
      <w:r w:rsidR="00CD2051" w:rsidDel="009E7D48">
        <w:t>.</w:t>
      </w:r>
    </w:p>
    <w:p w14:paraId="4152F179" w14:textId="77777777" w:rsidR="00F22AF2" w:rsidRPr="0000292B" w:rsidRDefault="00F22AF2"/>
    <w:p w14:paraId="260678C4" w14:textId="77777777" w:rsidR="00090A6F" w:rsidRPr="0000292B" w:rsidRDefault="00090A6F">
      <w:pPr>
        <w:sectPr w:rsidR="00090A6F" w:rsidRPr="0000292B" w:rsidSect="000E74AB">
          <w:footerReference w:type="default" r:id="rId14"/>
          <w:pgSz w:w="11907" w:h="16840" w:code="9"/>
          <w:pgMar w:top="1418" w:right="1418" w:bottom="1418" w:left="1418" w:header="709" w:footer="709" w:gutter="0"/>
          <w:paperSrc w:first="7" w:other="7"/>
          <w:cols w:space="720"/>
          <w:docGrid w:linePitch="258"/>
        </w:sectPr>
      </w:pPr>
    </w:p>
    <w:p w14:paraId="6153BE75" w14:textId="21A3A563" w:rsidR="001662B8" w:rsidRPr="0000292B" w:rsidRDefault="00F13C5A" w:rsidP="001662B8">
      <w:pPr>
        <w:pStyle w:val="Heading1"/>
      </w:pPr>
      <w:r w:rsidRPr="0000292B">
        <w:lastRenderedPageBreak/>
        <w:t xml:space="preserve">Accounting Standard </w:t>
      </w:r>
      <w:r w:rsidR="001662B8" w:rsidRPr="0000292B">
        <w:t xml:space="preserve">AASB </w:t>
      </w:r>
      <w:r w:rsidR="001662B8" w:rsidRPr="008D5E21">
        <w:rPr>
          <w:iCs/>
        </w:rPr>
        <w:fldChar w:fldCharType="begin" w:fldLock="1"/>
      </w:r>
      <w:r w:rsidR="001662B8" w:rsidRPr="008D5E21">
        <w:rPr>
          <w:iCs/>
        </w:rPr>
        <w:instrText xml:space="preserve"> REF DocNo \* charformat </w:instrText>
      </w:r>
      <w:r w:rsidR="008D5E21" w:rsidRPr="008D5E21">
        <w:rPr>
          <w:iCs/>
        </w:rPr>
        <w:instrText xml:space="preserve"> \* MERGEFORMAT </w:instrText>
      </w:r>
      <w:r w:rsidR="001662B8" w:rsidRPr="008D5E21">
        <w:rPr>
          <w:iCs/>
        </w:rPr>
        <w:fldChar w:fldCharType="separate"/>
      </w:r>
      <w:r w:rsidR="002454EF" w:rsidRPr="008D5E21">
        <w:rPr>
          <w:iCs/>
        </w:rPr>
        <w:t>2021-</w:t>
      </w:r>
      <w:r w:rsidR="00673627">
        <w:rPr>
          <w:iCs/>
        </w:rPr>
        <w:t>2</w:t>
      </w:r>
      <w:r w:rsidR="001662B8" w:rsidRPr="008D5E21">
        <w:rPr>
          <w:iCs/>
        </w:rPr>
        <w:fldChar w:fldCharType="end"/>
      </w:r>
    </w:p>
    <w:p w14:paraId="64BE84BD" w14:textId="621DB790" w:rsidR="001662B8" w:rsidRDefault="001662B8" w:rsidP="003E1900">
      <w:pPr>
        <w:pStyle w:val="NoNumPlain1"/>
      </w:pPr>
      <w:r>
        <w:t>The Australian Accounting Standards Board makes Accounting Standard AASB </w:t>
      </w:r>
      <w:r>
        <w:fldChar w:fldCharType="begin" w:fldLock="1"/>
      </w:r>
      <w:r>
        <w:instrText>REF DocNo  \* charformat</w:instrText>
      </w:r>
      <w:r>
        <w:fldChar w:fldCharType="separate"/>
      </w:r>
      <w:r w:rsidR="002454EF">
        <w:t>2021-</w:t>
      </w:r>
      <w:r w:rsidR="00673627">
        <w:t>2</w:t>
      </w:r>
      <w:r>
        <w:fldChar w:fldCharType="end"/>
      </w:r>
      <w:r>
        <w:t xml:space="preserve"> </w:t>
      </w:r>
      <w:r w:rsidR="00CC1DF4" w:rsidRPr="00CC1DF4">
        <w:rPr>
          <w:i/>
        </w:rPr>
        <w:fldChar w:fldCharType="begin" w:fldLock="1"/>
      </w:r>
      <w:r w:rsidR="00CC1DF4" w:rsidRPr="00CC1DF4">
        <w:rPr>
          <w:i/>
        </w:rPr>
        <w:instrText xml:space="preserve"> REF DocTitle \* charformat </w:instrText>
      </w:r>
      <w:r w:rsidR="00CC1DF4" w:rsidRPr="00CC1DF4">
        <w:rPr>
          <w:i/>
        </w:rPr>
        <w:fldChar w:fldCharType="separate"/>
      </w:r>
      <w:r w:rsidR="002454EF" w:rsidRPr="002454EF">
        <w:rPr>
          <w:i/>
        </w:rPr>
        <w:t xml:space="preserve">Amendments to Australian Accounting Standards – Disclosure of Accounting Policies and Definition of Accounting Estimates </w:t>
      </w:r>
      <w:r w:rsidR="00CC1DF4" w:rsidRPr="00CC1DF4">
        <w:rPr>
          <w:i/>
        </w:rPr>
        <w:fldChar w:fldCharType="end"/>
      </w:r>
      <w:bookmarkStart w:id="10" w:name="CorpsAct"/>
      <w:r>
        <w:t xml:space="preserve">under section 334 of the </w:t>
      </w:r>
      <w:r>
        <w:rPr>
          <w:i/>
          <w:iCs/>
        </w:rPr>
        <w:t>Corporations Act 2001</w:t>
      </w:r>
      <w:bookmarkEnd w:id="10"/>
      <w:r>
        <w:t>.</w:t>
      </w:r>
    </w:p>
    <w:tbl>
      <w:tblPr>
        <w:tblW w:w="9072" w:type="dxa"/>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4361"/>
        <w:gridCol w:w="4711"/>
      </w:tblGrid>
      <w:tr w:rsidR="00C03C7B" w14:paraId="11ECC22C" w14:textId="77777777" w:rsidTr="00AE0A48">
        <w:tc>
          <w:tcPr>
            <w:tcW w:w="4361" w:type="dxa"/>
          </w:tcPr>
          <w:p w14:paraId="7BF7389F" w14:textId="77777777" w:rsidR="00C03C7B" w:rsidRDefault="00C03C7B" w:rsidP="0048155F"/>
        </w:tc>
        <w:tc>
          <w:tcPr>
            <w:tcW w:w="4711" w:type="dxa"/>
          </w:tcPr>
          <w:p w14:paraId="56443687" w14:textId="54B8235C" w:rsidR="00C03C7B" w:rsidRDefault="00BA20D6" w:rsidP="0048155F">
            <w:pPr>
              <w:jc w:val="right"/>
            </w:pPr>
            <w:r>
              <w:t>Keith Kendall</w:t>
            </w:r>
          </w:p>
        </w:tc>
      </w:tr>
      <w:tr w:rsidR="00C03C7B" w14:paraId="44A33361" w14:textId="77777777" w:rsidTr="00AE0A48">
        <w:tc>
          <w:tcPr>
            <w:tcW w:w="4361" w:type="dxa"/>
          </w:tcPr>
          <w:p w14:paraId="42E1BF64" w14:textId="65C14209" w:rsidR="00C03C7B" w:rsidRDefault="00C03C7B" w:rsidP="0048155F">
            <w:r>
              <w:t xml:space="preserve">Dated </w:t>
            </w:r>
            <w:r w:rsidR="002F75A5">
              <w:t>30 March 2021</w:t>
            </w:r>
          </w:p>
        </w:tc>
        <w:tc>
          <w:tcPr>
            <w:tcW w:w="4711" w:type="dxa"/>
          </w:tcPr>
          <w:p w14:paraId="69783C03" w14:textId="77777777" w:rsidR="00C03C7B" w:rsidRDefault="00C03C7B" w:rsidP="0048155F">
            <w:pPr>
              <w:jc w:val="right"/>
            </w:pPr>
            <w:r>
              <w:t>Chair – AASB</w:t>
            </w:r>
          </w:p>
        </w:tc>
      </w:tr>
    </w:tbl>
    <w:p w14:paraId="43F6E67B" w14:textId="17D0B264" w:rsidR="00090A6F" w:rsidRPr="0000292B" w:rsidRDefault="00F13C5A" w:rsidP="00867FB0">
      <w:pPr>
        <w:pStyle w:val="Heading1"/>
        <w:spacing w:after="0"/>
      </w:pPr>
      <w:r w:rsidRPr="0000292B">
        <w:t xml:space="preserve">Accounting Standard </w:t>
      </w:r>
      <w:r w:rsidR="00090A6F" w:rsidRPr="0000292B">
        <w:t xml:space="preserve">AASB </w:t>
      </w:r>
      <w:r w:rsidR="00BC0D5D" w:rsidRPr="00BC0D5D">
        <w:rPr>
          <w:iCs/>
        </w:rPr>
        <w:fldChar w:fldCharType="begin" w:fldLock="1"/>
      </w:r>
      <w:r w:rsidR="00BC0D5D" w:rsidRPr="00BC0D5D">
        <w:rPr>
          <w:iCs/>
        </w:rPr>
        <w:instrText xml:space="preserve"> REF </w:instrText>
      </w:r>
      <w:r w:rsidR="001662B8">
        <w:rPr>
          <w:iCs/>
        </w:rPr>
        <w:instrText>Doc</w:instrText>
      </w:r>
      <w:r w:rsidR="00BC0D5D" w:rsidRPr="00BC0D5D">
        <w:rPr>
          <w:iCs/>
        </w:rPr>
        <w:instrText xml:space="preserve">No \* charformat </w:instrText>
      </w:r>
      <w:r w:rsidR="00BC0D5D" w:rsidRPr="00BC0D5D">
        <w:rPr>
          <w:iCs/>
        </w:rPr>
        <w:fldChar w:fldCharType="separate"/>
      </w:r>
      <w:r w:rsidR="002454EF" w:rsidRPr="002454EF">
        <w:rPr>
          <w:iCs/>
        </w:rPr>
        <w:t>2021-</w:t>
      </w:r>
      <w:r w:rsidR="00673627">
        <w:rPr>
          <w:iCs/>
        </w:rPr>
        <w:t>2</w:t>
      </w:r>
      <w:r w:rsidR="00BC0D5D" w:rsidRPr="00BC0D5D">
        <w:rPr>
          <w:iCs/>
        </w:rPr>
        <w:fldChar w:fldCharType="end"/>
      </w:r>
    </w:p>
    <w:p w14:paraId="71F4D924" w14:textId="77777777" w:rsidR="00090A6F" w:rsidRDefault="00CC1DF4" w:rsidP="003E1900">
      <w:pPr>
        <w:pStyle w:val="Heading1Italic"/>
        <w:spacing w:before="0"/>
      </w:pPr>
      <w:r>
        <w:fldChar w:fldCharType="begin" w:fldLock="1"/>
      </w:r>
      <w:r>
        <w:instrText xml:space="preserve"> REF DocTitle \* charformat</w:instrText>
      </w:r>
      <w:r>
        <w:fldChar w:fldCharType="separate"/>
      </w:r>
      <w:r w:rsidR="002454EF">
        <w:t xml:space="preserve">Amendments to Australian Accounting Standards – Disclosure of Accounting Policies and Definition of Accounting Estimates </w:t>
      </w:r>
      <w:r>
        <w:fldChar w:fldCharType="end"/>
      </w:r>
    </w:p>
    <w:p w14:paraId="593B3FD3" w14:textId="77777777" w:rsidR="00090A6F" w:rsidRPr="0000292B" w:rsidRDefault="00090A6F" w:rsidP="00FC30DA">
      <w:pPr>
        <w:pStyle w:val="Heading2"/>
      </w:pPr>
      <w:bookmarkStart w:id="11" w:name="TOCStart"/>
      <w:bookmarkEnd w:id="11"/>
      <w:r w:rsidRPr="0000292B">
        <w:t>Objective</w:t>
      </w:r>
    </w:p>
    <w:p w14:paraId="510C6455" w14:textId="7A9735F6" w:rsidR="00090A6F" w:rsidRDefault="00867FB0" w:rsidP="005A6AC7">
      <w:pPr>
        <w:pStyle w:val="NoNumPlain1"/>
      </w:pPr>
      <w:r>
        <w:t>This</w:t>
      </w:r>
      <w:r w:rsidR="001662B8">
        <w:t xml:space="preserve"> Standard </w:t>
      </w:r>
      <w:r>
        <w:t>amends</w:t>
      </w:r>
      <w:r w:rsidR="001662B8">
        <w:t>:</w:t>
      </w:r>
    </w:p>
    <w:p w14:paraId="630773CA" w14:textId="2F213D7D" w:rsidR="00C36C8A" w:rsidRPr="005500C7" w:rsidRDefault="00C36C8A" w:rsidP="00404C43">
      <w:pPr>
        <w:pStyle w:val="NoNumPlain1"/>
        <w:numPr>
          <w:ilvl w:val="0"/>
          <w:numId w:val="15"/>
        </w:numPr>
        <w:ind w:left="782" w:hanging="782"/>
        <w:rPr>
          <w:i/>
        </w:rPr>
      </w:pPr>
      <w:r>
        <w:t xml:space="preserve">AASB 7 </w:t>
      </w:r>
      <w:r>
        <w:rPr>
          <w:i/>
          <w:iCs/>
        </w:rPr>
        <w:t xml:space="preserve">Financial Instruments: Disclosures </w:t>
      </w:r>
      <w:r>
        <w:t>(August 2015);</w:t>
      </w:r>
    </w:p>
    <w:p w14:paraId="0B749930" w14:textId="0A867371" w:rsidR="00404C43" w:rsidRPr="002623DB" w:rsidRDefault="00404C43" w:rsidP="00404C43">
      <w:pPr>
        <w:pStyle w:val="NoNumPlain1"/>
        <w:numPr>
          <w:ilvl w:val="0"/>
          <w:numId w:val="15"/>
        </w:numPr>
        <w:ind w:left="782" w:hanging="782"/>
        <w:rPr>
          <w:i/>
          <w:iCs/>
        </w:rPr>
      </w:pPr>
      <w:r>
        <w:t xml:space="preserve">AASB 101 </w:t>
      </w:r>
      <w:r w:rsidRPr="000639EF">
        <w:rPr>
          <w:i/>
          <w:iCs/>
        </w:rPr>
        <w:t>Presentation of Financial Statements</w:t>
      </w:r>
      <w:r>
        <w:rPr>
          <w:i/>
          <w:iCs/>
        </w:rPr>
        <w:t xml:space="preserve"> </w:t>
      </w:r>
      <w:r>
        <w:t>(July 2015);</w:t>
      </w:r>
    </w:p>
    <w:p w14:paraId="2925EEBC" w14:textId="2F33F82C" w:rsidR="002623DB" w:rsidRPr="005500C7" w:rsidRDefault="002623DB" w:rsidP="00404C43">
      <w:pPr>
        <w:pStyle w:val="NoNumPlain1"/>
        <w:numPr>
          <w:ilvl w:val="0"/>
          <w:numId w:val="15"/>
        </w:numPr>
        <w:ind w:left="782" w:hanging="782"/>
        <w:rPr>
          <w:i/>
        </w:rPr>
      </w:pPr>
      <w:r>
        <w:t xml:space="preserve">AASB 108 </w:t>
      </w:r>
      <w:r w:rsidRPr="002454EF">
        <w:rPr>
          <w:i/>
        </w:rPr>
        <w:t>Accounting Policies, Changes in Accounting Estimates and Errors</w:t>
      </w:r>
      <w:r w:rsidR="002B7781">
        <w:rPr>
          <w:i/>
        </w:rPr>
        <w:t xml:space="preserve"> </w:t>
      </w:r>
      <w:r w:rsidR="002B7781">
        <w:rPr>
          <w:iCs/>
        </w:rPr>
        <w:t>(August 2015)</w:t>
      </w:r>
      <w:r>
        <w:t>;</w:t>
      </w:r>
    </w:p>
    <w:p w14:paraId="2F71413B" w14:textId="71B342E1" w:rsidR="00C36C8A" w:rsidRPr="002B7781" w:rsidRDefault="00C36C8A" w:rsidP="00404C43">
      <w:pPr>
        <w:pStyle w:val="NoNumPlain1"/>
        <w:numPr>
          <w:ilvl w:val="0"/>
          <w:numId w:val="15"/>
        </w:numPr>
        <w:ind w:left="782" w:hanging="782"/>
        <w:rPr>
          <w:i/>
          <w:iCs/>
        </w:rPr>
      </w:pPr>
      <w:r>
        <w:t xml:space="preserve">AASB 134 </w:t>
      </w:r>
      <w:r w:rsidR="002962FD">
        <w:rPr>
          <w:i/>
          <w:iCs/>
        </w:rPr>
        <w:t xml:space="preserve">Interim Financial Reporting </w:t>
      </w:r>
      <w:r w:rsidR="002962FD">
        <w:t>(August 2015); and</w:t>
      </w:r>
    </w:p>
    <w:p w14:paraId="61EC4971" w14:textId="466315CA" w:rsidR="002B7781" w:rsidRPr="005D3048" w:rsidRDefault="002B7781" w:rsidP="00404C43">
      <w:pPr>
        <w:pStyle w:val="NoNumPlain1"/>
        <w:numPr>
          <w:ilvl w:val="0"/>
          <w:numId w:val="15"/>
        </w:numPr>
        <w:ind w:left="782" w:hanging="782"/>
        <w:rPr>
          <w:i/>
          <w:iCs/>
        </w:rPr>
      </w:pPr>
      <w:r>
        <w:t>AASB Practice Statement 2</w:t>
      </w:r>
      <w:r w:rsidR="005500C7">
        <w:t xml:space="preserve"> </w:t>
      </w:r>
      <w:r>
        <w:rPr>
          <w:i/>
          <w:iCs/>
        </w:rPr>
        <w:t xml:space="preserve">Making Materiality Judgements </w:t>
      </w:r>
      <w:r>
        <w:t>(December 2017</w:t>
      </w:r>
      <w:r w:rsidR="005500C7" w:rsidRPr="00244BF6">
        <w:t>);</w:t>
      </w:r>
    </w:p>
    <w:p w14:paraId="511DF81B" w14:textId="793F1F86" w:rsidR="001662B8" w:rsidRDefault="001662B8" w:rsidP="005A6AC7">
      <w:pPr>
        <w:pStyle w:val="NoNumPlain1"/>
      </w:pPr>
      <w:r>
        <w:t>a</w:t>
      </w:r>
      <w:bookmarkStart w:id="12" w:name="StndObj"/>
      <w:bookmarkEnd w:id="12"/>
      <w:r>
        <w:t xml:space="preserve">s a consequence of the issuance </w:t>
      </w:r>
      <w:r w:rsidR="00960783">
        <w:t xml:space="preserve">by the International Accounting Standards Board in </w:t>
      </w:r>
      <w:r w:rsidR="006058C2">
        <w:t>February 2021</w:t>
      </w:r>
      <w:r w:rsidR="00E206B1">
        <w:t xml:space="preserve"> of the following </w:t>
      </w:r>
      <w:r w:rsidR="00880CD5">
        <w:t>International Financial Reporting Standards:</w:t>
      </w:r>
    </w:p>
    <w:p w14:paraId="3FAE083C" w14:textId="682A6861" w:rsidR="00F459D4" w:rsidRPr="002528B8" w:rsidRDefault="002528B8" w:rsidP="00F459D4">
      <w:pPr>
        <w:pStyle w:val="NoNumPlain1"/>
        <w:numPr>
          <w:ilvl w:val="0"/>
          <w:numId w:val="15"/>
        </w:numPr>
        <w:ind w:left="782" w:hanging="782"/>
        <w:rPr>
          <w:i/>
          <w:iCs/>
        </w:rPr>
      </w:pPr>
      <w:r>
        <w:rPr>
          <w:i/>
          <w:iCs/>
        </w:rPr>
        <w:t xml:space="preserve">Disclosure of Accounting Policies </w:t>
      </w:r>
      <w:r>
        <w:t>(Amendments to IAS 1 and IFRS Practice Statement 2); and</w:t>
      </w:r>
    </w:p>
    <w:p w14:paraId="3DF3442E" w14:textId="04D1276A" w:rsidR="002528B8" w:rsidRPr="002528B8" w:rsidRDefault="002528B8" w:rsidP="00F459D4">
      <w:pPr>
        <w:pStyle w:val="NoNumPlain1"/>
        <w:numPr>
          <w:ilvl w:val="0"/>
          <w:numId w:val="15"/>
        </w:numPr>
        <w:ind w:left="782" w:hanging="782"/>
        <w:rPr>
          <w:i/>
          <w:iCs/>
        </w:rPr>
      </w:pPr>
      <w:r>
        <w:rPr>
          <w:i/>
          <w:iCs/>
        </w:rPr>
        <w:t xml:space="preserve">Definition of Accounting Estimates </w:t>
      </w:r>
      <w:r>
        <w:t>(Amendments to IAS 8).</w:t>
      </w:r>
    </w:p>
    <w:p w14:paraId="05C4079E" w14:textId="77777777" w:rsidR="00090A6F" w:rsidRPr="0000292B" w:rsidRDefault="00090A6F">
      <w:pPr>
        <w:pStyle w:val="Heading2"/>
      </w:pPr>
      <w:r w:rsidRPr="0000292B">
        <w:t>Application</w:t>
      </w:r>
    </w:p>
    <w:p w14:paraId="566945AB" w14:textId="3EC3149E" w:rsidR="005A6AC7" w:rsidRPr="005A6AC7" w:rsidRDefault="005A6AC7" w:rsidP="005A6AC7">
      <w:pPr>
        <w:pStyle w:val="NoNumPlain1"/>
        <w:rPr>
          <w:i/>
        </w:rPr>
      </w:pPr>
      <w:r>
        <w:t>The amendments set out in this Standard apply to entities and financial statements in accordance with the application of the other Standards</w:t>
      </w:r>
      <w:r w:rsidDel="0008034B">
        <w:t xml:space="preserve"> </w:t>
      </w:r>
      <w:r>
        <w:t xml:space="preserve">set out in AASB 1057 </w:t>
      </w:r>
      <w:r>
        <w:rPr>
          <w:i/>
        </w:rPr>
        <w:t>Application of Australian Accounting Standards.</w:t>
      </w:r>
    </w:p>
    <w:p w14:paraId="1FA28AD0" w14:textId="7C3F81A7" w:rsidR="00090A6F" w:rsidRPr="00027E8B" w:rsidRDefault="00090A6F" w:rsidP="005A6AC7">
      <w:pPr>
        <w:pStyle w:val="NoNumPlain1"/>
      </w:pPr>
      <w:r w:rsidRPr="00027E8B">
        <w:t xml:space="preserve">This Standard applies to annual periods </w:t>
      </w:r>
      <w:r w:rsidR="005A6AC7">
        <w:fldChar w:fldCharType="begin" w:fldLock="1"/>
      </w:r>
      <w:r w:rsidR="005A6AC7">
        <w:instrText xml:space="preserve"> REF ApplyText \* charformat</w:instrText>
      </w:r>
      <w:r w:rsidR="005A6AC7">
        <w:fldChar w:fldCharType="separate"/>
      </w:r>
      <w:r w:rsidR="002454EF">
        <w:t>beginning</w:t>
      </w:r>
      <w:r w:rsidR="005A6AC7">
        <w:fldChar w:fldCharType="end"/>
      </w:r>
      <w:r w:rsidRPr="00027E8B">
        <w:t xml:space="preserve"> on or after </w:t>
      </w:r>
      <w:r w:rsidR="005A6AC7">
        <w:fldChar w:fldCharType="begin" w:fldLock="1"/>
      </w:r>
      <w:r w:rsidR="005A6AC7">
        <w:instrText xml:space="preserve"> REF ApplyDate \* charformat</w:instrText>
      </w:r>
      <w:r w:rsidR="005A6AC7">
        <w:fldChar w:fldCharType="separate"/>
      </w:r>
      <w:r w:rsidR="002454EF">
        <w:t>1 January 2023</w:t>
      </w:r>
      <w:r w:rsidR="005A6AC7">
        <w:fldChar w:fldCharType="end"/>
      </w:r>
      <w:r w:rsidRPr="00027E8B">
        <w:t>.</w:t>
      </w:r>
      <w:r w:rsidR="00DE0BF0">
        <w:t xml:space="preserve"> The amendments to individual Standards may be applied early, separately from the amendments to the other Standards</w:t>
      </w:r>
      <w:r w:rsidR="00393C3D">
        <w:t>, where feasible</w:t>
      </w:r>
      <w:r w:rsidR="004473F7">
        <w:t>.</w:t>
      </w:r>
    </w:p>
    <w:p w14:paraId="4C08723E" w14:textId="5CFAB7FB" w:rsidR="00090A6F" w:rsidRDefault="0048155F" w:rsidP="005A6AC7">
      <w:pPr>
        <w:pStyle w:val="NoNumPlain1"/>
      </w:pPr>
      <w:r>
        <w:t>This Standard uses underlining, striking out and other typographical material to identify some of the amendments to a Standard, in order to make the amendments more understandable.  However, the amendments made by this Standard do not include that underlining, striking out or</w:t>
      </w:r>
      <w:r w:rsidR="003B6633">
        <w:t xml:space="preserve"> other typographical material.</w:t>
      </w:r>
      <w:r w:rsidR="00254B16">
        <w:t xml:space="preserve">  Ellipses (…) are used to help provide the context within which amendments are made and also to indicate text that is not amended.</w:t>
      </w:r>
    </w:p>
    <w:p w14:paraId="691AC8CE" w14:textId="322BE059" w:rsidR="00406716" w:rsidRPr="00406716" w:rsidRDefault="002454EF" w:rsidP="00406716">
      <w:pPr>
        <w:pStyle w:val="Heading2"/>
      </w:pPr>
      <w:r>
        <w:t>Amendments to AASB 101</w:t>
      </w:r>
    </w:p>
    <w:tbl>
      <w:tblPr>
        <w:tblW w:w="0" w:type="auto"/>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Pr>
      <w:tblGrid>
        <w:gridCol w:w="9044"/>
      </w:tblGrid>
      <w:tr w:rsidR="00406716" w:rsidRPr="00406716" w14:paraId="7DFE7C60" w14:textId="77777777" w:rsidTr="00B27C31">
        <w:tc>
          <w:tcPr>
            <w:tcW w:w="0" w:type="auto"/>
          </w:tcPr>
          <w:p w14:paraId="43967475" w14:textId="1811DFF0" w:rsidR="00406716" w:rsidRPr="00244BF6" w:rsidRDefault="00406716" w:rsidP="00406716">
            <w:pPr>
              <w:pStyle w:val="NoNumPlain1"/>
              <w:rPr>
                <w:rFonts w:ascii="Arial" w:hAnsi="Arial" w:cs="Arial"/>
                <w:sz w:val="18"/>
                <w:szCs w:val="18"/>
              </w:rPr>
            </w:pPr>
            <w:r w:rsidRPr="00244BF6">
              <w:rPr>
                <w:rFonts w:ascii="Arial" w:hAnsi="Arial" w:cs="Arial"/>
                <w:sz w:val="18"/>
                <w:szCs w:val="18"/>
              </w:rPr>
              <w:t xml:space="preserve">Paragraphs 7, 10, 114, 117 and 122 are amended. Paragraphs 117A–117E and 139V are added. Paragraphs 118, 119 and 121 are deleted. New text is </w:t>
            </w:r>
            <w:proofErr w:type="gramStart"/>
            <w:r w:rsidRPr="00244BF6">
              <w:rPr>
                <w:rFonts w:ascii="Arial" w:hAnsi="Arial" w:cs="Arial"/>
                <w:sz w:val="18"/>
                <w:szCs w:val="18"/>
              </w:rPr>
              <w:t>underlined</w:t>
            </w:r>
            <w:proofErr w:type="gramEnd"/>
            <w:r w:rsidRPr="00244BF6">
              <w:rPr>
                <w:rFonts w:ascii="Arial" w:hAnsi="Arial" w:cs="Arial"/>
                <w:sz w:val="18"/>
                <w:szCs w:val="18"/>
              </w:rPr>
              <w:t xml:space="preserve"> and deleted text is struck through.</w:t>
            </w:r>
          </w:p>
        </w:tc>
      </w:tr>
    </w:tbl>
    <w:p w14:paraId="3A9C829F" w14:textId="77777777" w:rsidR="00CE72F6" w:rsidRPr="00244BF6" w:rsidRDefault="00CE72F6" w:rsidP="00CE72F6">
      <w:pPr>
        <w:pStyle w:val="IASBSectionTitle1NonInd"/>
        <w:rPr>
          <w:lang w:val="en-AU"/>
        </w:rPr>
      </w:pPr>
      <w:r w:rsidRPr="00244BF6">
        <w:rPr>
          <w:lang w:val="en-AU"/>
        </w:rPr>
        <w:t>Definitions</w:t>
      </w:r>
    </w:p>
    <w:p w14:paraId="214BD180" w14:textId="665B0B76" w:rsidR="00CE72F6" w:rsidRPr="00244BF6" w:rsidRDefault="00CE72F6" w:rsidP="00CE72F6">
      <w:pPr>
        <w:pStyle w:val="IASBNormalnpara"/>
        <w:rPr>
          <w:lang w:val="en-AU"/>
        </w:rPr>
      </w:pPr>
      <w:r w:rsidRPr="00244BF6">
        <w:rPr>
          <w:lang w:val="en-AU"/>
        </w:rPr>
        <w:t>7</w:t>
      </w:r>
      <w:r w:rsidRPr="00244BF6">
        <w:rPr>
          <w:lang w:val="en-AU"/>
        </w:rPr>
        <w:tab/>
      </w:r>
      <w:r w:rsidRPr="00244BF6">
        <w:rPr>
          <w:b/>
          <w:lang w:val="en-AU"/>
        </w:rPr>
        <w:t>The following terms are used in this Standard with the meanings specified:</w:t>
      </w:r>
    </w:p>
    <w:p w14:paraId="74B0D6C4" w14:textId="4549773F" w:rsidR="00CE72F6" w:rsidRPr="00244BF6" w:rsidRDefault="00CE72F6" w:rsidP="00CE72F6">
      <w:pPr>
        <w:pStyle w:val="IASBNormalnparaP"/>
        <w:rPr>
          <w:b/>
          <w:u w:val="single"/>
          <w:lang w:val="en-AU"/>
        </w:rPr>
      </w:pPr>
      <w:r w:rsidRPr="00244BF6">
        <w:rPr>
          <w:b/>
          <w:i/>
          <w:u w:val="single"/>
          <w:lang w:val="en-AU"/>
        </w:rPr>
        <w:lastRenderedPageBreak/>
        <w:t>Accounting policies</w:t>
      </w:r>
      <w:r w:rsidRPr="00244BF6">
        <w:rPr>
          <w:b/>
          <w:u w:val="single"/>
          <w:lang w:val="en-AU"/>
        </w:rPr>
        <w:t xml:space="preserve"> are defined in paragraph 5 of </w:t>
      </w:r>
      <w:r w:rsidR="0045616F" w:rsidRPr="00244BF6">
        <w:rPr>
          <w:b/>
          <w:u w:val="single"/>
          <w:lang w:val="en-AU"/>
        </w:rPr>
        <w:t>AASB</w:t>
      </w:r>
      <w:r w:rsidRPr="00244BF6">
        <w:rPr>
          <w:b/>
          <w:u w:val="single"/>
          <w:lang w:val="en-AU"/>
        </w:rPr>
        <w:t xml:space="preserve"> </w:t>
      </w:r>
      <w:r w:rsidR="00482B9B" w:rsidRPr="00244BF6">
        <w:rPr>
          <w:b/>
          <w:u w:val="single"/>
          <w:lang w:val="en-AU"/>
        </w:rPr>
        <w:t>10</w:t>
      </w:r>
      <w:r w:rsidRPr="00244BF6">
        <w:rPr>
          <w:b/>
          <w:u w:val="single"/>
          <w:lang w:val="en-AU"/>
        </w:rPr>
        <w:t xml:space="preserve">8 </w:t>
      </w:r>
      <w:r w:rsidRPr="00244BF6">
        <w:rPr>
          <w:b/>
          <w:i/>
          <w:u w:val="single"/>
          <w:lang w:val="en-AU"/>
        </w:rPr>
        <w:t>Accounting Policies, Changes in Accounting Estimates and Errors</w:t>
      </w:r>
      <w:r w:rsidRPr="00244BF6">
        <w:rPr>
          <w:b/>
          <w:u w:val="single"/>
          <w:lang w:val="en-AU"/>
        </w:rPr>
        <w:t>, and the term is used in this Standard with the same meaning.</w:t>
      </w:r>
    </w:p>
    <w:p w14:paraId="37FF678A" w14:textId="5C33E901" w:rsidR="003A3509" w:rsidRPr="00244BF6" w:rsidRDefault="003A3509" w:rsidP="00CE72F6">
      <w:pPr>
        <w:pStyle w:val="IASBNormalnparaP"/>
        <w:rPr>
          <w:lang w:val="en-AU"/>
        </w:rPr>
      </w:pPr>
      <w:r w:rsidRPr="00244BF6">
        <w:rPr>
          <w:lang w:val="en-AU"/>
        </w:rPr>
        <w:t>...</w:t>
      </w:r>
    </w:p>
    <w:p w14:paraId="7003DA29" w14:textId="77777777" w:rsidR="00635801" w:rsidRPr="00244BF6" w:rsidRDefault="00635801" w:rsidP="00635801">
      <w:pPr>
        <w:pStyle w:val="IASBSectionTitle1NonInd"/>
        <w:rPr>
          <w:lang w:val="en-AU"/>
        </w:rPr>
      </w:pPr>
      <w:r w:rsidRPr="00244BF6">
        <w:rPr>
          <w:lang w:val="en-AU"/>
        </w:rPr>
        <w:t>Financial statements</w:t>
      </w:r>
    </w:p>
    <w:p w14:paraId="5ED558AB" w14:textId="77777777" w:rsidR="00635801" w:rsidRPr="00244BF6" w:rsidRDefault="00635801" w:rsidP="00635801">
      <w:pPr>
        <w:pStyle w:val="IASBNormalnpara"/>
        <w:rPr>
          <w:lang w:val="en-AU"/>
        </w:rPr>
      </w:pPr>
      <w:r w:rsidRPr="00244BF6">
        <w:rPr>
          <w:lang w:val="en-AU"/>
        </w:rPr>
        <w:tab/>
        <w:t>...</w:t>
      </w:r>
    </w:p>
    <w:p w14:paraId="39B7890A" w14:textId="77777777" w:rsidR="00635801" w:rsidRPr="00244BF6" w:rsidRDefault="00635801" w:rsidP="00635801">
      <w:pPr>
        <w:pStyle w:val="IASBSectionTitle2Ind"/>
        <w:rPr>
          <w:lang w:val="en-AU"/>
        </w:rPr>
      </w:pPr>
      <w:r w:rsidRPr="00244BF6">
        <w:rPr>
          <w:lang w:val="en-AU"/>
        </w:rPr>
        <w:t>Complete set of financial statements</w:t>
      </w:r>
    </w:p>
    <w:p w14:paraId="51111435" w14:textId="2E7076E4" w:rsidR="00635801" w:rsidRPr="00244BF6" w:rsidRDefault="00635801" w:rsidP="00635801">
      <w:pPr>
        <w:pStyle w:val="IASBNormalnpara"/>
        <w:rPr>
          <w:lang w:val="en-AU"/>
        </w:rPr>
      </w:pPr>
      <w:r w:rsidRPr="00244BF6">
        <w:rPr>
          <w:b/>
          <w:lang w:val="en-AU"/>
        </w:rPr>
        <w:t>10</w:t>
      </w:r>
      <w:r w:rsidRPr="00244BF6">
        <w:rPr>
          <w:lang w:val="en-AU"/>
        </w:rPr>
        <w:tab/>
      </w:r>
      <w:r w:rsidRPr="00244BF6">
        <w:rPr>
          <w:b/>
          <w:lang w:val="en-AU"/>
        </w:rPr>
        <w:t>A complete set of financial statements comprises:</w:t>
      </w:r>
    </w:p>
    <w:p w14:paraId="17410B59" w14:textId="2FB3A772" w:rsidR="00635801" w:rsidRPr="00244BF6" w:rsidDel="000C0ECD" w:rsidRDefault="00635801" w:rsidP="00635801">
      <w:pPr>
        <w:pStyle w:val="IASBNormalnparaP"/>
        <w:rPr>
          <w:lang w:val="en-AU"/>
        </w:rPr>
      </w:pPr>
      <w:r w:rsidRPr="00244BF6" w:rsidDel="000C0ECD">
        <w:rPr>
          <w:lang w:val="en-AU"/>
        </w:rPr>
        <w:t>…</w:t>
      </w:r>
    </w:p>
    <w:p w14:paraId="5135702F" w14:textId="7B5FBDB7" w:rsidR="00635801" w:rsidRPr="00244BF6" w:rsidRDefault="00635801" w:rsidP="00635801">
      <w:pPr>
        <w:pStyle w:val="IASBNormalnparaL1"/>
        <w:rPr>
          <w:lang w:val="en-AU"/>
        </w:rPr>
      </w:pPr>
      <w:r w:rsidRPr="00244BF6">
        <w:rPr>
          <w:b/>
          <w:lang w:val="en-AU"/>
        </w:rPr>
        <w:t>(e)</w:t>
      </w:r>
      <w:r w:rsidRPr="00244BF6">
        <w:rPr>
          <w:lang w:val="en-AU"/>
        </w:rPr>
        <w:tab/>
      </w:r>
      <w:r w:rsidRPr="00244BF6">
        <w:rPr>
          <w:b/>
          <w:lang w:val="en-AU"/>
        </w:rPr>
        <w:t xml:space="preserve">notes, comprising </w:t>
      </w:r>
      <w:r w:rsidRPr="00244BF6">
        <w:rPr>
          <w:b/>
          <w:u w:val="single"/>
          <w:lang w:val="en-AU"/>
        </w:rPr>
        <w:t xml:space="preserve">material </w:t>
      </w:r>
      <w:r w:rsidRPr="00244BF6">
        <w:rPr>
          <w:b/>
          <w:strike/>
          <w:lang w:val="en-AU"/>
        </w:rPr>
        <w:t xml:space="preserve">significant </w:t>
      </w:r>
      <w:r w:rsidRPr="00244BF6">
        <w:rPr>
          <w:b/>
          <w:lang w:val="en-AU"/>
        </w:rPr>
        <w:t xml:space="preserve">accounting </w:t>
      </w:r>
      <w:r w:rsidRPr="00244BF6">
        <w:rPr>
          <w:b/>
          <w:u w:val="single"/>
          <w:lang w:val="en-AU"/>
        </w:rPr>
        <w:t xml:space="preserve">policy information </w:t>
      </w:r>
      <w:r w:rsidRPr="00244BF6">
        <w:rPr>
          <w:b/>
          <w:strike/>
          <w:lang w:val="en-AU"/>
        </w:rPr>
        <w:t xml:space="preserve">policies </w:t>
      </w:r>
      <w:r w:rsidRPr="00244BF6">
        <w:rPr>
          <w:b/>
          <w:lang w:val="en-AU"/>
        </w:rPr>
        <w:t>and other explanatory information;</w:t>
      </w:r>
    </w:p>
    <w:p w14:paraId="0EE65D64" w14:textId="045ED1A5" w:rsidR="00635801" w:rsidRPr="00244BF6" w:rsidRDefault="00635801" w:rsidP="003730BA">
      <w:pPr>
        <w:pStyle w:val="IASBNormalnparaP"/>
        <w:rPr>
          <w:lang w:val="en-AU"/>
        </w:rPr>
      </w:pPr>
      <w:r w:rsidRPr="00244BF6">
        <w:rPr>
          <w:lang w:val="en-AU"/>
        </w:rPr>
        <w:t>…</w:t>
      </w:r>
    </w:p>
    <w:p w14:paraId="645786BD" w14:textId="77777777" w:rsidR="00FE7759" w:rsidRPr="00244BF6" w:rsidRDefault="00FE7759" w:rsidP="00FE7759">
      <w:pPr>
        <w:pStyle w:val="IASBSectionTitle1NonInd"/>
        <w:rPr>
          <w:lang w:val="en-AU"/>
        </w:rPr>
      </w:pPr>
      <w:r w:rsidRPr="00244BF6">
        <w:rPr>
          <w:lang w:val="en-AU"/>
        </w:rPr>
        <w:t>Structure and content</w:t>
      </w:r>
    </w:p>
    <w:p w14:paraId="0CD8DD6D" w14:textId="614F8750" w:rsidR="00FE7759" w:rsidRPr="00244BF6" w:rsidRDefault="00FE7759" w:rsidP="00FE7759">
      <w:pPr>
        <w:pStyle w:val="IASBNormalnpara"/>
        <w:rPr>
          <w:lang w:val="en-AU"/>
        </w:rPr>
      </w:pPr>
      <w:r w:rsidRPr="00244BF6">
        <w:rPr>
          <w:lang w:val="en-AU"/>
        </w:rPr>
        <w:tab/>
        <w:t>...</w:t>
      </w:r>
    </w:p>
    <w:p w14:paraId="76B34D20" w14:textId="77777777" w:rsidR="00FE7759" w:rsidRPr="00244BF6" w:rsidRDefault="00FE7759" w:rsidP="00FE7759">
      <w:pPr>
        <w:pStyle w:val="IASBSectionTitle2Ind"/>
        <w:rPr>
          <w:lang w:val="en-AU"/>
        </w:rPr>
      </w:pPr>
      <w:r w:rsidRPr="00244BF6">
        <w:rPr>
          <w:lang w:val="en-AU"/>
        </w:rPr>
        <w:t>Notes</w:t>
      </w:r>
    </w:p>
    <w:p w14:paraId="57A2BD1C" w14:textId="77777777" w:rsidR="00FE7759" w:rsidRPr="00244BF6" w:rsidRDefault="00FE7759" w:rsidP="00FE7759">
      <w:pPr>
        <w:pStyle w:val="IASBSectionTitle3Ind"/>
        <w:rPr>
          <w:lang w:val="en-AU"/>
        </w:rPr>
      </w:pPr>
      <w:r w:rsidRPr="00244BF6">
        <w:rPr>
          <w:lang w:val="en-AU"/>
        </w:rPr>
        <w:t>Structure</w:t>
      </w:r>
    </w:p>
    <w:p w14:paraId="193DB803" w14:textId="77777777" w:rsidR="00FE7759" w:rsidRPr="00244BF6" w:rsidRDefault="00FE7759" w:rsidP="00FE7759">
      <w:pPr>
        <w:pStyle w:val="IASBNormalnpara"/>
        <w:rPr>
          <w:lang w:val="en-AU"/>
        </w:rPr>
      </w:pPr>
      <w:r w:rsidRPr="00244BF6">
        <w:rPr>
          <w:lang w:val="en-AU"/>
        </w:rPr>
        <w:tab/>
        <w:t>...</w:t>
      </w:r>
    </w:p>
    <w:p w14:paraId="6FC90096" w14:textId="30DB9CF8" w:rsidR="00FE7759" w:rsidRPr="00244BF6" w:rsidRDefault="00FE7759" w:rsidP="00FE7759">
      <w:pPr>
        <w:pStyle w:val="IASBNormalnpara"/>
        <w:rPr>
          <w:lang w:val="en-AU"/>
        </w:rPr>
      </w:pPr>
      <w:r w:rsidRPr="00244BF6">
        <w:rPr>
          <w:lang w:val="en-AU"/>
        </w:rPr>
        <w:t>114</w:t>
      </w:r>
      <w:r w:rsidRPr="00244BF6">
        <w:rPr>
          <w:lang w:val="en-AU"/>
        </w:rPr>
        <w:tab/>
        <w:t>Examples of systematic ordering or grouping of the notes include:</w:t>
      </w:r>
    </w:p>
    <w:p w14:paraId="0D286EDC" w14:textId="7CA39437" w:rsidR="00FE7759" w:rsidRPr="00244BF6" w:rsidRDefault="00FE7759" w:rsidP="00FE7759">
      <w:pPr>
        <w:pStyle w:val="IASBNormalnparaL1"/>
        <w:rPr>
          <w:lang w:val="en-AU"/>
        </w:rPr>
      </w:pPr>
      <w:r w:rsidRPr="00244BF6">
        <w:rPr>
          <w:lang w:val="en-AU"/>
        </w:rPr>
        <w:t>…</w:t>
      </w:r>
    </w:p>
    <w:p w14:paraId="6331A4D8" w14:textId="77777777" w:rsidR="00FE7759" w:rsidRPr="00244BF6" w:rsidRDefault="00FE7759" w:rsidP="00FE7759">
      <w:pPr>
        <w:pStyle w:val="IASBNormalnparaL1"/>
        <w:rPr>
          <w:lang w:val="en-AU"/>
        </w:rPr>
      </w:pPr>
      <w:r w:rsidRPr="00244BF6">
        <w:rPr>
          <w:lang w:val="en-AU"/>
        </w:rPr>
        <w:t>(c)</w:t>
      </w:r>
      <w:r w:rsidRPr="00244BF6">
        <w:rPr>
          <w:lang w:val="en-AU"/>
        </w:rPr>
        <w:tab/>
        <w:t>following the order of the line items in the statement(s) of profit or loss and other comprehensive income and the statement of financial position, such as:</w:t>
      </w:r>
    </w:p>
    <w:p w14:paraId="028DD1C8" w14:textId="2A79F96B" w:rsidR="00FE7759" w:rsidRPr="00244BF6" w:rsidRDefault="00FE7759" w:rsidP="00FE7759">
      <w:pPr>
        <w:pStyle w:val="IASBNormalnparaL2"/>
        <w:rPr>
          <w:lang w:val="en-AU"/>
        </w:rPr>
      </w:pPr>
      <w:r w:rsidRPr="00244BF6">
        <w:rPr>
          <w:lang w:val="en-AU"/>
        </w:rPr>
        <w:t>…</w:t>
      </w:r>
    </w:p>
    <w:p w14:paraId="15B59AEF" w14:textId="776C8EF1" w:rsidR="00FE7759" w:rsidRPr="00244BF6" w:rsidRDefault="00FE7759" w:rsidP="00FE7759">
      <w:pPr>
        <w:pStyle w:val="IASBNormalnparaL2"/>
        <w:rPr>
          <w:lang w:val="en-AU"/>
        </w:rPr>
      </w:pPr>
      <w:r w:rsidRPr="00244BF6">
        <w:rPr>
          <w:lang w:val="en-AU"/>
        </w:rPr>
        <w:t>(ii)</w:t>
      </w:r>
      <w:r w:rsidRPr="00244BF6">
        <w:rPr>
          <w:lang w:val="en-AU"/>
        </w:rPr>
        <w:tab/>
      </w:r>
      <w:r w:rsidRPr="00244BF6">
        <w:rPr>
          <w:u w:val="single"/>
          <w:lang w:val="en-AU"/>
        </w:rPr>
        <w:t xml:space="preserve">material </w:t>
      </w:r>
      <w:r w:rsidRPr="00244BF6">
        <w:rPr>
          <w:strike/>
          <w:lang w:val="en-AU"/>
        </w:rPr>
        <w:t xml:space="preserve">significant </w:t>
      </w:r>
      <w:r w:rsidRPr="00244BF6">
        <w:rPr>
          <w:lang w:val="en-AU"/>
        </w:rPr>
        <w:t xml:space="preserve">accounting </w:t>
      </w:r>
      <w:r w:rsidRPr="00244BF6">
        <w:rPr>
          <w:u w:val="single"/>
          <w:lang w:val="en-AU"/>
        </w:rPr>
        <w:t xml:space="preserve">policy information </w:t>
      </w:r>
      <w:r w:rsidRPr="00244BF6">
        <w:rPr>
          <w:strike/>
          <w:lang w:val="en-AU"/>
        </w:rPr>
        <w:t xml:space="preserve">policies applied </w:t>
      </w:r>
      <w:r w:rsidRPr="00244BF6">
        <w:rPr>
          <w:lang w:val="en-AU"/>
        </w:rPr>
        <w:t>(see paragraph 117);</w:t>
      </w:r>
    </w:p>
    <w:p w14:paraId="2947324E" w14:textId="7D9F1F7B" w:rsidR="00205FD2" w:rsidRPr="00244BF6" w:rsidRDefault="00FE7759" w:rsidP="00205FD2">
      <w:pPr>
        <w:pStyle w:val="IASBNormalnparaL1"/>
        <w:rPr>
          <w:lang w:val="en-AU"/>
        </w:rPr>
      </w:pPr>
      <w:r w:rsidRPr="00244BF6">
        <w:rPr>
          <w:lang w:val="en-AU"/>
        </w:rPr>
        <w:tab/>
        <w:t>…</w:t>
      </w:r>
    </w:p>
    <w:p w14:paraId="346FE6F3" w14:textId="77777777" w:rsidR="00FE7759" w:rsidRPr="00244BF6" w:rsidRDefault="00FE7759" w:rsidP="00FE7759">
      <w:pPr>
        <w:pStyle w:val="IASBSectionTitle3Ind"/>
        <w:rPr>
          <w:lang w:val="en-AU"/>
        </w:rPr>
      </w:pPr>
      <w:r w:rsidRPr="00244BF6">
        <w:rPr>
          <w:lang w:val="en-AU"/>
        </w:rPr>
        <w:t>Disclosure of accounting</w:t>
      </w:r>
      <w:r w:rsidRPr="00244BF6">
        <w:rPr>
          <w:u w:val="single"/>
          <w:lang w:val="en-AU"/>
        </w:rPr>
        <w:t xml:space="preserve"> policy information</w:t>
      </w:r>
      <w:r w:rsidRPr="00244BF6">
        <w:rPr>
          <w:strike/>
          <w:lang w:val="en-AU"/>
        </w:rPr>
        <w:t xml:space="preserve"> policies</w:t>
      </w:r>
    </w:p>
    <w:p w14:paraId="43FBC66D" w14:textId="68DD8123" w:rsidR="00FE7759" w:rsidRPr="00244BF6" w:rsidRDefault="00FE7759" w:rsidP="00FE7759">
      <w:pPr>
        <w:pStyle w:val="IASBNormalnpara"/>
        <w:rPr>
          <w:lang w:val="en-AU"/>
        </w:rPr>
      </w:pPr>
      <w:r w:rsidRPr="00244BF6">
        <w:rPr>
          <w:b/>
          <w:lang w:val="en-AU"/>
        </w:rPr>
        <w:t>117</w:t>
      </w:r>
      <w:r w:rsidRPr="00244BF6">
        <w:rPr>
          <w:lang w:val="en-AU"/>
        </w:rPr>
        <w:tab/>
      </w:r>
      <w:r w:rsidRPr="00244BF6">
        <w:rPr>
          <w:b/>
          <w:lang w:val="en-AU"/>
        </w:rPr>
        <w:t xml:space="preserve">An entity shall disclose </w:t>
      </w:r>
      <w:r w:rsidRPr="00244BF6">
        <w:rPr>
          <w:b/>
          <w:u w:val="single"/>
          <w:lang w:val="en-AU"/>
        </w:rPr>
        <w:t xml:space="preserve">material </w:t>
      </w:r>
      <w:r w:rsidRPr="00244BF6">
        <w:rPr>
          <w:b/>
          <w:strike/>
          <w:lang w:val="en-AU"/>
        </w:rPr>
        <w:t xml:space="preserve">its significant </w:t>
      </w:r>
      <w:r w:rsidRPr="00244BF6">
        <w:rPr>
          <w:b/>
          <w:lang w:val="en-AU"/>
        </w:rPr>
        <w:t>accounting</w:t>
      </w:r>
      <w:r w:rsidRPr="00244BF6">
        <w:rPr>
          <w:b/>
          <w:u w:val="single"/>
          <w:lang w:val="en-AU"/>
        </w:rPr>
        <w:t xml:space="preserve"> policy information (see paragraph 7). Accounting policy information is material if, when considered together with other information included in an entity’s financial statements, it can reasonably be expected to influence decisions that the primary users of </w:t>
      </w:r>
      <w:proofErr w:type="gramStart"/>
      <w:r w:rsidRPr="00244BF6">
        <w:rPr>
          <w:b/>
          <w:u w:val="single"/>
          <w:lang w:val="en-AU"/>
        </w:rPr>
        <w:t>general purpose</w:t>
      </w:r>
      <w:proofErr w:type="gramEnd"/>
      <w:r w:rsidRPr="00244BF6">
        <w:rPr>
          <w:b/>
          <w:u w:val="single"/>
          <w:lang w:val="en-AU"/>
        </w:rPr>
        <w:t xml:space="preserve"> financial statements make on the basis of those financial statements.</w:t>
      </w:r>
      <w:r w:rsidRPr="00244BF6">
        <w:rPr>
          <w:b/>
          <w:strike/>
          <w:lang w:val="en-AU"/>
        </w:rPr>
        <w:t xml:space="preserve"> policies comprising:</w:t>
      </w:r>
    </w:p>
    <w:p w14:paraId="2CF82EBF" w14:textId="77777777" w:rsidR="00FE7759" w:rsidRPr="00244BF6" w:rsidRDefault="00FE7759" w:rsidP="00FE7759">
      <w:pPr>
        <w:pStyle w:val="IASBNormalnparaL1"/>
        <w:rPr>
          <w:lang w:val="en-AU"/>
        </w:rPr>
      </w:pPr>
      <w:r w:rsidRPr="00244BF6">
        <w:rPr>
          <w:b/>
          <w:strike/>
          <w:lang w:val="en-AU"/>
        </w:rPr>
        <w:t>(a)</w:t>
      </w:r>
      <w:r w:rsidRPr="00244BF6">
        <w:rPr>
          <w:lang w:val="en-AU"/>
        </w:rPr>
        <w:tab/>
      </w:r>
      <w:r w:rsidRPr="00244BF6">
        <w:rPr>
          <w:b/>
          <w:strike/>
          <w:lang w:val="en-AU"/>
        </w:rPr>
        <w:t>the measurement basis (or bases) used in preparing the financial statements; and</w:t>
      </w:r>
    </w:p>
    <w:p w14:paraId="4826257C" w14:textId="77777777" w:rsidR="00FE7759" w:rsidRPr="00244BF6" w:rsidRDefault="00FE7759" w:rsidP="00FE7759">
      <w:pPr>
        <w:pStyle w:val="IASBNormalnparaL1"/>
        <w:rPr>
          <w:lang w:val="en-AU"/>
        </w:rPr>
      </w:pPr>
      <w:r w:rsidRPr="00244BF6">
        <w:rPr>
          <w:b/>
          <w:strike/>
          <w:lang w:val="en-AU"/>
        </w:rPr>
        <w:t>(b)</w:t>
      </w:r>
      <w:r w:rsidRPr="00244BF6">
        <w:rPr>
          <w:lang w:val="en-AU"/>
        </w:rPr>
        <w:tab/>
      </w:r>
      <w:r w:rsidRPr="00244BF6">
        <w:rPr>
          <w:b/>
          <w:strike/>
          <w:lang w:val="en-AU"/>
        </w:rPr>
        <w:t>the other accounting policies used that are relevant to an understanding of the financial statements.</w:t>
      </w:r>
    </w:p>
    <w:p w14:paraId="7A78E68D" w14:textId="3FB668B2" w:rsidR="00FE7759" w:rsidRPr="00244BF6" w:rsidRDefault="00FE7759" w:rsidP="00FE7759">
      <w:pPr>
        <w:pStyle w:val="IASBNormalnpara"/>
        <w:rPr>
          <w:lang w:val="en-AU"/>
        </w:rPr>
      </w:pPr>
      <w:r w:rsidRPr="00244BF6">
        <w:rPr>
          <w:u w:val="single"/>
          <w:lang w:val="en-AU"/>
        </w:rPr>
        <w:t>117A</w:t>
      </w:r>
      <w:r w:rsidRPr="00244BF6">
        <w:rPr>
          <w:lang w:val="en-AU"/>
        </w:rPr>
        <w:tab/>
      </w:r>
      <w:r w:rsidRPr="00244BF6">
        <w:rPr>
          <w:u w:val="single"/>
          <w:lang w:val="en-AU"/>
        </w:rPr>
        <w:t xml:space="preserve">Accounting policy information that relates to immaterial transactions, other events or conditions is immaterial and need not be disclosed. Accounting policy information may nevertheless be material because of the nature of the related transactions, other </w:t>
      </w:r>
      <w:proofErr w:type="gramStart"/>
      <w:r w:rsidRPr="00244BF6">
        <w:rPr>
          <w:u w:val="single"/>
          <w:lang w:val="en-AU"/>
        </w:rPr>
        <w:t>events</w:t>
      </w:r>
      <w:proofErr w:type="gramEnd"/>
      <w:r w:rsidRPr="00244BF6">
        <w:rPr>
          <w:u w:val="single"/>
          <w:lang w:val="en-AU"/>
        </w:rPr>
        <w:t xml:space="preserve"> or conditions, even if the amounts are immaterial. However, not all accounting policy information relating to material transactions, other events or conditions is itself material.</w:t>
      </w:r>
    </w:p>
    <w:p w14:paraId="0B31ADA1" w14:textId="77777777" w:rsidR="00FE7759" w:rsidRPr="00244BF6" w:rsidRDefault="00FE7759" w:rsidP="00FE7759">
      <w:pPr>
        <w:pStyle w:val="IASBNormalnpara"/>
        <w:rPr>
          <w:lang w:val="en-AU"/>
        </w:rPr>
      </w:pPr>
      <w:r w:rsidRPr="00244BF6">
        <w:rPr>
          <w:u w:val="single"/>
          <w:lang w:val="en-AU"/>
        </w:rPr>
        <w:t>117B</w:t>
      </w:r>
      <w:r w:rsidRPr="00244BF6">
        <w:rPr>
          <w:lang w:val="en-AU"/>
        </w:rPr>
        <w:tab/>
      </w:r>
      <w:r w:rsidRPr="00244BF6">
        <w:rPr>
          <w:u w:val="single"/>
          <w:lang w:val="en-AU"/>
        </w:rPr>
        <w:t xml:space="preserve">Accounting policy information is expected to be material if users of an entity’s financial statements would need it to understand other material information in the financial statements. For example, an entity is likely to consider accounting policy information material to its financial statements if that information relates to material transactions, other </w:t>
      </w:r>
      <w:proofErr w:type="gramStart"/>
      <w:r w:rsidRPr="00244BF6">
        <w:rPr>
          <w:u w:val="single"/>
          <w:lang w:val="en-AU"/>
        </w:rPr>
        <w:t>events</w:t>
      </w:r>
      <w:proofErr w:type="gramEnd"/>
      <w:r w:rsidRPr="00244BF6">
        <w:rPr>
          <w:u w:val="single"/>
          <w:lang w:val="en-AU"/>
        </w:rPr>
        <w:t xml:space="preserve"> or conditions and:</w:t>
      </w:r>
    </w:p>
    <w:p w14:paraId="0BDEBD74" w14:textId="77777777" w:rsidR="00FE7759" w:rsidRPr="00244BF6" w:rsidRDefault="00FE7759" w:rsidP="00FE7759">
      <w:pPr>
        <w:pStyle w:val="IASBNormalnparaL1"/>
        <w:rPr>
          <w:lang w:val="en-AU"/>
        </w:rPr>
      </w:pPr>
      <w:r w:rsidRPr="00244BF6">
        <w:rPr>
          <w:u w:val="single"/>
          <w:lang w:val="en-AU"/>
        </w:rPr>
        <w:t>(a)</w:t>
      </w:r>
      <w:r w:rsidRPr="00244BF6">
        <w:rPr>
          <w:lang w:val="en-AU"/>
        </w:rPr>
        <w:tab/>
      </w:r>
      <w:r w:rsidRPr="00244BF6">
        <w:rPr>
          <w:u w:val="single"/>
          <w:lang w:val="en-AU"/>
        </w:rPr>
        <w:t>the entity changed its accounting policy during the reporting period and this change resulted in a material change to the information in the financial statements;</w:t>
      </w:r>
    </w:p>
    <w:p w14:paraId="7B16B4F3" w14:textId="4A10D6F2" w:rsidR="00FE7759" w:rsidRPr="00244BF6" w:rsidRDefault="00FE7759" w:rsidP="00FE7759">
      <w:pPr>
        <w:pStyle w:val="IASBNormalnparaL1"/>
        <w:rPr>
          <w:lang w:val="en-AU"/>
        </w:rPr>
      </w:pPr>
      <w:r w:rsidRPr="00244BF6">
        <w:rPr>
          <w:u w:val="single"/>
          <w:lang w:val="en-AU"/>
        </w:rPr>
        <w:lastRenderedPageBreak/>
        <w:t>(b)</w:t>
      </w:r>
      <w:r w:rsidRPr="00244BF6">
        <w:rPr>
          <w:lang w:val="en-AU"/>
        </w:rPr>
        <w:tab/>
      </w:r>
      <w:r w:rsidRPr="00244BF6">
        <w:rPr>
          <w:u w:val="single"/>
          <w:lang w:val="en-AU"/>
        </w:rPr>
        <w:t xml:space="preserve">the entity chose the accounting policy from one or more options permitted by </w:t>
      </w:r>
      <w:r w:rsidR="008E50FE" w:rsidRPr="00244BF6">
        <w:rPr>
          <w:u w:val="single"/>
          <w:lang w:val="en-AU"/>
        </w:rPr>
        <w:t>Australian Accounting Standards</w:t>
      </w:r>
      <w:r w:rsidRPr="00244BF6">
        <w:rPr>
          <w:u w:val="single"/>
          <w:lang w:val="en-AU"/>
        </w:rPr>
        <w:t>—such a situation could arise if the entity chose to measure investment property at historical cost rather than fair value;</w:t>
      </w:r>
    </w:p>
    <w:p w14:paraId="3128B5C1" w14:textId="06F419FA" w:rsidR="00FE7759" w:rsidRPr="00244BF6" w:rsidRDefault="00FE7759" w:rsidP="00FE7759">
      <w:pPr>
        <w:pStyle w:val="IASBNormalnparaL1"/>
        <w:rPr>
          <w:lang w:val="en-AU"/>
        </w:rPr>
      </w:pPr>
      <w:r w:rsidRPr="00244BF6">
        <w:rPr>
          <w:u w:val="single"/>
          <w:lang w:val="en-AU"/>
        </w:rPr>
        <w:t>(c)</w:t>
      </w:r>
      <w:r w:rsidRPr="00244BF6">
        <w:rPr>
          <w:lang w:val="en-AU"/>
        </w:rPr>
        <w:tab/>
      </w:r>
      <w:r w:rsidRPr="00244BF6">
        <w:rPr>
          <w:u w:val="single"/>
          <w:lang w:val="en-AU"/>
        </w:rPr>
        <w:t xml:space="preserve">the accounting policy was developed in accordance with </w:t>
      </w:r>
      <w:r w:rsidR="00B16C16" w:rsidRPr="00244BF6">
        <w:rPr>
          <w:u w:val="single"/>
          <w:lang w:val="en-AU"/>
        </w:rPr>
        <w:t>AASB</w:t>
      </w:r>
      <w:r w:rsidRPr="00244BF6">
        <w:rPr>
          <w:u w:val="single"/>
          <w:lang w:val="en-AU"/>
        </w:rPr>
        <w:t xml:space="preserve"> </w:t>
      </w:r>
      <w:r w:rsidR="00B16C16" w:rsidRPr="00244BF6">
        <w:rPr>
          <w:u w:val="single"/>
          <w:lang w:val="en-AU"/>
        </w:rPr>
        <w:t>10</w:t>
      </w:r>
      <w:r w:rsidRPr="00244BF6">
        <w:rPr>
          <w:u w:val="single"/>
          <w:lang w:val="en-AU"/>
        </w:rPr>
        <w:t xml:space="preserve">8 in the absence of an </w:t>
      </w:r>
      <w:r w:rsidR="00B16C16" w:rsidRPr="00244BF6">
        <w:rPr>
          <w:u w:val="single"/>
          <w:lang w:val="en-AU"/>
        </w:rPr>
        <w:t>Australian Accounting Standard</w:t>
      </w:r>
      <w:r w:rsidRPr="00244BF6">
        <w:rPr>
          <w:u w:val="single"/>
          <w:lang w:val="en-AU"/>
        </w:rPr>
        <w:t xml:space="preserve"> that specifically applies;</w:t>
      </w:r>
    </w:p>
    <w:p w14:paraId="01D1811D" w14:textId="77777777" w:rsidR="00FE7759" w:rsidRPr="00244BF6" w:rsidRDefault="00FE7759" w:rsidP="00FE7759">
      <w:pPr>
        <w:pStyle w:val="IASBNormalnparaL1"/>
        <w:rPr>
          <w:lang w:val="en-AU"/>
        </w:rPr>
      </w:pPr>
      <w:r w:rsidRPr="00244BF6">
        <w:rPr>
          <w:u w:val="single"/>
          <w:lang w:val="en-AU"/>
        </w:rPr>
        <w:t>(d)</w:t>
      </w:r>
      <w:r w:rsidRPr="00244BF6">
        <w:rPr>
          <w:lang w:val="en-AU"/>
        </w:rPr>
        <w:tab/>
      </w:r>
      <w:r w:rsidRPr="00244BF6">
        <w:rPr>
          <w:u w:val="single"/>
          <w:lang w:val="en-AU"/>
        </w:rPr>
        <w:t>the accounting policy relates to an area for which an entity is required to make significant judgements or assumptions in applying an accounting policy, and the entity discloses those judgements or assumptions in accordance with paragraphs 122 and 125; or</w:t>
      </w:r>
    </w:p>
    <w:p w14:paraId="5D52DA66" w14:textId="257D5F8B" w:rsidR="00FE7759" w:rsidRPr="00244BF6" w:rsidRDefault="00FE7759" w:rsidP="00FE7759">
      <w:pPr>
        <w:pStyle w:val="IASBNormalnparaL1"/>
        <w:rPr>
          <w:lang w:val="en-AU"/>
        </w:rPr>
      </w:pPr>
      <w:r w:rsidRPr="00244BF6">
        <w:rPr>
          <w:u w:val="single"/>
          <w:lang w:val="en-AU"/>
        </w:rPr>
        <w:t>(e)</w:t>
      </w:r>
      <w:r w:rsidRPr="00244BF6">
        <w:rPr>
          <w:lang w:val="en-AU"/>
        </w:rPr>
        <w:tab/>
      </w:r>
      <w:r w:rsidRPr="00244BF6">
        <w:rPr>
          <w:u w:val="single"/>
          <w:lang w:val="en-AU"/>
        </w:rPr>
        <w:t xml:space="preserve">the accounting required for them is complex and users of the entity’s financial statements would otherwise not understand those material transactions, other </w:t>
      </w:r>
      <w:proofErr w:type="gramStart"/>
      <w:r w:rsidRPr="00244BF6">
        <w:rPr>
          <w:u w:val="single"/>
          <w:lang w:val="en-AU"/>
        </w:rPr>
        <w:t>events</w:t>
      </w:r>
      <w:proofErr w:type="gramEnd"/>
      <w:r w:rsidRPr="00244BF6">
        <w:rPr>
          <w:u w:val="single"/>
          <w:lang w:val="en-AU"/>
        </w:rPr>
        <w:t xml:space="preserve"> or conditions—such a situation could arise if an entity applies more than one </w:t>
      </w:r>
      <w:r w:rsidR="00902C54" w:rsidRPr="00244BF6">
        <w:rPr>
          <w:u w:val="single"/>
          <w:lang w:val="en-AU"/>
        </w:rPr>
        <w:t>Australian Accounting Standard</w:t>
      </w:r>
      <w:r w:rsidRPr="00244BF6">
        <w:rPr>
          <w:u w:val="single"/>
          <w:lang w:val="en-AU"/>
        </w:rPr>
        <w:t xml:space="preserve"> to a class of material transactions.</w:t>
      </w:r>
    </w:p>
    <w:p w14:paraId="4E9162FB" w14:textId="5C87A599" w:rsidR="00FE7759" w:rsidRPr="00244BF6" w:rsidRDefault="00FE7759" w:rsidP="00FE7759">
      <w:pPr>
        <w:pStyle w:val="IASBNormalnpara"/>
        <w:rPr>
          <w:lang w:val="en-AU"/>
        </w:rPr>
      </w:pPr>
      <w:r w:rsidRPr="00244BF6">
        <w:rPr>
          <w:u w:val="single"/>
          <w:lang w:val="en-AU"/>
        </w:rPr>
        <w:t>117C</w:t>
      </w:r>
      <w:r w:rsidRPr="00244BF6">
        <w:rPr>
          <w:lang w:val="en-AU"/>
        </w:rPr>
        <w:tab/>
      </w:r>
      <w:r w:rsidRPr="00244BF6">
        <w:rPr>
          <w:u w:val="single"/>
          <w:lang w:val="en-AU"/>
        </w:rPr>
        <w:t xml:space="preserve">Accounting policy information that focuses on how an entity has applied the requirements of the </w:t>
      </w:r>
      <w:r w:rsidR="00D0636D" w:rsidRPr="00244BF6">
        <w:rPr>
          <w:u w:val="single"/>
          <w:lang w:val="en-AU"/>
        </w:rPr>
        <w:t>Australian Accounting Standards</w:t>
      </w:r>
      <w:r w:rsidRPr="00244BF6">
        <w:rPr>
          <w:u w:val="single"/>
          <w:lang w:val="en-AU"/>
        </w:rPr>
        <w:t xml:space="preserve"> to its own circumstances provides entity-specific information that is more useful to users of financial statements than standardised information, or information that only duplicates or summarises the requirements of the </w:t>
      </w:r>
      <w:r w:rsidR="00D0636D" w:rsidRPr="00244BF6">
        <w:rPr>
          <w:u w:val="single"/>
          <w:lang w:val="en-AU"/>
        </w:rPr>
        <w:t>Standards</w:t>
      </w:r>
      <w:r w:rsidRPr="00244BF6">
        <w:rPr>
          <w:u w:val="single"/>
          <w:lang w:val="en-AU"/>
        </w:rPr>
        <w:t>.</w:t>
      </w:r>
    </w:p>
    <w:p w14:paraId="3A8F258E" w14:textId="0BCFFEFC" w:rsidR="00FE7759" w:rsidRPr="00244BF6" w:rsidRDefault="00FE7759" w:rsidP="00FE7759">
      <w:pPr>
        <w:pStyle w:val="IASBNormalnpara"/>
        <w:rPr>
          <w:lang w:val="en-AU"/>
        </w:rPr>
      </w:pPr>
      <w:r w:rsidRPr="00244BF6">
        <w:rPr>
          <w:u w:val="single"/>
          <w:lang w:val="en-AU"/>
        </w:rPr>
        <w:t>117D</w:t>
      </w:r>
      <w:r w:rsidRPr="00244BF6">
        <w:rPr>
          <w:lang w:val="en-AU"/>
        </w:rPr>
        <w:tab/>
      </w:r>
      <w:r w:rsidRPr="00244BF6">
        <w:rPr>
          <w:u w:val="single"/>
          <w:lang w:val="en-AU"/>
        </w:rPr>
        <w:t>If an entity discloses immaterial accounting policy information, such information shall not obscure material accounting policy information.</w:t>
      </w:r>
    </w:p>
    <w:p w14:paraId="20A0816B" w14:textId="0CA88C20" w:rsidR="00FE7759" w:rsidRPr="00244BF6" w:rsidRDefault="00FE7759" w:rsidP="00FE7759">
      <w:pPr>
        <w:pStyle w:val="IASBNormalnpara"/>
        <w:rPr>
          <w:lang w:val="en-AU"/>
        </w:rPr>
      </w:pPr>
      <w:r w:rsidRPr="00244BF6">
        <w:rPr>
          <w:u w:val="single"/>
          <w:lang w:val="en-AU"/>
        </w:rPr>
        <w:t>117E</w:t>
      </w:r>
      <w:r w:rsidRPr="00244BF6">
        <w:rPr>
          <w:lang w:val="en-AU"/>
        </w:rPr>
        <w:tab/>
      </w:r>
      <w:proofErr w:type="gramStart"/>
      <w:r w:rsidRPr="00244BF6">
        <w:rPr>
          <w:u w:val="single"/>
          <w:lang w:val="en-AU"/>
        </w:rPr>
        <w:t>An</w:t>
      </w:r>
      <w:proofErr w:type="gramEnd"/>
      <w:r w:rsidRPr="00244BF6">
        <w:rPr>
          <w:u w:val="single"/>
          <w:lang w:val="en-AU"/>
        </w:rPr>
        <w:t xml:space="preserve"> entity’s conclusion that accounting policy information is immaterial does not affect the related disclosure requirements set out in other </w:t>
      </w:r>
      <w:r w:rsidR="00D0636D" w:rsidRPr="00244BF6">
        <w:rPr>
          <w:u w:val="single"/>
          <w:lang w:val="en-AU"/>
        </w:rPr>
        <w:t>Australian Accounting Standards</w:t>
      </w:r>
      <w:r w:rsidRPr="00244BF6">
        <w:rPr>
          <w:u w:val="single"/>
          <w:lang w:val="en-AU"/>
        </w:rPr>
        <w:t>.</w:t>
      </w:r>
    </w:p>
    <w:p w14:paraId="4891AEA0" w14:textId="391453D5" w:rsidR="00FE7759" w:rsidRPr="00244BF6" w:rsidRDefault="00FE7759" w:rsidP="00FE7759">
      <w:pPr>
        <w:pStyle w:val="IASBNormalnpara"/>
        <w:rPr>
          <w:lang w:val="en-AU"/>
        </w:rPr>
      </w:pPr>
      <w:r w:rsidRPr="00244BF6">
        <w:rPr>
          <w:lang w:val="en-AU"/>
        </w:rPr>
        <w:t>118</w:t>
      </w:r>
      <w:r w:rsidRPr="00244BF6">
        <w:rPr>
          <w:lang w:val="en-AU"/>
        </w:rPr>
        <w:tab/>
      </w:r>
      <w:r w:rsidRPr="00244BF6">
        <w:rPr>
          <w:u w:val="single"/>
          <w:lang w:val="en-AU"/>
        </w:rPr>
        <w:t>[Deleted]</w:t>
      </w:r>
      <w:r w:rsidRPr="00244BF6">
        <w:rPr>
          <w:strike/>
          <w:lang w:val="en-AU"/>
        </w:rPr>
        <w:t xml:space="preserve">It is important for an entity to inform users of the measurement basis or bases used in the financial statements (for example, historical cost, current cost, net realisable value, fair </w:t>
      </w:r>
      <w:proofErr w:type="gramStart"/>
      <w:r w:rsidRPr="00244BF6">
        <w:rPr>
          <w:strike/>
          <w:lang w:val="en-AU"/>
        </w:rPr>
        <w:t>value</w:t>
      </w:r>
      <w:proofErr w:type="gramEnd"/>
      <w:r w:rsidRPr="00244BF6">
        <w:rPr>
          <w:strike/>
          <w:lang w:val="en-AU"/>
        </w:rPr>
        <w:t xml:space="preserve"> or recoverable amount) because the basis on which an entity prepares the financial statements significantly affects users’ analysis. When an entity uses more than one measurement basis in the financial statements, for example when particular classes of assets are revalued, it is sufficient to provide an indication of the categories of assets and liabilities to which each measurement basis is applied.</w:t>
      </w:r>
    </w:p>
    <w:p w14:paraId="17E51847" w14:textId="3DAB1914" w:rsidR="00FE7759" w:rsidRPr="00244BF6" w:rsidRDefault="00FE7759" w:rsidP="00FE7759">
      <w:pPr>
        <w:pStyle w:val="IASBNormalnpara"/>
        <w:rPr>
          <w:lang w:val="en-AU"/>
        </w:rPr>
      </w:pPr>
      <w:r w:rsidRPr="00244BF6">
        <w:rPr>
          <w:lang w:val="en-AU"/>
        </w:rPr>
        <w:t>119</w:t>
      </w:r>
      <w:r w:rsidRPr="00244BF6">
        <w:rPr>
          <w:lang w:val="en-AU"/>
        </w:rPr>
        <w:tab/>
      </w:r>
      <w:r w:rsidRPr="00244BF6">
        <w:rPr>
          <w:u w:val="single"/>
          <w:lang w:val="en-AU"/>
        </w:rPr>
        <w:t>[Deleted]</w:t>
      </w:r>
      <w:r w:rsidRPr="00244BF6">
        <w:rPr>
          <w:strike/>
          <w:lang w:val="en-AU"/>
        </w:rPr>
        <w:t xml:space="preserve">In deciding whether a particular accounting policy should be disclosed, management considers whether disclosure would assist users in understanding how transactions, other events and conditions are reflected in reported financial performance and financial position. Each entity considers the nature of its operations and the policies that the users of its financial statements would expect to be disclosed for that type of entity. Disclosure of particular accounting policies is especially useful to users when those policies are selected from alternatives allowed in </w:t>
      </w:r>
      <w:r w:rsidR="00BA3F9A" w:rsidRPr="00244BF6">
        <w:rPr>
          <w:strike/>
          <w:lang w:val="en-AU"/>
        </w:rPr>
        <w:t>Australian Accounting Standards</w:t>
      </w:r>
      <w:r w:rsidRPr="00244BF6">
        <w:rPr>
          <w:strike/>
          <w:lang w:val="en-AU"/>
        </w:rPr>
        <w:t xml:space="preserve">. An example is disclosure of whether an entity applies the fair value or cost model to its investment property (see </w:t>
      </w:r>
      <w:r w:rsidR="00144E36" w:rsidRPr="00244BF6">
        <w:rPr>
          <w:strike/>
          <w:lang w:val="en-AU"/>
        </w:rPr>
        <w:t>AASB</w:t>
      </w:r>
      <w:r w:rsidRPr="00244BF6">
        <w:rPr>
          <w:strike/>
          <w:lang w:val="en-AU"/>
        </w:rPr>
        <w:t xml:space="preserve"> </w:t>
      </w:r>
      <w:r w:rsidR="00144E36" w:rsidRPr="00244BF6">
        <w:rPr>
          <w:strike/>
          <w:lang w:val="en-AU"/>
        </w:rPr>
        <w:t>1</w:t>
      </w:r>
      <w:r w:rsidRPr="00244BF6">
        <w:rPr>
          <w:strike/>
          <w:lang w:val="en-AU"/>
        </w:rPr>
        <w:t xml:space="preserve">40 </w:t>
      </w:r>
      <w:r w:rsidRPr="00244BF6">
        <w:rPr>
          <w:i/>
          <w:strike/>
          <w:lang w:val="en-AU"/>
        </w:rPr>
        <w:t>Investment Property</w:t>
      </w:r>
      <w:r w:rsidRPr="00244BF6">
        <w:rPr>
          <w:strike/>
          <w:lang w:val="en-AU"/>
        </w:rPr>
        <w:t xml:space="preserve">). Some </w:t>
      </w:r>
      <w:r w:rsidR="00144E36" w:rsidRPr="00244BF6">
        <w:rPr>
          <w:strike/>
          <w:lang w:val="en-AU"/>
        </w:rPr>
        <w:t>Australian Accounting Standards</w:t>
      </w:r>
      <w:r w:rsidRPr="00244BF6">
        <w:rPr>
          <w:strike/>
          <w:lang w:val="en-AU"/>
        </w:rPr>
        <w:t xml:space="preserve"> specifically require disclosure of particular accounting policies, including choices made by management between different policies they allow. For example, </w:t>
      </w:r>
      <w:r w:rsidR="00144E36" w:rsidRPr="00244BF6">
        <w:rPr>
          <w:strike/>
          <w:lang w:val="en-AU"/>
        </w:rPr>
        <w:t>AASB</w:t>
      </w:r>
      <w:r w:rsidRPr="00244BF6">
        <w:rPr>
          <w:strike/>
          <w:lang w:val="en-AU"/>
        </w:rPr>
        <w:t xml:space="preserve"> </w:t>
      </w:r>
      <w:r w:rsidR="00C55637" w:rsidRPr="00244BF6">
        <w:rPr>
          <w:strike/>
          <w:lang w:val="en-AU"/>
        </w:rPr>
        <w:t>1</w:t>
      </w:r>
      <w:r w:rsidRPr="00244BF6">
        <w:rPr>
          <w:strike/>
          <w:lang w:val="en-AU"/>
        </w:rPr>
        <w:t xml:space="preserve">16 requires disclosure of the measurement bases used for classes of property, </w:t>
      </w:r>
      <w:proofErr w:type="gramStart"/>
      <w:r w:rsidRPr="00244BF6">
        <w:rPr>
          <w:strike/>
          <w:lang w:val="en-AU"/>
        </w:rPr>
        <w:t>plant</w:t>
      </w:r>
      <w:proofErr w:type="gramEnd"/>
      <w:r w:rsidRPr="00244BF6">
        <w:rPr>
          <w:strike/>
          <w:lang w:val="en-AU"/>
        </w:rPr>
        <w:t xml:space="preserve"> and equipment.</w:t>
      </w:r>
    </w:p>
    <w:p w14:paraId="4AE121B3" w14:textId="100C7CDF" w:rsidR="00FE7759" w:rsidRPr="00244BF6" w:rsidRDefault="00FE7759" w:rsidP="00FE7759">
      <w:pPr>
        <w:pStyle w:val="IASBNormalnpara"/>
        <w:rPr>
          <w:lang w:val="en-AU"/>
        </w:rPr>
      </w:pPr>
      <w:r w:rsidRPr="00244BF6">
        <w:rPr>
          <w:lang w:val="en-AU"/>
        </w:rPr>
        <w:t>120</w:t>
      </w:r>
      <w:r w:rsidRPr="00244BF6">
        <w:rPr>
          <w:lang w:val="en-AU"/>
        </w:rPr>
        <w:tab/>
        <w:t>[Deleted]</w:t>
      </w:r>
    </w:p>
    <w:p w14:paraId="39D6BBED" w14:textId="5FCA26E4" w:rsidR="00FE7759" w:rsidRPr="00244BF6" w:rsidRDefault="00FE7759" w:rsidP="00FE7759">
      <w:pPr>
        <w:pStyle w:val="IASBNormalnpara"/>
        <w:rPr>
          <w:lang w:val="en-AU"/>
        </w:rPr>
      </w:pPr>
      <w:r w:rsidRPr="00244BF6">
        <w:rPr>
          <w:lang w:val="en-AU"/>
        </w:rPr>
        <w:t>121</w:t>
      </w:r>
      <w:r w:rsidRPr="00244BF6">
        <w:rPr>
          <w:lang w:val="en-AU"/>
        </w:rPr>
        <w:tab/>
      </w:r>
      <w:r w:rsidRPr="00244BF6">
        <w:rPr>
          <w:u w:val="single"/>
          <w:lang w:val="en-AU"/>
        </w:rPr>
        <w:t>[Deleted]</w:t>
      </w:r>
      <w:r w:rsidRPr="00244BF6">
        <w:rPr>
          <w:strike/>
          <w:lang w:val="en-AU"/>
        </w:rPr>
        <w:t xml:space="preserve">An accounting policy may be significant because of the nature of the entity’s operations even if amounts for current and prior periods are not material. It is also appropriate to disclose each significant accounting policy that is not specifically required by </w:t>
      </w:r>
      <w:r w:rsidR="00D014E7" w:rsidRPr="00244BF6">
        <w:rPr>
          <w:strike/>
          <w:lang w:val="en-AU"/>
        </w:rPr>
        <w:t xml:space="preserve">Australian Accounting </w:t>
      </w:r>
      <w:proofErr w:type="gramStart"/>
      <w:r w:rsidR="00D014E7" w:rsidRPr="00244BF6">
        <w:rPr>
          <w:strike/>
          <w:lang w:val="en-AU"/>
        </w:rPr>
        <w:t>Standards</w:t>
      </w:r>
      <w:proofErr w:type="gramEnd"/>
      <w:r w:rsidRPr="00244BF6">
        <w:rPr>
          <w:strike/>
          <w:lang w:val="en-AU"/>
        </w:rPr>
        <w:t xml:space="preserve"> but the entity selects and applies in accordance with </w:t>
      </w:r>
      <w:r w:rsidR="00D014E7" w:rsidRPr="00244BF6">
        <w:rPr>
          <w:strike/>
          <w:lang w:val="en-AU"/>
        </w:rPr>
        <w:t>AASB</w:t>
      </w:r>
      <w:r w:rsidRPr="00244BF6">
        <w:rPr>
          <w:strike/>
          <w:lang w:val="en-AU"/>
        </w:rPr>
        <w:t xml:space="preserve"> </w:t>
      </w:r>
      <w:r w:rsidR="00D014E7" w:rsidRPr="00244BF6">
        <w:rPr>
          <w:strike/>
          <w:lang w:val="en-AU"/>
        </w:rPr>
        <w:t>10</w:t>
      </w:r>
      <w:r w:rsidRPr="00244BF6">
        <w:rPr>
          <w:strike/>
          <w:lang w:val="en-AU"/>
        </w:rPr>
        <w:t>8.</w:t>
      </w:r>
    </w:p>
    <w:p w14:paraId="7DF43C26" w14:textId="580D4EB8" w:rsidR="00FE7759" w:rsidRPr="00244BF6" w:rsidRDefault="00FE7759" w:rsidP="00FE7759">
      <w:pPr>
        <w:pStyle w:val="IASBNormalnpara"/>
        <w:rPr>
          <w:lang w:val="en-AU"/>
        </w:rPr>
      </w:pPr>
      <w:r w:rsidRPr="00244BF6">
        <w:rPr>
          <w:b/>
          <w:lang w:val="en-AU"/>
        </w:rPr>
        <w:t>122</w:t>
      </w:r>
      <w:r w:rsidRPr="00244BF6">
        <w:rPr>
          <w:lang w:val="en-AU"/>
        </w:rPr>
        <w:tab/>
      </w:r>
      <w:r w:rsidRPr="00244BF6">
        <w:rPr>
          <w:b/>
          <w:lang w:val="en-AU"/>
        </w:rPr>
        <w:t xml:space="preserve">An entity shall disclose, along with </w:t>
      </w:r>
      <w:r w:rsidRPr="00244BF6">
        <w:rPr>
          <w:b/>
          <w:u w:val="single"/>
          <w:lang w:val="en-AU"/>
        </w:rPr>
        <w:t xml:space="preserve">material </w:t>
      </w:r>
      <w:r w:rsidRPr="00244BF6">
        <w:rPr>
          <w:b/>
          <w:strike/>
          <w:lang w:val="en-AU"/>
        </w:rPr>
        <w:t xml:space="preserve">its significant </w:t>
      </w:r>
      <w:r w:rsidRPr="00244BF6">
        <w:rPr>
          <w:b/>
          <w:lang w:val="en-AU"/>
        </w:rPr>
        <w:t xml:space="preserve">accounting </w:t>
      </w:r>
      <w:r w:rsidRPr="00244BF6">
        <w:rPr>
          <w:b/>
          <w:u w:val="single"/>
          <w:lang w:val="en-AU"/>
        </w:rPr>
        <w:t xml:space="preserve">policy information </w:t>
      </w:r>
      <w:r w:rsidRPr="00244BF6">
        <w:rPr>
          <w:b/>
          <w:strike/>
          <w:lang w:val="en-AU"/>
        </w:rPr>
        <w:t xml:space="preserve">policies </w:t>
      </w:r>
      <w:r w:rsidRPr="00244BF6">
        <w:rPr>
          <w:b/>
          <w:lang w:val="en-AU"/>
        </w:rPr>
        <w:t>or other notes, the judgements, apart from those involving estimations (see paragraph 125), that management has made in the process of applying the entity’s accounting policies and that have the most significant effect on the amounts recognised in the financial statements.</w:t>
      </w:r>
    </w:p>
    <w:p w14:paraId="1DB481D5" w14:textId="77777777" w:rsidR="00FE7759" w:rsidRPr="00244BF6" w:rsidRDefault="00FE7759" w:rsidP="00FE7759">
      <w:pPr>
        <w:pStyle w:val="IASBNormalnpara"/>
        <w:rPr>
          <w:lang w:val="en-AU"/>
        </w:rPr>
      </w:pPr>
      <w:r w:rsidRPr="00244BF6">
        <w:rPr>
          <w:lang w:val="en-AU"/>
        </w:rPr>
        <w:tab/>
        <w:t>...</w:t>
      </w:r>
    </w:p>
    <w:p w14:paraId="761E9641" w14:textId="77777777" w:rsidR="00DF4294" w:rsidRPr="00244BF6" w:rsidRDefault="00DF4294" w:rsidP="00DF4294">
      <w:pPr>
        <w:pStyle w:val="IASBSectionTitle1NonInd"/>
        <w:rPr>
          <w:lang w:val="en-AU"/>
        </w:rPr>
      </w:pPr>
      <w:r w:rsidRPr="00244BF6">
        <w:rPr>
          <w:lang w:val="en-AU"/>
        </w:rPr>
        <w:t>Transition and effective date</w:t>
      </w:r>
    </w:p>
    <w:p w14:paraId="0E773A78" w14:textId="77777777" w:rsidR="00DF4294" w:rsidRPr="00244BF6" w:rsidRDefault="00DF4294" w:rsidP="00DF4294">
      <w:pPr>
        <w:pStyle w:val="IASBNormalnpara"/>
        <w:rPr>
          <w:lang w:val="en-AU"/>
        </w:rPr>
      </w:pPr>
      <w:r w:rsidRPr="00244BF6">
        <w:rPr>
          <w:lang w:val="en-AU"/>
        </w:rPr>
        <w:tab/>
        <w:t>...</w:t>
      </w:r>
    </w:p>
    <w:p w14:paraId="0F0AD501" w14:textId="26852DF9" w:rsidR="00DF4294" w:rsidRPr="00244BF6" w:rsidRDefault="00DF4294" w:rsidP="00DF4294">
      <w:pPr>
        <w:pStyle w:val="IASBNormalnpara"/>
        <w:rPr>
          <w:lang w:val="en-AU"/>
        </w:rPr>
      </w:pPr>
      <w:r w:rsidRPr="00244BF6">
        <w:rPr>
          <w:u w:val="single"/>
          <w:lang w:val="en-AU"/>
        </w:rPr>
        <w:t>139V</w:t>
      </w:r>
      <w:r w:rsidRPr="00244BF6">
        <w:rPr>
          <w:lang w:val="en-AU"/>
        </w:rPr>
        <w:tab/>
      </w:r>
      <w:r w:rsidR="000F3BB4" w:rsidRPr="00244BF6">
        <w:rPr>
          <w:u w:val="single"/>
          <w:lang w:val="en-AU"/>
        </w:rPr>
        <w:t>AASB 2021-</w:t>
      </w:r>
      <w:r w:rsidR="00673627">
        <w:rPr>
          <w:u w:val="single"/>
          <w:lang w:val="en-AU"/>
        </w:rPr>
        <w:t>2</w:t>
      </w:r>
      <w:r w:rsidR="000F3BB4" w:rsidRPr="00244BF6">
        <w:rPr>
          <w:u w:val="single"/>
          <w:lang w:val="en-AU"/>
        </w:rPr>
        <w:t xml:space="preserve"> </w:t>
      </w:r>
      <w:r w:rsidR="00594303" w:rsidRPr="00244BF6">
        <w:rPr>
          <w:i/>
          <w:u w:val="single"/>
          <w:lang w:val="en-AU"/>
        </w:rPr>
        <w:t>Amendments to Australian Accounting Standards – Disclosure of Accounting Policies and Definition of Accounting Estimates</w:t>
      </w:r>
      <w:r w:rsidRPr="00244BF6">
        <w:rPr>
          <w:i/>
          <w:u w:val="single"/>
          <w:lang w:val="en-AU"/>
        </w:rPr>
        <w:t>,</w:t>
      </w:r>
      <w:r w:rsidRPr="00244BF6">
        <w:rPr>
          <w:u w:val="single"/>
          <w:lang w:val="en-AU"/>
        </w:rPr>
        <w:t xml:space="preserve"> issued in </w:t>
      </w:r>
      <w:r w:rsidR="00420BCA" w:rsidRPr="00244BF6">
        <w:rPr>
          <w:u w:val="single"/>
          <w:lang w:val="en-AU"/>
        </w:rPr>
        <w:t>March</w:t>
      </w:r>
      <w:r w:rsidRPr="00244BF6">
        <w:rPr>
          <w:u w:val="single"/>
          <w:lang w:val="en-AU"/>
        </w:rPr>
        <w:t xml:space="preserve"> 2021, amended paragraphs 7, 10, 114, 117 and 122, added paragraphs 117A–117E and deleted paragraphs 118, 119 and 121.</w:t>
      </w:r>
      <w:r w:rsidR="006E0C5C">
        <w:rPr>
          <w:u w:val="single"/>
          <w:lang w:val="en-AU"/>
        </w:rPr>
        <w:t xml:space="preserve"> It also amended AASB Practice Statement 2 </w:t>
      </w:r>
      <w:r w:rsidR="006E0C5C">
        <w:rPr>
          <w:i/>
          <w:iCs/>
          <w:u w:val="single"/>
          <w:lang w:val="en-AU"/>
        </w:rPr>
        <w:t>Making Materiality Judgements</w:t>
      </w:r>
      <w:r w:rsidR="006E0C5C">
        <w:rPr>
          <w:u w:val="single"/>
          <w:lang w:val="en-AU"/>
        </w:rPr>
        <w:t>.</w:t>
      </w:r>
      <w:r w:rsidRPr="00244BF6">
        <w:rPr>
          <w:u w:val="single"/>
          <w:lang w:val="en-AU"/>
        </w:rPr>
        <w:t xml:space="preserve"> An entity shall apply the amendments to </w:t>
      </w:r>
      <w:r w:rsidR="00DC7DA9" w:rsidRPr="00244BF6">
        <w:rPr>
          <w:u w:val="single"/>
          <w:lang w:val="en-AU"/>
        </w:rPr>
        <w:t>AASB</w:t>
      </w:r>
      <w:r w:rsidRPr="00244BF6">
        <w:rPr>
          <w:u w:val="single"/>
          <w:lang w:val="en-AU"/>
        </w:rPr>
        <w:t xml:space="preserve"> 1</w:t>
      </w:r>
      <w:r w:rsidR="00DC7DA9" w:rsidRPr="00244BF6">
        <w:rPr>
          <w:u w:val="single"/>
          <w:lang w:val="en-AU"/>
        </w:rPr>
        <w:t>01</w:t>
      </w:r>
      <w:r w:rsidRPr="00244BF6">
        <w:rPr>
          <w:u w:val="single"/>
          <w:lang w:val="en-AU"/>
        </w:rPr>
        <w:t xml:space="preserve"> for annual reporting periods beginning on or after 1 January 2023. Earlier application is permitted. If an entity applies those amendments for an earlier period, it shall disclose that fact.</w:t>
      </w:r>
    </w:p>
    <w:p w14:paraId="5D4ABD02" w14:textId="77777777" w:rsidR="002454EF" w:rsidRDefault="002454EF">
      <w:pPr>
        <w:pStyle w:val="Heading2"/>
      </w:pPr>
      <w:r>
        <w:lastRenderedPageBreak/>
        <w:t>Amendments to AASB 108</w:t>
      </w:r>
    </w:p>
    <w:tbl>
      <w:tblPr>
        <w:tblW w:w="0" w:type="auto"/>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Pr>
      <w:tblGrid>
        <w:gridCol w:w="9044"/>
      </w:tblGrid>
      <w:tr w:rsidR="001151B3" w14:paraId="6D088C86" w14:textId="77777777" w:rsidTr="00B27C31">
        <w:tc>
          <w:tcPr>
            <w:tcW w:w="0" w:type="auto"/>
          </w:tcPr>
          <w:p w14:paraId="79A93FFC" w14:textId="77777777" w:rsidR="001151B3" w:rsidRPr="00244BF6" w:rsidRDefault="001151B3" w:rsidP="00EB00CD">
            <w:pPr>
              <w:pStyle w:val="IASBTableArial"/>
              <w:spacing w:before="100" w:after="100"/>
              <w:rPr>
                <w:rFonts w:cs="Arial"/>
                <w:szCs w:val="18"/>
                <w:lang w:val="en-AU"/>
              </w:rPr>
            </w:pPr>
            <w:r w:rsidRPr="00244BF6">
              <w:rPr>
                <w:rFonts w:cs="Arial"/>
                <w:szCs w:val="18"/>
                <w:lang w:val="en-AU"/>
              </w:rPr>
              <w:t>Paragraphs 5, 32, 34, 38 and 48 and the heading above paragraph 32 are amended. Paragraphs 32A–32B, 34A and 54I and the headings above paragraphs 34 and 36 are added. The heading above paragraph 39 is amended to be a sub-heading of the heading added above paragraph 34. Deleted text is struck through and new text is underlined.</w:t>
            </w:r>
          </w:p>
        </w:tc>
      </w:tr>
    </w:tbl>
    <w:p w14:paraId="3F8D26BC" w14:textId="77777777" w:rsidR="00755068" w:rsidRPr="00244BF6" w:rsidRDefault="00755068" w:rsidP="00755068">
      <w:pPr>
        <w:pStyle w:val="IASBSectionTitle1NonInd"/>
        <w:rPr>
          <w:lang w:val="en-AU"/>
        </w:rPr>
      </w:pPr>
      <w:r w:rsidRPr="00244BF6">
        <w:rPr>
          <w:lang w:val="en-AU"/>
        </w:rPr>
        <w:t>Definitions</w:t>
      </w:r>
    </w:p>
    <w:p w14:paraId="2513D017" w14:textId="47E88A22" w:rsidR="00755068" w:rsidRPr="00244BF6" w:rsidRDefault="00755068" w:rsidP="00755068">
      <w:pPr>
        <w:pStyle w:val="IASBNormalnpara"/>
        <w:rPr>
          <w:lang w:val="en-AU"/>
        </w:rPr>
      </w:pPr>
      <w:r w:rsidRPr="00244BF6">
        <w:rPr>
          <w:b/>
          <w:lang w:val="en-AU"/>
        </w:rPr>
        <w:t>5</w:t>
      </w:r>
      <w:r w:rsidRPr="00244BF6">
        <w:rPr>
          <w:lang w:val="en-AU"/>
        </w:rPr>
        <w:tab/>
      </w:r>
      <w:r w:rsidRPr="00244BF6">
        <w:rPr>
          <w:b/>
          <w:lang w:val="en-AU"/>
        </w:rPr>
        <w:t>The following terms are used in this Standard with the meanings specified:</w:t>
      </w:r>
    </w:p>
    <w:p w14:paraId="48469D42" w14:textId="77777777" w:rsidR="00755068" w:rsidRPr="00244BF6" w:rsidRDefault="00755068" w:rsidP="00755068">
      <w:pPr>
        <w:pStyle w:val="IASBNormalnparaP"/>
        <w:rPr>
          <w:lang w:val="en-AU"/>
        </w:rPr>
      </w:pPr>
      <w:r w:rsidRPr="00244BF6">
        <w:rPr>
          <w:b/>
          <w:i/>
          <w:u w:val="single"/>
          <w:lang w:val="en-AU"/>
        </w:rPr>
        <w:t>Accounting estimates</w:t>
      </w:r>
      <w:r w:rsidRPr="00244BF6">
        <w:rPr>
          <w:b/>
          <w:u w:val="single"/>
          <w:lang w:val="en-AU"/>
        </w:rPr>
        <w:t xml:space="preserve"> are monetary amounts in financial statements that are subject to measurement uncertainty.</w:t>
      </w:r>
    </w:p>
    <w:p w14:paraId="23631682" w14:textId="77777777" w:rsidR="0036007C" w:rsidRPr="00244BF6" w:rsidRDefault="0036007C" w:rsidP="0036007C">
      <w:pPr>
        <w:pStyle w:val="IASBNormalnparaP"/>
        <w:rPr>
          <w:lang w:val="en-AU"/>
        </w:rPr>
      </w:pPr>
      <w:r w:rsidRPr="00244BF6">
        <w:rPr>
          <w:b/>
          <w:lang w:val="en-AU"/>
        </w:rPr>
        <w:t>…</w:t>
      </w:r>
    </w:p>
    <w:p w14:paraId="580BCD55" w14:textId="3D477C84" w:rsidR="00755068" w:rsidRPr="00244BF6" w:rsidRDefault="00755068" w:rsidP="00755068">
      <w:pPr>
        <w:pStyle w:val="IASBNormalnparaP"/>
        <w:rPr>
          <w:lang w:val="en-AU"/>
        </w:rPr>
      </w:pPr>
      <w:r w:rsidRPr="00244BF6">
        <w:rPr>
          <w:b/>
          <w:strike/>
          <w:lang w:val="en-AU"/>
        </w:rPr>
        <w:t xml:space="preserve">A </w:t>
      </w:r>
      <w:r w:rsidRPr="00244BF6">
        <w:rPr>
          <w:b/>
          <w:i/>
          <w:strike/>
          <w:lang w:val="en-AU"/>
        </w:rPr>
        <w:t>change in accounting estimate</w:t>
      </w:r>
      <w:r w:rsidR="000A5111" w:rsidRPr="00244BF6">
        <w:rPr>
          <w:b/>
          <w:strike/>
          <w:lang w:val="en-AU"/>
        </w:rPr>
        <w:t xml:space="preserve"> </w:t>
      </w:r>
      <w:r w:rsidRPr="00244BF6">
        <w:rPr>
          <w:b/>
          <w:strike/>
          <w:lang w:val="en-AU"/>
        </w:rPr>
        <w:t>is an adjustment of the carrying amount of an asset or a liability, or the amount of the periodic consumption of an asset, that results from the assessment of the present status of, and expected future benefits and obligations associated with, assets and liabilities. Changes in accounting estimates result from new information or new developments and, accordingly, are not corrections of errors.</w:t>
      </w:r>
    </w:p>
    <w:p w14:paraId="57D12658" w14:textId="77777777" w:rsidR="00755068" w:rsidRPr="00244BF6" w:rsidRDefault="00755068" w:rsidP="00755068">
      <w:pPr>
        <w:pStyle w:val="IASBNormalnpara"/>
        <w:rPr>
          <w:lang w:val="en-AU"/>
        </w:rPr>
      </w:pPr>
      <w:r w:rsidRPr="00244BF6">
        <w:rPr>
          <w:lang w:val="en-AU"/>
        </w:rPr>
        <w:tab/>
        <w:t>…</w:t>
      </w:r>
    </w:p>
    <w:p w14:paraId="5006F3F3" w14:textId="77777777" w:rsidR="008B0339" w:rsidRPr="00244BF6" w:rsidRDefault="008B0339" w:rsidP="008B0339">
      <w:pPr>
        <w:pStyle w:val="IASBSectionTitle1NonInd"/>
        <w:rPr>
          <w:lang w:val="en-AU"/>
        </w:rPr>
      </w:pPr>
      <w:r w:rsidRPr="00244BF6">
        <w:rPr>
          <w:u w:val="single"/>
          <w:lang w:val="en-AU"/>
        </w:rPr>
        <w:t xml:space="preserve">Accounting </w:t>
      </w:r>
      <w:r w:rsidRPr="00244BF6">
        <w:rPr>
          <w:strike/>
          <w:lang w:val="en-AU"/>
        </w:rPr>
        <w:t xml:space="preserve">Changes in accounting </w:t>
      </w:r>
      <w:r w:rsidRPr="00244BF6">
        <w:rPr>
          <w:lang w:val="en-AU"/>
        </w:rPr>
        <w:t>estimates</w:t>
      </w:r>
    </w:p>
    <w:p w14:paraId="35C99BFB" w14:textId="34B17D31" w:rsidR="008B0339" w:rsidRPr="00244BF6" w:rsidRDefault="008B0339" w:rsidP="008B0339">
      <w:pPr>
        <w:pStyle w:val="IASBNormalnpara"/>
        <w:rPr>
          <w:lang w:val="en-AU"/>
        </w:rPr>
      </w:pPr>
      <w:r w:rsidRPr="00244BF6">
        <w:rPr>
          <w:lang w:val="en-AU"/>
        </w:rPr>
        <w:t>32</w:t>
      </w:r>
      <w:r w:rsidRPr="00244BF6">
        <w:rPr>
          <w:lang w:val="en-AU"/>
        </w:rPr>
        <w:tab/>
      </w:r>
      <w:r w:rsidRPr="00244BF6">
        <w:rPr>
          <w:u w:val="single"/>
          <w:lang w:val="en-AU"/>
        </w:rPr>
        <w:t>An accounting policy may require items in financial statements to be measured in a way that involves measurement uncertainty</w:t>
      </w:r>
      <w:r w:rsidR="001E39CF" w:rsidRPr="00244BF6">
        <w:rPr>
          <w:u w:val="single"/>
          <w:lang w:val="en-AU"/>
        </w:rPr>
        <w:t xml:space="preserve"> – </w:t>
      </w:r>
      <w:r w:rsidRPr="00244BF6">
        <w:rPr>
          <w:u w:val="single"/>
          <w:lang w:val="en-AU"/>
        </w:rPr>
        <w:t xml:space="preserve">that is, the accounting policy may require such items to be measured at monetary amounts that cannot be observed directly and must instead be estimated. In such a case, an entity develops an accounting estimate to achieve the objective set out by the accounting policy. </w:t>
      </w:r>
      <w:r w:rsidRPr="00244BF6">
        <w:rPr>
          <w:strike/>
          <w:lang w:val="en-AU"/>
        </w:rPr>
        <w:t xml:space="preserve">As a result of the uncertainties inherent in business activities, many items in financial statements cannot be measured with precision but can only be estimated. </w:t>
      </w:r>
      <w:r w:rsidRPr="00244BF6">
        <w:rPr>
          <w:u w:val="single"/>
          <w:lang w:val="en-AU"/>
        </w:rPr>
        <w:t xml:space="preserve">Developing accounting estimates involves the use of judgements or assumptions </w:t>
      </w:r>
      <w:r w:rsidRPr="00244BF6">
        <w:rPr>
          <w:strike/>
          <w:lang w:val="en-AU"/>
        </w:rPr>
        <w:t xml:space="preserve">Estimation involves judgements </w:t>
      </w:r>
      <w:r w:rsidRPr="00244BF6">
        <w:rPr>
          <w:lang w:val="en-AU"/>
        </w:rPr>
        <w:t>based on the latest available, reliable information.</w:t>
      </w:r>
      <w:r w:rsidRPr="00244BF6">
        <w:rPr>
          <w:u w:val="single"/>
          <w:lang w:val="en-AU"/>
        </w:rPr>
        <w:t xml:space="preserve"> Examples of accounting estimates include</w:t>
      </w:r>
      <w:r w:rsidRPr="00244BF6">
        <w:rPr>
          <w:strike/>
          <w:lang w:val="en-AU"/>
        </w:rPr>
        <w:t xml:space="preserve"> </w:t>
      </w:r>
      <w:proofErr w:type="gramStart"/>
      <w:r w:rsidRPr="00244BF6">
        <w:rPr>
          <w:strike/>
          <w:lang w:val="en-AU"/>
        </w:rPr>
        <w:t>For</w:t>
      </w:r>
      <w:proofErr w:type="gramEnd"/>
      <w:r w:rsidRPr="00244BF6">
        <w:rPr>
          <w:strike/>
          <w:lang w:val="en-AU"/>
        </w:rPr>
        <w:t xml:space="preserve"> example, estimates may be required of</w:t>
      </w:r>
      <w:r w:rsidRPr="00244BF6">
        <w:rPr>
          <w:lang w:val="en-AU"/>
        </w:rPr>
        <w:t>:</w:t>
      </w:r>
    </w:p>
    <w:p w14:paraId="1271A97A" w14:textId="65C1B7F7" w:rsidR="008B0339" w:rsidRPr="00244BF6" w:rsidRDefault="008B0339" w:rsidP="008B0339">
      <w:pPr>
        <w:pStyle w:val="IASBNormalnparaL1"/>
        <w:rPr>
          <w:lang w:val="en-AU"/>
        </w:rPr>
      </w:pPr>
      <w:r w:rsidRPr="00244BF6">
        <w:rPr>
          <w:lang w:val="en-AU"/>
        </w:rPr>
        <w:t>(a)</w:t>
      </w:r>
      <w:r w:rsidRPr="00244BF6">
        <w:rPr>
          <w:lang w:val="en-AU"/>
        </w:rPr>
        <w:tab/>
      </w:r>
      <w:r w:rsidRPr="00244BF6">
        <w:rPr>
          <w:u w:val="single"/>
          <w:lang w:val="en-AU"/>
        </w:rPr>
        <w:t xml:space="preserve">a loss allowance for expected credit losses, applying </w:t>
      </w:r>
      <w:r w:rsidR="000E5CF1" w:rsidRPr="00244BF6">
        <w:rPr>
          <w:u w:val="single"/>
          <w:lang w:val="en-AU"/>
        </w:rPr>
        <w:t>AASB</w:t>
      </w:r>
      <w:r w:rsidRPr="00244BF6">
        <w:rPr>
          <w:u w:val="single"/>
          <w:lang w:val="en-AU"/>
        </w:rPr>
        <w:t xml:space="preserve"> 9 </w:t>
      </w:r>
      <w:r w:rsidRPr="00244BF6">
        <w:rPr>
          <w:i/>
          <w:u w:val="single"/>
          <w:lang w:val="en-AU"/>
        </w:rPr>
        <w:t>Financial Instruments</w:t>
      </w:r>
      <w:r w:rsidR="00097835" w:rsidRPr="00244BF6">
        <w:rPr>
          <w:strike/>
          <w:lang w:val="en-AU"/>
        </w:rPr>
        <w:t xml:space="preserve"> </w:t>
      </w:r>
      <w:r w:rsidRPr="00244BF6">
        <w:rPr>
          <w:strike/>
          <w:lang w:val="en-AU"/>
        </w:rPr>
        <w:t>bad debts</w:t>
      </w:r>
      <w:r w:rsidRPr="00244BF6">
        <w:rPr>
          <w:lang w:val="en-AU"/>
        </w:rPr>
        <w:t>;</w:t>
      </w:r>
    </w:p>
    <w:p w14:paraId="2D7F7720" w14:textId="7F5EE69E" w:rsidR="008B0339" w:rsidRPr="00244BF6" w:rsidRDefault="008B0339" w:rsidP="008B0339">
      <w:pPr>
        <w:pStyle w:val="IASBNormalnparaL1"/>
        <w:rPr>
          <w:lang w:val="en-AU"/>
        </w:rPr>
      </w:pPr>
      <w:r w:rsidRPr="00244BF6">
        <w:rPr>
          <w:lang w:val="en-AU"/>
        </w:rPr>
        <w:t>(b)</w:t>
      </w:r>
      <w:r w:rsidRPr="00244BF6">
        <w:rPr>
          <w:lang w:val="en-AU"/>
        </w:rPr>
        <w:tab/>
      </w:r>
      <w:r w:rsidRPr="00244BF6">
        <w:rPr>
          <w:u w:val="single"/>
          <w:lang w:val="en-AU"/>
        </w:rPr>
        <w:t xml:space="preserve">the net realisable value of an item of inventory, applying </w:t>
      </w:r>
      <w:r w:rsidR="009868B6" w:rsidRPr="00244BF6">
        <w:rPr>
          <w:u w:val="single"/>
          <w:lang w:val="en-AU"/>
        </w:rPr>
        <w:t>AASB</w:t>
      </w:r>
      <w:r w:rsidRPr="00244BF6">
        <w:rPr>
          <w:u w:val="single"/>
          <w:lang w:val="en-AU"/>
        </w:rPr>
        <w:t xml:space="preserve"> </w:t>
      </w:r>
      <w:r w:rsidR="009868B6" w:rsidRPr="00244BF6">
        <w:rPr>
          <w:u w:val="single"/>
          <w:lang w:val="en-AU"/>
        </w:rPr>
        <w:t>10</w:t>
      </w:r>
      <w:r w:rsidRPr="00244BF6">
        <w:rPr>
          <w:u w:val="single"/>
          <w:lang w:val="en-AU"/>
        </w:rPr>
        <w:t xml:space="preserve">2 </w:t>
      </w:r>
      <w:r w:rsidRPr="00244BF6">
        <w:rPr>
          <w:i/>
          <w:u w:val="single"/>
          <w:lang w:val="en-AU"/>
        </w:rPr>
        <w:t>Inventories</w:t>
      </w:r>
      <w:r w:rsidR="00BF0BE2" w:rsidRPr="00244BF6">
        <w:rPr>
          <w:i/>
          <w:strike/>
          <w:lang w:val="en-AU"/>
        </w:rPr>
        <w:t xml:space="preserve"> </w:t>
      </w:r>
      <w:r w:rsidRPr="00244BF6">
        <w:rPr>
          <w:strike/>
          <w:lang w:val="en-AU"/>
        </w:rPr>
        <w:t>inventory obsolescence</w:t>
      </w:r>
      <w:r w:rsidRPr="00244BF6">
        <w:rPr>
          <w:lang w:val="en-AU"/>
        </w:rPr>
        <w:t>;</w:t>
      </w:r>
    </w:p>
    <w:p w14:paraId="0E09DD3F" w14:textId="6A24D32C" w:rsidR="008B0339" w:rsidRPr="00244BF6" w:rsidRDefault="008B0339" w:rsidP="008B0339">
      <w:pPr>
        <w:pStyle w:val="IASBNormalnparaL1"/>
        <w:rPr>
          <w:lang w:val="en-AU"/>
        </w:rPr>
      </w:pPr>
      <w:r w:rsidRPr="00244BF6">
        <w:rPr>
          <w:lang w:val="en-AU"/>
        </w:rPr>
        <w:t>(c)</w:t>
      </w:r>
      <w:r w:rsidRPr="00244BF6">
        <w:rPr>
          <w:lang w:val="en-AU"/>
        </w:rPr>
        <w:tab/>
        <w:t>the fair value of</w:t>
      </w:r>
      <w:r w:rsidRPr="00244BF6">
        <w:rPr>
          <w:u w:val="single"/>
          <w:lang w:val="en-AU"/>
        </w:rPr>
        <w:t xml:space="preserve"> an asset or liability, applying </w:t>
      </w:r>
      <w:r w:rsidR="009868B6" w:rsidRPr="00244BF6">
        <w:rPr>
          <w:u w:val="single"/>
          <w:lang w:val="en-AU"/>
        </w:rPr>
        <w:t>AASB</w:t>
      </w:r>
      <w:r w:rsidRPr="00244BF6">
        <w:rPr>
          <w:u w:val="single"/>
          <w:lang w:val="en-AU"/>
        </w:rPr>
        <w:t xml:space="preserve"> 13 </w:t>
      </w:r>
      <w:r w:rsidRPr="00244BF6">
        <w:rPr>
          <w:i/>
          <w:u w:val="single"/>
          <w:lang w:val="en-AU"/>
        </w:rPr>
        <w:t>Fair Value Measurement</w:t>
      </w:r>
      <w:r w:rsidRPr="00244BF6">
        <w:rPr>
          <w:strike/>
          <w:lang w:val="en-AU"/>
        </w:rPr>
        <w:t xml:space="preserve"> financial assets or financial liabilities</w:t>
      </w:r>
      <w:r w:rsidRPr="00244BF6">
        <w:rPr>
          <w:lang w:val="en-AU"/>
        </w:rPr>
        <w:t>;</w:t>
      </w:r>
    </w:p>
    <w:p w14:paraId="2B796C77" w14:textId="76C2250B" w:rsidR="008B0339" w:rsidRPr="00244BF6" w:rsidRDefault="008B0339" w:rsidP="008B0339">
      <w:pPr>
        <w:pStyle w:val="IASBNormalnparaL1"/>
        <w:rPr>
          <w:lang w:val="en-AU"/>
        </w:rPr>
      </w:pPr>
      <w:r w:rsidRPr="00244BF6">
        <w:rPr>
          <w:lang w:val="en-AU"/>
        </w:rPr>
        <w:t>(d)</w:t>
      </w:r>
      <w:r w:rsidRPr="00244BF6">
        <w:rPr>
          <w:lang w:val="en-AU"/>
        </w:rPr>
        <w:tab/>
      </w:r>
      <w:r w:rsidRPr="00244BF6">
        <w:rPr>
          <w:u w:val="single"/>
          <w:lang w:val="en-AU"/>
        </w:rPr>
        <w:t xml:space="preserve">the depreciation expense for an item of property, </w:t>
      </w:r>
      <w:proofErr w:type="gramStart"/>
      <w:r w:rsidRPr="00244BF6">
        <w:rPr>
          <w:u w:val="single"/>
          <w:lang w:val="en-AU"/>
        </w:rPr>
        <w:t>plant</w:t>
      </w:r>
      <w:proofErr w:type="gramEnd"/>
      <w:r w:rsidRPr="00244BF6">
        <w:rPr>
          <w:u w:val="single"/>
          <w:lang w:val="en-AU"/>
        </w:rPr>
        <w:t xml:space="preserve"> and equipment, applying </w:t>
      </w:r>
      <w:r w:rsidR="004334FB" w:rsidRPr="00244BF6">
        <w:rPr>
          <w:u w:val="single"/>
          <w:lang w:val="en-AU"/>
        </w:rPr>
        <w:t>AASB</w:t>
      </w:r>
      <w:r w:rsidRPr="00244BF6">
        <w:rPr>
          <w:u w:val="single"/>
          <w:lang w:val="en-AU"/>
        </w:rPr>
        <w:t xml:space="preserve"> </w:t>
      </w:r>
      <w:r w:rsidR="004334FB" w:rsidRPr="00244BF6">
        <w:rPr>
          <w:u w:val="single"/>
          <w:lang w:val="en-AU"/>
        </w:rPr>
        <w:t>1</w:t>
      </w:r>
      <w:r w:rsidRPr="00244BF6">
        <w:rPr>
          <w:u w:val="single"/>
          <w:lang w:val="en-AU"/>
        </w:rPr>
        <w:t>16</w:t>
      </w:r>
      <w:r w:rsidR="00BF0BE2" w:rsidRPr="00244BF6">
        <w:rPr>
          <w:strike/>
          <w:lang w:val="en-AU"/>
        </w:rPr>
        <w:t xml:space="preserve"> </w:t>
      </w:r>
      <w:r w:rsidRPr="00244BF6">
        <w:rPr>
          <w:strike/>
          <w:lang w:val="en-AU"/>
        </w:rPr>
        <w:t>the useful lives of, or expected pattern of consumption of the future economic benefits embodied in, depreciable assets</w:t>
      </w:r>
      <w:r w:rsidRPr="00244BF6">
        <w:rPr>
          <w:lang w:val="en-AU"/>
        </w:rPr>
        <w:t>; and</w:t>
      </w:r>
    </w:p>
    <w:p w14:paraId="6C42DC02" w14:textId="4DF4245C" w:rsidR="008B0339" w:rsidRPr="00244BF6" w:rsidRDefault="008B0339" w:rsidP="008B0339">
      <w:pPr>
        <w:pStyle w:val="IASBNormalnparaL1"/>
        <w:rPr>
          <w:lang w:val="en-AU"/>
        </w:rPr>
      </w:pPr>
      <w:r w:rsidRPr="00244BF6">
        <w:rPr>
          <w:lang w:val="en-AU"/>
        </w:rPr>
        <w:t>(e)</w:t>
      </w:r>
      <w:r w:rsidRPr="00244BF6">
        <w:rPr>
          <w:lang w:val="en-AU"/>
        </w:rPr>
        <w:tab/>
      </w:r>
      <w:r w:rsidRPr="00244BF6">
        <w:rPr>
          <w:u w:val="single"/>
          <w:lang w:val="en-AU"/>
        </w:rPr>
        <w:t xml:space="preserve">a provision for </w:t>
      </w:r>
      <w:r w:rsidRPr="00244BF6">
        <w:rPr>
          <w:lang w:val="en-AU"/>
        </w:rPr>
        <w:t>warranty obligations</w:t>
      </w:r>
      <w:r w:rsidRPr="00244BF6">
        <w:rPr>
          <w:u w:val="single"/>
          <w:lang w:val="en-AU"/>
        </w:rPr>
        <w:t xml:space="preserve">, applying </w:t>
      </w:r>
      <w:r w:rsidR="00FA4CEC" w:rsidRPr="00244BF6">
        <w:rPr>
          <w:u w:val="single"/>
          <w:lang w:val="en-AU"/>
        </w:rPr>
        <w:t>AASB</w:t>
      </w:r>
      <w:r w:rsidRPr="00244BF6">
        <w:rPr>
          <w:u w:val="single"/>
          <w:lang w:val="en-AU"/>
        </w:rPr>
        <w:t xml:space="preserve"> </w:t>
      </w:r>
      <w:r w:rsidR="00FA4CEC" w:rsidRPr="00244BF6">
        <w:rPr>
          <w:u w:val="single"/>
          <w:lang w:val="en-AU"/>
        </w:rPr>
        <w:t>1</w:t>
      </w:r>
      <w:r w:rsidRPr="00244BF6">
        <w:rPr>
          <w:u w:val="single"/>
          <w:lang w:val="en-AU"/>
        </w:rPr>
        <w:t xml:space="preserve">37 </w:t>
      </w:r>
      <w:r w:rsidRPr="00244BF6">
        <w:rPr>
          <w:i/>
          <w:u w:val="single"/>
          <w:lang w:val="en-AU"/>
        </w:rPr>
        <w:t>Provisions, Contingent Liabilities and Contingent Assets</w:t>
      </w:r>
      <w:r w:rsidRPr="00244BF6">
        <w:rPr>
          <w:lang w:val="en-AU"/>
        </w:rPr>
        <w:t>.</w:t>
      </w:r>
    </w:p>
    <w:p w14:paraId="5BFF1D34" w14:textId="4872CF72" w:rsidR="008B0339" w:rsidRPr="00244BF6" w:rsidRDefault="008B0339" w:rsidP="008B0339">
      <w:pPr>
        <w:pStyle w:val="IASBNormalnpara"/>
        <w:rPr>
          <w:lang w:val="en-AU"/>
        </w:rPr>
      </w:pPr>
      <w:r w:rsidRPr="00244BF6">
        <w:rPr>
          <w:u w:val="single"/>
          <w:lang w:val="en-AU"/>
        </w:rPr>
        <w:t>32A</w:t>
      </w:r>
      <w:r w:rsidRPr="00244BF6">
        <w:rPr>
          <w:lang w:val="en-AU"/>
        </w:rPr>
        <w:tab/>
      </w:r>
      <w:proofErr w:type="gramStart"/>
      <w:r w:rsidRPr="00244BF6">
        <w:rPr>
          <w:u w:val="single"/>
          <w:lang w:val="en-AU"/>
        </w:rPr>
        <w:t>An</w:t>
      </w:r>
      <w:proofErr w:type="gramEnd"/>
      <w:r w:rsidRPr="00244BF6">
        <w:rPr>
          <w:u w:val="single"/>
          <w:lang w:val="en-AU"/>
        </w:rPr>
        <w:t xml:space="preserve"> entity uses measurement techniques and inputs to develop an accounting estimate. Measurement techniques include estimation techniques (for example, techniques used to measure a loss allowance for expected credit losses applying </w:t>
      </w:r>
      <w:r w:rsidR="00FA22AC" w:rsidRPr="00244BF6">
        <w:rPr>
          <w:u w:val="single"/>
          <w:lang w:val="en-AU"/>
        </w:rPr>
        <w:t>AASB</w:t>
      </w:r>
      <w:r w:rsidRPr="00244BF6">
        <w:rPr>
          <w:u w:val="single"/>
          <w:lang w:val="en-AU"/>
        </w:rPr>
        <w:t xml:space="preserve"> 9) and valuation techniques (for example, techniques used to measure the fair value of an asset or liability applying </w:t>
      </w:r>
      <w:r w:rsidR="00E430D8" w:rsidRPr="00244BF6">
        <w:rPr>
          <w:u w:val="single"/>
          <w:lang w:val="en-AU"/>
        </w:rPr>
        <w:t>AASB</w:t>
      </w:r>
      <w:r w:rsidRPr="00244BF6">
        <w:rPr>
          <w:u w:val="single"/>
          <w:lang w:val="en-AU"/>
        </w:rPr>
        <w:t xml:space="preserve"> 13).</w:t>
      </w:r>
    </w:p>
    <w:p w14:paraId="6510440E" w14:textId="13D81FFB" w:rsidR="008B0339" w:rsidRPr="00244BF6" w:rsidRDefault="008B0339" w:rsidP="008B0339">
      <w:pPr>
        <w:pStyle w:val="IASBNormalnpara"/>
        <w:rPr>
          <w:lang w:val="en-AU"/>
        </w:rPr>
      </w:pPr>
      <w:r w:rsidRPr="00244BF6">
        <w:rPr>
          <w:u w:val="single"/>
          <w:lang w:val="en-AU"/>
        </w:rPr>
        <w:t>32B</w:t>
      </w:r>
      <w:r w:rsidRPr="00244BF6">
        <w:rPr>
          <w:lang w:val="en-AU"/>
        </w:rPr>
        <w:tab/>
      </w:r>
      <w:proofErr w:type="gramStart"/>
      <w:r w:rsidRPr="00244BF6">
        <w:rPr>
          <w:u w:val="single"/>
          <w:lang w:val="en-AU"/>
        </w:rPr>
        <w:t>The</w:t>
      </w:r>
      <w:proofErr w:type="gramEnd"/>
      <w:r w:rsidRPr="00244BF6">
        <w:rPr>
          <w:u w:val="single"/>
          <w:lang w:val="en-AU"/>
        </w:rPr>
        <w:t xml:space="preserve"> term ‘estimate’ in </w:t>
      </w:r>
      <w:r w:rsidR="00E430D8" w:rsidRPr="00244BF6">
        <w:rPr>
          <w:u w:val="single"/>
          <w:lang w:val="en-AU"/>
        </w:rPr>
        <w:t>Australian Accounting Standards</w:t>
      </w:r>
      <w:r w:rsidRPr="00244BF6">
        <w:rPr>
          <w:u w:val="single"/>
          <w:lang w:val="en-AU"/>
        </w:rPr>
        <w:t xml:space="preserve"> sometimes refers to an estimate that is not an accounting estimate as defined in this Standard. For example, it sometimes refers to an input used in developing accounting estimates.</w:t>
      </w:r>
    </w:p>
    <w:p w14:paraId="3C0FCA11" w14:textId="77777777" w:rsidR="008B0339" w:rsidRPr="00244BF6" w:rsidRDefault="008B0339" w:rsidP="008B0339">
      <w:pPr>
        <w:pStyle w:val="IASBNormalnpara"/>
        <w:rPr>
          <w:lang w:val="en-AU"/>
        </w:rPr>
      </w:pPr>
      <w:r w:rsidRPr="00244BF6">
        <w:rPr>
          <w:lang w:val="en-AU"/>
        </w:rPr>
        <w:tab/>
        <w:t>…</w:t>
      </w:r>
    </w:p>
    <w:p w14:paraId="44C7C71E" w14:textId="77777777" w:rsidR="008B0339" w:rsidRPr="00244BF6" w:rsidRDefault="008B0339" w:rsidP="008B0339">
      <w:pPr>
        <w:pStyle w:val="IASBSectionTitle2Ind"/>
        <w:rPr>
          <w:lang w:val="en-AU"/>
        </w:rPr>
      </w:pPr>
      <w:r w:rsidRPr="00244BF6">
        <w:rPr>
          <w:u w:val="single"/>
          <w:lang w:val="en-AU"/>
        </w:rPr>
        <w:t>Changes in accounting estimates</w:t>
      </w:r>
    </w:p>
    <w:p w14:paraId="3F2E94AD" w14:textId="77777777" w:rsidR="008B0339" w:rsidRPr="00244BF6" w:rsidRDefault="008B0339" w:rsidP="008B0339">
      <w:pPr>
        <w:pStyle w:val="IASBNormalnpara"/>
        <w:rPr>
          <w:lang w:val="en-AU"/>
        </w:rPr>
      </w:pPr>
      <w:r w:rsidRPr="00244BF6">
        <w:rPr>
          <w:lang w:val="en-AU"/>
        </w:rPr>
        <w:t>34</w:t>
      </w:r>
      <w:r w:rsidRPr="00244BF6">
        <w:rPr>
          <w:lang w:val="en-AU"/>
        </w:rPr>
        <w:tab/>
        <w:t xml:space="preserve">An </w:t>
      </w:r>
      <w:r w:rsidRPr="00244BF6">
        <w:rPr>
          <w:u w:val="single"/>
          <w:lang w:val="en-AU"/>
        </w:rPr>
        <w:t xml:space="preserve">entity may need to change an accounting </w:t>
      </w:r>
      <w:r w:rsidRPr="00244BF6">
        <w:rPr>
          <w:lang w:val="en-AU"/>
        </w:rPr>
        <w:t xml:space="preserve">estimate </w:t>
      </w:r>
      <w:r w:rsidRPr="00244BF6">
        <w:rPr>
          <w:strike/>
          <w:lang w:val="en-AU"/>
        </w:rPr>
        <w:t xml:space="preserve">may need revision </w:t>
      </w:r>
      <w:r w:rsidRPr="00244BF6">
        <w:rPr>
          <w:lang w:val="en-AU"/>
        </w:rPr>
        <w:t xml:space="preserve">if changes occur in the circumstances on which the </w:t>
      </w:r>
      <w:r w:rsidRPr="00244BF6">
        <w:rPr>
          <w:u w:val="single"/>
          <w:lang w:val="en-AU"/>
        </w:rPr>
        <w:t xml:space="preserve">accounting </w:t>
      </w:r>
      <w:r w:rsidRPr="00244BF6">
        <w:rPr>
          <w:lang w:val="en-AU"/>
        </w:rPr>
        <w:t>estimate was based or as a result of new information</w:t>
      </w:r>
      <w:r w:rsidRPr="00244BF6">
        <w:rPr>
          <w:u w:val="single"/>
          <w:lang w:val="en-AU"/>
        </w:rPr>
        <w:t>, new developments</w:t>
      </w:r>
      <w:r w:rsidRPr="00244BF6">
        <w:rPr>
          <w:lang w:val="en-AU"/>
        </w:rPr>
        <w:t xml:space="preserve"> or more </w:t>
      </w:r>
      <w:r w:rsidRPr="00244BF6">
        <w:rPr>
          <w:lang w:val="en-AU"/>
        </w:rPr>
        <w:lastRenderedPageBreak/>
        <w:t xml:space="preserve">experience. By its nature, </w:t>
      </w:r>
      <w:r w:rsidRPr="00244BF6">
        <w:rPr>
          <w:u w:val="single"/>
          <w:lang w:val="en-AU"/>
        </w:rPr>
        <w:t xml:space="preserve">a change in an accounting </w:t>
      </w:r>
      <w:r w:rsidRPr="00244BF6">
        <w:rPr>
          <w:strike/>
          <w:lang w:val="en-AU"/>
        </w:rPr>
        <w:t xml:space="preserve">the revision of an </w:t>
      </w:r>
      <w:r w:rsidRPr="00244BF6">
        <w:rPr>
          <w:lang w:val="en-AU"/>
        </w:rPr>
        <w:t>estimate does not relate to prior periods and is not the correction of an error.</w:t>
      </w:r>
    </w:p>
    <w:p w14:paraId="790A9553" w14:textId="77777777" w:rsidR="008B0339" w:rsidRPr="00244BF6" w:rsidRDefault="008B0339" w:rsidP="008B0339">
      <w:pPr>
        <w:pStyle w:val="IASBNormalnpara"/>
        <w:rPr>
          <w:lang w:val="en-AU"/>
        </w:rPr>
      </w:pPr>
      <w:r w:rsidRPr="00244BF6">
        <w:rPr>
          <w:u w:val="single"/>
          <w:lang w:val="en-AU"/>
        </w:rPr>
        <w:t>34A</w:t>
      </w:r>
      <w:r w:rsidRPr="00244BF6">
        <w:rPr>
          <w:lang w:val="en-AU"/>
        </w:rPr>
        <w:tab/>
      </w:r>
      <w:proofErr w:type="gramStart"/>
      <w:r w:rsidRPr="00244BF6">
        <w:rPr>
          <w:u w:val="single"/>
          <w:lang w:val="en-AU"/>
        </w:rPr>
        <w:t>The</w:t>
      </w:r>
      <w:proofErr w:type="gramEnd"/>
      <w:r w:rsidRPr="00244BF6">
        <w:rPr>
          <w:u w:val="single"/>
          <w:lang w:val="en-AU"/>
        </w:rPr>
        <w:t xml:space="preserve"> effects on an accounting estimate of a change in an input or a change in a measurement technique are changes in accounting estimates unless they result from the correction of prior period errors.</w:t>
      </w:r>
    </w:p>
    <w:p w14:paraId="260F813F" w14:textId="77777777" w:rsidR="008B0339" w:rsidRPr="00244BF6" w:rsidRDefault="008B0339" w:rsidP="008B0339">
      <w:pPr>
        <w:pStyle w:val="IASBNormalnpara"/>
        <w:rPr>
          <w:lang w:val="en-AU"/>
        </w:rPr>
      </w:pPr>
      <w:r w:rsidRPr="00244BF6">
        <w:rPr>
          <w:lang w:val="en-AU"/>
        </w:rPr>
        <w:tab/>
        <w:t>…</w:t>
      </w:r>
    </w:p>
    <w:p w14:paraId="3BDE1D89" w14:textId="29C897BA" w:rsidR="008B0339" w:rsidRPr="00244BF6" w:rsidRDefault="008B0339" w:rsidP="008B0339">
      <w:pPr>
        <w:pStyle w:val="IASBSectionTitle3Ind"/>
        <w:rPr>
          <w:lang w:val="en-AU"/>
        </w:rPr>
      </w:pPr>
      <w:r w:rsidRPr="00244BF6">
        <w:rPr>
          <w:u w:val="single"/>
          <w:lang w:val="en-AU"/>
        </w:rPr>
        <w:t>Applying changes in accounting estimates</w:t>
      </w:r>
      <w:r w:rsidRPr="00244BF6">
        <w:rPr>
          <w:lang w:val="en-AU"/>
        </w:rPr>
        <w:t xml:space="preserve"> </w:t>
      </w:r>
    </w:p>
    <w:p w14:paraId="531FEDD4" w14:textId="0A5D1D95" w:rsidR="008B0339" w:rsidRPr="00244BF6" w:rsidRDefault="00035EF2" w:rsidP="008B0339">
      <w:pPr>
        <w:pStyle w:val="IASBNormalnpara"/>
        <w:rPr>
          <w:lang w:val="en-AU"/>
        </w:rPr>
      </w:pPr>
      <w:r w:rsidRPr="00244BF6">
        <w:rPr>
          <w:lang w:val="en-AU"/>
        </w:rPr>
        <w:t>36</w:t>
      </w:r>
      <w:r w:rsidR="008B0339" w:rsidRPr="00244BF6">
        <w:rPr>
          <w:lang w:val="en-AU"/>
        </w:rPr>
        <w:tab/>
        <w:t>…</w:t>
      </w:r>
    </w:p>
    <w:p w14:paraId="0AF3CEC9" w14:textId="77777777" w:rsidR="008B0339" w:rsidRPr="00244BF6" w:rsidRDefault="008B0339" w:rsidP="008B0339">
      <w:pPr>
        <w:pStyle w:val="IASBNormalnpara"/>
        <w:rPr>
          <w:lang w:val="en-AU"/>
        </w:rPr>
      </w:pPr>
      <w:r w:rsidRPr="00244BF6">
        <w:rPr>
          <w:lang w:val="en-AU"/>
        </w:rPr>
        <w:t>38</w:t>
      </w:r>
      <w:r w:rsidRPr="00244BF6">
        <w:rPr>
          <w:lang w:val="en-AU"/>
        </w:rPr>
        <w:tab/>
        <w:t xml:space="preserve">Prospective recognition of the effect of a change in an accounting estimate means that the change is applied to transactions, other </w:t>
      </w:r>
      <w:proofErr w:type="gramStart"/>
      <w:r w:rsidRPr="00244BF6">
        <w:rPr>
          <w:lang w:val="en-AU"/>
        </w:rPr>
        <w:t>events</w:t>
      </w:r>
      <w:proofErr w:type="gramEnd"/>
      <w:r w:rsidRPr="00244BF6">
        <w:rPr>
          <w:lang w:val="en-AU"/>
        </w:rPr>
        <w:t xml:space="preserve"> and conditions from the date of </w:t>
      </w:r>
      <w:r w:rsidRPr="00244BF6">
        <w:rPr>
          <w:u w:val="single"/>
          <w:lang w:val="en-AU"/>
        </w:rPr>
        <w:t xml:space="preserve">that </w:t>
      </w:r>
      <w:r w:rsidRPr="00244BF6">
        <w:rPr>
          <w:strike/>
          <w:lang w:val="en-AU"/>
        </w:rPr>
        <w:t xml:space="preserve">the </w:t>
      </w:r>
      <w:r w:rsidRPr="00244BF6">
        <w:rPr>
          <w:lang w:val="en-AU"/>
        </w:rPr>
        <w:t>change</w:t>
      </w:r>
      <w:r w:rsidRPr="00244BF6">
        <w:rPr>
          <w:strike/>
          <w:lang w:val="en-AU"/>
        </w:rPr>
        <w:t xml:space="preserve"> in estimate</w:t>
      </w:r>
      <w:r w:rsidRPr="00244BF6">
        <w:rPr>
          <w:lang w:val="en-AU"/>
        </w:rPr>
        <w:t xml:space="preserve">. A change in an accounting estimate may affect only the current period’s profit or loss, or the profit or loss of both the current period and future periods. For example, a change in </w:t>
      </w:r>
      <w:r w:rsidRPr="00244BF6">
        <w:rPr>
          <w:u w:val="single"/>
          <w:lang w:val="en-AU"/>
        </w:rPr>
        <w:t xml:space="preserve">a loss allowance for expected credit losses </w:t>
      </w:r>
      <w:r w:rsidRPr="00244BF6">
        <w:rPr>
          <w:strike/>
          <w:lang w:val="en-AU"/>
        </w:rPr>
        <w:t xml:space="preserve">the estimate of the amount of bad debts </w:t>
      </w:r>
      <w:r w:rsidRPr="00244BF6">
        <w:rPr>
          <w:lang w:val="en-AU"/>
        </w:rPr>
        <w:t>affects only the current period’s profit or loss and therefore is recognised in the current period. However, a change in the estimated useful life of, or the expected pattern of consumption of the future economic benefits embodied in, a depreciable asset affects depreciation expense for the current period and for each future period during the asset’s remaining useful life. In both cases, the effect of the change relating to the current period is recognised as income or expense in the current period. The effect, if any, on future periods is recognised as income or expense in those future periods.</w:t>
      </w:r>
    </w:p>
    <w:p w14:paraId="4650B6A8" w14:textId="77777777" w:rsidR="008B0339" w:rsidRPr="00244BF6" w:rsidRDefault="008B0339" w:rsidP="008B0339">
      <w:pPr>
        <w:pStyle w:val="IASBSectionTitle2Ind"/>
        <w:rPr>
          <w:lang w:val="en-AU"/>
        </w:rPr>
      </w:pPr>
      <w:r w:rsidRPr="00244BF6">
        <w:rPr>
          <w:strike/>
          <w:lang w:val="en-AU"/>
        </w:rPr>
        <w:t>Disclosure</w:t>
      </w:r>
    </w:p>
    <w:p w14:paraId="217C295E" w14:textId="77777777" w:rsidR="008B0339" w:rsidRPr="00244BF6" w:rsidRDefault="008B0339" w:rsidP="008B0339">
      <w:pPr>
        <w:pStyle w:val="IASBSectionTitle3Ind"/>
        <w:rPr>
          <w:lang w:val="en-AU"/>
        </w:rPr>
      </w:pPr>
      <w:r w:rsidRPr="00244BF6">
        <w:rPr>
          <w:u w:val="single"/>
          <w:lang w:val="en-AU"/>
        </w:rPr>
        <w:t>Disclosure</w:t>
      </w:r>
    </w:p>
    <w:p w14:paraId="334BC8ED" w14:textId="512A15E2" w:rsidR="008B0339" w:rsidRPr="00244BF6" w:rsidRDefault="00035EF2" w:rsidP="008B0339">
      <w:pPr>
        <w:pStyle w:val="IASBNormalnpara"/>
        <w:rPr>
          <w:lang w:val="en-AU"/>
        </w:rPr>
      </w:pPr>
      <w:r w:rsidRPr="00244BF6">
        <w:rPr>
          <w:lang w:val="en-AU"/>
        </w:rPr>
        <w:t>39</w:t>
      </w:r>
      <w:r w:rsidR="008B0339" w:rsidRPr="00244BF6">
        <w:rPr>
          <w:lang w:val="en-AU"/>
        </w:rPr>
        <w:tab/>
        <w:t>…</w:t>
      </w:r>
    </w:p>
    <w:p w14:paraId="34B2DE75" w14:textId="77777777" w:rsidR="00076479" w:rsidRPr="00244BF6" w:rsidRDefault="00076479" w:rsidP="00076479">
      <w:pPr>
        <w:pStyle w:val="IASBSectionTitle1NonInd"/>
        <w:rPr>
          <w:lang w:val="en-AU"/>
        </w:rPr>
      </w:pPr>
      <w:r w:rsidRPr="00244BF6">
        <w:rPr>
          <w:lang w:val="en-AU"/>
        </w:rPr>
        <w:t>Errors</w:t>
      </w:r>
    </w:p>
    <w:p w14:paraId="4D0D0B7D" w14:textId="77777777" w:rsidR="00076479" w:rsidRPr="00244BF6" w:rsidRDefault="00076479" w:rsidP="00076479">
      <w:pPr>
        <w:pStyle w:val="IASBNormalnpara"/>
        <w:rPr>
          <w:lang w:val="en-AU"/>
        </w:rPr>
      </w:pPr>
      <w:r w:rsidRPr="00244BF6">
        <w:rPr>
          <w:lang w:val="en-AU"/>
        </w:rPr>
        <w:tab/>
        <w:t>…</w:t>
      </w:r>
    </w:p>
    <w:p w14:paraId="087EA436" w14:textId="77777777" w:rsidR="00076479" w:rsidRPr="00244BF6" w:rsidRDefault="00076479" w:rsidP="00076479">
      <w:pPr>
        <w:pStyle w:val="IASBNormalnpara"/>
        <w:rPr>
          <w:lang w:val="en-AU"/>
        </w:rPr>
      </w:pPr>
      <w:r w:rsidRPr="00244BF6">
        <w:rPr>
          <w:lang w:val="en-AU"/>
        </w:rPr>
        <w:t>48</w:t>
      </w:r>
      <w:r w:rsidRPr="00244BF6">
        <w:rPr>
          <w:lang w:val="en-AU"/>
        </w:rPr>
        <w:tab/>
        <w:t xml:space="preserve">Corrections of errors are distinguished from changes in accounting estimates. Accounting estimates by their nature are approximations that may need </w:t>
      </w:r>
      <w:r w:rsidRPr="00244BF6">
        <w:rPr>
          <w:u w:val="single"/>
          <w:lang w:val="en-AU"/>
        </w:rPr>
        <w:t xml:space="preserve">changing </w:t>
      </w:r>
      <w:r w:rsidRPr="00244BF6">
        <w:rPr>
          <w:strike/>
          <w:lang w:val="en-AU"/>
        </w:rPr>
        <w:t xml:space="preserve">revision </w:t>
      </w:r>
      <w:r w:rsidRPr="00244BF6">
        <w:rPr>
          <w:lang w:val="en-AU"/>
        </w:rPr>
        <w:t>as additional information becomes known. For example, the gain or loss recognised on the outcome of a contingency is not the correction of an error.</w:t>
      </w:r>
    </w:p>
    <w:p w14:paraId="7D6E715F" w14:textId="77777777" w:rsidR="00076479" w:rsidRPr="00244BF6" w:rsidRDefault="00076479" w:rsidP="00076479">
      <w:pPr>
        <w:pStyle w:val="IASBNormalnpara"/>
        <w:rPr>
          <w:lang w:val="en-AU"/>
        </w:rPr>
      </w:pPr>
      <w:r w:rsidRPr="00244BF6">
        <w:rPr>
          <w:lang w:val="en-AU"/>
        </w:rPr>
        <w:tab/>
        <w:t>…</w:t>
      </w:r>
    </w:p>
    <w:p w14:paraId="11004DD7" w14:textId="77777777" w:rsidR="00076479" w:rsidRPr="00244BF6" w:rsidRDefault="00076479" w:rsidP="00076479">
      <w:pPr>
        <w:pStyle w:val="IASBSectionTitle1NonInd"/>
        <w:rPr>
          <w:lang w:val="en-AU"/>
        </w:rPr>
      </w:pPr>
      <w:r w:rsidRPr="00244BF6">
        <w:rPr>
          <w:lang w:val="en-AU"/>
        </w:rPr>
        <w:t>Effective date and transition</w:t>
      </w:r>
    </w:p>
    <w:p w14:paraId="53B6DC30" w14:textId="77777777" w:rsidR="00076479" w:rsidRPr="00244BF6" w:rsidRDefault="00076479" w:rsidP="00076479">
      <w:pPr>
        <w:pStyle w:val="IASBNormalnpara"/>
        <w:rPr>
          <w:lang w:val="en-AU"/>
        </w:rPr>
      </w:pPr>
      <w:r w:rsidRPr="00244BF6">
        <w:rPr>
          <w:lang w:val="en-AU"/>
        </w:rPr>
        <w:tab/>
        <w:t>…</w:t>
      </w:r>
    </w:p>
    <w:p w14:paraId="1741D9D5" w14:textId="0F1AF188" w:rsidR="002454EF" w:rsidRPr="00244BF6" w:rsidRDefault="00076479" w:rsidP="005A7441">
      <w:pPr>
        <w:pStyle w:val="IASBNormalnpara"/>
        <w:rPr>
          <w:lang w:val="en-AU"/>
        </w:rPr>
      </w:pPr>
      <w:r w:rsidRPr="00244BF6">
        <w:rPr>
          <w:u w:val="single"/>
          <w:lang w:val="en-AU"/>
        </w:rPr>
        <w:t>54I</w:t>
      </w:r>
      <w:r w:rsidRPr="00244BF6">
        <w:rPr>
          <w:lang w:val="en-AU"/>
        </w:rPr>
        <w:tab/>
      </w:r>
      <w:r w:rsidR="008F4914" w:rsidRPr="00244BF6">
        <w:rPr>
          <w:u w:val="single"/>
          <w:lang w:val="en-AU"/>
        </w:rPr>
        <w:t>AASB 2021-</w:t>
      </w:r>
      <w:r w:rsidR="00673627">
        <w:rPr>
          <w:u w:val="single"/>
          <w:lang w:val="en-AU"/>
        </w:rPr>
        <w:t>2</w:t>
      </w:r>
      <w:r w:rsidR="008F4914" w:rsidRPr="00244BF6">
        <w:rPr>
          <w:u w:val="single"/>
          <w:lang w:val="en-AU"/>
        </w:rPr>
        <w:t xml:space="preserve"> </w:t>
      </w:r>
      <w:r w:rsidR="008F4914" w:rsidRPr="00244BF6">
        <w:rPr>
          <w:i/>
          <w:u w:val="single"/>
          <w:lang w:val="en-AU"/>
        </w:rPr>
        <w:t>Amendments to Australian Accounting Standards – Disclosure of Accounting Policies and Definition of Accounting Estimates,</w:t>
      </w:r>
      <w:r w:rsidR="008F4914" w:rsidRPr="00244BF6">
        <w:rPr>
          <w:u w:val="single"/>
          <w:lang w:val="en-AU"/>
        </w:rPr>
        <w:t xml:space="preserve"> issued in March 2021</w:t>
      </w:r>
      <w:r w:rsidRPr="00244BF6">
        <w:rPr>
          <w:u w:val="single"/>
          <w:lang w:val="en-AU"/>
        </w:rPr>
        <w:t>, amended paragraphs 5, 32, 34, 38 and 48 and added paragraphs 32A, 32B and 34A. An entity shall apply these amendments for annual reporting periods beginning on or after 1 January</w:t>
      </w:r>
      <w:r w:rsidR="00035EF2" w:rsidRPr="00244BF6">
        <w:rPr>
          <w:u w:val="single"/>
          <w:lang w:val="en-AU"/>
        </w:rPr>
        <w:t xml:space="preserve"> </w:t>
      </w:r>
      <w:r w:rsidRPr="00244BF6">
        <w:rPr>
          <w:u w:val="single"/>
          <w:lang w:val="en-AU"/>
        </w:rPr>
        <w:t>2023. Earlier application is permitted. An entity shall apply the amendments to changes in accounting estimates and changes in accounting policies that occur on or after the beginning of the first annual reporting period in which it applies the amendments.</w:t>
      </w:r>
    </w:p>
    <w:p w14:paraId="4057ADD2" w14:textId="3281BA5C" w:rsidR="00D06233" w:rsidRPr="00244BF6" w:rsidRDefault="00B8270C" w:rsidP="00CF6FFD">
      <w:pPr>
        <w:pStyle w:val="Heading2"/>
      </w:pPr>
      <w:bookmarkStart w:id="13" w:name="_Hlk65246680"/>
      <w:r w:rsidRPr="00244BF6">
        <w:t xml:space="preserve">Amendments to other AASB </w:t>
      </w:r>
      <w:r w:rsidR="00766677" w:rsidRPr="00244BF6">
        <w:t>Standards and publications</w:t>
      </w:r>
      <w:bookmarkEnd w:id="13"/>
    </w:p>
    <w:p w14:paraId="527BF569" w14:textId="0C2BCD45" w:rsidR="0055749A" w:rsidRPr="00244BF6" w:rsidRDefault="00333F63" w:rsidP="0055749A">
      <w:pPr>
        <w:pStyle w:val="IASBSectionTitle1NonInd"/>
        <w:rPr>
          <w:i/>
          <w:lang w:val="en-AU"/>
        </w:rPr>
      </w:pPr>
      <w:r w:rsidRPr="00244BF6">
        <w:rPr>
          <w:lang w:val="en-AU"/>
        </w:rPr>
        <w:t>A</w:t>
      </w:r>
      <w:r w:rsidR="00005256" w:rsidRPr="00244BF6">
        <w:rPr>
          <w:lang w:val="en-AU"/>
        </w:rPr>
        <w:t>mendments to AASB 7</w:t>
      </w:r>
    </w:p>
    <w:tbl>
      <w:tblPr>
        <w:tblW w:w="0" w:type="auto"/>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Pr>
      <w:tblGrid>
        <w:gridCol w:w="9044"/>
      </w:tblGrid>
      <w:tr w:rsidR="00F62C26" w14:paraId="00A78B08" w14:textId="77777777" w:rsidTr="00B27C31">
        <w:tc>
          <w:tcPr>
            <w:tcW w:w="0" w:type="auto"/>
          </w:tcPr>
          <w:p w14:paraId="4CDE2112" w14:textId="77777777" w:rsidR="00F62C26" w:rsidRPr="00244BF6" w:rsidRDefault="00F62C26" w:rsidP="00F62C26">
            <w:pPr>
              <w:pStyle w:val="IASBTableArial"/>
              <w:spacing w:before="100" w:after="100"/>
              <w:rPr>
                <w:lang w:val="en-AU"/>
              </w:rPr>
            </w:pPr>
            <w:r w:rsidRPr="00244BF6">
              <w:rPr>
                <w:lang w:val="en-AU"/>
              </w:rPr>
              <w:t xml:space="preserve">Paragraphs 21 and B5 are amended. Paragraph 44II is added. New text is </w:t>
            </w:r>
            <w:proofErr w:type="gramStart"/>
            <w:r w:rsidRPr="00244BF6">
              <w:rPr>
                <w:lang w:val="en-AU"/>
              </w:rPr>
              <w:t>underlined</w:t>
            </w:r>
            <w:proofErr w:type="gramEnd"/>
            <w:r w:rsidRPr="00244BF6">
              <w:rPr>
                <w:lang w:val="en-AU"/>
              </w:rPr>
              <w:t xml:space="preserve"> and deleted text is struck through.</w:t>
            </w:r>
          </w:p>
        </w:tc>
      </w:tr>
    </w:tbl>
    <w:p w14:paraId="683820A1" w14:textId="77777777" w:rsidR="00F62C26" w:rsidRPr="00244BF6" w:rsidRDefault="00F62C26" w:rsidP="00F62C26">
      <w:pPr>
        <w:pStyle w:val="IASBSectionTitle1NonInd"/>
        <w:rPr>
          <w:lang w:val="en-AU"/>
        </w:rPr>
      </w:pPr>
      <w:r w:rsidRPr="00244BF6">
        <w:rPr>
          <w:lang w:val="en-AU"/>
        </w:rPr>
        <w:lastRenderedPageBreak/>
        <w:t>Significance of financial instruments for financial position and performance</w:t>
      </w:r>
    </w:p>
    <w:p w14:paraId="4C48A26B" w14:textId="77777777" w:rsidR="00F62C26" w:rsidRPr="00244BF6" w:rsidRDefault="00F62C26" w:rsidP="00F62C26">
      <w:pPr>
        <w:pStyle w:val="IASBNormalnpara"/>
        <w:rPr>
          <w:lang w:val="en-AU"/>
        </w:rPr>
      </w:pPr>
      <w:r w:rsidRPr="00244BF6">
        <w:rPr>
          <w:lang w:val="en-AU"/>
        </w:rPr>
        <w:tab/>
        <w:t>...</w:t>
      </w:r>
    </w:p>
    <w:p w14:paraId="198BCC39" w14:textId="77777777" w:rsidR="00F62C26" w:rsidRPr="00244BF6" w:rsidRDefault="00F62C26" w:rsidP="00F62C26">
      <w:pPr>
        <w:pStyle w:val="IASBSectionTitle2Ind"/>
        <w:rPr>
          <w:lang w:val="en-AU"/>
        </w:rPr>
      </w:pPr>
      <w:r w:rsidRPr="00244BF6">
        <w:rPr>
          <w:lang w:val="en-AU"/>
        </w:rPr>
        <w:t>Other disclosures</w:t>
      </w:r>
    </w:p>
    <w:p w14:paraId="23266905" w14:textId="77777777" w:rsidR="00F62C26" w:rsidRPr="00244BF6" w:rsidRDefault="00F62C26" w:rsidP="00F62C26">
      <w:pPr>
        <w:pStyle w:val="IASBSectionTitle3Ind"/>
        <w:rPr>
          <w:lang w:val="en-AU"/>
        </w:rPr>
      </w:pPr>
      <w:r w:rsidRPr="00244BF6">
        <w:rPr>
          <w:lang w:val="en-AU"/>
        </w:rPr>
        <w:t>Accounting policies</w:t>
      </w:r>
    </w:p>
    <w:p w14:paraId="1397B524" w14:textId="100A9A27" w:rsidR="00F62C26" w:rsidRPr="00244BF6" w:rsidRDefault="00F62C26" w:rsidP="00F62C26">
      <w:pPr>
        <w:pStyle w:val="IASBNormalnpara"/>
        <w:rPr>
          <w:lang w:val="en-AU"/>
        </w:rPr>
      </w:pPr>
      <w:r w:rsidRPr="00244BF6">
        <w:rPr>
          <w:lang w:val="en-AU"/>
        </w:rPr>
        <w:t>21</w:t>
      </w:r>
      <w:r w:rsidRPr="00244BF6">
        <w:rPr>
          <w:lang w:val="en-AU"/>
        </w:rPr>
        <w:tab/>
        <w:t xml:space="preserve">In accordance with paragraph 117 of </w:t>
      </w:r>
      <w:r w:rsidR="008E471A" w:rsidRPr="00244BF6">
        <w:rPr>
          <w:lang w:val="en-AU"/>
        </w:rPr>
        <w:t>AASB</w:t>
      </w:r>
      <w:r w:rsidRPr="00244BF6">
        <w:rPr>
          <w:lang w:val="en-AU"/>
        </w:rPr>
        <w:t xml:space="preserve"> 1</w:t>
      </w:r>
      <w:r w:rsidR="008E471A" w:rsidRPr="00244BF6">
        <w:rPr>
          <w:lang w:val="en-AU"/>
        </w:rPr>
        <w:t>01</w:t>
      </w:r>
      <w:r w:rsidRPr="00244BF6">
        <w:rPr>
          <w:lang w:val="en-AU"/>
        </w:rPr>
        <w:t xml:space="preserve"> </w:t>
      </w:r>
      <w:r w:rsidRPr="00244BF6">
        <w:rPr>
          <w:i/>
          <w:lang w:val="en-AU"/>
        </w:rPr>
        <w:t>Presentation of Financial Statements</w:t>
      </w:r>
      <w:r w:rsidRPr="00244BF6">
        <w:rPr>
          <w:lang w:val="en-AU"/>
        </w:rPr>
        <w:t xml:space="preserve">, an entity discloses </w:t>
      </w:r>
      <w:r w:rsidRPr="00244BF6">
        <w:rPr>
          <w:u w:val="single"/>
          <w:lang w:val="en-AU"/>
        </w:rPr>
        <w:t xml:space="preserve">material </w:t>
      </w:r>
      <w:r w:rsidRPr="00244BF6">
        <w:rPr>
          <w:strike/>
          <w:lang w:val="en-AU"/>
        </w:rPr>
        <w:t xml:space="preserve">its significant </w:t>
      </w:r>
      <w:r w:rsidRPr="00244BF6">
        <w:rPr>
          <w:lang w:val="en-AU"/>
        </w:rPr>
        <w:t xml:space="preserve"> accounting</w:t>
      </w:r>
      <w:r w:rsidRPr="00244BF6">
        <w:rPr>
          <w:u w:val="single"/>
          <w:lang w:val="en-AU"/>
        </w:rPr>
        <w:t xml:space="preserve"> policy information</w:t>
      </w:r>
      <w:r w:rsidRPr="00244BF6">
        <w:rPr>
          <w:strike/>
          <w:lang w:val="en-AU"/>
        </w:rPr>
        <w:t xml:space="preserve"> policies comprising the measurement basis (or bases) used in preparing the financial statements and the other accounting policies used that are relevant to an understanding of the financial statements</w:t>
      </w:r>
      <w:r w:rsidRPr="00244BF6">
        <w:rPr>
          <w:lang w:val="en-AU"/>
        </w:rPr>
        <w:t>.</w:t>
      </w:r>
      <w:r w:rsidRPr="00244BF6">
        <w:rPr>
          <w:u w:val="single"/>
          <w:lang w:val="en-AU"/>
        </w:rPr>
        <w:t xml:space="preserve"> Information about the measurement basis (or bases) for financial instruments used in preparing the financial statements is expected to be material accounting policy information.</w:t>
      </w:r>
    </w:p>
    <w:p w14:paraId="3E0CF521" w14:textId="77777777" w:rsidR="00F62C26" w:rsidRPr="00244BF6" w:rsidRDefault="00F62C26" w:rsidP="00F62C26">
      <w:pPr>
        <w:pStyle w:val="IASBNormalnpara"/>
        <w:rPr>
          <w:lang w:val="en-AU"/>
        </w:rPr>
      </w:pPr>
      <w:r w:rsidRPr="00244BF6">
        <w:rPr>
          <w:lang w:val="en-AU"/>
        </w:rPr>
        <w:tab/>
        <w:t>...</w:t>
      </w:r>
    </w:p>
    <w:p w14:paraId="1224BEAB" w14:textId="77777777" w:rsidR="00F62C26" w:rsidRPr="00244BF6" w:rsidRDefault="00F62C26" w:rsidP="00F62C26">
      <w:pPr>
        <w:pStyle w:val="IASBSectionTitle1NonInd"/>
        <w:rPr>
          <w:lang w:val="en-AU"/>
        </w:rPr>
      </w:pPr>
      <w:r w:rsidRPr="00244BF6">
        <w:rPr>
          <w:lang w:val="en-AU"/>
        </w:rPr>
        <w:t>Effective date and transition</w:t>
      </w:r>
    </w:p>
    <w:p w14:paraId="26B36B22" w14:textId="77777777" w:rsidR="00F62C26" w:rsidRPr="00244BF6" w:rsidRDefault="00F62C26" w:rsidP="00F62C26">
      <w:pPr>
        <w:pStyle w:val="IASBNormalnpara"/>
        <w:rPr>
          <w:lang w:val="en-AU"/>
        </w:rPr>
      </w:pPr>
      <w:r w:rsidRPr="00244BF6">
        <w:rPr>
          <w:lang w:val="en-AU"/>
        </w:rPr>
        <w:tab/>
        <w:t>...</w:t>
      </w:r>
    </w:p>
    <w:p w14:paraId="4C21B5FE" w14:textId="6DD1F1AF" w:rsidR="00F62C26" w:rsidRPr="00244BF6" w:rsidRDefault="00F62C26" w:rsidP="00F62C26">
      <w:pPr>
        <w:pStyle w:val="IASBNormalnpara"/>
        <w:rPr>
          <w:u w:val="single"/>
          <w:lang w:val="en-AU"/>
        </w:rPr>
      </w:pPr>
      <w:r w:rsidRPr="00244BF6">
        <w:rPr>
          <w:u w:val="single"/>
          <w:lang w:val="en-AU"/>
        </w:rPr>
        <w:t>44II</w:t>
      </w:r>
      <w:r w:rsidRPr="00244BF6">
        <w:rPr>
          <w:lang w:val="en-AU"/>
        </w:rPr>
        <w:tab/>
      </w:r>
      <w:r w:rsidR="007E7122" w:rsidRPr="00244BF6">
        <w:rPr>
          <w:u w:val="single"/>
          <w:lang w:val="en-AU"/>
        </w:rPr>
        <w:t>AASB 2021-</w:t>
      </w:r>
      <w:r w:rsidR="00673627">
        <w:rPr>
          <w:u w:val="single"/>
          <w:lang w:val="en-AU"/>
        </w:rPr>
        <w:t>2</w:t>
      </w:r>
      <w:r w:rsidR="007E7122" w:rsidRPr="00244BF6">
        <w:rPr>
          <w:u w:val="single"/>
          <w:lang w:val="en-AU"/>
        </w:rPr>
        <w:t xml:space="preserve"> </w:t>
      </w:r>
      <w:r w:rsidR="007E7122" w:rsidRPr="00244BF6">
        <w:rPr>
          <w:i/>
          <w:u w:val="single"/>
          <w:lang w:val="en-AU"/>
        </w:rPr>
        <w:t>Amendments to Australian Accounting Standards – Disclosure of Accounting Policies and Definition of Accounting Estimates</w:t>
      </w:r>
      <w:r w:rsidRPr="00244BF6">
        <w:rPr>
          <w:u w:val="single"/>
          <w:lang w:val="en-AU"/>
        </w:rPr>
        <w:t xml:space="preserve">, which amends </w:t>
      </w:r>
      <w:r w:rsidR="007E7122" w:rsidRPr="00244BF6">
        <w:rPr>
          <w:u w:val="single"/>
          <w:lang w:val="en-AU"/>
        </w:rPr>
        <w:t>AASB</w:t>
      </w:r>
      <w:r w:rsidRPr="00244BF6">
        <w:rPr>
          <w:u w:val="single"/>
          <w:lang w:val="en-AU"/>
        </w:rPr>
        <w:t xml:space="preserve"> 1</w:t>
      </w:r>
      <w:r w:rsidR="007E7122" w:rsidRPr="00244BF6">
        <w:rPr>
          <w:u w:val="single"/>
          <w:lang w:val="en-AU"/>
        </w:rPr>
        <w:t>0</w:t>
      </w:r>
      <w:r w:rsidR="00997BBA" w:rsidRPr="00244BF6">
        <w:rPr>
          <w:u w:val="single"/>
          <w:lang w:val="en-AU"/>
        </w:rPr>
        <w:t>1</w:t>
      </w:r>
      <w:r w:rsidRPr="00244BF6">
        <w:rPr>
          <w:u w:val="single"/>
          <w:lang w:val="en-AU"/>
        </w:rPr>
        <w:t xml:space="preserve"> and </w:t>
      </w:r>
      <w:r w:rsidR="000275B0" w:rsidRPr="00244BF6">
        <w:rPr>
          <w:u w:val="single"/>
          <w:lang w:val="en-AU"/>
        </w:rPr>
        <w:t>AASB</w:t>
      </w:r>
      <w:r w:rsidRPr="00244BF6">
        <w:rPr>
          <w:u w:val="single"/>
          <w:lang w:val="en-AU"/>
        </w:rPr>
        <w:t xml:space="preserve"> Practice Statement 2 </w:t>
      </w:r>
      <w:r w:rsidRPr="00244BF6">
        <w:rPr>
          <w:i/>
          <w:u w:val="single"/>
          <w:lang w:val="en-AU"/>
        </w:rPr>
        <w:t>Making Materiality Judgements</w:t>
      </w:r>
      <w:r w:rsidRPr="00244BF6">
        <w:rPr>
          <w:u w:val="single"/>
          <w:lang w:val="en-AU"/>
        </w:rPr>
        <w:t xml:space="preserve">, and was issued in </w:t>
      </w:r>
      <w:r w:rsidR="007E7122" w:rsidRPr="00244BF6">
        <w:rPr>
          <w:u w:val="single"/>
          <w:lang w:val="en-AU"/>
        </w:rPr>
        <w:t>March</w:t>
      </w:r>
      <w:r w:rsidRPr="00244BF6">
        <w:rPr>
          <w:u w:val="single"/>
          <w:lang w:val="en-AU"/>
        </w:rPr>
        <w:t xml:space="preserve"> 2021, amended paragraphs 21 and B5. An entity shall apply that amendment for annual reporting periods beginning on or after 1 January 2023. Earlier application is permitted. If an entity applies the amendment for an earlier period, it shall disclose that fact.</w:t>
      </w:r>
    </w:p>
    <w:p w14:paraId="5270593F" w14:textId="7B90D1A4" w:rsidR="00D52F6B" w:rsidRPr="00244BF6" w:rsidRDefault="00D52F6B" w:rsidP="00D52F6B">
      <w:pPr>
        <w:pStyle w:val="IASBNormalnpara"/>
        <w:rPr>
          <w:lang w:val="en-AU"/>
        </w:rPr>
      </w:pPr>
      <w:r w:rsidRPr="00244BF6">
        <w:rPr>
          <w:lang w:val="en-AU"/>
        </w:rPr>
        <w:tab/>
        <w:t>...</w:t>
      </w:r>
    </w:p>
    <w:p w14:paraId="4871DFF4" w14:textId="3F2F37F4" w:rsidR="00F62C26" w:rsidRPr="00244BF6" w:rsidRDefault="00F62C26" w:rsidP="00F62C26">
      <w:pPr>
        <w:pStyle w:val="IASBSectionTitle2NonInd"/>
        <w:rPr>
          <w:lang w:val="en-AU"/>
        </w:rPr>
      </w:pPr>
      <w:r w:rsidRPr="00244BF6">
        <w:rPr>
          <w:lang w:val="en-AU"/>
        </w:rPr>
        <w:t xml:space="preserve">Appendix B </w:t>
      </w:r>
      <w:r w:rsidRPr="00244BF6">
        <w:rPr>
          <w:lang w:val="en-AU"/>
        </w:rPr>
        <w:br/>
        <w:t>Application guidance</w:t>
      </w:r>
    </w:p>
    <w:p w14:paraId="53A96BC1" w14:textId="77777777" w:rsidR="00F62C26" w:rsidRPr="00244BF6" w:rsidRDefault="00F62C26" w:rsidP="00F62C26">
      <w:pPr>
        <w:pStyle w:val="IASBNormalnpara"/>
        <w:rPr>
          <w:lang w:val="en-AU"/>
        </w:rPr>
      </w:pPr>
      <w:r w:rsidRPr="00244BF6">
        <w:rPr>
          <w:lang w:val="en-AU"/>
        </w:rPr>
        <w:tab/>
        <w:t>...</w:t>
      </w:r>
    </w:p>
    <w:p w14:paraId="2597BC55" w14:textId="77777777" w:rsidR="00F62C26" w:rsidRPr="00244BF6" w:rsidRDefault="00F62C26" w:rsidP="00F62C26">
      <w:pPr>
        <w:pStyle w:val="IASBSectionTitle1NonInd"/>
        <w:rPr>
          <w:lang w:val="en-AU"/>
        </w:rPr>
      </w:pPr>
      <w:r w:rsidRPr="00244BF6">
        <w:rPr>
          <w:lang w:val="en-AU"/>
        </w:rPr>
        <w:t>Classes of financial instruments and level of disclosure (paragraph 6)</w:t>
      </w:r>
    </w:p>
    <w:p w14:paraId="4920CDF6" w14:textId="77777777" w:rsidR="00F62C26" w:rsidRPr="00244BF6" w:rsidRDefault="00F62C26" w:rsidP="00F62C26">
      <w:pPr>
        <w:pStyle w:val="IASBNormalnpara"/>
        <w:rPr>
          <w:lang w:val="en-AU"/>
        </w:rPr>
      </w:pPr>
      <w:r w:rsidRPr="00244BF6">
        <w:rPr>
          <w:lang w:val="en-AU"/>
        </w:rPr>
        <w:tab/>
        <w:t>...</w:t>
      </w:r>
    </w:p>
    <w:p w14:paraId="0A8A4258" w14:textId="60C63AF0" w:rsidR="00F62C26" w:rsidRPr="00244BF6" w:rsidRDefault="00F62C26" w:rsidP="00F62C26">
      <w:pPr>
        <w:pStyle w:val="IASBSectionTitle3Ind"/>
        <w:rPr>
          <w:lang w:val="en-AU"/>
        </w:rPr>
      </w:pPr>
      <w:r w:rsidRPr="00244BF6">
        <w:rPr>
          <w:lang w:val="en-AU"/>
        </w:rPr>
        <w:t>Other disclosure</w:t>
      </w:r>
      <w:r w:rsidR="005A2143" w:rsidRPr="00244BF6">
        <w:rPr>
          <w:lang w:val="en-AU"/>
        </w:rPr>
        <w:t xml:space="preserve"> – </w:t>
      </w:r>
      <w:r w:rsidRPr="00244BF6">
        <w:rPr>
          <w:lang w:val="en-AU"/>
        </w:rPr>
        <w:t>accounting policies (paragraph 21)</w:t>
      </w:r>
    </w:p>
    <w:p w14:paraId="751FD3A0" w14:textId="2FCFFA2E" w:rsidR="00F62C26" w:rsidRPr="00244BF6" w:rsidRDefault="00F62C26" w:rsidP="00F62C26">
      <w:pPr>
        <w:pStyle w:val="IASBNormalnpara"/>
        <w:rPr>
          <w:lang w:val="en-AU"/>
        </w:rPr>
      </w:pPr>
      <w:r w:rsidRPr="00244BF6">
        <w:rPr>
          <w:lang w:val="en-AU"/>
        </w:rPr>
        <w:t>B5</w:t>
      </w:r>
      <w:r w:rsidRPr="00244BF6">
        <w:rPr>
          <w:lang w:val="en-AU"/>
        </w:rPr>
        <w:tab/>
        <w:t xml:space="preserve">Paragraph 21 requires disclosure of </w:t>
      </w:r>
      <w:r w:rsidRPr="00244BF6">
        <w:rPr>
          <w:u w:val="single"/>
          <w:lang w:val="en-AU"/>
        </w:rPr>
        <w:t xml:space="preserve">material accounting policy information, which is expected to include information about </w:t>
      </w:r>
      <w:r w:rsidRPr="00244BF6">
        <w:rPr>
          <w:lang w:val="en-AU"/>
        </w:rPr>
        <w:t xml:space="preserve">the measurement basis (or bases) </w:t>
      </w:r>
      <w:r w:rsidRPr="00244BF6">
        <w:rPr>
          <w:u w:val="single"/>
          <w:lang w:val="en-AU"/>
        </w:rPr>
        <w:t xml:space="preserve">for financial instruments </w:t>
      </w:r>
      <w:r w:rsidRPr="00244BF6">
        <w:rPr>
          <w:lang w:val="en-AU"/>
        </w:rPr>
        <w:t>used in preparing the financial statements</w:t>
      </w:r>
      <w:r w:rsidRPr="00244BF6">
        <w:rPr>
          <w:strike/>
          <w:lang w:val="en-AU"/>
        </w:rPr>
        <w:t xml:space="preserve"> and the other accounting policies used that are relevant to an understanding of the financial statements</w:t>
      </w:r>
      <w:r w:rsidRPr="00244BF6">
        <w:rPr>
          <w:lang w:val="en-AU"/>
        </w:rPr>
        <w:t>. For financial instruments, such disclosure may include:</w:t>
      </w:r>
    </w:p>
    <w:p w14:paraId="6106A107" w14:textId="77777777" w:rsidR="00F62C26" w:rsidRPr="00244BF6" w:rsidRDefault="00F62C26" w:rsidP="00F62C26">
      <w:pPr>
        <w:pStyle w:val="IASBNormalnparaP"/>
        <w:rPr>
          <w:lang w:val="en-AU"/>
        </w:rPr>
      </w:pPr>
      <w:r w:rsidRPr="00244BF6">
        <w:rPr>
          <w:lang w:val="en-AU"/>
        </w:rPr>
        <w:t>…</w:t>
      </w:r>
    </w:p>
    <w:p w14:paraId="565C65C7" w14:textId="7AE0C895" w:rsidR="00F62C26" w:rsidRPr="00244BF6" w:rsidRDefault="00F62C26" w:rsidP="00F62C26">
      <w:pPr>
        <w:pStyle w:val="IASBNormalnparaP"/>
        <w:rPr>
          <w:lang w:val="en-AU"/>
        </w:rPr>
      </w:pPr>
      <w:r w:rsidRPr="00244BF6">
        <w:rPr>
          <w:lang w:val="en-AU"/>
        </w:rPr>
        <w:t xml:space="preserve">Paragraph 122 of </w:t>
      </w:r>
      <w:r w:rsidR="001244A9" w:rsidRPr="00244BF6">
        <w:rPr>
          <w:lang w:val="en-AU"/>
        </w:rPr>
        <w:t>AASB</w:t>
      </w:r>
      <w:r w:rsidRPr="00244BF6">
        <w:rPr>
          <w:lang w:val="en-AU"/>
        </w:rPr>
        <w:t xml:space="preserve"> 1</w:t>
      </w:r>
      <w:r w:rsidR="001244A9" w:rsidRPr="00244BF6">
        <w:rPr>
          <w:lang w:val="en-AU"/>
        </w:rPr>
        <w:t>01</w:t>
      </w:r>
      <w:r w:rsidRPr="00244BF6">
        <w:rPr>
          <w:lang w:val="en-AU"/>
        </w:rPr>
        <w:t xml:space="preserve"> also requires entities to disclose, along with </w:t>
      </w:r>
      <w:r w:rsidRPr="00244BF6">
        <w:rPr>
          <w:u w:val="single"/>
          <w:lang w:val="en-AU"/>
        </w:rPr>
        <w:t xml:space="preserve">material </w:t>
      </w:r>
      <w:r w:rsidRPr="00244BF6">
        <w:rPr>
          <w:strike/>
          <w:lang w:val="en-AU"/>
        </w:rPr>
        <w:t xml:space="preserve">its significant </w:t>
      </w:r>
      <w:r w:rsidRPr="00244BF6">
        <w:rPr>
          <w:lang w:val="en-AU"/>
        </w:rPr>
        <w:t xml:space="preserve">accounting </w:t>
      </w:r>
      <w:r w:rsidRPr="00244BF6">
        <w:rPr>
          <w:u w:val="single"/>
          <w:lang w:val="en-AU"/>
        </w:rPr>
        <w:t xml:space="preserve">policy information </w:t>
      </w:r>
      <w:r w:rsidRPr="00244BF6">
        <w:rPr>
          <w:strike/>
          <w:lang w:val="en-AU"/>
        </w:rPr>
        <w:t xml:space="preserve">policies </w:t>
      </w:r>
      <w:r w:rsidRPr="00244BF6">
        <w:rPr>
          <w:lang w:val="en-AU"/>
        </w:rPr>
        <w:t>or other notes, the judgements, apart from those involving estimations, that management has made in the process of applying the entity’s accounting policies and that have the most significant effect on the amounts recognised in the financial statements.</w:t>
      </w:r>
    </w:p>
    <w:p w14:paraId="30D59146" w14:textId="7E46D31C" w:rsidR="004042E7" w:rsidRPr="00244BF6" w:rsidRDefault="004042E7" w:rsidP="004042E7">
      <w:pPr>
        <w:pStyle w:val="IASBSectionTitle1NonInd"/>
        <w:pBdr>
          <w:bottom w:val="single" w:sz="4" w:space="1" w:color="auto"/>
        </w:pBdr>
        <w:rPr>
          <w:lang w:val="en-AU"/>
        </w:rPr>
      </w:pPr>
      <w:r w:rsidRPr="00244BF6">
        <w:rPr>
          <w:lang w:val="en-AU"/>
        </w:rPr>
        <w:lastRenderedPageBreak/>
        <w:t xml:space="preserve">Amendments to </w:t>
      </w:r>
      <w:r w:rsidR="00D113AC" w:rsidRPr="00244BF6">
        <w:rPr>
          <w:lang w:val="en-AU"/>
        </w:rPr>
        <w:t>AASB</w:t>
      </w:r>
      <w:r w:rsidRPr="00244BF6">
        <w:rPr>
          <w:lang w:val="en-AU"/>
        </w:rPr>
        <w:t xml:space="preserve"> </w:t>
      </w:r>
      <w:r w:rsidR="00F004EC" w:rsidRPr="00244BF6">
        <w:rPr>
          <w:lang w:val="en-AU"/>
        </w:rPr>
        <w:t>1</w:t>
      </w:r>
      <w:r w:rsidR="00D113AC" w:rsidRPr="00244BF6">
        <w:rPr>
          <w:lang w:val="en-AU"/>
        </w:rPr>
        <w:t>34</w:t>
      </w:r>
    </w:p>
    <w:tbl>
      <w:tblPr>
        <w:tblW w:w="0" w:type="auto"/>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Pr>
      <w:tblGrid>
        <w:gridCol w:w="9012"/>
      </w:tblGrid>
      <w:tr w:rsidR="00F1131F" w14:paraId="0CCEB4DC" w14:textId="77777777" w:rsidTr="00B27C31">
        <w:tc>
          <w:tcPr>
            <w:tcW w:w="0" w:type="auto"/>
          </w:tcPr>
          <w:p w14:paraId="36E86746" w14:textId="77777777" w:rsidR="00F1131F" w:rsidRPr="00244BF6" w:rsidRDefault="00F1131F" w:rsidP="00244BF6">
            <w:pPr>
              <w:pStyle w:val="IASBTableArial"/>
              <w:keepNext/>
              <w:spacing w:before="100" w:after="100"/>
              <w:rPr>
                <w:lang w:val="en-AU"/>
              </w:rPr>
            </w:pPr>
            <w:r w:rsidRPr="00244BF6">
              <w:rPr>
                <w:lang w:val="en-AU"/>
              </w:rPr>
              <w:t xml:space="preserve">Paragraph 5 is </w:t>
            </w:r>
            <w:proofErr w:type="gramStart"/>
            <w:r w:rsidRPr="00244BF6">
              <w:rPr>
                <w:lang w:val="en-AU"/>
              </w:rPr>
              <w:t>amended</w:t>
            </w:r>
            <w:proofErr w:type="gramEnd"/>
            <w:r w:rsidRPr="00244BF6">
              <w:rPr>
                <w:lang w:val="en-AU"/>
              </w:rPr>
              <w:t xml:space="preserve"> and paragraph 60 is added. New text is </w:t>
            </w:r>
            <w:proofErr w:type="gramStart"/>
            <w:r w:rsidRPr="00244BF6">
              <w:rPr>
                <w:lang w:val="en-AU"/>
              </w:rPr>
              <w:t>underlined</w:t>
            </w:r>
            <w:proofErr w:type="gramEnd"/>
            <w:r w:rsidRPr="00244BF6">
              <w:rPr>
                <w:lang w:val="en-AU"/>
              </w:rPr>
              <w:t xml:space="preserve"> and deleted text is struck through.</w:t>
            </w:r>
          </w:p>
        </w:tc>
      </w:tr>
    </w:tbl>
    <w:p w14:paraId="38D6FB9F" w14:textId="77777777" w:rsidR="00F1131F" w:rsidRPr="00244BF6" w:rsidRDefault="00F1131F" w:rsidP="00F1131F">
      <w:pPr>
        <w:pStyle w:val="IASBSectionTitle1NonInd"/>
        <w:rPr>
          <w:lang w:val="en-AU"/>
        </w:rPr>
      </w:pPr>
      <w:r w:rsidRPr="00244BF6">
        <w:rPr>
          <w:lang w:val="en-AU"/>
        </w:rPr>
        <w:t>Content of an interim financial report</w:t>
      </w:r>
    </w:p>
    <w:p w14:paraId="2A7FDACE" w14:textId="36F5A9F0" w:rsidR="00F1131F" w:rsidRPr="00244BF6" w:rsidRDefault="00F1131F" w:rsidP="00F1131F">
      <w:pPr>
        <w:pStyle w:val="IASBNormalnpara"/>
        <w:rPr>
          <w:lang w:val="en-AU"/>
        </w:rPr>
      </w:pPr>
      <w:r w:rsidRPr="00244BF6">
        <w:rPr>
          <w:lang w:val="en-AU"/>
        </w:rPr>
        <w:t>5</w:t>
      </w:r>
      <w:r w:rsidRPr="00244BF6">
        <w:rPr>
          <w:lang w:val="en-AU"/>
        </w:rPr>
        <w:tab/>
      </w:r>
      <w:r w:rsidR="00AD3F34" w:rsidRPr="00244BF6">
        <w:rPr>
          <w:lang w:val="en-AU"/>
        </w:rPr>
        <w:t>AASB</w:t>
      </w:r>
      <w:r w:rsidRPr="00244BF6">
        <w:rPr>
          <w:lang w:val="en-AU"/>
        </w:rPr>
        <w:t xml:space="preserve"> 1</w:t>
      </w:r>
      <w:r w:rsidR="00AD3F34" w:rsidRPr="00244BF6">
        <w:rPr>
          <w:lang w:val="en-AU"/>
        </w:rPr>
        <w:t>01</w:t>
      </w:r>
      <w:r w:rsidRPr="00244BF6">
        <w:rPr>
          <w:lang w:val="en-AU"/>
        </w:rPr>
        <w:t xml:space="preserve"> defines a complete set of financial statements as including the following components:</w:t>
      </w:r>
    </w:p>
    <w:p w14:paraId="05F9D4BA" w14:textId="77777777" w:rsidR="00F1131F" w:rsidRPr="00244BF6" w:rsidRDefault="00F1131F" w:rsidP="00F1131F">
      <w:pPr>
        <w:pStyle w:val="IASBNormalnparaP"/>
        <w:rPr>
          <w:lang w:val="en-AU"/>
        </w:rPr>
      </w:pPr>
      <w:r w:rsidRPr="00244BF6">
        <w:rPr>
          <w:lang w:val="en-AU"/>
        </w:rPr>
        <w:t>…</w:t>
      </w:r>
    </w:p>
    <w:p w14:paraId="5C628669" w14:textId="09851AAE" w:rsidR="00F1131F" w:rsidRPr="00244BF6" w:rsidRDefault="00F1131F" w:rsidP="00F1131F">
      <w:pPr>
        <w:pStyle w:val="IASBNormalnparaL1"/>
        <w:rPr>
          <w:lang w:val="en-AU"/>
        </w:rPr>
      </w:pPr>
      <w:r w:rsidRPr="00244BF6">
        <w:rPr>
          <w:lang w:val="en-AU"/>
        </w:rPr>
        <w:t>(e)</w:t>
      </w:r>
      <w:r w:rsidRPr="00244BF6">
        <w:rPr>
          <w:lang w:val="en-AU"/>
        </w:rPr>
        <w:tab/>
        <w:t>notes,</w:t>
      </w:r>
      <w:r w:rsidR="005438E3" w:rsidRPr="00244BF6">
        <w:rPr>
          <w:lang w:val="en-AU"/>
        </w:rPr>
        <w:t xml:space="preserve"> </w:t>
      </w:r>
      <w:r w:rsidRPr="00244BF6">
        <w:rPr>
          <w:u w:val="single"/>
          <w:lang w:val="en-AU"/>
        </w:rPr>
        <w:t xml:space="preserve">material </w:t>
      </w:r>
      <w:r w:rsidRPr="00244BF6">
        <w:rPr>
          <w:strike/>
          <w:lang w:val="en-AU"/>
        </w:rPr>
        <w:t xml:space="preserve">comprising significant </w:t>
      </w:r>
      <w:r w:rsidRPr="00244BF6">
        <w:rPr>
          <w:lang w:val="en-AU"/>
        </w:rPr>
        <w:t xml:space="preserve">accounting </w:t>
      </w:r>
      <w:r w:rsidRPr="00244BF6">
        <w:rPr>
          <w:u w:val="single"/>
          <w:lang w:val="en-AU"/>
        </w:rPr>
        <w:t xml:space="preserve">policy information </w:t>
      </w:r>
      <w:r w:rsidRPr="00244BF6">
        <w:rPr>
          <w:strike/>
          <w:lang w:val="en-AU"/>
        </w:rPr>
        <w:t xml:space="preserve">policies </w:t>
      </w:r>
      <w:r w:rsidRPr="00244BF6">
        <w:rPr>
          <w:lang w:val="en-AU"/>
        </w:rPr>
        <w:t>and other explanatory information;</w:t>
      </w:r>
    </w:p>
    <w:p w14:paraId="4ACB55BE" w14:textId="77777777" w:rsidR="00F1131F" w:rsidRPr="00244BF6" w:rsidRDefault="00F1131F" w:rsidP="00F1131F">
      <w:pPr>
        <w:pStyle w:val="IASBNormalnparaP"/>
        <w:rPr>
          <w:lang w:val="en-AU"/>
        </w:rPr>
      </w:pPr>
      <w:r w:rsidRPr="00244BF6">
        <w:rPr>
          <w:lang w:val="en-AU"/>
        </w:rPr>
        <w:t>…</w:t>
      </w:r>
    </w:p>
    <w:p w14:paraId="75A52D91" w14:textId="77777777" w:rsidR="00F1131F" w:rsidRPr="00244BF6" w:rsidRDefault="00F1131F" w:rsidP="00F1131F">
      <w:pPr>
        <w:pStyle w:val="IASBSectionTitle1NonInd"/>
        <w:rPr>
          <w:lang w:val="en-AU"/>
        </w:rPr>
      </w:pPr>
      <w:r w:rsidRPr="00244BF6">
        <w:rPr>
          <w:lang w:val="en-AU"/>
        </w:rPr>
        <w:t>Effective date</w:t>
      </w:r>
    </w:p>
    <w:p w14:paraId="5CD201D2" w14:textId="77777777" w:rsidR="00F1131F" w:rsidRPr="00244BF6" w:rsidRDefault="00F1131F" w:rsidP="00F1131F">
      <w:pPr>
        <w:pStyle w:val="IASBNormalnpara"/>
        <w:rPr>
          <w:lang w:val="en-AU"/>
        </w:rPr>
      </w:pPr>
      <w:r w:rsidRPr="00244BF6">
        <w:rPr>
          <w:lang w:val="en-AU"/>
        </w:rPr>
        <w:tab/>
        <w:t>...</w:t>
      </w:r>
    </w:p>
    <w:p w14:paraId="4E5FE33D" w14:textId="0E3F386C" w:rsidR="00766677" w:rsidRPr="00244BF6" w:rsidRDefault="00F1131F" w:rsidP="00EB0BD8">
      <w:pPr>
        <w:pStyle w:val="IASBNormalnpara"/>
        <w:rPr>
          <w:u w:val="single"/>
          <w:lang w:val="en-AU"/>
        </w:rPr>
      </w:pPr>
      <w:r w:rsidRPr="00244BF6">
        <w:rPr>
          <w:u w:val="single"/>
          <w:lang w:val="en-AU"/>
        </w:rPr>
        <w:t>60</w:t>
      </w:r>
      <w:r w:rsidRPr="00244BF6">
        <w:rPr>
          <w:lang w:val="en-AU"/>
        </w:rPr>
        <w:tab/>
      </w:r>
      <w:r w:rsidR="001553B5" w:rsidRPr="00244BF6">
        <w:rPr>
          <w:u w:val="single"/>
          <w:lang w:val="en-AU"/>
        </w:rPr>
        <w:t>AASB 2021-</w:t>
      </w:r>
      <w:r w:rsidR="00673627">
        <w:rPr>
          <w:u w:val="single"/>
          <w:lang w:val="en-AU"/>
        </w:rPr>
        <w:t>2</w:t>
      </w:r>
      <w:r w:rsidR="001553B5" w:rsidRPr="00244BF6">
        <w:rPr>
          <w:u w:val="single"/>
          <w:lang w:val="en-AU"/>
        </w:rPr>
        <w:t xml:space="preserve"> </w:t>
      </w:r>
      <w:r w:rsidR="001553B5" w:rsidRPr="00244BF6">
        <w:rPr>
          <w:i/>
          <w:u w:val="single"/>
          <w:lang w:val="en-AU"/>
        </w:rPr>
        <w:t>Amendments to Australian Accounting Standards – Disclosure of Accounting Policies and Definition of Accounting Estimates</w:t>
      </w:r>
      <w:r w:rsidRPr="00244BF6">
        <w:rPr>
          <w:u w:val="single"/>
          <w:lang w:val="en-AU"/>
        </w:rPr>
        <w:t xml:space="preserve">, </w:t>
      </w:r>
      <w:bookmarkStart w:id="14" w:name="_Hlk66706573"/>
      <w:r w:rsidRPr="00244BF6">
        <w:rPr>
          <w:u w:val="single"/>
          <w:lang w:val="en-AU"/>
        </w:rPr>
        <w:t xml:space="preserve">which amends </w:t>
      </w:r>
      <w:r w:rsidR="00EB0BD8" w:rsidRPr="00244BF6">
        <w:rPr>
          <w:u w:val="single"/>
          <w:lang w:val="en-AU"/>
        </w:rPr>
        <w:t>AASB</w:t>
      </w:r>
      <w:r w:rsidRPr="00244BF6">
        <w:rPr>
          <w:u w:val="single"/>
          <w:lang w:val="en-AU"/>
        </w:rPr>
        <w:t xml:space="preserve"> 1</w:t>
      </w:r>
      <w:r w:rsidR="00EB0BD8" w:rsidRPr="00244BF6">
        <w:rPr>
          <w:u w:val="single"/>
          <w:lang w:val="en-AU"/>
        </w:rPr>
        <w:t>01</w:t>
      </w:r>
      <w:r w:rsidRPr="00244BF6">
        <w:rPr>
          <w:u w:val="single"/>
          <w:lang w:val="en-AU"/>
        </w:rPr>
        <w:t xml:space="preserve"> and </w:t>
      </w:r>
      <w:r w:rsidR="00EB0BD8" w:rsidRPr="00244BF6">
        <w:rPr>
          <w:u w:val="single"/>
          <w:lang w:val="en-AU"/>
        </w:rPr>
        <w:t>AASB</w:t>
      </w:r>
      <w:r w:rsidRPr="00244BF6">
        <w:rPr>
          <w:u w:val="single"/>
          <w:lang w:val="en-AU"/>
        </w:rPr>
        <w:t xml:space="preserve"> Practice Statement</w:t>
      </w:r>
      <w:r w:rsidR="002C4C54" w:rsidRPr="00244BF6">
        <w:rPr>
          <w:u w:val="single"/>
          <w:lang w:val="en-AU"/>
        </w:rPr>
        <w:t xml:space="preserve"> </w:t>
      </w:r>
      <w:r w:rsidRPr="00244BF6">
        <w:rPr>
          <w:u w:val="single"/>
          <w:lang w:val="en-AU"/>
        </w:rPr>
        <w:t xml:space="preserve">2 </w:t>
      </w:r>
      <w:r w:rsidRPr="00244BF6">
        <w:rPr>
          <w:i/>
          <w:u w:val="single"/>
          <w:lang w:val="en-AU"/>
        </w:rPr>
        <w:t>Making Materiality Judgements</w:t>
      </w:r>
      <w:r w:rsidRPr="00244BF6">
        <w:rPr>
          <w:u w:val="single"/>
          <w:lang w:val="en-AU"/>
        </w:rPr>
        <w:t xml:space="preserve">, and was issued in </w:t>
      </w:r>
      <w:r w:rsidR="00EB0BD8" w:rsidRPr="00244BF6">
        <w:rPr>
          <w:u w:val="single"/>
          <w:lang w:val="en-AU"/>
        </w:rPr>
        <w:t>March</w:t>
      </w:r>
      <w:r w:rsidRPr="00244BF6">
        <w:rPr>
          <w:u w:val="single"/>
          <w:lang w:val="en-AU"/>
        </w:rPr>
        <w:t xml:space="preserve"> 2021</w:t>
      </w:r>
      <w:bookmarkEnd w:id="14"/>
      <w:r w:rsidRPr="00244BF6">
        <w:rPr>
          <w:u w:val="single"/>
          <w:lang w:val="en-AU"/>
        </w:rPr>
        <w:t>, amended paragraph 5. An entity shall apply that amendment for annual reporting periods beginning on or after 1 January 2023. Earlier application is permitted. If an entity applies the amendment for an earlier period, it shall disclose that fact.</w:t>
      </w:r>
    </w:p>
    <w:p w14:paraId="2E03F72C" w14:textId="77777777" w:rsidR="00954E7B" w:rsidRDefault="00954E7B" w:rsidP="00954E7B">
      <w:pPr>
        <w:pStyle w:val="Heading2"/>
      </w:pPr>
      <w:r>
        <w:t>Amendments to AASB Practice Statement 2</w:t>
      </w:r>
    </w:p>
    <w:tbl>
      <w:tblPr>
        <w:tblW w:w="0" w:type="auto"/>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Pr>
      <w:tblGrid>
        <w:gridCol w:w="9044"/>
      </w:tblGrid>
      <w:tr w:rsidR="00954E7B" w14:paraId="2855908A" w14:textId="77777777" w:rsidTr="006D798D">
        <w:tc>
          <w:tcPr>
            <w:tcW w:w="0" w:type="auto"/>
          </w:tcPr>
          <w:p w14:paraId="692E17D7" w14:textId="18A0CC3E" w:rsidR="00954E7B" w:rsidRPr="00244BF6" w:rsidRDefault="00954E7B" w:rsidP="006D798D">
            <w:pPr>
              <w:pStyle w:val="IASBTableArial"/>
              <w:spacing w:before="100" w:after="100"/>
              <w:rPr>
                <w:rFonts w:cs="Arial"/>
                <w:szCs w:val="18"/>
                <w:lang w:val="en-AU"/>
              </w:rPr>
            </w:pPr>
            <w:r w:rsidRPr="00244BF6">
              <w:rPr>
                <w:rFonts w:cs="Arial"/>
                <w:szCs w:val="18"/>
                <w:lang w:val="en-AU"/>
              </w:rPr>
              <w:t>Paragraphs 88A–88G and their heading, and Examples S and T, are added. Paragraphs 117, 117A, 117B, 117C, 117D and 117E of AASB 101 are added to Appendix</w:t>
            </w:r>
            <w:r w:rsidR="009E0B06" w:rsidRPr="00244BF6">
              <w:rPr>
                <w:rFonts w:cs="Arial"/>
                <w:szCs w:val="18"/>
                <w:lang w:val="en-AU"/>
              </w:rPr>
              <w:t xml:space="preserve"> B and Appendix </w:t>
            </w:r>
            <w:proofErr w:type="spellStart"/>
            <w:r w:rsidR="009E0B06" w:rsidRPr="00244BF6">
              <w:rPr>
                <w:rFonts w:cs="Arial"/>
                <w:szCs w:val="18"/>
                <w:lang w:val="en-AU"/>
              </w:rPr>
              <w:t>Au</w:t>
            </w:r>
            <w:r w:rsidR="00583F68" w:rsidRPr="00244BF6">
              <w:rPr>
                <w:rFonts w:cs="Arial"/>
                <w:szCs w:val="18"/>
                <w:lang w:val="en-AU"/>
              </w:rPr>
              <w:t>sCF</w:t>
            </w:r>
            <w:proofErr w:type="spellEnd"/>
            <w:r w:rsidR="00583F68" w:rsidRPr="00244BF6">
              <w:rPr>
                <w:rFonts w:cs="Arial"/>
                <w:szCs w:val="18"/>
                <w:lang w:val="en-AU"/>
              </w:rPr>
              <w:t xml:space="preserve"> B</w:t>
            </w:r>
            <w:r w:rsidRPr="00244BF6">
              <w:rPr>
                <w:rFonts w:cs="Arial"/>
                <w:szCs w:val="18"/>
                <w:lang w:val="en-AU"/>
              </w:rPr>
              <w:t>. For ease of reading</w:t>
            </w:r>
            <w:r w:rsidR="00A919BF" w:rsidRPr="00244BF6">
              <w:rPr>
                <w:rFonts w:cs="Arial"/>
                <w:szCs w:val="18"/>
                <w:lang w:val="en-AU"/>
              </w:rPr>
              <w:t>,</w:t>
            </w:r>
            <w:r w:rsidRPr="00244BF6">
              <w:rPr>
                <w:rFonts w:cs="Arial"/>
                <w:szCs w:val="18"/>
                <w:lang w:val="en-AU"/>
              </w:rPr>
              <w:t xml:space="preserve"> new text is not underlined.</w:t>
            </w:r>
          </w:p>
        </w:tc>
      </w:tr>
    </w:tbl>
    <w:p w14:paraId="7596B427" w14:textId="3E05759D" w:rsidR="00954E7B" w:rsidRPr="00244BF6" w:rsidRDefault="00954E7B" w:rsidP="00954E7B">
      <w:pPr>
        <w:pStyle w:val="IASBSectionTitle1NonInd"/>
        <w:rPr>
          <w:lang w:val="en-AU"/>
        </w:rPr>
      </w:pPr>
      <w:r w:rsidRPr="00244BF6">
        <w:rPr>
          <w:lang w:val="en-AU"/>
        </w:rPr>
        <w:t>Specific topics</w:t>
      </w:r>
    </w:p>
    <w:p w14:paraId="318A3AF3" w14:textId="77777777" w:rsidR="00954E7B" w:rsidRPr="00244BF6" w:rsidRDefault="00954E7B" w:rsidP="00954E7B">
      <w:pPr>
        <w:pStyle w:val="IASBNormalnpara"/>
        <w:rPr>
          <w:lang w:val="en-AU"/>
        </w:rPr>
      </w:pPr>
      <w:r w:rsidRPr="00244BF6">
        <w:rPr>
          <w:lang w:val="en-AU"/>
        </w:rPr>
        <w:tab/>
        <w:t>...</w:t>
      </w:r>
    </w:p>
    <w:p w14:paraId="1F043CA5" w14:textId="77777777" w:rsidR="00954E7B" w:rsidRPr="00244BF6" w:rsidRDefault="00954E7B" w:rsidP="00954E7B">
      <w:pPr>
        <w:pStyle w:val="IASBSectionTitle2Ind"/>
        <w:rPr>
          <w:lang w:val="en-AU"/>
        </w:rPr>
      </w:pPr>
      <w:r w:rsidRPr="00244BF6">
        <w:rPr>
          <w:lang w:val="en-AU"/>
        </w:rPr>
        <w:t>Information about accounting policies</w:t>
      </w:r>
    </w:p>
    <w:p w14:paraId="00973A8C" w14:textId="77777777" w:rsidR="00954E7B" w:rsidRPr="00244BF6" w:rsidRDefault="00954E7B" w:rsidP="00954E7B">
      <w:pPr>
        <w:pStyle w:val="IASBNormalnpara"/>
        <w:rPr>
          <w:lang w:val="en-AU"/>
        </w:rPr>
      </w:pPr>
      <w:r w:rsidRPr="00244BF6">
        <w:rPr>
          <w:lang w:val="en-AU"/>
        </w:rPr>
        <w:t>88A</w:t>
      </w:r>
      <w:r w:rsidRPr="00244BF6">
        <w:rPr>
          <w:lang w:val="en-AU"/>
        </w:rPr>
        <w:tab/>
        <w:t>Paragraph 117 of AASB 101 requires an entity to disclose material accounting policy information.</w:t>
      </w:r>
    </w:p>
    <w:p w14:paraId="44ADAD9A" w14:textId="77777777" w:rsidR="00954E7B" w:rsidRPr="00244BF6" w:rsidRDefault="00954E7B" w:rsidP="00954E7B">
      <w:pPr>
        <w:pStyle w:val="IASBNormalnpara"/>
        <w:rPr>
          <w:lang w:val="en-AU"/>
        </w:rPr>
      </w:pPr>
      <w:r w:rsidRPr="00244BF6">
        <w:rPr>
          <w:lang w:val="en-AU"/>
        </w:rPr>
        <w:t>88B</w:t>
      </w:r>
      <w:r w:rsidRPr="00244BF6">
        <w:rPr>
          <w:lang w:val="en-AU"/>
        </w:rPr>
        <w:tab/>
        <w:t xml:space="preserve">Accounting policy information relating to immaterial transactions, other events or conditions is immaterial and need not be disclosed. Accounting policy information may nevertheless be material because of the nature of the related transactions, other </w:t>
      </w:r>
      <w:proofErr w:type="gramStart"/>
      <w:r w:rsidRPr="00244BF6">
        <w:rPr>
          <w:lang w:val="en-AU"/>
        </w:rPr>
        <w:t>events</w:t>
      </w:r>
      <w:proofErr w:type="gramEnd"/>
      <w:r w:rsidRPr="00244BF6">
        <w:rPr>
          <w:lang w:val="en-AU"/>
        </w:rPr>
        <w:t xml:space="preserve"> or conditions, even if the amounts are immaterial. An entity is required to disclose accounting policy information relating to material transactions, other </w:t>
      </w:r>
      <w:proofErr w:type="gramStart"/>
      <w:r w:rsidRPr="00244BF6">
        <w:rPr>
          <w:lang w:val="en-AU"/>
        </w:rPr>
        <w:t>events</w:t>
      </w:r>
      <w:proofErr w:type="gramEnd"/>
      <w:r w:rsidRPr="00244BF6">
        <w:rPr>
          <w:lang w:val="en-AU"/>
        </w:rPr>
        <w:t xml:space="preserve"> or conditions if that information is material to the financial statements.</w:t>
      </w:r>
    </w:p>
    <w:p w14:paraId="4B790063" w14:textId="6BC83233" w:rsidR="0077304D" w:rsidRPr="00244BF6" w:rsidRDefault="00954E7B" w:rsidP="0023586A">
      <w:pPr>
        <w:pStyle w:val="IASBNormalnpara"/>
        <w:rPr>
          <w:lang w:val="en-AU"/>
        </w:rPr>
      </w:pPr>
      <w:r w:rsidRPr="00244BF6">
        <w:rPr>
          <w:lang w:val="en-AU"/>
        </w:rPr>
        <w:t>88C</w:t>
      </w:r>
      <w:r w:rsidRPr="00244BF6">
        <w:rPr>
          <w:lang w:val="en-AU"/>
        </w:rPr>
        <w:tab/>
      </w:r>
      <w:proofErr w:type="gramStart"/>
      <w:r w:rsidRPr="00244BF6">
        <w:rPr>
          <w:lang w:val="en-AU"/>
        </w:rPr>
        <w:t>In</w:t>
      </w:r>
      <w:proofErr w:type="gramEnd"/>
      <w:r w:rsidRPr="00244BF6">
        <w:rPr>
          <w:lang w:val="en-AU"/>
        </w:rPr>
        <w:t xml:space="preserve"> assessing whether accounting policy information is material to its financial statements, an entity considers whether users of the entity’s financial statements would need that information to understand other material information in the financial statements. An entity makes this assessment in the same way it assesses other information: by considering qualitative and quantitative factors, as described in paragraphs 44–55. Diagram</w:t>
      </w:r>
      <w:r w:rsidR="00477150" w:rsidRPr="00244BF6">
        <w:rPr>
          <w:lang w:val="en-AU"/>
        </w:rPr>
        <w:t> </w:t>
      </w:r>
      <w:r w:rsidRPr="00244BF6">
        <w:rPr>
          <w:lang w:val="en-AU"/>
        </w:rPr>
        <w:t>2 illustrates how an entity assesses whether accounting policy information is material and, therefore, shall be disclosed</w:t>
      </w:r>
      <w:r w:rsidR="00A64A8F" w:rsidRPr="00244BF6">
        <w:rPr>
          <w:lang w:val="en-AU"/>
        </w:rPr>
        <w:t>.</w:t>
      </w:r>
    </w:p>
    <w:p w14:paraId="54C9217C" w14:textId="77777777" w:rsidR="0077304D" w:rsidRPr="00244BF6" w:rsidRDefault="0077304D">
      <w:pPr>
        <w:pStyle w:val="IASBNormalnpara"/>
        <w:rPr>
          <w:lang w:val="en-AU"/>
        </w:rPr>
      </w:pPr>
    </w:p>
    <w:p w14:paraId="225AB0A0" w14:textId="4EB6C5A5" w:rsidR="0077304D" w:rsidRPr="00244BF6" w:rsidRDefault="0077304D" w:rsidP="000F0A98">
      <w:pPr>
        <w:pStyle w:val="IASBNormalnpara"/>
        <w:ind w:left="0" w:firstLine="0"/>
        <w:rPr>
          <w:lang w:val="en-AU"/>
        </w:rPr>
        <w:sectPr w:rsidR="0077304D" w:rsidRPr="00244BF6" w:rsidSect="000E74AB">
          <w:headerReference w:type="even" r:id="rId15"/>
          <w:footerReference w:type="even" r:id="rId16"/>
          <w:footerReference w:type="default" r:id="rId17"/>
          <w:pgSz w:w="11880" w:h="16820"/>
          <w:pgMar w:top="1418" w:right="1418" w:bottom="1418" w:left="1418" w:header="709" w:footer="709" w:gutter="0"/>
          <w:cols w:space="720"/>
          <w:docGrid w:linePitch="258"/>
        </w:sectPr>
      </w:pPr>
    </w:p>
    <w:p w14:paraId="109FFE48" w14:textId="22E1B9EB" w:rsidR="002F75A5" w:rsidRPr="0069069D" w:rsidRDefault="00F939BB" w:rsidP="00F939BB">
      <w:pPr>
        <w:pStyle w:val="IASBNormalnparaP"/>
        <w:spacing w:after="7320"/>
        <w:jc w:val="left"/>
        <w:rPr>
          <w:i/>
        </w:rPr>
      </w:pPr>
      <w:r>
        <w:rPr>
          <w:noProof/>
        </w:rPr>
        <w:lastRenderedPageBreak/>
        <mc:AlternateContent>
          <mc:Choice Requires="wps">
            <w:drawing>
              <wp:anchor distT="0" distB="0" distL="114300" distR="114300" simplePos="0" relativeHeight="251674624" behindDoc="0" locked="0" layoutInCell="1" allowOverlap="1" wp14:anchorId="526A5B18" wp14:editId="55D855CB">
                <wp:simplePos x="0" y="0"/>
                <wp:positionH relativeFrom="margin">
                  <wp:posOffset>711835</wp:posOffset>
                </wp:positionH>
                <wp:positionV relativeFrom="paragraph">
                  <wp:posOffset>4202430</wp:posOffset>
                </wp:positionV>
                <wp:extent cx="4345305" cy="461645"/>
                <wp:effectExtent l="0" t="0" r="17145" b="14605"/>
                <wp:wrapNone/>
                <wp:docPr id="2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5305" cy="461645"/>
                        </a:xfrm>
                        <a:prstGeom prst="rect">
                          <a:avLst/>
                        </a:prstGeom>
                        <a:noFill/>
                        <a:ln w="3175">
                          <a:solidFill>
                            <a:srgbClr val="000000"/>
                          </a:solidFill>
                          <a:miter lim="800000"/>
                          <a:headEnd/>
                          <a:tailEnd/>
                        </a:ln>
                      </wps:spPr>
                      <wps:txbx>
                        <w:txbxContent>
                          <w:p w14:paraId="423F0F2F" w14:textId="77777777" w:rsidR="006D798D" w:rsidRDefault="006D798D" w:rsidP="002F75A5">
                            <w:pPr>
                              <w:jc w:val="center"/>
                              <w:rPr>
                                <w:rFonts w:ascii="Arial" w:cs="Arial"/>
                                <w:sz w:val="16"/>
                                <w:szCs w:val="16"/>
                              </w:rPr>
                            </w:pPr>
                            <w:r w:rsidRPr="00035905">
                              <w:rPr>
                                <w:rFonts w:ascii="Arial" w:cs="Arial"/>
                                <w:sz w:val="16"/>
                                <w:szCs w:val="16"/>
                              </w:rPr>
                              <w:t>Note: an entity</w:t>
                            </w:r>
                            <w:r w:rsidRPr="00035905">
                              <w:rPr>
                                <w:rFonts w:ascii="Arial" w:cs="Arial"/>
                                <w:sz w:val="16"/>
                                <w:szCs w:val="16"/>
                              </w:rPr>
                              <w:t>’</w:t>
                            </w:r>
                            <w:r w:rsidRPr="00035905">
                              <w:rPr>
                                <w:rFonts w:ascii="Arial" w:cs="Arial"/>
                                <w:sz w:val="16"/>
                                <w:szCs w:val="16"/>
                              </w:rPr>
                              <w:t xml:space="preserve">s conclusion that accounting policy information is immaterial does not affect the related disclosure requirements set out in other </w:t>
                            </w:r>
                            <w:r>
                              <w:rPr>
                                <w:rFonts w:ascii="Arial" w:cs="Arial"/>
                                <w:sz w:val="16"/>
                                <w:szCs w:val="16"/>
                              </w:rPr>
                              <w:t>Australian Accounting</w:t>
                            </w:r>
                            <w:r w:rsidRPr="00035905">
                              <w:rPr>
                                <w:rFonts w:ascii="Arial" w:cs="Arial"/>
                                <w:sz w:val="16"/>
                                <w:szCs w:val="16"/>
                              </w:rPr>
                              <w:t xml:space="preserve"> Standards </w:t>
                            </w:r>
                          </w:p>
                          <w:p w14:paraId="08366687" w14:textId="77777777" w:rsidR="006D798D" w:rsidRPr="00035905" w:rsidRDefault="006D798D" w:rsidP="002F75A5">
                            <w:pPr>
                              <w:jc w:val="center"/>
                              <w:rPr>
                                <w:rFonts w:ascii="Arial" w:cs="Arial"/>
                                <w:sz w:val="16"/>
                                <w:szCs w:val="16"/>
                              </w:rPr>
                            </w:pPr>
                            <w:r w:rsidRPr="00035905">
                              <w:rPr>
                                <w:rFonts w:ascii="Arial" w:cs="Arial"/>
                                <w:sz w:val="16"/>
                                <w:szCs w:val="16"/>
                              </w:rPr>
                              <w:t xml:space="preserve">(paragraph 117E of </w:t>
                            </w:r>
                            <w:r>
                              <w:rPr>
                                <w:rFonts w:ascii="Arial" w:cs="Arial"/>
                                <w:sz w:val="16"/>
                                <w:szCs w:val="16"/>
                              </w:rPr>
                              <w:t>AASB</w:t>
                            </w:r>
                            <w:r w:rsidRPr="00035905">
                              <w:rPr>
                                <w:rFonts w:ascii="Arial" w:cs="Arial"/>
                                <w:sz w:val="16"/>
                                <w:szCs w:val="16"/>
                              </w:rPr>
                              <w:t xml:space="preserve"> 1</w:t>
                            </w:r>
                            <w:r>
                              <w:rPr>
                                <w:rFonts w:ascii="Arial" w:cs="Arial"/>
                                <w:sz w:val="16"/>
                                <w:szCs w:val="16"/>
                              </w:rPr>
                              <w:t>01</w:t>
                            </w:r>
                            <w:r w:rsidRPr="00035905">
                              <w:rPr>
                                <w:rFonts w:ascii="Arial" w:cs="Arial"/>
                                <w:sz w:val="16"/>
                                <w:szCs w:val="16"/>
                              </w:rPr>
                              <w:t>).</w:t>
                            </w:r>
                          </w:p>
                        </w:txbxContent>
                      </wps:txbx>
                      <wps:bodyPr rot="0" vert="horz" wrap="square" lIns="91440" tIns="36000" rIns="91440" bIns="18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26A5B18" id="Rectangle 16" o:spid="_x0000_s1026" style="position:absolute;left:0;text-align:left;margin-left:56.05pt;margin-top:330.9pt;width:342.15pt;height:36.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" filled="f" strokeweight=".25pt">
                <v:textbox inset=",1mm,,.5mm">
                  <w:txbxContent>
                    <w:p w14:paraId="423F0F2F" w14:textId="77777777" w:rsidR="006D798D" w:rsidRDefault="006D798D" w:rsidP="002F75A5">
                      <w:pPr>
                        <w:jc w:val="center"/>
                        <w:rPr>
                          <w:rFonts w:ascii="Arial" w:cs="Arial"/>
                          <w:sz w:val="16"/>
                          <w:szCs w:val="16"/>
                        </w:rPr>
                      </w:pPr>
                      <w:r w:rsidRPr="00035905">
                        <w:rPr>
                          <w:rFonts w:ascii="Arial" w:cs="Arial"/>
                          <w:sz w:val="16"/>
                          <w:szCs w:val="16"/>
                        </w:rPr>
                        <w:t>Note: an entity</w:t>
                      </w:r>
                      <w:r w:rsidRPr="00035905">
                        <w:rPr>
                          <w:rFonts w:ascii="Arial" w:cs="Arial"/>
                          <w:sz w:val="16"/>
                          <w:szCs w:val="16"/>
                        </w:rPr>
                        <w:t>’</w:t>
                      </w:r>
                      <w:r w:rsidRPr="00035905">
                        <w:rPr>
                          <w:rFonts w:ascii="Arial" w:cs="Arial"/>
                          <w:sz w:val="16"/>
                          <w:szCs w:val="16"/>
                        </w:rPr>
                        <w:t xml:space="preserve">s conclusion that accounting policy information is immaterial does not affect the related disclosure requirements set out in other </w:t>
                      </w:r>
                      <w:r>
                        <w:rPr>
                          <w:rFonts w:ascii="Arial" w:cs="Arial"/>
                          <w:sz w:val="16"/>
                          <w:szCs w:val="16"/>
                        </w:rPr>
                        <w:t>Australian Accounting</w:t>
                      </w:r>
                      <w:r w:rsidRPr="00035905">
                        <w:rPr>
                          <w:rFonts w:ascii="Arial" w:cs="Arial"/>
                          <w:sz w:val="16"/>
                          <w:szCs w:val="16"/>
                        </w:rPr>
                        <w:t xml:space="preserve"> Standards </w:t>
                      </w:r>
                    </w:p>
                    <w:p w14:paraId="08366687" w14:textId="77777777" w:rsidR="006D798D" w:rsidRPr="00035905" w:rsidRDefault="006D798D" w:rsidP="002F75A5">
                      <w:pPr>
                        <w:jc w:val="center"/>
                        <w:rPr>
                          <w:rFonts w:ascii="Arial" w:cs="Arial"/>
                          <w:sz w:val="16"/>
                          <w:szCs w:val="16"/>
                        </w:rPr>
                      </w:pPr>
                      <w:r w:rsidRPr="00035905">
                        <w:rPr>
                          <w:rFonts w:ascii="Arial" w:cs="Arial"/>
                          <w:sz w:val="16"/>
                          <w:szCs w:val="16"/>
                        </w:rPr>
                        <w:t xml:space="preserve">(paragraph 117E of </w:t>
                      </w:r>
                      <w:r>
                        <w:rPr>
                          <w:rFonts w:ascii="Arial" w:cs="Arial"/>
                          <w:sz w:val="16"/>
                          <w:szCs w:val="16"/>
                        </w:rPr>
                        <w:t>AASB</w:t>
                      </w:r>
                      <w:r w:rsidRPr="00035905">
                        <w:rPr>
                          <w:rFonts w:ascii="Arial" w:cs="Arial"/>
                          <w:sz w:val="16"/>
                          <w:szCs w:val="16"/>
                        </w:rPr>
                        <w:t xml:space="preserve"> 1</w:t>
                      </w:r>
                      <w:r>
                        <w:rPr>
                          <w:rFonts w:ascii="Arial" w:cs="Arial"/>
                          <w:sz w:val="16"/>
                          <w:szCs w:val="16"/>
                        </w:rPr>
                        <w:t>01</w:t>
                      </w:r>
                      <w:r w:rsidRPr="00035905">
                        <w:rPr>
                          <w:rFonts w:ascii="Arial" w:cs="Arial"/>
                          <w:sz w:val="16"/>
                          <w:szCs w:val="16"/>
                        </w:rPr>
                        <w:t>).</w:t>
                      </w:r>
                    </w:p>
                  </w:txbxContent>
                </v:textbox>
                <w10:wrap anchorx="margin"/>
              </v:rect>
            </w:pict>
          </mc:Fallback>
        </mc:AlternateContent>
      </w:r>
      <w:r>
        <w:rPr>
          <w:noProof/>
        </w:rPr>
        <mc:AlternateContent>
          <mc:Choice Requires="wps">
            <w:drawing>
              <wp:anchor distT="0" distB="0" distL="114300" distR="114300" simplePos="0" relativeHeight="251675648" behindDoc="0" locked="0" layoutInCell="1" allowOverlap="1" wp14:anchorId="07890425" wp14:editId="13858DCC">
                <wp:simplePos x="0" y="0"/>
                <wp:positionH relativeFrom="margin">
                  <wp:posOffset>4582160</wp:posOffset>
                </wp:positionH>
                <wp:positionV relativeFrom="paragraph">
                  <wp:posOffset>3361359</wp:posOffset>
                </wp:positionV>
                <wp:extent cx="7620" cy="847725"/>
                <wp:effectExtent l="38100" t="0" r="68580" b="47625"/>
                <wp:wrapNone/>
                <wp:docPr id="3" name="AutoShap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847725"/>
                        </a:xfrm>
                        <a:prstGeom prst="straightConnector1">
                          <a:avLst/>
                        </a:prstGeom>
                        <a:noFill/>
                        <a:ln w="6350">
                          <a:solidFill>
                            <a:srgbClr val="000000"/>
                          </a:solidFill>
                          <a:prstDash val="dash"/>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110449B8" id="_x0000_t32" coordsize="21600,21600" o:spt="32" o:oned="t" path="m,l21600,21600e" filled="f">
                <v:path arrowok="t" fillok="f" o:connecttype="none"/>
                <o:lock v:ext="edit" shapetype="t"/>
              </v:shapetype>
              <v:shape id="AutoShape 52" o:spid="_x0000_s1026" type="#_x0000_t32" alt="&quot;&quot;" style="position:absolute;margin-left:360.8pt;margin-top:264.65pt;width:.6pt;height:66.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" strokeweight=".5pt">
                <v:stroke dashstyle="dash" endarrow="block"/>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34281792" wp14:editId="059D8808">
                <wp:simplePos x="0" y="0"/>
                <wp:positionH relativeFrom="margin">
                  <wp:posOffset>3483914</wp:posOffset>
                </wp:positionH>
                <wp:positionV relativeFrom="paragraph">
                  <wp:posOffset>3794125</wp:posOffset>
                </wp:positionV>
                <wp:extent cx="7620" cy="396240"/>
                <wp:effectExtent l="38100" t="0" r="68580" b="60960"/>
                <wp:wrapNone/>
                <wp:docPr id="24" name="AutoShap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96240"/>
                        </a:xfrm>
                        <a:prstGeom prst="straightConnector1">
                          <a:avLst/>
                        </a:prstGeom>
                        <a:noFill/>
                        <a:ln w="6350">
                          <a:solidFill>
                            <a:srgbClr val="000000"/>
                          </a:solidFill>
                          <a:prstDash val="dash"/>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2865CD9E" id="AutoShape 52" o:spid="_x0000_s1026" type="#_x0000_t32" alt="&quot;&quot;" style="position:absolute;margin-left:274.3pt;margin-top:298.75pt;width:.6pt;height:31.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" strokeweight=".5pt">
                <v:stroke dashstyle="dash" endarrow="block"/>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1C0FA588" wp14:editId="54FA8C6D">
                <wp:simplePos x="0" y="0"/>
                <wp:positionH relativeFrom="margin">
                  <wp:posOffset>4583430</wp:posOffset>
                </wp:positionH>
                <wp:positionV relativeFrom="paragraph">
                  <wp:posOffset>1949450</wp:posOffset>
                </wp:positionV>
                <wp:extent cx="295275" cy="285750"/>
                <wp:effectExtent l="0" t="0" r="9525" b="0"/>
                <wp:wrapNone/>
                <wp:docPr id="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85750"/>
                        </a:xfrm>
                        <a:prstGeom prst="rect">
                          <a:avLst/>
                        </a:prstGeom>
                        <a:noFill/>
                        <a:ln w="3175">
                          <a:noFill/>
                          <a:miter lim="800000"/>
                          <a:headEnd/>
                          <a:tailEnd/>
                        </a:ln>
                      </wps:spPr>
                      <wps:txbx>
                        <w:txbxContent>
                          <w:p w14:paraId="299914BF" w14:textId="77777777" w:rsidR="006D798D" w:rsidRPr="00081D9C" w:rsidRDefault="006D798D" w:rsidP="002F75A5">
                            <w:pPr>
                              <w:jc w:val="center"/>
                              <w:rPr>
                                <w:rFonts w:ascii="Arial" w:hAnsi="Arial" w:cs="Arial"/>
                                <w:sz w:val="16"/>
                                <w:szCs w:val="16"/>
                              </w:rPr>
                            </w:pPr>
                            <w:r>
                              <w:rPr>
                                <w:rFonts w:ascii="Arial" w:hAnsi="Arial" w:cs="Arial"/>
                                <w:sz w:val="16"/>
                                <w:szCs w:val="16"/>
                              </w:rPr>
                              <w:t>Yes</w:t>
                            </w:r>
                          </w:p>
                        </w:txbxContent>
                      </wps:txbx>
                      <wps:bodyPr rot="0" vert="horz" wrap="square" lIns="18000" tIns="8280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0FA588" id="Rectangle 29" o:spid="_x0000_s1027" style="position:absolute;left:0;text-align:left;margin-left:360.9pt;margin-top:153.5pt;width:23.25pt;height:2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" filled="f" stroked="f" strokeweight=".25pt">
                <v:textbox inset=".5mm,2.3mm,.5mm">
                  <w:txbxContent>
                    <w:p w14:paraId="299914BF" w14:textId="77777777" w:rsidR="006D798D" w:rsidRPr="00081D9C" w:rsidRDefault="006D798D" w:rsidP="002F75A5">
                      <w:pPr>
                        <w:jc w:val="center"/>
                        <w:rPr>
                          <w:rFonts w:ascii="Arial" w:hAnsi="Arial" w:cs="Arial"/>
                          <w:sz w:val="16"/>
                          <w:szCs w:val="16"/>
                        </w:rPr>
                      </w:pPr>
                      <w:r>
                        <w:rPr>
                          <w:rFonts w:ascii="Arial" w:hAnsi="Arial" w:cs="Arial"/>
                          <w:sz w:val="16"/>
                          <w:szCs w:val="16"/>
                        </w:rPr>
                        <w:t>Yes</w:t>
                      </w:r>
                    </w:p>
                  </w:txbxContent>
                </v:textbox>
                <w10:wrap anchorx="margin"/>
              </v:rect>
            </w:pict>
          </mc:Fallback>
        </mc:AlternateContent>
      </w:r>
      <w:r>
        <w:rPr>
          <w:noProof/>
        </w:rPr>
        <mc:AlternateContent>
          <mc:Choice Requires="wps">
            <w:drawing>
              <wp:anchor distT="0" distB="0" distL="114300" distR="114300" simplePos="0" relativeHeight="251672576" behindDoc="0" locked="0" layoutInCell="1" allowOverlap="1" wp14:anchorId="43D15E90" wp14:editId="06E552E0">
                <wp:simplePos x="0" y="0"/>
                <wp:positionH relativeFrom="margin">
                  <wp:posOffset>4097020</wp:posOffset>
                </wp:positionH>
                <wp:positionV relativeFrom="paragraph">
                  <wp:posOffset>2392045</wp:posOffset>
                </wp:positionV>
                <wp:extent cx="973455" cy="962025"/>
                <wp:effectExtent l="0" t="0" r="17145" b="28575"/>
                <wp:wrapNone/>
                <wp:docPr id="1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3455" cy="962025"/>
                        </a:xfrm>
                        <a:prstGeom prst="rect">
                          <a:avLst/>
                        </a:prstGeom>
                        <a:noFill/>
                        <a:ln w="3175">
                          <a:solidFill>
                            <a:srgbClr val="000000"/>
                          </a:solidFill>
                          <a:miter lim="800000"/>
                          <a:headEnd/>
                          <a:tailEnd/>
                        </a:ln>
                      </wps:spPr>
                      <wps:txbx>
                        <w:txbxContent>
                          <w:p w14:paraId="5C5CB508" w14:textId="77777777" w:rsidR="006D798D" w:rsidRPr="0094660A" w:rsidRDefault="006D798D" w:rsidP="002F75A5">
                            <w:pPr>
                              <w:jc w:val="center"/>
                              <w:rPr>
                                <w:rFonts w:ascii="Arial" w:cs="Arial"/>
                                <w:sz w:val="16"/>
                                <w:szCs w:val="16"/>
                              </w:rPr>
                            </w:pPr>
                            <w:r w:rsidRPr="0094660A">
                              <w:rPr>
                                <w:rFonts w:ascii="Arial" w:cs="Arial"/>
                                <w:b/>
                                <w:bCs/>
                                <w:sz w:val="16"/>
                                <w:szCs w:val="16"/>
                              </w:rPr>
                              <w:t xml:space="preserve">Material </w:t>
                            </w:r>
                            <w:r w:rsidRPr="0094660A">
                              <w:rPr>
                                <w:rFonts w:ascii="Arial" w:cs="Arial"/>
                                <w:sz w:val="16"/>
                                <w:szCs w:val="16"/>
                              </w:rPr>
                              <w:t xml:space="preserve">accounting policy information shall be disclosed (paragraphs 117 and 117C of </w:t>
                            </w:r>
                          </w:p>
                          <w:p w14:paraId="6B99D2FD" w14:textId="77777777" w:rsidR="006D798D" w:rsidRPr="0094660A" w:rsidRDefault="006D798D" w:rsidP="002F75A5">
                            <w:pPr>
                              <w:jc w:val="center"/>
                              <w:rPr>
                                <w:sz w:val="16"/>
                                <w:szCs w:val="16"/>
                              </w:rPr>
                            </w:pPr>
                            <w:r>
                              <w:rPr>
                                <w:rFonts w:ascii="Arial" w:cs="Arial"/>
                                <w:sz w:val="16"/>
                                <w:szCs w:val="16"/>
                              </w:rPr>
                              <w:t>AASB</w:t>
                            </w:r>
                            <w:r w:rsidRPr="0094660A">
                              <w:rPr>
                                <w:rFonts w:ascii="Arial" w:cs="Arial"/>
                                <w:sz w:val="16"/>
                                <w:szCs w:val="16"/>
                              </w:rPr>
                              <w:t xml:space="preserve"> 1</w:t>
                            </w:r>
                            <w:r>
                              <w:rPr>
                                <w:rFonts w:ascii="Arial" w:cs="Arial"/>
                                <w:sz w:val="16"/>
                                <w:szCs w:val="16"/>
                              </w:rPr>
                              <w:t>01</w:t>
                            </w:r>
                            <w:r w:rsidRPr="0094660A">
                              <w:rPr>
                                <w:rFonts w:ascii="Arial" w:cs="Arial"/>
                                <w:sz w:val="16"/>
                                <w:szCs w:val="16"/>
                              </w:rPr>
                              <w:t>)</w:t>
                            </w:r>
                            <w:r>
                              <w:rPr>
                                <w:rFonts w:ascii="Arial" w:cs="Arial"/>
                                <w:sz w:val="16"/>
                                <w:szCs w:val="16"/>
                              </w:rPr>
                              <w:t>.</w:t>
                            </w:r>
                          </w:p>
                        </w:txbxContent>
                      </wps:txbx>
                      <wps:bodyPr rot="0" vert="horz" wrap="square" lIns="91440" tIns="36000" rIns="91440" bIns="18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3D15E90" id="_x0000_s1028" style="position:absolute;left:0;text-align:left;margin-left:322.6pt;margin-top:188.35pt;width:76.65pt;height:75.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" filled="f" strokeweight=".25pt">
                <v:textbox inset=",1mm,,.5mm">
                  <w:txbxContent>
                    <w:p w14:paraId="5C5CB508" w14:textId="77777777" w:rsidR="006D798D" w:rsidRPr="0094660A" w:rsidRDefault="006D798D" w:rsidP="002F75A5">
                      <w:pPr>
                        <w:jc w:val="center"/>
                        <w:rPr>
                          <w:rFonts w:ascii="Arial" w:cs="Arial"/>
                          <w:sz w:val="16"/>
                          <w:szCs w:val="16"/>
                        </w:rPr>
                      </w:pPr>
                      <w:r w:rsidRPr="0094660A">
                        <w:rPr>
                          <w:rFonts w:ascii="Arial" w:cs="Arial"/>
                          <w:b/>
                          <w:bCs/>
                          <w:sz w:val="16"/>
                          <w:szCs w:val="16"/>
                        </w:rPr>
                        <w:t xml:space="preserve">Material </w:t>
                      </w:r>
                      <w:r w:rsidRPr="0094660A">
                        <w:rPr>
                          <w:rFonts w:ascii="Arial" w:cs="Arial"/>
                          <w:sz w:val="16"/>
                          <w:szCs w:val="16"/>
                        </w:rPr>
                        <w:t xml:space="preserve">accounting policy information shall be disclosed (paragraphs 117 and 117C of </w:t>
                      </w:r>
                    </w:p>
                    <w:p w14:paraId="6B99D2FD" w14:textId="77777777" w:rsidR="006D798D" w:rsidRPr="0094660A" w:rsidRDefault="006D798D" w:rsidP="002F75A5">
                      <w:pPr>
                        <w:jc w:val="center"/>
                        <w:rPr>
                          <w:sz w:val="16"/>
                          <w:szCs w:val="16"/>
                        </w:rPr>
                      </w:pPr>
                      <w:r>
                        <w:rPr>
                          <w:rFonts w:ascii="Arial" w:cs="Arial"/>
                          <w:sz w:val="16"/>
                          <w:szCs w:val="16"/>
                        </w:rPr>
                        <w:t>AASB</w:t>
                      </w:r>
                      <w:r w:rsidRPr="0094660A">
                        <w:rPr>
                          <w:rFonts w:ascii="Arial" w:cs="Arial"/>
                          <w:sz w:val="16"/>
                          <w:szCs w:val="16"/>
                        </w:rPr>
                        <w:t xml:space="preserve"> 1</w:t>
                      </w:r>
                      <w:r>
                        <w:rPr>
                          <w:rFonts w:ascii="Arial" w:cs="Arial"/>
                          <w:sz w:val="16"/>
                          <w:szCs w:val="16"/>
                        </w:rPr>
                        <w:t>01</w:t>
                      </w:r>
                      <w:r w:rsidRPr="0094660A">
                        <w:rPr>
                          <w:rFonts w:ascii="Arial" w:cs="Arial"/>
                          <w:sz w:val="16"/>
                          <w:szCs w:val="16"/>
                        </w:rPr>
                        <w:t>)</w:t>
                      </w:r>
                      <w:r>
                        <w:rPr>
                          <w:rFonts w:ascii="Arial" w:cs="Arial"/>
                          <w:sz w:val="16"/>
                          <w:szCs w:val="16"/>
                        </w:rPr>
                        <w:t>.</w:t>
                      </w:r>
                    </w:p>
                  </w:txbxContent>
                </v:textbox>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7842FBF3" wp14:editId="2B091A0C">
                <wp:simplePos x="0" y="0"/>
                <wp:positionH relativeFrom="margin">
                  <wp:posOffset>3189301</wp:posOffset>
                </wp:positionH>
                <wp:positionV relativeFrom="paragraph">
                  <wp:posOffset>1950720</wp:posOffset>
                </wp:positionV>
                <wp:extent cx="295275" cy="285750"/>
                <wp:effectExtent l="0" t="0" r="9525" b="0"/>
                <wp:wrapNone/>
                <wp:docPr id="3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85750"/>
                        </a:xfrm>
                        <a:prstGeom prst="rect">
                          <a:avLst/>
                        </a:prstGeom>
                        <a:noFill/>
                        <a:ln w="3175">
                          <a:noFill/>
                          <a:miter lim="800000"/>
                          <a:headEnd/>
                          <a:tailEnd/>
                        </a:ln>
                      </wps:spPr>
                      <wps:txbx>
                        <w:txbxContent>
                          <w:p w14:paraId="0CE49F30" w14:textId="77777777" w:rsidR="006D798D" w:rsidRPr="00081D9C" w:rsidRDefault="006D798D" w:rsidP="002F75A5">
                            <w:pPr>
                              <w:jc w:val="center"/>
                              <w:rPr>
                                <w:rFonts w:ascii="Arial" w:hAnsi="Arial" w:cs="Arial"/>
                                <w:sz w:val="16"/>
                                <w:szCs w:val="16"/>
                              </w:rPr>
                            </w:pPr>
                            <w:r>
                              <w:rPr>
                                <w:rFonts w:ascii="Arial" w:hAnsi="Arial" w:cs="Arial"/>
                                <w:sz w:val="16"/>
                                <w:szCs w:val="16"/>
                              </w:rPr>
                              <w:t>No</w:t>
                            </w:r>
                          </w:p>
                        </w:txbxContent>
                      </wps:txbx>
                      <wps:bodyPr rot="0" vert="horz" wrap="square" lIns="18000" tIns="8280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42FBF3" id="_x0000_s1029" style="position:absolute;left:0;text-align:left;margin-left:251.15pt;margin-top:153.6pt;width:23.25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" filled="f" stroked="f" strokeweight=".25pt">
                <v:textbox inset=".5mm,2.3mm,.5mm">
                  <w:txbxContent>
                    <w:p w14:paraId="0CE49F30" w14:textId="77777777" w:rsidR="006D798D" w:rsidRPr="00081D9C" w:rsidRDefault="006D798D" w:rsidP="002F75A5">
                      <w:pPr>
                        <w:jc w:val="center"/>
                        <w:rPr>
                          <w:rFonts w:ascii="Arial" w:hAnsi="Arial" w:cs="Arial"/>
                          <w:sz w:val="16"/>
                          <w:szCs w:val="16"/>
                        </w:rPr>
                      </w:pPr>
                      <w:r>
                        <w:rPr>
                          <w:rFonts w:ascii="Arial" w:hAnsi="Arial" w:cs="Arial"/>
                          <w:sz w:val="16"/>
                          <w:szCs w:val="16"/>
                        </w:rPr>
                        <w:t>No</w:t>
                      </w:r>
                    </w:p>
                  </w:txbxContent>
                </v:textbox>
                <w10:wrap anchorx="margin"/>
              </v:rect>
            </w:pict>
          </mc:Fallback>
        </mc:AlternateContent>
      </w:r>
      <w:r>
        <w:rPr>
          <w:noProof/>
        </w:rPr>
        <mc:AlternateContent>
          <mc:Choice Requires="wps">
            <w:drawing>
              <wp:anchor distT="0" distB="0" distL="114300" distR="114300" simplePos="0" relativeHeight="251667456" behindDoc="0" locked="0" layoutInCell="1" allowOverlap="1" wp14:anchorId="497ADDDD" wp14:editId="077841DF">
                <wp:simplePos x="0" y="0"/>
                <wp:positionH relativeFrom="margin">
                  <wp:posOffset>3487116</wp:posOffset>
                </wp:positionH>
                <wp:positionV relativeFrom="paragraph">
                  <wp:posOffset>1955165</wp:posOffset>
                </wp:positionV>
                <wp:extent cx="5080" cy="434975"/>
                <wp:effectExtent l="76200" t="0" r="71120" b="60325"/>
                <wp:wrapNone/>
                <wp:docPr id="12" name="AutoShap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434975"/>
                        </a:xfrm>
                        <a:prstGeom prst="straightConnector1">
                          <a:avLst/>
                        </a:prstGeom>
                        <a:noFill/>
                        <a:ln w="6350">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0B40FB24" id="AutoShape 52" o:spid="_x0000_s1026" type="#_x0000_t32" alt="&quot;&quot;" style="position:absolute;margin-left:274.6pt;margin-top:153.95pt;width:.4pt;height:34.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" strokeweight=".5pt">
                <v:stroke endarrow="block"/>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131E746B" wp14:editId="6C4B2D35">
                <wp:simplePos x="0" y="0"/>
                <wp:positionH relativeFrom="margin">
                  <wp:posOffset>2995626</wp:posOffset>
                </wp:positionH>
                <wp:positionV relativeFrom="paragraph">
                  <wp:posOffset>2392680</wp:posOffset>
                </wp:positionV>
                <wp:extent cx="995882" cy="1403287"/>
                <wp:effectExtent l="0" t="0" r="13970" b="26035"/>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882" cy="1403287"/>
                        </a:xfrm>
                        <a:prstGeom prst="rect">
                          <a:avLst/>
                        </a:prstGeom>
                        <a:noFill/>
                        <a:ln w="3175">
                          <a:solidFill>
                            <a:srgbClr val="000000"/>
                          </a:solidFill>
                          <a:miter lim="800000"/>
                          <a:headEnd/>
                          <a:tailEnd/>
                        </a:ln>
                      </wps:spPr>
                      <wps:txbx>
                        <w:txbxContent>
                          <w:p w14:paraId="36EF2FD3" w14:textId="77777777" w:rsidR="006D798D" w:rsidRPr="00081D9C" w:rsidRDefault="006D798D" w:rsidP="002F75A5">
                            <w:pPr>
                              <w:jc w:val="center"/>
                              <w:rPr>
                                <w:sz w:val="16"/>
                                <w:szCs w:val="16"/>
                              </w:rPr>
                            </w:pPr>
                            <w:r w:rsidRPr="00BF5346">
                              <w:rPr>
                                <w:rFonts w:ascii="Arial" w:cs="Arial"/>
                                <w:b/>
                                <w:bCs/>
                                <w:sz w:val="16"/>
                                <w:szCs w:val="16"/>
                              </w:rPr>
                              <w:t xml:space="preserve">Immaterial </w:t>
                            </w:r>
                            <w:r w:rsidRPr="00BF5346">
                              <w:rPr>
                                <w:rFonts w:ascii="Arial" w:cs="Arial"/>
                                <w:sz w:val="16"/>
                                <w:szCs w:val="16"/>
                              </w:rPr>
                              <w:t xml:space="preserve">accounting policy information that relates to material transactions, other events or conditions need not be disclosed (paragraphs 117A and 117D of </w:t>
                            </w:r>
                            <w:r>
                              <w:rPr>
                                <w:rFonts w:ascii="Arial" w:cs="Arial"/>
                                <w:sz w:val="16"/>
                                <w:szCs w:val="16"/>
                              </w:rPr>
                              <w:t>AASB</w:t>
                            </w:r>
                            <w:r w:rsidRPr="00BF5346">
                              <w:rPr>
                                <w:rFonts w:ascii="Arial" w:cs="Arial"/>
                                <w:sz w:val="16"/>
                                <w:szCs w:val="16"/>
                              </w:rPr>
                              <w:t xml:space="preserve"> 1</w:t>
                            </w:r>
                            <w:r>
                              <w:rPr>
                                <w:rFonts w:ascii="Arial" w:cs="Arial"/>
                                <w:sz w:val="16"/>
                                <w:szCs w:val="16"/>
                              </w:rPr>
                              <w:t>01</w:t>
                            </w:r>
                            <w:r w:rsidRPr="00BF5346">
                              <w:rPr>
                                <w:rFonts w:ascii="Arial" w:cs="Arial"/>
                                <w:sz w:val="16"/>
                                <w:szCs w:val="16"/>
                              </w:rPr>
                              <w:t>).</w:t>
                            </w:r>
                          </w:p>
                        </w:txbxContent>
                      </wps:txbx>
                      <wps:bodyPr rot="0" vert="horz" wrap="square" lIns="91440" tIns="36000" rIns="91440" bIns="18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1E746B" id="_x0000_s1030" style="position:absolute;left:0;text-align:left;margin-left:235.9pt;margin-top:188.4pt;width:78.4pt;height:11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" filled="f" strokeweight=".25pt">
                <v:textbox inset=",1mm,,.5mm">
                  <w:txbxContent>
                    <w:p w14:paraId="36EF2FD3" w14:textId="77777777" w:rsidR="006D798D" w:rsidRPr="00081D9C" w:rsidRDefault="006D798D" w:rsidP="002F75A5">
                      <w:pPr>
                        <w:jc w:val="center"/>
                        <w:rPr>
                          <w:sz w:val="16"/>
                          <w:szCs w:val="16"/>
                        </w:rPr>
                      </w:pPr>
                      <w:r w:rsidRPr="00BF5346">
                        <w:rPr>
                          <w:rFonts w:ascii="Arial" w:cs="Arial"/>
                          <w:b/>
                          <w:bCs/>
                          <w:sz w:val="16"/>
                          <w:szCs w:val="16"/>
                        </w:rPr>
                        <w:t xml:space="preserve">Immaterial </w:t>
                      </w:r>
                      <w:r w:rsidRPr="00BF5346">
                        <w:rPr>
                          <w:rFonts w:ascii="Arial" w:cs="Arial"/>
                          <w:sz w:val="16"/>
                          <w:szCs w:val="16"/>
                        </w:rPr>
                        <w:t xml:space="preserve">accounting policy information that relates to material transactions, other events or conditions need not be disclosed (paragraphs 117A and 117D of </w:t>
                      </w:r>
                      <w:r>
                        <w:rPr>
                          <w:rFonts w:ascii="Arial" w:cs="Arial"/>
                          <w:sz w:val="16"/>
                          <w:szCs w:val="16"/>
                        </w:rPr>
                        <w:t>AASB</w:t>
                      </w:r>
                      <w:r w:rsidRPr="00BF5346">
                        <w:rPr>
                          <w:rFonts w:ascii="Arial" w:cs="Arial"/>
                          <w:sz w:val="16"/>
                          <w:szCs w:val="16"/>
                        </w:rPr>
                        <w:t xml:space="preserve"> 1</w:t>
                      </w:r>
                      <w:r>
                        <w:rPr>
                          <w:rFonts w:ascii="Arial" w:cs="Arial"/>
                          <w:sz w:val="16"/>
                          <w:szCs w:val="16"/>
                        </w:rPr>
                        <w:t>01</w:t>
                      </w:r>
                      <w:r w:rsidRPr="00BF5346">
                        <w:rPr>
                          <w:rFonts w:ascii="Arial" w:cs="Arial"/>
                          <w:sz w:val="16"/>
                          <w:szCs w:val="16"/>
                        </w:rPr>
                        <w:t>).</w:t>
                      </w:r>
                    </w:p>
                  </w:txbxContent>
                </v:textbox>
                <w10:wrap anchorx="margin"/>
              </v:rect>
            </w:pict>
          </mc:Fallback>
        </mc:AlternateContent>
      </w:r>
      <w:r>
        <w:rPr>
          <w:noProof/>
        </w:rPr>
        <mc:AlternateContent>
          <mc:Choice Requires="wps">
            <w:drawing>
              <wp:anchor distT="0" distB="0" distL="114300" distR="114300" simplePos="0" relativeHeight="251668480" behindDoc="0" locked="0" layoutInCell="1" allowOverlap="1" wp14:anchorId="16DC1E4F" wp14:editId="2B83CCDF">
                <wp:simplePos x="0" y="0"/>
                <wp:positionH relativeFrom="column">
                  <wp:posOffset>4578019</wp:posOffset>
                </wp:positionH>
                <wp:positionV relativeFrom="paragraph">
                  <wp:posOffset>1954530</wp:posOffset>
                </wp:positionV>
                <wp:extent cx="3175" cy="436245"/>
                <wp:effectExtent l="76200" t="0" r="73025" b="59055"/>
                <wp:wrapNone/>
                <wp:docPr id="1" name="AutoShap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436245"/>
                        </a:xfrm>
                        <a:prstGeom prst="straightConnector1">
                          <a:avLst/>
                        </a:prstGeom>
                        <a:noFill/>
                        <a:ln w="6350">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6703938C" id="AutoShape 52" o:spid="_x0000_s1026" type="#_x0000_t32" alt="&quot;&quot;" style="position:absolute;margin-left:360.45pt;margin-top:153.9pt;width:.25pt;height:3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" strokeweight=".5pt">
                <v:stroke endarrow="block"/>
              </v:shape>
            </w:pict>
          </mc:Fallback>
        </mc:AlternateContent>
      </w:r>
      <w:r>
        <w:rPr>
          <w:noProof/>
        </w:rPr>
        <mc:AlternateContent>
          <mc:Choice Requires="wps">
            <w:drawing>
              <wp:anchor distT="0" distB="0" distL="114300" distR="114300" simplePos="0" relativeHeight="251663360" behindDoc="0" locked="0" layoutInCell="1" allowOverlap="1" wp14:anchorId="69DF7940" wp14:editId="472F3E82">
                <wp:simplePos x="0" y="0"/>
                <wp:positionH relativeFrom="margin">
                  <wp:posOffset>4039539</wp:posOffset>
                </wp:positionH>
                <wp:positionV relativeFrom="paragraph">
                  <wp:posOffset>742315</wp:posOffset>
                </wp:positionV>
                <wp:extent cx="295275" cy="285750"/>
                <wp:effectExtent l="0" t="0" r="9525" b="0"/>
                <wp:wrapNone/>
                <wp:docPr id="3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85750"/>
                        </a:xfrm>
                        <a:prstGeom prst="rect">
                          <a:avLst/>
                        </a:prstGeom>
                        <a:noFill/>
                        <a:ln w="3175">
                          <a:noFill/>
                          <a:miter lim="800000"/>
                          <a:headEnd/>
                          <a:tailEnd/>
                        </a:ln>
                      </wps:spPr>
                      <wps:txbx>
                        <w:txbxContent>
                          <w:p w14:paraId="720B2C50" w14:textId="77777777" w:rsidR="006D798D" w:rsidRPr="00081D9C" w:rsidRDefault="006D798D" w:rsidP="002F75A5">
                            <w:pPr>
                              <w:jc w:val="center"/>
                              <w:rPr>
                                <w:rFonts w:ascii="Arial" w:hAnsi="Arial" w:cs="Arial"/>
                                <w:sz w:val="16"/>
                                <w:szCs w:val="16"/>
                              </w:rPr>
                            </w:pPr>
                            <w:r>
                              <w:rPr>
                                <w:rFonts w:ascii="Arial" w:hAnsi="Arial" w:cs="Arial"/>
                                <w:sz w:val="16"/>
                                <w:szCs w:val="16"/>
                              </w:rPr>
                              <w:t>Yes</w:t>
                            </w:r>
                          </w:p>
                        </w:txbxContent>
                      </wps:txbx>
                      <wps:bodyPr rot="0" vert="horz" wrap="square" lIns="18000" tIns="8280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DF7940" id="_x0000_s1031" style="position:absolute;left:0;text-align:left;margin-left:318.05pt;margin-top:58.45pt;width:23.25pt;height: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" filled="f" stroked="f" strokeweight=".25pt">
                <v:textbox inset=".5mm,2.3mm,.5mm">
                  <w:txbxContent>
                    <w:p w14:paraId="720B2C50" w14:textId="77777777" w:rsidR="006D798D" w:rsidRPr="00081D9C" w:rsidRDefault="006D798D" w:rsidP="002F75A5">
                      <w:pPr>
                        <w:jc w:val="center"/>
                        <w:rPr>
                          <w:rFonts w:ascii="Arial" w:hAnsi="Arial" w:cs="Arial"/>
                          <w:sz w:val="16"/>
                          <w:szCs w:val="16"/>
                        </w:rPr>
                      </w:pPr>
                      <w:r>
                        <w:rPr>
                          <w:rFonts w:ascii="Arial" w:hAnsi="Arial" w:cs="Arial"/>
                          <w:sz w:val="16"/>
                          <w:szCs w:val="16"/>
                        </w:rPr>
                        <w:t>Yes</w:t>
                      </w:r>
                    </w:p>
                  </w:txbxContent>
                </v:textbox>
                <w10:wrap anchorx="margin"/>
              </v:rect>
            </w:pict>
          </mc:Fallback>
        </mc:AlternateContent>
      </w:r>
      <w:r w:rsidR="00023136">
        <w:rPr>
          <w:noProof/>
        </w:rPr>
        <mc:AlternateContent>
          <mc:Choice Requires="wps">
            <w:drawing>
              <wp:anchor distT="0" distB="0" distL="114300" distR="114300" simplePos="0" relativeHeight="251662336" behindDoc="0" locked="0" layoutInCell="1" allowOverlap="1" wp14:anchorId="77EE2741" wp14:editId="7A575E13">
                <wp:simplePos x="0" y="0"/>
                <wp:positionH relativeFrom="column">
                  <wp:posOffset>4019550</wp:posOffset>
                </wp:positionH>
                <wp:positionV relativeFrom="paragraph">
                  <wp:posOffset>701344</wp:posOffset>
                </wp:positionV>
                <wp:extent cx="9525" cy="581025"/>
                <wp:effectExtent l="38100" t="0" r="66675" b="47625"/>
                <wp:wrapNone/>
                <wp:docPr id="29" name="AutoShap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81025"/>
                        </a:xfrm>
                        <a:prstGeom prst="straightConnector1">
                          <a:avLst/>
                        </a:prstGeom>
                        <a:noFill/>
                        <a:ln w="6350">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0BBA4AC6" id="AutoShape 52" o:spid="_x0000_s1026" type="#_x0000_t32" alt="&quot;&quot;" style="position:absolute;margin-left:316.5pt;margin-top:55.2pt;width:.7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" strokeweight=".5pt">
                <v:stroke endarrow="block"/>
              </v:shape>
            </w:pict>
          </mc:Fallback>
        </mc:AlternateContent>
      </w:r>
      <w:r w:rsidR="00023136">
        <w:rPr>
          <w:noProof/>
        </w:rPr>
        <mc:AlternateContent>
          <mc:Choice Requires="wps">
            <w:drawing>
              <wp:anchor distT="0" distB="0" distL="114300" distR="114300" simplePos="0" relativeHeight="251666432" behindDoc="0" locked="0" layoutInCell="1" allowOverlap="1" wp14:anchorId="3079B076" wp14:editId="25FE8532">
                <wp:simplePos x="0" y="0"/>
                <wp:positionH relativeFrom="margin">
                  <wp:posOffset>2994329</wp:posOffset>
                </wp:positionH>
                <wp:positionV relativeFrom="paragraph">
                  <wp:posOffset>1291590</wp:posOffset>
                </wp:positionV>
                <wp:extent cx="2072640" cy="660400"/>
                <wp:effectExtent l="0" t="0" r="22860" b="25400"/>
                <wp:wrapNone/>
                <wp:docPr id="2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640" cy="660400"/>
                        </a:xfrm>
                        <a:prstGeom prst="rect">
                          <a:avLst/>
                        </a:prstGeom>
                        <a:noFill/>
                        <a:ln w="3175">
                          <a:solidFill>
                            <a:srgbClr val="000000"/>
                          </a:solidFill>
                          <a:miter lim="800000"/>
                          <a:headEnd/>
                          <a:tailEnd/>
                        </a:ln>
                      </wps:spPr>
                      <wps:txbx>
                        <w:txbxContent>
                          <w:p w14:paraId="42CD278F" w14:textId="77777777" w:rsidR="006D798D" w:rsidRPr="00081D9C" w:rsidRDefault="006D798D" w:rsidP="002F75A5">
                            <w:pPr>
                              <w:jc w:val="center"/>
                              <w:rPr>
                                <w:sz w:val="16"/>
                                <w:szCs w:val="16"/>
                              </w:rPr>
                            </w:pPr>
                            <w:r w:rsidRPr="00C87C34">
                              <w:rPr>
                                <w:rFonts w:ascii="Arial" w:cs="Arial"/>
                                <w:sz w:val="16"/>
                                <w:szCs w:val="16"/>
                              </w:rPr>
                              <w:t xml:space="preserve">Is the accounting policy information that relates to a </w:t>
                            </w:r>
                            <w:r w:rsidRPr="00C87C34">
                              <w:rPr>
                                <w:rFonts w:ascii="Arial" w:cs="Arial"/>
                                <w:b/>
                                <w:bCs/>
                                <w:sz w:val="16"/>
                                <w:szCs w:val="16"/>
                              </w:rPr>
                              <w:t>material</w:t>
                            </w:r>
                            <w:r w:rsidRPr="00C87C34">
                              <w:rPr>
                                <w:rFonts w:ascii="Arial" w:cs="Arial"/>
                                <w:sz w:val="16"/>
                                <w:szCs w:val="16"/>
                              </w:rPr>
                              <w:t xml:space="preserve"> transaction, other </w:t>
                            </w:r>
                            <w:proofErr w:type="gramStart"/>
                            <w:r w:rsidRPr="00C87C34">
                              <w:rPr>
                                <w:rFonts w:ascii="Arial" w:cs="Arial"/>
                                <w:sz w:val="16"/>
                                <w:szCs w:val="16"/>
                              </w:rPr>
                              <w:t>event</w:t>
                            </w:r>
                            <w:proofErr w:type="gramEnd"/>
                            <w:r w:rsidRPr="00C87C34">
                              <w:rPr>
                                <w:rFonts w:ascii="Arial" w:cs="Arial"/>
                                <w:sz w:val="16"/>
                                <w:szCs w:val="16"/>
                              </w:rPr>
                              <w:t xml:space="preserve"> or condition itself material to the financial</w:t>
                            </w:r>
                            <w:r w:rsidRPr="00C87C34">
                              <w:rPr>
                                <w:rFonts w:ascii="Arial" w:cs="Arial"/>
                                <w:sz w:val="16"/>
                                <w:szCs w:val="16"/>
                              </w:rPr>
                              <w:t xml:space="preserve"> statements (paragraph 117B of </w:t>
                            </w:r>
                            <w:r>
                              <w:rPr>
                                <w:rFonts w:ascii="Arial" w:cs="Arial"/>
                                <w:sz w:val="16"/>
                                <w:szCs w:val="16"/>
                              </w:rPr>
                              <w:t>AASB</w:t>
                            </w:r>
                            <w:r w:rsidRPr="00C87C34">
                              <w:rPr>
                                <w:rFonts w:ascii="Arial" w:cs="Arial"/>
                                <w:sz w:val="16"/>
                                <w:szCs w:val="16"/>
                              </w:rPr>
                              <w:t xml:space="preserve"> 1</w:t>
                            </w:r>
                            <w:r>
                              <w:rPr>
                                <w:rFonts w:ascii="Arial" w:cs="Arial"/>
                                <w:sz w:val="16"/>
                                <w:szCs w:val="16"/>
                              </w:rPr>
                              <w:t>01</w:t>
                            </w:r>
                            <w:r w:rsidRPr="00C87C34">
                              <w:rPr>
                                <w:rFonts w:ascii="Arial" w:cs="Arial"/>
                                <w:sz w:val="16"/>
                                <w:szCs w:val="16"/>
                              </w:rPr>
                              <w:t>)?</w:t>
                            </w:r>
                          </w:p>
                        </w:txbxContent>
                      </wps:txbx>
                      <wps:bodyPr rot="0" vert="horz" wrap="square" lIns="91440" tIns="36000" rIns="91440" bIns="18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079B076" id="_x0000_s1032" style="position:absolute;left:0;text-align:left;margin-left:235.75pt;margin-top:101.7pt;width:163.2pt;height:5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" filled="f" strokeweight=".25pt">
                <v:textbox inset=",1mm,,.5mm">
                  <w:txbxContent>
                    <w:p w14:paraId="42CD278F" w14:textId="77777777" w:rsidR="006D798D" w:rsidRPr="00081D9C" w:rsidRDefault="006D798D" w:rsidP="002F75A5">
                      <w:pPr>
                        <w:jc w:val="center"/>
                        <w:rPr>
                          <w:sz w:val="16"/>
                          <w:szCs w:val="16"/>
                        </w:rPr>
                      </w:pPr>
                      <w:r w:rsidRPr="00C87C34">
                        <w:rPr>
                          <w:rFonts w:ascii="Arial" w:cs="Arial"/>
                          <w:sz w:val="16"/>
                          <w:szCs w:val="16"/>
                        </w:rPr>
                        <w:t xml:space="preserve">Is the accounting policy information that relates to a </w:t>
                      </w:r>
                      <w:r w:rsidRPr="00C87C34">
                        <w:rPr>
                          <w:rFonts w:ascii="Arial" w:cs="Arial"/>
                          <w:b/>
                          <w:bCs/>
                          <w:sz w:val="16"/>
                          <w:szCs w:val="16"/>
                        </w:rPr>
                        <w:t>material</w:t>
                      </w:r>
                      <w:r w:rsidRPr="00C87C34">
                        <w:rPr>
                          <w:rFonts w:ascii="Arial" w:cs="Arial"/>
                          <w:sz w:val="16"/>
                          <w:szCs w:val="16"/>
                        </w:rPr>
                        <w:t xml:space="preserve"> transaction, other </w:t>
                      </w:r>
                      <w:proofErr w:type="gramStart"/>
                      <w:r w:rsidRPr="00C87C34">
                        <w:rPr>
                          <w:rFonts w:ascii="Arial" w:cs="Arial"/>
                          <w:sz w:val="16"/>
                          <w:szCs w:val="16"/>
                        </w:rPr>
                        <w:t>event</w:t>
                      </w:r>
                      <w:proofErr w:type="gramEnd"/>
                      <w:r w:rsidRPr="00C87C34">
                        <w:rPr>
                          <w:rFonts w:ascii="Arial" w:cs="Arial"/>
                          <w:sz w:val="16"/>
                          <w:szCs w:val="16"/>
                        </w:rPr>
                        <w:t xml:space="preserve"> or condition itself material to the financial</w:t>
                      </w:r>
                      <w:r w:rsidRPr="00C87C34">
                        <w:rPr>
                          <w:rFonts w:ascii="Arial" w:cs="Arial"/>
                          <w:sz w:val="16"/>
                          <w:szCs w:val="16"/>
                        </w:rPr>
                        <w:t xml:space="preserve"> statements (paragraph 117B of </w:t>
                      </w:r>
                      <w:r>
                        <w:rPr>
                          <w:rFonts w:ascii="Arial" w:cs="Arial"/>
                          <w:sz w:val="16"/>
                          <w:szCs w:val="16"/>
                        </w:rPr>
                        <w:t>AASB</w:t>
                      </w:r>
                      <w:r w:rsidRPr="00C87C34">
                        <w:rPr>
                          <w:rFonts w:ascii="Arial" w:cs="Arial"/>
                          <w:sz w:val="16"/>
                          <w:szCs w:val="16"/>
                        </w:rPr>
                        <w:t xml:space="preserve"> 1</w:t>
                      </w:r>
                      <w:r>
                        <w:rPr>
                          <w:rFonts w:ascii="Arial" w:cs="Arial"/>
                          <w:sz w:val="16"/>
                          <w:szCs w:val="16"/>
                        </w:rPr>
                        <w:t>01</w:t>
                      </w:r>
                      <w:r w:rsidRPr="00C87C34">
                        <w:rPr>
                          <w:rFonts w:ascii="Arial" w:cs="Arial"/>
                          <w:sz w:val="16"/>
                          <w:szCs w:val="16"/>
                        </w:rPr>
                        <w:t>)?</w:t>
                      </w:r>
                    </w:p>
                  </w:txbxContent>
                </v:textbox>
                <w10:wrap anchorx="margin"/>
              </v:rect>
            </w:pict>
          </mc:Fallback>
        </mc:AlternateContent>
      </w:r>
      <w:r w:rsidR="00023136">
        <w:rPr>
          <w:noProof/>
        </w:rPr>
        <mc:AlternateContent>
          <mc:Choice Requires="wps">
            <w:drawing>
              <wp:anchor distT="0" distB="0" distL="114300" distR="114300" simplePos="0" relativeHeight="251665408" behindDoc="0" locked="0" layoutInCell="1" allowOverlap="1" wp14:anchorId="313008DA" wp14:editId="698E8E66">
                <wp:simplePos x="0" y="0"/>
                <wp:positionH relativeFrom="column">
                  <wp:posOffset>690880</wp:posOffset>
                </wp:positionH>
                <wp:positionV relativeFrom="paragraph">
                  <wp:posOffset>1293799</wp:posOffset>
                </wp:positionV>
                <wp:extent cx="2147570" cy="660400"/>
                <wp:effectExtent l="0" t="0" r="24130" b="25400"/>
                <wp:wrapNone/>
                <wp:docPr id="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7570" cy="660400"/>
                        </a:xfrm>
                        <a:prstGeom prst="rect">
                          <a:avLst/>
                        </a:prstGeom>
                        <a:noFill/>
                        <a:ln w="3175">
                          <a:solidFill>
                            <a:srgbClr val="000000"/>
                          </a:solidFill>
                          <a:miter lim="800000"/>
                          <a:headEnd/>
                          <a:tailEnd/>
                        </a:ln>
                      </wps:spPr>
                      <wps:txbx>
                        <w:txbxContent>
                          <w:p w14:paraId="0FC81865" w14:textId="77777777" w:rsidR="006D798D" w:rsidRPr="00081D9C" w:rsidRDefault="006D798D" w:rsidP="002F75A5">
                            <w:pPr>
                              <w:jc w:val="center"/>
                              <w:rPr>
                                <w:sz w:val="16"/>
                                <w:szCs w:val="16"/>
                              </w:rPr>
                            </w:pPr>
                            <w:r w:rsidRPr="00F97E5F">
                              <w:rPr>
                                <w:rFonts w:ascii="Arial" w:cs="Arial"/>
                                <w:sz w:val="16"/>
                                <w:szCs w:val="16"/>
                              </w:rPr>
                              <w:t xml:space="preserve">Accounting policy information that relates to </w:t>
                            </w:r>
                            <w:r w:rsidRPr="00F97E5F">
                              <w:rPr>
                                <w:rFonts w:ascii="Arial" w:cs="Arial"/>
                                <w:b/>
                                <w:bCs/>
                                <w:sz w:val="16"/>
                                <w:szCs w:val="16"/>
                              </w:rPr>
                              <w:t xml:space="preserve">immaterial </w:t>
                            </w:r>
                            <w:r w:rsidRPr="00F97E5F">
                              <w:rPr>
                                <w:rFonts w:ascii="Arial" w:cs="Arial"/>
                                <w:sz w:val="16"/>
                                <w:szCs w:val="16"/>
                              </w:rPr>
                              <w:t xml:space="preserve">transactions, other events or conditions is immaterial and need not be disclosed (paragraphs 117A and 117D of </w:t>
                            </w:r>
                            <w:r>
                              <w:rPr>
                                <w:rFonts w:ascii="Arial" w:cs="Arial"/>
                                <w:sz w:val="16"/>
                                <w:szCs w:val="16"/>
                              </w:rPr>
                              <w:t>AASB</w:t>
                            </w:r>
                            <w:r w:rsidRPr="00F97E5F">
                              <w:rPr>
                                <w:rFonts w:ascii="Arial" w:cs="Arial"/>
                                <w:sz w:val="16"/>
                                <w:szCs w:val="16"/>
                              </w:rPr>
                              <w:t xml:space="preserve"> </w:t>
                            </w:r>
                            <w:r>
                              <w:rPr>
                                <w:rFonts w:ascii="Arial" w:cs="Arial"/>
                                <w:sz w:val="16"/>
                                <w:szCs w:val="16"/>
                              </w:rPr>
                              <w:t>10</w:t>
                            </w:r>
                            <w:r w:rsidRPr="00F97E5F">
                              <w:rPr>
                                <w:rFonts w:ascii="Arial" w:cs="Arial"/>
                                <w:sz w:val="16"/>
                                <w:szCs w:val="16"/>
                              </w:rPr>
                              <w:t>1).</w:t>
                            </w:r>
                          </w:p>
                        </w:txbxContent>
                      </wps:txbx>
                      <wps:bodyPr rot="0" vert="horz" wrap="square" lIns="91440" tIns="36000" rIns="91440" bIns="18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13008DA" id="_x0000_s1033" style="position:absolute;left:0;text-align:left;margin-left:54.4pt;margin-top:101.85pt;width:169.1pt;height: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" filled="f" strokeweight=".25pt">
                <v:textbox inset=",1mm,,.5mm">
                  <w:txbxContent>
                    <w:p w14:paraId="0FC81865" w14:textId="77777777" w:rsidR="006D798D" w:rsidRPr="00081D9C" w:rsidRDefault="006D798D" w:rsidP="002F75A5">
                      <w:pPr>
                        <w:jc w:val="center"/>
                        <w:rPr>
                          <w:sz w:val="16"/>
                          <w:szCs w:val="16"/>
                        </w:rPr>
                      </w:pPr>
                      <w:r w:rsidRPr="00F97E5F">
                        <w:rPr>
                          <w:rFonts w:ascii="Arial" w:cs="Arial"/>
                          <w:sz w:val="16"/>
                          <w:szCs w:val="16"/>
                        </w:rPr>
                        <w:t xml:space="preserve">Accounting policy information that relates to </w:t>
                      </w:r>
                      <w:r w:rsidRPr="00F97E5F">
                        <w:rPr>
                          <w:rFonts w:ascii="Arial" w:cs="Arial"/>
                          <w:b/>
                          <w:bCs/>
                          <w:sz w:val="16"/>
                          <w:szCs w:val="16"/>
                        </w:rPr>
                        <w:t xml:space="preserve">immaterial </w:t>
                      </w:r>
                      <w:r w:rsidRPr="00F97E5F">
                        <w:rPr>
                          <w:rFonts w:ascii="Arial" w:cs="Arial"/>
                          <w:sz w:val="16"/>
                          <w:szCs w:val="16"/>
                        </w:rPr>
                        <w:t xml:space="preserve">transactions, other events or conditions is immaterial and need not be disclosed (paragraphs 117A and 117D of </w:t>
                      </w:r>
                      <w:r>
                        <w:rPr>
                          <w:rFonts w:ascii="Arial" w:cs="Arial"/>
                          <w:sz w:val="16"/>
                          <w:szCs w:val="16"/>
                        </w:rPr>
                        <w:t>AASB</w:t>
                      </w:r>
                      <w:r w:rsidRPr="00F97E5F">
                        <w:rPr>
                          <w:rFonts w:ascii="Arial" w:cs="Arial"/>
                          <w:sz w:val="16"/>
                          <w:szCs w:val="16"/>
                        </w:rPr>
                        <w:t xml:space="preserve"> </w:t>
                      </w:r>
                      <w:r>
                        <w:rPr>
                          <w:rFonts w:ascii="Arial" w:cs="Arial"/>
                          <w:sz w:val="16"/>
                          <w:szCs w:val="16"/>
                        </w:rPr>
                        <w:t>10</w:t>
                      </w:r>
                      <w:r w:rsidRPr="00F97E5F">
                        <w:rPr>
                          <w:rFonts w:ascii="Arial" w:cs="Arial"/>
                          <w:sz w:val="16"/>
                          <w:szCs w:val="16"/>
                        </w:rPr>
                        <w:t>1).</w:t>
                      </w:r>
                    </w:p>
                  </w:txbxContent>
                </v:textbox>
              </v:rect>
            </w:pict>
          </mc:Fallback>
        </mc:AlternateContent>
      </w:r>
      <w:r w:rsidR="00023136">
        <w:rPr>
          <w:noProof/>
        </w:rPr>
        <mc:AlternateContent>
          <mc:Choice Requires="wps">
            <w:drawing>
              <wp:anchor distT="0" distB="0" distL="114300" distR="114300" simplePos="0" relativeHeight="251669504" behindDoc="0" locked="0" layoutInCell="1" allowOverlap="1" wp14:anchorId="7047CAF0" wp14:editId="2B5C0238">
                <wp:simplePos x="0" y="0"/>
                <wp:positionH relativeFrom="margin">
                  <wp:posOffset>1455530</wp:posOffset>
                </wp:positionH>
                <wp:positionV relativeFrom="paragraph">
                  <wp:posOffset>749300</wp:posOffset>
                </wp:positionV>
                <wp:extent cx="295275" cy="285750"/>
                <wp:effectExtent l="0" t="0" r="0" b="0"/>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85750"/>
                        </a:xfrm>
                        <a:prstGeom prst="rect">
                          <a:avLst/>
                        </a:prstGeom>
                        <a:noFill/>
                        <a:ln w="3175">
                          <a:noFill/>
                          <a:miter lim="800000"/>
                          <a:headEnd/>
                          <a:tailEnd/>
                        </a:ln>
                      </wps:spPr>
                      <wps:txbx>
                        <w:txbxContent>
                          <w:p w14:paraId="1A934722" w14:textId="77777777" w:rsidR="006D798D" w:rsidRPr="00081D9C" w:rsidRDefault="006D798D" w:rsidP="002F75A5">
                            <w:pPr>
                              <w:jc w:val="center"/>
                              <w:rPr>
                                <w:rFonts w:ascii="Arial" w:hAnsi="Arial" w:cs="Arial"/>
                                <w:sz w:val="16"/>
                                <w:szCs w:val="16"/>
                              </w:rPr>
                            </w:pPr>
                            <w:r>
                              <w:rPr>
                                <w:rFonts w:ascii="Arial" w:hAnsi="Arial" w:cs="Arial"/>
                                <w:sz w:val="16"/>
                                <w:szCs w:val="16"/>
                              </w:rPr>
                              <w:t>No</w:t>
                            </w:r>
                          </w:p>
                        </w:txbxContent>
                      </wps:txbx>
                      <wps:bodyPr rot="0" vert="horz" wrap="square" lIns="18000" tIns="8280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47CAF0" id="_x0000_s1034" style="position:absolute;left:0;text-align:left;margin-left:114.6pt;margin-top:59pt;width:23.25pt;height:2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" filled="f" stroked="f" strokeweight=".25pt">
                <v:textbox inset=".5mm,2.3mm,.5mm">
                  <w:txbxContent>
                    <w:p w14:paraId="1A934722" w14:textId="77777777" w:rsidR="006D798D" w:rsidRPr="00081D9C" w:rsidRDefault="006D798D" w:rsidP="002F75A5">
                      <w:pPr>
                        <w:jc w:val="center"/>
                        <w:rPr>
                          <w:rFonts w:ascii="Arial" w:hAnsi="Arial" w:cs="Arial"/>
                          <w:sz w:val="16"/>
                          <w:szCs w:val="16"/>
                        </w:rPr>
                      </w:pPr>
                      <w:r>
                        <w:rPr>
                          <w:rFonts w:ascii="Arial" w:hAnsi="Arial" w:cs="Arial"/>
                          <w:sz w:val="16"/>
                          <w:szCs w:val="16"/>
                        </w:rPr>
                        <w:t>No</w:t>
                      </w:r>
                    </w:p>
                  </w:txbxContent>
                </v:textbox>
                <w10:wrap anchorx="margin"/>
              </v:rect>
            </w:pict>
          </mc:Fallback>
        </mc:AlternateContent>
      </w:r>
      <w:r w:rsidR="00023136">
        <w:rPr>
          <w:noProof/>
        </w:rPr>
        <mc:AlternateContent>
          <mc:Choice Requires="wps">
            <w:drawing>
              <wp:anchor distT="0" distB="0" distL="114300" distR="114300" simplePos="0" relativeHeight="251664384" behindDoc="0" locked="0" layoutInCell="1" allowOverlap="1" wp14:anchorId="6C20E173" wp14:editId="04C101A8">
                <wp:simplePos x="0" y="0"/>
                <wp:positionH relativeFrom="column">
                  <wp:posOffset>1754809</wp:posOffset>
                </wp:positionH>
                <wp:positionV relativeFrom="paragraph">
                  <wp:posOffset>698500</wp:posOffset>
                </wp:positionV>
                <wp:extent cx="9525" cy="581025"/>
                <wp:effectExtent l="38100" t="0" r="66675" b="47625"/>
                <wp:wrapNone/>
                <wp:docPr id="31" name="AutoShap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81025"/>
                        </a:xfrm>
                        <a:prstGeom prst="straightConnector1">
                          <a:avLst/>
                        </a:prstGeom>
                        <a:noFill/>
                        <a:ln w="6350">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5B4EFA9F" id="AutoShape 52" o:spid="_x0000_s1026" type="#_x0000_t32" alt="&quot;&quot;" style="position:absolute;margin-left:138.15pt;margin-top:55pt;width:.75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" strokeweight=".5pt">
                <v:stroke endarrow="block"/>
              </v:shape>
            </w:pict>
          </mc:Fallback>
        </mc:AlternateContent>
      </w:r>
      <w:r w:rsidR="00023136">
        <w:rPr>
          <w:noProof/>
        </w:rPr>
        <mc:AlternateContent>
          <mc:Choice Requires="wps">
            <w:drawing>
              <wp:anchor distT="0" distB="0" distL="114300" distR="114300" simplePos="0" relativeHeight="251660288" behindDoc="0" locked="0" layoutInCell="1" allowOverlap="1" wp14:anchorId="2786F3B8" wp14:editId="51D60AD5">
                <wp:simplePos x="0" y="0"/>
                <wp:positionH relativeFrom="margin">
                  <wp:align>center</wp:align>
                </wp:positionH>
                <wp:positionV relativeFrom="paragraph">
                  <wp:posOffset>365015</wp:posOffset>
                </wp:positionV>
                <wp:extent cx="4363770" cy="325925"/>
                <wp:effectExtent l="0" t="0" r="17780" b="17145"/>
                <wp:wrapNone/>
                <wp:docPr id="3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3770" cy="325925"/>
                        </a:xfrm>
                        <a:prstGeom prst="rect">
                          <a:avLst/>
                        </a:prstGeom>
                        <a:noFill/>
                        <a:ln w="3175">
                          <a:solidFill>
                            <a:srgbClr val="000000"/>
                          </a:solidFill>
                          <a:miter lim="800000"/>
                          <a:headEnd/>
                          <a:tailEnd/>
                        </a:ln>
                      </wps:spPr>
                      <wps:txbx>
                        <w:txbxContent>
                          <w:p w14:paraId="6385BA9E" w14:textId="77777777" w:rsidR="006D798D" w:rsidRPr="00081D9C" w:rsidRDefault="006D798D" w:rsidP="002F75A5">
                            <w:pPr>
                              <w:jc w:val="center"/>
                              <w:rPr>
                                <w:sz w:val="16"/>
                                <w:szCs w:val="16"/>
                              </w:rPr>
                            </w:pPr>
                            <w:r w:rsidRPr="00A4443E">
                              <w:rPr>
                                <w:rFonts w:ascii="Arial" w:cs="Arial"/>
                                <w:sz w:val="16"/>
                                <w:szCs w:val="16"/>
                              </w:rPr>
                              <w:t xml:space="preserve">Is the transaction, other </w:t>
                            </w:r>
                            <w:proofErr w:type="gramStart"/>
                            <w:r w:rsidRPr="00A4443E">
                              <w:rPr>
                                <w:rFonts w:ascii="Arial" w:cs="Arial"/>
                                <w:sz w:val="16"/>
                                <w:szCs w:val="16"/>
                              </w:rPr>
                              <w:t>event</w:t>
                            </w:r>
                            <w:proofErr w:type="gramEnd"/>
                            <w:r w:rsidRPr="00A4443E">
                              <w:rPr>
                                <w:rFonts w:ascii="Arial" w:cs="Arial"/>
                                <w:sz w:val="16"/>
                                <w:szCs w:val="16"/>
                              </w:rPr>
                              <w:t xml:space="preserve"> or condition to which the accounting policy information relates material in size or nature, or a combination of both?</w:t>
                            </w:r>
                          </w:p>
                        </w:txbxContent>
                      </wps:txbx>
                      <wps:bodyPr rot="0" vert="horz" wrap="square" lIns="91440" tIns="36000" rIns="91440" bIns="1800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2786F3B8" id="_x0000_s1035" style="position:absolute;left:0;text-align:left;margin-left:0;margin-top:28.75pt;width:343.6pt;height:25.6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" filled="f" strokeweight=".25pt">
                <v:textbox inset=",1mm,,.5mm">
                  <w:txbxContent>
                    <w:p w14:paraId="6385BA9E" w14:textId="77777777" w:rsidR="006D798D" w:rsidRPr="00081D9C" w:rsidRDefault="006D798D" w:rsidP="002F75A5">
                      <w:pPr>
                        <w:jc w:val="center"/>
                        <w:rPr>
                          <w:sz w:val="16"/>
                          <w:szCs w:val="16"/>
                        </w:rPr>
                      </w:pPr>
                      <w:r w:rsidRPr="00A4443E">
                        <w:rPr>
                          <w:rFonts w:ascii="Arial" w:cs="Arial"/>
                          <w:sz w:val="16"/>
                          <w:szCs w:val="16"/>
                        </w:rPr>
                        <w:t xml:space="preserve">Is the transaction, other </w:t>
                      </w:r>
                      <w:proofErr w:type="gramStart"/>
                      <w:r w:rsidRPr="00A4443E">
                        <w:rPr>
                          <w:rFonts w:ascii="Arial" w:cs="Arial"/>
                          <w:sz w:val="16"/>
                          <w:szCs w:val="16"/>
                        </w:rPr>
                        <w:t>event</w:t>
                      </w:r>
                      <w:proofErr w:type="gramEnd"/>
                      <w:r w:rsidRPr="00A4443E">
                        <w:rPr>
                          <w:rFonts w:ascii="Arial" w:cs="Arial"/>
                          <w:sz w:val="16"/>
                          <w:szCs w:val="16"/>
                        </w:rPr>
                        <w:t xml:space="preserve"> or condition to which the accounting policy information relates material in size or nature, or a combination of both?</w:t>
                      </w:r>
                    </w:p>
                  </w:txbxContent>
                </v:textbox>
                <w10:wrap anchorx="margin"/>
              </v:rect>
            </w:pict>
          </mc:Fallback>
        </mc:AlternateContent>
      </w:r>
      <w:r w:rsidR="002F75A5" w:rsidRPr="0069069D">
        <w:rPr>
          <w:i/>
        </w:rPr>
        <w:t xml:space="preserve">Diagram 2—determining whether accounting policy information is </w:t>
      </w:r>
      <w:proofErr w:type="gramStart"/>
      <w:r w:rsidR="002F75A5" w:rsidRPr="0069069D">
        <w:rPr>
          <w:i/>
        </w:rPr>
        <w:t>material</w:t>
      </w:r>
      <w:proofErr w:type="gramEnd"/>
    </w:p>
    <w:p w14:paraId="6DA1AE67" w14:textId="7E04AB94" w:rsidR="00954E7B" w:rsidRPr="00244BF6" w:rsidRDefault="00954E7B" w:rsidP="00E41C50">
      <w:pPr>
        <w:pStyle w:val="IASBNormalnpara"/>
        <w:rPr>
          <w:lang w:val="en-AU"/>
        </w:rPr>
      </w:pPr>
      <w:r w:rsidRPr="00244BF6">
        <w:rPr>
          <w:lang w:val="en-AU"/>
        </w:rPr>
        <w:t>88D</w:t>
      </w:r>
      <w:r w:rsidRPr="00244BF6">
        <w:rPr>
          <w:lang w:val="en-AU"/>
        </w:rPr>
        <w:tab/>
        <w:t xml:space="preserve">Paragraph 117B of AASB 101 includes examples of circumstances in which an entity is likely to consider accounting policy information to be material to its financial statements. The list is not </w:t>
      </w:r>
      <w:proofErr w:type="gramStart"/>
      <w:r w:rsidRPr="00244BF6">
        <w:rPr>
          <w:lang w:val="en-AU"/>
        </w:rPr>
        <w:t>exhaustive, but</w:t>
      </w:r>
      <w:proofErr w:type="gramEnd"/>
      <w:r w:rsidRPr="00244BF6">
        <w:rPr>
          <w:lang w:val="en-AU"/>
        </w:rPr>
        <w:t xml:space="preserve"> provides guidance on when an entity would normally consider accounting policy information to be material.</w:t>
      </w:r>
    </w:p>
    <w:p w14:paraId="6EACA398" w14:textId="43E9E5F3" w:rsidR="00954E7B" w:rsidRPr="00244BF6" w:rsidRDefault="00954E7B" w:rsidP="00954E7B">
      <w:pPr>
        <w:pStyle w:val="IASBNormalnpara"/>
        <w:rPr>
          <w:lang w:val="en-AU"/>
        </w:rPr>
      </w:pPr>
      <w:r w:rsidRPr="00244BF6">
        <w:rPr>
          <w:lang w:val="en-AU"/>
        </w:rPr>
        <w:t>88E</w:t>
      </w:r>
      <w:r w:rsidRPr="00244BF6">
        <w:rPr>
          <w:lang w:val="en-AU"/>
        </w:rPr>
        <w:tab/>
        <w:t xml:space="preserve">Paragraph 117C of AASB 101 describes the type of material accounting policy information that users of financial statements find most useful. Users generally find information about the characteristics of an entity’s transactions, other </w:t>
      </w:r>
      <w:proofErr w:type="gramStart"/>
      <w:r w:rsidRPr="00244BF6">
        <w:rPr>
          <w:lang w:val="en-AU"/>
        </w:rPr>
        <w:t>events</w:t>
      </w:r>
      <w:proofErr w:type="gramEnd"/>
      <w:r w:rsidRPr="00244BF6">
        <w:rPr>
          <w:lang w:val="en-AU"/>
        </w:rPr>
        <w:t xml:space="preserve"> or conditions—entity-specific information—more useful than disclosures that only include standardised information, or information that duplicates or summarises the requirements of the Australian Accounting Standards. Entity-specific accounting policy information is particularly useful when that information relates to an area for which an entity has exercised judgement—for example, when an entity applies an Australian Accounting Standard differently from similar entities in the same industry.</w:t>
      </w:r>
    </w:p>
    <w:p w14:paraId="700CF9EC" w14:textId="77089AA7" w:rsidR="00954E7B" w:rsidRPr="00244BF6" w:rsidRDefault="00954E7B" w:rsidP="00954E7B">
      <w:pPr>
        <w:pStyle w:val="IASBNormalnpara"/>
        <w:rPr>
          <w:lang w:val="en-AU"/>
        </w:rPr>
      </w:pPr>
      <w:r w:rsidRPr="00244BF6">
        <w:rPr>
          <w:lang w:val="en-AU"/>
        </w:rPr>
        <w:t>88F</w:t>
      </w:r>
      <w:r w:rsidRPr="00244BF6">
        <w:rPr>
          <w:lang w:val="en-AU"/>
        </w:rPr>
        <w:tab/>
        <w:t xml:space="preserve">Although entity-specific accounting policy information is generally more useful, material accounting policy information could sometimes include information that is standardised, or that duplicates or summarises the requirements of the Australian Accounting Standards. Such information may be material if, for example: </w:t>
      </w:r>
    </w:p>
    <w:p w14:paraId="3CDCCEBE" w14:textId="38D516D1" w:rsidR="00954E7B" w:rsidRPr="00244BF6" w:rsidRDefault="00954E7B" w:rsidP="00954E7B">
      <w:pPr>
        <w:pStyle w:val="IASBNormalnparaL1"/>
        <w:rPr>
          <w:lang w:val="en-AU"/>
        </w:rPr>
      </w:pPr>
      <w:r w:rsidRPr="00244BF6">
        <w:rPr>
          <w:lang w:val="en-AU"/>
        </w:rPr>
        <w:t>(a)</w:t>
      </w:r>
      <w:r w:rsidRPr="00244BF6">
        <w:rPr>
          <w:lang w:val="en-AU"/>
        </w:rPr>
        <w:tab/>
        <w:t xml:space="preserve">users of the entity’s financial statements need that information to understand other material information provided in the financial statements. Such a scenario might arise when an entity applying AASB 9 </w:t>
      </w:r>
      <w:r w:rsidRPr="00244BF6">
        <w:rPr>
          <w:i/>
          <w:lang w:val="en-AU"/>
        </w:rPr>
        <w:t>Financial Instruments</w:t>
      </w:r>
      <w:r w:rsidRPr="00244BF6">
        <w:rPr>
          <w:lang w:val="en-AU"/>
        </w:rPr>
        <w:t xml:space="preserve"> has no choice regarding the classification of its financial instruments. In such scenarios, users of that entity’s financial statements may only be able to understand how the entity has accounted for its material financial instruments if users also understand how the entity has applied the requirements of AASB 9 to its financial instruments.</w:t>
      </w:r>
    </w:p>
    <w:p w14:paraId="7DF41A2C" w14:textId="1317B422" w:rsidR="00954E7B" w:rsidRPr="00244BF6" w:rsidRDefault="00954E7B" w:rsidP="00954E7B">
      <w:pPr>
        <w:pStyle w:val="IASBNormalnparaL1"/>
        <w:rPr>
          <w:lang w:val="en-AU"/>
        </w:rPr>
      </w:pPr>
      <w:r w:rsidRPr="00244BF6">
        <w:rPr>
          <w:lang w:val="en-AU"/>
        </w:rPr>
        <w:t>(b)</w:t>
      </w:r>
      <w:r w:rsidRPr="00244BF6">
        <w:rPr>
          <w:lang w:val="en-AU"/>
        </w:rPr>
        <w:tab/>
        <w:t>an entity reports in a jurisdiction in which entities also report applying local accounting standards.</w:t>
      </w:r>
    </w:p>
    <w:p w14:paraId="189D114F" w14:textId="40C733EC" w:rsidR="00954E7B" w:rsidRPr="00244BF6" w:rsidRDefault="00954E7B" w:rsidP="00954E7B">
      <w:pPr>
        <w:pStyle w:val="IASBNormalnparaL1"/>
        <w:rPr>
          <w:lang w:val="en-AU"/>
        </w:rPr>
      </w:pPr>
      <w:r w:rsidRPr="00244BF6">
        <w:rPr>
          <w:lang w:val="en-AU"/>
        </w:rPr>
        <w:t>(c)</w:t>
      </w:r>
      <w:r w:rsidRPr="00244BF6">
        <w:rPr>
          <w:lang w:val="en-AU"/>
        </w:rPr>
        <w:tab/>
        <w:t xml:space="preserve">the accounting required by the Australian Accounting Standards is complex, and users of financial statements need to understand the required accounting. Such a scenario might arise when an entity accounts for a material class of transactions, other </w:t>
      </w:r>
      <w:proofErr w:type="gramStart"/>
      <w:r w:rsidRPr="00244BF6">
        <w:rPr>
          <w:lang w:val="en-AU"/>
        </w:rPr>
        <w:t>events</w:t>
      </w:r>
      <w:proofErr w:type="gramEnd"/>
      <w:r w:rsidRPr="00244BF6">
        <w:rPr>
          <w:lang w:val="en-AU"/>
        </w:rPr>
        <w:t xml:space="preserve"> or conditions by applying more than one Australian Accounting Standard.</w:t>
      </w:r>
    </w:p>
    <w:p w14:paraId="0F9E07EB" w14:textId="5A9B8ED5" w:rsidR="00954E7B" w:rsidRPr="00244BF6" w:rsidRDefault="00954E7B" w:rsidP="00C57F15">
      <w:pPr>
        <w:pStyle w:val="IASBNormalnpara"/>
        <w:spacing w:after="100"/>
        <w:rPr>
          <w:lang w:val="en-AU"/>
        </w:rPr>
      </w:pPr>
      <w:r w:rsidRPr="00244BF6">
        <w:rPr>
          <w:lang w:val="en-AU"/>
        </w:rPr>
        <w:lastRenderedPageBreak/>
        <w:t>88G</w:t>
      </w:r>
      <w:r w:rsidRPr="00244BF6">
        <w:rPr>
          <w:lang w:val="en-AU"/>
        </w:rPr>
        <w:tab/>
        <w:t>Paragraph 117D of AASB 101 states that if an entity discloses immaterial accounting policy information, such information shall not obscure material information. Paragraphs 56–59 provide guidance about how to communicate information clearly and concisely in the financial statements.</w:t>
      </w:r>
    </w:p>
    <w:tbl>
      <w:tblPr>
        <w:tblW w:w="0" w:type="auto"/>
        <w:tblInd w:w="860" w:type="dxa"/>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Pr>
      <w:tblGrid>
        <w:gridCol w:w="8211"/>
      </w:tblGrid>
      <w:tr w:rsidR="00954E7B" w14:paraId="41EB7C58" w14:textId="77777777" w:rsidTr="006D798D">
        <w:tc>
          <w:tcPr>
            <w:tcW w:w="50" w:type="pct"/>
            <w:tcBorders>
              <w:bottom w:val="single" w:sz="0" w:space="0" w:color="auto"/>
            </w:tcBorders>
          </w:tcPr>
          <w:p w14:paraId="3CA28595" w14:textId="3801A688" w:rsidR="00954E7B" w:rsidRPr="00AB4ED4" w:rsidRDefault="00954E7B" w:rsidP="0071657F">
            <w:pPr>
              <w:pStyle w:val="IASBTableArial"/>
              <w:keepNext/>
              <w:spacing w:before="80" w:after="80"/>
              <w:rPr>
                <w:rFonts w:ascii="Times New Roman" w:hAnsi="Times New Roman"/>
                <w:sz w:val="19"/>
                <w:szCs w:val="19"/>
                <w:lang w:val="en-AU"/>
              </w:rPr>
            </w:pPr>
            <w:r w:rsidRPr="00AB4ED4">
              <w:rPr>
                <w:rFonts w:ascii="Times New Roman" w:hAnsi="Times New Roman"/>
                <w:b/>
                <w:sz w:val="19"/>
                <w:szCs w:val="19"/>
                <w:lang w:val="en-AU"/>
              </w:rPr>
              <w:t>Example S—making materiality judgements and focusing on entity-specific information while avoiding standardised (boilerplate) accounting policy information</w:t>
            </w:r>
          </w:p>
        </w:tc>
      </w:tr>
      <w:tr w:rsidR="00954E7B" w14:paraId="6DF17F59" w14:textId="77777777" w:rsidTr="006D798D">
        <w:tc>
          <w:tcPr>
            <w:tcW w:w="50" w:type="pct"/>
          </w:tcPr>
          <w:p w14:paraId="020E264C" w14:textId="77777777" w:rsidR="00954E7B" w:rsidRPr="00244BF6" w:rsidRDefault="00954E7B" w:rsidP="0071657F">
            <w:pPr>
              <w:pStyle w:val="IASBTableNormal"/>
              <w:keepNext/>
              <w:rPr>
                <w:lang w:val="en-AU"/>
              </w:rPr>
            </w:pPr>
            <w:r w:rsidRPr="00244BF6">
              <w:rPr>
                <w:b/>
                <w:lang w:val="en-AU"/>
              </w:rPr>
              <w:t>Background</w:t>
            </w:r>
          </w:p>
          <w:p w14:paraId="73DFDB6B" w14:textId="77777777" w:rsidR="00954E7B" w:rsidRPr="00244BF6" w:rsidRDefault="00954E7B" w:rsidP="006D798D">
            <w:pPr>
              <w:pStyle w:val="IASBTableNormal"/>
              <w:rPr>
                <w:lang w:val="en-AU"/>
              </w:rPr>
            </w:pPr>
            <w:r w:rsidRPr="00244BF6">
              <w:rPr>
                <w:lang w:val="en-AU"/>
              </w:rPr>
              <w:t xml:space="preserve">An entity operates within the telecommunications industry. It has entered into contracts with retail customers to deliver mobile phone handsets and data services. In a typical contract, the entity provides a customer with a handset and data services over three years. The entity applies AASB 15 </w:t>
            </w:r>
            <w:r w:rsidRPr="00244BF6">
              <w:rPr>
                <w:i/>
                <w:lang w:val="en-AU"/>
              </w:rPr>
              <w:t>Revenue from Contracts with Customers</w:t>
            </w:r>
            <w:r w:rsidRPr="00244BF6">
              <w:rPr>
                <w:lang w:val="en-AU"/>
              </w:rPr>
              <w:t xml:space="preserve"> and recognises revenue when, or as, the entity satisfies its performance obligations in line with the terms of the contract.</w:t>
            </w:r>
          </w:p>
        </w:tc>
      </w:tr>
      <w:tr w:rsidR="00954E7B" w14:paraId="63FA0A07" w14:textId="77777777" w:rsidTr="006D798D">
        <w:tc>
          <w:tcPr>
            <w:tcW w:w="50" w:type="pct"/>
          </w:tcPr>
          <w:p w14:paraId="37A5F33F" w14:textId="215352B2" w:rsidR="00954E7B" w:rsidRPr="00244BF6" w:rsidRDefault="00954E7B" w:rsidP="006D798D">
            <w:pPr>
              <w:pStyle w:val="IASBTableNormal"/>
              <w:rPr>
                <w:lang w:val="en-AU"/>
              </w:rPr>
            </w:pPr>
            <w:r w:rsidRPr="00244BF6">
              <w:rPr>
                <w:lang w:val="en-AU"/>
              </w:rPr>
              <w:t>The entity has identified two performance obligations and related considerations:</w:t>
            </w:r>
          </w:p>
          <w:p w14:paraId="7471855C" w14:textId="325E7C35" w:rsidR="00954E7B" w:rsidRPr="00244BF6" w:rsidRDefault="00954E7B" w:rsidP="006D798D">
            <w:pPr>
              <w:pStyle w:val="IASBNormalL1"/>
              <w:jc w:val="left"/>
              <w:rPr>
                <w:lang w:val="en-AU"/>
              </w:rPr>
            </w:pPr>
            <w:r w:rsidRPr="00244BF6">
              <w:rPr>
                <w:lang w:val="en-AU"/>
              </w:rPr>
              <w:t>(a)</w:t>
            </w:r>
            <w:r w:rsidRPr="00244BF6">
              <w:rPr>
                <w:lang w:val="en-AU"/>
              </w:rPr>
              <w:tab/>
              <w:t>the handset—the customer makes monthly payments for the handset over three years; and</w:t>
            </w:r>
          </w:p>
          <w:p w14:paraId="42161395" w14:textId="77777777" w:rsidR="00954E7B" w:rsidRPr="00244BF6" w:rsidRDefault="00954E7B" w:rsidP="006D798D">
            <w:pPr>
              <w:pStyle w:val="IASBNormalL1"/>
              <w:jc w:val="left"/>
              <w:rPr>
                <w:lang w:val="en-AU"/>
              </w:rPr>
            </w:pPr>
            <w:r w:rsidRPr="00244BF6">
              <w:rPr>
                <w:lang w:val="en-AU"/>
              </w:rPr>
              <w:t>(b)</w:t>
            </w:r>
            <w:r w:rsidRPr="00244BF6">
              <w:rPr>
                <w:lang w:val="en-AU"/>
              </w:rPr>
              <w:tab/>
              <w:t>data—the customer pays a fixed monthly charge to use a specified monthly amount of data over three years.</w:t>
            </w:r>
          </w:p>
        </w:tc>
      </w:tr>
      <w:tr w:rsidR="00954E7B" w14:paraId="0F89B78F" w14:textId="77777777" w:rsidTr="006D798D">
        <w:tc>
          <w:tcPr>
            <w:tcW w:w="50" w:type="pct"/>
          </w:tcPr>
          <w:p w14:paraId="0A5F92A7" w14:textId="77777777" w:rsidR="00954E7B" w:rsidRPr="00244BF6" w:rsidRDefault="00954E7B" w:rsidP="00EC64A3">
            <w:pPr>
              <w:pStyle w:val="IASBTableNormal"/>
              <w:rPr>
                <w:lang w:val="en-AU"/>
              </w:rPr>
            </w:pPr>
            <w:r w:rsidRPr="00244BF6">
              <w:rPr>
                <w:lang w:val="en-AU"/>
              </w:rPr>
              <w:t>For the handset, the entity concludes that it should recognise revenue when it satisfies the performance obligation (when it provides the handset to the customer). For the provision of data, the entity concludes that it should recognise revenue as it satisfies the performance obligation (as the entity provides data services to the customer over the three-year life of the contract).</w:t>
            </w:r>
          </w:p>
        </w:tc>
      </w:tr>
      <w:tr w:rsidR="00954E7B" w14:paraId="3D403173" w14:textId="77777777" w:rsidTr="006D798D">
        <w:tc>
          <w:tcPr>
            <w:tcW w:w="50" w:type="pct"/>
          </w:tcPr>
          <w:p w14:paraId="7134614A" w14:textId="53C70F2C" w:rsidR="00954E7B" w:rsidRPr="00244BF6" w:rsidRDefault="00954E7B" w:rsidP="00EC64A3">
            <w:pPr>
              <w:pStyle w:val="IASBTableNormal"/>
              <w:rPr>
                <w:lang w:val="en-AU"/>
              </w:rPr>
            </w:pPr>
            <w:r w:rsidRPr="00244BF6">
              <w:rPr>
                <w:lang w:val="en-AU"/>
              </w:rPr>
              <w:t>The entity notes that, in accounting for revenue it has made judgements about:</w:t>
            </w:r>
          </w:p>
          <w:p w14:paraId="01855643" w14:textId="77777777" w:rsidR="00954E7B" w:rsidRPr="00244BF6" w:rsidRDefault="00954E7B" w:rsidP="00F8516B">
            <w:pPr>
              <w:pStyle w:val="IASBNormalL1"/>
              <w:jc w:val="left"/>
              <w:rPr>
                <w:lang w:val="en-AU"/>
              </w:rPr>
            </w:pPr>
            <w:r w:rsidRPr="00244BF6">
              <w:rPr>
                <w:lang w:val="en-AU"/>
              </w:rPr>
              <w:t>(a)</w:t>
            </w:r>
            <w:r w:rsidRPr="00244BF6">
              <w:rPr>
                <w:lang w:val="en-AU"/>
              </w:rPr>
              <w:tab/>
              <w:t>the allocation of the transaction price to the performance obligations; and</w:t>
            </w:r>
          </w:p>
          <w:p w14:paraId="734AFDE9" w14:textId="77777777" w:rsidR="00954E7B" w:rsidRPr="00244BF6" w:rsidRDefault="00954E7B" w:rsidP="006D798D">
            <w:pPr>
              <w:pStyle w:val="IASBNormalL1"/>
              <w:jc w:val="left"/>
              <w:rPr>
                <w:lang w:val="en-AU"/>
              </w:rPr>
            </w:pPr>
            <w:r w:rsidRPr="00244BF6">
              <w:rPr>
                <w:lang w:val="en-AU"/>
              </w:rPr>
              <w:t>(b)</w:t>
            </w:r>
            <w:r w:rsidRPr="00244BF6">
              <w:rPr>
                <w:lang w:val="en-AU"/>
              </w:rPr>
              <w:tab/>
              <w:t>the timing of satisfaction of the performance obligations.</w:t>
            </w:r>
          </w:p>
          <w:p w14:paraId="1EFBCEFB" w14:textId="77777777" w:rsidR="00954E7B" w:rsidRPr="00244BF6" w:rsidRDefault="00954E7B" w:rsidP="00EC64A3">
            <w:pPr>
              <w:pStyle w:val="IASBTableNormal"/>
              <w:rPr>
                <w:lang w:val="en-AU"/>
              </w:rPr>
            </w:pPr>
            <w:r w:rsidRPr="00244BF6">
              <w:rPr>
                <w:lang w:val="en-AU"/>
              </w:rPr>
              <w:t>The entity has concluded that revenue generated from these contracts is material to the reporting period.</w:t>
            </w:r>
          </w:p>
        </w:tc>
      </w:tr>
      <w:tr w:rsidR="00954E7B" w14:paraId="4A72C532" w14:textId="77777777" w:rsidTr="006D798D">
        <w:tc>
          <w:tcPr>
            <w:tcW w:w="50" w:type="pct"/>
          </w:tcPr>
          <w:p w14:paraId="76703CD1" w14:textId="77777777" w:rsidR="00954E7B" w:rsidRPr="00244BF6" w:rsidRDefault="00954E7B" w:rsidP="0071657F">
            <w:pPr>
              <w:pStyle w:val="IASBTableNormal"/>
              <w:keepNext/>
              <w:rPr>
                <w:lang w:val="en-AU"/>
              </w:rPr>
            </w:pPr>
            <w:r w:rsidRPr="00244BF6">
              <w:rPr>
                <w:b/>
                <w:lang w:val="en-AU"/>
              </w:rPr>
              <w:t>Application</w:t>
            </w:r>
          </w:p>
          <w:p w14:paraId="2D5B02CF" w14:textId="5F517705" w:rsidR="00954E7B" w:rsidRPr="00244BF6" w:rsidRDefault="00954E7B" w:rsidP="006D798D">
            <w:pPr>
              <w:pStyle w:val="IASBTableNormal"/>
              <w:rPr>
                <w:lang w:val="en-AU"/>
              </w:rPr>
            </w:pPr>
            <w:r w:rsidRPr="00244BF6">
              <w:rPr>
                <w:lang w:val="en-AU"/>
              </w:rPr>
              <w:t>The entity notes that for contracts of this type it applies separate accounting policies for two sources of revenue, namely revenue from:</w:t>
            </w:r>
          </w:p>
          <w:p w14:paraId="17877DFE" w14:textId="77777777" w:rsidR="00954E7B" w:rsidRPr="00244BF6" w:rsidRDefault="00954E7B" w:rsidP="006D798D">
            <w:pPr>
              <w:pStyle w:val="IASBNormalL1"/>
              <w:jc w:val="left"/>
              <w:rPr>
                <w:lang w:val="en-AU"/>
              </w:rPr>
            </w:pPr>
            <w:r w:rsidRPr="00244BF6">
              <w:rPr>
                <w:lang w:val="en-AU"/>
              </w:rPr>
              <w:t>(a)</w:t>
            </w:r>
            <w:r w:rsidRPr="00244BF6">
              <w:rPr>
                <w:lang w:val="en-AU"/>
              </w:rPr>
              <w:tab/>
              <w:t>the sale of handsets; and</w:t>
            </w:r>
          </w:p>
          <w:p w14:paraId="43F934FE" w14:textId="77777777" w:rsidR="00954E7B" w:rsidRPr="00244BF6" w:rsidRDefault="00954E7B" w:rsidP="006D798D">
            <w:pPr>
              <w:pStyle w:val="IASBNormalL1"/>
              <w:jc w:val="left"/>
              <w:rPr>
                <w:lang w:val="en-AU"/>
              </w:rPr>
            </w:pPr>
            <w:r w:rsidRPr="00244BF6">
              <w:rPr>
                <w:lang w:val="en-AU"/>
              </w:rPr>
              <w:t>(b)</w:t>
            </w:r>
            <w:r w:rsidRPr="00244BF6">
              <w:rPr>
                <w:lang w:val="en-AU"/>
              </w:rPr>
              <w:tab/>
              <w:t>the provision of data services.</w:t>
            </w:r>
          </w:p>
        </w:tc>
      </w:tr>
      <w:tr w:rsidR="00954E7B" w14:paraId="220B91A8" w14:textId="77777777" w:rsidTr="006D798D">
        <w:tc>
          <w:tcPr>
            <w:tcW w:w="50" w:type="pct"/>
          </w:tcPr>
          <w:p w14:paraId="3003EF99" w14:textId="77777777" w:rsidR="00954E7B" w:rsidRPr="00244BF6" w:rsidRDefault="00954E7B" w:rsidP="006D798D">
            <w:pPr>
              <w:pStyle w:val="IASBTableNormal"/>
              <w:rPr>
                <w:lang w:val="en-AU"/>
              </w:rPr>
            </w:pPr>
            <w:r w:rsidRPr="00244BF6">
              <w:rPr>
                <w:lang w:val="en-AU"/>
              </w:rPr>
              <w:t>Having identified revenue from contracts of this type as material to the financial statements, the entity assesses whether accounting policy information for revenue from these contracts is, in fact, material.</w:t>
            </w:r>
          </w:p>
        </w:tc>
      </w:tr>
      <w:tr w:rsidR="00954E7B" w14:paraId="6D612442" w14:textId="77777777" w:rsidTr="006D798D">
        <w:tc>
          <w:tcPr>
            <w:tcW w:w="50" w:type="pct"/>
          </w:tcPr>
          <w:p w14:paraId="0E582277" w14:textId="10B4A705" w:rsidR="00954E7B" w:rsidRPr="00244BF6" w:rsidRDefault="00954E7B" w:rsidP="006D798D">
            <w:pPr>
              <w:pStyle w:val="IASBTableNormal"/>
              <w:rPr>
                <w:lang w:val="en-AU"/>
              </w:rPr>
            </w:pPr>
            <w:r w:rsidRPr="00244BF6">
              <w:rPr>
                <w:lang w:val="en-AU"/>
              </w:rPr>
              <w:t>The entity evaluates the effect of disclosing the accounting policy information by considering the presence of qualitative factors. The entity noted that its revenue recognition accounting policies:</w:t>
            </w:r>
          </w:p>
          <w:p w14:paraId="662EF7FC" w14:textId="77777777" w:rsidR="00954E7B" w:rsidRPr="00244BF6" w:rsidRDefault="00954E7B" w:rsidP="006D798D">
            <w:pPr>
              <w:pStyle w:val="IASBNormalL1"/>
              <w:jc w:val="left"/>
              <w:rPr>
                <w:lang w:val="en-AU"/>
              </w:rPr>
            </w:pPr>
            <w:r w:rsidRPr="00244BF6">
              <w:rPr>
                <w:lang w:val="en-AU"/>
              </w:rPr>
              <w:t>(a)</w:t>
            </w:r>
            <w:r w:rsidRPr="00244BF6">
              <w:rPr>
                <w:lang w:val="en-AU"/>
              </w:rPr>
              <w:tab/>
              <w:t>were unchanged during the reporting period;</w:t>
            </w:r>
          </w:p>
          <w:p w14:paraId="32EC66B3" w14:textId="77777777" w:rsidR="00954E7B" w:rsidRPr="00244BF6" w:rsidRDefault="00954E7B" w:rsidP="006D798D">
            <w:pPr>
              <w:pStyle w:val="IASBNormalL1"/>
              <w:jc w:val="left"/>
              <w:rPr>
                <w:lang w:val="en-AU"/>
              </w:rPr>
            </w:pPr>
            <w:r w:rsidRPr="00244BF6">
              <w:rPr>
                <w:lang w:val="en-AU"/>
              </w:rPr>
              <w:t>(b)</w:t>
            </w:r>
            <w:r w:rsidRPr="00244BF6">
              <w:rPr>
                <w:lang w:val="en-AU"/>
              </w:rPr>
              <w:tab/>
              <w:t>were not chosen from accounting policy options available in the Australian Accounting Standards;</w:t>
            </w:r>
          </w:p>
          <w:p w14:paraId="322CA6F0" w14:textId="77777777" w:rsidR="00954E7B" w:rsidRPr="00244BF6" w:rsidRDefault="00954E7B" w:rsidP="006D798D">
            <w:pPr>
              <w:pStyle w:val="IASBNormalL1"/>
              <w:jc w:val="left"/>
              <w:rPr>
                <w:lang w:val="en-AU"/>
              </w:rPr>
            </w:pPr>
            <w:r w:rsidRPr="00244BF6">
              <w:rPr>
                <w:lang w:val="en-AU"/>
              </w:rPr>
              <w:t>(c)</w:t>
            </w:r>
            <w:r w:rsidRPr="00244BF6">
              <w:rPr>
                <w:lang w:val="en-AU"/>
              </w:rPr>
              <w:tab/>
              <w:t>were not developed in accordance with AASB 108</w:t>
            </w:r>
            <w:r w:rsidRPr="00244BF6">
              <w:rPr>
                <w:i/>
                <w:lang w:val="en-AU"/>
              </w:rPr>
              <w:t xml:space="preserve"> Accounting Policies, Changes in Accounting Estimates and Errors</w:t>
            </w:r>
            <w:r w:rsidRPr="00244BF6">
              <w:rPr>
                <w:lang w:val="en-AU"/>
              </w:rPr>
              <w:t xml:space="preserve"> in the absence of an Australian Accounting Standard that specifically applies; and</w:t>
            </w:r>
          </w:p>
          <w:p w14:paraId="760D0AB8" w14:textId="77777777" w:rsidR="00954E7B" w:rsidRPr="00244BF6" w:rsidRDefault="00954E7B" w:rsidP="006D798D">
            <w:pPr>
              <w:pStyle w:val="IASBNormalL1"/>
              <w:jc w:val="left"/>
              <w:rPr>
                <w:lang w:val="en-AU"/>
              </w:rPr>
            </w:pPr>
            <w:r w:rsidRPr="00244BF6">
              <w:rPr>
                <w:lang w:val="en-AU"/>
              </w:rPr>
              <w:t>(d)</w:t>
            </w:r>
            <w:r w:rsidRPr="00244BF6">
              <w:rPr>
                <w:lang w:val="en-AU"/>
              </w:rPr>
              <w:tab/>
              <w:t>are not so complex that primary users will be unable to understand the related revenue transactions without standardised descriptions of the requirements of AASB 15.</w:t>
            </w:r>
          </w:p>
        </w:tc>
      </w:tr>
      <w:tr w:rsidR="00954E7B" w14:paraId="4DAB47BB" w14:textId="77777777" w:rsidTr="0021072E">
        <w:tc>
          <w:tcPr>
            <w:tcW w:w="50" w:type="pct"/>
            <w:tcBorders>
              <w:bottom w:val="nil"/>
            </w:tcBorders>
          </w:tcPr>
          <w:p w14:paraId="42B8FC13" w14:textId="77777777" w:rsidR="00954E7B" w:rsidRPr="00244BF6" w:rsidRDefault="00954E7B" w:rsidP="006D798D">
            <w:pPr>
              <w:pStyle w:val="IASBTableNormal"/>
              <w:rPr>
                <w:lang w:val="en-AU"/>
              </w:rPr>
            </w:pPr>
            <w:r w:rsidRPr="00244BF6">
              <w:rPr>
                <w:lang w:val="en-AU"/>
              </w:rPr>
              <w:t xml:space="preserve">However, some of the entity’s revenue recognition accounting policies relate to an area for which the entity has made significant judgements in applying its accounting policies—for example, in deciding how to allocate the transaction price to the performance obligations, and the timing of revenue recognition. </w:t>
            </w:r>
          </w:p>
        </w:tc>
      </w:tr>
      <w:tr w:rsidR="00954E7B" w14:paraId="5A0BEFAD" w14:textId="77777777" w:rsidTr="0021072E">
        <w:tc>
          <w:tcPr>
            <w:tcW w:w="50" w:type="pct"/>
            <w:tcBorders>
              <w:top w:val="nil"/>
              <w:left w:val="single" w:sz="2" w:space="0" w:color="auto"/>
              <w:bottom w:val="nil"/>
              <w:right w:val="single" w:sz="2" w:space="0" w:color="auto"/>
            </w:tcBorders>
          </w:tcPr>
          <w:p w14:paraId="755EB8EE" w14:textId="085F31C4" w:rsidR="00954E7B" w:rsidRPr="00244BF6" w:rsidRDefault="00954E7B" w:rsidP="006D798D">
            <w:pPr>
              <w:pStyle w:val="IASBTableNormal"/>
              <w:rPr>
                <w:lang w:val="en-AU"/>
              </w:rPr>
            </w:pPr>
            <w:r w:rsidRPr="00244BF6">
              <w:rPr>
                <w:lang w:val="en-AU"/>
              </w:rPr>
              <w:t>The entity considers that, in addition to disclosing the information required by paragraphs 123–126 of AASB 15 about the significant judgements made in applying AASB 15, primary users of its financial statements are likely to need to understand related accounting policy information. Consequently, the entity concludes that such accounting policy information could reasonably be expected to influence the decisions of the primary users of its financial statements. For example, understanding:</w:t>
            </w:r>
          </w:p>
          <w:p w14:paraId="4DE97DA4" w14:textId="77777777" w:rsidR="00954E7B" w:rsidRPr="00244BF6" w:rsidRDefault="00954E7B" w:rsidP="006D798D">
            <w:pPr>
              <w:pStyle w:val="IASBNormalL1"/>
              <w:jc w:val="left"/>
              <w:rPr>
                <w:lang w:val="en-AU"/>
              </w:rPr>
            </w:pPr>
            <w:r w:rsidRPr="00244BF6">
              <w:rPr>
                <w:lang w:val="en-AU"/>
              </w:rPr>
              <w:t>(a)</w:t>
            </w:r>
            <w:r w:rsidRPr="00244BF6">
              <w:rPr>
                <w:lang w:val="en-AU"/>
              </w:rPr>
              <w:tab/>
              <w:t>how the entity allocates the transaction price to its performance obligations is likely to help users understand how each component of the transaction contributes to the entity’s revenue and cash flows; and</w:t>
            </w:r>
          </w:p>
          <w:p w14:paraId="1185EE19" w14:textId="4A382AD0" w:rsidR="00F8516B" w:rsidRPr="00244BF6" w:rsidRDefault="00954E7B" w:rsidP="00F8516B">
            <w:pPr>
              <w:pStyle w:val="IASBNormalL1"/>
              <w:jc w:val="left"/>
              <w:rPr>
                <w:lang w:val="en-AU"/>
              </w:rPr>
            </w:pPr>
            <w:r w:rsidRPr="00244BF6">
              <w:rPr>
                <w:lang w:val="en-AU"/>
              </w:rPr>
              <w:lastRenderedPageBreak/>
              <w:t>(b)</w:t>
            </w:r>
            <w:r w:rsidRPr="00244BF6">
              <w:rPr>
                <w:lang w:val="en-AU"/>
              </w:rPr>
              <w:tab/>
              <w:t xml:space="preserve">that some revenue is recognised at a point in </w:t>
            </w:r>
            <w:proofErr w:type="gramStart"/>
            <w:r w:rsidRPr="00244BF6">
              <w:rPr>
                <w:lang w:val="en-AU"/>
              </w:rPr>
              <w:t>time</w:t>
            </w:r>
            <w:proofErr w:type="gramEnd"/>
            <w:r w:rsidRPr="00244BF6">
              <w:rPr>
                <w:lang w:val="en-AU"/>
              </w:rPr>
              <w:t xml:space="preserve"> and some is recognised over time is likely to help users understand how reported cash flows relate to revenue.</w:t>
            </w:r>
          </w:p>
        </w:tc>
      </w:tr>
      <w:tr w:rsidR="00954E7B" w14:paraId="0DB203C4" w14:textId="77777777" w:rsidTr="0021072E">
        <w:tc>
          <w:tcPr>
            <w:tcW w:w="50" w:type="pct"/>
            <w:tcBorders>
              <w:top w:val="nil"/>
            </w:tcBorders>
          </w:tcPr>
          <w:p w14:paraId="16F69B57" w14:textId="77777777" w:rsidR="00954E7B" w:rsidRPr="00244BF6" w:rsidRDefault="00954E7B" w:rsidP="006D798D">
            <w:pPr>
              <w:pStyle w:val="IASBTableNormal"/>
              <w:rPr>
                <w:lang w:val="en-AU"/>
              </w:rPr>
            </w:pPr>
            <w:r w:rsidRPr="00244BF6">
              <w:rPr>
                <w:lang w:val="en-AU"/>
              </w:rPr>
              <w:lastRenderedPageBreak/>
              <w:t>The entity also notes that the judgements it made are specific to the entity. Consequently, material accounting policy information would include information about how the entity has applied the requirements of AASB 15 to its specific circumstances.</w:t>
            </w:r>
          </w:p>
        </w:tc>
      </w:tr>
      <w:tr w:rsidR="00954E7B" w14:paraId="25AEA080" w14:textId="77777777" w:rsidTr="006D798D">
        <w:tc>
          <w:tcPr>
            <w:tcW w:w="50" w:type="pct"/>
          </w:tcPr>
          <w:p w14:paraId="014741A9" w14:textId="77777777" w:rsidR="00954E7B" w:rsidRPr="00244BF6" w:rsidRDefault="00954E7B" w:rsidP="006D798D">
            <w:pPr>
              <w:pStyle w:val="IASBTableNormal"/>
              <w:rPr>
                <w:lang w:val="en-AU"/>
              </w:rPr>
            </w:pPr>
            <w:r w:rsidRPr="00244BF6">
              <w:rPr>
                <w:lang w:val="en-AU"/>
              </w:rPr>
              <w:t>The entity, therefore, assesses that accounting policy information about revenue recognition is material and should be disclosed. Such disclosure would include information about how the entity allocates the transaction price to its performance obligations and when the entity recognises revenue.</w:t>
            </w:r>
          </w:p>
        </w:tc>
      </w:tr>
    </w:tbl>
    <w:p w14:paraId="16EF4863" w14:textId="2D78A0BD" w:rsidR="00954E7B" w:rsidRPr="00244BF6" w:rsidRDefault="00954E7B" w:rsidP="00C57F15">
      <w:pPr>
        <w:pStyle w:val="IASBNormalnpara"/>
        <w:ind w:left="0" w:firstLine="0"/>
        <w:rPr>
          <w:lang w:val="en-AU"/>
        </w:rPr>
      </w:pPr>
    </w:p>
    <w:tbl>
      <w:tblPr>
        <w:tblW w:w="4526" w:type="pct"/>
        <w:tblInd w:w="860" w:type="dxa"/>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Pr>
      <w:tblGrid>
        <w:gridCol w:w="8211"/>
      </w:tblGrid>
      <w:tr w:rsidR="00954E7B" w14:paraId="7028036E" w14:textId="77777777" w:rsidTr="009D4830">
        <w:tc>
          <w:tcPr>
            <w:tcW w:w="5000" w:type="pct"/>
            <w:tcBorders>
              <w:bottom w:val="single" w:sz="0" w:space="0" w:color="auto"/>
            </w:tcBorders>
          </w:tcPr>
          <w:p w14:paraId="74B8C9F0" w14:textId="77777777" w:rsidR="00954E7B" w:rsidRPr="00AB4ED4" w:rsidRDefault="00954E7B" w:rsidP="0071657F">
            <w:pPr>
              <w:pStyle w:val="IASBTableArial"/>
              <w:keepNext/>
              <w:rPr>
                <w:rFonts w:ascii="Times New Roman" w:hAnsi="Times New Roman"/>
                <w:sz w:val="19"/>
                <w:szCs w:val="19"/>
                <w:lang w:val="en-AU"/>
              </w:rPr>
            </w:pPr>
            <w:r w:rsidRPr="00AB4ED4">
              <w:rPr>
                <w:rFonts w:ascii="Times New Roman" w:hAnsi="Times New Roman"/>
                <w:b/>
                <w:sz w:val="19"/>
                <w:szCs w:val="19"/>
                <w:lang w:val="en-AU"/>
              </w:rPr>
              <w:t>Example T—making materiality judgements on accounting policy information that only duplicates requirements in the Australian Accounting Standards</w:t>
            </w:r>
          </w:p>
        </w:tc>
      </w:tr>
      <w:tr w:rsidR="00954E7B" w14:paraId="1EDE0661" w14:textId="77777777" w:rsidTr="009D4830">
        <w:tc>
          <w:tcPr>
            <w:tcW w:w="5000" w:type="pct"/>
          </w:tcPr>
          <w:p w14:paraId="4A188DEB" w14:textId="77777777" w:rsidR="00954E7B" w:rsidRPr="00244BF6" w:rsidRDefault="00954E7B" w:rsidP="0071657F">
            <w:pPr>
              <w:pStyle w:val="IASBTableNormal"/>
              <w:keepNext/>
              <w:rPr>
                <w:lang w:val="en-AU"/>
              </w:rPr>
            </w:pPr>
            <w:r w:rsidRPr="00244BF6">
              <w:rPr>
                <w:b/>
                <w:lang w:val="en-AU"/>
              </w:rPr>
              <w:t>Background</w:t>
            </w:r>
          </w:p>
          <w:p w14:paraId="2B094D0F" w14:textId="77777777" w:rsidR="00954E7B" w:rsidRPr="00244BF6" w:rsidRDefault="00954E7B" w:rsidP="006D798D">
            <w:pPr>
              <w:pStyle w:val="IASBTableNormal"/>
              <w:rPr>
                <w:lang w:val="en-AU"/>
              </w:rPr>
            </w:pPr>
            <w:r w:rsidRPr="00244BF6">
              <w:rPr>
                <w:lang w:val="en-AU"/>
              </w:rPr>
              <w:t xml:space="preserve">Property, </w:t>
            </w:r>
            <w:proofErr w:type="gramStart"/>
            <w:r w:rsidRPr="00244BF6">
              <w:rPr>
                <w:lang w:val="en-AU"/>
              </w:rPr>
              <w:t>plant</w:t>
            </w:r>
            <w:proofErr w:type="gramEnd"/>
            <w:r w:rsidRPr="00244BF6">
              <w:rPr>
                <w:lang w:val="en-AU"/>
              </w:rPr>
              <w:t xml:space="preserve"> and equipment are material to an entity’s financial statements.</w:t>
            </w:r>
          </w:p>
        </w:tc>
      </w:tr>
      <w:tr w:rsidR="00954E7B" w14:paraId="1F2BC65D" w14:textId="77777777" w:rsidTr="009D4830">
        <w:tc>
          <w:tcPr>
            <w:tcW w:w="5000" w:type="pct"/>
          </w:tcPr>
          <w:p w14:paraId="46A7671E" w14:textId="77777777" w:rsidR="00954E7B" w:rsidRPr="00244BF6" w:rsidRDefault="00954E7B" w:rsidP="006D798D">
            <w:pPr>
              <w:pStyle w:val="IASBTableNormal"/>
              <w:rPr>
                <w:lang w:val="en-AU"/>
              </w:rPr>
            </w:pPr>
            <w:r w:rsidRPr="00244BF6">
              <w:rPr>
                <w:lang w:val="en-AU"/>
              </w:rPr>
              <w:t xml:space="preserve">The entity has no intangible assets or goodwill and has not recognised an impairment loss on its property, </w:t>
            </w:r>
            <w:proofErr w:type="gramStart"/>
            <w:r w:rsidRPr="00244BF6">
              <w:rPr>
                <w:lang w:val="en-AU"/>
              </w:rPr>
              <w:t>plant</w:t>
            </w:r>
            <w:proofErr w:type="gramEnd"/>
            <w:r w:rsidRPr="00244BF6">
              <w:rPr>
                <w:lang w:val="en-AU"/>
              </w:rPr>
              <w:t xml:space="preserve"> or equipment in either the current or comparative reporting periods.</w:t>
            </w:r>
          </w:p>
        </w:tc>
      </w:tr>
      <w:tr w:rsidR="00954E7B" w14:paraId="6D573F70" w14:textId="77777777" w:rsidTr="009D4830">
        <w:tc>
          <w:tcPr>
            <w:tcW w:w="5000" w:type="pct"/>
          </w:tcPr>
          <w:p w14:paraId="6D6596CE" w14:textId="77777777" w:rsidR="00954E7B" w:rsidRPr="00244BF6" w:rsidRDefault="00954E7B" w:rsidP="006D798D">
            <w:pPr>
              <w:pStyle w:val="IASBTableNormal"/>
              <w:rPr>
                <w:lang w:val="en-AU"/>
              </w:rPr>
            </w:pPr>
            <w:r w:rsidRPr="00244BF6">
              <w:rPr>
                <w:lang w:val="en-AU"/>
              </w:rPr>
              <w:t>In previous reporting periods, the entity disclosed accounting policy information relating to impairment of non-current assets which duplicates the requirements of AASB 136</w:t>
            </w:r>
            <w:r w:rsidRPr="00244BF6">
              <w:rPr>
                <w:i/>
                <w:lang w:val="en-AU"/>
              </w:rPr>
              <w:t xml:space="preserve"> Impairment of Assets</w:t>
            </w:r>
            <w:r w:rsidRPr="00244BF6">
              <w:rPr>
                <w:lang w:val="en-AU"/>
              </w:rPr>
              <w:t xml:space="preserve"> and provides no entity-specific information. The entity disclosed that:</w:t>
            </w:r>
          </w:p>
        </w:tc>
      </w:tr>
      <w:tr w:rsidR="00954E7B" w14:paraId="5E075781" w14:textId="77777777" w:rsidTr="009D4830">
        <w:tc>
          <w:tcPr>
            <w:tcW w:w="5000" w:type="pct"/>
          </w:tcPr>
          <w:p w14:paraId="24ED98FE" w14:textId="2208CB36" w:rsidR="00954E7B" w:rsidRPr="00244BF6" w:rsidRDefault="00954E7B" w:rsidP="006D798D">
            <w:pPr>
              <w:pStyle w:val="IASBNormalL1"/>
              <w:jc w:val="left"/>
              <w:rPr>
                <w:lang w:val="en-AU"/>
              </w:rPr>
            </w:pPr>
            <w:r w:rsidRPr="00244BF6">
              <w:rPr>
                <w:lang w:val="en-AU"/>
              </w:rPr>
              <w:tab/>
              <w:t>The carrying amounts of the group’s intangible assets and its property, plant and equipment are reviewed at each reporting date to determine whether there is any indication of impairment. If any such indication exists, the asset’s recoverable amount is estimated. For goodwill and intangibles with an indefinite useful life, the recoverable amount is estimated at least annually.</w:t>
            </w:r>
          </w:p>
          <w:p w14:paraId="4A12FC93" w14:textId="77777777" w:rsidR="00954E7B" w:rsidRPr="00244BF6" w:rsidRDefault="00954E7B" w:rsidP="006D798D">
            <w:pPr>
              <w:pStyle w:val="IASBNormalL1"/>
              <w:jc w:val="left"/>
              <w:rPr>
                <w:lang w:val="en-AU"/>
              </w:rPr>
            </w:pPr>
            <w:r w:rsidRPr="00244BF6">
              <w:rPr>
                <w:lang w:val="en-AU"/>
              </w:rPr>
              <w:t xml:space="preserve"> </w:t>
            </w:r>
            <w:r w:rsidRPr="00244BF6">
              <w:rPr>
                <w:lang w:val="en-AU"/>
              </w:rPr>
              <w:tab/>
              <w:t>An impairment loss is recognised in the statement of profit or loss whenever the carrying amount of an asset or its cash-generating unit exceeds its recoverable amount.</w:t>
            </w:r>
          </w:p>
          <w:p w14:paraId="55706500" w14:textId="77777777" w:rsidR="00954E7B" w:rsidRPr="00244BF6" w:rsidRDefault="00954E7B" w:rsidP="006D798D">
            <w:pPr>
              <w:pStyle w:val="IASBNormalL1"/>
              <w:jc w:val="left"/>
              <w:rPr>
                <w:lang w:val="en-AU"/>
              </w:rPr>
            </w:pPr>
            <w:r w:rsidRPr="00244BF6">
              <w:rPr>
                <w:lang w:val="en-AU"/>
              </w:rPr>
              <w:t xml:space="preserve"> </w:t>
            </w:r>
            <w:r w:rsidRPr="00244BF6">
              <w:rPr>
                <w:lang w:val="en-AU"/>
              </w:rPr>
              <w:tab/>
              <w:t>The recoverable amount of assets is the greater of their fair value less costs to sell and their value in use. In measuring value in use, estimated future cash flows are discounted to present value using a pre-tax discount rate that reflects current market assessments of the time value of money and the risks specific to the asset. For an asset that does not generate largely independent cash inflows, the recoverable amount is determined for the cash-generating unit to which the asset belongs.</w:t>
            </w:r>
          </w:p>
          <w:p w14:paraId="53DF836C" w14:textId="77777777" w:rsidR="00954E7B" w:rsidRPr="00244BF6" w:rsidRDefault="00954E7B" w:rsidP="006D798D">
            <w:pPr>
              <w:pStyle w:val="IASBNormalL1"/>
              <w:jc w:val="left"/>
              <w:rPr>
                <w:lang w:val="en-AU"/>
              </w:rPr>
            </w:pPr>
            <w:r w:rsidRPr="00244BF6">
              <w:rPr>
                <w:lang w:val="en-AU"/>
              </w:rPr>
              <w:t xml:space="preserve"> </w:t>
            </w:r>
            <w:r w:rsidRPr="00244BF6">
              <w:rPr>
                <w:lang w:val="en-AU"/>
              </w:rPr>
              <w:tab/>
              <w:t>Impairment losses recognised in respect of cash-generating units are allocated first to reduce the carrying amount of any goodwill allocated to that cash-generating unit and then to reduce the carrying amount of the other assets in the unit on a pro rata basis.</w:t>
            </w:r>
          </w:p>
          <w:p w14:paraId="40C19895" w14:textId="77777777" w:rsidR="00954E7B" w:rsidRPr="00244BF6" w:rsidRDefault="00954E7B" w:rsidP="006D798D">
            <w:pPr>
              <w:pStyle w:val="IASBNormalL1"/>
              <w:jc w:val="left"/>
              <w:rPr>
                <w:lang w:val="en-AU"/>
              </w:rPr>
            </w:pPr>
            <w:r w:rsidRPr="00244BF6">
              <w:rPr>
                <w:lang w:val="en-AU"/>
              </w:rPr>
              <w:t xml:space="preserve"> </w:t>
            </w:r>
            <w:r w:rsidRPr="00244BF6">
              <w:rPr>
                <w:lang w:val="en-AU"/>
              </w:rPr>
              <w:tab/>
              <w:t>An impairment loss in respect of goodwill is not subsequently reversed. For other assets, an impairment loss is reversed if there has been a change in the estimates used to determine the recoverable amount, but only to the extent that the new carrying amount does not exceed the carrying amount that would have been determined, net of depreciation and amortisation, if no impairment loss had been recognised.</w:t>
            </w:r>
          </w:p>
        </w:tc>
      </w:tr>
      <w:tr w:rsidR="00954E7B" w14:paraId="22DB8250" w14:textId="77777777" w:rsidTr="009D4830">
        <w:tc>
          <w:tcPr>
            <w:tcW w:w="5000" w:type="pct"/>
          </w:tcPr>
          <w:p w14:paraId="5AB4E5B9" w14:textId="77777777" w:rsidR="00954E7B" w:rsidRPr="00244BF6" w:rsidRDefault="00954E7B" w:rsidP="0071657F">
            <w:pPr>
              <w:pStyle w:val="IASBTableNormal"/>
              <w:keepNext/>
              <w:rPr>
                <w:lang w:val="en-AU"/>
              </w:rPr>
            </w:pPr>
            <w:r w:rsidRPr="00244BF6">
              <w:rPr>
                <w:b/>
                <w:lang w:val="en-AU"/>
              </w:rPr>
              <w:t>Application</w:t>
            </w:r>
          </w:p>
          <w:p w14:paraId="68DDDFB1" w14:textId="77777777" w:rsidR="00954E7B" w:rsidRPr="00244BF6" w:rsidRDefault="00954E7B" w:rsidP="006D798D">
            <w:pPr>
              <w:pStyle w:val="IASBTableNormal"/>
              <w:rPr>
                <w:lang w:val="en-AU"/>
              </w:rPr>
            </w:pPr>
            <w:r w:rsidRPr="00244BF6">
              <w:rPr>
                <w:lang w:val="en-AU"/>
              </w:rPr>
              <w:t>Having identified assets subject to impairment testing as being material to the financial statements, the entity assesses whether the accounting policy information for impairment is, in fact, material.</w:t>
            </w:r>
          </w:p>
        </w:tc>
      </w:tr>
      <w:tr w:rsidR="00954E7B" w14:paraId="0A8F0AA9" w14:textId="77777777" w:rsidTr="009D4830">
        <w:tc>
          <w:tcPr>
            <w:tcW w:w="5000" w:type="pct"/>
            <w:tcBorders>
              <w:bottom w:val="nil"/>
            </w:tcBorders>
          </w:tcPr>
          <w:p w14:paraId="5A22F7F3" w14:textId="77777777" w:rsidR="00954E7B" w:rsidRPr="00244BF6" w:rsidRDefault="00954E7B" w:rsidP="006D798D">
            <w:pPr>
              <w:pStyle w:val="IASBTableNormal"/>
              <w:rPr>
                <w:lang w:val="en-AU"/>
              </w:rPr>
            </w:pPr>
            <w:r w:rsidRPr="00244BF6">
              <w:rPr>
                <w:lang w:val="en-AU"/>
              </w:rPr>
              <w:t>As part of its assessment, the entity considers that an impairment or a reversal of an impairment had not occurred in the current or comparative reporting periods. Consequently, accounting policy information about how the entity recognises and allocates impairment losses is unlikely to be material to its primary users. Similarly, because the entity has no intangible assets or goodwill, information about its accounting policy for impairments of intangible assets and goodwill is unlikely to provide its primary users with material information.</w:t>
            </w:r>
          </w:p>
        </w:tc>
      </w:tr>
      <w:tr w:rsidR="00954E7B" w14:paraId="7631B496" w14:textId="77777777" w:rsidTr="009D4830">
        <w:tc>
          <w:tcPr>
            <w:tcW w:w="5000" w:type="pct"/>
            <w:tcBorders>
              <w:top w:val="nil"/>
              <w:left w:val="single" w:sz="2" w:space="0" w:color="auto"/>
              <w:bottom w:val="nil"/>
              <w:right w:val="single" w:sz="2" w:space="0" w:color="auto"/>
            </w:tcBorders>
          </w:tcPr>
          <w:p w14:paraId="2C989FA8" w14:textId="77777777" w:rsidR="00954E7B" w:rsidRPr="00244BF6" w:rsidRDefault="00954E7B" w:rsidP="006D798D">
            <w:pPr>
              <w:pStyle w:val="IASBTableNormal"/>
              <w:rPr>
                <w:lang w:val="en-AU"/>
              </w:rPr>
            </w:pPr>
            <w:r w:rsidRPr="00244BF6">
              <w:rPr>
                <w:lang w:val="en-AU"/>
              </w:rPr>
              <w:t>However, the entity’s impairment accounting policy relates to an area for which the entity is required to make significant judgements or assumptions, as described in paragraphs 122 and 125 of AASB 101. Given the entity’s specific circumstances, it concludes that information about its significant judgements and assumptions related to its impairment assessments could reasonably be expected to influence the decisions of the primary users of the entity’s financial statements. The entity notes that its disclosures about significant judgements and assumptions already include information about the significant judgements and assumptions used in its impairment assessments.</w:t>
            </w:r>
          </w:p>
        </w:tc>
      </w:tr>
      <w:tr w:rsidR="00954E7B" w14:paraId="0739372B" w14:textId="77777777" w:rsidTr="009D4830">
        <w:tc>
          <w:tcPr>
            <w:tcW w:w="5000" w:type="pct"/>
            <w:tcBorders>
              <w:top w:val="nil"/>
            </w:tcBorders>
          </w:tcPr>
          <w:p w14:paraId="6BE9E669" w14:textId="77777777" w:rsidR="00954E7B" w:rsidRPr="00244BF6" w:rsidRDefault="00954E7B" w:rsidP="006D798D">
            <w:pPr>
              <w:pStyle w:val="IASBTableNormal"/>
              <w:rPr>
                <w:lang w:val="en-AU"/>
              </w:rPr>
            </w:pPr>
            <w:r w:rsidRPr="00244BF6">
              <w:rPr>
                <w:lang w:val="en-AU"/>
              </w:rPr>
              <w:t>The entity decides that the primary users of its financial statements would be unlikely to need to understand the recognition and measurement requirements of AASB 136 to understand related information in the financial statements.</w:t>
            </w:r>
          </w:p>
        </w:tc>
      </w:tr>
      <w:tr w:rsidR="00954E7B" w14:paraId="3CB39D9D" w14:textId="77777777" w:rsidTr="009D4830">
        <w:tc>
          <w:tcPr>
            <w:tcW w:w="5000" w:type="pct"/>
          </w:tcPr>
          <w:p w14:paraId="39062B30" w14:textId="77777777" w:rsidR="00954E7B" w:rsidRPr="00244BF6" w:rsidRDefault="00954E7B" w:rsidP="006D798D">
            <w:pPr>
              <w:pStyle w:val="IASBTableNormal"/>
              <w:rPr>
                <w:lang w:val="en-AU"/>
              </w:rPr>
            </w:pPr>
            <w:r w:rsidRPr="00244BF6">
              <w:rPr>
                <w:lang w:val="en-AU"/>
              </w:rPr>
              <w:t xml:space="preserve">Consequently, the entity concludes that disclosing a summary of the requirements in AASB 136 in a separate accounting policy for impairment would not provide information that could reasonably be expected to influence decisions made by the primary users of its financial statements. Instead, the entity discloses material accounting policy information related to the significant judgements and assumptions the entity has applied in its impairment assessments elsewhere in the financial statements. </w:t>
            </w:r>
          </w:p>
        </w:tc>
      </w:tr>
      <w:tr w:rsidR="00954E7B" w14:paraId="4518C219" w14:textId="77777777" w:rsidTr="009D4830">
        <w:tc>
          <w:tcPr>
            <w:tcW w:w="5000" w:type="pct"/>
          </w:tcPr>
          <w:p w14:paraId="51B26D52" w14:textId="77777777" w:rsidR="00954E7B" w:rsidRPr="00244BF6" w:rsidRDefault="00954E7B" w:rsidP="006D798D">
            <w:pPr>
              <w:pStyle w:val="IASBTableNormal"/>
              <w:rPr>
                <w:lang w:val="en-AU"/>
              </w:rPr>
            </w:pPr>
            <w:r w:rsidRPr="00244BF6">
              <w:rPr>
                <w:lang w:val="en-AU"/>
              </w:rPr>
              <w:t>Although the entity assesses some accounting policy information for impairments of assets as immaterial, the entity still assesses whether other disclosure requirements of AASB 136 provide material information that should be disclosed.</w:t>
            </w:r>
          </w:p>
        </w:tc>
      </w:tr>
    </w:tbl>
    <w:p w14:paraId="243A7C2B" w14:textId="7B575CE2" w:rsidR="009D4830" w:rsidRPr="00244BF6" w:rsidRDefault="009D4830" w:rsidP="00A42B4F">
      <w:pPr>
        <w:pStyle w:val="IASBNormalnpara"/>
        <w:rPr>
          <w:lang w:val="en-AU"/>
        </w:rPr>
      </w:pPr>
      <w:r w:rsidRPr="00244BF6">
        <w:rPr>
          <w:lang w:val="en-AU"/>
        </w:rPr>
        <w:t>...</w:t>
      </w:r>
    </w:p>
    <w:p w14:paraId="5DE87F13" w14:textId="185BE5D9" w:rsidR="00954E7B" w:rsidRPr="00244BF6" w:rsidRDefault="00954E7B" w:rsidP="00C57F15">
      <w:pPr>
        <w:pStyle w:val="IASBSectionTitle2NonInd"/>
        <w:spacing w:before="400"/>
        <w:rPr>
          <w:lang w:val="en-AU"/>
        </w:rPr>
      </w:pPr>
      <w:r w:rsidRPr="00244BF6">
        <w:rPr>
          <w:lang w:val="en-AU"/>
        </w:rPr>
        <w:t>Appendix</w:t>
      </w:r>
      <w:r w:rsidR="00934794" w:rsidRPr="00244BF6">
        <w:rPr>
          <w:lang w:val="en-AU"/>
        </w:rPr>
        <w:t xml:space="preserve"> B</w:t>
      </w:r>
      <w:r w:rsidRPr="00244BF6">
        <w:rPr>
          <w:lang w:val="en-AU"/>
        </w:rPr>
        <w:br/>
        <w:t xml:space="preserve">References to the </w:t>
      </w:r>
      <w:r w:rsidRPr="00244BF6">
        <w:rPr>
          <w:i/>
          <w:lang w:val="en-AU"/>
        </w:rPr>
        <w:t>Conceptual Framework for Financial Reporting</w:t>
      </w:r>
      <w:r w:rsidRPr="00244BF6">
        <w:rPr>
          <w:lang w:val="en-AU"/>
        </w:rPr>
        <w:t xml:space="preserve"> and Australian Accounting Standards</w:t>
      </w:r>
    </w:p>
    <w:p w14:paraId="3B5FE63A" w14:textId="0D95B3A6" w:rsidR="00954E7B" w:rsidRPr="00244BF6" w:rsidRDefault="00954E7B" w:rsidP="00954E7B">
      <w:pPr>
        <w:pStyle w:val="IASBNormalnpara"/>
        <w:rPr>
          <w:lang w:val="en-AU"/>
        </w:rPr>
      </w:pPr>
      <w:r w:rsidRPr="00244BF6">
        <w:rPr>
          <w:lang w:val="en-AU"/>
        </w:rPr>
        <w:t>...</w:t>
      </w:r>
    </w:p>
    <w:p w14:paraId="69100F3E" w14:textId="77777777" w:rsidR="00954E7B" w:rsidRPr="00244BF6" w:rsidRDefault="00954E7B" w:rsidP="00954E7B">
      <w:pPr>
        <w:pStyle w:val="IASBSectionTitle1NonInd"/>
        <w:rPr>
          <w:lang w:val="en-AU"/>
        </w:rPr>
      </w:pPr>
      <w:r w:rsidRPr="00244BF6">
        <w:rPr>
          <w:lang w:val="en-AU"/>
        </w:rPr>
        <w:t xml:space="preserve">Extracts from AASB 101 </w:t>
      </w:r>
      <w:r w:rsidRPr="00244BF6">
        <w:rPr>
          <w:i/>
          <w:lang w:val="en-AU"/>
        </w:rPr>
        <w:t>Presentation of Financial Statements</w:t>
      </w:r>
    </w:p>
    <w:p w14:paraId="2825A500" w14:textId="77777777" w:rsidR="00954E7B" w:rsidRPr="00244BF6" w:rsidRDefault="00954E7B" w:rsidP="00954E7B">
      <w:pPr>
        <w:pStyle w:val="IASBNormal"/>
        <w:rPr>
          <w:lang w:val="en-AU"/>
        </w:rPr>
      </w:pPr>
      <w:r w:rsidRPr="00244BF6">
        <w:rPr>
          <w:lang w:val="en-AU"/>
        </w:rPr>
        <w:t>…</w:t>
      </w:r>
    </w:p>
    <w:p w14:paraId="4737C4EB" w14:textId="58E2C1C6" w:rsidR="00954E7B" w:rsidRPr="00244BF6" w:rsidRDefault="00954E7B" w:rsidP="00954E7B">
      <w:pPr>
        <w:pStyle w:val="IASBNormal"/>
        <w:rPr>
          <w:lang w:val="en-AU"/>
        </w:rPr>
      </w:pPr>
      <w:r w:rsidRPr="00244BF6">
        <w:rPr>
          <w:b/>
          <w:lang w:val="en-AU"/>
        </w:rPr>
        <w:t>Paragraph 117</w:t>
      </w:r>
    </w:p>
    <w:p w14:paraId="418A55FF" w14:textId="77777777" w:rsidR="00954E7B" w:rsidRPr="00244BF6" w:rsidRDefault="00954E7B" w:rsidP="00954E7B">
      <w:pPr>
        <w:pStyle w:val="IASBNormal"/>
        <w:rPr>
          <w:lang w:val="en-AU"/>
        </w:rPr>
      </w:pPr>
      <w:r w:rsidRPr="00244BF6">
        <w:rPr>
          <w:lang w:val="en-AU"/>
        </w:rPr>
        <w:t xml:space="preserve">Referred to in paragraphs 88A and 88C of the Practice </w:t>
      </w:r>
      <w:proofErr w:type="gramStart"/>
      <w:r w:rsidRPr="00244BF6">
        <w:rPr>
          <w:lang w:val="en-AU"/>
        </w:rPr>
        <w:t>Statement</w:t>
      </w:r>
      <w:proofErr w:type="gramEnd"/>
    </w:p>
    <w:p w14:paraId="7311DD51" w14:textId="02BF281B" w:rsidR="00954E7B" w:rsidRPr="00244BF6" w:rsidRDefault="00954E7B" w:rsidP="00954E7B">
      <w:pPr>
        <w:pStyle w:val="IASBNormal"/>
        <w:rPr>
          <w:lang w:val="en-AU"/>
        </w:rPr>
      </w:pPr>
      <w:r w:rsidRPr="00244BF6">
        <w:rPr>
          <w:b/>
          <w:lang w:val="en-AU"/>
        </w:rPr>
        <w:t xml:space="preserve">An entity shall disclose material accounting policy information (see paragraph 7). Accounting policy information is material if, when considered together with other information included in an entity’s financial statements, it can reasonably be expected to influence decisions that the primary users of </w:t>
      </w:r>
      <w:proofErr w:type="gramStart"/>
      <w:r w:rsidRPr="00244BF6">
        <w:rPr>
          <w:b/>
          <w:lang w:val="en-AU"/>
        </w:rPr>
        <w:t>general purpose</w:t>
      </w:r>
      <w:proofErr w:type="gramEnd"/>
      <w:r w:rsidRPr="00244BF6">
        <w:rPr>
          <w:b/>
          <w:lang w:val="en-AU"/>
        </w:rPr>
        <w:t xml:space="preserve"> financial statements make on the basis of those financial statements.</w:t>
      </w:r>
    </w:p>
    <w:p w14:paraId="0F6469C9" w14:textId="0E30A65E" w:rsidR="00954E7B" w:rsidRPr="00244BF6" w:rsidRDefault="00954E7B" w:rsidP="00954E7B">
      <w:pPr>
        <w:pStyle w:val="IASBNormal"/>
        <w:rPr>
          <w:lang w:val="en-AU"/>
        </w:rPr>
      </w:pPr>
      <w:r w:rsidRPr="00244BF6">
        <w:rPr>
          <w:b/>
          <w:lang w:val="en-AU"/>
        </w:rPr>
        <w:t>Paragraph 117A</w:t>
      </w:r>
    </w:p>
    <w:p w14:paraId="1A3AF327" w14:textId="77777777" w:rsidR="00954E7B" w:rsidRPr="00244BF6" w:rsidRDefault="00954E7B" w:rsidP="00954E7B">
      <w:pPr>
        <w:pStyle w:val="IASBNormal"/>
        <w:rPr>
          <w:lang w:val="en-AU"/>
        </w:rPr>
      </w:pPr>
      <w:r w:rsidRPr="00244BF6">
        <w:rPr>
          <w:lang w:val="en-AU"/>
        </w:rPr>
        <w:t xml:space="preserve">Referred to in paragraph 88C of the Practice </w:t>
      </w:r>
      <w:proofErr w:type="gramStart"/>
      <w:r w:rsidRPr="00244BF6">
        <w:rPr>
          <w:lang w:val="en-AU"/>
        </w:rPr>
        <w:t>Statement</w:t>
      </w:r>
      <w:proofErr w:type="gramEnd"/>
    </w:p>
    <w:p w14:paraId="628EDC4F" w14:textId="77777777" w:rsidR="00954E7B" w:rsidRPr="00244BF6" w:rsidRDefault="00954E7B" w:rsidP="00954E7B">
      <w:pPr>
        <w:pStyle w:val="IASBNormal"/>
        <w:rPr>
          <w:lang w:val="en-AU"/>
        </w:rPr>
      </w:pPr>
      <w:r w:rsidRPr="00244BF6">
        <w:rPr>
          <w:lang w:val="en-AU"/>
        </w:rPr>
        <w:t xml:space="preserve">Accounting policy information that relates to immaterial transactions, other events or conditions is immaterial and need not be disclosed. Accounting policy information may nevertheless be material because of the nature of the related transactions, other </w:t>
      </w:r>
      <w:proofErr w:type="gramStart"/>
      <w:r w:rsidRPr="00244BF6">
        <w:rPr>
          <w:lang w:val="en-AU"/>
        </w:rPr>
        <w:t>events</w:t>
      </w:r>
      <w:proofErr w:type="gramEnd"/>
      <w:r w:rsidRPr="00244BF6">
        <w:rPr>
          <w:lang w:val="en-AU"/>
        </w:rPr>
        <w:t xml:space="preserve"> or conditions, even if the amounts are immaterial. However, not all accounting policy information relating to material transactions, other events or conditions is itself material.</w:t>
      </w:r>
    </w:p>
    <w:p w14:paraId="1DA6A4EF" w14:textId="7B6B2B07" w:rsidR="00954E7B" w:rsidRPr="00244BF6" w:rsidRDefault="00954E7B" w:rsidP="00954E7B">
      <w:pPr>
        <w:pStyle w:val="IASBNormal"/>
        <w:rPr>
          <w:lang w:val="en-AU"/>
        </w:rPr>
      </w:pPr>
      <w:r w:rsidRPr="00244BF6">
        <w:rPr>
          <w:b/>
          <w:lang w:val="en-AU"/>
        </w:rPr>
        <w:t>Paragraph 117B</w:t>
      </w:r>
    </w:p>
    <w:p w14:paraId="1D121D53" w14:textId="77777777" w:rsidR="00954E7B" w:rsidRPr="00244BF6" w:rsidRDefault="00954E7B" w:rsidP="00954E7B">
      <w:pPr>
        <w:pStyle w:val="IASBNormal"/>
        <w:rPr>
          <w:lang w:val="en-AU"/>
        </w:rPr>
      </w:pPr>
      <w:r w:rsidRPr="00244BF6">
        <w:rPr>
          <w:lang w:val="en-AU"/>
        </w:rPr>
        <w:t xml:space="preserve">Referred to in paragraphs 88C and 88D of the Practice </w:t>
      </w:r>
      <w:proofErr w:type="gramStart"/>
      <w:r w:rsidRPr="00244BF6">
        <w:rPr>
          <w:lang w:val="en-AU"/>
        </w:rPr>
        <w:t>Statement</w:t>
      </w:r>
      <w:proofErr w:type="gramEnd"/>
    </w:p>
    <w:p w14:paraId="5AFBAAFA" w14:textId="57520A03" w:rsidR="00954E7B" w:rsidRPr="00244BF6" w:rsidRDefault="00954E7B" w:rsidP="00954E7B">
      <w:pPr>
        <w:pStyle w:val="IASBNormal"/>
        <w:rPr>
          <w:lang w:val="en-AU"/>
        </w:rPr>
      </w:pPr>
      <w:r w:rsidRPr="00244BF6">
        <w:rPr>
          <w:lang w:val="en-AU"/>
        </w:rPr>
        <w:t xml:space="preserve">Accounting policy information is expected to be material if users of an entity’s financial statements would need it to understand other material information in the financial statements. For example, an entity is likely to consider accounting policy information material to its financial statements if that information relates to material transactions, other </w:t>
      </w:r>
      <w:proofErr w:type="gramStart"/>
      <w:r w:rsidRPr="00244BF6">
        <w:rPr>
          <w:lang w:val="en-AU"/>
        </w:rPr>
        <w:t>events</w:t>
      </w:r>
      <w:proofErr w:type="gramEnd"/>
      <w:r w:rsidRPr="00244BF6">
        <w:rPr>
          <w:lang w:val="en-AU"/>
        </w:rPr>
        <w:t xml:space="preserve"> or conditions and:</w:t>
      </w:r>
    </w:p>
    <w:p w14:paraId="03DB3102" w14:textId="77777777" w:rsidR="00954E7B" w:rsidRPr="00244BF6" w:rsidRDefault="00954E7B" w:rsidP="00954E7B">
      <w:pPr>
        <w:pStyle w:val="IASBNormalL1"/>
        <w:rPr>
          <w:lang w:val="en-AU"/>
        </w:rPr>
      </w:pPr>
      <w:r w:rsidRPr="00244BF6">
        <w:rPr>
          <w:lang w:val="en-AU"/>
        </w:rPr>
        <w:t>(a)</w:t>
      </w:r>
      <w:r w:rsidRPr="00244BF6">
        <w:rPr>
          <w:lang w:val="en-AU"/>
        </w:rPr>
        <w:tab/>
        <w:t>the entity changed its accounting policy during the reporting period and this change resulted in a material change to the information in the financial statements;</w:t>
      </w:r>
    </w:p>
    <w:p w14:paraId="0AF3DAB1" w14:textId="77777777" w:rsidR="00954E7B" w:rsidRPr="00244BF6" w:rsidRDefault="00954E7B" w:rsidP="00954E7B">
      <w:pPr>
        <w:pStyle w:val="IASBNormalL1"/>
        <w:rPr>
          <w:lang w:val="en-AU"/>
        </w:rPr>
      </w:pPr>
      <w:r w:rsidRPr="00244BF6">
        <w:rPr>
          <w:lang w:val="en-AU"/>
        </w:rPr>
        <w:t>(b)</w:t>
      </w:r>
      <w:r w:rsidRPr="00244BF6">
        <w:rPr>
          <w:lang w:val="en-AU"/>
        </w:rPr>
        <w:tab/>
        <w:t>the entity chose the accounting policy from one or more options permitted by Australian Accounting Standards—such a situation could arise if the entity chose to measure investment property at historical cost rather than fair value;</w:t>
      </w:r>
    </w:p>
    <w:p w14:paraId="48197E49" w14:textId="77777777" w:rsidR="00954E7B" w:rsidRPr="00244BF6" w:rsidRDefault="00954E7B" w:rsidP="00954E7B">
      <w:pPr>
        <w:pStyle w:val="IASBNormalL1"/>
        <w:rPr>
          <w:lang w:val="en-AU"/>
        </w:rPr>
      </w:pPr>
      <w:r w:rsidRPr="00244BF6">
        <w:rPr>
          <w:lang w:val="en-AU"/>
        </w:rPr>
        <w:t>(c)</w:t>
      </w:r>
      <w:r w:rsidRPr="00244BF6">
        <w:rPr>
          <w:lang w:val="en-AU"/>
        </w:rPr>
        <w:tab/>
        <w:t>the accounting policy was developed in accordance with AASB 108 in the absence of an Australian Accounting Standard that specifically applies;</w:t>
      </w:r>
    </w:p>
    <w:p w14:paraId="150E8306" w14:textId="77777777" w:rsidR="00954E7B" w:rsidRPr="00244BF6" w:rsidRDefault="00954E7B" w:rsidP="00954E7B">
      <w:pPr>
        <w:pStyle w:val="IASBNormalL1"/>
        <w:rPr>
          <w:lang w:val="en-AU"/>
        </w:rPr>
      </w:pPr>
      <w:r w:rsidRPr="00244BF6">
        <w:rPr>
          <w:lang w:val="en-AU"/>
        </w:rPr>
        <w:t>(d)</w:t>
      </w:r>
      <w:r w:rsidRPr="00244BF6">
        <w:rPr>
          <w:lang w:val="en-AU"/>
        </w:rPr>
        <w:tab/>
        <w:t>the accounting policy relates to an area for which an entity is required to make significant judgements or assumptions in applying an accounting policy, and the entity discloses those judgements or assumptions in accordance with paragraphs 122 and 125; or</w:t>
      </w:r>
    </w:p>
    <w:p w14:paraId="68C5421D" w14:textId="77777777" w:rsidR="00954E7B" w:rsidRPr="00244BF6" w:rsidRDefault="00954E7B" w:rsidP="00954E7B">
      <w:pPr>
        <w:pStyle w:val="IASBNormalL1"/>
        <w:rPr>
          <w:lang w:val="en-AU"/>
        </w:rPr>
      </w:pPr>
      <w:r w:rsidRPr="00244BF6">
        <w:rPr>
          <w:lang w:val="en-AU"/>
        </w:rPr>
        <w:t>(e)</w:t>
      </w:r>
      <w:r w:rsidRPr="00244BF6">
        <w:rPr>
          <w:lang w:val="en-AU"/>
        </w:rPr>
        <w:tab/>
        <w:t xml:space="preserve">the accounting required for them is complex and users of the entity’s financial statements would otherwise not understand those material transactions, other </w:t>
      </w:r>
      <w:proofErr w:type="gramStart"/>
      <w:r w:rsidRPr="00244BF6">
        <w:rPr>
          <w:lang w:val="en-AU"/>
        </w:rPr>
        <w:t>events</w:t>
      </w:r>
      <w:proofErr w:type="gramEnd"/>
      <w:r w:rsidRPr="00244BF6">
        <w:rPr>
          <w:lang w:val="en-AU"/>
        </w:rPr>
        <w:t xml:space="preserve"> or conditions—such a situation could arise if an entity applies more than one Australian Accounting Standard to a class of material transactions.</w:t>
      </w:r>
    </w:p>
    <w:p w14:paraId="72863091" w14:textId="772DEE8A" w:rsidR="00954E7B" w:rsidRPr="00244BF6" w:rsidRDefault="00954E7B" w:rsidP="00954E7B">
      <w:pPr>
        <w:pStyle w:val="IASBNormal"/>
        <w:rPr>
          <w:lang w:val="en-AU"/>
        </w:rPr>
      </w:pPr>
      <w:r w:rsidRPr="00244BF6">
        <w:rPr>
          <w:b/>
          <w:lang w:val="en-AU"/>
        </w:rPr>
        <w:t>Paragraph 117C</w:t>
      </w:r>
    </w:p>
    <w:p w14:paraId="2102294F" w14:textId="77777777" w:rsidR="00954E7B" w:rsidRPr="00244BF6" w:rsidRDefault="00954E7B" w:rsidP="00954E7B">
      <w:pPr>
        <w:pStyle w:val="IASBNormal"/>
        <w:rPr>
          <w:lang w:val="en-AU"/>
        </w:rPr>
      </w:pPr>
      <w:r w:rsidRPr="00244BF6">
        <w:rPr>
          <w:lang w:val="en-AU"/>
        </w:rPr>
        <w:t xml:space="preserve">Referred to in paragraphs 88C and 88E of the Practice </w:t>
      </w:r>
      <w:proofErr w:type="gramStart"/>
      <w:r w:rsidRPr="00244BF6">
        <w:rPr>
          <w:lang w:val="en-AU"/>
        </w:rPr>
        <w:t>Statement</w:t>
      </w:r>
      <w:proofErr w:type="gramEnd"/>
    </w:p>
    <w:p w14:paraId="6AF76E46" w14:textId="7287473F" w:rsidR="00954E7B" w:rsidRPr="00244BF6" w:rsidRDefault="00954E7B" w:rsidP="00954E7B">
      <w:pPr>
        <w:pStyle w:val="IASBNormal"/>
        <w:rPr>
          <w:lang w:val="en-AU"/>
        </w:rPr>
      </w:pPr>
      <w:r w:rsidRPr="00244BF6">
        <w:rPr>
          <w:lang w:val="en-AU"/>
        </w:rPr>
        <w:t>Accounting policy information that focuses on how an entity has applied the requirements of the Australian Accounting Standards to its own circumstances provides entity-specific information that is more useful to users of financial statements than standardised information, or information that only duplicates or summarises the requirements of the Standards.</w:t>
      </w:r>
    </w:p>
    <w:p w14:paraId="314E6493" w14:textId="33CE97AB" w:rsidR="00954E7B" w:rsidRPr="00244BF6" w:rsidRDefault="00954E7B" w:rsidP="00954E7B">
      <w:pPr>
        <w:pStyle w:val="IASBNormal"/>
        <w:rPr>
          <w:lang w:val="en-AU"/>
        </w:rPr>
      </w:pPr>
      <w:r w:rsidRPr="00244BF6">
        <w:rPr>
          <w:b/>
          <w:lang w:val="en-AU"/>
        </w:rPr>
        <w:t>Paragraph 117D</w:t>
      </w:r>
    </w:p>
    <w:p w14:paraId="277519AB" w14:textId="77777777" w:rsidR="00954E7B" w:rsidRPr="00244BF6" w:rsidRDefault="00954E7B" w:rsidP="00954E7B">
      <w:pPr>
        <w:pStyle w:val="IASBNormal"/>
        <w:rPr>
          <w:lang w:val="en-AU"/>
        </w:rPr>
      </w:pPr>
      <w:r w:rsidRPr="00244BF6">
        <w:rPr>
          <w:lang w:val="en-AU"/>
        </w:rPr>
        <w:t xml:space="preserve">Referred to in paragraphs 88C and 88G of the Practice </w:t>
      </w:r>
      <w:proofErr w:type="gramStart"/>
      <w:r w:rsidRPr="00244BF6">
        <w:rPr>
          <w:lang w:val="en-AU"/>
        </w:rPr>
        <w:t>Statement</w:t>
      </w:r>
      <w:proofErr w:type="gramEnd"/>
    </w:p>
    <w:p w14:paraId="52668CC9" w14:textId="77777777" w:rsidR="00954E7B" w:rsidRPr="00244BF6" w:rsidRDefault="00954E7B" w:rsidP="00954E7B">
      <w:pPr>
        <w:pStyle w:val="IASBNormal"/>
        <w:rPr>
          <w:lang w:val="en-AU"/>
        </w:rPr>
      </w:pPr>
      <w:r w:rsidRPr="00244BF6">
        <w:rPr>
          <w:lang w:val="en-AU"/>
        </w:rPr>
        <w:t>If an entity discloses immaterial accounting policy information, such information shall not obscure material accounting policy information.</w:t>
      </w:r>
    </w:p>
    <w:p w14:paraId="4333E8CA" w14:textId="0A864AE5" w:rsidR="00954E7B" w:rsidRPr="00244BF6" w:rsidRDefault="00954E7B" w:rsidP="00954E7B">
      <w:pPr>
        <w:pStyle w:val="IASBNormal"/>
        <w:rPr>
          <w:lang w:val="en-AU"/>
        </w:rPr>
      </w:pPr>
      <w:r w:rsidRPr="00244BF6">
        <w:rPr>
          <w:b/>
          <w:lang w:val="en-AU"/>
        </w:rPr>
        <w:t>Paragraph 117E</w:t>
      </w:r>
    </w:p>
    <w:p w14:paraId="39766B32" w14:textId="77777777" w:rsidR="00954E7B" w:rsidRPr="00244BF6" w:rsidRDefault="00954E7B" w:rsidP="00954E7B">
      <w:pPr>
        <w:pStyle w:val="IASBNormal"/>
        <w:rPr>
          <w:lang w:val="en-AU"/>
        </w:rPr>
      </w:pPr>
      <w:r w:rsidRPr="00244BF6">
        <w:rPr>
          <w:lang w:val="en-AU"/>
        </w:rPr>
        <w:t xml:space="preserve">Referred to in paragraph 88C of the Practice </w:t>
      </w:r>
      <w:proofErr w:type="gramStart"/>
      <w:r w:rsidRPr="00244BF6">
        <w:rPr>
          <w:lang w:val="en-AU"/>
        </w:rPr>
        <w:t>Statement</w:t>
      </w:r>
      <w:proofErr w:type="gramEnd"/>
    </w:p>
    <w:p w14:paraId="0EFB2087" w14:textId="77777777" w:rsidR="00954E7B" w:rsidRPr="00244BF6" w:rsidRDefault="00954E7B" w:rsidP="00954E7B">
      <w:pPr>
        <w:pStyle w:val="IASBNormal"/>
        <w:rPr>
          <w:lang w:val="en-AU"/>
        </w:rPr>
      </w:pPr>
      <w:r w:rsidRPr="00244BF6">
        <w:rPr>
          <w:lang w:val="en-AU"/>
        </w:rPr>
        <w:t>An entity’s conclusion that accounting policy information is immaterial does not affect the related disclosure requirements set out in other Australian Accounting Standards.</w:t>
      </w:r>
    </w:p>
    <w:p w14:paraId="0E4B80AB" w14:textId="512B7EBA" w:rsidR="00954E7B" w:rsidRPr="00244BF6" w:rsidRDefault="00954E7B">
      <w:pPr>
        <w:pStyle w:val="IASBNormalnpara"/>
        <w:rPr>
          <w:lang w:val="en-AU"/>
        </w:rPr>
      </w:pPr>
      <w:r w:rsidRPr="00244BF6">
        <w:rPr>
          <w:lang w:val="en-AU"/>
        </w:rPr>
        <w:t>...</w:t>
      </w:r>
    </w:p>
    <w:p w14:paraId="5D8C90B0" w14:textId="7E57B128" w:rsidR="00867026" w:rsidRPr="00244BF6" w:rsidRDefault="00867026" w:rsidP="00867026">
      <w:pPr>
        <w:pStyle w:val="IASBSectionTitle2NonInd"/>
        <w:spacing w:before="400"/>
        <w:rPr>
          <w:lang w:val="en-AU"/>
        </w:rPr>
      </w:pPr>
      <w:r w:rsidRPr="00244BF6">
        <w:rPr>
          <w:lang w:val="en-AU"/>
        </w:rPr>
        <w:t xml:space="preserve">Appendix </w:t>
      </w:r>
      <w:proofErr w:type="spellStart"/>
      <w:r w:rsidRPr="00244BF6">
        <w:rPr>
          <w:lang w:val="en-AU"/>
        </w:rPr>
        <w:t>Aus</w:t>
      </w:r>
      <w:r w:rsidR="00CA2786" w:rsidRPr="00244BF6">
        <w:rPr>
          <w:lang w:val="en-AU"/>
        </w:rPr>
        <w:t>CF</w:t>
      </w:r>
      <w:proofErr w:type="spellEnd"/>
      <w:r w:rsidR="00CA2786" w:rsidRPr="00244BF6">
        <w:rPr>
          <w:lang w:val="en-AU"/>
        </w:rPr>
        <w:t xml:space="preserve"> B</w:t>
      </w:r>
      <w:r w:rsidRPr="00244BF6">
        <w:rPr>
          <w:lang w:val="en-AU"/>
        </w:rPr>
        <w:br/>
        <w:t xml:space="preserve">References to the </w:t>
      </w:r>
      <w:r w:rsidR="001C4F86">
        <w:rPr>
          <w:i/>
          <w:lang w:val="en-AU"/>
        </w:rPr>
        <w:t xml:space="preserve">Framework for the Preparation and Presentation of Financial Statements </w:t>
      </w:r>
      <w:r w:rsidR="001C4F86" w:rsidRPr="005E6ECC">
        <w:rPr>
          <w:iCs/>
          <w:lang w:val="en-AU"/>
        </w:rPr>
        <w:t>and</w:t>
      </w:r>
      <w:r w:rsidRPr="00244BF6">
        <w:rPr>
          <w:lang w:val="en-AU"/>
        </w:rPr>
        <w:t xml:space="preserve"> Australian Accounting Standards</w:t>
      </w:r>
    </w:p>
    <w:p w14:paraId="74978534" w14:textId="77777777" w:rsidR="00867026" w:rsidRPr="00244BF6" w:rsidRDefault="00867026" w:rsidP="00867026">
      <w:pPr>
        <w:pStyle w:val="IASBNormalnpara"/>
        <w:rPr>
          <w:lang w:val="en-AU"/>
        </w:rPr>
      </w:pPr>
      <w:r w:rsidRPr="00244BF6">
        <w:rPr>
          <w:lang w:val="en-AU"/>
        </w:rPr>
        <w:t>...</w:t>
      </w:r>
    </w:p>
    <w:p w14:paraId="73DE10DA" w14:textId="77777777" w:rsidR="00867026" w:rsidRPr="00244BF6" w:rsidRDefault="00867026" w:rsidP="00867026">
      <w:pPr>
        <w:pStyle w:val="IASBSectionTitle1NonInd"/>
        <w:rPr>
          <w:lang w:val="en-AU"/>
        </w:rPr>
      </w:pPr>
      <w:r w:rsidRPr="00244BF6">
        <w:rPr>
          <w:lang w:val="en-AU"/>
        </w:rPr>
        <w:t xml:space="preserve">Extracts from AASB 101 </w:t>
      </w:r>
      <w:r w:rsidRPr="00244BF6">
        <w:rPr>
          <w:i/>
          <w:lang w:val="en-AU"/>
        </w:rPr>
        <w:t>Presentation of Financial Statements</w:t>
      </w:r>
    </w:p>
    <w:p w14:paraId="293969DE" w14:textId="77777777" w:rsidR="00867026" w:rsidRPr="00244BF6" w:rsidRDefault="00867026" w:rsidP="00867026">
      <w:pPr>
        <w:pStyle w:val="IASBNormal"/>
        <w:rPr>
          <w:lang w:val="en-AU"/>
        </w:rPr>
      </w:pPr>
      <w:r w:rsidRPr="00244BF6">
        <w:rPr>
          <w:lang w:val="en-AU"/>
        </w:rPr>
        <w:t>…</w:t>
      </w:r>
    </w:p>
    <w:p w14:paraId="1A9F2811" w14:textId="77777777" w:rsidR="00867026" w:rsidRPr="00244BF6" w:rsidRDefault="00867026" w:rsidP="00867026">
      <w:pPr>
        <w:pStyle w:val="IASBNormal"/>
        <w:rPr>
          <w:lang w:val="en-AU"/>
        </w:rPr>
      </w:pPr>
      <w:r w:rsidRPr="00244BF6">
        <w:rPr>
          <w:b/>
          <w:lang w:val="en-AU"/>
        </w:rPr>
        <w:t>Paragraph 117</w:t>
      </w:r>
    </w:p>
    <w:p w14:paraId="66D0D36A" w14:textId="77777777" w:rsidR="00867026" w:rsidRPr="00244BF6" w:rsidRDefault="00867026" w:rsidP="00867026">
      <w:pPr>
        <w:pStyle w:val="IASBNormal"/>
        <w:rPr>
          <w:lang w:val="en-AU"/>
        </w:rPr>
      </w:pPr>
      <w:r w:rsidRPr="00244BF6">
        <w:rPr>
          <w:lang w:val="en-AU"/>
        </w:rPr>
        <w:t xml:space="preserve">Referred to in paragraphs 88A and 88C of the Practice </w:t>
      </w:r>
      <w:proofErr w:type="gramStart"/>
      <w:r w:rsidRPr="00244BF6">
        <w:rPr>
          <w:lang w:val="en-AU"/>
        </w:rPr>
        <w:t>Statement</w:t>
      </w:r>
      <w:proofErr w:type="gramEnd"/>
    </w:p>
    <w:p w14:paraId="744B6F08" w14:textId="77777777" w:rsidR="00867026" w:rsidRPr="00244BF6" w:rsidRDefault="00867026" w:rsidP="00867026">
      <w:pPr>
        <w:pStyle w:val="IASBNormal"/>
        <w:rPr>
          <w:lang w:val="en-AU"/>
        </w:rPr>
      </w:pPr>
      <w:r w:rsidRPr="00244BF6">
        <w:rPr>
          <w:b/>
          <w:lang w:val="en-AU"/>
        </w:rPr>
        <w:t xml:space="preserve">An entity shall disclose material accounting policy information (see paragraph 7). Accounting policy information is material if, when considered together with other information included in an entity’s financial statements, it can reasonably be expected to influence decisions that the primary users of </w:t>
      </w:r>
      <w:proofErr w:type="gramStart"/>
      <w:r w:rsidRPr="00244BF6">
        <w:rPr>
          <w:b/>
          <w:lang w:val="en-AU"/>
        </w:rPr>
        <w:t>general purpose</w:t>
      </w:r>
      <w:proofErr w:type="gramEnd"/>
      <w:r w:rsidRPr="00244BF6">
        <w:rPr>
          <w:b/>
          <w:lang w:val="en-AU"/>
        </w:rPr>
        <w:t xml:space="preserve"> financial statements make on the basis of those financial statements.</w:t>
      </w:r>
    </w:p>
    <w:p w14:paraId="0CEF8AD5" w14:textId="77777777" w:rsidR="00867026" w:rsidRPr="00244BF6" w:rsidRDefault="00867026" w:rsidP="00867026">
      <w:pPr>
        <w:pStyle w:val="IASBNormal"/>
        <w:rPr>
          <w:lang w:val="en-AU"/>
        </w:rPr>
      </w:pPr>
      <w:r w:rsidRPr="00244BF6">
        <w:rPr>
          <w:b/>
          <w:lang w:val="en-AU"/>
        </w:rPr>
        <w:t>Paragraph 117A</w:t>
      </w:r>
    </w:p>
    <w:p w14:paraId="5CADC9D8" w14:textId="77777777" w:rsidR="00867026" w:rsidRPr="00244BF6" w:rsidRDefault="00867026" w:rsidP="00867026">
      <w:pPr>
        <w:pStyle w:val="IASBNormal"/>
        <w:rPr>
          <w:lang w:val="en-AU"/>
        </w:rPr>
      </w:pPr>
      <w:r w:rsidRPr="00244BF6">
        <w:rPr>
          <w:lang w:val="en-AU"/>
        </w:rPr>
        <w:t xml:space="preserve">Referred to in paragraph 88C of the Practice </w:t>
      </w:r>
      <w:proofErr w:type="gramStart"/>
      <w:r w:rsidRPr="00244BF6">
        <w:rPr>
          <w:lang w:val="en-AU"/>
        </w:rPr>
        <w:t>Statement</w:t>
      </w:r>
      <w:proofErr w:type="gramEnd"/>
    </w:p>
    <w:p w14:paraId="122553B7" w14:textId="77777777" w:rsidR="00867026" w:rsidRPr="00244BF6" w:rsidRDefault="00867026" w:rsidP="00867026">
      <w:pPr>
        <w:pStyle w:val="IASBNormal"/>
        <w:rPr>
          <w:lang w:val="en-AU"/>
        </w:rPr>
      </w:pPr>
      <w:r w:rsidRPr="00244BF6">
        <w:rPr>
          <w:lang w:val="en-AU"/>
        </w:rPr>
        <w:t xml:space="preserve">Accounting policy information that relates to immaterial transactions, other events or conditions is immaterial and need not be disclosed. Accounting policy information may nevertheless be material because of the nature of the related transactions, other </w:t>
      </w:r>
      <w:proofErr w:type="gramStart"/>
      <w:r w:rsidRPr="00244BF6">
        <w:rPr>
          <w:lang w:val="en-AU"/>
        </w:rPr>
        <w:t>events</w:t>
      </w:r>
      <w:proofErr w:type="gramEnd"/>
      <w:r w:rsidRPr="00244BF6">
        <w:rPr>
          <w:lang w:val="en-AU"/>
        </w:rPr>
        <w:t xml:space="preserve"> or conditions, even if the amounts are immaterial. However, not all accounting policy information relating to material transactions, other events or conditions is itself material.</w:t>
      </w:r>
    </w:p>
    <w:p w14:paraId="3D094AB4" w14:textId="77777777" w:rsidR="00867026" w:rsidRPr="00244BF6" w:rsidRDefault="00867026" w:rsidP="00867026">
      <w:pPr>
        <w:pStyle w:val="IASBNormal"/>
        <w:rPr>
          <w:lang w:val="en-AU"/>
        </w:rPr>
      </w:pPr>
      <w:r w:rsidRPr="00244BF6">
        <w:rPr>
          <w:b/>
          <w:lang w:val="en-AU"/>
        </w:rPr>
        <w:t>Paragraph 117B</w:t>
      </w:r>
    </w:p>
    <w:p w14:paraId="2883B036" w14:textId="77777777" w:rsidR="00867026" w:rsidRPr="00244BF6" w:rsidRDefault="00867026" w:rsidP="00867026">
      <w:pPr>
        <w:pStyle w:val="IASBNormal"/>
        <w:rPr>
          <w:lang w:val="en-AU"/>
        </w:rPr>
      </w:pPr>
      <w:r w:rsidRPr="00244BF6">
        <w:rPr>
          <w:lang w:val="en-AU"/>
        </w:rPr>
        <w:t xml:space="preserve">Referred to in paragraphs 88C and 88D of the Practice </w:t>
      </w:r>
      <w:proofErr w:type="gramStart"/>
      <w:r w:rsidRPr="00244BF6">
        <w:rPr>
          <w:lang w:val="en-AU"/>
        </w:rPr>
        <w:t>Statement</w:t>
      </w:r>
      <w:proofErr w:type="gramEnd"/>
    </w:p>
    <w:p w14:paraId="5F0BD2C5" w14:textId="77777777" w:rsidR="00867026" w:rsidRPr="00244BF6" w:rsidRDefault="00867026" w:rsidP="00867026">
      <w:pPr>
        <w:pStyle w:val="IASBNormal"/>
        <w:rPr>
          <w:lang w:val="en-AU"/>
        </w:rPr>
      </w:pPr>
      <w:r w:rsidRPr="00244BF6">
        <w:rPr>
          <w:lang w:val="en-AU"/>
        </w:rPr>
        <w:t xml:space="preserve">Accounting policy information is expected to be material if users of an entity’s financial statements would need it to understand other material information in the financial statements. For example, an entity is likely to consider accounting policy information material to its financial statements if that information relates to material transactions, other </w:t>
      </w:r>
      <w:proofErr w:type="gramStart"/>
      <w:r w:rsidRPr="00244BF6">
        <w:rPr>
          <w:lang w:val="en-AU"/>
        </w:rPr>
        <w:t>events</w:t>
      </w:r>
      <w:proofErr w:type="gramEnd"/>
      <w:r w:rsidRPr="00244BF6">
        <w:rPr>
          <w:lang w:val="en-AU"/>
        </w:rPr>
        <w:t xml:space="preserve"> or conditions and:</w:t>
      </w:r>
    </w:p>
    <w:p w14:paraId="63A1B086" w14:textId="77777777" w:rsidR="00867026" w:rsidRPr="00244BF6" w:rsidRDefault="00867026" w:rsidP="00867026">
      <w:pPr>
        <w:pStyle w:val="IASBNormalL1"/>
        <w:rPr>
          <w:lang w:val="en-AU"/>
        </w:rPr>
      </w:pPr>
      <w:r w:rsidRPr="00244BF6">
        <w:rPr>
          <w:lang w:val="en-AU"/>
        </w:rPr>
        <w:t>(a)</w:t>
      </w:r>
      <w:r w:rsidRPr="00244BF6">
        <w:rPr>
          <w:lang w:val="en-AU"/>
        </w:rPr>
        <w:tab/>
        <w:t>the entity changed its accounting policy during the reporting period and this change resulted in a material change to the information in the financial statements;</w:t>
      </w:r>
    </w:p>
    <w:p w14:paraId="4CFDE02B" w14:textId="77777777" w:rsidR="00867026" w:rsidRPr="00244BF6" w:rsidRDefault="00867026" w:rsidP="00867026">
      <w:pPr>
        <w:pStyle w:val="IASBNormalL1"/>
        <w:rPr>
          <w:lang w:val="en-AU"/>
        </w:rPr>
      </w:pPr>
      <w:r w:rsidRPr="00244BF6">
        <w:rPr>
          <w:lang w:val="en-AU"/>
        </w:rPr>
        <w:t>(b)</w:t>
      </w:r>
      <w:r w:rsidRPr="00244BF6">
        <w:rPr>
          <w:lang w:val="en-AU"/>
        </w:rPr>
        <w:tab/>
        <w:t>the entity chose the accounting policy from one or more options permitted by Australian Accounting Standards—such a situation could arise if the entity chose to measure investment property at historical cost rather than fair value;</w:t>
      </w:r>
    </w:p>
    <w:p w14:paraId="428DA325" w14:textId="77777777" w:rsidR="00867026" w:rsidRPr="00244BF6" w:rsidRDefault="00867026" w:rsidP="00867026">
      <w:pPr>
        <w:pStyle w:val="IASBNormalL1"/>
        <w:rPr>
          <w:lang w:val="en-AU"/>
        </w:rPr>
      </w:pPr>
      <w:r w:rsidRPr="00244BF6">
        <w:rPr>
          <w:lang w:val="en-AU"/>
        </w:rPr>
        <w:t>(c)</w:t>
      </w:r>
      <w:r w:rsidRPr="00244BF6">
        <w:rPr>
          <w:lang w:val="en-AU"/>
        </w:rPr>
        <w:tab/>
        <w:t>the accounting policy was developed in accordance with AASB 108 in the absence of an Australian Accounting Standard that specifically applies;</w:t>
      </w:r>
    </w:p>
    <w:p w14:paraId="4EB88DE5" w14:textId="77777777" w:rsidR="00867026" w:rsidRPr="00244BF6" w:rsidRDefault="00867026" w:rsidP="00867026">
      <w:pPr>
        <w:pStyle w:val="IASBNormalL1"/>
        <w:rPr>
          <w:lang w:val="en-AU"/>
        </w:rPr>
      </w:pPr>
      <w:r w:rsidRPr="00244BF6">
        <w:rPr>
          <w:lang w:val="en-AU"/>
        </w:rPr>
        <w:t>(d)</w:t>
      </w:r>
      <w:r w:rsidRPr="00244BF6">
        <w:rPr>
          <w:lang w:val="en-AU"/>
        </w:rPr>
        <w:tab/>
        <w:t>the accounting policy relates to an area for which an entity is required to make significant judgements or assumptions in applying an accounting policy, and the entity discloses those judgements or assumptions in accordance with paragraphs 122 and 125; or</w:t>
      </w:r>
    </w:p>
    <w:p w14:paraId="192860A9" w14:textId="77777777" w:rsidR="00867026" w:rsidRPr="00244BF6" w:rsidRDefault="00867026" w:rsidP="00867026">
      <w:pPr>
        <w:pStyle w:val="IASBNormalL1"/>
        <w:rPr>
          <w:lang w:val="en-AU"/>
        </w:rPr>
      </w:pPr>
      <w:r w:rsidRPr="00244BF6">
        <w:rPr>
          <w:lang w:val="en-AU"/>
        </w:rPr>
        <w:t>(e)</w:t>
      </w:r>
      <w:r w:rsidRPr="00244BF6">
        <w:rPr>
          <w:lang w:val="en-AU"/>
        </w:rPr>
        <w:tab/>
        <w:t xml:space="preserve">the accounting required for them is complex and users of the entity’s financial statements would otherwise not understand those material transactions, other </w:t>
      </w:r>
      <w:proofErr w:type="gramStart"/>
      <w:r w:rsidRPr="00244BF6">
        <w:rPr>
          <w:lang w:val="en-AU"/>
        </w:rPr>
        <w:t>events</w:t>
      </w:r>
      <w:proofErr w:type="gramEnd"/>
      <w:r w:rsidRPr="00244BF6">
        <w:rPr>
          <w:lang w:val="en-AU"/>
        </w:rPr>
        <w:t xml:space="preserve"> or conditions—such a situation could arise if an entity applies more than one Australian Accounting Standard to a class of material transactions.</w:t>
      </w:r>
    </w:p>
    <w:p w14:paraId="3D10FE66" w14:textId="77777777" w:rsidR="00867026" w:rsidRPr="00244BF6" w:rsidRDefault="00867026" w:rsidP="00867026">
      <w:pPr>
        <w:pStyle w:val="IASBNormal"/>
        <w:rPr>
          <w:lang w:val="en-AU"/>
        </w:rPr>
      </w:pPr>
      <w:r w:rsidRPr="00244BF6">
        <w:rPr>
          <w:b/>
          <w:lang w:val="en-AU"/>
        </w:rPr>
        <w:t>Paragraph 117C</w:t>
      </w:r>
    </w:p>
    <w:p w14:paraId="4FFC6213" w14:textId="77777777" w:rsidR="00867026" w:rsidRPr="00244BF6" w:rsidRDefault="00867026" w:rsidP="00867026">
      <w:pPr>
        <w:pStyle w:val="IASBNormal"/>
        <w:rPr>
          <w:lang w:val="en-AU"/>
        </w:rPr>
      </w:pPr>
      <w:r w:rsidRPr="00244BF6">
        <w:rPr>
          <w:lang w:val="en-AU"/>
        </w:rPr>
        <w:t xml:space="preserve">Referred to in paragraphs 88C and 88E of the Practice </w:t>
      </w:r>
      <w:proofErr w:type="gramStart"/>
      <w:r w:rsidRPr="00244BF6">
        <w:rPr>
          <w:lang w:val="en-AU"/>
        </w:rPr>
        <w:t>Statement</w:t>
      </w:r>
      <w:proofErr w:type="gramEnd"/>
    </w:p>
    <w:p w14:paraId="204B56A2" w14:textId="77777777" w:rsidR="00867026" w:rsidRPr="00244BF6" w:rsidRDefault="00867026" w:rsidP="00867026">
      <w:pPr>
        <w:pStyle w:val="IASBNormal"/>
        <w:rPr>
          <w:lang w:val="en-AU"/>
        </w:rPr>
      </w:pPr>
      <w:r w:rsidRPr="00244BF6">
        <w:rPr>
          <w:lang w:val="en-AU"/>
        </w:rPr>
        <w:t>Accounting policy information that focuses on how an entity has applied the requirements of the Australian Accounting Standards to its own circumstances provides entity-specific information that is more useful to users of financial statements than standardised information, or information that only duplicates or summarises the requirements of the Standards.</w:t>
      </w:r>
    </w:p>
    <w:p w14:paraId="054755A1" w14:textId="77777777" w:rsidR="00867026" w:rsidRPr="00244BF6" w:rsidRDefault="00867026" w:rsidP="00867026">
      <w:pPr>
        <w:pStyle w:val="IASBNormal"/>
        <w:rPr>
          <w:lang w:val="en-AU"/>
        </w:rPr>
      </w:pPr>
      <w:r w:rsidRPr="00244BF6">
        <w:rPr>
          <w:b/>
          <w:lang w:val="en-AU"/>
        </w:rPr>
        <w:t>Paragraph 117D</w:t>
      </w:r>
    </w:p>
    <w:p w14:paraId="1CACADA0" w14:textId="77777777" w:rsidR="00867026" w:rsidRPr="00244BF6" w:rsidRDefault="00867026" w:rsidP="00867026">
      <w:pPr>
        <w:pStyle w:val="IASBNormal"/>
        <w:rPr>
          <w:lang w:val="en-AU"/>
        </w:rPr>
      </w:pPr>
      <w:r w:rsidRPr="00244BF6">
        <w:rPr>
          <w:lang w:val="en-AU"/>
        </w:rPr>
        <w:t xml:space="preserve">Referred to in paragraphs 88C and 88G of the Practice </w:t>
      </w:r>
      <w:proofErr w:type="gramStart"/>
      <w:r w:rsidRPr="00244BF6">
        <w:rPr>
          <w:lang w:val="en-AU"/>
        </w:rPr>
        <w:t>Statement</w:t>
      </w:r>
      <w:proofErr w:type="gramEnd"/>
    </w:p>
    <w:p w14:paraId="278D8614" w14:textId="77777777" w:rsidR="00867026" w:rsidRPr="00244BF6" w:rsidRDefault="00867026" w:rsidP="00867026">
      <w:pPr>
        <w:pStyle w:val="IASBNormal"/>
        <w:rPr>
          <w:lang w:val="en-AU"/>
        </w:rPr>
      </w:pPr>
      <w:r w:rsidRPr="00244BF6">
        <w:rPr>
          <w:lang w:val="en-AU"/>
        </w:rPr>
        <w:t>If an entity discloses immaterial accounting policy information, such information shall not obscure material accounting policy information.</w:t>
      </w:r>
    </w:p>
    <w:p w14:paraId="7B5D7485" w14:textId="77777777" w:rsidR="00867026" w:rsidRPr="00244BF6" w:rsidRDefault="00867026" w:rsidP="00867026">
      <w:pPr>
        <w:pStyle w:val="IASBNormal"/>
        <w:rPr>
          <w:lang w:val="en-AU"/>
        </w:rPr>
      </w:pPr>
      <w:r w:rsidRPr="00244BF6">
        <w:rPr>
          <w:b/>
          <w:lang w:val="en-AU"/>
        </w:rPr>
        <w:t>Paragraph 117E</w:t>
      </w:r>
    </w:p>
    <w:p w14:paraId="4B4C088E" w14:textId="77777777" w:rsidR="00867026" w:rsidRPr="00244BF6" w:rsidRDefault="00867026" w:rsidP="00867026">
      <w:pPr>
        <w:pStyle w:val="IASBNormal"/>
        <w:rPr>
          <w:lang w:val="en-AU"/>
        </w:rPr>
      </w:pPr>
      <w:r w:rsidRPr="00244BF6">
        <w:rPr>
          <w:lang w:val="en-AU"/>
        </w:rPr>
        <w:t xml:space="preserve">Referred to in paragraph 88C of the Practice </w:t>
      </w:r>
      <w:proofErr w:type="gramStart"/>
      <w:r w:rsidRPr="00244BF6">
        <w:rPr>
          <w:lang w:val="en-AU"/>
        </w:rPr>
        <w:t>Statement</w:t>
      </w:r>
      <w:proofErr w:type="gramEnd"/>
    </w:p>
    <w:p w14:paraId="3EF0FB57" w14:textId="77777777" w:rsidR="00867026" w:rsidRPr="00244BF6" w:rsidRDefault="00867026" w:rsidP="00867026">
      <w:pPr>
        <w:pStyle w:val="IASBNormal"/>
        <w:rPr>
          <w:lang w:val="en-AU"/>
        </w:rPr>
      </w:pPr>
      <w:r w:rsidRPr="00244BF6">
        <w:rPr>
          <w:lang w:val="en-AU"/>
        </w:rPr>
        <w:t>An entity’s conclusion that accounting policy information is immaterial does not affect the related disclosure requirements set out in other Australian Accounting Standards.</w:t>
      </w:r>
    </w:p>
    <w:p w14:paraId="0CA97F7D" w14:textId="56196F4D" w:rsidR="00867026" w:rsidRPr="00244BF6" w:rsidRDefault="00867026" w:rsidP="00CA2786">
      <w:pPr>
        <w:pStyle w:val="IASBNormalnpara"/>
        <w:rPr>
          <w:lang w:val="en-AU"/>
        </w:rPr>
      </w:pPr>
      <w:r w:rsidRPr="00244BF6">
        <w:rPr>
          <w:lang w:val="en-AU"/>
        </w:rPr>
        <w:t>...</w:t>
      </w:r>
    </w:p>
    <w:p w14:paraId="58F97D36" w14:textId="35A9CE66" w:rsidR="002454EF" w:rsidRDefault="000D4C06">
      <w:pPr>
        <w:pStyle w:val="Heading2"/>
      </w:pPr>
      <w:r>
        <w:t>C</w:t>
      </w:r>
      <w:r w:rsidR="002454EF">
        <w:t>ommencement of the legislative instrument</w:t>
      </w:r>
    </w:p>
    <w:p w14:paraId="5DFF686C" w14:textId="5E48A3A6" w:rsidR="002454EF" w:rsidRDefault="002454EF" w:rsidP="005A6AC7">
      <w:pPr>
        <w:pStyle w:val="NoNumPlain1"/>
      </w:pPr>
      <w:r>
        <w:t xml:space="preserve">For legal purposes, this legislative instrument commences on </w:t>
      </w:r>
      <w:bookmarkStart w:id="15" w:name="CommenceDate"/>
      <w:r>
        <w:t>31 December 2022</w:t>
      </w:r>
      <w:bookmarkEnd w:id="15"/>
      <w:r>
        <w:t>.</w:t>
      </w:r>
    </w:p>
    <w:sectPr w:rsidR="002454EF" w:rsidSect="00D74C6A">
      <w:footerReference w:type="default" r:id="rId18"/>
      <w:headerReference w:type="first" r:id="rId19"/>
      <w:footerReference w:type="first" r:id="rId20"/>
      <w:pgSz w:w="11907" w:h="16840" w:code="9"/>
      <w:pgMar w:top="1418" w:right="1418" w:bottom="1418" w:left="1418" w:header="709" w:footer="709" w:gutter="0"/>
      <w:paperSrc w:first="7" w:other="7"/>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41266" w14:textId="77777777" w:rsidR="005531AE" w:rsidRDefault="005531AE">
      <w:r>
        <w:separator/>
      </w:r>
    </w:p>
  </w:endnote>
  <w:endnote w:type="continuationSeparator" w:id="0">
    <w:p w14:paraId="27609179" w14:textId="77777777" w:rsidR="005531AE" w:rsidRDefault="005531AE">
      <w:r>
        <w:continuationSeparator/>
      </w:r>
    </w:p>
  </w:endnote>
  <w:endnote w:type="continuationNotice" w:id="1">
    <w:p w14:paraId="6F6E7B3E" w14:textId="77777777" w:rsidR="005531AE" w:rsidRDefault="005531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5A642" w14:textId="0D9EE6AD" w:rsidR="006D798D" w:rsidRDefault="006D798D">
    <w:pPr>
      <w:pStyle w:val="Footer"/>
      <w:rPr>
        <w:b/>
      </w:rPr>
    </w:pPr>
    <w:r>
      <w:rPr>
        <w:b/>
      </w:rPr>
      <w:t xml:space="preserve">AASB </w:t>
    </w:r>
    <w:r w:rsidRPr="008D5E21">
      <w:rPr>
        <w:b/>
      </w:rPr>
      <w:fldChar w:fldCharType="begin" w:fldLock="1"/>
    </w:r>
    <w:r w:rsidRPr="008D5E21">
      <w:rPr>
        <w:b/>
      </w:rPr>
      <w:instrText xml:space="preserve"> REF DocNo  \* charformat  \* MERGEFORMAT </w:instrText>
    </w:r>
    <w:r w:rsidRPr="008D5E21">
      <w:rPr>
        <w:b/>
      </w:rPr>
      <w:fldChar w:fldCharType="separate"/>
    </w:r>
    <w:r w:rsidRPr="008D5E21">
      <w:rPr>
        <w:b/>
      </w:rPr>
      <w:t>2021-</w:t>
    </w:r>
    <w:r>
      <w:rPr>
        <w:b/>
      </w:rPr>
      <w:t>2</w:t>
    </w:r>
    <w:r w:rsidRPr="008D5E21">
      <w:rPr>
        <w:b/>
      </w:rPr>
      <w:fldChar w:fldCharType="end"/>
    </w:r>
    <w:r>
      <w:rPr>
        <w:b/>
      </w:rPr>
      <w:tab/>
    </w:r>
    <w:r>
      <w:fldChar w:fldCharType="begin"/>
    </w:r>
    <w:r>
      <w:instrText>PAGE</w:instrText>
    </w:r>
    <w:r>
      <w:fldChar w:fldCharType="separate"/>
    </w:r>
    <w:r>
      <w:rPr>
        <w:noProof/>
      </w:rPr>
      <w:t>2</w:t>
    </w:r>
    <w:r>
      <w:fldChar w:fldCharType="end"/>
    </w:r>
    <w:r>
      <w:tab/>
    </w:r>
    <w:r>
      <w:rPr>
        <w:b/>
        <w:bCs/>
      </w:rPr>
      <w:t>COPYRIGHT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C24AB" w14:textId="35CCA2CE" w:rsidR="006D798D" w:rsidRDefault="006D798D">
    <w:pPr>
      <w:pStyle w:val="Footer"/>
      <w:rPr>
        <w:b/>
      </w:rPr>
    </w:pPr>
    <w:r>
      <w:rPr>
        <w:b/>
      </w:rPr>
      <w:t xml:space="preserve">AASB </w:t>
    </w:r>
    <w:r w:rsidRPr="008D5E21">
      <w:rPr>
        <w:b/>
      </w:rPr>
      <w:fldChar w:fldCharType="begin" w:fldLock="1"/>
    </w:r>
    <w:r w:rsidRPr="008D5E21">
      <w:rPr>
        <w:b/>
      </w:rPr>
      <w:instrText xml:space="preserve"> REF DocNo  \* charformat  \* MERGEFORMAT </w:instrText>
    </w:r>
    <w:r w:rsidRPr="008D5E21">
      <w:rPr>
        <w:b/>
      </w:rPr>
      <w:fldChar w:fldCharType="separate"/>
    </w:r>
    <w:r w:rsidRPr="008D5E21">
      <w:rPr>
        <w:b/>
      </w:rPr>
      <w:t>2021-</w:t>
    </w:r>
    <w:r>
      <w:rPr>
        <w:b/>
      </w:rPr>
      <w:t>2</w:t>
    </w:r>
    <w:r w:rsidRPr="008D5E21">
      <w:rPr>
        <w:b/>
      </w:rPr>
      <w:fldChar w:fldCharType="end"/>
    </w:r>
    <w:r>
      <w:rPr>
        <w:b/>
      </w:rPr>
      <w:tab/>
    </w:r>
    <w:r>
      <w:fldChar w:fldCharType="begin"/>
    </w:r>
    <w:r>
      <w:instrText>PAGE</w:instrText>
    </w:r>
    <w:r>
      <w:fldChar w:fldCharType="separate"/>
    </w:r>
    <w:r>
      <w:rPr>
        <w:noProof/>
      </w:rPr>
      <w:t>3</w:t>
    </w:r>
    <w:r>
      <w:fldChar w:fldCharType="end"/>
    </w:r>
    <w:r>
      <w:tab/>
    </w:r>
    <w:r>
      <w:rPr>
        <w:b/>
        <w:bCs/>
      </w:rPr>
      <w:t>CONTENTS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EC6E6" w14:textId="4F190C22" w:rsidR="006D798D" w:rsidRDefault="006D798D">
    <w:pPr>
      <w:pStyle w:val="Footer"/>
      <w:rPr>
        <w:b/>
      </w:rPr>
    </w:pPr>
    <w:r>
      <w:rPr>
        <w:b/>
      </w:rPr>
      <w:t xml:space="preserve">AASB </w:t>
    </w:r>
    <w:r w:rsidRPr="008D5E21">
      <w:rPr>
        <w:b/>
      </w:rPr>
      <w:fldChar w:fldCharType="begin" w:fldLock="1"/>
    </w:r>
    <w:r w:rsidRPr="008D5E21">
      <w:rPr>
        <w:b/>
      </w:rPr>
      <w:instrText xml:space="preserve"> REF DocNo  \* charformat  \* MERGEFORMAT </w:instrText>
    </w:r>
    <w:r w:rsidRPr="008D5E21">
      <w:rPr>
        <w:b/>
      </w:rPr>
      <w:fldChar w:fldCharType="separate"/>
    </w:r>
    <w:r w:rsidRPr="008D5E21">
      <w:rPr>
        <w:b/>
      </w:rPr>
      <w:t>2021-</w:t>
    </w:r>
    <w:r>
      <w:rPr>
        <w:b/>
      </w:rPr>
      <w:t>2</w:t>
    </w:r>
    <w:r w:rsidRPr="008D5E21">
      <w:rPr>
        <w:b/>
      </w:rPr>
      <w:fldChar w:fldCharType="end"/>
    </w:r>
    <w:r>
      <w:rPr>
        <w:b/>
      </w:rPr>
      <w:tab/>
    </w:r>
    <w:r>
      <w:fldChar w:fldCharType="begin"/>
    </w:r>
    <w:r>
      <w:instrText>PAGE</w:instrText>
    </w:r>
    <w:r>
      <w:fldChar w:fldCharType="separate"/>
    </w:r>
    <w:r>
      <w:rPr>
        <w:noProof/>
      </w:rPr>
      <w:t>4</w:t>
    </w:r>
    <w:r>
      <w:fldChar w:fldCharType="end"/>
    </w:r>
    <w:r>
      <w:tab/>
    </w:r>
    <w:r>
      <w:rPr>
        <w:b/>
        <w:bCs/>
      </w:rPr>
      <w:t>PREFACE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B6A10" w14:textId="77777777" w:rsidR="006D798D" w:rsidRDefault="006D798D">
    <w:pPr>
      <w:pStyle w:val="Footer"/>
    </w:pPr>
    <w:r>
      <w:fldChar w:fldCharType="begin"/>
    </w:r>
    <w:r>
      <w:instrText>PAGE</w:instrText>
    </w:r>
    <w:r>
      <w:fldChar w:fldCharType="separate"/>
    </w:r>
    <w:r>
      <w:rPr>
        <w:noProof/>
      </w:rPr>
      <w:t>8</w:t>
    </w:r>
    <w:r>
      <w:fldChar w:fldCharType="end"/>
    </w:r>
    <w:r>
      <w:tab/>
      <w:t>© IFRS Foundation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48B9D" w14:textId="378342E3" w:rsidR="006D798D" w:rsidRPr="007255CF" w:rsidRDefault="006D798D" w:rsidP="00205FD2">
    <w:pPr>
      <w:pStyle w:val="Footer"/>
      <w:tabs>
        <w:tab w:val="clear" w:pos="9072"/>
        <w:tab w:val="right" w:pos="9044"/>
      </w:tabs>
      <w:rPr>
        <w:b/>
      </w:rPr>
    </w:pPr>
    <w:r>
      <w:rPr>
        <w:b/>
      </w:rPr>
      <w:t xml:space="preserve">AASB </w:t>
    </w:r>
    <w:r w:rsidRPr="00B2526A">
      <w:rPr>
        <w:b/>
      </w:rPr>
      <w:fldChar w:fldCharType="begin" w:fldLock="1"/>
    </w:r>
    <w:r w:rsidRPr="00B2526A">
      <w:rPr>
        <w:b/>
      </w:rPr>
      <w:instrText xml:space="preserve"> REF DocNo  \* charformat  \* MERGEFORMAT </w:instrText>
    </w:r>
    <w:r w:rsidRPr="00B2526A">
      <w:rPr>
        <w:b/>
      </w:rPr>
      <w:fldChar w:fldCharType="separate"/>
    </w:r>
    <w:r w:rsidRPr="00B2526A">
      <w:rPr>
        <w:b/>
      </w:rPr>
      <w:t>2021-</w:t>
    </w:r>
    <w:r>
      <w:rPr>
        <w:b/>
      </w:rPr>
      <w:t>2</w:t>
    </w:r>
    <w:r w:rsidRPr="00B2526A">
      <w:rPr>
        <w:b/>
      </w:rPr>
      <w:fldChar w:fldCharType="end"/>
    </w:r>
    <w:r>
      <w:rPr>
        <w:b/>
      </w:rPr>
      <w:tab/>
    </w:r>
    <w:r>
      <w:fldChar w:fldCharType="begin"/>
    </w:r>
    <w:r>
      <w:instrText>PAGE</w:instrText>
    </w:r>
    <w:r>
      <w:fldChar w:fldCharType="separate"/>
    </w:r>
    <w:r>
      <w:t>3</w:t>
    </w:r>
    <w:r>
      <w:fldChar w:fldCharType="end"/>
    </w:r>
    <w:r>
      <w:tab/>
    </w:r>
    <w:r>
      <w:rPr>
        <w:b/>
        <w:bCs/>
      </w:rPr>
      <w:t>STANDARD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74754" w14:textId="2A9A05A5" w:rsidR="006D798D" w:rsidRDefault="006D798D">
    <w:pPr>
      <w:pStyle w:val="Footer"/>
      <w:rPr>
        <w:b/>
      </w:rPr>
    </w:pPr>
    <w:r>
      <w:rPr>
        <w:b/>
      </w:rPr>
      <w:t xml:space="preserve">AASB </w:t>
    </w:r>
    <w:r w:rsidRPr="0081386C">
      <w:rPr>
        <w:b/>
      </w:rPr>
      <w:fldChar w:fldCharType="begin" w:fldLock="1"/>
    </w:r>
    <w:r w:rsidRPr="0081386C">
      <w:rPr>
        <w:b/>
      </w:rPr>
      <w:instrText xml:space="preserve"> REF DocNo  \* charformat  \* MERGEFORMAT </w:instrText>
    </w:r>
    <w:r w:rsidRPr="0081386C">
      <w:rPr>
        <w:b/>
      </w:rPr>
      <w:fldChar w:fldCharType="separate"/>
    </w:r>
    <w:r w:rsidRPr="0081386C">
      <w:rPr>
        <w:b/>
      </w:rPr>
      <w:t>2021-</w:t>
    </w:r>
    <w:r>
      <w:rPr>
        <w:b/>
      </w:rPr>
      <w:t>2</w:t>
    </w:r>
    <w:r w:rsidRPr="0081386C">
      <w:rPr>
        <w:b/>
      </w:rPr>
      <w:fldChar w:fldCharType="end"/>
    </w:r>
    <w:r>
      <w:rPr>
        <w:b/>
      </w:rPr>
      <w:tab/>
    </w:r>
    <w:r>
      <w:fldChar w:fldCharType="begin"/>
    </w:r>
    <w:r>
      <w:instrText>PAGE</w:instrText>
    </w:r>
    <w:r>
      <w:fldChar w:fldCharType="separate"/>
    </w:r>
    <w:r>
      <w:rPr>
        <w:noProof/>
      </w:rPr>
      <w:t>5</w:t>
    </w:r>
    <w:r>
      <w:fldChar w:fldCharType="end"/>
    </w:r>
    <w:r>
      <w:tab/>
    </w:r>
    <w:r>
      <w:rPr>
        <w:b/>
        <w:bCs/>
      </w:rPr>
      <w:t>STANDARD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AAAA1" w14:textId="77777777" w:rsidR="006D798D" w:rsidRDefault="006D7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5B2E3" w14:textId="77777777" w:rsidR="005531AE" w:rsidRDefault="005531AE">
      <w:r>
        <w:separator/>
      </w:r>
    </w:p>
  </w:footnote>
  <w:footnote w:type="continuationSeparator" w:id="0">
    <w:p w14:paraId="710EA052" w14:textId="77777777" w:rsidR="005531AE" w:rsidRDefault="005531AE">
      <w:r>
        <w:continuationSeparator/>
      </w:r>
    </w:p>
  </w:footnote>
  <w:footnote w:type="continuationNotice" w:id="1">
    <w:p w14:paraId="256F400A" w14:textId="77777777" w:rsidR="005531AE" w:rsidRDefault="005531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6FB97" w14:textId="77777777" w:rsidR="006D798D" w:rsidRDefault="006D7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C5C07" w14:textId="77777777" w:rsidR="006D798D" w:rsidRDefault="006D7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15:restartNumberingAfterBreak="0">
    <w:nsid w:val="03F92581"/>
    <w:multiLevelType w:val="multilevel"/>
    <w:tmpl w:val="AD5ABFF2"/>
    <w:numStyleLink w:val="AASBSubNumbers"/>
  </w:abstractNum>
  <w:abstractNum w:abstractNumId="2" w15:restartNumberingAfterBreak="0">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3" w15:restartNumberingAfterBreak="0">
    <w:nsid w:val="17C46FC1"/>
    <w:multiLevelType w:val="hybridMultilevel"/>
    <w:tmpl w:val="3D228BB0"/>
    <w:lvl w:ilvl="0" w:tplc="EACAFBD2">
      <w:start w:val="1"/>
      <w:numFmt w:val="lowerLetter"/>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81C2BF7"/>
    <w:multiLevelType w:val="hybridMultilevel"/>
    <w:tmpl w:val="3D228BB0"/>
    <w:lvl w:ilvl="0" w:tplc="EACAFBD2">
      <w:start w:val="1"/>
      <w:numFmt w:val="lowerLetter"/>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6" w15:restartNumberingAfterBreak="0">
    <w:nsid w:val="2576465B"/>
    <w:multiLevelType w:val="multilevel"/>
    <w:tmpl w:val="15CA6E46"/>
    <w:lvl w:ilvl="0">
      <w:start w:val="1"/>
      <w:numFmt w:val="lowerLetter"/>
      <w:pStyle w:val="NumPlainA"/>
      <w:lvlText w:val="(%1)"/>
      <w:lvlJc w:val="left"/>
      <w:pPr>
        <w:tabs>
          <w:tab w:val="num" w:pos="3061"/>
        </w:tabs>
        <w:ind w:left="3061" w:hanging="510"/>
      </w:pPr>
      <w:rPr>
        <w:rFonts w:ascii="Times New Roman" w:eastAsia="Times New Roman" w:hAnsi="Times New Roman" w:cs="Times New Roman"/>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8" w15:restartNumberingAfterBreak="0">
    <w:nsid w:val="453127CB"/>
    <w:multiLevelType w:val="hybridMultilevel"/>
    <w:tmpl w:val="9A22A710"/>
    <w:lvl w:ilvl="0" w:tplc="A86CAE8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C911612"/>
    <w:multiLevelType w:val="hybridMultilevel"/>
    <w:tmpl w:val="E8CC9420"/>
    <w:lvl w:ilvl="0" w:tplc="67BE5F3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5A555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542243"/>
    <w:multiLevelType w:val="multilevel"/>
    <w:tmpl w:val="BDF015A6"/>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2" w15:restartNumberingAfterBreak="0">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3"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5"/>
  </w:num>
  <w:num w:numId="6">
    <w:abstractNumId w:val="12"/>
  </w:num>
  <w:num w:numId="7">
    <w:abstractNumId w:val="6"/>
  </w:num>
  <w:num w:numId="8">
    <w:abstractNumId w:val="7"/>
  </w:num>
  <w:num w:numId="9">
    <w:abstractNumId w:val="1"/>
  </w:num>
  <w:num w:numId="10">
    <w:abstractNumId w:val="0"/>
  </w:num>
  <w:num w:numId="11">
    <w:abstractNumId w:val="10"/>
  </w:num>
  <w:num w:numId="12">
    <w:abstractNumId w:val="9"/>
  </w:num>
  <w:num w:numId="13">
    <w:abstractNumId w:val="4"/>
  </w:num>
  <w:num w:numId="14">
    <w:abstractNumId w:val="8"/>
  </w:num>
  <w:num w:numId="1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8193">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4EF"/>
    <w:rsid w:val="0000033C"/>
    <w:rsid w:val="0000292B"/>
    <w:rsid w:val="00002B25"/>
    <w:rsid w:val="00005256"/>
    <w:rsid w:val="0001470D"/>
    <w:rsid w:val="00023136"/>
    <w:rsid w:val="00023E0C"/>
    <w:rsid w:val="000275B0"/>
    <w:rsid w:val="00027E8B"/>
    <w:rsid w:val="00031F3F"/>
    <w:rsid w:val="00035EF2"/>
    <w:rsid w:val="00043033"/>
    <w:rsid w:val="0004455B"/>
    <w:rsid w:val="000625F2"/>
    <w:rsid w:val="00062B9A"/>
    <w:rsid w:val="000639EF"/>
    <w:rsid w:val="00065374"/>
    <w:rsid w:val="00066CF5"/>
    <w:rsid w:val="00074133"/>
    <w:rsid w:val="00076479"/>
    <w:rsid w:val="0008034B"/>
    <w:rsid w:val="000812F8"/>
    <w:rsid w:val="00090A6F"/>
    <w:rsid w:val="00096027"/>
    <w:rsid w:val="00097835"/>
    <w:rsid w:val="000A2A66"/>
    <w:rsid w:val="000A3454"/>
    <w:rsid w:val="000A458A"/>
    <w:rsid w:val="000A5111"/>
    <w:rsid w:val="000B6A72"/>
    <w:rsid w:val="000B733C"/>
    <w:rsid w:val="000C0E32"/>
    <w:rsid w:val="000C0ECD"/>
    <w:rsid w:val="000C1A36"/>
    <w:rsid w:val="000C3EB0"/>
    <w:rsid w:val="000C422F"/>
    <w:rsid w:val="000C65EF"/>
    <w:rsid w:val="000D2861"/>
    <w:rsid w:val="000D4C06"/>
    <w:rsid w:val="000D7B40"/>
    <w:rsid w:val="000E589B"/>
    <w:rsid w:val="000E5CF1"/>
    <w:rsid w:val="000E74AB"/>
    <w:rsid w:val="000E79A6"/>
    <w:rsid w:val="000F0A98"/>
    <w:rsid w:val="000F3BB4"/>
    <w:rsid w:val="000F64CC"/>
    <w:rsid w:val="00107C46"/>
    <w:rsid w:val="00110B96"/>
    <w:rsid w:val="00110FC4"/>
    <w:rsid w:val="001126AD"/>
    <w:rsid w:val="001151B3"/>
    <w:rsid w:val="001162C5"/>
    <w:rsid w:val="001206CF"/>
    <w:rsid w:val="00121D81"/>
    <w:rsid w:val="0012433A"/>
    <w:rsid w:val="001244A9"/>
    <w:rsid w:val="00127594"/>
    <w:rsid w:val="00130CC8"/>
    <w:rsid w:val="001404C6"/>
    <w:rsid w:val="00144E36"/>
    <w:rsid w:val="00144EE1"/>
    <w:rsid w:val="00145C0D"/>
    <w:rsid w:val="00145FEE"/>
    <w:rsid w:val="001470B8"/>
    <w:rsid w:val="001553B5"/>
    <w:rsid w:val="00156DD5"/>
    <w:rsid w:val="001662B8"/>
    <w:rsid w:val="0016745C"/>
    <w:rsid w:val="00171F51"/>
    <w:rsid w:val="001720B2"/>
    <w:rsid w:val="001761C6"/>
    <w:rsid w:val="00181E3C"/>
    <w:rsid w:val="001822D0"/>
    <w:rsid w:val="00185D47"/>
    <w:rsid w:val="0018612E"/>
    <w:rsid w:val="001864D4"/>
    <w:rsid w:val="001906F5"/>
    <w:rsid w:val="0019286F"/>
    <w:rsid w:val="0019316B"/>
    <w:rsid w:val="001A029A"/>
    <w:rsid w:val="001A0C8F"/>
    <w:rsid w:val="001A2E0C"/>
    <w:rsid w:val="001A47DD"/>
    <w:rsid w:val="001A56C1"/>
    <w:rsid w:val="001B03E8"/>
    <w:rsid w:val="001B33A5"/>
    <w:rsid w:val="001C225F"/>
    <w:rsid w:val="001C4F86"/>
    <w:rsid w:val="001C5452"/>
    <w:rsid w:val="001C553E"/>
    <w:rsid w:val="001E39CF"/>
    <w:rsid w:val="001E6DD2"/>
    <w:rsid w:val="001F78DF"/>
    <w:rsid w:val="0020533E"/>
    <w:rsid w:val="00205FD2"/>
    <w:rsid w:val="00206E8D"/>
    <w:rsid w:val="00206F7C"/>
    <w:rsid w:val="002102A5"/>
    <w:rsid w:val="0021072E"/>
    <w:rsid w:val="00210EF0"/>
    <w:rsid w:val="00216C7A"/>
    <w:rsid w:val="002172FF"/>
    <w:rsid w:val="00217F61"/>
    <w:rsid w:val="0022022E"/>
    <w:rsid w:val="0023586A"/>
    <w:rsid w:val="002358F0"/>
    <w:rsid w:val="00236034"/>
    <w:rsid w:val="002444BE"/>
    <w:rsid w:val="00244BF6"/>
    <w:rsid w:val="002454EF"/>
    <w:rsid w:val="002528B8"/>
    <w:rsid w:val="00254B16"/>
    <w:rsid w:val="00261B65"/>
    <w:rsid w:val="002623DB"/>
    <w:rsid w:val="0026586F"/>
    <w:rsid w:val="0027078F"/>
    <w:rsid w:val="00273677"/>
    <w:rsid w:val="00273905"/>
    <w:rsid w:val="00276BC5"/>
    <w:rsid w:val="0028086D"/>
    <w:rsid w:val="00280A10"/>
    <w:rsid w:val="0028288E"/>
    <w:rsid w:val="00283482"/>
    <w:rsid w:val="00287AE5"/>
    <w:rsid w:val="00295797"/>
    <w:rsid w:val="002962FD"/>
    <w:rsid w:val="0029647E"/>
    <w:rsid w:val="00296E8C"/>
    <w:rsid w:val="002A201D"/>
    <w:rsid w:val="002A3A63"/>
    <w:rsid w:val="002A46EC"/>
    <w:rsid w:val="002A60A6"/>
    <w:rsid w:val="002B67F3"/>
    <w:rsid w:val="002B7781"/>
    <w:rsid w:val="002B7803"/>
    <w:rsid w:val="002B7DE0"/>
    <w:rsid w:val="002C0EA7"/>
    <w:rsid w:val="002C44AA"/>
    <w:rsid w:val="002C4C54"/>
    <w:rsid w:val="002C5237"/>
    <w:rsid w:val="002C6C95"/>
    <w:rsid w:val="002C7B37"/>
    <w:rsid w:val="002D684E"/>
    <w:rsid w:val="002E4617"/>
    <w:rsid w:val="002E72C3"/>
    <w:rsid w:val="002F1CD0"/>
    <w:rsid w:val="002F75A5"/>
    <w:rsid w:val="00307F26"/>
    <w:rsid w:val="0031054B"/>
    <w:rsid w:val="00310735"/>
    <w:rsid w:val="00313633"/>
    <w:rsid w:val="003238B6"/>
    <w:rsid w:val="003251D8"/>
    <w:rsid w:val="00325A47"/>
    <w:rsid w:val="00327E43"/>
    <w:rsid w:val="00333F63"/>
    <w:rsid w:val="0033581C"/>
    <w:rsid w:val="0034243B"/>
    <w:rsid w:val="003447D7"/>
    <w:rsid w:val="0034656B"/>
    <w:rsid w:val="00354977"/>
    <w:rsid w:val="00355155"/>
    <w:rsid w:val="0036007C"/>
    <w:rsid w:val="00361888"/>
    <w:rsid w:val="00362E3D"/>
    <w:rsid w:val="00364B30"/>
    <w:rsid w:val="00367C13"/>
    <w:rsid w:val="00367DC9"/>
    <w:rsid w:val="003730BA"/>
    <w:rsid w:val="00374D01"/>
    <w:rsid w:val="00377B8D"/>
    <w:rsid w:val="00381189"/>
    <w:rsid w:val="00382796"/>
    <w:rsid w:val="0039009E"/>
    <w:rsid w:val="00393C3D"/>
    <w:rsid w:val="00396839"/>
    <w:rsid w:val="003A3509"/>
    <w:rsid w:val="003A488F"/>
    <w:rsid w:val="003A4F9E"/>
    <w:rsid w:val="003B0CAA"/>
    <w:rsid w:val="003B0E71"/>
    <w:rsid w:val="003B0F86"/>
    <w:rsid w:val="003B6633"/>
    <w:rsid w:val="003C73EB"/>
    <w:rsid w:val="003D1DD4"/>
    <w:rsid w:val="003E0A68"/>
    <w:rsid w:val="003E1900"/>
    <w:rsid w:val="003E3B54"/>
    <w:rsid w:val="003E7C32"/>
    <w:rsid w:val="003F05CD"/>
    <w:rsid w:val="00401ECA"/>
    <w:rsid w:val="004020AA"/>
    <w:rsid w:val="004042E7"/>
    <w:rsid w:val="00404C43"/>
    <w:rsid w:val="00406716"/>
    <w:rsid w:val="004150BD"/>
    <w:rsid w:val="004158CF"/>
    <w:rsid w:val="00420BCA"/>
    <w:rsid w:val="00422E4D"/>
    <w:rsid w:val="00424715"/>
    <w:rsid w:val="00426876"/>
    <w:rsid w:val="004334FB"/>
    <w:rsid w:val="00434D86"/>
    <w:rsid w:val="00436A2D"/>
    <w:rsid w:val="00445DB1"/>
    <w:rsid w:val="0044702C"/>
    <w:rsid w:val="004473F7"/>
    <w:rsid w:val="004475B8"/>
    <w:rsid w:val="00455E9A"/>
    <w:rsid w:val="0045616F"/>
    <w:rsid w:val="00460FBB"/>
    <w:rsid w:val="00463598"/>
    <w:rsid w:val="00470CE9"/>
    <w:rsid w:val="0047683E"/>
    <w:rsid w:val="00477150"/>
    <w:rsid w:val="00477778"/>
    <w:rsid w:val="00477844"/>
    <w:rsid w:val="0048155F"/>
    <w:rsid w:val="00482B9B"/>
    <w:rsid w:val="00487CF6"/>
    <w:rsid w:val="00487EDE"/>
    <w:rsid w:val="00495019"/>
    <w:rsid w:val="004961F8"/>
    <w:rsid w:val="004A417F"/>
    <w:rsid w:val="004A6135"/>
    <w:rsid w:val="004A6BD4"/>
    <w:rsid w:val="004A75B7"/>
    <w:rsid w:val="004B038C"/>
    <w:rsid w:val="004B50C6"/>
    <w:rsid w:val="004B736C"/>
    <w:rsid w:val="004C1FD8"/>
    <w:rsid w:val="004C23BF"/>
    <w:rsid w:val="004C288B"/>
    <w:rsid w:val="004C4F46"/>
    <w:rsid w:val="004C5BDE"/>
    <w:rsid w:val="004D3809"/>
    <w:rsid w:val="004D4615"/>
    <w:rsid w:val="004D4D1C"/>
    <w:rsid w:val="004E2E11"/>
    <w:rsid w:val="004F55FE"/>
    <w:rsid w:val="004F5EF0"/>
    <w:rsid w:val="004F6465"/>
    <w:rsid w:val="00500E80"/>
    <w:rsid w:val="0050519D"/>
    <w:rsid w:val="00507754"/>
    <w:rsid w:val="00511C34"/>
    <w:rsid w:val="00513050"/>
    <w:rsid w:val="005166B2"/>
    <w:rsid w:val="00525EFE"/>
    <w:rsid w:val="00533147"/>
    <w:rsid w:val="0053452C"/>
    <w:rsid w:val="00535EC5"/>
    <w:rsid w:val="005438E3"/>
    <w:rsid w:val="005452D7"/>
    <w:rsid w:val="005500C7"/>
    <w:rsid w:val="005531AE"/>
    <w:rsid w:val="00553AF8"/>
    <w:rsid w:val="0055749A"/>
    <w:rsid w:val="00557E55"/>
    <w:rsid w:val="0056274D"/>
    <w:rsid w:val="00563D00"/>
    <w:rsid w:val="005655CE"/>
    <w:rsid w:val="00575A9D"/>
    <w:rsid w:val="00577065"/>
    <w:rsid w:val="00577564"/>
    <w:rsid w:val="0058004D"/>
    <w:rsid w:val="00580BC4"/>
    <w:rsid w:val="00582913"/>
    <w:rsid w:val="00583F68"/>
    <w:rsid w:val="005855A0"/>
    <w:rsid w:val="00590051"/>
    <w:rsid w:val="005930E1"/>
    <w:rsid w:val="00594303"/>
    <w:rsid w:val="00595F1D"/>
    <w:rsid w:val="005A01B6"/>
    <w:rsid w:val="005A08E3"/>
    <w:rsid w:val="005A2143"/>
    <w:rsid w:val="005A2514"/>
    <w:rsid w:val="005A6AC7"/>
    <w:rsid w:val="005A7441"/>
    <w:rsid w:val="005B146F"/>
    <w:rsid w:val="005B5E2F"/>
    <w:rsid w:val="005C0842"/>
    <w:rsid w:val="005D0546"/>
    <w:rsid w:val="005D1FC3"/>
    <w:rsid w:val="005D3048"/>
    <w:rsid w:val="005D7BA0"/>
    <w:rsid w:val="005E0887"/>
    <w:rsid w:val="005E5715"/>
    <w:rsid w:val="005E6BE4"/>
    <w:rsid w:val="005E6ECC"/>
    <w:rsid w:val="005F0B59"/>
    <w:rsid w:val="005F320D"/>
    <w:rsid w:val="005F62EE"/>
    <w:rsid w:val="00600D9A"/>
    <w:rsid w:val="00602261"/>
    <w:rsid w:val="006058C2"/>
    <w:rsid w:val="00606C91"/>
    <w:rsid w:val="00611826"/>
    <w:rsid w:val="00614EDA"/>
    <w:rsid w:val="006205F1"/>
    <w:rsid w:val="00621F5D"/>
    <w:rsid w:val="00625A6C"/>
    <w:rsid w:val="00632499"/>
    <w:rsid w:val="00635801"/>
    <w:rsid w:val="006372DB"/>
    <w:rsid w:val="00641282"/>
    <w:rsid w:val="00642CF5"/>
    <w:rsid w:val="006443A4"/>
    <w:rsid w:val="00646CA2"/>
    <w:rsid w:val="00651B62"/>
    <w:rsid w:val="00652DF8"/>
    <w:rsid w:val="0065717F"/>
    <w:rsid w:val="00666881"/>
    <w:rsid w:val="00666B57"/>
    <w:rsid w:val="00670F69"/>
    <w:rsid w:val="00673627"/>
    <w:rsid w:val="0067572D"/>
    <w:rsid w:val="00677158"/>
    <w:rsid w:val="00687CA8"/>
    <w:rsid w:val="00690326"/>
    <w:rsid w:val="0069069D"/>
    <w:rsid w:val="00693065"/>
    <w:rsid w:val="0069435A"/>
    <w:rsid w:val="006A3137"/>
    <w:rsid w:val="006A3AE9"/>
    <w:rsid w:val="006A40E5"/>
    <w:rsid w:val="006B0CD6"/>
    <w:rsid w:val="006B3918"/>
    <w:rsid w:val="006B465D"/>
    <w:rsid w:val="006C2E37"/>
    <w:rsid w:val="006D055E"/>
    <w:rsid w:val="006D134A"/>
    <w:rsid w:val="006D4700"/>
    <w:rsid w:val="006D7679"/>
    <w:rsid w:val="006D798D"/>
    <w:rsid w:val="006E0C5C"/>
    <w:rsid w:val="006E21EA"/>
    <w:rsid w:val="006E2C39"/>
    <w:rsid w:val="006E7B86"/>
    <w:rsid w:val="006F2929"/>
    <w:rsid w:val="006F6C06"/>
    <w:rsid w:val="00710788"/>
    <w:rsid w:val="007116F3"/>
    <w:rsid w:val="00714340"/>
    <w:rsid w:val="00714BD8"/>
    <w:rsid w:val="0071657F"/>
    <w:rsid w:val="007211F2"/>
    <w:rsid w:val="007219F7"/>
    <w:rsid w:val="007255CF"/>
    <w:rsid w:val="007333C2"/>
    <w:rsid w:val="00735DA7"/>
    <w:rsid w:val="00737714"/>
    <w:rsid w:val="007407BD"/>
    <w:rsid w:val="0074266A"/>
    <w:rsid w:val="00742E4B"/>
    <w:rsid w:val="007455F0"/>
    <w:rsid w:val="00750B27"/>
    <w:rsid w:val="00750C19"/>
    <w:rsid w:val="00751F6A"/>
    <w:rsid w:val="00755068"/>
    <w:rsid w:val="007554ED"/>
    <w:rsid w:val="00755557"/>
    <w:rsid w:val="00755E40"/>
    <w:rsid w:val="00756FF6"/>
    <w:rsid w:val="0076127E"/>
    <w:rsid w:val="00763B44"/>
    <w:rsid w:val="00766098"/>
    <w:rsid w:val="00766677"/>
    <w:rsid w:val="00767244"/>
    <w:rsid w:val="0077304D"/>
    <w:rsid w:val="00780848"/>
    <w:rsid w:val="0078116B"/>
    <w:rsid w:val="0078616B"/>
    <w:rsid w:val="00786F93"/>
    <w:rsid w:val="00787D97"/>
    <w:rsid w:val="0079160D"/>
    <w:rsid w:val="007A119D"/>
    <w:rsid w:val="007A34A8"/>
    <w:rsid w:val="007A35AC"/>
    <w:rsid w:val="007A6BC3"/>
    <w:rsid w:val="007B4E97"/>
    <w:rsid w:val="007B56EC"/>
    <w:rsid w:val="007B74C4"/>
    <w:rsid w:val="007C258A"/>
    <w:rsid w:val="007D658A"/>
    <w:rsid w:val="007E00DF"/>
    <w:rsid w:val="007E1A46"/>
    <w:rsid w:val="007E23B9"/>
    <w:rsid w:val="007E58E5"/>
    <w:rsid w:val="007E7122"/>
    <w:rsid w:val="007F1D3D"/>
    <w:rsid w:val="007F3535"/>
    <w:rsid w:val="007F3F45"/>
    <w:rsid w:val="007F7A4F"/>
    <w:rsid w:val="0080148E"/>
    <w:rsid w:val="00810D8B"/>
    <w:rsid w:val="00812637"/>
    <w:rsid w:val="00813227"/>
    <w:rsid w:val="0081386C"/>
    <w:rsid w:val="0081681B"/>
    <w:rsid w:val="00820794"/>
    <w:rsid w:val="00831497"/>
    <w:rsid w:val="0083569C"/>
    <w:rsid w:val="00841AAE"/>
    <w:rsid w:val="00841F75"/>
    <w:rsid w:val="008459E8"/>
    <w:rsid w:val="00850737"/>
    <w:rsid w:val="00854379"/>
    <w:rsid w:val="008622B9"/>
    <w:rsid w:val="00863C66"/>
    <w:rsid w:val="00864ADE"/>
    <w:rsid w:val="00865910"/>
    <w:rsid w:val="00867026"/>
    <w:rsid w:val="00867FB0"/>
    <w:rsid w:val="00871A12"/>
    <w:rsid w:val="00874589"/>
    <w:rsid w:val="0087488A"/>
    <w:rsid w:val="00874DA9"/>
    <w:rsid w:val="00880CD5"/>
    <w:rsid w:val="00881BBE"/>
    <w:rsid w:val="00895809"/>
    <w:rsid w:val="00897A4A"/>
    <w:rsid w:val="008A16EB"/>
    <w:rsid w:val="008A1894"/>
    <w:rsid w:val="008A1E03"/>
    <w:rsid w:val="008A6182"/>
    <w:rsid w:val="008B0339"/>
    <w:rsid w:val="008B1D94"/>
    <w:rsid w:val="008B1FB1"/>
    <w:rsid w:val="008B4C8D"/>
    <w:rsid w:val="008B643A"/>
    <w:rsid w:val="008C1C4A"/>
    <w:rsid w:val="008C5732"/>
    <w:rsid w:val="008C60B1"/>
    <w:rsid w:val="008C6BD0"/>
    <w:rsid w:val="008C7FD1"/>
    <w:rsid w:val="008D1FD7"/>
    <w:rsid w:val="008D2EBD"/>
    <w:rsid w:val="008D5E21"/>
    <w:rsid w:val="008D7724"/>
    <w:rsid w:val="008E471A"/>
    <w:rsid w:val="008E50FE"/>
    <w:rsid w:val="008E641B"/>
    <w:rsid w:val="008F0A81"/>
    <w:rsid w:val="008F3EBA"/>
    <w:rsid w:val="008F4914"/>
    <w:rsid w:val="008F4AC5"/>
    <w:rsid w:val="008F5963"/>
    <w:rsid w:val="008F7BC1"/>
    <w:rsid w:val="0090190C"/>
    <w:rsid w:val="00902C54"/>
    <w:rsid w:val="009061A1"/>
    <w:rsid w:val="00920EE5"/>
    <w:rsid w:val="00923261"/>
    <w:rsid w:val="009256B7"/>
    <w:rsid w:val="00931ECB"/>
    <w:rsid w:val="00934794"/>
    <w:rsid w:val="00954DBB"/>
    <w:rsid w:val="00954E7B"/>
    <w:rsid w:val="009603AE"/>
    <w:rsid w:val="00960783"/>
    <w:rsid w:val="00970C7A"/>
    <w:rsid w:val="009721DB"/>
    <w:rsid w:val="0097284D"/>
    <w:rsid w:val="00972BFA"/>
    <w:rsid w:val="0097504E"/>
    <w:rsid w:val="009778B7"/>
    <w:rsid w:val="009868B6"/>
    <w:rsid w:val="009965BA"/>
    <w:rsid w:val="009969C5"/>
    <w:rsid w:val="00997BBA"/>
    <w:rsid w:val="009A39A6"/>
    <w:rsid w:val="009A4B79"/>
    <w:rsid w:val="009A4D72"/>
    <w:rsid w:val="009B061F"/>
    <w:rsid w:val="009B6535"/>
    <w:rsid w:val="009C004D"/>
    <w:rsid w:val="009C2479"/>
    <w:rsid w:val="009C2EBE"/>
    <w:rsid w:val="009C5261"/>
    <w:rsid w:val="009C7925"/>
    <w:rsid w:val="009D06F8"/>
    <w:rsid w:val="009D2554"/>
    <w:rsid w:val="009D4830"/>
    <w:rsid w:val="009D73F1"/>
    <w:rsid w:val="009E0B06"/>
    <w:rsid w:val="009E150D"/>
    <w:rsid w:val="009E5709"/>
    <w:rsid w:val="009E7259"/>
    <w:rsid w:val="009E7D48"/>
    <w:rsid w:val="009F4FE7"/>
    <w:rsid w:val="00A00242"/>
    <w:rsid w:val="00A00961"/>
    <w:rsid w:val="00A05041"/>
    <w:rsid w:val="00A05C99"/>
    <w:rsid w:val="00A12826"/>
    <w:rsid w:val="00A13F82"/>
    <w:rsid w:val="00A16664"/>
    <w:rsid w:val="00A20C75"/>
    <w:rsid w:val="00A22E0D"/>
    <w:rsid w:val="00A26FE8"/>
    <w:rsid w:val="00A27C99"/>
    <w:rsid w:val="00A3527E"/>
    <w:rsid w:val="00A354D9"/>
    <w:rsid w:val="00A35D01"/>
    <w:rsid w:val="00A41ED3"/>
    <w:rsid w:val="00A42B4F"/>
    <w:rsid w:val="00A46E17"/>
    <w:rsid w:val="00A47501"/>
    <w:rsid w:val="00A47BD6"/>
    <w:rsid w:val="00A47F03"/>
    <w:rsid w:val="00A47FA2"/>
    <w:rsid w:val="00A51A7E"/>
    <w:rsid w:val="00A55F4F"/>
    <w:rsid w:val="00A6237D"/>
    <w:rsid w:val="00A64A8F"/>
    <w:rsid w:val="00A72B2E"/>
    <w:rsid w:val="00A748BA"/>
    <w:rsid w:val="00A83426"/>
    <w:rsid w:val="00A83862"/>
    <w:rsid w:val="00A8486C"/>
    <w:rsid w:val="00A919BF"/>
    <w:rsid w:val="00A96702"/>
    <w:rsid w:val="00A97EB2"/>
    <w:rsid w:val="00AA14A9"/>
    <w:rsid w:val="00AA42C1"/>
    <w:rsid w:val="00AB0BAF"/>
    <w:rsid w:val="00AB47C8"/>
    <w:rsid w:val="00AB4ED4"/>
    <w:rsid w:val="00AB780A"/>
    <w:rsid w:val="00AC14A7"/>
    <w:rsid w:val="00AC4315"/>
    <w:rsid w:val="00AD015B"/>
    <w:rsid w:val="00AD3032"/>
    <w:rsid w:val="00AD358B"/>
    <w:rsid w:val="00AD3F34"/>
    <w:rsid w:val="00AD42DA"/>
    <w:rsid w:val="00AE0A48"/>
    <w:rsid w:val="00AF61B8"/>
    <w:rsid w:val="00B0645A"/>
    <w:rsid w:val="00B06FEE"/>
    <w:rsid w:val="00B0708D"/>
    <w:rsid w:val="00B110AD"/>
    <w:rsid w:val="00B16904"/>
    <w:rsid w:val="00B16C16"/>
    <w:rsid w:val="00B2526A"/>
    <w:rsid w:val="00B2604E"/>
    <w:rsid w:val="00B271BA"/>
    <w:rsid w:val="00B27C31"/>
    <w:rsid w:val="00B321F9"/>
    <w:rsid w:val="00B3429E"/>
    <w:rsid w:val="00B3462F"/>
    <w:rsid w:val="00B356FB"/>
    <w:rsid w:val="00B36B0B"/>
    <w:rsid w:val="00B42740"/>
    <w:rsid w:val="00B435F9"/>
    <w:rsid w:val="00B4433D"/>
    <w:rsid w:val="00B50A07"/>
    <w:rsid w:val="00B51542"/>
    <w:rsid w:val="00B52F2B"/>
    <w:rsid w:val="00B54D6F"/>
    <w:rsid w:val="00B62FA8"/>
    <w:rsid w:val="00B67E81"/>
    <w:rsid w:val="00B70EB9"/>
    <w:rsid w:val="00B73059"/>
    <w:rsid w:val="00B74237"/>
    <w:rsid w:val="00B751D7"/>
    <w:rsid w:val="00B80591"/>
    <w:rsid w:val="00B8270C"/>
    <w:rsid w:val="00B82F15"/>
    <w:rsid w:val="00B90C37"/>
    <w:rsid w:val="00B91C15"/>
    <w:rsid w:val="00B93D4A"/>
    <w:rsid w:val="00B95C92"/>
    <w:rsid w:val="00BA117A"/>
    <w:rsid w:val="00BA20D6"/>
    <w:rsid w:val="00BA2DF0"/>
    <w:rsid w:val="00BA3AB4"/>
    <w:rsid w:val="00BA3F9A"/>
    <w:rsid w:val="00BA4622"/>
    <w:rsid w:val="00BB1691"/>
    <w:rsid w:val="00BB4C9F"/>
    <w:rsid w:val="00BB5CA6"/>
    <w:rsid w:val="00BB75BB"/>
    <w:rsid w:val="00BC0794"/>
    <w:rsid w:val="00BC0D5D"/>
    <w:rsid w:val="00BC237B"/>
    <w:rsid w:val="00BC605D"/>
    <w:rsid w:val="00BD17E9"/>
    <w:rsid w:val="00BD44E4"/>
    <w:rsid w:val="00BD7C0A"/>
    <w:rsid w:val="00BE2F68"/>
    <w:rsid w:val="00BE38FC"/>
    <w:rsid w:val="00BE6D57"/>
    <w:rsid w:val="00BF0BE2"/>
    <w:rsid w:val="00C03C7B"/>
    <w:rsid w:val="00C0784C"/>
    <w:rsid w:val="00C101A4"/>
    <w:rsid w:val="00C109AF"/>
    <w:rsid w:val="00C141EA"/>
    <w:rsid w:val="00C27516"/>
    <w:rsid w:val="00C303D8"/>
    <w:rsid w:val="00C31732"/>
    <w:rsid w:val="00C3377E"/>
    <w:rsid w:val="00C3493B"/>
    <w:rsid w:val="00C36C8A"/>
    <w:rsid w:val="00C37458"/>
    <w:rsid w:val="00C37EE1"/>
    <w:rsid w:val="00C4093F"/>
    <w:rsid w:val="00C438DD"/>
    <w:rsid w:val="00C43CAD"/>
    <w:rsid w:val="00C43CD1"/>
    <w:rsid w:val="00C45020"/>
    <w:rsid w:val="00C45283"/>
    <w:rsid w:val="00C5022C"/>
    <w:rsid w:val="00C552FD"/>
    <w:rsid w:val="00C55637"/>
    <w:rsid w:val="00C57F15"/>
    <w:rsid w:val="00C61DCE"/>
    <w:rsid w:val="00C63573"/>
    <w:rsid w:val="00C6510F"/>
    <w:rsid w:val="00C7361C"/>
    <w:rsid w:val="00C85258"/>
    <w:rsid w:val="00C85930"/>
    <w:rsid w:val="00C933A4"/>
    <w:rsid w:val="00C95D8A"/>
    <w:rsid w:val="00CA223B"/>
    <w:rsid w:val="00CA2786"/>
    <w:rsid w:val="00CA3EA2"/>
    <w:rsid w:val="00CA61C5"/>
    <w:rsid w:val="00CB24C2"/>
    <w:rsid w:val="00CB3864"/>
    <w:rsid w:val="00CB719A"/>
    <w:rsid w:val="00CC1DF4"/>
    <w:rsid w:val="00CC6FCD"/>
    <w:rsid w:val="00CD2051"/>
    <w:rsid w:val="00CD43B6"/>
    <w:rsid w:val="00CD5D1C"/>
    <w:rsid w:val="00CD64B2"/>
    <w:rsid w:val="00CE2F8C"/>
    <w:rsid w:val="00CE4A10"/>
    <w:rsid w:val="00CE72F6"/>
    <w:rsid w:val="00CF6FFD"/>
    <w:rsid w:val="00CF75CA"/>
    <w:rsid w:val="00CF7B67"/>
    <w:rsid w:val="00D00FD5"/>
    <w:rsid w:val="00D014E7"/>
    <w:rsid w:val="00D02998"/>
    <w:rsid w:val="00D02C4E"/>
    <w:rsid w:val="00D05B15"/>
    <w:rsid w:val="00D06233"/>
    <w:rsid w:val="00D0636D"/>
    <w:rsid w:val="00D113AC"/>
    <w:rsid w:val="00D20185"/>
    <w:rsid w:val="00D4342C"/>
    <w:rsid w:val="00D4471B"/>
    <w:rsid w:val="00D50037"/>
    <w:rsid w:val="00D52086"/>
    <w:rsid w:val="00D52F6B"/>
    <w:rsid w:val="00D54F5C"/>
    <w:rsid w:val="00D5714D"/>
    <w:rsid w:val="00D62152"/>
    <w:rsid w:val="00D63646"/>
    <w:rsid w:val="00D67336"/>
    <w:rsid w:val="00D74038"/>
    <w:rsid w:val="00D74C6A"/>
    <w:rsid w:val="00D937CB"/>
    <w:rsid w:val="00D942EB"/>
    <w:rsid w:val="00D96A64"/>
    <w:rsid w:val="00DA2A7B"/>
    <w:rsid w:val="00DA78D0"/>
    <w:rsid w:val="00DB00CD"/>
    <w:rsid w:val="00DC080B"/>
    <w:rsid w:val="00DC4BC6"/>
    <w:rsid w:val="00DC58A9"/>
    <w:rsid w:val="00DC5C06"/>
    <w:rsid w:val="00DC7397"/>
    <w:rsid w:val="00DC7DA9"/>
    <w:rsid w:val="00DC7E1B"/>
    <w:rsid w:val="00DD1DDC"/>
    <w:rsid w:val="00DD3718"/>
    <w:rsid w:val="00DD7E7A"/>
    <w:rsid w:val="00DE0BF0"/>
    <w:rsid w:val="00DF39E3"/>
    <w:rsid w:val="00DF4294"/>
    <w:rsid w:val="00E033B7"/>
    <w:rsid w:val="00E06C2F"/>
    <w:rsid w:val="00E11B7F"/>
    <w:rsid w:val="00E203B3"/>
    <w:rsid w:val="00E206B1"/>
    <w:rsid w:val="00E24399"/>
    <w:rsid w:val="00E274C6"/>
    <w:rsid w:val="00E31A93"/>
    <w:rsid w:val="00E3690F"/>
    <w:rsid w:val="00E41399"/>
    <w:rsid w:val="00E41C50"/>
    <w:rsid w:val="00E430D8"/>
    <w:rsid w:val="00E4320C"/>
    <w:rsid w:val="00E43572"/>
    <w:rsid w:val="00E4436B"/>
    <w:rsid w:val="00E553F1"/>
    <w:rsid w:val="00E562AA"/>
    <w:rsid w:val="00E609B4"/>
    <w:rsid w:val="00E6188B"/>
    <w:rsid w:val="00E63279"/>
    <w:rsid w:val="00E63FA3"/>
    <w:rsid w:val="00E672FC"/>
    <w:rsid w:val="00E71D6C"/>
    <w:rsid w:val="00E74BD5"/>
    <w:rsid w:val="00E751A3"/>
    <w:rsid w:val="00E7592A"/>
    <w:rsid w:val="00E760B3"/>
    <w:rsid w:val="00E76B1A"/>
    <w:rsid w:val="00E80C4C"/>
    <w:rsid w:val="00E827ED"/>
    <w:rsid w:val="00E839DA"/>
    <w:rsid w:val="00E904EF"/>
    <w:rsid w:val="00E90B4F"/>
    <w:rsid w:val="00E90BFC"/>
    <w:rsid w:val="00E915E3"/>
    <w:rsid w:val="00E9325C"/>
    <w:rsid w:val="00E93E3F"/>
    <w:rsid w:val="00E94051"/>
    <w:rsid w:val="00E94DA2"/>
    <w:rsid w:val="00E95350"/>
    <w:rsid w:val="00E957EC"/>
    <w:rsid w:val="00E96D45"/>
    <w:rsid w:val="00E97B4B"/>
    <w:rsid w:val="00EA14E0"/>
    <w:rsid w:val="00EA2947"/>
    <w:rsid w:val="00EA6388"/>
    <w:rsid w:val="00EB00CD"/>
    <w:rsid w:val="00EB0BD8"/>
    <w:rsid w:val="00EB4197"/>
    <w:rsid w:val="00EB4756"/>
    <w:rsid w:val="00EC4604"/>
    <w:rsid w:val="00EC4AFD"/>
    <w:rsid w:val="00EC64A3"/>
    <w:rsid w:val="00ED0067"/>
    <w:rsid w:val="00ED06E4"/>
    <w:rsid w:val="00EE2509"/>
    <w:rsid w:val="00EE3D03"/>
    <w:rsid w:val="00EE465E"/>
    <w:rsid w:val="00EE740D"/>
    <w:rsid w:val="00EF0497"/>
    <w:rsid w:val="00EF3077"/>
    <w:rsid w:val="00EF41AB"/>
    <w:rsid w:val="00EF73E5"/>
    <w:rsid w:val="00F004EC"/>
    <w:rsid w:val="00F05C3F"/>
    <w:rsid w:val="00F1131F"/>
    <w:rsid w:val="00F11348"/>
    <w:rsid w:val="00F13C5A"/>
    <w:rsid w:val="00F14BDB"/>
    <w:rsid w:val="00F15D84"/>
    <w:rsid w:val="00F22AF2"/>
    <w:rsid w:val="00F23B36"/>
    <w:rsid w:val="00F2677A"/>
    <w:rsid w:val="00F27D29"/>
    <w:rsid w:val="00F27DDF"/>
    <w:rsid w:val="00F424C9"/>
    <w:rsid w:val="00F440BF"/>
    <w:rsid w:val="00F459D4"/>
    <w:rsid w:val="00F50033"/>
    <w:rsid w:val="00F57999"/>
    <w:rsid w:val="00F62C26"/>
    <w:rsid w:val="00F62F09"/>
    <w:rsid w:val="00F634EA"/>
    <w:rsid w:val="00F64841"/>
    <w:rsid w:val="00F65F07"/>
    <w:rsid w:val="00F66B41"/>
    <w:rsid w:val="00F70281"/>
    <w:rsid w:val="00F70811"/>
    <w:rsid w:val="00F71FBB"/>
    <w:rsid w:val="00F82A0E"/>
    <w:rsid w:val="00F8516B"/>
    <w:rsid w:val="00F9242E"/>
    <w:rsid w:val="00F939BB"/>
    <w:rsid w:val="00F96390"/>
    <w:rsid w:val="00F970FB"/>
    <w:rsid w:val="00FA22AC"/>
    <w:rsid w:val="00FA4596"/>
    <w:rsid w:val="00FA46CE"/>
    <w:rsid w:val="00FA4943"/>
    <w:rsid w:val="00FA49CF"/>
    <w:rsid w:val="00FA4CEC"/>
    <w:rsid w:val="00FB226C"/>
    <w:rsid w:val="00FB2CEC"/>
    <w:rsid w:val="00FB39CB"/>
    <w:rsid w:val="00FC2254"/>
    <w:rsid w:val="00FC30DA"/>
    <w:rsid w:val="00FC64EE"/>
    <w:rsid w:val="00FC7809"/>
    <w:rsid w:val="00FC7BC7"/>
    <w:rsid w:val="00FD1713"/>
    <w:rsid w:val="00FD585B"/>
    <w:rsid w:val="00FE0714"/>
    <w:rsid w:val="00FE0E29"/>
    <w:rsid w:val="00FE7759"/>
    <w:rsid w:val="00FF12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ddd,silver,#eaeaea"/>
    </o:shapedefaults>
    <o:shapelayout v:ext="edit">
      <o:idmap v:ext="edit" data="1"/>
    </o:shapelayout>
  </w:shapeDefaults>
  <w:decimalSymbol w:val="."/>
  <w:listSeparator w:val=","/>
  <w14:docId w14:val="10E03020"/>
  <w15:docId w15:val="{47BA0183-4F4E-4246-99BC-9510E099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5F2"/>
    <w:pPr>
      <w:jc w:val="both"/>
    </w:pPr>
    <w:rPr>
      <w:sz w:val="19"/>
      <w:lang w:eastAsia="en-US"/>
    </w:rPr>
  </w:style>
  <w:style w:type="paragraph" w:styleId="Heading1">
    <w:name w:val="heading 1"/>
    <w:basedOn w:val="Normal"/>
    <w:next w:val="Normal"/>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F13C5A"/>
    <w:pPr>
      <w:pBdr>
        <w:bottom w:val="single" w:sz="4" w:space="1" w:color="auto"/>
      </w:pBdr>
      <w:spacing w:before="600"/>
      <w:outlineLvl w:val="1"/>
    </w:pPr>
    <w:rPr>
      <w:bCs w:val="0"/>
      <w:iCs/>
      <w:szCs w:val="28"/>
    </w:rPr>
  </w:style>
  <w:style w:type="paragraph" w:styleId="Heading3">
    <w:name w:val="heading 3"/>
    <w:basedOn w:val="Heading2"/>
    <w:next w:val="Normal"/>
    <w:qFormat/>
    <w:rsid w:val="001C553E"/>
    <w:pPr>
      <w:spacing w:before="400"/>
      <w:outlineLvl w:val="2"/>
    </w:pPr>
    <w:rPr>
      <w:bCs/>
      <w:szCs w:val="26"/>
    </w:rPr>
  </w:style>
  <w:style w:type="paragraph" w:styleId="Heading4">
    <w:name w:val="heading 4"/>
    <w:basedOn w:val="Heading3"/>
    <w:next w:val="Normal"/>
    <w:qFormat/>
    <w:rsid w:val="001C553E"/>
    <w:pPr>
      <w:pBdr>
        <w:bottom w:val="none" w:sz="0" w:space="0" w:color="auto"/>
      </w:pBdr>
      <w:spacing w:before="100"/>
      <w:ind w:left="782"/>
      <w:outlineLvl w:val="3"/>
    </w:pPr>
    <w:rPr>
      <w:bCs w:val="0"/>
      <w:szCs w:val="28"/>
    </w:rPr>
  </w:style>
  <w:style w:type="paragraph" w:styleId="Heading5">
    <w:name w:val="heading 5"/>
    <w:basedOn w:val="Heading4"/>
    <w:next w:val="Normal"/>
    <w:qFormat/>
    <w:rsid w:val="001C553E"/>
    <w:pPr>
      <w:outlineLvl w:val="4"/>
    </w:pPr>
    <w:rPr>
      <w:bCs/>
      <w:i/>
      <w:iCs w:val="0"/>
      <w:sz w:val="18"/>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580BC4"/>
    <w:pPr>
      <w:pBdr>
        <w:bottom w:val="none" w:sz="0" w:space="0" w:color="auto"/>
      </w:pBdr>
      <w:ind w:left="510"/>
    </w:pPr>
  </w:style>
  <w:style w:type="paragraph" w:customStyle="1" w:styleId="Heading4Indent1">
    <w:name w:val="Heading 4 Indent1"/>
    <w:basedOn w:val="Heading4"/>
    <w:next w:val="Normal"/>
    <w:rsid w:val="001C553E"/>
    <w:pPr>
      <w:ind w:left="1293"/>
    </w:pPr>
  </w:style>
  <w:style w:type="paragraph" w:customStyle="1" w:styleId="Heading5Indent1">
    <w:name w:val="Heading 5 Indent1"/>
    <w:basedOn w:val="Heading5"/>
    <w:next w:val="Normal"/>
    <w:rsid w:val="001C553E"/>
    <w:pPr>
      <w:ind w:left="1293"/>
    </w:pPr>
  </w:style>
  <w:style w:type="paragraph" w:customStyle="1" w:styleId="Heading6Indent1">
    <w:name w:val="Heading 6 Indent1"/>
    <w:basedOn w:val="Heading6"/>
    <w:next w:val="Normal"/>
    <w:rsid w:val="001C553E"/>
    <w:pPr>
      <w:ind w:left="1293"/>
    </w:pPr>
  </w:style>
  <w:style w:type="paragraph" w:styleId="Header">
    <w:name w:val="header"/>
    <w:basedOn w:val="Normal"/>
    <w:link w:val="HeaderChar"/>
    <w:uiPriority w:val="99"/>
    <w:rsid w:val="00D74C6A"/>
    <w:pPr>
      <w:tabs>
        <w:tab w:val="center" w:pos="4536"/>
        <w:tab w:val="right" w:pos="9072"/>
      </w:tabs>
    </w:pPr>
  </w:style>
  <w:style w:type="paragraph" w:styleId="Footer">
    <w:name w:val="footer"/>
    <w:basedOn w:val="Normal"/>
    <w:link w:val="FooterChar"/>
    <w:uiPriority w:val="99"/>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rsid w:val="001A0C8F"/>
    <w:pPr>
      <w:tabs>
        <w:tab w:val="right" w:pos="9072"/>
      </w:tabs>
      <w:spacing w:after="60"/>
      <w:ind w:left="170" w:right="1134" w:hanging="170"/>
      <w:jc w:val="left"/>
    </w:pPr>
    <w:rPr>
      <w:b/>
      <w:caps/>
    </w:r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rsid w:val="001A0C8F"/>
    <w:pPr>
      <w:ind w:left="510"/>
    </w:pPr>
    <w:rPr>
      <w:b w:val="0"/>
      <w:caps w:val="0"/>
    </w:r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7"/>
      </w:numPr>
      <w:spacing w:before="100" w:after="100"/>
    </w:pPr>
  </w:style>
  <w:style w:type="paragraph" w:customStyle="1" w:styleId="NoNumPlain1">
    <w:name w:val="NoNum Plain1"/>
    <w:basedOn w:val="Normal"/>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580BC4"/>
    <w:pPr>
      <w:numPr>
        <w:numId w:val="1"/>
      </w:numPr>
      <w:spacing w:before="100" w:after="10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580BC4"/>
    <w:pPr>
      <w:numPr>
        <w:numId w:val="6"/>
      </w:numPr>
      <w:spacing w:before="100" w:after="100"/>
      <w:ind w:left="505" w:hanging="505"/>
    </w:pPr>
  </w:style>
  <w:style w:type="paragraph" w:customStyle="1" w:styleId="Bullet2">
    <w:name w:val="Bullet2"/>
    <w:basedOn w:val="Normal"/>
    <w:rsid w:val="00972BFA"/>
    <w:pPr>
      <w:numPr>
        <w:ilvl w:val="1"/>
        <w:numId w:val="6"/>
      </w:numPr>
      <w:spacing w:after="200"/>
      <w:ind w:left="1010" w:hanging="505"/>
    </w:pPr>
  </w:style>
  <w:style w:type="paragraph" w:customStyle="1" w:styleId="Bullet3">
    <w:name w:val="Bullet3"/>
    <w:basedOn w:val="Normal"/>
    <w:rsid w:val="00972BFA"/>
    <w:pPr>
      <w:numPr>
        <w:ilvl w:val="2"/>
        <w:numId w:val="6"/>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6"/>
      </w:numPr>
      <w:spacing w:after="200"/>
      <w:ind w:left="2019" w:hanging="505"/>
    </w:pPr>
  </w:style>
  <w:style w:type="paragraph" w:customStyle="1" w:styleId="ContentsCapsPlain">
    <w:name w:val="Contents CapsPlain"/>
    <w:basedOn w:val="Normal"/>
    <w:next w:val="ContentsLevel1"/>
    <w:rsid w:val="0034243B"/>
    <w:pPr>
      <w:spacing w:after="200"/>
    </w:pPr>
    <w:rPr>
      <w:caps/>
    </w:r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3"/>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4"/>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0812F8"/>
    <w:rPr>
      <w:sz w:val="19"/>
      <w:lang w:eastAsia="en-US"/>
    </w:rPr>
  </w:style>
  <w:style w:type="paragraph" w:styleId="BalloonText">
    <w:name w:val="Balloon Text"/>
    <w:basedOn w:val="Normal"/>
    <w:link w:val="BalloonTextChar"/>
    <w:semiHidden/>
    <w:unhideWhenUsed/>
    <w:rsid w:val="001A0C8F"/>
    <w:rPr>
      <w:rFonts w:ascii="Segoe UI" w:hAnsi="Segoe UI" w:cs="Segoe UI"/>
      <w:sz w:val="18"/>
      <w:szCs w:val="18"/>
    </w:rPr>
  </w:style>
  <w:style w:type="character" w:customStyle="1" w:styleId="BalloonTextChar">
    <w:name w:val="Balloon Text Char"/>
    <w:basedOn w:val="DefaultParagraphFont"/>
    <w:link w:val="BalloonText"/>
    <w:semiHidden/>
    <w:rsid w:val="001A0C8F"/>
    <w:rPr>
      <w:rFonts w:ascii="Segoe UI" w:hAnsi="Segoe UI" w:cs="Segoe UI"/>
      <w:sz w:val="18"/>
      <w:szCs w:val="18"/>
      <w:lang w:eastAsia="en-US"/>
    </w:rPr>
  </w:style>
  <w:style w:type="character" w:styleId="CommentReference">
    <w:name w:val="annotation reference"/>
    <w:basedOn w:val="DefaultParagraphFont"/>
    <w:semiHidden/>
    <w:unhideWhenUsed/>
    <w:rsid w:val="00614EDA"/>
    <w:rPr>
      <w:sz w:val="16"/>
      <w:szCs w:val="16"/>
    </w:rPr>
  </w:style>
  <w:style w:type="paragraph" w:styleId="CommentText">
    <w:name w:val="annotation text"/>
    <w:basedOn w:val="Normal"/>
    <w:link w:val="CommentTextChar"/>
    <w:unhideWhenUsed/>
    <w:rsid w:val="00614EDA"/>
    <w:rPr>
      <w:sz w:val="20"/>
    </w:rPr>
  </w:style>
  <w:style w:type="character" w:customStyle="1" w:styleId="CommentTextChar">
    <w:name w:val="Comment Text Char"/>
    <w:basedOn w:val="DefaultParagraphFont"/>
    <w:link w:val="CommentText"/>
    <w:rsid w:val="00614EDA"/>
    <w:rPr>
      <w:lang w:eastAsia="en-US"/>
    </w:rPr>
  </w:style>
  <w:style w:type="paragraph" w:styleId="CommentSubject">
    <w:name w:val="annotation subject"/>
    <w:basedOn w:val="CommentText"/>
    <w:next w:val="CommentText"/>
    <w:link w:val="CommentSubjectChar"/>
    <w:semiHidden/>
    <w:unhideWhenUsed/>
    <w:rsid w:val="00614EDA"/>
    <w:rPr>
      <w:b/>
      <w:bCs/>
    </w:rPr>
  </w:style>
  <w:style w:type="character" w:customStyle="1" w:styleId="CommentSubjectChar">
    <w:name w:val="Comment Subject Char"/>
    <w:basedOn w:val="CommentTextChar"/>
    <w:link w:val="CommentSubject"/>
    <w:semiHidden/>
    <w:rsid w:val="00614EDA"/>
    <w:rPr>
      <w:b/>
      <w:bCs/>
      <w:lang w:eastAsia="en-US"/>
    </w:rPr>
  </w:style>
  <w:style w:type="character" w:styleId="UnresolvedMention">
    <w:name w:val="Unresolved Mention"/>
    <w:basedOn w:val="DefaultParagraphFont"/>
    <w:uiPriority w:val="99"/>
    <w:unhideWhenUsed/>
    <w:rsid w:val="00F57999"/>
    <w:rPr>
      <w:color w:val="605E5C"/>
      <w:shd w:val="clear" w:color="auto" w:fill="E1DFDD"/>
    </w:rPr>
  </w:style>
  <w:style w:type="character" w:styleId="FollowedHyperlink">
    <w:name w:val="FollowedHyperlink"/>
    <w:basedOn w:val="DefaultParagraphFont"/>
    <w:semiHidden/>
    <w:unhideWhenUsed/>
    <w:rsid w:val="005D7BA0"/>
    <w:rPr>
      <w:color w:val="800080" w:themeColor="followedHyperlink"/>
      <w:u w:val="single"/>
    </w:rPr>
  </w:style>
  <w:style w:type="paragraph" w:customStyle="1" w:styleId="IASBNormalnpara">
    <w:name w:val="IASB Normal npara"/>
    <w:basedOn w:val="Normal"/>
    <w:rsid w:val="00CE72F6"/>
    <w:pPr>
      <w:spacing w:before="100"/>
      <w:ind w:left="782" w:hanging="782"/>
    </w:pPr>
    <w:rPr>
      <w:lang w:val="en-US"/>
    </w:rPr>
  </w:style>
  <w:style w:type="paragraph" w:customStyle="1" w:styleId="IASBSectionTitle1NonInd">
    <w:name w:val="IASB Section Title 1 NonInd"/>
    <w:basedOn w:val="Normal"/>
    <w:rsid w:val="00CE72F6"/>
    <w:pPr>
      <w:keepNext/>
      <w:keepLines/>
      <w:pBdr>
        <w:bottom w:val="single" w:sz="4" w:space="0" w:color="auto"/>
      </w:pBdr>
      <w:spacing w:before="400" w:after="200"/>
      <w:jc w:val="left"/>
    </w:pPr>
    <w:rPr>
      <w:rFonts w:ascii="Arial" w:hAnsi="Arial" w:cs="Arial"/>
      <w:b/>
      <w:sz w:val="26"/>
      <w:lang w:val="en-US"/>
    </w:rPr>
  </w:style>
  <w:style w:type="paragraph" w:customStyle="1" w:styleId="IASBNormalnparaP">
    <w:name w:val="IASB Normal nparaP"/>
    <w:basedOn w:val="Normal"/>
    <w:rsid w:val="00CE72F6"/>
    <w:pPr>
      <w:tabs>
        <w:tab w:val="left" w:pos="4253"/>
      </w:tabs>
      <w:spacing w:before="100" w:after="100"/>
      <w:ind w:left="782"/>
    </w:pPr>
    <w:rPr>
      <w:lang w:val="en-US"/>
    </w:rPr>
  </w:style>
  <w:style w:type="paragraph" w:customStyle="1" w:styleId="IASBSectionTitle2Ind">
    <w:name w:val="IASB Section Title 2 Ind"/>
    <w:basedOn w:val="Normal"/>
    <w:rsid w:val="00635801"/>
    <w:pPr>
      <w:keepNext/>
      <w:keepLines/>
      <w:spacing w:before="240" w:after="200"/>
      <w:ind w:left="782"/>
      <w:jc w:val="left"/>
    </w:pPr>
    <w:rPr>
      <w:rFonts w:ascii="Arial" w:hAnsi="Arial" w:cs="Arial"/>
      <w:b/>
      <w:sz w:val="26"/>
      <w:lang w:val="en-US"/>
    </w:rPr>
  </w:style>
  <w:style w:type="paragraph" w:customStyle="1" w:styleId="IASBNormalnparaL1">
    <w:name w:val="IASB Normal nparaL1"/>
    <w:basedOn w:val="IASBNormalnpara"/>
    <w:rsid w:val="00635801"/>
    <w:pPr>
      <w:ind w:left="1564"/>
    </w:pPr>
  </w:style>
  <w:style w:type="paragraph" w:customStyle="1" w:styleId="IASBSectionTitle3Ind">
    <w:name w:val="IASB Section Title 3 Ind"/>
    <w:basedOn w:val="Normal"/>
    <w:rsid w:val="00FE7759"/>
    <w:pPr>
      <w:keepNext/>
      <w:keepLines/>
      <w:spacing w:before="240" w:after="200"/>
      <w:ind w:left="782"/>
      <w:jc w:val="left"/>
    </w:pPr>
    <w:rPr>
      <w:rFonts w:ascii="Arial" w:hAnsi="Arial" w:cs="Arial"/>
      <w:b/>
      <w:sz w:val="22"/>
      <w:lang w:val="en-US"/>
    </w:rPr>
  </w:style>
  <w:style w:type="paragraph" w:customStyle="1" w:styleId="IASBNormalnparaL2">
    <w:name w:val="IASB Normal nparaL2"/>
    <w:basedOn w:val="IASBNormalnparaL1"/>
    <w:rsid w:val="00FE7759"/>
    <w:pPr>
      <w:ind w:left="2347"/>
    </w:pPr>
  </w:style>
  <w:style w:type="paragraph" w:customStyle="1" w:styleId="IASBTableArial">
    <w:name w:val="IASB Table Arial"/>
    <w:basedOn w:val="Normal"/>
    <w:rsid w:val="001151B3"/>
    <w:pPr>
      <w:spacing w:before="120"/>
      <w:jc w:val="left"/>
    </w:pPr>
    <w:rPr>
      <w:rFonts w:ascii="Arial" w:hAnsi="Arial"/>
      <w:sz w:val="18"/>
      <w:lang w:val="en-GB" w:eastAsia="en-GB"/>
    </w:rPr>
  </w:style>
  <w:style w:type="paragraph" w:customStyle="1" w:styleId="IASBNormal">
    <w:name w:val="IASB Normal"/>
    <w:rsid w:val="00FE0714"/>
    <w:pPr>
      <w:tabs>
        <w:tab w:val="left" w:pos="4253"/>
      </w:tabs>
      <w:spacing w:before="100" w:after="100"/>
      <w:jc w:val="both"/>
    </w:pPr>
    <w:rPr>
      <w:sz w:val="19"/>
      <w:lang w:val="en-US" w:eastAsia="en-US"/>
    </w:rPr>
  </w:style>
  <w:style w:type="paragraph" w:customStyle="1" w:styleId="IASBSectionTitle2NonInd">
    <w:name w:val="IASB Section Title 2 NonInd"/>
    <w:basedOn w:val="Normal"/>
    <w:rsid w:val="00FE0714"/>
    <w:pPr>
      <w:keepNext/>
      <w:keepLines/>
      <w:spacing w:before="300" w:after="200"/>
      <w:jc w:val="left"/>
    </w:pPr>
    <w:rPr>
      <w:rFonts w:ascii="Arial" w:hAnsi="Arial" w:cs="Arial"/>
      <w:b/>
      <w:sz w:val="26"/>
      <w:lang w:val="en-US"/>
    </w:rPr>
  </w:style>
  <w:style w:type="paragraph" w:customStyle="1" w:styleId="IASBNormalL1">
    <w:name w:val="IASB Normal L1"/>
    <w:basedOn w:val="IASBNormalnpara"/>
    <w:rsid w:val="00FE0714"/>
  </w:style>
  <w:style w:type="character" w:customStyle="1" w:styleId="HeaderChar">
    <w:name w:val="Header Char"/>
    <w:basedOn w:val="DefaultParagraphFont"/>
    <w:link w:val="Header"/>
    <w:uiPriority w:val="99"/>
    <w:rsid w:val="00FE0714"/>
    <w:rPr>
      <w:sz w:val="19"/>
      <w:lang w:eastAsia="en-US"/>
    </w:rPr>
  </w:style>
  <w:style w:type="character" w:customStyle="1" w:styleId="FooterChar">
    <w:name w:val="Footer Char"/>
    <w:basedOn w:val="DefaultParagraphFont"/>
    <w:link w:val="Footer"/>
    <w:uiPriority w:val="99"/>
    <w:rsid w:val="00FE0714"/>
    <w:rPr>
      <w:sz w:val="19"/>
      <w:lang w:eastAsia="en-US"/>
    </w:rPr>
  </w:style>
  <w:style w:type="paragraph" w:customStyle="1" w:styleId="IASBTableNormal">
    <w:name w:val="IASB Table Normal"/>
    <w:basedOn w:val="Normal"/>
    <w:rsid w:val="00FE0714"/>
    <w:pPr>
      <w:spacing w:before="80" w:after="60"/>
      <w:jc w:val="left"/>
    </w:pPr>
    <w:rPr>
      <w:lang w:val="en-GB" w:eastAsia="en-GB"/>
    </w:rPr>
  </w:style>
  <w:style w:type="character" w:styleId="Mention">
    <w:name w:val="Mention"/>
    <w:basedOn w:val="DefaultParagraphFont"/>
    <w:uiPriority w:val="99"/>
    <w:unhideWhenUsed/>
    <w:rsid w:val="00CB38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ake\AUSTRALIAN%20ACCOUNTING%20STANDARDS%20-%20AUDITING%20AND%20ASSURANCE%20STANDARDS%20BOARD\OfficeTemplates%20-%20Documents\Templates\AmendingIF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E783DE0C8B6B4D9E83E79277ABEA6F" ma:contentTypeVersion="13" ma:contentTypeDescription="Create a new document." ma:contentTypeScope="" ma:versionID="76157d3ba0c82ecc92a4b5f18f80b960">
  <xsd:schema xmlns:xsd="http://www.w3.org/2001/XMLSchema" xmlns:xs="http://www.w3.org/2001/XMLSchema" xmlns:p="http://schemas.microsoft.com/office/2006/metadata/properties" xmlns:ns3="dacb3ef7-33a4-4aaf-8e2c-a382b35b1891" xmlns:ns4="2fffc6f8-0ce6-4feb-a150-9d1574269ef9" targetNamespace="http://schemas.microsoft.com/office/2006/metadata/properties" ma:root="true" ma:fieldsID="3d0be07be4c545ad0803b7182315c0d8" ns3:_="" ns4:_="">
    <xsd:import namespace="dacb3ef7-33a4-4aaf-8e2c-a382b35b1891"/>
    <xsd:import namespace="2fffc6f8-0ce6-4feb-a150-9d1574269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b3ef7-33a4-4aaf-8e2c-a382b35b1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ffc6f8-0ce6-4feb-a150-9d1574269e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F821C3-00EA-46A5-8D5F-F5FD41216991}">
  <ds:schemaRefs>
    <ds:schemaRef ds:uri="http://www.w3.org/XML/1998/namespace"/>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http://schemas.microsoft.com/office/2006/metadata/properties"/>
    <ds:schemaRef ds:uri="2fffc6f8-0ce6-4feb-a150-9d1574269ef9"/>
    <ds:schemaRef ds:uri="dacb3ef7-33a4-4aaf-8e2c-a382b35b1891"/>
    <ds:schemaRef ds:uri="http://purl.org/dc/elements/1.1/"/>
  </ds:schemaRefs>
</ds:datastoreItem>
</file>

<file path=customXml/itemProps2.xml><?xml version="1.0" encoding="utf-8"?>
<ds:datastoreItem xmlns:ds="http://schemas.openxmlformats.org/officeDocument/2006/customXml" ds:itemID="{6351F9D9-B8DD-414B-8C44-0D6A84B43231}">
  <ds:schemaRefs>
    <ds:schemaRef ds:uri="http://schemas.openxmlformats.org/officeDocument/2006/bibliography"/>
  </ds:schemaRefs>
</ds:datastoreItem>
</file>

<file path=customXml/itemProps3.xml><?xml version="1.0" encoding="utf-8"?>
<ds:datastoreItem xmlns:ds="http://schemas.openxmlformats.org/officeDocument/2006/customXml" ds:itemID="{5F4193EF-DB6E-491B-B9E5-446ADFC30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b3ef7-33a4-4aaf-8e2c-a382b35b1891"/>
    <ds:schemaRef ds:uri="2fffc6f8-0ce6-4feb-a150-9d1574269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660860-9CE2-4828-8B89-E5C48DFB6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AmendingIFRS</Template>
  <TotalTime>1</TotalTime>
  <Pages>17</Pages>
  <Words>6581</Words>
  <Characters>37512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Amending Standard</vt:lpstr>
    </vt:vector>
  </TitlesOfParts>
  <Company>Australian Accounting Standards Board</Company>
  <LinksUpToDate>false</LinksUpToDate>
  <CharactersWithSpaces>44005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Standard</dc:title>
  <dc:subject/>
  <dc:creator>.</dc:creator>
  <cp:keywords/>
  <cp:lastModifiedBy>James Wake</cp:lastModifiedBy>
  <cp:revision>2</cp:revision>
  <cp:lastPrinted>2021-03-19T02:04:00Z</cp:lastPrinted>
  <dcterms:created xsi:type="dcterms:W3CDTF">2021-04-19T02:10:00Z</dcterms:created>
  <dcterms:modified xsi:type="dcterms:W3CDTF">2021-04-19T02:10:00Z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0x01010070E783DE0C8B6B4D9E83E79277ABEA6F</vt:lpwstr>
  </property>
</Properties>
</file>