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709" w:rsidRPr="00731FEA" w:rsidRDefault="00A87709" w:rsidP="00A87709">
      <w:pPr>
        <w:pStyle w:val="Heading1"/>
        <w:spacing w:after="360"/>
        <w:rPr>
          <w:rFonts w:ascii="Times New Roman" w:hAnsi="Times New Roman"/>
          <w:sz w:val="24"/>
          <w:szCs w:val="24"/>
        </w:rPr>
      </w:pPr>
      <w:r w:rsidRPr="00731FEA">
        <w:rPr>
          <w:rFonts w:ascii="Times New Roman" w:hAnsi="Times New Roman"/>
          <w:sz w:val="24"/>
          <w:szCs w:val="24"/>
        </w:rPr>
        <w:t>EXPLANATORY STATEMENT</w:t>
      </w:r>
    </w:p>
    <w:p w:rsidR="00A87709" w:rsidRPr="00731FEA" w:rsidRDefault="00A87709" w:rsidP="00A87709">
      <w:pPr>
        <w:pStyle w:val="Heading2"/>
        <w:jc w:val="center"/>
        <w:rPr>
          <w:sz w:val="24"/>
          <w:szCs w:val="24"/>
        </w:rPr>
      </w:pPr>
      <w:r w:rsidRPr="007B335E">
        <w:rPr>
          <w:sz w:val="24"/>
          <w:szCs w:val="24"/>
        </w:rPr>
        <w:t>Issued by authority of the</w:t>
      </w:r>
      <w:r w:rsidRPr="00731FEA">
        <w:rPr>
          <w:sz w:val="24"/>
          <w:szCs w:val="24"/>
        </w:rPr>
        <w:t xml:space="preserve"> </w:t>
      </w:r>
      <w:sdt>
        <w:sdtPr>
          <w:rPr>
            <w:sz w:val="24"/>
            <w:szCs w:val="24"/>
          </w:rPr>
          <w:id w:val="435951383"/>
          <w:placeholder>
            <w:docPart w:val="2D3ED23D544C4F81BB64908AE640250A"/>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Content>
          <w:r>
            <w:rPr>
              <w:sz w:val="24"/>
              <w:szCs w:val="24"/>
            </w:rPr>
            <w:t>Treasurer</w:t>
          </w:r>
        </w:sdtContent>
      </w:sdt>
    </w:p>
    <w:p w:rsidR="00A87709" w:rsidRDefault="00A87709" w:rsidP="00A87709">
      <w:pPr>
        <w:spacing w:before="240" w:after="240"/>
        <w:jc w:val="center"/>
        <w:rPr>
          <w:i/>
        </w:rPr>
      </w:pPr>
      <w:r w:rsidRPr="000A6430">
        <w:rPr>
          <w:i/>
        </w:rPr>
        <w:t>Federal Financial Relations Act 2009</w:t>
      </w:r>
    </w:p>
    <w:p w:rsidR="00A87709" w:rsidRPr="00503E44" w:rsidRDefault="00A87709" w:rsidP="00A87709">
      <w:pPr>
        <w:tabs>
          <w:tab w:val="left" w:pos="1418"/>
        </w:tabs>
        <w:spacing w:before="0"/>
        <w:jc w:val="center"/>
        <w:rPr>
          <w:i/>
        </w:rPr>
      </w:pPr>
      <w:r w:rsidRPr="000A6430">
        <w:rPr>
          <w:i/>
        </w:rPr>
        <w:t xml:space="preserve">Federal Financial Relations (National Health Reform Payments for </w:t>
      </w:r>
      <w:r>
        <w:rPr>
          <w:i/>
        </w:rPr>
        <w:t xml:space="preserve">2019-20) </w:t>
      </w:r>
      <w:r w:rsidRPr="000A6430">
        <w:rPr>
          <w:i/>
        </w:rPr>
        <w:t xml:space="preserve">Determination </w:t>
      </w:r>
      <w:r>
        <w:rPr>
          <w:i/>
        </w:rPr>
        <w:t>2021</w:t>
      </w:r>
    </w:p>
    <w:p w:rsidR="00A87709" w:rsidRDefault="00A87709" w:rsidP="00A87709">
      <w:pPr>
        <w:spacing w:before="240"/>
      </w:pPr>
      <w:r w:rsidRPr="00503E44">
        <w:t xml:space="preserve">Section </w:t>
      </w:r>
      <w:r>
        <w:t xml:space="preserve">15A </w:t>
      </w:r>
      <w:r w:rsidRPr="00503E44">
        <w:t xml:space="preserve">of the </w:t>
      </w:r>
      <w:r w:rsidRPr="00F934E7">
        <w:rPr>
          <w:i/>
        </w:rPr>
        <w:t>Federal Financial Relations Act 2009</w:t>
      </w:r>
      <w:r w:rsidRPr="00503E44">
        <w:t xml:space="preserve"> (the Act) provides that the </w:t>
      </w:r>
      <w:r>
        <w:t>Treasurer</w:t>
      </w:r>
      <w:r w:rsidRPr="00503E44">
        <w:t xml:space="preserve"> may </w:t>
      </w:r>
      <w:r>
        <w:t xml:space="preserve">determine that an amount specified in the determination is to be paid to a State, the Australian Capital Territory or the Northern Territory as specified in the determination for the purpose of making a grant of financial assistances for the purpose of expenditure in accordance with the National Health Reform Agreement.  </w:t>
      </w:r>
    </w:p>
    <w:p w:rsidR="00A87709" w:rsidRDefault="00A87709" w:rsidP="00A87709">
      <w:pPr>
        <w:spacing w:before="240"/>
      </w:pPr>
      <w:r>
        <w:t xml:space="preserve">The purpose of the </w:t>
      </w:r>
      <w:r w:rsidRPr="008F6761">
        <w:rPr>
          <w:i/>
        </w:rPr>
        <w:t>Federal</w:t>
      </w:r>
      <w:r>
        <w:t xml:space="preserve"> </w:t>
      </w:r>
      <w:r w:rsidRPr="006677C9">
        <w:rPr>
          <w:i/>
        </w:rPr>
        <w:t>Financial Relations (National Health Reform Payments for 2019-20) Determination 2021</w:t>
      </w:r>
      <w:r>
        <w:t xml:space="preserve"> (the Determination) is to specify amounts to be paid to each State, the Australian Capital Territory and Northern Territory for the 2019-20 financial year.</w:t>
      </w:r>
    </w:p>
    <w:p w:rsidR="00A87709" w:rsidRDefault="00A87709" w:rsidP="00A87709">
      <w:pPr>
        <w:spacing w:before="240"/>
      </w:pPr>
      <w:r>
        <w:t xml:space="preserve">Under the </w:t>
      </w:r>
      <w:r w:rsidRPr="00F357FB">
        <w:rPr>
          <w:i/>
        </w:rPr>
        <w:t>Intergovernmental Agreement on Federal Financial Relations</w:t>
      </w:r>
      <w:r>
        <w:t xml:space="preserve"> (the IGA) and the Act, the Commonwealth provides national health reform payments to the States, the Australian Capital Territory and the Northern Territory, as a financial contribution to support state service delivery in the area of healthcare, particularly public hospitals. The details of the funding arrangements are set out in the </w:t>
      </w:r>
      <w:r w:rsidRPr="002D323C">
        <w:rPr>
          <w:i/>
          <w:iCs/>
        </w:rPr>
        <w:t>National Health Reform Agreement</w:t>
      </w:r>
      <w:r>
        <w:t>.</w:t>
      </w:r>
    </w:p>
    <w:p w:rsidR="00A87709" w:rsidRDefault="00A87709" w:rsidP="00A87709">
      <w:pPr>
        <w:spacing w:before="240"/>
      </w:pPr>
      <w:r>
        <w:t xml:space="preserve">Under the </w:t>
      </w:r>
      <w:r w:rsidRPr="008F6761">
        <w:rPr>
          <w:i/>
        </w:rPr>
        <w:t>National Partnership on COVID-19 Response</w:t>
      </w:r>
      <w:r>
        <w:t xml:space="preserve">, the Commonwealth agreed to </w:t>
      </w:r>
      <w:r w:rsidRPr="00DE611B">
        <w:t xml:space="preserve">provide financial assistance for the additional costs incurred by </w:t>
      </w:r>
      <w:r>
        <w:t xml:space="preserve">each </w:t>
      </w:r>
      <w:r w:rsidRPr="00DE611B">
        <w:t>State</w:t>
      </w:r>
      <w:r>
        <w:t>,</w:t>
      </w:r>
      <w:r w:rsidRPr="00DE611B">
        <w:t xml:space="preserve"> the Australian Capital Territory and Northern Territory health </w:t>
      </w:r>
      <w:r>
        <w:t>service</w:t>
      </w:r>
      <w:r w:rsidRPr="00DE611B">
        <w:t xml:space="preserve"> in responding to the COVID-19 outbreak</w:t>
      </w:r>
      <w:r>
        <w:t xml:space="preserve"> in 2019-20 and 2020-21</w:t>
      </w:r>
      <w:r w:rsidRPr="00DE611B">
        <w:t>.</w:t>
      </w:r>
      <w:r>
        <w:t xml:space="preserve"> The </w:t>
      </w:r>
      <w:r w:rsidRPr="002D323C">
        <w:rPr>
          <w:i/>
          <w:iCs/>
        </w:rPr>
        <w:t>National Partnership on COVID</w:t>
      </w:r>
      <w:r w:rsidRPr="002D323C">
        <w:rPr>
          <w:i/>
          <w:iCs/>
        </w:rPr>
        <w:noBreakHyphen/>
        <w:t>19 Response</w:t>
      </w:r>
      <w:r>
        <w:t xml:space="preserve"> amends the </w:t>
      </w:r>
      <w:r w:rsidRPr="002D323C">
        <w:rPr>
          <w:i/>
          <w:iCs/>
        </w:rPr>
        <w:t>National Health Reform Agreement</w:t>
      </w:r>
      <w:r>
        <w:t xml:space="preserve"> so that the additional funding can be paid into the National Health Funding Pool.</w:t>
      </w:r>
    </w:p>
    <w:p w:rsidR="00A87709" w:rsidRDefault="00A87709" w:rsidP="00A87709">
      <w:pPr>
        <w:spacing w:before="240"/>
      </w:pPr>
      <w:r>
        <w:t xml:space="preserve">Advance payments in respect of national health reform are made throughout the financial year based on estimates of each jurisdiction’s anticipated entitlement for that year. In accordance with the </w:t>
      </w:r>
      <w:r w:rsidRPr="002D323C">
        <w:rPr>
          <w:i/>
          <w:iCs/>
        </w:rPr>
        <w:t>National Health Reform Agreement</w:t>
      </w:r>
      <w:r>
        <w:t>, any adjustment between the advances paid to a jurisdiction and the jurisdiction’s determined entitlement will be spread equally across payments for a subsequent quarter,</w:t>
      </w:r>
      <w:r w:rsidRPr="006D22A5">
        <w:t xml:space="preserve"> </w:t>
      </w:r>
      <w:r>
        <w:t>or appropriate period where the Administrator deems necessary.</w:t>
      </w:r>
    </w:p>
    <w:p w:rsidR="00A87709" w:rsidRDefault="00A87709" w:rsidP="00A87709">
      <w:pPr>
        <w:spacing w:before="240"/>
      </w:pPr>
      <w:r>
        <w:t xml:space="preserve">In accordance with the functions of the Administrator of the National Health Funding Pool under paragraph 238(1)(a) of the </w:t>
      </w:r>
      <w:r w:rsidRPr="00C65725">
        <w:rPr>
          <w:i/>
        </w:rPr>
        <w:t>National Health Reform Act 2011</w:t>
      </w:r>
      <w:r>
        <w:t xml:space="preserve">, the Administrator has calculated and advised the amounts required to be paid by the Commonwealth in respect of 2019-20 into each State Pool Account of the National Health Funding Pool under the </w:t>
      </w:r>
      <w:r w:rsidRPr="002D323C">
        <w:rPr>
          <w:i/>
          <w:iCs/>
        </w:rPr>
        <w:t>National Health Reform Agreement</w:t>
      </w:r>
      <w:r>
        <w:t xml:space="preserve">. The Treasurer has accepted the Administrator’s advice in making the Determination. </w:t>
      </w:r>
    </w:p>
    <w:p w:rsidR="00A87709" w:rsidRDefault="00A87709" w:rsidP="00A87709">
      <w:pPr>
        <w:spacing w:before="240"/>
      </w:pPr>
      <w:r>
        <w:lastRenderedPageBreak/>
        <w:t xml:space="preserve">Details of the amounts </w:t>
      </w:r>
      <w:r w:rsidRPr="007B22F0">
        <w:t>to be paid to each State, the Australian Capital Territory and</w:t>
      </w:r>
      <w:r>
        <w:t xml:space="preserve"> Northern Territory for the 2019</w:t>
      </w:r>
      <w:r w:rsidRPr="007B22F0">
        <w:t>-</w:t>
      </w:r>
      <w:r>
        <w:t>20</w:t>
      </w:r>
      <w:r w:rsidRPr="007B22F0">
        <w:t xml:space="preserve"> financial year</w:t>
      </w:r>
      <w:r>
        <w:t xml:space="preserve"> are outlined in Table 1 in </w:t>
      </w:r>
      <w:r w:rsidRPr="009970A9">
        <w:rPr>
          <w:u w:val="single"/>
        </w:rPr>
        <w:t>Attachment C</w:t>
      </w:r>
      <w:r>
        <w:t>. The amounts include:</w:t>
      </w:r>
    </w:p>
    <w:p w:rsidR="00A87709" w:rsidRDefault="00A87709" w:rsidP="00A87709">
      <w:pPr>
        <w:pStyle w:val="Bullet"/>
      </w:pPr>
      <w:r>
        <w:t xml:space="preserve">the Commonwealth’s share of funding for public hospital services under the </w:t>
      </w:r>
      <w:r w:rsidRPr="002D323C">
        <w:rPr>
          <w:i/>
          <w:iCs/>
        </w:rPr>
        <w:t>National Health Reform Agreement</w:t>
      </w:r>
      <w:r>
        <w:t xml:space="preserve"> which is calculated on an activity basis;</w:t>
      </w:r>
    </w:p>
    <w:p w:rsidR="00A87709" w:rsidRDefault="00A87709" w:rsidP="00A87709">
      <w:pPr>
        <w:pStyle w:val="Bullet"/>
      </w:pPr>
      <w:r>
        <w:t>additional amounts applicable to ensure the amount paid to each State, the Australian Capital Territory and Northern Territory meet the minimum amount guaranteed by the Commonwealth;</w:t>
      </w:r>
    </w:p>
    <w:p w:rsidR="00A87709" w:rsidRDefault="00A87709" w:rsidP="00A87709">
      <w:pPr>
        <w:pStyle w:val="Bullet"/>
      </w:pPr>
      <w:r>
        <w:t xml:space="preserve">hospital services payments </w:t>
      </w:r>
      <w:r w:rsidRPr="000A6763">
        <w:t>provided to support public hospitals in testing and treating confirmed and suspected COVID-19 patients</w:t>
      </w:r>
      <w:r>
        <w:t>;</w:t>
      </w:r>
    </w:p>
    <w:p w:rsidR="00A87709" w:rsidRDefault="00A87709" w:rsidP="00A87709">
      <w:pPr>
        <w:pStyle w:val="Bullet"/>
      </w:pPr>
      <w:r>
        <w:t>S</w:t>
      </w:r>
      <w:r w:rsidRPr="009970A9">
        <w:t>tate public hea</w:t>
      </w:r>
      <w:bookmarkStart w:id="0" w:name="_GoBack"/>
      <w:bookmarkEnd w:id="0"/>
      <w:r w:rsidRPr="009970A9">
        <w:t>lth payme</w:t>
      </w:r>
      <w:r>
        <w:t>nts to support</w:t>
      </w:r>
      <w:r w:rsidRPr="009970A9">
        <w:t xml:space="preserve"> additional public health activities in responding to the pandemic and stopping the spread of the disease</w:t>
      </w:r>
      <w:r>
        <w:t>; and</w:t>
      </w:r>
    </w:p>
    <w:p w:rsidR="00A87709" w:rsidRDefault="00A87709" w:rsidP="00A87709">
      <w:pPr>
        <w:pStyle w:val="Bullet"/>
      </w:pPr>
      <w:r w:rsidRPr="009970A9">
        <w:t>private hospital financial viability payments</w:t>
      </w:r>
      <w:r>
        <w:t xml:space="preserve"> that enabled</w:t>
      </w:r>
      <w:r w:rsidRPr="009970A9">
        <w:t xml:space="preserve"> critical health resources from the private hospital sector to be integrated and available to the public hospital sector for the period 1 April </w:t>
      </w:r>
      <w:r>
        <w:t xml:space="preserve">2020 </w:t>
      </w:r>
      <w:r w:rsidRPr="009970A9">
        <w:t>to 30 June 2020</w:t>
      </w:r>
      <w:r>
        <w:t>.</w:t>
      </w:r>
    </w:p>
    <w:p w:rsidR="00A87709" w:rsidRDefault="00A87709" w:rsidP="00A87709">
      <w:pPr>
        <w:spacing w:before="240"/>
      </w:pPr>
      <w:r w:rsidRPr="00AD33AA">
        <w:t>For the 2019-20 financial year</w:t>
      </w:r>
      <w:r>
        <w:t>,</w:t>
      </w:r>
      <w:r w:rsidRPr="00AD33AA">
        <w:t xml:space="preserve"> the Commonwealth provided </w:t>
      </w:r>
      <w:r>
        <w:t>each</w:t>
      </w:r>
      <w:r w:rsidRPr="00AD33AA">
        <w:t xml:space="preserve"> </w:t>
      </w:r>
      <w:r>
        <w:t>State, the Australian Capital Territory and the Northern Territory</w:t>
      </w:r>
      <w:r w:rsidRPr="00AD33AA">
        <w:t xml:space="preserve"> wi</w:t>
      </w:r>
      <w:r>
        <w:t xml:space="preserve">th a minimum funding guarantee </w:t>
      </w:r>
      <w:r w:rsidRPr="00AD33AA">
        <w:t xml:space="preserve">for funding related to the </w:t>
      </w:r>
      <w:r w:rsidRPr="002D323C">
        <w:rPr>
          <w:i/>
          <w:iCs/>
        </w:rPr>
        <w:t>National Health Reform Agreement</w:t>
      </w:r>
      <w:r w:rsidRPr="00AD33AA">
        <w:t xml:space="preserve"> and the hospital services payment component of the </w:t>
      </w:r>
      <w:r w:rsidRPr="002D323C">
        <w:rPr>
          <w:i/>
          <w:iCs/>
        </w:rPr>
        <w:t>National Partnership on COVID-19 Response</w:t>
      </w:r>
      <w:r w:rsidRPr="00AD33AA">
        <w:t xml:space="preserve">. </w:t>
      </w:r>
      <w:r>
        <w:t xml:space="preserve">Where a State, the Australian Capital Territory or the Northern Territory is eligible for the guarantee, the base amount for calculating that jurisdiction’s entitlement for 2020-21 will be the guaranteed minimum funding amount (see Table 2 in </w:t>
      </w:r>
      <w:r w:rsidRPr="00BB005C">
        <w:rPr>
          <w:u w:val="single"/>
        </w:rPr>
        <w:t>Attachment C</w:t>
      </w:r>
      <w:r>
        <w:t>).</w:t>
      </w:r>
    </w:p>
    <w:p w:rsidR="00A87709" w:rsidRDefault="00A87709" w:rsidP="00A87709">
      <w:pPr>
        <w:spacing w:before="240"/>
      </w:pPr>
      <w:r>
        <w:t xml:space="preserve">The IGA and the </w:t>
      </w:r>
      <w:r w:rsidRPr="002D323C">
        <w:rPr>
          <w:i/>
          <w:iCs/>
        </w:rPr>
        <w:t>National Health Reform Agreement</w:t>
      </w:r>
      <w:r>
        <w:t xml:space="preserve"> (as amended by the </w:t>
      </w:r>
      <w:r w:rsidRPr="002D323C">
        <w:rPr>
          <w:i/>
          <w:iCs/>
        </w:rPr>
        <w:t>National Partnership on COVID</w:t>
      </w:r>
      <w:r w:rsidRPr="002D323C">
        <w:rPr>
          <w:i/>
          <w:iCs/>
        </w:rPr>
        <w:noBreakHyphen/>
        <w:t>19 Response</w:t>
      </w:r>
      <w:r>
        <w:t>) were subject to extensive consultation with the States and Territories and were signed by all jurisdictions. Both agreements are publicly available on the website for the Council on Federal Financial Relations. Consultation with the States and Territories on national health reform funding also occurs regularly, through the Administrator’s Jurisdictional Advisory Committee meetings.</w:t>
      </w:r>
    </w:p>
    <w:p w:rsidR="00A87709" w:rsidRDefault="00A87709" w:rsidP="00A87709">
      <w:pPr>
        <w:spacing w:before="240"/>
      </w:pPr>
      <w:r>
        <w:t xml:space="preserve">Details of the Determination are set out in </w:t>
      </w:r>
      <w:r w:rsidRPr="00317816">
        <w:rPr>
          <w:u w:val="single"/>
        </w:rPr>
        <w:t>Attachment</w:t>
      </w:r>
      <w:r>
        <w:rPr>
          <w:u w:val="single"/>
        </w:rPr>
        <w:t xml:space="preserve"> B</w:t>
      </w:r>
      <w:r>
        <w:t>.</w:t>
      </w:r>
    </w:p>
    <w:p w:rsidR="00A87709" w:rsidRDefault="00A87709" w:rsidP="00A87709">
      <w:pPr>
        <w:spacing w:before="240"/>
      </w:pPr>
      <w:r>
        <w:t xml:space="preserve">The Determination is a legislative instrument for the purposes of the </w:t>
      </w:r>
      <w:r w:rsidRPr="0030746D">
        <w:rPr>
          <w:i/>
        </w:rPr>
        <w:t>Legislation Act 2003</w:t>
      </w:r>
      <w:r>
        <w:t>. However, the Determination is not subject to disallowance.</w:t>
      </w:r>
    </w:p>
    <w:p w:rsidR="00A87709" w:rsidRPr="00F357FB" w:rsidRDefault="00A87709" w:rsidP="00A87709">
      <w:r>
        <w:t>The Determination commences on the day after registration.</w:t>
      </w:r>
    </w:p>
    <w:p w:rsidR="00A87709" w:rsidRDefault="00A87709" w:rsidP="00A87709">
      <w:pPr>
        <w:pageBreakBefore/>
        <w:spacing w:before="240"/>
        <w:jc w:val="right"/>
        <w:rPr>
          <w:b/>
          <w:u w:val="single"/>
        </w:rPr>
      </w:pPr>
      <w:r w:rsidRPr="007B335E">
        <w:rPr>
          <w:b/>
          <w:u w:val="single"/>
        </w:rPr>
        <w:lastRenderedPageBreak/>
        <w:t xml:space="preserve">ATTACHMENT </w:t>
      </w:r>
      <w:r>
        <w:rPr>
          <w:b/>
          <w:u w:val="single"/>
        </w:rPr>
        <w:t>A</w:t>
      </w:r>
    </w:p>
    <w:p w:rsidR="00A87709" w:rsidRPr="00462095" w:rsidRDefault="00A87709" w:rsidP="00A87709">
      <w:pPr>
        <w:pStyle w:val="Heading3"/>
      </w:pPr>
      <w:r w:rsidRPr="00462095">
        <w:t>Statement of Compatibility with Human Rights</w:t>
      </w:r>
    </w:p>
    <w:p w:rsidR="00A87709" w:rsidRPr="00647BB7" w:rsidRDefault="00A87709" w:rsidP="00A87709">
      <w:pPr>
        <w:spacing w:before="240"/>
        <w:jc w:val="center"/>
        <w:rPr>
          <w:i/>
        </w:rPr>
      </w:pPr>
      <w:r w:rsidRPr="00647BB7">
        <w:rPr>
          <w:i/>
        </w:rPr>
        <w:t>Prepared in accordance with Part 3 of the Human Rights (Parliamentary Scrutiny) Act 2011</w:t>
      </w:r>
    </w:p>
    <w:p w:rsidR="00A87709" w:rsidRPr="00FC321B" w:rsidRDefault="00A87709" w:rsidP="00A87709">
      <w:pPr>
        <w:pStyle w:val="Heading3"/>
        <w:jc w:val="center"/>
        <w:rPr>
          <w:i/>
        </w:rPr>
      </w:pPr>
      <w:r w:rsidRPr="00FC321B">
        <w:rPr>
          <w:i/>
        </w:rPr>
        <w:t xml:space="preserve">Federal Financial Relations (National Health Reform Payments for 2019-20) Determination </w:t>
      </w:r>
      <w:r>
        <w:rPr>
          <w:i/>
        </w:rPr>
        <w:t>2021</w:t>
      </w:r>
    </w:p>
    <w:p w:rsidR="00A87709" w:rsidRPr="00647BB7" w:rsidRDefault="00A87709" w:rsidP="00A87709">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rsidR="00A87709" w:rsidRPr="00647BB7" w:rsidRDefault="00A87709" w:rsidP="00A87709">
      <w:pPr>
        <w:pStyle w:val="Heading3"/>
      </w:pPr>
      <w:r w:rsidRPr="00647BB7">
        <w:t>Overview of the Legislative Instrument</w:t>
      </w:r>
    </w:p>
    <w:p w:rsidR="00A87709" w:rsidRPr="00647BB7" w:rsidRDefault="00A87709" w:rsidP="00A87709">
      <w:pPr>
        <w:spacing w:before="240"/>
      </w:pPr>
      <w:r>
        <w:t xml:space="preserve">The purpose of the </w:t>
      </w:r>
      <w:r w:rsidRPr="00FC321B">
        <w:rPr>
          <w:i/>
        </w:rPr>
        <w:t xml:space="preserve">Federal Financial Relations (National Health Reform Payments for </w:t>
      </w:r>
      <w:r>
        <w:rPr>
          <w:i/>
        </w:rPr>
        <w:t>2019</w:t>
      </w:r>
      <w:r w:rsidRPr="00FC321B">
        <w:rPr>
          <w:i/>
        </w:rPr>
        <w:t>-</w:t>
      </w:r>
      <w:r>
        <w:rPr>
          <w:i/>
        </w:rPr>
        <w:t>20</w:t>
      </w:r>
      <w:r w:rsidRPr="00FC321B">
        <w:rPr>
          <w:i/>
        </w:rPr>
        <w:t xml:space="preserve">) Determination </w:t>
      </w:r>
      <w:r>
        <w:rPr>
          <w:i/>
        </w:rPr>
        <w:t>2021</w:t>
      </w:r>
      <w:r>
        <w:t xml:space="preserve"> is to specify the amount to be paid to each State, the Australian Capital Territory and the Northern Territory for the 2019-20 financial year.</w:t>
      </w:r>
    </w:p>
    <w:p w:rsidR="00A87709" w:rsidRPr="00647BB7" w:rsidRDefault="00A87709" w:rsidP="00A87709">
      <w:pPr>
        <w:pStyle w:val="Heading3"/>
      </w:pPr>
      <w:r w:rsidRPr="00647BB7">
        <w:t>Human rights implications</w:t>
      </w:r>
    </w:p>
    <w:p w:rsidR="00A87709" w:rsidRPr="00647BB7" w:rsidRDefault="00A87709" w:rsidP="00A87709">
      <w:pPr>
        <w:spacing w:before="240"/>
      </w:pPr>
      <w:r w:rsidRPr="00647BB7">
        <w:t>This Legislative Instrument does not engage any of the applicable rights or freedoms.</w:t>
      </w:r>
    </w:p>
    <w:p w:rsidR="00A87709" w:rsidRPr="00647BB7" w:rsidRDefault="00A87709" w:rsidP="00A87709">
      <w:pPr>
        <w:pStyle w:val="Heading3"/>
      </w:pPr>
      <w:r w:rsidRPr="00647BB7">
        <w:t>Conclusion</w:t>
      </w:r>
    </w:p>
    <w:p w:rsidR="00A87709" w:rsidRDefault="00A87709" w:rsidP="00A87709">
      <w:pPr>
        <w:spacing w:before="240"/>
      </w:pPr>
      <w:r w:rsidRPr="00647BB7">
        <w:t>This Legislative Instrument is compatible with human rights as it does not raise any human rights issues.</w:t>
      </w:r>
    </w:p>
    <w:p w:rsidR="00A87709" w:rsidRDefault="00A87709" w:rsidP="00A87709">
      <w:pPr>
        <w:pageBreakBefore/>
        <w:spacing w:before="240"/>
        <w:jc w:val="right"/>
        <w:rPr>
          <w:b/>
          <w:u w:val="single"/>
        </w:rPr>
      </w:pPr>
      <w:r w:rsidRPr="007B335E">
        <w:rPr>
          <w:b/>
          <w:u w:val="single"/>
        </w:rPr>
        <w:lastRenderedPageBreak/>
        <w:t xml:space="preserve">ATTACHMENT </w:t>
      </w:r>
      <w:r>
        <w:rPr>
          <w:b/>
          <w:u w:val="single"/>
        </w:rPr>
        <w:t>B</w:t>
      </w:r>
    </w:p>
    <w:p w:rsidR="00A87709" w:rsidRDefault="00A87709" w:rsidP="00A87709">
      <w:pPr>
        <w:spacing w:before="240"/>
        <w:ind w:right="91"/>
        <w:rPr>
          <w:b/>
          <w:bCs/>
          <w:szCs w:val="24"/>
          <w:u w:val="single"/>
        </w:rPr>
      </w:pPr>
      <w:r>
        <w:rPr>
          <w:b/>
          <w:bCs/>
          <w:u w:val="single"/>
        </w:rPr>
        <w:t xml:space="preserve">Details of the </w:t>
      </w:r>
      <w:r>
        <w:rPr>
          <w:b/>
          <w:i/>
          <w:u w:val="single"/>
        </w:rPr>
        <w:t xml:space="preserve">Federal Financial Relations </w:t>
      </w:r>
      <w:r w:rsidRPr="00E27E24">
        <w:rPr>
          <w:b/>
          <w:i/>
          <w:u w:val="single"/>
        </w:rPr>
        <w:t>(</w:t>
      </w:r>
      <w:r w:rsidRPr="00E27E24">
        <w:rPr>
          <w:b/>
          <w:bCs/>
          <w:i/>
          <w:u w:val="single"/>
        </w:rPr>
        <w:t>National Health Reform Payments for 2019-20) Determination 2021</w:t>
      </w:r>
    </w:p>
    <w:p w:rsidR="00A87709" w:rsidRPr="005D4B36" w:rsidRDefault="00A87709" w:rsidP="00A87709">
      <w:pPr>
        <w:spacing w:before="240"/>
      </w:pPr>
      <w:r w:rsidRPr="005D4B36">
        <w:t xml:space="preserve">This Attachment sets out further details of the </w:t>
      </w:r>
      <w:r w:rsidRPr="008F2920">
        <w:rPr>
          <w:i/>
        </w:rPr>
        <w:t xml:space="preserve">Federal Financial Relations (National Health Reform Payments for </w:t>
      </w:r>
      <w:r>
        <w:rPr>
          <w:i/>
        </w:rPr>
        <w:t>2019-20</w:t>
      </w:r>
      <w:r w:rsidRPr="008F2920">
        <w:rPr>
          <w:i/>
        </w:rPr>
        <w:t xml:space="preserve">) Determination </w:t>
      </w:r>
      <w:r>
        <w:rPr>
          <w:i/>
        </w:rPr>
        <w:t>2021</w:t>
      </w:r>
      <w:r w:rsidRPr="005D4B36">
        <w:t>.</w:t>
      </w:r>
    </w:p>
    <w:p w:rsidR="00A87709" w:rsidRDefault="00A87709" w:rsidP="00A87709">
      <w:pPr>
        <w:spacing w:before="240"/>
        <w:rPr>
          <w:rFonts w:ascii="Calibri" w:hAnsi="Calibri"/>
          <w:sz w:val="22"/>
          <w:szCs w:val="22"/>
          <w:u w:val="single"/>
          <w:lang w:eastAsia="en-US"/>
        </w:rPr>
      </w:pPr>
      <w:r>
        <w:rPr>
          <w:u w:val="single"/>
        </w:rPr>
        <w:t>Section 1 – Name of the instrument</w:t>
      </w:r>
    </w:p>
    <w:p w:rsidR="00A87709" w:rsidRPr="008F2920" w:rsidRDefault="00A87709" w:rsidP="00A87709">
      <w:pPr>
        <w:spacing w:before="240"/>
        <w:rPr>
          <w:i/>
        </w:rPr>
      </w:pPr>
      <w:r>
        <w:t xml:space="preserve">This section provides that the name of the instrument is the </w:t>
      </w:r>
      <w:r>
        <w:rPr>
          <w:i/>
        </w:rPr>
        <w:t xml:space="preserve">Federal Financial </w:t>
      </w:r>
      <w:r w:rsidRPr="005D4B36">
        <w:rPr>
          <w:i/>
        </w:rPr>
        <w:t xml:space="preserve">Relations (National Health Reform Payments for </w:t>
      </w:r>
      <w:r>
        <w:rPr>
          <w:i/>
        </w:rPr>
        <w:t>2019-20</w:t>
      </w:r>
      <w:r w:rsidRPr="005D4B36">
        <w:rPr>
          <w:i/>
        </w:rPr>
        <w:t xml:space="preserve">) Determination </w:t>
      </w:r>
      <w:r>
        <w:rPr>
          <w:i/>
        </w:rPr>
        <w:t xml:space="preserve">2021 </w:t>
      </w:r>
      <w:r>
        <w:t>(the Determination)</w:t>
      </w:r>
      <w:r w:rsidRPr="005D4B36">
        <w:rPr>
          <w:i/>
        </w:rPr>
        <w:t>.</w:t>
      </w:r>
    </w:p>
    <w:p w:rsidR="00A87709" w:rsidRDefault="00A87709" w:rsidP="00A87709">
      <w:pPr>
        <w:spacing w:before="240"/>
        <w:ind w:right="91"/>
        <w:rPr>
          <w:u w:val="single"/>
        </w:rPr>
      </w:pPr>
      <w:r>
        <w:rPr>
          <w:u w:val="single"/>
        </w:rPr>
        <w:t>Section 2 – Commencement</w:t>
      </w:r>
    </w:p>
    <w:p w:rsidR="00A87709" w:rsidRPr="008F2920" w:rsidRDefault="00A87709" w:rsidP="00A87709">
      <w:pPr>
        <w:spacing w:before="240"/>
        <w:ind w:right="91"/>
      </w:pPr>
      <w:r>
        <w:t>This section provides that the Determination commences on the day after it is registered on the Federal Register of Legislation.</w:t>
      </w:r>
    </w:p>
    <w:p w:rsidR="00A87709" w:rsidRPr="005D4B36" w:rsidRDefault="00A87709" w:rsidP="00A87709">
      <w:pPr>
        <w:spacing w:before="240"/>
        <w:ind w:right="91"/>
      </w:pPr>
      <w:r>
        <w:rPr>
          <w:u w:val="single"/>
        </w:rPr>
        <w:t>Section 3 – Authority</w:t>
      </w:r>
    </w:p>
    <w:p w:rsidR="00A87709" w:rsidRDefault="00A87709" w:rsidP="00A87709">
      <w:pPr>
        <w:spacing w:before="240"/>
        <w:ind w:right="91"/>
      </w:pPr>
      <w:r>
        <w:t xml:space="preserve">This section provides that the Determination is made under the </w:t>
      </w:r>
      <w:r w:rsidRPr="008F2920">
        <w:rPr>
          <w:i/>
        </w:rPr>
        <w:t>Federal Financial Relations Act 2009</w:t>
      </w:r>
      <w:r>
        <w:t>.</w:t>
      </w:r>
    </w:p>
    <w:p w:rsidR="00A87709" w:rsidRPr="008F2920" w:rsidRDefault="00A87709" w:rsidP="00A87709">
      <w:pPr>
        <w:spacing w:before="240"/>
        <w:ind w:right="91"/>
        <w:rPr>
          <w:u w:val="single"/>
        </w:rPr>
      </w:pPr>
      <w:r w:rsidRPr="008F2920">
        <w:rPr>
          <w:u w:val="single"/>
        </w:rPr>
        <w:t xml:space="preserve">Section 4 – Definitions </w:t>
      </w:r>
    </w:p>
    <w:p w:rsidR="00A87709" w:rsidRDefault="00A87709" w:rsidP="00A87709">
      <w:pPr>
        <w:spacing w:before="240"/>
        <w:ind w:right="91"/>
      </w:pPr>
      <w:r>
        <w:t>This section provides definitions for the purposes of the Determination.</w:t>
      </w:r>
    </w:p>
    <w:p w:rsidR="00A87709" w:rsidRDefault="00A87709" w:rsidP="00A87709">
      <w:pPr>
        <w:spacing w:before="240"/>
        <w:ind w:right="91"/>
        <w:rPr>
          <w:u w:val="single"/>
        </w:rPr>
      </w:pPr>
      <w:r>
        <w:rPr>
          <w:u w:val="single"/>
        </w:rPr>
        <w:t xml:space="preserve">Section 5 – </w:t>
      </w:r>
      <w:r w:rsidRPr="008F2920">
        <w:rPr>
          <w:u w:val="single"/>
        </w:rPr>
        <w:t xml:space="preserve">National health reform payments for the </w:t>
      </w:r>
      <w:r>
        <w:rPr>
          <w:u w:val="single"/>
        </w:rPr>
        <w:t>2019</w:t>
      </w:r>
      <w:r w:rsidRPr="008F2920">
        <w:rPr>
          <w:u w:val="single"/>
        </w:rPr>
        <w:t>-</w:t>
      </w:r>
      <w:r>
        <w:rPr>
          <w:u w:val="single"/>
        </w:rPr>
        <w:t>20</w:t>
      </w:r>
      <w:r w:rsidRPr="008F2920">
        <w:rPr>
          <w:u w:val="single"/>
        </w:rPr>
        <w:t xml:space="preserve"> financial year </w:t>
      </w:r>
    </w:p>
    <w:p w:rsidR="00A87709" w:rsidRDefault="00A87709" w:rsidP="00A87709">
      <w:pPr>
        <w:spacing w:before="240"/>
      </w:pPr>
      <w:r>
        <w:t xml:space="preserve">This section sets out the amounts required to be paid by the Commonwealth in respect of the 2019-20 financial year into each State Pool Account of the National Health Funding Pool under the </w:t>
      </w:r>
      <w:r w:rsidRPr="002D323C">
        <w:rPr>
          <w:i/>
          <w:iCs/>
        </w:rPr>
        <w:t>National Health Reform Agreement</w:t>
      </w:r>
      <w:r>
        <w:t xml:space="preserve"> (as amended by </w:t>
      </w:r>
      <w:r w:rsidRPr="00861254">
        <w:t xml:space="preserve">the </w:t>
      </w:r>
      <w:r w:rsidRPr="002D323C">
        <w:rPr>
          <w:i/>
          <w:iCs/>
        </w:rPr>
        <w:t>National Partnership on COVID 19 Response</w:t>
      </w:r>
      <w:r>
        <w:t>).</w:t>
      </w:r>
      <w:r w:rsidRPr="00861254">
        <w:t xml:space="preserve"> </w:t>
      </w:r>
    </w:p>
    <w:p w:rsidR="00A87709" w:rsidRDefault="00A87709" w:rsidP="00A87709">
      <w:pPr>
        <w:spacing w:before="240"/>
      </w:pPr>
      <w:r>
        <w:t xml:space="preserve">Details of the amounts </w:t>
      </w:r>
      <w:r w:rsidRPr="007B22F0">
        <w:t>to be paid to each State, the Australian Capital Territory and</w:t>
      </w:r>
      <w:r>
        <w:t xml:space="preserve"> Northern Territory for the 2019</w:t>
      </w:r>
      <w:r w:rsidRPr="007B22F0">
        <w:t>-</w:t>
      </w:r>
      <w:r>
        <w:t>20</w:t>
      </w:r>
      <w:r w:rsidRPr="007B22F0">
        <w:t xml:space="preserve"> financial year</w:t>
      </w:r>
      <w:r>
        <w:t xml:space="preserve"> are outlined in Table 1 in </w:t>
      </w:r>
      <w:r w:rsidRPr="009970A9">
        <w:rPr>
          <w:u w:val="single"/>
        </w:rPr>
        <w:t>Attachment C</w:t>
      </w:r>
      <w:r>
        <w:t>. The amounts include:</w:t>
      </w:r>
    </w:p>
    <w:p w:rsidR="00A87709" w:rsidRDefault="00A87709" w:rsidP="00A87709">
      <w:pPr>
        <w:pStyle w:val="Bullet"/>
      </w:pPr>
      <w:r>
        <w:t>the Commonwealth’s share of funding for public hospital services under the National Health Reform Agreement which is calculated on an activity basis;</w:t>
      </w:r>
    </w:p>
    <w:p w:rsidR="00A87709" w:rsidRDefault="00A87709" w:rsidP="00A87709">
      <w:pPr>
        <w:pStyle w:val="Bullet"/>
      </w:pPr>
      <w:r>
        <w:t>additional amounts applicable to ensure the amount paid to each State, the Australian Capital Territory and Northern Territory meet the minimum amount guaranteed by the Commonwealth;</w:t>
      </w:r>
    </w:p>
    <w:p w:rsidR="00A87709" w:rsidRDefault="00A87709" w:rsidP="00A87709">
      <w:pPr>
        <w:pStyle w:val="Bullet"/>
      </w:pPr>
      <w:r>
        <w:t xml:space="preserve">hospital services payments </w:t>
      </w:r>
      <w:r w:rsidRPr="000A6763">
        <w:t>provided to support public hospitals in testing and treating confirmed and suspected COVID-19 patients</w:t>
      </w:r>
      <w:r>
        <w:t>;</w:t>
      </w:r>
    </w:p>
    <w:p w:rsidR="00A87709" w:rsidRDefault="00A87709" w:rsidP="00A87709">
      <w:pPr>
        <w:pStyle w:val="Bullet"/>
      </w:pPr>
      <w:r>
        <w:t>S</w:t>
      </w:r>
      <w:r w:rsidRPr="009970A9">
        <w:t xml:space="preserve">tate public health payments </w:t>
      </w:r>
      <w:r>
        <w:t>to support</w:t>
      </w:r>
      <w:r w:rsidRPr="009970A9">
        <w:t xml:space="preserve"> additional public health activities in responding to the pandemic and stopping the spread of the disease</w:t>
      </w:r>
      <w:r>
        <w:t>; and</w:t>
      </w:r>
    </w:p>
    <w:p w:rsidR="00A87709" w:rsidRDefault="00A87709" w:rsidP="00A87709">
      <w:pPr>
        <w:pStyle w:val="Bullet"/>
      </w:pPr>
      <w:r w:rsidRPr="009970A9">
        <w:lastRenderedPageBreak/>
        <w:t>private hospital financial viability payments</w:t>
      </w:r>
      <w:r>
        <w:t xml:space="preserve"> that enabled</w:t>
      </w:r>
      <w:r w:rsidRPr="009970A9">
        <w:t xml:space="preserve"> critical health resources from the private hospital sector to be integrated and available to the public hospital sector for the period 1 April </w:t>
      </w:r>
      <w:r>
        <w:t xml:space="preserve">2020 </w:t>
      </w:r>
      <w:r w:rsidRPr="009970A9">
        <w:t>to 30 June 2020</w:t>
      </w:r>
      <w:r>
        <w:t>.</w:t>
      </w:r>
    </w:p>
    <w:p w:rsidR="00A87709" w:rsidRPr="008F2920" w:rsidRDefault="00A87709" w:rsidP="00A87709">
      <w:pPr>
        <w:spacing w:before="240"/>
        <w:ind w:right="91"/>
      </w:pPr>
      <w:r>
        <w:t xml:space="preserve">The Administrator of the National Health Funding Pool (Administrator) has calculated and advised the amounts required to be paid to each State, the Australian Capital Territory and the Northern Territory, in accordance with paragraph 238(1)(a) of the </w:t>
      </w:r>
      <w:r w:rsidRPr="00861254">
        <w:rPr>
          <w:i/>
        </w:rPr>
        <w:t>National Health Reform Act 2011</w:t>
      </w:r>
      <w:r>
        <w:t>. The Treasurer has accepted the Administrator’s advice making in the Determination</w:t>
      </w:r>
    </w:p>
    <w:p w:rsidR="00A87709" w:rsidRDefault="00A87709" w:rsidP="00A87709">
      <w:pPr>
        <w:spacing w:after="0"/>
        <w:ind w:right="91"/>
        <w:rPr>
          <w:u w:val="single"/>
        </w:rPr>
      </w:pPr>
    </w:p>
    <w:p w:rsidR="00A87709" w:rsidRDefault="00A87709" w:rsidP="00A87709">
      <w:pPr>
        <w:spacing w:before="0" w:after="0"/>
        <w:sectPr w:rsidR="00A87709" w:rsidSect="00392BBA">
          <w:footerReference w:type="default" r:id="rId5"/>
          <w:pgSz w:w="11906" w:h="16838"/>
          <w:pgMar w:top="1440" w:right="1800" w:bottom="1440" w:left="1800" w:header="720" w:footer="720" w:gutter="0"/>
          <w:cols w:space="720"/>
          <w:docGrid w:linePitch="360"/>
        </w:sectPr>
      </w:pPr>
    </w:p>
    <w:p w:rsidR="00A87709" w:rsidRDefault="00A87709" w:rsidP="00A87709">
      <w:pPr>
        <w:pageBreakBefore/>
        <w:spacing w:before="240"/>
        <w:jc w:val="right"/>
        <w:rPr>
          <w:b/>
          <w:u w:val="single"/>
        </w:rPr>
      </w:pPr>
      <w:r w:rsidRPr="007B335E">
        <w:rPr>
          <w:b/>
          <w:u w:val="single"/>
        </w:rPr>
        <w:lastRenderedPageBreak/>
        <w:t xml:space="preserve">ATTACHMENT </w:t>
      </w:r>
      <w:r>
        <w:rPr>
          <w:b/>
          <w:u w:val="single"/>
        </w:rPr>
        <w:t>C</w:t>
      </w:r>
    </w:p>
    <w:p w:rsidR="00A87709" w:rsidRDefault="00A87709" w:rsidP="00A87709">
      <w:pPr>
        <w:spacing w:before="240"/>
        <w:ind w:right="91"/>
        <w:rPr>
          <w:b/>
          <w:bCs/>
          <w:szCs w:val="24"/>
          <w:u w:val="single"/>
        </w:rPr>
      </w:pPr>
      <w:r>
        <w:rPr>
          <w:b/>
          <w:bCs/>
          <w:u w:val="single"/>
        </w:rPr>
        <w:t xml:space="preserve">Table 1: </w:t>
      </w:r>
      <w:r w:rsidRPr="00861254">
        <w:rPr>
          <w:b/>
          <w:bCs/>
          <w:u w:val="single"/>
        </w:rPr>
        <w:t>Details of the amounts to be paid to each State, the Australian Capital Territory and Northern Territory for the 2019-20 financial year</w:t>
      </w:r>
    </w:p>
    <w:p w:rsidR="00A87709" w:rsidRDefault="00A87709" w:rsidP="00A87709">
      <w:pPr>
        <w:spacing w:before="0" w:after="0"/>
      </w:pPr>
    </w:p>
    <w:tbl>
      <w:tblPr>
        <w:tblW w:w="14770"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300"/>
        <w:gridCol w:w="2126"/>
        <w:gridCol w:w="2126"/>
        <w:gridCol w:w="2126"/>
        <w:gridCol w:w="2126"/>
        <w:gridCol w:w="2126"/>
        <w:gridCol w:w="2126"/>
      </w:tblGrid>
      <w:tr w:rsidR="00A87709" w:rsidRPr="001C5951" w:rsidTr="00FF2A01">
        <w:trPr>
          <w:tblHeader/>
        </w:trPr>
        <w:tc>
          <w:tcPr>
            <w:tcW w:w="714" w:type="dxa"/>
            <w:tcBorders>
              <w:top w:val="single" w:sz="12" w:space="0" w:color="auto"/>
              <w:bottom w:val="single" w:sz="12" w:space="0" w:color="auto"/>
            </w:tcBorders>
            <w:shd w:val="clear" w:color="auto" w:fill="auto"/>
          </w:tcPr>
          <w:p w:rsidR="00A87709" w:rsidRPr="00286CFE" w:rsidRDefault="00A87709" w:rsidP="00FF2A01">
            <w:pPr>
              <w:keepNext/>
              <w:spacing w:before="60" w:after="0" w:line="240" w:lineRule="atLeast"/>
              <w:rPr>
                <w:b/>
                <w:sz w:val="20"/>
              </w:rPr>
            </w:pPr>
            <w:r w:rsidRPr="00286CFE">
              <w:rPr>
                <w:b/>
                <w:sz w:val="20"/>
              </w:rPr>
              <w:t>Item</w:t>
            </w:r>
          </w:p>
        </w:tc>
        <w:tc>
          <w:tcPr>
            <w:tcW w:w="1300" w:type="dxa"/>
            <w:tcBorders>
              <w:top w:val="single" w:sz="12" w:space="0" w:color="auto"/>
              <w:bottom w:val="single" w:sz="12" w:space="0" w:color="auto"/>
            </w:tcBorders>
            <w:shd w:val="clear" w:color="auto" w:fill="auto"/>
          </w:tcPr>
          <w:p w:rsidR="00A87709" w:rsidRPr="00286CFE" w:rsidRDefault="00A87709" w:rsidP="00FF2A01">
            <w:pPr>
              <w:keepNext/>
              <w:spacing w:before="60" w:after="0" w:line="240" w:lineRule="atLeast"/>
              <w:rPr>
                <w:b/>
                <w:sz w:val="20"/>
              </w:rPr>
            </w:pPr>
            <w:r w:rsidRPr="00286CFE">
              <w:rPr>
                <w:b/>
                <w:sz w:val="20"/>
              </w:rPr>
              <w:t>For this State:</w:t>
            </w:r>
          </w:p>
        </w:tc>
        <w:tc>
          <w:tcPr>
            <w:tcW w:w="2126" w:type="dxa"/>
            <w:tcBorders>
              <w:top w:val="single" w:sz="12" w:space="0" w:color="auto"/>
              <w:bottom w:val="single" w:sz="12" w:space="0" w:color="auto"/>
            </w:tcBorders>
            <w:shd w:val="clear" w:color="auto" w:fill="auto"/>
          </w:tcPr>
          <w:p w:rsidR="00A87709" w:rsidRPr="00286CFE" w:rsidRDefault="00A87709" w:rsidP="00FF2A01">
            <w:pPr>
              <w:keepNext/>
              <w:spacing w:before="60" w:after="0" w:line="240" w:lineRule="atLeast"/>
              <w:rPr>
                <w:b/>
                <w:sz w:val="20"/>
              </w:rPr>
            </w:pPr>
            <w:r w:rsidRPr="00286CFE">
              <w:rPr>
                <w:b/>
                <w:sz w:val="20"/>
              </w:rPr>
              <w:t>Commonwealth National Health Reform funding</w:t>
            </w:r>
          </w:p>
        </w:tc>
        <w:tc>
          <w:tcPr>
            <w:tcW w:w="2126" w:type="dxa"/>
            <w:tcBorders>
              <w:top w:val="single" w:sz="12" w:space="0" w:color="auto"/>
              <w:bottom w:val="single" w:sz="12" w:space="0" w:color="auto"/>
            </w:tcBorders>
          </w:tcPr>
          <w:p w:rsidR="00A87709" w:rsidRPr="00286CFE" w:rsidRDefault="00A87709" w:rsidP="00FF2A01">
            <w:pPr>
              <w:keepNext/>
              <w:spacing w:before="60" w:after="0" w:line="240" w:lineRule="atLeast"/>
              <w:rPr>
                <w:b/>
                <w:sz w:val="20"/>
              </w:rPr>
            </w:pPr>
            <w:r w:rsidRPr="00286CFE">
              <w:rPr>
                <w:b/>
                <w:sz w:val="20"/>
              </w:rPr>
              <w:t>Additional amounts to meet funding guarantee</w:t>
            </w:r>
          </w:p>
        </w:tc>
        <w:tc>
          <w:tcPr>
            <w:tcW w:w="2126" w:type="dxa"/>
            <w:tcBorders>
              <w:top w:val="single" w:sz="12" w:space="0" w:color="auto"/>
              <w:bottom w:val="single" w:sz="12" w:space="0" w:color="auto"/>
            </w:tcBorders>
          </w:tcPr>
          <w:p w:rsidR="00A87709" w:rsidRPr="00286CFE" w:rsidRDefault="00A87709" w:rsidP="00FF2A01">
            <w:pPr>
              <w:keepNext/>
              <w:spacing w:before="60" w:after="0" w:line="240" w:lineRule="atLeast"/>
              <w:rPr>
                <w:b/>
                <w:sz w:val="20"/>
              </w:rPr>
            </w:pPr>
            <w:r w:rsidRPr="00286CFE">
              <w:rPr>
                <w:b/>
                <w:sz w:val="20"/>
              </w:rPr>
              <w:t>Hospital services payments funding entitlement</w:t>
            </w:r>
          </w:p>
        </w:tc>
        <w:tc>
          <w:tcPr>
            <w:tcW w:w="2126" w:type="dxa"/>
            <w:tcBorders>
              <w:top w:val="single" w:sz="12" w:space="0" w:color="auto"/>
              <w:bottom w:val="single" w:sz="12" w:space="0" w:color="auto"/>
            </w:tcBorders>
          </w:tcPr>
          <w:p w:rsidR="00A87709" w:rsidRPr="00286CFE" w:rsidRDefault="00A87709" w:rsidP="00FF2A01">
            <w:pPr>
              <w:keepNext/>
              <w:spacing w:before="60" w:after="0" w:line="240" w:lineRule="atLeast"/>
              <w:rPr>
                <w:b/>
                <w:sz w:val="20"/>
              </w:rPr>
            </w:pPr>
            <w:r w:rsidRPr="00286CFE">
              <w:rPr>
                <w:b/>
                <w:sz w:val="20"/>
              </w:rPr>
              <w:t>State public health payments funding entitlement</w:t>
            </w:r>
          </w:p>
        </w:tc>
        <w:tc>
          <w:tcPr>
            <w:tcW w:w="2126" w:type="dxa"/>
            <w:tcBorders>
              <w:top w:val="single" w:sz="12" w:space="0" w:color="auto"/>
              <w:bottom w:val="single" w:sz="12" w:space="0" w:color="auto"/>
            </w:tcBorders>
          </w:tcPr>
          <w:p w:rsidR="00A87709" w:rsidRPr="00286CFE" w:rsidRDefault="00A87709" w:rsidP="00FF2A01">
            <w:pPr>
              <w:keepNext/>
              <w:spacing w:before="60" w:after="0" w:line="240" w:lineRule="atLeast"/>
              <w:rPr>
                <w:b/>
                <w:sz w:val="20"/>
              </w:rPr>
            </w:pPr>
            <w:r w:rsidRPr="00286CFE">
              <w:rPr>
                <w:b/>
                <w:sz w:val="20"/>
              </w:rPr>
              <w:t>Private hospital financial viability payments funding entitlement</w:t>
            </w:r>
          </w:p>
        </w:tc>
        <w:tc>
          <w:tcPr>
            <w:tcW w:w="2126" w:type="dxa"/>
            <w:tcBorders>
              <w:top w:val="single" w:sz="12" w:space="0" w:color="auto"/>
              <w:bottom w:val="single" w:sz="12" w:space="0" w:color="auto"/>
            </w:tcBorders>
          </w:tcPr>
          <w:p w:rsidR="00A87709" w:rsidRPr="00286CFE" w:rsidRDefault="00A87709" w:rsidP="00FF2A01">
            <w:pPr>
              <w:spacing w:before="60" w:after="0" w:line="240" w:lineRule="atLeast"/>
              <w:rPr>
                <w:b/>
                <w:sz w:val="20"/>
              </w:rPr>
            </w:pPr>
            <w:r w:rsidRPr="00286CFE">
              <w:rPr>
                <w:b/>
                <w:sz w:val="20"/>
              </w:rPr>
              <w:t>Total</w:t>
            </w:r>
          </w:p>
        </w:tc>
      </w:tr>
      <w:tr w:rsidR="00A87709" w:rsidRPr="001C5951" w:rsidTr="00FF2A01">
        <w:tc>
          <w:tcPr>
            <w:tcW w:w="714" w:type="dxa"/>
            <w:tcBorders>
              <w:top w:val="single" w:sz="12" w:space="0" w:color="auto"/>
            </w:tcBorders>
            <w:shd w:val="clear" w:color="auto" w:fill="auto"/>
          </w:tcPr>
          <w:p w:rsidR="00A87709" w:rsidRPr="00286CFE" w:rsidRDefault="00A87709" w:rsidP="00FF2A01">
            <w:pPr>
              <w:spacing w:before="60" w:after="0" w:line="240" w:lineRule="atLeast"/>
              <w:rPr>
                <w:sz w:val="20"/>
              </w:rPr>
            </w:pPr>
            <w:r w:rsidRPr="00286CFE">
              <w:rPr>
                <w:sz w:val="20"/>
              </w:rPr>
              <w:t>1</w:t>
            </w:r>
          </w:p>
        </w:tc>
        <w:tc>
          <w:tcPr>
            <w:tcW w:w="1300" w:type="dxa"/>
            <w:tcBorders>
              <w:top w:val="single" w:sz="12" w:space="0" w:color="auto"/>
            </w:tcBorders>
            <w:shd w:val="clear" w:color="auto" w:fill="auto"/>
          </w:tcPr>
          <w:p w:rsidR="00A87709" w:rsidRPr="00286CFE" w:rsidRDefault="00A87709" w:rsidP="00FF2A01">
            <w:pPr>
              <w:spacing w:before="60" w:after="0" w:line="240" w:lineRule="atLeast"/>
              <w:rPr>
                <w:sz w:val="20"/>
              </w:rPr>
            </w:pPr>
            <w:r w:rsidRPr="00286CFE">
              <w:rPr>
                <w:sz w:val="20"/>
              </w:rPr>
              <w:t>New South Wales</w:t>
            </w:r>
          </w:p>
        </w:tc>
        <w:tc>
          <w:tcPr>
            <w:tcW w:w="2126" w:type="dxa"/>
            <w:tcBorders>
              <w:top w:val="single" w:sz="12" w:space="0" w:color="auto"/>
            </w:tcBorders>
            <w:shd w:val="clear" w:color="auto" w:fill="auto"/>
          </w:tcPr>
          <w:p w:rsidR="00A87709" w:rsidRPr="00286CFE" w:rsidRDefault="00A87709" w:rsidP="00FF2A01">
            <w:pPr>
              <w:spacing w:before="60" w:after="0" w:line="240" w:lineRule="atLeast"/>
              <w:rPr>
                <w:sz w:val="20"/>
              </w:rPr>
            </w:pPr>
            <w:r w:rsidRPr="002D323C">
              <w:rPr>
                <w:sz w:val="20"/>
              </w:rPr>
              <w:t>$6,432,667,456.54</w:t>
            </w:r>
          </w:p>
        </w:tc>
        <w:tc>
          <w:tcPr>
            <w:tcW w:w="2126" w:type="dxa"/>
            <w:tcBorders>
              <w:top w:val="single" w:sz="12" w:space="0" w:color="auto"/>
            </w:tcBorders>
          </w:tcPr>
          <w:p w:rsidR="00A87709" w:rsidRPr="002D323C" w:rsidRDefault="00A87709" w:rsidP="00FF2A01">
            <w:pPr>
              <w:spacing w:before="60" w:after="0" w:line="240" w:lineRule="atLeast"/>
              <w:rPr>
                <w:sz w:val="20"/>
              </w:rPr>
            </w:pPr>
            <w:r w:rsidRPr="002D323C">
              <w:rPr>
                <w:sz w:val="20"/>
              </w:rPr>
              <w:t>$256,955,356.62</w:t>
            </w:r>
          </w:p>
        </w:tc>
        <w:tc>
          <w:tcPr>
            <w:tcW w:w="2126" w:type="dxa"/>
            <w:tcBorders>
              <w:top w:val="single" w:sz="12" w:space="0" w:color="auto"/>
            </w:tcBorders>
          </w:tcPr>
          <w:p w:rsidR="00A87709" w:rsidRPr="002D323C" w:rsidRDefault="00A87709" w:rsidP="00FF2A01">
            <w:pPr>
              <w:spacing w:before="60" w:after="0" w:line="240" w:lineRule="atLeast"/>
              <w:rPr>
                <w:sz w:val="20"/>
              </w:rPr>
            </w:pPr>
            <w:r w:rsidRPr="002D323C">
              <w:rPr>
                <w:sz w:val="20"/>
              </w:rPr>
              <w:t>$194,180,263.16</w:t>
            </w:r>
          </w:p>
        </w:tc>
        <w:tc>
          <w:tcPr>
            <w:tcW w:w="2126" w:type="dxa"/>
            <w:tcBorders>
              <w:top w:val="single" w:sz="12" w:space="0" w:color="auto"/>
            </w:tcBorders>
          </w:tcPr>
          <w:p w:rsidR="00A87709" w:rsidRPr="002D323C" w:rsidRDefault="00A87709" w:rsidP="00FF2A01">
            <w:pPr>
              <w:spacing w:before="60" w:after="0" w:line="240" w:lineRule="atLeast"/>
              <w:rPr>
                <w:sz w:val="20"/>
              </w:rPr>
            </w:pPr>
            <w:r w:rsidRPr="002D323C">
              <w:rPr>
                <w:sz w:val="20"/>
              </w:rPr>
              <w:t>$695,069,453.94</w:t>
            </w:r>
          </w:p>
        </w:tc>
        <w:tc>
          <w:tcPr>
            <w:tcW w:w="2126" w:type="dxa"/>
            <w:tcBorders>
              <w:top w:val="single" w:sz="12" w:space="0" w:color="auto"/>
            </w:tcBorders>
          </w:tcPr>
          <w:p w:rsidR="00A87709" w:rsidRPr="002D323C" w:rsidRDefault="00A87709" w:rsidP="00FF2A01">
            <w:pPr>
              <w:spacing w:before="60" w:after="0" w:line="240" w:lineRule="atLeast"/>
              <w:rPr>
                <w:sz w:val="20"/>
              </w:rPr>
            </w:pPr>
            <w:r w:rsidRPr="002D323C">
              <w:rPr>
                <w:sz w:val="20"/>
              </w:rPr>
              <w:t>$125,559,686.00</w:t>
            </w:r>
          </w:p>
        </w:tc>
        <w:tc>
          <w:tcPr>
            <w:tcW w:w="2126" w:type="dxa"/>
            <w:tcBorders>
              <w:top w:val="single" w:sz="12" w:space="0" w:color="auto"/>
            </w:tcBorders>
          </w:tcPr>
          <w:p w:rsidR="00A87709" w:rsidRPr="00286CFE" w:rsidRDefault="00A87709" w:rsidP="00FF2A01">
            <w:pPr>
              <w:spacing w:before="60" w:after="0" w:line="240" w:lineRule="atLeast"/>
              <w:rPr>
                <w:b/>
                <w:sz w:val="20"/>
              </w:rPr>
            </w:pPr>
            <w:r w:rsidRPr="00286CFE">
              <w:rPr>
                <w:b/>
                <w:sz w:val="20"/>
              </w:rPr>
              <w:t>$7,704,432,216.26</w:t>
            </w:r>
          </w:p>
        </w:tc>
      </w:tr>
      <w:tr w:rsidR="00A87709" w:rsidRPr="001C5951" w:rsidTr="00FF2A01">
        <w:tc>
          <w:tcPr>
            <w:tcW w:w="714" w:type="dxa"/>
            <w:shd w:val="clear" w:color="auto" w:fill="auto"/>
          </w:tcPr>
          <w:p w:rsidR="00A87709" w:rsidRPr="00286CFE" w:rsidRDefault="00A87709" w:rsidP="00FF2A01">
            <w:pPr>
              <w:spacing w:before="60" w:after="0" w:line="240" w:lineRule="atLeast"/>
              <w:rPr>
                <w:sz w:val="20"/>
              </w:rPr>
            </w:pPr>
            <w:r w:rsidRPr="00286CFE">
              <w:rPr>
                <w:sz w:val="20"/>
              </w:rPr>
              <w:t>2</w:t>
            </w:r>
          </w:p>
        </w:tc>
        <w:tc>
          <w:tcPr>
            <w:tcW w:w="1300" w:type="dxa"/>
            <w:shd w:val="clear" w:color="auto" w:fill="auto"/>
          </w:tcPr>
          <w:p w:rsidR="00A87709" w:rsidRPr="00286CFE" w:rsidRDefault="00A87709" w:rsidP="00FF2A01">
            <w:pPr>
              <w:spacing w:before="60" w:after="0" w:line="240" w:lineRule="atLeast"/>
              <w:rPr>
                <w:sz w:val="20"/>
              </w:rPr>
            </w:pPr>
            <w:r w:rsidRPr="00286CFE">
              <w:rPr>
                <w:sz w:val="20"/>
              </w:rPr>
              <w:t>Victoria</w:t>
            </w:r>
          </w:p>
        </w:tc>
        <w:tc>
          <w:tcPr>
            <w:tcW w:w="2126" w:type="dxa"/>
            <w:shd w:val="clear" w:color="auto" w:fill="auto"/>
          </w:tcPr>
          <w:p w:rsidR="00A87709" w:rsidRPr="00286CFE" w:rsidRDefault="00A87709" w:rsidP="00FF2A01">
            <w:pPr>
              <w:spacing w:before="60" w:after="0" w:line="240" w:lineRule="atLeast"/>
              <w:rPr>
                <w:sz w:val="20"/>
              </w:rPr>
            </w:pPr>
            <w:r w:rsidRPr="002D323C">
              <w:rPr>
                <w:sz w:val="20"/>
              </w:rPr>
              <w:t>$5,098,296,026.67</w:t>
            </w:r>
          </w:p>
        </w:tc>
        <w:tc>
          <w:tcPr>
            <w:tcW w:w="2126" w:type="dxa"/>
          </w:tcPr>
          <w:p w:rsidR="00A87709" w:rsidRPr="002D323C" w:rsidRDefault="00A87709" w:rsidP="00FF2A01">
            <w:pPr>
              <w:spacing w:before="60" w:after="0" w:line="240" w:lineRule="atLeast"/>
              <w:rPr>
                <w:sz w:val="20"/>
              </w:rPr>
            </w:pPr>
            <w:r w:rsidRPr="002D323C">
              <w:rPr>
                <w:sz w:val="20"/>
              </w:rPr>
              <w:t>$250,202,107.94</w:t>
            </w:r>
          </w:p>
        </w:tc>
        <w:tc>
          <w:tcPr>
            <w:tcW w:w="2126" w:type="dxa"/>
          </w:tcPr>
          <w:p w:rsidR="00A87709" w:rsidRPr="002D323C" w:rsidRDefault="00A87709" w:rsidP="00FF2A01">
            <w:pPr>
              <w:spacing w:before="60" w:after="0" w:line="240" w:lineRule="atLeast"/>
              <w:rPr>
                <w:sz w:val="20"/>
              </w:rPr>
            </w:pPr>
            <w:r w:rsidRPr="002D323C">
              <w:rPr>
                <w:sz w:val="20"/>
              </w:rPr>
              <w:t>$204,856,777.94</w:t>
            </w:r>
          </w:p>
        </w:tc>
        <w:tc>
          <w:tcPr>
            <w:tcW w:w="2126" w:type="dxa"/>
          </w:tcPr>
          <w:p w:rsidR="00A87709" w:rsidRPr="002D323C" w:rsidRDefault="00A87709" w:rsidP="00FF2A01">
            <w:pPr>
              <w:spacing w:before="60" w:after="0" w:line="240" w:lineRule="atLeast"/>
              <w:rPr>
                <w:sz w:val="20"/>
              </w:rPr>
            </w:pPr>
            <w:r w:rsidRPr="002D323C">
              <w:rPr>
                <w:sz w:val="20"/>
              </w:rPr>
              <w:t>$423,565,748.38</w:t>
            </w:r>
          </w:p>
        </w:tc>
        <w:tc>
          <w:tcPr>
            <w:tcW w:w="2126" w:type="dxa"/>
          </w:tcPr>
          <w:p w:rsidR="00A87709" w:rsidRPr="002D323C" w:rsidRDefault="00A87709" w:rsidP="00FF2A01">
            <w:pPr>
              <w:spacing w:before="60" w:after="0" w:line="240" w:lineRule="atLeast"/>
              <w:rPr>
                <w:sz w:val="20"/>
              </w:rPr>
            </w:pPr>
            <w:r w:rsidRPr="002D323C">
              <w:rPr>
                <w:sz w:val="20"/>
              </w:rPr>
              <w:t>$195,231,493.14</w:t>
            </w:r>
          </w:p>
        </w:tc>
        <w:tc>
          <w:tcPr>
            <w:tcW w:w="2126" w:type="dxa"/>
          </w:tcPr>
          <w:p w:rsidR="00A87709" w:rsidRPr="00286CFE" w:rsidRDefault="00A87709" w:rsidP="00FF2A01">
            <w:pPr>
              <w:spacing w:before="60" w:after="0" w:line="240" w:lineRule="atLeast"/>
              <w:rPr>
                <w:b/>
                <w:sz w:val="20"/>
              </w:rPr>
            </w:pPr>
            <w:r w:rsidRPr="00286CFE">
              <w:rPr>
                <w:b/>
                <w:sz w:val="20"/>
              </w:rPr>
              <w:t>$6,172,152,154.07</w:t>
            </w:r>
          </w:p>
        </w:tc>
      </w:tr>
      <w:tr w:rsidR="00A87709" w:rsidRPr="001C5951" w:rsidTr="00FF2A01">
        <w:tc>
          <w:tcPr>
            <w:tcW w:w="714" w:type="dxa"/>
            <w:shd w:val="clear" w:color="auto" w:fill="auto"/>
          </w:tcPr>
          <w:p w:rsidR="00A87709" w:rsidRPr="00286CFE" w:rsidRDefault="00A87709" w:rsidP="00FF2A01">
            <w:pPr>
              <w:spacing w:before="60" w:after="0" w:line="240" w:lineRule="atLeast"/>
              <w:rPr>
                <w:sz w:val="20"/>
              </w:rPr>
            </w:pPr>
            <w:r w:rsidRPr="00286CFE">
              <w:rPr>
                <w:sz w:val="20"/>
              </w:rPr>
              <w:t>3</w:t>
            </w:r>
          </w:p>
        </w:tc>
        <w:tc>
          <w:tcPr>
            <w:tcW w:w="1300" w:type="dxa"/>
            <w:shd w:val="clear" w:color="auto" w:fill="auto"/>
          </w:tcPr>
          <w:p w:rsidR="00A87709" w:rsidRPr="00286CFE" w:rsidRDefault="00A87709" w:rsidP="00FF2A01">
            <w:pPr>
              <w:spacing w:before="60" w:after="0" w:line="240" w:lineRule="atLeast"/>
              <w:rPr>
                <w:sz w:val="20"/>
              </w:rPr>
            </w:pPr>
            <w:r w:rsidRPr="00286CFE">
              <w:rPr>
                <w:sz w:val="20"/>
              </w:rPr>
              <w:t>Queensland</w:t>
            </w:r>
          </w:p>
        </w:tc>
        <w:tc>
          <w:tcPr>
            <w:tcW w:w="2126" w:type="dxa"/>
            <w:shd w:val="clear" w:color="auto" w:fill="auto"/>
          </w:tcPr>
          <w:p w:rsidR="00A87709" w:rsidRPr="00286CFE" w:rsidRDefault="00A87709" w:rsidP="00FF2A01">
            <w:pPr>
              <w:spacing w:before="60" w:after="0" w:line="240" w:lineRule="atLeast"/>
              <w:rPr>
                <w:sz w:val="20"/>
              </w:rPr>
            </w:pPr>
            <w:r w:rsidRPr="002D323C">
              <w:rPr>
                <w:sz w:val="20"/>
              </w:rPr>
              <w:t>$4,889,648,687.23</w:t>
            </w:r>
          </w:p>
        </w:tc>
        <w:tc>
          <w:tcPr>
            <w:tcW w:w="2126" w:type="dxa"/>
          </w:tcPr>
          <w:p w:rsidR="00A87709" w:rsidRPr="002D323C" w:rsidRDefault="00A87709" w:rsidP="00FF2A01">
            <w:pPr>
              <w:spacing w:before="60" w:after="0" w:line="240" w:lineRule="atLeast"/>
              <w:rPr>
                <w:sz w:val="20"/>
              </w:rPr>
            </w:pPr>
            <w:r w:rsidRPr="002D323C">
              <w:rPr>
                <w:sz w:val="20"/>
              </w:rPr>
              <w:t>$10,712,206.67</w:t>
            </w:r>
          </w:p>
        </w:tc>
        <w:tc>
          <w:tcPr>
            <w:tcW w:w="2126" w:type="dxa"/>
          </w:tcPr>
          <w:p w:rsidR="00A87709" w:rsidRPr="002D323C" w:rsidRDefault="00A87709" w:rsidP="00FF2A01">
            <w:pPr>
              <w:spacing w:before="60" w:after="0" w:line="240" w:lineRule="atLeast"/>
              <w:rPr>
                <w:sz w:val="20"/>
              </w:rPr>
            </w:pPr>
            <w:r w:rsidRPr="002D323C">
              <w:rPr>
                <w:sz w:val="20"/>
              </w:rPr>
              <w:t>$89,029,361.52</w:t>
            </w:r>
          </w:p>
        </w:tc>
        <w:tc>
          <w:tcPr>
            <w:tcW w:w="2126" w:type="dxa"/>
          </w:tcPr>
          <w:p w:rsidR="00A87709" w:rsidRPr="002D323C" w:rsidRDefault="00A87709" w:rsidP="00FF2A01">
            <w:pPr>
              <w:spacing w:before="60" w:after="0" w:line="240" w:lineRule="atLeast"/>
              <w:rPr>
                <w:sz w:val="20"/>
              </w:rPr>
            </w:pPr>
            <w:r w:rsidRPr="002D323C">
              <w:rPr>
                <w:sz w:val="20"/>
              </w:rPr>
              <w:t>$150,865,894.61</w:t>
            </w:r>
          </w:p>
        </w:tc>
        <w:tc>
          <w:tcPr>
            <w:tcW w:w="2126" w:type="dxa"/>
          </w:tcPr>
          <w:p w:rsidR="00A87709" w:rsidRPr="002D323C" w:rsidRDefault="00A87709" w:rsidP="00FF2A01">
            <w:pPr>
              <w:spacing w:before="60" w:after="0" w:line="240" w:lineRule="atLeast"/>
              <w:rPr>
                <w:sz w:val="20"/>
              </w:rPr>
            </w:pPr>
            <w:r w:rsidRPr="002D323C">
              <w:rPr>
                <w:sz w:val="20"/>
              </w:rPr>
              <w:t>$76,016,971.60</w:t>
            </w:r>
          </w:p>
        </w:tc>
        <w:tc>
          <w:tcPr>
            <w:tcW w:w="2126" w:type="dxa"/>
          </w:tcPr>
          <w:p w:rsidR="00A87709" w:rsidRPr="00286CFE" w:rsidRDefault="00A87709" w:rsidP="00FF2A01">
            <w:pPr>
              <w:spacing w:before="60" w:after="0" w:line="240" w:lineRule="atLeast"/>
              <w:rPr>
                <w:b/>
                <w:sz w:val="20"/>
              </w:rPr>
            </w:pPr>
            <w:r w:rsidRPr="00286CFE">
              <w:rPr>
                <w:b/>
                <w:sz w:val="20"/>
              </w:rPr>
              <w:t>$5,216,273,121.63</w:t>
            </w:r>
          </w:p>
        </w:tc>
      </w:tr>
      <w:tr w:rsidR="00A87709" w:rsidRPr="001C5951" w:rsidTr="00FF2A01">
        <w:tc>
          <w:tcPr>
            <w:tcW w:w="714" w:type="dxa"/>
            <w:shd w:val="clear" w:color="auto" w:fill="auto"/>
          </w:tcPr>
          <w:p w:rsidR="00A87709" w:rsidRPr="00286CFE" w:rsidRDefault="00A87709" w:rsidP="00FF2A01">
            <w:pPr>
              <w:spacing w:before="60" w:after="0" w:line="240" w:lineRule="atLeast"/>
              <w:rPr>
                <w:sz w:val="20"/>
              </w:rPr>
            </w:pPr>
            <w:r w:rsidRPr="00286CFE">
              <w:rPr>
                <w:sz w:val="20"/>
              </w:rPr>
              <w:t>4</w:t>
            </w:r>
          </w:p>
        </w:tc>
        <w:tc>
          <w:tcPr>
            <w:tcW w:w="1300" w:type="dxa"/>
            <w:shd w:val="clear" w:color="auto" w:fill="auto"/>
          </w:tcPr>
          <w:p w:rsidR="00A87709" w:rsidRPr="00286CFE" w:rsidRDefault="00A87709" w:rsidP="00FF2A01">
            <w:pPr>
              <w:spacing w:before="60" w:after="0" w:line="240" w:lineRule="atLeast"/>
              <w:rPr>
                <w:sz w:val="20"/>
              </w:rPr>
            </w:pPr>
            <w:r w:rsidRPr="00286CFE">
              <w:rPr>
                <w:sz w:val="20"/>
              </w:rPr>
              <w:t>Western Australia</w:t>
            </w:r>
          </w:p>
        </w:tc>
        <w:tc>
          <w:tcPr>
            <w:tcW w:w="2126" w:type="dxa"/>
            <w:shd w:val="clear" w:color="auto" w:fill="auto"/>
          </w:tcPr>
          <w:p w:rsidR="00A87709" w:rsidRPr="00286CFE" w:rsidRDefault="00A87709" w:rsidP="00FF2A01">
            <w:pPr>
              <w:spacing w:before="60" w:after="0" w:line="240" w:lineRule="atLeast"/>
              <w:rPr>
                <w:sz w:val="20"/>
              </w:rPr>
            </w:pPr>
            <w:r w:rsidRPr="002D323C">
              <w:rPr>
                <w:sz w:val="20"/>
              </w:rPr>
              <w:t>$2,307,495,869.02</w:t>
            </w:r>
          </w:p>
        </w:tc>
        <w:tc>
          <w:tcPr>
            <w:tcW w:w="2126" w:type="dxa"/>
          </w:tcPr>
          <w:p w:rsidR="00A87709" w:rsidRPr="002D323C" w:rsidRDefault="00A87709" w:rsidP="00FF2A01">
            <w:pPr>
              <w:spacing w:before="60" w:after="0" w:line="240" w:lineRule="atLeast"/>
              <w:rPr>
                <w:sz w:val="20"/>
              </w:rPr>
            </w:pPr>
            <w:r w:rsidRPr="002D323C">
              <w:rPr>
                <w:sz w:val="20"/>
              </w:rPr>
              <w:t>$2,443,450.20</w:t>
            </w:r>
          </w:p>
        </w:tc>
        <w:tc>
          <w:tcPr>
            <w:tcW w:w="2126" w:type="dxa"/>
          </w:tcPr>
          <w:p w:rsidR="00A87709" w:rsidRPr="002D323C" w:rsidRDefault="00A87709" w:rsidP="00FF2A01">
            <w:pPr>
              <w:spacing w:before="60" w:after="0" w:line="240" w:lineRule="atLeast"/>
              <w:rPr>
                <w:sz w:val="20"/>
              </w:rPr>
            </w:pPr>
            <w:r w:rsidRPr="002D323C">
              <w:rPr>
                <w:sz w:val="20"/>
              </w:rPr>
              <w:t>$40,659,378.00</w:t>
            </w:r>
          </w:p>
        </w:tc>
        <w:tc>
          <w:tcPr>
            <w:tcW w:w="2126" w:type="dxa"/>
          </w:tcPr>
          <w:p w:rsidR="00A87709" w:rsidRPr="002D323C" w:rsidRDefault="00A87709" w:rsidP="00FF2A01">
            <w:pPr>
              <w:spacing w:before="60" w:after="0" w:line="240" w:lineRule="atLeast"/>
              <w:rPr>
                <w:sz w:val="20"/>
              </w:rPr>
            </w:pPr>
            <w:r w:rsidRPr="002D323C">
              <w:rPr>
                <w:sz w:val="20"/>
              </w:rPr>
              <w:t>$60,289,730.09</w:t>
            </w:r>
          </w:p>
        </w:tc>
        <w:tc>
          <w:tcPr>
            <w:tcW w:w="2126" w:type="dxa"/>
          </w:tcPr>
          <w:p w:rsidR="00A87709" w:rsidRPr="002D323C" w:rsidRDefault="00A87709" w:rsidP="00FF2A01">
            <w:pPr>
              <w:spacing w:before="60" w:after="0" w:line="240" w:lineRule="atLeast"/>
              <w:rPr>
                <w:sz w:val="20"/>
              </w:rPr>
            </w:pPr>
            <w:r w:rsidRPr="002D323C">
              <w:rPr>
                <w:sz w:val="20"/>
              </w:rPr>
              <w:t>$32,105,525.38</w:t>
            </w:r>
          </w:p>
        </w:tc>
        <w:tc>
          <w:tcPr>
            <w:tcW w:w="2126" w:type="dxa"/>
          </w:tcPr>
          <w:p w:rsidR="00A87709" w:rsidRPr="00286CFE" w:rsidRDefault="00A87709" w:rsidP="00FF2A01">
            <w:pPr>
              <w:spacing w:before="60" w:after="0" w:line="240" w:lineRule="atLeast"/>
              <w:rPr>
                <w:b/>
                <w:sz w:val="20"/>
              </w:rPr>
            </w:pPr>
            <w:r w:rsidRPr="00286CFE">
              <w:rPr>
                <w:b/>
                <w:sz w:val="20"/>
              </w:rPr>
              <w:t>$2,442,993,952.69</w:t>
            </w:r>
          </w:p>
        </w:tc>
      </w:tr>
      <w:tr w:rsidR="00A87709" w:rsidRPr="001C5951" w:rsidTr="00FF2A01">
        <w:tc>
          <w:tcPr>
            <w:tcW w:w="714" w:type="dxa"/>
            <w:shd w:val="clear" w:color="auto" w:fill="auto"/>
          </w:tcPr>
          <w:p w:rsidR="00A87709" w:rsidRPr="00286CFE" w:rsidRDefault="00A87709" w:rsidP="00FF2A01">
            <w:pPr>
              <w:spacing w:before="60" w:after="0" w:line="240" w:lineRule="atLeast"/>
              <w:rPr>
                <w:sz w:val="20"/>
              </w:rPr>
            </w:pPr>
            <w:r w:rsidRPr="00286CFE">
              <w:rPr>
                <w:sz w:val="20"/>
              </w:rPr>
              <w:t>5</w:t>
            </w:r>
          </w:p>
        </w:tc>
        <w:tc>
          <w:tcPr>
            <w:tcW w:w="1300" w:type="dxa"/>
            <w:shd w:val="clear" w:color="auto" w:fill="auto"/>
          </w:tcPr>
          <w:p w:rsidR="00A87709" w:rsidRPr="00286CFE" w:rsidRDefault="00A87709" w:rsidP="00FF2A01">
            <w:pPr>
              <w:spacing w:before="60" w:after="0" w:line="240" w:lineRule="atLeast"/>
              <w:rPr>
                <w:sz w:val="20"/>
              </w:rPr>
            </w:pPr>
            <w:r w:rsidRPr="00286CFE">
              <w:rPr>
                <w:sz w:val="20"/>
              </w:rPr>
              <w:t>South Australia</w:t>
            </w:r>
          </w:p>
        </w:tc>
        <w:tc>
          <w:tcPr>
            <w:tcW w:w="2126" w:type="dxa"/>
            <w:shd w:val="clear" w:color="auto" w:fill="auto"/>
          </w:tcPr>
          <w:p w:rsidR="00A87709" w:rsidRPr="00286CFE" w:rsidRDefault="00A87709" w:rsidP="00FF2A01">
            <w:pPr>
              <w:spacing w:before="60" w:after="0" w:line="240" w:lineRule="atLeast"/>
              <w:rPr>
                <w:sz w:val="20"/>
              </w:rPr>
            </w:pPr>
            <w:r w:rsidRPr="002D323C">
              <w:rPr>
                <w:sz w:val="20"/>
              </w:rPr>
              <w:t>$1,434,033,516.30</w:t>
            </w:r>
          </w:p>
        </w:tc>
        <w:tc>
          <w:tcPr>
            <w:tcW w:w="2126" w:type="dxa"/>
          </w:tcPr>
          <w:p w:rsidR="00A87709" w:rsidRPr="002D323C" w:rsidRDefault="00A87709" w:rsidP="00FF2A01">
            <w:pPr>
              <w:spacing w:before="60" w:after="0" w:line="240" w:lineRule="atLeast"/>
              <w:rPr>
                <w:sz w:val="20"/>
              </w:rPr>
            </w:pPr>
            <w:r w:rsidRPr="002D323C">
              <w:rPr>
                <w:sz w:val="20"/>
              </w:rPr>
              <w:t xml:space="preserve">Not eligible </w:t>
            </w:r>
          </w:p>
        </w:tc>
        <w:tc>
          <w:tcPr>
            <w:tcW w:w="2126" w:type="dxa"/>
          </w:tcPr>
          <w:p w:rsidR="00A87709" w:rsidRPr="002D323C" w:rsidRDefault="00A87709" w:rsidP="00FF2A01">
            <w:pPr>
              <w:spacing w:before="60" w:after="0" w:line="240" w:lineRule="atLeast"/>
              <w:rPr>
                <w:sz w:val="20"/>
              </w:rPr>
            </w:pPr>
            <w:r w:rsidRPr="002D323C">
              <w:rPr>
                <w:sz w:val="20"/>
              </w:rPr>
              <w:t>$15,960,519.40</w:t>
            </w:r>
          </w:p>
        </w:tc>
        <w:tc>
          <w:tcPr>
            <w:tcW w:w="2126" w:type="dxa"/>
          </w:tcPr>
          <w:p w:rsidR="00A87709" w:rsidRPr="002D323C" w:rsidRDefault="00A87709" w:rsidP="00FF2A01">
            <w:pPr>
              <w:spacing w:before="60" w:after="0" w:line="240" w:lineRule="atLeast"/>
              <w:rPr>
                <w:sz w:val="20"/>
              </w:rPr>
            </w:pPr>
            <w:r w:rsidRPr="002D323C">
              <w:rPr>
                <w:sz w:val="20"/>
              </w:rPr>
              <w:t>$40,331,056.25</w:t>
            </w:r>
          </w:p>
        </w:tc>
        <w:tc>
          <w:tcPr>
            <w:tcW w:w="2126" w:type="dxa"/>
          </w:tcPr>
          <w:p w:rsidR="00A87709" w:rsidRPr="002D323C" w:rsidRDefault="00A87709" w:rsidP="00FF2A01">
            <w:pPr>
              <w:spacing w:before="60" w:after="0" w:line="240" w:lineRule="atLeast"/>
              <w:rPr>
                <w:sz w:val="20"/>
              </w:rPr>
            </w:pPr>
            <w:r w:rsidRPr="002D323C">
              <w:rPr>
                <w:sz w:val="20"/>
              </w:rPr>
              <w:t>$24,138,551.00</w:t>
            </w:r>
          </w:p>
        </w:tc>
        <w:tc>
          <w:tcPr>
            <w:tcW w:w="2126" w:type="dxa"/>
          </w:tcPr>
          <w:p w:rsidR="00A87709" w:rsidRPr="00286CFE" w:rsidRDefault="00A87709" w:rsidP="00FF2A01">
            <w:pPr>
              <w:spacing w:before="60" w:after="0" w:line="240" w:lineRule="atLeast"/>
              <w:rPr>
                <w:b/>
                <w:sz w:val="20"/>
              </w:rPr>
            </w:pPr>
            <w:r w:rsidRPr="00286CFE">
              <w:rPr>
                <w:b/>
                <w:sz w:val="20"/>
              </w:rPr>
              <w:t>$1,514,463,642.95</w:t>
            </w:r>
          </w:p>
        </w:tc>
      </w:tr>
      <w:tr w:rsidR="00A87709" w:rsidRPr="001C5951" w:rsidTr="00FF2A01">
        <w:tc>
          <w:tcPr>
            <w:tcW w:w="714" w:type="dxa"/>
            <w:shd w:val="clear" w:color="auto" w:fill="auto"/>
          </w:tcPr>
          <w:p w:rsidR="00A87709" w:rsidRPr="00286CFE" w:rsidRDefault="00A87709" w:rsidP="00FF2A01">
            <w:pPr>
              <w:spacing w:before="60" w:after="0" w:line="240" w:lineRule="atLeast"/>
              <w:rPr>
                <w:sz w:val="20"/>
              </w:rPr>
            </w:pPr>
            <w:r w:rsidRPr="00286CFE">
              <w:rPr>
                <w:sz w:val="20"/>
              </w:rPr>
              <w:t>6</w:t>
            </w:r>
          </w:p>
        </w:tc>
        <w:tc>
          <w:tcPr>
            <w:tcW w:w="1300" w:type="dxa"/>
            <w:shd w:val="clear" w:color="auto" w:fill="auto"/>
          </w:tcPr>
          <w:p w:rsidR="00A87709" w:rsidRPr="00286CFE" w:rsidRDefault="00A87709" w:rsidP="00FF2A01">
            <w:pPr>
              <w:spacing w:before="60" w:after="0" w:line="240" w:lineRule="atLeast"/>
              <w:rPr>
                <w:sz w:val="20"/>
              </w:rPr>
            </w:pPr>
            <w:r w:rsidRPr="00286CFE">
              <w:rPr>
                <w:sz w:val="20"/>
              </w:rPr>
              <w:t>Tasmania</w:t>
            </w:r>
          </w:p>
        </w:tc>
        <w:tc>
          <w:tcPr>
            <w:tcW w:w="2126" w:type="dxa"/>
            <w:shd w:val="clear" w:color="auto" w:fill="auto"/>
          </w:tcPr>
          <w:p w:rsidR="00A87709" w:rsidRPr="00286CFE" w:rsidRDefault="00A87709" w:rsidP="00FF2A01">
            <w:pPr>
              <w:spacing w:before="60" w:after="0" w:line="240" w:lineRule="atLeast"/>
              <w:rPr>
                <w:sz w:val="20"/>
              </w:rPr>
            </w:pPr>
            <w:r w:rsidRPr="002D323C">
              <w:rPr>
                <w:sz w:val="20"/>
              </w:rPr>
              <w:t>$433,680,500.73</w:t>
            </w:r>
          </w:p>
        </w:tc>
        <w:tc>
          <w:tcPr>
            <w:tcW w:w="2126" w:type="dxa"/>
          </w:tcPr>
          <w:p w:rsidR="00A87709" w:rsidRPr="002D323C" w:rsidRDefault="00A87709" w:rsidP="00FF2A01">
            <w:pPr>
              <w:spacing w:before="60" w:after="0" w:line="240" w:lineRule="atLeast"/>
              <w:rPr>
                <w:sz w:val="20"/>
              </w:rPr>
            </w:pPr>
            <w:r w:rsidRPr="002D323C">
              <w:rPr>
                <w:sz w:val="20"/>
              </w:rPr>
              <w:t>$9,487,051.31</w:t>
            </w:r>
          </w:p>
        </w:tc>
        <w:tc>
          <w:tcPr>
            <w:tcW w:w="2126" w:type="dxa"/>
          </w:tcPr>
          <w:p w:rsidR="00A87709" w:rsidRPr="002D323C" w:rsidRDefault="00A87709" w:rsidP="00FF2A01">
            <w:pPr>
              <w:spacing w:before="60" w:after="0" w:line="240" w:lineRule="atLeast"/>
              <w:rPr>
                <w:sz w:val="20"/>
              </w:rPr>
            </w:pPr>
            <w:r w:rsidRPr="002D323C">
              <w:rPr>
                <w:sz w:val="20"/>
              </w:rPr>
              <w:t>$6,490,164.90</w:t>
            </w:r>
          </w:p>
        </w:tc>
        <w:tc>
          <w:tcPr>
            <w:tcW w:w="2126" w:type="dxa"/>
          </w:tcPr>
          <w:p w:rsidR="00A87709" w:rsidRPr="002D323C" w:rsidRDefault="00A87709" w:rsidP="00FF2A01">
            <w:pPr>
              <w:spacing w:before="60" w:after="0" w:line="240" w:lineRule="atLeast"/>
              <w:rPr>
                <w:sz w:val="20"/>
              </w:rPr>
            </w:pPr>
            <w:r w:rsidRPr="002D323C">
              <w:rPr>
                <w:sz w:val="20"/>
              </w:rPr>
              <w:t>$35,255,679.81</w:t>
            </w:r>
          </w:p>
        </w:tc>
        <w:tc>
          <w:tcPr>
            <w:tcW w:w="2126" w:type="dxa"/>
          </w:tcPr>
          <w:p w:rsidR="00A87709" w:rsidRPr="002D323C" w:rsidRDefault="00A87709" w:rsidP="00FF2A01">
            <w:pPr>
              <w:spacing w:before="60" w:after="0" w:line="240" w:lineRule="atLeast"/>
              <w:rPr>
                <w:sz w:val="20"/>
              </w:rPr>
            </w:pPr>
            <w:r w:rsidRPr="002D323C">
              <w:rPr>
                <w:sz w:val="20"/>
              </w:rPr>
              <w:t>$9,490,171.74</w:t>
            </w:r>
          </w:p>
        </w:tc>
        <w:tc>
          <w:tcPr>
            <w:tcW w:w="2126" w:type="dxa"/>
          </w:tcPr>
          <w:p w:rsidR="00A87709" w:rsidRPr="00286CFE" w:rsidRDefault="00A87709" w:rsidP="00FF2A01">
            <w:pPr>
              <w:spacing w:before="60" w:after="0" w:line="240" w:lineRule="atLeast"/>
              <w:rPr>
                <w:b/>
                <w:sz w:val="20"/>
              </w:rPr>
            </w:pPr>
            <w:r w:rsidRPr="00286CFE">
              <w:rPr>
                <w:b/>
                <w:sz w:val="20"/>
              </w:rPr>
              <w:t>$494,403,568.49</w:t>
            </w:r>
          </w:p>
        </w:tc>
      </w:tr>
      <w:tr w:rsidR="00A87709" w:rsidRPr="001C5951" w:rsidTr="00FF2A01">
        <w:tc>
          <w:tcPr>
            <w:tcW w:w="714" w:type="dxa"/>
            <w:shd w:val="clear" w:color="auto" w:fill="auto"/>
          </w:tcPr>
          <w:p w:rsidR="00A87709" w:rsidRPr="00286CFE" w:rsidRDefault="00A87709" w:rsidP="00FF2A01">
            <w:pPr>
              <w:spacing w:before="60" w:after="0" w:line="240" w:lineRule="atLeast"/>
              <w:rPr>
                <w:sz w:val="20"/>
              </w:rPr>
            </w:pPr>
            <w:r w:rsidRPr="00286CFE">
              <w:rPr>
                <w:sz w:val="20"/>
              </w:rPr>
              <w:t>7</w:t>
            </w:r>
          </w:p>
        </w:tc>
        <w:tc>
          <w:tcPr>
            <w:tcW w:w="1300" w:type="dxa"/>
            <w:shd w:val="clear" w:color="auto" w:fill="auto"/>
          </w:tcPr>
          <w:p w:rsidR="00A87709" w:rsidRPr="00286CFE" w:rsidRDefault="00A87709" w:rsidP="00FF2A01">
            <w:pPr>
              <w:spacing w:before="60" w:after="0" w:line="240" w:lineRule="atLeast"/>
              <w:rPr>
                <w:sz w:val="20"/>
              </w:rPr>
            </w:pPr>
            <w:r w:rsidRPr="00286CFE">
              <w:rPr>
                <w:sz w:val="20"/>
              </w:rPr>
              <w:t>Australian Capital Territory</w:t>
            </w:r>
          </w:p>
        </w:tc>
        <w:tc>
          <w:tcPr>
            <w:tcW w:w="2126" w:type="dxa"/>
            <w:shd w:val="clear" w:color="auto" w:fill="auto"/>
          </w:tcPr>
          <w:p w:rsidR="00A87709" w:rsidRPr="00286CFE" w:rsidRDefault="00A87709" w:rsidP="00FF2A01">
            <w:pPr>
              <w:spacing w:before="60" w:after="0" w:line="240" w:lineRule="atLeast"/>
              <w:rPr>
                <w:sz w:val="20"/>
              </w:rPr>
            </w:pPr>
            <w:r w:rsidRPr="002D323C">
              <w:rPr>
                <w:sz w:val="20"/>
              </w:rPr>
              <w:t>$410,428,873.70</w:t>
            </w:r>
          </w:p>
        </w:tc>
        <w:tc>
          <w:tcPr>
            <w:tcW w:w="2126" w:type="dxa"/>
          </w:tcPr>
          <w:p w:rsidR="00A87709" w:rsidRPr="002D323C" w:rsidRDefault="00A87709" w:rsidP="00FF2A01">
            <w:pPr>
              <w:spacing w:before="60" w:after="0" w:line="240" w:lineRule="atLeast"/>
              <w:rPr>
                <w:sz w:val="20"/>
              </w:rPr>
            </w:pPr>
            <w:r w:rsidRPr="002D323C">
              <w:rPr>
                <w:sz w:val="20"/>
              </w:rPr>
              <w:t>$2,013,371.13</w:t>
            </w:r>
          </w:p>
        </w:tc>
        <w:tc>
          <w:tcPr>
            <w:tcW w:w="2126" w:type="dxa"/>
          </w:tcPr>
          <w:p w:rsidR="00A87709" w:rsidRPr="002D323C" w:rsidRDefault="00A87709" w:rsidP="00FF2A01">
            <w:pPr>
              <w:spacing w:before="60" w:after="0" w:line="240" w:lineRule="atLeast"/>
              <w:rPr>
                <w:sz w:val="20"/>
              </w:rPr>
            </w:pPr>
            <w:r w:rsidRPr="002D323C">
              <w:rPr>
                <w:sz w:val="20"/>
              </w:rPr>
              <w:t>$7,896,725.55</w:t>
            </w:r>
          </w:p>
        </w:tc>
        <w:tc>
          <w:tcPr>
            <w:tcW w:w="2126" w:type="dxa"/>
          </w:tcPr>
          <w:p w:rsidR="00A87709" w:rsidRPr="002D323C" w:rsidRDefault="00A87709" w:rsidP="00FF2A01">
            <w:pPr>
              <w:spacing w:before="60" w:after="0" w:line="240" w:lineRule="atLeast"/>
              <w:rPr>
                <w:sz w:val="20"/>
              </w:rPr>
            </w:pPr>
            <w:r w:rsidRPr="002D323C">
              <w:rPr>
                <w:sz w:val="20"/>
              </w:rPr>
              <w:t>$7,794,927.60</w:t>
            </w:r>
          </w:p>
        </w:tc>
        <w:tc>
          <w:tcPr>
            <w:tcW w:w="2126" w:type="dxa"/>
          </w:tcPr>
          <w:p w:rsidR="00A87709" w:rsidRPr="002D323C" w:rsidRDefault="00A87709" w:rsidP="00FF2A01">
            <w:pPr>
              <w:spacing w:before="60" w:after="0" w:line="240" w:lineRule="atLeast"/>
              <w:rPr>
                <w:sz w:val="20"/>
              </w:rPr>
            </w:pPr>
            <w:r w:rsidRPr="002D323C">
              <w:rPr>
                <w:sz w:val="20"/>
              </w:rPr>
              <w:t>$5,456,305.38</w:t>
            </w:r>
          </w:p>
        </w:tc>
        <w:tc>
          <w:tcPr>
            <w:tcW w:w="2126" w:type="dxa"/>
          </w:tcPr>
          <w:p w:rsidR="00A87709" w:rsidRPr="00286CFE" w:rsidRDefault="00A87709" w:rsidP="00FF2A01">
            <w:pPr>
              <w:spacing w:before="60" w:after="0" w:line="240" w:lineRule="atLeast"/>
              <w:rPr>
                <w:b/>
                <w:sz w:val="20"/>
              </w:rPr>
            </w:pPr>
            <w:r w:rsidRPr="00286CFE">
              <w:rPr>
                <w:b/>
                <w:sz w:val="20"/>
              </w:rPr>
              <w:t>$433,590,203.36</w:t>
            </w:r>
          </w:p>
        </w:tc>
      </w:tr>
      <w:tr w:rsidR="00A87709" w:rsidRPr="001C5951" w:rsidTr="00FF2A01">
        <w:tc>
          <w:tcPr>
            <w:tcW w:w="714" w:type="dxa"/>
            <w:tcBorders>
              <w:top w:val="single" w:sz="2" w:space="0" w:color="auto"/>
              <w:bottom w:val="single" w:sz="12" w:space="0" w:color="auto"/>
            </w:tcBorders>
            <w:shd w:val="clear" w:color="auto" w:fill="auto"/>
          </w:tcPr>
          <w:p w:rsidR="00A87709" w:rsidRPr="00286CFE" w:rsidRDefault="00A87709" w:rsidP="00FF2A01">
            <w:pPr>
              <w:spacing w:before="60" w:after="0" w:line="240" w:lineRule="atLeast"/>
              <w:rPr>
                <w:sz w:val="20"/>
              </w:rPr>
            </w:pPr>
            <w:r w:rsidRPr="00286CFE">
              <w:rPr>
                <w:sz w:val="20"/>
              </w:rPr>
              <w:t>8</w:t>
            </w:r>
          </w:p>
        </w:tc>
        <w:tc>
          <w:tcPr>
            <w:tcW w:w="1300" w:type="dxa"/>
            <w:tcBorders>
              <w:top w:val="single" w:sz="2" w:space="0" w:color="auto"/>
              <w:bottom w:val="single" w:sz="12" w:space="0" w:color="auto"/>
            </w:tcBorders>
            <w:shd w:val="clear" w:color="auto" w:fill="auto"/>
          </w:tcPr>
          <w:p w:rsidR="00A87709" w:rsidRPr="00286CFE" w:rsidRDefault="00A87709" w:rsidP="00FF2A01">
            <w:pPr>
              <w:spacing w:before="60" w:after="0" w:line="240" w:lineRule="atLeast"/>
              <w:rPr>
                <w:sz w:val="20"/>
              </w:rPr>
            </w:pPr>
            <w:r w:rsidRPr="00286CFE">
              <w:rPr>
                <w:sz w:val="20"/>
              </w:rPr>
              <w:t>Northern Territory</w:t>
            </w:r>
          </w:p>
        </w:tc>
        <w:tc>
          <w:tcPr>
            <w:tcW w:w="2126" w:type="dxa"/>
            <w:tcBorders>
              <w:top w:val="single" w:sz="2" w:space="0" w:color="auto"/>
              <w:bottom w:val="single" w:sz="12" w:space="0" w:color="auto"/>
            </w:tcBorders>
            <w:shd w:val="clear" w:color="auto" w:fill="auto"/>
          </w:tcPr>
          <w:p w:rsidR="00A87709" w:rsidRPr="00286CFE" w:rsidRDefault="00A87709" w:rsidP="00FF2A01">
            <w:pPr>
              <w:spacing w:before="60" w:after="0" w:line="240" w:lineRule="atLeast"/>
              <w:rPr>
                <w:sz w:val="20"/>
              </w:rPr>
            </w:pPr>
            <w:r w:rsidRPr="002D323C">
              <w:rPr>
                <w:sz w:val="20"/>
              </w:rPr>
              <w:t>$297,500,631.10</w:t>
            </w:r>
          </w:p>
        </w:tc>
        <w:tc>
          <w:tcPr>
            <w:tcW w:w="2126" w:type="dxa"/>
            <w:tcBorders>
              <w:top w:val="single" w:sz="2" w:space="0" w:color="auto"/>
              <w:bottom w:val="single" w:sz="12" w:space="0" w:color="auto"/>
            </w:tcBorders>
          </w:tcPr>
          <w:p w:rsidR="00A87709" w:rsidRPr="002D323C" w:rsidRDefault="00A87709" w:rsidP="00FF2A01">
            <w:pPr>
              <w:spacing w:before="60" w:after="0" w:line="240" w:lineRule="atLeast"/>
              <w:rPr>
                <w:sz w:val="20"/>
              </w:rPr>
            </w:pPr>
            <w:r w:rsidRPr="002D323C">
              <w:rPr>
                <w:sz w:val="20"/>
              </w:rPr>
              <w:t xml:space="preserve">Not eligible </w:t>
            </w:r>
          </w:p>
        </w:tc>
        <w:tc>
          <w:tcPr>
            <w:tcW w:w="2126" w:type="dxa"/>
            <w:tcBorders>
              <w:top w:val="single" w:sz="2" w:space="0" w:color="auto"/>
              <w:bottom w:val="single" w:sz="12" w:space="0" w:color="auto"/>
            </w:tcBorders>
          </w:tcPr>
          <w:p w:rsidR="00A87709" w:rsidRPr="002D323C" w:rsidRDefault="00A87709" w:rsidP="00FF2A01">
            <w:pPr>
              <w:spacing w:before="60" w:after="0" w:line="240" w:lineRule="atLeast"/>
              <w:rPr>
                <w:sz w:val="20"/>
              </w:rPr>
            </w:pPr>
            <w:r w:rsidRPr="002D323C">
              <w:rPr>
                <w:sz w:val="20"/>
              </w:rPr>
              <w:t>$13,205,690.86</w:t>
            </w:r>
          </w:p>
        </w:tc>
        <w:tc>
          <w:tcPr>
            <w:tcW w:w="2126" w:type="dxa"/>
            <w:tcBorders>
              <w:top w:val="single" w:sz="2" w:space="0" w:color="auto"/>
              <w:bottom w:val="single" w:sz="12" w:space="0" w:color="auto"/>
            </w:tcBorders>
          </w:tcPr>
          <w:p w:rsidR="00A87709" w:rsidRPr="002D323C" w:rsidRDefault="00A87709" w:rsidP="00FF2A01">
            <w:pPr>
              <w:spacing w:before="60" w:after="0" w:line="240" w:lineRule="atLeast"/>
              <w:rPr>
                <w:sz w:val="20"/>
              </w:rPr>
            </w:pPr>
            <w:r w:rsidRPr="002D323C">
              <w:rPr>
                <w:sz w:val="20"/>
              </w:rPr>
              <w:t>$7,139,945.97</w:t>
            </w:r>
          </w:p>
        </w:tc>
        <w:tc>
          <w:tcPr>
            <w:tcW w:w="2126" w:type="dxa"/>
            <w:tcBorders>
              <w:top w:val="single" w:sz="2" w:space="0" w:color="auto"/>
              <w:bottom w:val="single" w:sz="12" w:space="0" w:color="auto"/>
            </w:tcBorders>
          </w:tcPr>
          <w:p w:rsidR="00A87709" w:rsidRPr="002D323C" w:rsidRDefault="00A87709" w:rsidP="00FF2A01">
            <w:pPr>
              <w:spacing w:before="60" w:after="0" w:line="240" w:lineRule="atLeast"/>
              <w:rPr>
                <w:sz w:val="20"/>
              </w:rPr>
            </w:pPr>
            <w:r w:rsidRPr="002D323C">
              <w:rPr>
                <w:sz w:val="20"/>
              </w:rPr>
              <w:t>$1,830,135.06</w:t>
            </w:r>
          </w:p>
        </w:tc>
        <w:tc>
          <w:tcPr>
            <w:tcW w:w="2126" w:type="dxa"/>
            <w:tcBorders>
              <w:top w:val="single" w:sz="2" w:space="0" w:color="auto"/>
              <w:bottom w:val="single" w:sz="12" w:space="0" w:color="auto"/>
            </w:tcBorders>
          </w:tcPr>
          <w:p w:rsidR="00A87709" w:rsidRPr="00286CFE" w:rsidRDefault="00A87709" w:rsidP="00FF2A01">
            <w:pPr>
              <w:spacing w:before="60" w:after="0" w:line="240" w:lineRule="atLeast"/>
              <w:rPr>
                <w:b/>
                <w:sz w:val="20"/>
              </w:rPr>
            </w:pPr>
            <w:r w:rsidRPr="00286CFE">
              <w:rPr>
                <w:b/>
                <w:sz w:val="20"/>
              </w:rPr>
              <w:t>$319,676,402.99</w:t>
            </w:r>
          </w:p>
        </w:tc>
      </w:tr>
      <w:tr w:rsidR="00A87709" w:rsidRPr="001C5951" w:rsidTr="00FF2A01">
        <w:tc>
          <w:tcPr>
            <w:tcW w:w="714" w:type="dxa"/>
            <w:tcBorders>
              <w:top w:val="single" w:sz="12" w:space="0" w:color="auto"/>
              <w:bottom w:val="single" w:sz="12" w:space="0" w:color="auto"/>
            </w:tcBorders>
            <w:shd w:val="clear" w:color="auto" w:fill="auto"/>
          </w:tcPr>
          <w:p w:rsidR="00A87709" w:rsidRPr="00286CFE" w:rsidRDefault="00A87709" w:rsidP="00FF2A01">
            <w:pPr>
              <w:spacing w:before="60" w:after="0" w:line="240" w:lineRule="atLeast"/>
              <w:rPr>
                <w:sz w:val="20"/>
              </w:rPr>
            </w:pPr>
          </w:p>
        </w:tc>
        <w:tc>
          <w:tcPr>
            <w:tcW w:w="1300" w:type="dxa"/>
            <w:tcBorders>
              <w:top w:val="single" w:sz="12" w:space="0" w:color="auto"/>
              <w:bottom w:val="single" w:sz="12" w:space="0" w:color="auto"/>
            </w:tcBorders>
            <w:shd w:val="clear" w:color="auto" w:fill="auto"/>
          </w:tcPr>
          <w:p w:rsidR="00A87709" w:rsidRPr="00286CFE" w:rsidRDefault="00A87709" w:rsidP="00FF2A01">
            <w:pPr>
              <w:spacing w:before="60" w:after="0" w:line="240" w:lineRule="atLeast"/>
              <w:rPr>
                <w:b/>
                <w:sz w:val="20"/>
              </w:rPr>
            </w:pPr>
            <w:r w:rsidRPr="00286CFE">
              <w:rPr>
                <w:b/>
                <w:sz w:val="20"/>
              </w:rPr>
              <w:t>Total</w:t>
            </w:r>
          </w:p>
        </w:tc>
        <w:tc>
          <w:tcPr>
            <w:tcW w:w="2126" w:type="dxa"/>
            <w:tcBorders>
              <w:top w:val="single" w:sz="12" w:space="0" w:color="auto"/>
              <w:bottom w:val="single" w:sz="12" w:space="0" w:color="auto"/>
            </w:tcBorders>
            <w:shd w:val="clear" w:color="auto" w:fill="auto"/>
            <w:vAlign w:val="bottom"/>
          </w:tcPr>
          <w:p w:rsidR="00A87709" w:rsidRPr="00286CFE" w:rsidRDefault="00A87709" w:rsidP="00FF2A01">
            <w:pPr>
              <w:spacing w:before="60" w:after="0" w:line="240" w:lineRule="atLeast"/>
              <w:rPr>
                <w:b/>
                <w:sz w:val="20"/>
              </w:rPr>
            </w:pPr>
            <w:r w:rsidRPr="00286CFE">
              <w:rPr>
                <w:b/>
                <w:sz w:val="20"/>
              </w:rPr>
              <w:t>$21,303,751,561.29</w:t>
            </w:r>
          </w:p>
        </w:tc>
        <w:tc>
          <w:tcPr>
            <w:tcW w:w="2126" w:type="dxa"/>
            <w:tcBorders>
              <w:top w:val="single" w:sz="12" w:space="0" w:color="auto"/>
              <w:bottom w:val="single" w:sz="12" w:space="0" w:color="auto"/>
            </w:tcBorders>
          </w:tcPr>
          <w:p w:rsidR="00A87709" w:rsidRPr="00286CFE" w:rsidRDefault="00A87709" w:rsidP="00FF2A01">
            <w:pPr>
              <w:spacing w:before="60" w:after="0" w:line="240" w:lineRule="atLeast"/>
              <w:rPr>
                <w:b/>
                <w:sz w:val="20"/>
              </w:rPr>
            </w:pPr>
            <w:r w:rsidRPr="00286CFE">
              <w:rPr>
                <w:b/>
                <w:sz w:val="20"/>
              </w:rPr>
              <w:t>$531,813,543.87</w:t>
            </w:r>
          </w:p>
        </w:tc>
        <w:tc>
          <w:tcPr>
            <w:tcW w:w="2126" w:type="dxa"/>
            <w:tcBorders>
              <w:top w:val="single" w:sz="12" w:space="0" w:color="auto"/>
              <w:bottom w:val="single" w:sz="12" w:space="0" w:color="auto"/>
            </w:tcBorders>
          </w:tcPr>
          <w:p w:rsidR="00A87709" w:rsidRPr="00286CFE" w:rsidRDefault="00A87709" w:rsidP="00FF2A01">
            <w:pPr>
              <w:spacing w:before="60" w:after="0" w:line="240" w:lineRule="atLeast"/>
              <w:rPr>
                <w:b/>
                <w:sz w:val="20"/>
              </w:rPr>
            </w:pPr>
            <w:r w:rsidRPr="00286CFE">
              <w:rPr>
                <w:b/>
                <w:sz w:val="20"/>
              </w:rPr>
              <w:t>$572,278,881.33</w:t>
            </w:r>
          </w:p>
        </w:tc>
        <w:tc>
          <w:tcPr>
            <w:tcW w:w="2126" w:type="dxa"/>
            <w:tcBorders>
              <w:top w:val="single" w:sz="12" w:space="0" w:color="auto"/>
              <w:bottom w:val="single" w:sz="12" w:space="0" w:color="auto"/>
            </w:tcBorders>
          </w:tcPr>
          <w:p w:rsidR="00A87709" w:rsidRPr="00286CFE" w:rsidRDefault="00A87709" w:rsidP="00FF2A01">
            <w:pPr>
              <w:spacing w:before="60" w:after="0" w:line="240" w:lineRule="atLeast"/>
              <w:rPr>
                <w:b/>
                <w:sz w:val="20"/>
              </w:rPr>
            </w:pPr>
            <w:r w:rsidRPr="00286CFE">
              <w:rPr>
                <w:b/>
                <w:sz w:val="20"/>
              </w:rPr>
              <w:t>$1,420,312,436.65</w:t>
            </w:r>
          </w:p>
        </w:tc>
        <w:tc>
          <w:tcPr>
            <w:tcW w:w="2126" w:type="dxa"/>
            <w:tcBorders>
              <w:top w:val="single" w:sz="12" w:space="0" w:color="auto"/>
              <w:bottom w:val="single" w:sz="12" w:space="0" w:color="auto"/>
            </w:tcBorders>
          </w:tcPr>
          <w:p w:rsidR="00A87709" w:rsidRPr="00286CFE" w:rsidRDefault="00A87709" w:rsidP="00FF2A01">
            <w:pPr>
              <w:spacing w:before="60" w:after="0" w:line="240" w:lineRule="atLeast"/>
              <w:rPr>
                <w:b/>
                <w:sz w:val="20"/>
              </w:rPr>
            </w:pPr>
            <w:r w:rsidRPr="00286CFE">
              <w:rPr>
                <w:b/>
                <w:sz w:val="20"/>
              </w:rPr>
              <w:t>$469,828,839.30</w:t>
            </w:r>
          </w:p>
        </w:tc>
        <w:tc>
          <w:tcPr>
            <w:tcW w:w="2126" w:type="dxa"/>
            <w:tcBorders>
              <w:top w:val="single" w:sz="12" w:space="0" w:color="auto"/>
              <w:bottom w:val="single" w:sz="12" w:space="0" w:color="auto"/>
            </w:tcBorders>
          </w:tcPr>
          <w:p w:rsidR="00A87709" w:rsidRPr="00286CFE" w:rsidRDefault="00A87709" w:rsidP="00FF2A01">
            <w:pPr>
              <w:spacing w:before="60" w:after="0" w:line="240" w:lineRule="atLeast"/>
              <w:rPr>
                <w:b/>
                <w:sz w:val="20"/>
              </w:rPr>
            </w:pPr>
            <w:r w:rsidRPr="00286CFE">
              <w:rPr>
                <w:b/>
                <w:sz w:val="20"/>
              </w:rPr>
              <w:t>$24,297,985,262.44</w:t>
            </w:r>
          </w:p>
        </w:tc>
      </w:tr>
    </w:tbl>
    <w:p w:rsidR="00A87709" w:rsidRDefault="00A87709" w:rsidP="00A87709">
      <w:pPr>
        <w:spacing w:before="0" w:after="0"/>
      </w:pPr>
    </w:p>
    <w:p w:rsidR="00A87709" w:rsidRDefault="00A87709" w:rsidP="00A87709">
      <w:pPr>
        <w:pageBreakBefore/>
        <w:spacing w:before="240"/>
        <w:ind w:right="91"/>
        <w:rPr>
          <w:b/>
          <w:bCs/>
          <w:szCs w:val="24"/>
          <w:u w:val="single"/>
        </w:rPr>
      </w:pPr>
      <w:r>
        <w:rPr>
          <w:b/>
          <w:bCs/>
          <w:u w:val="single"/>
        </w:rPr>
        <w:lastRenderedPageBreak/>
        <w:t>Table 2: Base funding amounts for each State, the Australian Capital Territory and Northern Territory for 2020-21 funding calculation purposes</w:t>
      </w:r>
    </w:p>
    <w:p w:rsidR="00A87709" w:rsidRDefault="00A87709" w:rsidP="00A87709">
      <w:pPr>
        <w:spacing w:before="0" w:after="0"/>
      </w:pPr>
    </w:p>
    <w:tbl>
      <w:tblPr>
        <w:tblW w:w="8312"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A87709" w:rsidRPr="001C5951" w:rsidTr="00FF2A01">
        <w:trPr>
          <w:tblHeader/>
        </w:trPr>
        <w:tc>
          <w:tcPr>
            <w:tcW w:w="714" w:type="dxa"/>
            <w:tcBorders>
              <w:top w:val="single" w:sz="12" w:space="0" w:color="auto"/>
              <w:bottom w:val="single" w:sz="12" w:space="0" w:color="auto"/>
            </w:tcBorders>
            <w:shd w:val="clear" w:color="auto" w:fill="auto"/>
          </w:tcPr>
          <w:p w:rsidR="00A87709" w:rsidRPr="00286CFE" w:rsidRDefault="00A87709" w:rsidP="00FF2A01">
            <w:pPr>
              <w:keepNext/>
              <w:spacing w:before="60" w:after="0" w:line="240" w:lineRule="atLeast"/>
              <w:rPr>
                <w:b/>
                <w:sz w:val="20"/>
              </w:rPr>
            </w:pPr>
            <w:r w:rsidRPr="00286CFE">
              <w:rPr>
                <w:b/>
                <w:sz w:val="20"/>
              </w:rPr>
              <w:t>Item</w:t>
            </w:r>
          </w:p>
        </w:tc>
        <w:tc>
          <w:tcPr>
            <w:tcW w:w="3799" w:type="dxa"/>
            <w:tcBorders>
              <w:top w:val="single" w:sz="12" w:space="0" w:color="auto"/>
              <w:bottom w:val="single" w:sz="12" w:space="0" w:color="auto"/>
            </w:tcBorders>
            <w:shd w:val="clear" w:color="auto" w:fill="auto"/>
          </w:tcPr>
          <w:p w:rsidR="00A87709" w:rsidRPr="00286CFE" w:rsidRDefault="00A87709" w:rsidP="00FF2A01">
            <w:pPr>
              <w:keepNext/>
              <w:spacing w:before="60" w:after="0" w:line="240" w:lineRule="atLeast"/>
              <w:rPr>
                <w:b/>
                <w:sz w:val="20"/>
              </w:rPr>
            </w:pPr>
            <w:r w:rsidRPr="00286CFE">
              <w:rPr>
                <w:b/>
                <w:sz w:val="20"/>
              </w:rPr>
              <w:t>For this State:</w:t>
            </w:r>
          </w:p>
        </w:tc>
        <w:tc>
          <w:tcPr>
            <w:tcW w:w="3799" w:type="dxa"/>
            <w:tcBorders>
              <w:top w:val="single" w:sz="12" w:space="0" w:color="auto"/>
              <w:bottom w:val="single" w:sz="12" w:space="0" w:color="auto"/>
            </w:tcBorders>
            <w:shd w:val="clear" w:color="auto" w:fill="auto"/>
          </w:tcPr>
          <w:p w:rsidR="00A87709" w:rsidRPr="00286CFE" w:rsidRDefault="00A87709" w:rsidP="00FF2A01">
            <w:pPr>
              <w:keepNext/>
              <w:spacing w:before="60" w:after="0" w:line="240" w:lineRule="atLeast"/>
              <w:rPr>
                <w:b/>
                <w:sz w:val="20"/>
              </w:rPr>
            </w:pPr>
            <w:r w:rsidRPr="00286CFE">
              <w:rPr>
                <w:b/>
                <w:sz w:val="20"/>
              </w:rPr>
              <w:t>Funding base for 2020-21</w:t>
            </w:r>
          </w:p>
        </w:tc>
      </w:tr>
      <w:tr w:rsidR="00A87709" w:rsidRPr="001C5951" w:rsidTr="00FF2A01">
        <w:tc>
          <w:tcPr>
            <w:tcW w:w="714" w:type="dxa"/>
            <w:tcBorders>
              <w:top w:val="single" w:sz="12" w:space="0" w:color="auto"/>
            </w:tcBorders>
            <w:shd w:val="clear" w:color="auto" w:fill="auto"/>
          </w:tcPr>
          <w:p w:rsidR="00A87709" w:rsidRPr="00286CFE" w:rsidRDefault="00A87709" w:rsidP="00FF2A01">
            <w:pPr>
              <w:spacing w:before="60" w:after="0" w:line="240" w:lineRule="atLeast"/>
              <w:rPr>
                <w:sz w:val="20"/>
              </w:rPr>
            </w:pPr>
            <w:r w:rsidRPr="00286CFE">
              <w:rPr>
                <w:sz w:val="20"/>
              </w:rPr>
              <w:t>1</w:t>
            </w:r>
          </w:p>
        </w:tc>
        <w:tc>
          <w:tcPr>
            <w:tcW w:w="3799" w:type="dxa"/>
            <w:tcBorders>
              <w:top w:val="single" w:sz="12" w:space="0" w:color="auto"/>
            </w:tcBorders>
            <w:shd w:val="clear" w:color="auto" w:fill="auto"/>
          </w:tcPr>
          <w:p w:rsidR="00A87709" w:rsidRPr="00286CFE" w:rsidRDefault="00A87709" w:rsidP="00FF2A01">
            <w:pPr>
              <w:spacing w:before="60" w:after="0" w:line="240" w:lineRule="atLeast"/>
              <w:rPr>
                <w:sz w:val="20"/>
              </w:rPr>
            </w:pPr>
            <w:r w:rsidRPr="00286CFE">
              <w:rPr>
                <w:sz w:val="20"/>
              </w:rPr>
              <w:t>New South Wales</w:t>
            </w:r>
          </w:p>
        </w:tc>
        <w:tc>
          <w:tcPr>
            <w:tcW w:w="3799" w:type="dxa"/>
            <w:tcBorders>
              <w:top w:val="single" w:sz="12" w:space="0" w:color="auto"/>
            </w:tcBorders>
            <w:shd w:val="clear" w:color="auto" w:fill="auto"/>
          </w:tcPr>
          <w:p w:rsidR="00A87709" w:rsidRPr="00286CFE" w:rsidRDefault="00A87709" w:rsidP="00FF2A01">
            <w:pPr>
              <w:spacing w:before="60" w:after="0" w:line="240" w:lineRule="atLeast"/>
              <w:rPr>
                <w:sz w:val="20"/>
              </w:rPr>
            </w:pPr>
            <w:r w:rsidRPr="002D323C">
              <w:rPr>
                <w:sz w:val="20"/>
              </w:rPr>
              <w:t>$6,883,803,076.32</w:t>
            </w:r>
          </w:p>
        </w:tc>
      </w:tr>
      <w:tr w:rsidR="00A87709" w:rsidRPr="001C5951" w:rsidTr="00FF2A01">
        <w:tc>
          <w:tcPr>
            <w:tcW w:w="714" w:type="dxa"/>
            <w:shd w:val="clear" w:color="auto" w:fill="auto"/>
          </w:tcPr>
          <w:p w:rsidR="00A87709" w:rsidRPr="00286CFE" w:rsidRDefault="00A87709" w:rsidP="00FF2A01">
            <w:pPr>
              <w:spacing w:before="60" w:after="0" w:line="240" w:lineRule="atLeast"/>
              <w:rPr>
                <w:sz w:val="20"/>
              </w:rPr>
            </w:pPr>
            <w:r w:rsidRPr="00286CFE">
              <w:rPr>
                <w:sz w:val="20"/>
              </w:rPr>
              <w:t>2</w:t>
            </w:r>
          </w:p>
        </w:tc>
        <w:tc>
          <w:tcPr>
            <w:tcW w:w="3799" w:type="dxa"/>
            <w:shd w:val="clear" w:color="auto" w:fill="auto"/>
          </w:tcPr>
          <w:p w:rsidR="00A87709" w:rsidRPr="00286CFE" w:rsidRDefault="00A87709" w:rsidP="00FF2A01">
            <w:pPr>
              <w:spacing w:before="60" w:after="0" w:line="240" w:lineRule="atLeast"/>
              <w:rPr>
                <w:sz w:val="20"/>
              </w:rPr>
            </w:pPr>
            <w:r w:rsidRPr="00286CFE">
              <w:rPr>
                <w:sz w:val="20"/>
              </w:rPr>
              <w:t>Victoria</w:t>
            </w:r>
          </w:p>
        </w:tc>
        <w:tc>
          <w:tcPr>
            <w:tcW w:w="3799" w:type="dxa"/>
            <w:shd w:val="clear" w:color="auto" w:fill="auto"/>
          </w:tcPr>
          <w:p w:rsidR="00A87709" w:rsidRPr="00286CFE" w:rsidRDefault="00A87709" w:rsidP="00FF2A01">
            <w:pPr>
              <w:spacing w:before="60" w:after="0" w:line="240" w:lineRule="atLeast"/>
              <w:rPr>
                <w:sz w:val="20"/>
              </w:rPr>
            </w:pPr>
            <w:r w:rsidRPr="002D323C">
              <w:rPr>
                <w:sz w:val="20"/>
              </w:rPr>
              <w:t>$5,553,354,912.55</w:t>
            </w:r>
          </w:p>
        </w:tc>
      </w:tr>
      <w:tr w:rsidR="00A87709" w:rsidRPr="001C5951" w:rsidTr="00FF2A01">
        <w:tc>
          <w:tcPr>
            <w:tcW w:w="714" w:type="dxa"/>
            <w:shd w:val="clear" w:color="auto" w:fill="auto"/>
          </w:tcPr>
          <w:p w:rsidR="00A87709" w:rsidRPr="00286CFE" w:rsidRDefault="00A87709" w:rsidP="00FF2A01">
            <w:pPr>
              <w:spacing w:before="60" w:after="0" w:line="240" w:lineRule="atLeast"/>
              <w:rPr>
                <w:sz w:val="20"/>
              </w:rPr>
            </w:pPr>
            <w:r w:rsidRPr="00286CFE">
              <w:rPr>
                <w:sz w:val="20"/>
              </w:rPr>
              <w:t>3</w:t>
            </w:r>
          </w:p>
        </w:tc>
        <w:tc>
          <w:tcPr>
            <w:tcW w:w="3799" w:type="dxa"/>
            <w:shd w:val="clear" w:color="auto" w:fill="auto"/>
          </w:tcPr>
          <w:p w:rsidR="00A87709" w:rsidRPr="00286CFE" w:rsidRDefault="00A87709" w:rsidP="00FF2A01">
            <w:pPr>
              <w:spacing w:before="60" w:after="0" w:line="240" w:lineRule="atLeast"/>
              <w:rPr>
                <w:sz w:val="20"/>
              </w:rPr>
            </w:pPr>
            <w:r w:rsidRPr="00286CFE">
              <w:rPr>
                <w:sz w:val="20"/>
              </w:rPr>
              <w:t>Queensland</w:t>
            </w:r>
          </w:p>
        </w:tc>
        <w:tc>
          <w:tcPr>
            <w:tcW w:w="3799" w:type="dxa"/>
            <w:shd w:val="clear" w:color="auto" w:fill="auto"/>
          </w:tcPr>
          <w:p w:rsidR="00A87709" w:rsidRPr="00286CFE" w:rsidRDefault="00A87709" w:rsidP="00FF2A01">
            <w:pPr>
              <w:spacing w:before="60" w:after="0" w:line="240" w:lineRule="atLeast"/>
              <w:rPr>
                <w:sz w:val="20"/>
              </w:rPr>
            </w:pPr>
            <w:r w:rsidRPr="002D323C">
              <w:rPr>
                <w:sz w:val="20"/>
              </w:rPr>
              <w:t>$4,989,390,255.42</w:t>
            </w:r>
          </w:p>
        </w:tc>
      </w:tr>
      <w:tr w:rsidR="00A87709" w:rsidRPr="001C5951" w:rsidTr="00FF2A01">
        <w:tc>
          <w:tcPr>
            <w:tcW w:w="714" w:type="dxa"/>
            <w:shd w:val="clear" w:color="auto" w:fill="auto"/>
          </w:tcPr>
          <w:p w:rsidR="00A87709" w:rsidRPr="00286CFE" w:rsidRDefault="00A87709" w:rsidP="00FF2A01">
            <w:pPr>
              <w:spacing w:before="60" w:after="0" w:line="240" w:lineRule="atLeast"/>
              <w:rPr>
                <w:sz w:val="20"/>
              </w:rPr>
            </w:pPr>
            <w:r w:rsidRPr="00286CFE">
              <w:rPr>
                <w:sz w:val="20"/>
              </w:rPr>
              <w:t>4</w:t>
            </w:r>
          </w:p>
        </w:tc>
        <w:tc>
          <w:tcPr>
            <w:tcW w:w="3799" w:type="dxa"/>
            <w:shd w:val="clear" w:color="auto" w:fill="auto"/>
          </w:tcPr>
          <w:p w:rsidR="00A87709" w:rsidRPr="00286CFE" w:rsidRDefault="00A87709" w:rsidP="00FF2A01">
            <w:pPr>
              <w:spacing w:before="60" w:after="0" w:line="240" w:lineRule="atLeast"/>
              <w:rPr>
                <w:sz w:val="20"/>
              </w:rPr>
            </w:pPr>
            <w:r w:rsidRPr="00286CFE">
              <w:rPr>
                <w:sz w:val="20"/>
              </w:rPr>
              <w:t>Western Australia</w:t>
            </w:r>
          </w:p>
        </w:tc>
        <w:tc>
          <w:tcPr>
            <w:tcW w:w="3799" w:type="dxa"/>
            <w:shd w:val="clear" w:color="auto" w:fill="auto"/>
          </w:tcPr>
          <w:p w:rsidR="00A87709" w:rsidRPr="00286CFE" w:rsidRDefault="00A87709" w:rsidP="00FF2A01">
            <w:pPr>
              <w:spacing w:before="60" w:after="0" w:line="240" w:lineRule="atLeast"/>
              <w:rPr>
                <w:sz w:val="20"/>
              </w:rPr>
            </w:pPr>
            <w:r w:rsidRPr="002D323C">
              <w:rPr>
                <w:sz w:val="20"/>
              </w:rPr>
              <w:t>$2,350,598,697.22</w:t>
            </w:r>
          </w:p>
        </w:tc>
      </w:tr>
      <w:tr w:rsidR="00A87709" w:rsidRPr="001C5951" w:rsidTr="00FF2A01">
        <w:tc>
          <w:tcPr>
            <w:tcW w:w="714" w:type="dxa"/>
            <w:shd w:val="clear" w:color="auto" w:fill="auto"/>
          </w:tcPr>
          <w:p w:rsidR="00A87709" w:rsidRPr="00286CFE" w:rsidRDefault="00A87709" w:rsidP="00FF2A01">
            <w:pPr>
              <w:spacing w:before="60" w:after="0" w:line="240" w:lineRule="atLeast"/>
              <w:rPr>
                <w:sz w:val="20"/>
              </w:rPr>
            </w:pPr>
            <w:r w:rsidRPr="00286CFE">
              <w:rPr>
                <w:sz w:val="20"/>
              </w:rPr>
              <w:t>5</w:t>
            </w:r>
          </w:p>
        </w:tc>
        <w:tc>
          <w:tcPr>
            <w:tcW w:w="3799" w:type="dxa"/>
            <w:shd w:val="clear" w:color="auto" w:fill="auto"/>
          </w:tcPr>
          <w:p w:rsidR="00A87709" w:rsidRPr="00286CFE" w:rsidRDefault="00A87709" w:rsidP="00FF2A01">
            <w:pPr>
              <w:spacing w:before="60" w:after="0" w:line="240" w:lineRule="atLeast"/>
              <w:rPr>
                <w:sz w:val="20"/>
              </w:rPr>
            </w:pPr>
            <w:r w:rsidRPr="00286CFE">
              <w:rPr>
                <w:sz w:val="20"/>
              </w:rPr>
              <w:t>South Australia</w:t>
            </w:r>
          </w:p>
        </w:tc>
        <w:tc>
          <w:tcPr>
            <w:tcW w:w="3799" w:type="dxa"/>
            <w:shd w:val="clear" w:color="auto" w:fill="auto"/>
          </w:tcPr>
          <w:p w:rsidR="00A87709" w:rsidRPr="00286CFE" w:rsidRDefault="00A87709" w:rsidP="00FF2A01">
            <w:pPr>
              <w:spacing w:before="60" w:after="0" w:line="240" w:lineRule="atLeast"/>
              <w:rPr>
                <w:sz w:val="20"/>
              </w:rPr>
            </w:pPr>
            <w:r w:rsidRPr="002D323C">
              <w:rPr>
                <w:sz w:val="20"/>
              </w:rPr>
              <w:t>$1,434,033,516.30</w:t>
            </w:r>
          </w:p>
        </w:tc>
      </w:tr>
      <w:tr w:rsidR="00A87709" w:rsidRPr="001C5951" w:rsidTr="00FF2A01">
        <w:tc>
          <w:tcPr>
            <w:tcW w:w="714" w:type="dxa"/>
            <w:shd w:val="clear" w:color="auto" w:fill="auto"/>
          </w:tcPr>
          <w:p w:rsidR="00A87709" w:rsidRPr="00286CFE" w:rsidRDefault="00A87709" w:rsidP="00FF2A01">
            <w:pPr>
              <w:spacing w:before="60" w:after="0" w:line="240" w:lineRule="atLeast"/>
              <w:rPr>
                <w:sz w:val="20"/>
              </w:rPr>
            </w:pPr>
            <w:r w:rsidRPr="00286CFE">
              <w:rPr>
                <w:sz w:val="20"/>
              </w:rPr>
              <w:t>6</w:t>
            </w:r>
          </w:p>
        </w:tc>
        <w:tc>
          <w:tcPr>
            <w:tcW w:w="3799" w:type="dxa"/>
            <w:shd w:val="clear" w:color="auto" w:fill="auto"/>
          </w:tcPr>
          <w:p w:rsidR="00A87709" w:rsidRPr="00286CFE" w:rsidRDefault="00A87709" w:rsidP="00FF2A01">
            <w:pPr>
              <w:spacing w:before="60" w:after="0" w:line="240" w:lineRule="atLeast"/>
              <w:rPr>
                <w:sz w:val="20"/>
              </w:rPr>
            </w:pPr>
            <w:r w:rsidRPr="00286CFE">
              <w:rPr>
                <w:sz w:val="20"/>
              </w:rPr>
              <w:t>Tasmania</w:t>
            </w:r>
          </w:p>
        </w:tc>
        <w:tc>
          <w:tcPr>
            <w:tcW w:w="3799" w:type="dxa"/>
            <w:shd w:val="clear" w:color="auto" w:fill="auto"/>
          </w:tcPr>
          <w:p w:rsidR="00A87709" w:rsidRPr="00286CFE" w:rsidRDefault="00A87709" w:rsidP="00FF2A01">
            <w:pPr>
              <w:spacing w:before="60" w:after="0" w:line="240" w:lineRule="atLeast"/>
              <w:rPr>
                <w:sz w:val="20"/>
              </w:rPr>
            </w:pPr>
            <w:r w:rsidRPr="002D323C">
              <w:rPr>
                <w:sz w:val="20"/>
              </w:rPr>
              <w:t>$449,657,716.94</w:t>
            </w:r>
          </w:p>
        </w:tc>
      </w:tr>
      <w:tr w:rsidR="00A87709" w:rsidRPr="001C5951" w:rsidTr="00FF2A01">
        <w:tc>
          <w:tcPr>
            <w:tcW w:w="714" w:type="dxa"/>
            <w:shd w:val="clear" w:color="auto" w:fill="auto"/>
          </w:tcPr>
          <w:p w:rsidR="00A87709" w:rsidRPr="00286CFE" w:rsidRDefault="00A87709" w:rsidP="00FF2A01">
            <w:pPr>
              <w:spacing w:before="60" w:after="0" w:line="240" w:lineRule="atLeast"/>
              <w:rPr>
                <w:sz w:val="20"/>
              </w:rPr>
            </w:pPr>
            <w:r w:rsidRPr="00286CFE">
              <w:rPr>
                <w:sz w:val="20"/>
              </w:rPr>
              <w:t>7</w:t>
            </w:r>
          </w:p>
        </w:tc>
        <w:tc>
          <w:tcPr>
            <w:tcW w:w="3799" w:type="dxa"/>
            <w:shd w:val="clear" w:color="auto" w:fill="auto"/>
          </w:tcPr>
          <w:p w:rsidR="00A87709" w:rsidRPr="00286CFE" w:rsidRDefault="00A87709" w:rsidP="00FF2A01">
            <w:pPr>
              <w:spacing w:before="60" w:after="0" w:line="240" w:lineRule="atLeast"/>
              <w:rPr>
                <w:sz w:val="20"/>
              </w:rPr>
            </w:pPr>
            <w:r w:rsidRPr="00286CFE">
              <w:rPr>
                <w:sz w:val="20"/>
              </w:rPr>
              <w:t>Australian Capital Territory</w:t>
            </w:r>
          </w:p>
        </w:tc>
        <w:tc>
          <w:tcPr>
            <w:tcW w:w="3799" w:type="dxa"/>
            <w:shd w:val="clear" w:color="auto" w:fill="auto"/>
          </w:tcPr>
          <w:p w:rsidR="00A87709" w:rsidRPr="00286CFE" w:rsidRDefault="00A87709" w:rsidP="00FF2A01">
            <w:pPr>
              <w:spacing w:before="60" w:after="0" w:line="240" w:lineRule="atLeast"/>
              <w:rPr>
                <w:sz w:val="20"/>
              </w:rPr>
            </w:pPr>
            <w:r w:rsidRPr="002D323C">
              <w:rPr>
                <w:sz w:val="20"/>
              </w:rPr>
              <w:t>$420,338,970.38</w:t>
            </w:r>
          </w:p>
        </w:tc>
      </w:tr>
      <w:tr w:rsidR="00A87709" w:rsidRPr="001C5951" w:rsidTr="00FF2A01">
        <w:tc>
          <w:tcPr>
            <w:tcW w:w="714" w:type="dxa"/>
            <w:tcBorders>
              <w:top w:val="single" w:sz="2" w:space="0" w:color="auto"/>
              <w:bottom w:val="single" w:sz="12" w:space="0" w:color="auto"/>
            </w:tcBorders>
            <w:shd w:val="clear" w:color="auto" w:fill="auto"/>
          </w:tcPr>
          <w:p w:rsidR="00A87709" w:rsidRPr="00286CFE" w:rsidRDefault="00A87709" w:rsidP="00FF2A01">
            <w:pPr>
              <w:spacing w:before="60" w:after="0" w:line="240" w:lineRule="atLeast"/>
              <w:rPr>
                <w:sz w:val="20"/>
              </w:rPr>
            </w:pPr>
            <w:r w:rsidRPr="00286CFE">
              <w:rPr>
                <w:sz w:val="20"/>
              </w:rPr>
              <w:t>8</w:t>
            </w:r>
          </w:p>
        </w:tc>
        <w:tc>
          <w:tcPr>
            <w:tcW w:w="3799" w:type="dxa"/>
            <w:tcBorders>
              <w:top w:val="single" w:sz="2" w:space="0" w:color="auto"/>
              <w:bottom w:val="single" w:sz="12" w:space="0" w:color="auto"/>
            </w:tcBorders>
            <w:shd w:val="clear" w:color="auto" w:fill="auto"/>
          </w:tcPr>
          <w:p w:rsidR="00A87709" w:rsidRPr="00286CFE" w:rsidRDefault="00A87709" w:rsidP="00FF2A01">
            <w:pPr>
              <w:spacing w:before="60" w:after="0" w:line="240" w:lineRule="atLeast"/>
              <w:rPr>
                <w:sz w:val="20"/>
              </w:rPr>
            </w:pPr>
            <w:r w:rsidRPr="00286CFE">
              <w:rPr>
                <w:sz w:val="20"/>
              </w:rPr>
              <w:t>Northern Territory</w:t>
            </w:r>
          </w:p>
        </w:tc>
        <w:tc>
          <w:tcPr>
            <w:tcW w:w="3799" w:type="dxa"/>
            <w:tcBorders>
              <w:top w:val="single" w:sz="2" w:space="0" w:color="auto"/>
              <w:bottom w:val="single" w:sz="12" w:space="0" w:color="auto"/>
            </w:tcBorders>
            <w:shd w:val="clear" w:color="auto" w:fill="auto"/>
          </w:tcPr>
          <w:p w:rsidR="00A87709" w:rsidRPr="00286CFE" w:rsidRDefault="00A87709" w:rsidP="00FF2A01">
            <w:pPr>
              <w:spacing w:before="60" w:after="0" w:line="240" w:lineRule="atLeast"/>
              <w:rPr>
                <w:sz w:val="20"/>
              </w:rPr>
            </w:pPr>
            <w:r w:rsidRPr="002D323C">
              <w:rPr>
                <w:sz w:val="20"/>
              </w:rPr>
              <w:t>$297,500,631.10</w:t>
            </w:r>
          </w:p>
        </w:tc>
      </w:tr>
      <w:tr w:rsidR="00A87709" w:rsidRPr="001C5951" w:rsidTr="00FF2A01">
        <w:tc>
          <w:tcPr>
            <w:tcW w:w="714" w:type="dxa"/>
            <w:tcBorders>
              <w:top w:val="single" w:sz="12" w:space="0" w:color="auto"/>
              <w:bottom w:val="single" w:sz="12" w:space="0" w:color="auto"/>
            </w:tcBorders>
            <w:shd w:val="clear" w:color="auto" w:fill="auto"/>
          </w:tcPr>
          <w:p w:rsidR="00A87709" w:rsidRPr="00286CFE" w:rsidRDefault="00A87709" w:rsidP="00FF2A01">
            <w:pPr>
              <w:spacing w:before="60" w:after="0" w:line="240" w:lineRule="atLeast"/>
              <w:rPr>
                <w:sz w:val="20"/>
              </w:rPr>
            </w:pPr>
          </w:p>
        </w:tc>
        <w:tc>
          <w:tcPr>
            <w:tcW w:w="3799" w:type="dxa"/>
            <w:tcBorders>
              <w:top w:val="single" w:sz="12" w:space="0" w:color="auto"/>
              <w:bottom w:val="single" w:sz="12" w:space="0" w:color="auto"/>
            </w:tcBorders>
            <w:shd w:val="clear" w:color="auto" w:fill="auto"/>
          </w:tcPr>
          <w:p w:rsidR="00A87709" w:rsidRPr="00286CFE" w:rsidRDefault="00A87709" w:rsidP="00FF2A01">
            <w:pPr>
              <w:spacing w:before="60" w:after="0" w:line="240" w:lineRule="atLeast"/>
              <w:rPr>
                <w:b/>
                <w:sz w:val="20"/>
              </w:rPr>
            </w:pPr>
            <w:r w:rsidRPr="00286CFE">
              <w:rPr>
                <w:b/>
                <w:sz w:val="20"/>
              </w:rPr>
              <w:t>Total</w:t>
            </w:r>
          </w:p>
        </w:tc>
        <w:tc>
          <w:tcPr>
            <w:tcW w:w="3799" w:type="dxa"/>
            <w:tcBorders>
              <w:top w:val="single" w:sz="12" w:space="0" w:color="auto"/>
              <w:bottom w:val="single" w:sz="12" w:space="0" w:color="auto"/>
            </w:tcBorders>
            <w:shd w:val="clear" w:color="auto" w:fill="auto"/>
            <w:vAlign w:val="bottom"/>
          </w:tcPr>
          <w:p w:rsidR="00A87709" w:rsidRPr="00286CFE" w:rsidRDefault="00A87709" w:rsidP="00FF2A01">
            <w:pPr>
              <w:spacing w:before="60" w:after="0" w:line="240" w:lineRule="atLeast"/>
              <w:rPr>
                <w:b/>
                <w:sz w:val="20"/>
              </w:rPr>
            </w:pPr>
            <w:r w:rsidRPr="002D323C">
              <w:rPr>
                <w:b/>
                <w:bCs/>
                <w:sz w:val="20"/>
              </w:rPr>
              <w:t>$22,378,677,776.23</w:t>
            </w:r>
          </w:p>
        </w:tc>
      </w:tr>
    </w:tbl>
    <w:p w:rsidR="007C61B3" w:rsidRDefault="007C61B3"/>
    <w:sectPr w:rsidR="007C61B3" w:rsidSect="005E77B6">
      <w:pgSz w:w="16838" w:h="11906"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rsidR="00954679" w:rsidRDefault="00A8770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2</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7</w:t>
            </w:r>
            <w:r w:rsidRPr="00954679">
              <w:rPr>
                <w:bCs/>
                <w:szCs w:val="24"/>
              </w:rPr>
              <w:fldChar w:fldCharType="end"/>
            </w:r>
          </w:p>
        </w:sdtContent>
      </w:sdt>
    </w:sdtContent>
  </w:sdt>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A43C0B"/>
    <w:multiLevelType w:val="multilevel"/>
    <w:tmpl w:val="29BC6C1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09"/>
    <w:rsid w:val="007C61B3"/>
    <w:rsid w:val="00A877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E9DDE"/>
  <w15:chartTrackingRefBased/>
  <w15:docId w15:val="{A7A467FD-8E62-4886-B388-1D66D5B3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709"/>
    <w:pPr>
      <w:spacing w:before="120" w:after="12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A877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A87709"/>
    <w:pPr>
      <w:keepNext/>
      <w:spacing w:before="240" w:after="60"/>
      <w:outlineLvl w:val="1"/>
    </w:pPr>
    <w:rPr>
      <w:b/>
      <w:sz w:val="28"/>
      <w:u w:val="single"/>
    </w:rPr>
  </w:style>
  <w:style w:type="paragraph" w:styleId="Heading3">
    <w:name w:val="heading 3"/>
    <w:basedOn w:val="Heading2"/>
    <w:next w:val="Normal"/>
    <w:link w:val="Heading3Char"/>
    <w:qFormat/>
    <w:rsid w:val="00A87709"/>
    <w:pPr>
      <w:tabs>
        <w:tab w:val="left" w:pos="1987"/>
      </w:tabs>
      <w:spacing w:after="120"/>
      <w:outlineLvl w:val="2"/>
    </w:pPr>
    <w:rPr>
      <w:kern w:val="28"/>
      <w:sz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7709"/>
    <w:rPr>
      <w:rFonts w:ascii="Arial Bold" w:eastAsia="Times New Roman" w:hAnsi="Arial Bold" w:cs="Times New Roman"/>
      <w:b/>
      <w:kern w:val="28"/>
      <w:sz w:val="28"/>
      <w:szCs w:val="20"/>
      <w:u w:val="single"/>
      <w:lang w:eastAsia="en-AU"/>
    </w:rPr>
  </w:style>
  <w:style w:type="character" w:customStyle="1" w:styleId="Heading2Char">
    <w:name w:val="Heading 2 Char"/>
    <w:basedOn w:val="DefaultParagraphFont"/>
    <w:link w:val="Heading2"/>
    <w:rsid w:val="00A87709"/>
    <w:rPr>
      <w:rFonts w:ascii="Times New Roman" w:eastAsia="Times New Roman" w:hAnsi="Times New Roman" w:cs="Times New Roman"/>
      <w:b/>
      <w:sz w:val="28"/>
      <w:szCs w:val="20"/>
      <w:u w:val="single"/>
      <w:lang w:eastAsia="en-AU"/>
    </w:rPr>
  </w:style>
  <w:style w:type="character" w:customStyle="1" w:styleId="Heading3Char">
    <w:name w:val="Heading 3 Char"/>
    <w:basedOn w:val="DefaultParagraphFont"/>
    <w:link w:val="Heading3"/>
    <w:rsid w:val="00A87709"/>
    <w:rPr>
      <w:rFonts w:ascii="Times New Roman" w:eastAsia="Times New Roman" w:hAnsi="Times New Roman" w:cs="Times New Roman"/>
      <w:b/>
      <w:kern w:val="28"/>
      <w:sz w:val="24"/>
      <w:szCs w:val="20"/>
      <w:lang w:eastAsia="en-AU"/>
    </w:rPr>
  </w:style>
  <w:style w:type="paragraph" w:customStyle="1" w:styleId="Bullet">
    <w:name w:val="Bullet"/>
    <w:basedOn w:val="Normal"/>
    <w:link w:val="BulletChar"/>
    <w:rsid w:val="00A87709"/>
    <w:pPr>
      <w:numPr>
        <w:numId w:val="1"/>
      </w:numPr>
      <w:spacing w:before="240"/>
    </w:pPr>
    <w:rPr>
      <w:szCs w:val="23"/>
    </w:rPr>
  </w:style>
  <w:style w:type="character" w:customStyle="1" w:styleId="BulletChar">
    <w:name w:val="Bullet Char"/>
    <w:basedOn w:val="DefaultParagraphFont"/>
    <w:link w:val="Bullet"/>
    <w:rsid w:val="00A87709"/>
    <w:rPr>
      <w:rFonts w:ascii="Times New Roman" w:eastAsia="Times New Roman" w:hAnsi="Times New Roman" w:cs="Times New Roman"/>
      <w:sz w:val="24"/>
      <w:szCs w:val="23"/>
      <w:lang w:eastAsia="en-AU"/>
    </w:rPr>
  </w:style>
  <w:style w:type="paragraph" w:customStyle="1" w:styleId="Dash">
    <w:name w:val="Dash"/>
    <w:basedOn w:val="Normal"/>
    <w:rsid w:val="00A87709"/>
    <w:pPr>
      <w:numPr>
        <w:ilvl w:val="1"/>
        <w:numId w:val="1"/>
      </w:numPr>
      <w:spacing w:before="240"/>
    </w:pPr>
    <w:rPr>
      <w:szCs w:val="23"/>
    </w:rPr>
  </w:style>
  <w:style w:type="paragraph" w:customStyle="1" w:styleId="DoubleDot">
    <w:name w:val="Double Dot"/>
    <w:basedOn w:val="Normal"/>
    <w:rsid w:val="00A87709"/>
    <w:pPr>
      <w:numPr>
        <w:ilvl w:val="2"/>
        <w:numId w:val="1"/>
      </w:numPr>
      <w:spacing w:before="240"/>
    </w:pPr>
    <w:rPr>
      <w:szCs w:val="23"/>
    </w:rPr>
  </w:style>
  <w:style w:type="paragraph" w:styleId="Footer">
    <w:name w:val="footer"/>
    <w:basedOn w:val="Normal"/>
    <w:link w:val="FooterChar"/>
    <w:uiPriority w:val="99"/>
    <w:unhideWhenUsed/>
    <w:rsid w:val="00A87709"/>
    <w:pPr>
      <w:tabs>
        <w:tab w:val="center" w:pos="4513"/>
        <w:tab w:val="right" w:pos="9026"/>
      </w:tabs>
      <w:spacing w:before="0" w:after="0"/>
    </w:pPr>
  </w:style>
  <w:style w:type="character" w:customStyle="1" w:styleId="FooterChar">
    <w:name w:val="Footer Char"/>
    <w:basedOn w:val="DefaultParagraphFont"/>
    <w:link w:val="Footer"/>
    <w:uiPriority w:val="99"/>
    <w:rsid w:val="00A87709"/>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3ED23D544C4F81BB64908AE640250A"/>
        <w:category>
          <w:name w:val="General"/>
          <w:gallery w:val="placeholder"/>
        </w:category>
        <w:types>
          <w:type w:val="bbPlcHdr"/>
        </w:types>
        <w:behaviors>
          <w:behavior w:val="content"/>
        </w:behaviors>
        <w:guid w:val="{38B86F3F-308A-4948-B7CD-05A4E8FB8ACB}"/>
      </w:docPartPr>
      <w:docPartBody>
        <w:p w:rsidR="00000000" w:rsidRDefault="00F93992" w:rsidP="00F93992">
          <w:pPr>
            <w:pStyle w:val="2D3ED23D544C4F81BB64908AE640250A"/>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992"/>
    <w:rsid w:val="00F939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3992"/>
    <w:rPr>
      <w:color w:val="808080"/>
    </w:rPr>
  </w:style>
  <w:style w:type="paragraph" w:customStyle="1" w:styleId="2D3ED23D544C4F81BB64908AE640250A">
    <w:name w:val="2D3ED23D544C4F81BB64908AE640250A"/>
    <w:rsid w:val="00F939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1588</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The Department of the Treasury</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Faith</dc:creator>
  <cp:keywords/>
  <dc:description/>
  <cp:lastModifiedBy>Cooper, Faith</cp:lastModifiedBy>
  <cp:revision>1</cp:revision>
  <dcterms:created xsi:type="dcterms:W3CDTF">2021-04-22T03:40:00Z</dcterms:created>
  <dcterms:modified xsi:type="dcterms:W3CDTF">2021-04-22T03:43:00Z</dcterms:modified>
</cp:coreProperties>
</file>