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6E25" w14:textId="77777777" w:rsidR="00426736" w:rsidRPr="001F7C05" w:rsidRDefault="00426736" w:rsidP="001F7C05">
      <w:pPr>
        <w:pStyle w:val="Title"/>
      </w:pPr>
      <w:r w:rsidRPr="001F7C05">
        <w:t>AIRWORTHINESS DIRECTIVE</w:t>
      </w:r>
    </w:p>
    <w:p w14:paraId="5E956A0A" w14:textId="303111E2" w:rsidR="00F11A06" w:rsidRPr="001F7C05" w:rsidRDefault="00F11A06" w:rsidP="00F11A06">
      <w:pPr>
        <w:pStyle w:val="Preamble"/>
        <w:rPr>
          <w:sz w:val="18"/>
          <w:szCs w:val="18"/>
        </w:rPr>
      </w:pPr>
      <w:r w:rsidRPr="001F7C05">
        <w:rPr>
          <w:sz w:val="18"/>
          <w:szCs w:val="18"/>
        </w:rPr>
        <w:t xml:space="preserve">On the </w:t>
      </w:r>
      <w:r w:rsidR="00F13CBC" w:rsidRPr="001F7C05">
        <w:rPr>
          <w:sz w:val="18"/>
          <w:szCs w:val="18"/>
        </w:rPr>
        <w:t>commencement</w:t>
      </w:r>
      <w:r w:rsidRPr="001F7C05">
        <w:rPr>
          <w:sz w:val="18"/>
          <w:szCs w:val="18"/>
        </w:rPr>
        <w:t xml:space="preserve"> date specified below, and for the reasons set out in the background section, the CASA delegate whose signature appears below repeals Airworthiness Directive </w:t>
      </w:r>
      <w:r w:rsidRPr="00532389">
        <w:rPr>
          <w:sz w:val="18"/>
          <w:szCs w:val="18"/>
        </w:rPr>
        <w:t>(</w:t>
      </w:r>
      <w:r w:rsidRPr="00532389">
        <w:rPr>
          <w:b/>
          <w:sz w:val="18"/>
          <w:szCs w:val="18"/>
        </w:rPr>
        <w:t>AD</w:t>
      </w:r>
      <w:r w:rsidRPr="00532389">
        <w:rPr>
          <w:sz w:val="18"/>
          <w:szCs w:val="18"/>
        </w:rPr>
        <w:t>)</w:t>
      </w:r>
      <w:r w:rsidRPr="001F7C05">
        <w:rPr>
          <w:sz w:val="18"/>
          <w:szCs w:val="18"/>
        </w:rPr>
        <w:t xml:space="preserve"> </w:t>
      </w:r>
      <w:r w:rsidR="00800BF0">
        <w:rPr>
          <w:sz w:val="18"/>
          <w:szCs w:val="18"/>
        </w:rPr>
        <w:t>AD/LYC/</w:t>
      </w:r>
      <w:r w:rsidR="00956D28">
        <w:rPr>
          <w:sz w:val="18"/>
          <w:szCs w:val="18"/>
        </w:rPr>
        <w:t xml:space="preserve">78 </w:t>
      </w:r>
      <w:proofErr w:type="spellStart"/>
      <w:r w:rsidR="00956D28">
        <w:rPr>
          <w:sz w:val="18"/>
          <w:szCs w:val="18"/>
        </w:rPr>
        <w:t>Amdt</w:t>
      </w:r>
      <w:proofErr w:type="spellEnd"/>
      <w:r w:rsidR="00956D28">
        <w:rPr>
          <w:sz w:val="18"/>
          <w:szCs w:val="18"/>
        </w:rPr>
        <w:t xml:space="preserve"> 5</w:t>
      </w:r>
      <w:r w:rsidRPr="001F7C05">
        <w:rPr>
          <w:sz w:val="18"/>
          <w:szCs w:val="18"/>
        </w:rPr>
        <w:t xml:space="preserve"> and issues the following AD under subregulation 39.001</w:t>
      </w:r>
      <w:r w:rsidR="00757783" w:rsidRPr="001F7C05">
        <w:rPr>
          <w:sz w:val="18"/>
          <w:szCs w:val="18"/>
        </w:rPr>
        <w:t> </w:t>
      </w:r>
      <w:r w:rsidRPr="001F7C05">
        <w:rPr>
          <w:sz w:val="18"/>
          <w:szCs w:val="18"/>
        </w:rPr>
        <w:t>(1) of CASR and subsection 33</w:t>
      </w:r>
      <w:r w:rsidR="009B01D8" w:rsidRPr="001F7C05">
        <w:rPr>
          <w:sz w:val="18"/>
          <w:szCs w:val="18"/>
        </w:rPr>
        <w:t> </w:t>
      </w:r>
      <w:r w:rsidRPr="001F7C05">
        <w:rPr>
          <w:sz w:val="18"/>
          <w:szCs w:val="18"/>
        </w:rPr>
        <w:t xml:space="preserve">(3) of the </w:t>
      </w:r>
      <w:r w:rsidRPr="001F7C05">
        <w:rPr>
          <w:i/>
          <w:sz w:val="18"/>
          <w:szCs w:val="18"/>
        </w:rPr>
        <w:t>Acts Interpretation Act 1901</w:t>
      </w:r>
      <w:r w:rsidRPr="001F7C05">
        <w:rPr>
          <w:sz w:val="18"/>
          <w:szCs w:val="18"/>
        </w:rPr>
        <w:t xml:space="preserve">. The AD requires that the action set out in the requirement section (being action that the delegate considers necessary to correct </w:t>
      </w:r>
      <w:r w:rsidR="001C1971" w:rsidRPr="001F7C05">
        <w:rPr>
          <w:sz w:val="18"/>
          <w:szCs w:val="18"/>
        </w:rPr>
        <w:t xml:space="preserve">an </w:t>
      </w:r>
      <w:r w:rsidRPr="001F7C05">
        <w:rPr>
          <w:sz w:val="18"/>
          <w:szCs w:val="18"/>
        </w:rPr>
        <w:t>unsafe condition) be taken in relation to the aircraft or aeronautical product mentioned in the applicability section: (a) in the circumstances mentioned in the requirement section; and (b) in accordance with the instructions set out in the requirement section; and (c) at the time mentioned in the compliance section.</w:t>
      </w:r>
    </w:p>
    <w:p w14:paraId="2511F15A" w14:textId="6AA68A96" w:rsidR="00426736" w:rsidRPr="001F7C05" w:rsidRDefault="00E375BE" w:rsidP="001F7C05">
      <w:pPr>
        <w:pStyle w:val="Heading1"/>
      </w:pPr>
      <w:proofErr w:type="spellStart"/>
      <w:r>
        <w:t>Lycoming</w:t>
      </w:r>
      <w:proofErr w:type="spellEnd"/>
      <w:r>
        <w:t xml:space="preserve"> Piston Engines</w:t>
      </w:r>
    </w:p>
    <w:tbl>
      <w:tblPr>
        <w:tblW w:w="0" w:type="auto"/>
        <w:tblLayout w:type="fixed"/>
        <w:tblLook w:val="0000" w:firstRow="0" w:lastRow="0" w:firstColumn="0" w:lastColumn="0" w:noHBand="0" w:noVBand="0"/>
        <w:tblDescription w:val="Amended airworthiness directive"/>
      </w:tblPr>
      <w:tblGrid>
        <w:gridCol w:w="1809"/>
        <w:gridCol w:w="6663"/>
        <w:gridCol w:w="1723"/>
      </w:tblGrid>
      <w:tr w:rsidR="00426736" w14:paraId="264BD33B" w14:textId="77777777" w:rsidTr="00E137FC">
        <w:tc>
          <w:tcPr>
            <w:tcW w:w="1809" w:type="dxa"/>
          </w:tcPr>
          <w:p w14:paraId="3C64DCDE" w14:textId="6587E0E4" w:rsidR="00426736" w:rsidRDefault="00426736">
            <w:pPr>
              <w:pStyle w:val="Heading2"/>
            </w:pPr>
            <w:r>
              <w:t>AD</w:t>
            </w:r>
            <w:r w:rsidR="000E7214">
              <w:t>/</w:t>
            </w:r>
            <w:r w:rsidR="00ED3B3A">
              <w:t>LYC</w:t>
            </w:r>
            <w:r w:rsidR="000E7214">
              <w:t>/</w:t>
            </w:r>
            <w:r w:rsidR="00ED3B3A">
              <w:t>78</w:t>
            </w:r>
            <w:r w:rsidR="001C1971">
              <w:t xml:space="preserve"> </w:t>
            </w:r>
            <w:proofErr w:type="spellStart"/>
            <w:r w:rsidR="001C1971">
              <w:t>Amdt</w:t>
            </w:r>
            <w:proofErr w:type="spellEnd"/>
            <w:r w:rsidR="00510BFA">
              <w:t xml:space="preserve"> </w:t>
            </w:r>
            <w:r w:rsidR="00ED3B3A">
              <w:t>6</w:t>
            </w:r>
          </w:p>
        </w:tc>
        <w:tc>
          <w:tcPr>
            <w:tcW w:w="6663" w:type="dxa"/>
          </w:tcPr>
          <w:p w14:paraId="0479FBF5" w14:textId="4F132FD1" w:rsidR="00426736" w:rsidRDefault="00ED3B3A">
            <w:pPr>
              <w:pStyle w:val="Heading2"/>
              <w:jc w:val="center"/>
            </w:pPr>
            <w:r>
              <w:t>Thermostatic Oil Cooler Bypass Valve</w:t>
            </w:r>
          </w:p>
        </w:tc>
        <w:tc>
          <w:tcPr>
            <w:tcW w:w="1723" w:type="dxa"/>
          </w:tcPr>
          <w:p w14:paraId="56C3882C" w14:textId="11BFE4D6" w:rsidR="00426736" w:rsidRDefault="00404AF2" w:rsidP="00870EBB">
            <w:pPr>
              <w:pStyle w:val="Heading2"/>
              <w:jc w:val="center"/>
            </w:pPr>
            <w:r>
              <w:t>9/2021</w:t>
            </w:r>
          </w:p>
        </w:tc>
      </w:tr>
    </w:tbl>
    <w:p w14:paraId="45F350B4" w14:textId="77777777" w:rsidR="00426736" w:rsidRDefault="00426736">
      <w:pPr>
        <w:pStyle w:val="Style1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Description w:val="Amended airworthiness directive"/>
      </w:tblPr>
      <w:tblGrid>
        <w:gridCol w:w="1701"/>
        <w:gridCol w:w="8505"/>
      </w:tblGrid>
      <w:tr w:rsidR="00426736" w14:paraId="0D7B007E" w14:textId="77777777">
        <w:tc>
          <w:tcPr>
            <w:tcW w:w="1701" w:type="dxa"/>
          </w:tcPr>
          <w:p w14:paraId="226BF42A" w14:textId="77777777" w:rsidR="00426736" w:rsidRDefault="00426736">
            <w:r>
              <w:t>Applicability:</w:t>
            </w:r>
          </w:p>
        </w:tc>
        <w:tc>
          <w:tcPr>
            <w:tcW w:w="8505" w:type="dxa"/>
          </w:tcPr>
          <w:p w14:paraId="5B82E6D8" w14:textId="2D9E0197" w:rsidR="001E16EA" w:rsidRDefault="00D02CDC">
            <w:r>
              <w:t xml:space="preserve">All </w:t>
            </w:r>
            <w:proofErr w:type="spellStart"/>
            <w:r>
              <w:t>Lycoming</w:t>
            </w:r>
            <w:proofErr w:type="spellEnd"/>
            <w:r>
              <w:t xml:space="preserve"> engines with thermostatic oil cooler bypass valves:</w:t>
            </w:r>
          </w:p>
          <w:p w14:paraId="0E050953" w14:textId="77777777" w:rsidR="00E50779" w:rsidRDefault="00D02CDC" w:rsidP="00995869">
            <w:pPr>
              <w:pStyle w:val="ListParagraph"/>
              <w:numPr>
                <w:ilvl w:val="0"/>
                <w:numId w:val="6"/>
              </w:numPr>
              <w:ind w:left="879" w:hanging="519"/>
            </w:pPr>
            <w:r>
              <w:t xml:space="preserve">Part number (P/N) 53E19600 (with thermostatic oil cooler bypass valve serial numbers less than 53788), </w:t>
            </w:r>
          </w:p>
          <w:p w14:paraId="2282C2E1" w14:textId="34560B54" w:rsidR="00426736" w:rsidRDefault="00D02CDC" w:rsidP="00995869">
            <w:pPr>
              <w:pStyle w:val="ListParagraph"/>
              <w:numPr>
                <w:ilvl w:val="0"/>
                <w:numId w:val="6"/>
              </w:numPr>
              <w:ind w:left="879" w:hanging="519"/>
            </w:pPr>
            <w:r>
              <w:t>P/N 75944, P/N LW-13230, and P/N 53E19980 (with thermostatic oil cooler bypass valve serial numbers less than 159)</w:t>
            </w:r>
            <w:r w:rsidR="00995869">
              <w:t>.</w:t>
            </w:r>
          </w:p>
        </w:tc>
      </w:tr>
      <w:tr w:rsidR="00426736" w14:paraId="6AF4CBEA" w14:textId="77777777">
        <w:tc>
          <w:tcPr>
            <w:tcW w:w="1701" w:type="dxa"/>
          </w:tcPr>
          <w:p w14:paraId="42CE9194" w14:textId="77777777" w:rsidR="00426736" w:rsidRDefault="00426736">
            <w:r>
              <w:t>Requirement:</w:t>
            </w:r>
          </w:p>
        </w:tc>
        <w:tc>
          <w:tcPr>
            <w:tcW w:w="8505" w:type="dxa"/>
          </w:tcPr>
          <w:p w14:paraId="09B3B043" w14:textId="66C4C7AC" w:rsidR="00426736" w:rsidRDefault="003E5D33" w:rsidP="00404AF2">
            <w:r>
              <w:t xml:space="preserve">Carry out a physical inspection of the thermostatic bypass valve in accordance with the procedure detailed in </w:t>
            </w:r>
            <w:proofErr w:type="spellStart"/>
            <w:r>
              <w:t>Lycoming</w:t>
            </w:r>
            <w:proofErr w:type="spellEnd"/>
            <w:r>
              <w:t xml:space="preserve"> Mandatory Service Bulletin </w:t>
            </w:r>
            <w:r w:rsidR="00404AF2">
              <w:t xml:space="preserve">(MSB) </w:t>
            </w:r>
            <w:r>
              <w:t>No. 518</w:t>
            </w:r>
            <w:r w:rsidR="00821A61">
              <w:t>, as in force</w:t>
            </w:r>
            <w:r w:rsidR="00E72F59">
              <w:t xml:space="preserve"> from time to time.</w:t>
            </w:r>
          </w:p>
          <w:p w14:paraId="4D7DB77B" w14:textId="704654AA" w:rsidR="00492651" w:rsidRPr="0055568F" w:rsidRDefault="00426736">
            <w:pPr>
              <w:pStyle w:val="Note"/>
              <w:rPr>
                <w:i w:val="0"/>
              </w:rPr>
            </w:pPr>
            <w:r w:rsidRPr="00C65AB3">
              <w:rPr>
                <w:iCs/>
              </w:rPr>
              <w:t>Note</w:t>
            </w:r>
            <w:r w:rsidR="00C65AB3">
              <w:rPr>
                <w:iCs/>
              </w:rPr>
              <w:t xml:space="preserve"> 1</w:t>
            </w:r>
            <w:r w:rsidRPr="00C65AB3">
              <w:rPr>
                <w:iCs/>
              </w:rPr>
              <w:t>:</w:t>
            </w:r>
            <w:r w:rsidR="00E72F59" w:rsidRPr="00C65AB3">
              <w:rPr>
                <w:iCs/>
              </w:rPr>
              <w:t xml:space="preserve"> </w:t>
            </w:r>
            <w:r w:rsidR="00404AF2">
              <w:rPr>
                <w:iCs/>
              </w:rPr>
              <w:t xml:space="preserve"> </w:t>
            </w:r>
            <w:r w:rsidR="00E72F59" w:rsidRPr="00C65AB3">
              <w:rPr>
                <w:iCs/>
              </w:rPr>
              <w:t>The</w:t>
            </w:r>
            <w:r w:rsidR="00E72F59">
              <w:t xml:space="preserve"> words “as in force from time to time” require compliance with the most recent version of the referenced document.</w:t>
            </w:r>
          </w:p>
        </w:tc>
      </w:tr>
      <w:tr w:rsidR="00426736" w14:paraId="069093AC" w14:textId="77777777">
        <w:tc>
          <w:tcPr>
            <w:tcW w:w="1701" w:type="dxa"/>
          </w:tcPr>
          <w:p w14:paraId="4C3FAEDE" w14:textId="77777777" w:rsidR="00426736" w:rsidRDefault="00426736">
            <w:r>
              <w:t>Compliance:</w:t>
            </w:r>
          </w:p>
        </w:tc>
        <w:tc>
          <w:tcPr>
            <w:tcW w:w="8505" w:type="dxa"/>
          </w:tcPr>
          <w:p w14:paraId="77B6478C" w14:textId="680A0B93" w:rsidR="003E7B2F" w:rsidRDefault="0023216B">
            <w:r>
              <w:t xml:space="preserve">Unless previously accomplished in accordance with a previous issue of this </w:t>
            </w:r>
            <w:r w:rsidR="00BF12BA">
              <w:t>Directive</w:t>
            </w:r>
            <w:r w:rsidR="00404AF2">
              <w:t>:</w:t>
            </w:r>
          </w:p>
          <w:p w14:paraId="0E4873B3" w14:textId="0834D84B" w:rsidR="00490CE2" w:rsidRDefault="00404AF2" w:rsidP="00404AF2">
            <w:pPr>
              <w:ind w:left="453" w:hanging="453"/>
            </w:pPr>
            <w:r>
              <w:t>a.</w:t>
            </w:r>
            <w:r>
              <w:tab/>
            </w:r>
            <w:r w:rsidR="00F674C2">
              <w:t>For d</w:t>
            </w:r>
            <w:r w:rsidR="0023216B">
              <w:t>ual magneto engines</w:t>
            </w:r>
            <w:r w:rsidR="00F674C2">
              <w:t xml:space="preserve"> - </w:t>
            </w:r>
            <w:r w:rsidR="0023216B">
              <w:t xml:space="preserve">within 25 </w:t>
            </w:r>
            <w:r w:rsidR="00AD7603">
              <w:t>hours’ time</w:t>
            </w:r>
            <w:r w:rsidR="0023216B">
              <w:t xml:space="preserve"> in service </w:t>
            </w:r>
            <w:r w:rsidR="00C50277">
              <w:t xml:space="preserve">after </w:t>
            </w:r>
            <w:r w:rsidR="007A3F7F">
              <w:t xml:space="preserve">the </w:t>
            </w:r>
            <w:r w:rsidR="00ED3080">
              <w:t xml:space="preserve">commencement </w:t>
            </w:r>
            <w:r w:rsidR="00B702A4">
              <w:t>date of this AD</w:t>
            </w:r>
            <w:r w:rsidR="0023216B">
              <w:t xml:space="preserve"> and thereafter at intervals not to exceed 3</w:t>
            </w:r>
            <w:r w:rsidR="00C153C0">
              <w:t>25</w:t>
            </w:r>
            <w:r w:rsidR="0023216B">
              <w:t xml:space="preserve"> </w:t>
            </w:r>
            <w:r w:rsidR="00AD7603">
              <w:t>hours’ time</w:t>
            </w:r>
            <w:r w:rsidR="0023216B">
              <w:t xml:space="preserve"> in service.</w:t>
            </w:r>
          </w:p>
          <w:p w14:paraId="2CC82049" w14:textId="5DCD3397" w:rsidR="00426736" w:rsidRDefault="00404AF2" w:rsidP="00404AF2">
            <w:pPr>
              <w:ind w:left="453" w:hanging="453"/>
            </w:pPr>
            <w:r>
              <w:t>b</w:t>
            </w:r>
            <w:r w:rsidR="0023216B">
              <w:t>.</w:t>
            </w:r>
            <w:r>
              <w:tab/>
            </w:r>
            <w:r w:rsidR="00F674C2">
              <w:t>For n</w:t>
            </w:r>
            <w:r w:rsidR="0023216B">
              <w:t>on</w:t>
            </w:r>
            <w:r w:rsidR="00AD7603">
              <w:t>-</w:t>
            </w:r>
            <w:r w:rsidR="0023216B">
              <w:t>dual magneto engines</w:t>
            </w:r>
            <w:r w:rsidR="00F674C2">
              <w:t xml:space="preserve"> - </w:t>
            </w:r>
            <w:r w:rsidR="0023216B">
              <w:t xml:space="preserve">within 25 </w:t>
            </w:r>
            <w:r w:rsidR="00C153C0">
              <w:t>hours’ time</w:t>
            </w:r>
            <w:r w:rsidR="0023216B">
              <w:t xml:space="preserve"> in service after 25 May 1995 and thereafter at intervals not to exceed 6</w:t>
            </w:r>
            <w:r w:rsidR="00C153C0">
              <w:t>25</w:t>
            </w:r>
            <w:r w:rsidR="0023216B">
              <w:t xml:space="preserve"> </w:t>
            </w:r>
            <w:r w:rsidR="00C153C0">
              <w:t>hours’ time</w:t>
            </w:r>
            <w:r w:rsidR="0023216B">
              <w:t xml:space="preserve"> in service.</w:t>
            </w:r>
          </w:p>
          <w:p w14:paraId="422452FD" w14:textId="148B669D" w:rsidR="00ED3080" w:rsidRPr="00995869" w:rsidRDefault="00ED3080" w:rsidP="00995869">
            <w:pPr>
              <w:rPr>
                <w:i/>
                <w:iCs/>
              </w:rPr>
            </w:pPr>
            <w:r w:rsidRPr="00995869">
              <w:rPr>
                <w:i/>
                <w:iCs/>
              </w:rPr>
              <w:t xml:space="preserve">Note 2:  Replacement of the thermostatic oil cooler bypass valve with a serviceable superseding thermostatic oil cooler bypass valve part number identified in </w:t>
            </w:r>
            <w:proofErr w:type="spellStart"/>
            <w:r w:rsidRPr="00995869">
              <w:rPr>
                <w:i/>
                <w:iCs/>
              </w:rPr>
              <w:t>Lycoming</w:t>
            </w:r>
            <w:proofErr w:type="spellEnd"/>
            <w:r w:rsidRPr="00995869">
              <w:rPr>
                <w:i/>
                <w:iCs/>
              </w:rPr>
              <w:t xml:space="preserve"> Service Instruction No. 1565A, or subsequent, constitutes terminating action for the repeat inspection requirements of this AD.</w:t>
            </w:r>
          </w:p>
        </w:tc>
      </w:tr>
      <w:tr w:rsidR="00426736" w14:paraId="3F8AC05E" w14:textId="77777777">
        <w:tc>
          <w:tcPr>
            <w:tcW w:w="1701" w:type="dxa"/>
          </w:tcPr>
          <w:p w14:paraId="737DE634" w14:textId="77777777" w:rsidR="00426736" w:rsidRDefault="00426736"/>
        </w:tc>
        <w:tc>
          <w:tcPr>
            <w:tcW w:w="8505" w:type="dxa"/>
          </w:tcPr>
          <w:p w14:paraId="3FF545FD" w14:textId="77EBBE15" w:rsidR="00426736" w:rsidRPr="0099077A" w:rsidRDefault="00426736" w:rsidP="002E1101">
            <w:pPr>
              <w:rPr>
                <w:color w:val="000000"/>
              </w:rPr>
            </w:pPr>
            <w:r w:rsidRPr="00CE0731">
              <w:t>Th</w:t>
            </w:r>
            <w:r w:rsidR="002E1101">
              <w:t>is</w:t>
            </w:r>
            <w:r w:rsidR="00F11A06" w:rsidRPr="00CE0731">
              <w:t xml:space="preserve"> </w:t>
            </w:r>
            <w:r w:rsidR="001C1971" w:rsidRPr="00CE0731">
              <w:t xml:space="preserve">AD </w:t>
            </w:r>
            <w:r w:rsidR="002E1101">
              <w:t>commences on</w:t>
            </w:r>
            <w:r w:rsidR="00404AF2">
              <w:t xml:space="preserve"> 7 May 2021.</w:t>
            </w:r>
          </w:p>
        </w:tc>
      </w:tr>
      <w:tr w:rsidR="00426736" w14:paraId="63442C32" w14:textId="77777777">
        <w:tc>
          <w:tcPr>
            <w:tcW w:w="1701" w:type="dxa"/>
          </w:tcPr>
          <w:p w14:paraId="4902BE99" w14:textId="77777777" w:rsidR="00426736" w:rsidRDefault="00426736">
            <w:r>
              <w:t>Background:</w:t>
            </w:r>
          </w:p>
        </w:tc>
        <w:tc>
          <w:tcPr>
            <w:tcW w:w="8505" w:type="dxa"/>
          </w:tcPr>
          <w:p w14:paraId="37F948EF" w14:textId="1A9766EC" w:rsidR="00426736" w:rsidRDefault="00DE6D3A">
            <w:r>
              <w:t>Th</w:t>
            </w:r>
            <w:r w:rsidR="000141EE">
              <w:t xml:space="preserve">is </w:t>
            </w:r>
            <w:r>
              <w:t>Directive requires an inspection of the oil cooler thermostatic bypass valve for security of the crimp nut on the valve shaft</w:t>
            </w:r>
            <w:r w:rsidR="00203A20">
              <w:t xml:space="preserve"> as detailed in the requirement document</w:t>
            </w:r>
            <w:r>
              <w:t xml:space="preserve">.  The original issue of MSB </w:t>
            </w:r>
            <w:r w:rsidR="00B70842">
              <w:t xml:space="preserve">No. </w:t>
            </w:r>
            <w:r>
              <w:t xml:space="preserve">518 included a dimension check of the valve crimp nut in addition to a requirement to inspect the crimp nut for security on the shaft. Following in-service experience, the service bulletin was amended to increase the crimp nut dimension limits. </w:t>
            </w:r>
          </w:p>
          <w:p w14:paraId="60F62185" w14:textId="3BCC0688" w:rsidR="00582F36" w:rsidRDefault="00BF061F">
            <w:r>
              <w:t xml:space="preserve">Amendment 5 of this AD </w:t>
            </w:r>
            <w:r w:rsidR="001A255B">
              <w:t xml:space="preserve">was issued to </w:t>
            </w:r>
            <w:r>
              <w:t>re</w:t>
            </w:r>
            <w:r w:rsidR="00404AF2">
              <w:t xml:space="preserve">quire compliance with </w:t>
            </w:r>
            <w:proofErr w:type="spellStart"/>
            <w:r w:rsidR="00404AF2">
              <w:t>Lycoming</w:t>
            </w:r>
            <w:proofErr w:type="spellEnd"/>
            <w:r w:rsidR="00F5727F">
              <w:t xml:space="preserve"> MSB </w:t>
            </w:r>
            <w:r w:rsidR="004B031C">
              <w:t>518B</w:t>
            </w:r>
            <w:r w:rsidR="00F458A1">
              <w:t xml:space="preserve"> which removed the</w:t>
            </w:r>
            <w:r w:rsidR="00377143">
              <w:t xml:space="preserve"> crimp nut</w:t>
            </w:r>
            <w:r w:rsidR="00F458A1">
              <w:t xml:space="preserve"> dimensional check entirely</w:t>
            </w:r>
            <w:r w:rsidR="00B70842">
              <w:t>.</w:t>
            </w:r>
          </w:p>
          <w:p w14:paraId="0956D55E" w14:textId="60A74C6D" w:rsidR="00BF061F" w:rsidRDefault="00582F36">
            <w:r>
              <w:lastRenderedPageBreak/>
              <w:t xml:space="preserve">Amendment 6 </w:t>
            </w:r>
            <w:r w:rsidR="007014F3">
              <w:t xml:space="preserve">updates the </w:t>
            </w:r>
            <w:r w:rsidR="00805583">
              <w:t>applicability</w:t>
            </w:r>
            <w:r w:rsidR="00972CA1">
              <w:t xml:space="preserve"> and </w:t>
            </w:r>
            <w:r w:rsidR="0036745A">
              <w:t xml:space="preserve">requirement statements to reflect the </w:t>
            </w:r>
            <w:r w:rsidR="0070332F">
              <w:t>most recent version of the requirement</w:t>
            </w:r>
            <w:r w:rsidR="00864D2F">
              <w:t xml:space="preserve"> document</w:t>
            </w:r>
            <w:r w:rsidR="006D7969">
              <w:t xml:space="preserve"> whilst retaining </w:t>
            </w:r>
            <w:r w:rsidR="00184E48">
              <w:t xml:space="preserve">compliance thresholds </w:t>
            </w:r>
            <w:r w:rsidR="008A6582">
              <w:t xml:space="preserve">on a </w:t>
            </w:r>
            <w:r w:rsidR="00155BBE">
              <w:t xml:space="preserve">time-in-service </w:t>
            </w:r>
            <w:r w:rsidR="008A6582">
              <w:t xml:space="preserve">basis. </w:t>
            </w:r>
            <w:r w:rsidR="00C0083A">
              <w:t xml:space="preserve"> </w:t>
            </w:r>
          </w:p>
        </w:tc>
      </w:tr>
    </w:tbl>
    <w:p w14:paraId="5A3EE9AE" w14:textId="0CD0E5CB" w:rsidR="00870EBB" w:rsidRDefault="00995869" w:rsidP="00870EBB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450C5EAF" wp14:editId="1EDF4FD3">
            <wp:extent cx="1276350" cy="822390"/>
            <wp:effectExtent l="0" t="0" r="0" b="0"/>
            <wp:docPr id="1" name="Picture 1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sec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504" cy="8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06B15" w14:textId="3F8AEBF9" w:rsidR="00426736" w:rsidRPr="00404AF2" w:rsidRDefault="00404AF2" w:rsidP="00870EBB">
      <w:pPr>
        <w:rPr>
          <w:bCs/>
        </w:rPr>
      </w:pPr>
      <w:r w:rsidRPr="00404AF2">
        <w:rPr>
          <w:bCs/>
        </w:rPr>
        <w:t>Alan Silva</w:t>
      </w:r>
      <w:r w:rsidR="00426736" w:rsidRPr="00404AF2">
        <w:rPr>
          <w:bCs/>
        </w:rPr>
        <w:br/>
        <w:t>Delegate of the Civil Aviation Safety Authority</w:t>
      </w:r>
    </w:p>
    <w:p w14:paraId="12F8D435" w14:textId="6096FBC6" w:rsidR="0005393E" w:rsidRPr="00404AF2" w:rsidRDefault="00995869" w:rsidP="005C4F41">
      <w:pPr>
        <w:tabs>
          <w:tab w:val="left" w:pos="3810"/>
        </w:tabs>
        <w:rPr>
          <w:bCs/>
        </w:rPr>
      </w:pPr>
      <w:r>
        <w:rPr>
          <w:bCs/>
        </w:rPr>
        <w:t xml:space="preserve">22 </w:t>
      </w:r>
      <w:r w:rsidR="00404AF2" w:rsidRPr="00404AF2">
        <w:rPr>
          <w:bCs/>
        </w:rPr>
        <w:t>April 2021</w:t>
      </w:r>
    </w:p>
    <w:sectPr w:rsidR="0005393E" w:rsidRPr="00404AF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701" w:right="964" w:bottom="851" w:left="96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A167" w14:textId="77777777" w:rsidR="001F505D" w:rsidRDefault="001F505D">
      <w:r>
        <w:separator/>
      </w:r>
    </w:p>
  </w:endnote>
  <w:endnote w:type="continuationSeparator" w:id="0">
    <w:p w14:paraId="2165FCAF" w14:textId="77777777" w:rsidR="001F505D" w:rsidRDefault="001F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793E" w14:textId="77777777" w:rsidR="009D7AFA" w:rsidRDefault="009D7AFA">
    <w:pPr>
      <w:pStyle w:val="Foot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10B6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FCDB" w14:textId="77777777" w:rsidR="009D7AFA" w:rsidRDefault="009D7AFA" w:rsidP="001F7C05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55568F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55568F">
      <w:rPr>
        <w:noProof/>
        <w:lang w:val="en-US"/>
      </w:rPr>
      <w:t>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7183" w14:textId="77777777" w:rsidR="001F505D" w:rsidRDefault="001F505D">
      <w:r>
        <w:separator/>
      </w:r>
    </w:p>
  </w:footnote>
  <w:footnote w:type="continuationSeparator" w:id="0">
    <w:p w14:paraId="7FF12CC7" w14:textId="77777777" w:rsidR="001F505D" w:rsidRDefault="001F5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DECA" w14:textId="59044A3E" w:rsidR="009D7AFA" w:rsidRDefault="009D7AFA" w:rsidP="00510BFA">
    <w:pPr>
      <w:tabs>
        <w:tab w:val="right" w:pos="9923"/>
      </w:tabs>
      <w:spacing w:before="60" w:after="60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COMMONWEALTH OF AUSTRALIA</w:t>
    </w:r>
    <w:r>
      <w:rPr>
        <w:rFonts w:ascii="Arial" w:hAnsi="Arial"/>
        <w:b/>
        <w:sz w:val="20"/>
      </w:rPr>
      <w:tab/>
    </w:r>
    <w:r w:rsidRPr="00611C8F">
      <w:rPr>
        <w:rFonts w:ascii="Arial" w:hAnsi="Arial"/>
        <w:b/>
        <w:i/>
        <w:iCs/>
        <w:sz w:val="20"/>
      </w:rPr>
      <w:t>Civil Aviation Safety Regulations 1998</w:t>
    </w:r>
  </w:p>
  <w:p w14:paraId="3826D3FC" w14:textId="77777777" w:rsidR="009D7AFA" w:rsidRPr="00D0782E" w:rsidRDefault="009D7AFA" w:rsidP="00510BFA">
    <w:pPr>
      <w:tabs>
        <w:tab w:val="right" w:pos="9923"/>
      </w:tabs>
      <w:spacing w:before="60" w:after="60"/>
      <w:rPr>
        <w:rFonts w:ascii="Arial" w:hAnsi="Arial"/>
        <w:b/>
        <w:color w:val="000000"/>
        <w:sz w:val="20"/>
      </w:rPr>
    </w:pPr>
    <w:r>
      <w:rPr>
        <w:rFonts w:ascii="Arial" w:hAnsi="Arial"/>
        <w:b/>
        <w:sz w:val="20"/>
      </w:rPr>
      <w:t>CIVIL AVIATION SAFETY AUTHORITY</w:t>
    </w:r>
    <w:r>
      <w:rPr>
        <w:rFonts w:ascii="Arial" w:hAnsi="Arial"/>
        <w:b/>
        <w:sz w:val="20"/>
      </w:rPr>
      <w:tab/>
    </w:r>
    <w:r w:rsidRPr="00D0782E">
      <w:rPr>
        <w:rFonts w:ascii="Arial" w:hAnsi="Arial"/>
        <w:b/>
        <w:color w:val="000000"/>
        <w:sz w:val="20"/>
      </w:rPr>
      <w:t>Regulation 39.001</w:t>
    </w:r>
  </w:p>
  <w:p w14:paraId="449F33E7" w14:textId="20F32B8A" w:rsidR="009D7AFA" w:rsidRDefault="00404AF2">
    <w:pPr>
      <w:pStyle w:val="Heading3"/>
    </w:pPr>
    <w:proofErr w:type="spellStart"/>
    <w:r>
      <w:t>Lycoming</w:t>
    </w:r>
    <w:proofErr w:type="spellEnd"/>
    <w:r>
      <w:t xml:space="preserve"> Piston Engines</w:t>
    </w:r>
  </w:p>
  <w:p w14:paraId="2A96F817" w14:textId="29316928" w:rsidR="009D7AFA" w:rsidRDefault="009D7AFA">
    <w:r>
      <w:t>AD</w:t>
    </w:r>
    <w:r w:rsidR="00404AF2">
      <w:t xml:space="preserve">/LYC/78 </w:t>
    </w:r>
    <w:proofErr w:type="spellStart"/>
    <w:r w:rsidR="00404AF2">
      <w:t>Amdt</w:t>
    </w:r>
    <w:proofErr w:type="spellEnd"/>
    <w:r w:rsidR="00404AF2">
      <w:t xml:space="preserve"> 6</w:t>
    </w:r>
    <w:r>
      <w:t xml:space="preserve"> 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BB72" w14:textId="77777777" w:rsidR="009D7AFA" w:rsidRDefault="009D7AFA" w:rsidP="001F7C05">
    <w:pPr>
      <w:tabs>
        <w:tab w:val="right" w:pos="9923"/>
      </w:tabs>
      <w:spacing w:before="60" w:after="60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COMMONWEALTH OF AUSTRALIA</w:t>
    </w:r>
    <w:r>
      <w:rPr>
        <w:rFonts w:ascii="Arial" w:hAnsi="Arial"/>
        <w:b/>
        <w:sz w:val="20"/>
      </w:rPr>
      <w:tab/>
    </w:r>
    <w:r w:rsidRPr="00532389">
      <w:rPr>
        <w:rFonts w:ascii="Arial" w:hAnsi="Arial"/>
        <w:b/>
        <w:i/>
        <w:sz w:val="20"/>
      </w:rPr>
      <w:t>Civil Aviation Safety Regulations 1998</w:t>
    </w:r>
  </w:p>
  <w:p w14:paraId="4B7DD32A" w14:textId="77777777" w:rsidR="009D7AFA" w:rsidRPr="00D0782E" w:rsidRDefault="009D7AFA" w:rsidP="001F7C05">
    <w:pPr>
      <w:tabs>
        <w:tab w:val="right" w:pos="9923"/>
      </w:tabs>
      <w:spacing w:before="60" w:after="60"/>
      <w:rPr>
        <w:rFonts w:ascii="Arial" w:hAnsi="Arial"/>
        <w:b/>
        <w:color w:val="000000"/>
        <w:sz w:val="20"/>
      </w:rPr>
    </w:pPr>
    <w:r>
      <w:rPr>
        <w:rFonts w:ascii="Arial" w:hAnsi="Arial"/>
        <w:b/>
        <w:sz w:val="20"/>
      </w:rPr>
      <w:t>CIVIL AVIATION SAFETY AUTHORITY</w:t>
    </w:r>
    <w:r>
      <w:rPr>
        <w:rFonts w:ascii="Arial" w:hAnsi="Arial"/>
        <w:b/>
        <w:sz w:val="20"/>
      </w:rPr>
      <w:tab/>
    </w:r>
    <w:r w:rsidRPr="00D0782E">
      <w:rPr>
        <w:rFonts w:ascii="Arial" w:hAnsi="Arial"/>
        <w:b/>
        <w:color w:val="000000"/>
        <w:sz w:val="20"/>
      </w:rPr>
      <w:t>Regulation 39.001</w:t>
    </w:r>
  </w:p>
  <w:p w14:paraId="351AC86D" w14:textId="77777777" w:rsidR="009D7AFA" w:rsidRPr="001F7C05" w:rsidRDefault="009D7AFA" w:rsidP="001F7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6849"/>
    <w:multiLevelType w:val="hybridMultilevel"/>
    <w:tmpl w:val="00564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C29E0"/>
    <w:multiLevelType w:val="hybridMultilevel"/>
    <w:tmpl w:val="2FA08B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E2697"/>
    <w:multiLevelType w:val="hybridMultilevel"/>
    <w:tmpl w:val="5F98BFC0"/>
    <w:lvl w:ilvl="0" w:tplc="4454A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3BA1"/>
    <w:multiLevelType w:val="hybridMultilevel"/>
    <w:tmpl w:val="890062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158E8"/>
    <w:multiLevelType w:val="hybridMultilevel"/>
    <w:tmpl w:val="99EEE4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823DD"/>
    <w:multiLevelType w:val="hybridMultilevel"/>
    <w:tmpl w:val="C756A3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570E5"/>
    <w:multiLevelType w:val="hybridMultilevel"/>
    <w:tmpl w:val="7DBAB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87"/>
    <w:rsid w:val="000141EE"/>
    <w:rsid w:val="0005249C"/>
    <w:rsid w:val="0005393E"/>
    <w:rsid w:val="000958DB"/>
    <w:rsid w:val="000B0960"/>
    <w:rsid w:val="000E7214"/>
    <w:rsid w:val="001277B8"/>
    <w:rsid w:val="001419D4"/>
    <w:rsid w:val="00155BBE"/>
    <w:rsid w:val="00163DC9"/>
    <w:rsid w:val="00164CE3"/>
    <w:rsid w:val="00184E48"/>
    <w:rsid w:val="001A255B"/>
    <w:rsid w:val="001C1971"/>
    <w:rsid w:val="001C1DDE"/>
    <w:rsid w:val="001E16EA"/>
    <w:rsid w:val="001F505D"/>
    <w:rsid w:val="001F7C05"/>
    <w:rsid w:val="00203A20"/>
    <w:rsid w:val="0023216B"/>
    <w:rsid w:val="00275942"/>
    <w:rsid w:val="00282493"/>
    <w:rsid w:val="002B0A65"/>
    <w:rsid w:val="002E1101"/>
    <w:rsid w:val="002E5D13"/>
    <w:rsid w:val="002F588D"/>
    <w:rsid w:val="00303F13"/>
    <w:rsid w:val="00313E78"/>
    <w:rsid w:val="00345CE3"/>
    <w:rsid w:val="00357C27"/>
    <w:rsid w:val="0036745A"/>
    <w:rsid w:val="00377143"/>
    <w:rsid w:val="003779F4"/>
    <w:rsid w:val="003957E3"/>
    <w:rsid w:val="003E2414"/>
    <w:rsid w:val="003E5D33"/>
    <w:rsid w:val="003E6CD2"/>
    <w:rsid w:val="003E7B2F"/>
    <w:rsid w:val="003F5892"/>
    <w:rsid w:val="00404AF2"/>
    <w:rsid w:val="00425B88"/>
    <w:rsid w:val="00426736"/>
    <w:rsid w:val="00434769"/>
    <w:rsid w:val="00465EA5"/>
    <w:rsid w:val="00473D53"/>
    <w:rsid w:val="00490CE2"/>
    <w:rsid w:val="00492651"/>
    <w:rsid w:val="004B031C"/>
    <w:rsid w:val="004B4BC2"/>
    <w:rsid w:val="00510BFA"/>
    <w:rsid w:val="00532389"/>
    <w:rsid w:val="0053527F"/>
    <w:rsid w:val="00546DB4"/>
    <w:rsid w:val="0055568F"/>
    <w:rsid w:val="0057595A"/>
    <w:rsid w:val="00577617"/>
    <w:rsid w:val="00582F36"/>
    <w:rsid w:val="005C4F41"/>
    <w:rsid w:val="005D29F3"/>
    <w:rsid w:val="005D7481"/>
    <w:rsid w:val="00611C8F"/>
    <w:rsid w:val="006D7969"/>
    <w:rsid w:val="006E3BB1"/>
    <w:rsid w:val="006F7FC6"/>
    <w:rsid w:val="007014F3"/>
    <w:rsid w:val="0070332F"/>
    <w:rsid w:val="007221DC"/>
    <w:rsid w:val="00727B8C"/>
    <w:rsid w:val="00757783"/>
    <w:rsid w:val="007A3F7F"/>
    <w:rsid w:val="00800BF0"/>
    <w:rsid w:val="00805583"/>
    <w:rsid w:val="00821A61"/>
    <w:rsid w:val="00864D2F"/>
    <w:rsid w:val="00870EBB"/>
    <w:rsid w:val="008A029F"/>
    <w:rsid w:val="008A6582"/>
    <w:rsid w:val="00956D28"/>
    <w:rsid w:val="00962FA6"/>
    <w:rsid w:val="00972CA1"/>
    <w:rsid w:val="0098743A"/>
    <w:rsid w:val="0099077A"/>
    <w:rsid w:val="00995869"/>
    <w:rsid w:val="009A764F"/>
    <w:rsid w:val="009B01D8"/>
    <w:rsid w:val="009C6380"/>
    <w:rsid w:val="009D7AFA"/>
    <w:rsid w:val="009E3062"/>
    <w:rsid w:val="00A047E7"/>
    <w:rsid w:val="00A75B93"/>
    <w:rsid w:val="00AD4ECC"/>
    <w:rsid w:val="00AD7603"/>
    <w:rsid w:val="00AF40D3"/>
    <w:rsid w:val="00B33FA5"/>
    <w:rsid w:val="00B35E87"/>
    <w:rsid w:val="00B542BF"/>
    <w:rsid w:val="00B702A4"/>
    <w:rsid w:val="00B70842"/>
    <w:rsid w:val="00BD0BF1"/>
    <w:rsid w:val="00BF061F"/>
    <w:rsid w:val="00BF12BA"/>
    <w:rsid w:val="00BF5FE7"/>
    <w:rsid w:val="00C0083A"/>
    <w:rsid w:val="00C153C0"/>
    <w:rsid w:val="00C433AA"/>
    <w:rsid w:val="00C50277"/>
    <w:rsid w:val="00C65AB3"/>
    <w:rsid w:val="00C74B4B"/>
    <w:rsid w:val="00C90A86"/>
    <w:rsid w:val="00CA2091"/>
    <w:rsid w:val="00CB43DA"/>
    <w:rsid w:val="00CE0731"/>
    <w:rsid w:val="00D02CDC"/>
    <w:rsid w:val="00D035D9"/>
    <w:rsid w:val="00D0782E"/>
    <w:rsid w:val="00D123CF"/>
    <w:rsid w:val="00D30C9E"/>
    <w:rsid w:val="00D35A02"/>
    <w:rsid w:val="00D60297"/>
    <w:rsid w:val="00DC2248"/>
    <w:rsid w:val="00DE04F8"/>
    <w:rsid w:val="00DE6D3A"/>
    <w:rsid w:val="00E10B68"/>
    <w:rsid w:val="00E137FC"/>
    <w:rsid w:val="00E374C4"/>
    <w:rsid w:val="00E375BE"/>
    <w:rsid w:val="00E50779"/>
    <w:rsid w:val="00E72F59"/>
    <w:rsid w:val="00EB7309"/>
    <w:rsid w:val="00ED3080"/>
    <w:rsid w:val="00ED3B3A"/>
    <w:rsid w:val="00ED7A98"/>
    <w:rsid w:val="00F11A06"/>
    <w:rsid w:val="00F13CBC"/>
    <w:rsid w:val="00F25547"/>
    <w:rsid w:val="00F32C2E"/>
    <w:rsid w:val="00F458A1"/>
    <w:rsid w:val="00F5727F"/>
    <w:rsid w:val="00F65147"/>
    <w:rsid w:val="00F674C2"/>
    <w:rsid w:val="00FA3AF5"/>
    <w:rsid w:val="00FD2075"/>
    <w:rsid w:val="00FD6570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58FE902"/>
  <w15:docId w15:val="{1B697B58-B0B1-4CB1-B768-A470BC1A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Heading3"/>
    <w:next w:val="Normal"/>
    <w:qFormat/>
    <w:rsid w:val="001F7C05"/>
    <w:pPr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iesName">
    <w:name w:val="Series Name"/>
    <w:basedOn w:val="Normal"/>
    <w:pPr>
      <w:pageBreakBefore/>
      <w:pBdr>
        <w:bottom w:val="single" w:sz="12" w:space="1" w:color="auto"/>
      </w:pBdr>
      <w:tabs>
        <w:tab w:val="right" w:pos="9923"/>
      </w:tabs>
      <w:spacing w:before="240"/>
    </w:pPr>
  </w:style>
  <w:style w:type="paragraph" w:customStyle="1" w:styleId="ADHeader">
    <w:name w:val="AD Header"/>
    <w:basedOn w:val="Normal"/>
    <w:pPr>
      <w:tabs>
        <w:tab w:val="center" w:pos="5670"/>
        <w:tab w:val="right" w:pos="9923"/>
      </w:tabs>
      <w:spacing w:before="280" w:after="160"/>
    </w:pPr>
    <w:rPr>
      <w:rFonts w:ascii="Helvetica" w:hAnsi="Helvetica"/>
      <w:b/>
    </w:rPr>
  </w:style>
  <w:style w:type="paragraph" w:customStyle="1" w:styleId="Note">
    <w:name w:val="Note"/>
    <w:basedOn w:val="Normal"/>
    <w:rPr>
      <w:i/>
    </w:rPr>
  </w:style>
  <w:style w:type="paragraph" w:styleId="Header">
    <w:name w:val="header"/>
    <w:basedOn w:val="Normal"/>
    <w:pPr>
      <w:tabs>
        <w:tab w:val="right" w:pos="9923"/>
      </w:tabs>
      <w:spacing w:before="60" w:after="60"/>
    </w:pPr>
    <w:rPr>
      <w:rFonts w:ascii="Helvetica" w:hAnsi="Helvetica"/>
      <w:b/>
    </w:rPr>
  </w:style>
  <w:style w:type="paragraph" w:styleId="Footer">
    <w:name w:val="footer"/>
    <w:basedOn w:val="Normal"/>
    <w:pPr>
      <w:tabs>
        <w:tab w:val="center" w:pos="4320"/>
        <w:tab w:val="right" w:pos="9639"/>
      </w:tabs>
      <w:spacing w:before="0" w:after="0"/>
    </w:pPr>
    <w:rPr>
      <w:sz w:val="20"/>
    </w:rPr>
  </w:style>
  <w:style w:type="paragraph" w:customStyle="1" w:styleId="ADName">
    <w:name w:val="AD Name"/>
    <w:basedOn w:val="Normal"/>
    <w:pPr>
      <w:tabs>
        <w:tab w:val="left" w:pos="5103"/>
      </w:tabs>
      <w:spacing w:before="60" w:after="60" w:line="240" w:lineRule="exact"/>
      <w:ind w:left="4650" w:hanging="3232"/>
    </w:pPr>
    <w:rPr>
      <w:rFonts w:ascii="Times" w:hAnsi="Times"/>
    </w:rPr>
  </w:style>
  <w:style w:type="character" w:styleId="PageNumber">
    <w:name w:val="page number"/>
    <w:basedOn w:val="DefaultParagraphFont"/>
  </w:style>
  <w:style w:type="paragraph" w:customStyle="1" w:styleId="ALNumber">
    <w:name w:val="AL Number"/>
    <w:basedOn w:val="Normal"/>
    <w:pPr>
      <w:tabs>
        <w:tab w:val="right" w:pos="9923"/>
      </w:tabs>
      <w:spacing w:before="240" w:line="240" w:lineRule="exact"/>
    </w:pPr>
    <w:rPr>
      <w:rFonts w:ascii="Times" w:hAnsi="Times"/>
    </w:rPr>
  </w:style>
  <w:style w:type="paragraph" w:customStyle="1" w:styleId="Justification">
    <w:name w:val="Justification"/>
    <w:basedOn w:val="Normal"/>
    <w:rPr>
      <w:b/>
      <w:sz w:val="20"/>
    </w:rPr>
  </w:style>
  <w:style w:type="paragraph" w:customStyle="1" w:styleId="FooterTable">
    <w:name w:val="Footer Table"/>
    <w:basedOn w:val="FooterTableHead"/>
    <w:rPr>
      <w:b w:val="0"/>
    </w:rPr>
  </w:style>
  <w:style w:type="paragraph" w:customStyle="1" w:styleId="FooterTableHead">
    <w:name w:val="Footer Table Head"/>
    <w:basedOn w:val="Heading5"/>
    <w:pPr>
      <w:keepNext/>
      <w:spacing w:before="60" w:after="0"/>
      <w:outlineLvl w:val="9"/>
    </w:pPr>
    <w:rPr>
      <w:rFonts w:ascii="Times New Roman" w:hAnsi="Times New Roman"/>
      <w:b/>
      <w:sz w:val="20"/>
      <w:lang w:val="en-US"/>
    </w:rPr>
  </w:style>
  <w:style w:type="paragraph" w:customStyle="1" w:styleId="STANDARD">
    <w:name w:val="STANDARD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0"/>
      <w:jc w:val="both"/>
    </w:pPr>
    <w:rPr>
      <w:lang w:val="en-US"/>
    </w:rPr>
  </w:style>
  <w:style w:type="paragraph" w:customStyle="1" w:styleId="Style1">
    <w:name w:val="Style1"/>
    <w:basedOn w:val="Normal"/>
    <w:pPr>
      <w:spacing w:before="0" w:after="0"/>
    </w:pPr>
    <w:rPr>
      <w:sz w:val="20"/>
    </w:rPr>
  </w:style>
  <w:style w:type="paragraph" w:customStyle="1" w:styleId="Preamble">
    <w:name w:val="Preamble"/>
    <w:basedOn w:val="Normal"/>
    <w:pPr>
      <w:pBdr>
        <w:bottom w:val="single" w:sz="6" w:space="3" w:color="auto"/>
      </w:pBdr>
      <w:overflowPunct/>
      <w:spacing w:before="0" w:after="0" w:line="180" w:lineRule="exact"/>
      <w:textAlignment w:val="auto"/>
    </w:pPr>
    <w:rPr>
      <w:rFonts w:ascii="Times" w:hAnsi="Times"/>
      <w:sz w:val="15"/>
      <w:lang w:val="en-US"/>
    </w:rPr>
  </w:style>
  <w:style w:type="paragraph" w:styleId="BalloonText">
    <w:name w:val="Balloon Text"/>
    <w:basedOn w:val="Normal"/>
    <w:link w:val="BalloonTextChar"/>
    <w:rsid w:val="001C19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1971"/>
    <w:rPr>
      <w:rFonts w:ascii="Tahoma" w:hAnsi="Tahoma" w:cs="Tahoma"/>
      <w:sz w:val="16"/>
      <w:szCs w:val="16"/>
      <w:lang w:val="en-GB" w:eastAsia="en-US"/>
    </w:rPr>
  </w:style>
  <w:style w:type="paragraph" w:styleId="Title">
    <w:name w:val="Title"/>
    <w:basedOn w:val="STANDARD"/>
    <w:next w:val="Normal"/>
    <w:link w:val="TitleChar"/>
    <w:qFormat/>
    <w:rsid w:val="001F7C05"/>
    <w:pPr>
      <w:pBdr>
        <w:top w:val="single" w:sz="6" w:space="3" w:color="auto"/>
        <w:bottom w:val="single" w:sz="6" w:space="3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left" w:pos="5812"/>
      </w:tabs>
      <w:spacing w:before="120" w:after="60"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1F7C05"/>
    <w:rPr>
      <w:rFonts w:ascii="Arial" w:hAnsi="Arial"/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E5077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D30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30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308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3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3080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AD/LYC/78 Amdt 6</vt:lpstr>
    </vt:vector>
  </TitlesOfParts>
  <Company>Civil Aviation Safety Authority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AD/LYC/78 Amdt 6</dc:title>
  <dc:subject>Thermostatic Oil Cooler Bypass Valve</dc:subject>
  <dc:creator>Civil Aviation Safety Authority</dc:creator>
  <dc:description/>
  <cp:lastModifiedBy>Wood, Susan</cp:lastModifiedBy>
  <cp:revision>3</cp:revision>
  <cp:lastPrinted>2016-05-02T02:23:00Z</cp:lastPrinted>
  <dcterms:created xsi:type="dcterms:W3CDTF">2021-04-22T04:05:00Z</dcterms:created>
  <dcterms:modified xsi:type="dcterms:W3CDTF">2021-04-22T05:40:00Z</dcterms:modified>
  <cp:category>Airworthiness Directive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