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FF3A1" w14:textId="77777777" w:rsidR="001F2A16" w:rsidRPr="00F833E7" w:rsidRDefault="001F2A16"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_GoBack"/>
      <w:bookmarkEnd w:id="0"/>
      <w:r w:rsidRPr="00F833E7">
        <w:rPr>
          <w:rFonts w:ascii="Arial" w:hAnsi="Arial" w:cs="Arial"/>
          <w:sz w:val="34"/>
          <w:szCs w:val="34"/>
        </w:rPr>
        <w:t>Explanatory Statement</w:t>
      </w:r>
    </w:p>
    <w:p w14:paraId="475FF3A2" w14:textId="77777777" w:rsidR="00AC2448" w:rsidRPr="00F833E7" w:rsidRDefault="00AC2448"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475FF3A3" w14:textId="58C896BE" w:rsidR="009371D0" w:rsidRPr="00F833E7" w:rsidRDefault="00B31EF9"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F833E7">
        <w:rPr>
          <w:rFonts w:ascii="Arial" w:hAnsi="Arial" w:cs="Arial"/>
          <w:sz w:val="34"/>
          <w:szCs w:val="34"/>
        </w:rPr>
        <w:t xml:space="preserve">Corporations </w:t>
      </w:r>
      <w:r w:rsidR="008A75E3">
        <w:rPr>
          <w:rFonts w:ascii="Arial" w:hAnsi="Arial" w:cs="Arial"/>
          <w:sz w:val="34"/>
          <w:szCs w:val="34"/>
        </w:rPr>
        <w:t xml:space="preserve">(Transitional) </w:t>
      </w:r>
      <w:r w:rsidR="001D78F9">
        <w:rPr>
          <w:rFonts w:ascii="Arial" w:hAnsi="Arial" w:cs="Arial"/>
          <w:sz w:val="34"/>
          <w:szCs w:val="34"/>
        </w:rPr>
        <w:t>Director</w:t>
      </w:r>
      <w:r w:rsidRPr="00F833E7">
        <w:rPr>
          <w:rFonts w:ascii="Arial" w:hAnsi="Arial" w:cs="Arial"/>
          <w:sz w:val="34"/>
          <w:szCs w:val="34"/>
        </w:rPr>
        <w:t xml:space="preserve"> Identification Number </w:t>
      </w:r>
      <w:r w:rsidR="002C2998">
        <w:rPr>
          <w:rFonts w:ascii="Arial" w:hAnsi="Arial" w:cs="Arial"/>
          <w:sz w:val="34"/>
          <w:szCs w:val="34"/>
        </w:rPr>
        <w:t>Extended Application Period</w:t>
      </w:r>
      <w:r w:rsidRPr="00F833E7">
        <w:rPr>
          <w:rFonts w:ascii="Arial" w:hAnsi="Arial" w:cs="Arial"/>
          <w:sz w:val="34"/>
          <w:szCs w:val="34"/>
        </w:rPr>
        <w:t xml:space="preserve"> 202</w:t>
      </w:r>
      <w:r w:rsidR="00C315E3">
        <w:rPr>
          <w:rFonts w:ascii="Arial" w:hAnsi="Arial" w:cs="Arial"/>
          <w:sz w:val="34"/>
          <w:szCs w:val="34"/>
        </w:rPr>
        <w:t>1</w:t>
      </w:r>
    </w:p>
    <w:p w14:paraId="475FF3A4" w14:textId="77777777" w:rsidR="0099555F" w:rsidRPr="00F833E7" w:rsidRDefault="0099555F" w:rsidP="0021496E">
      <w:pPr>
        <w:pStyle w:val="Header"/>
        <w:tabs>
          <w:tab w:val="clear" w:pos="4153"/>
          <w:tab w:val="clear" w:pos="8306"/>
        </w:tabs>
        <w:jc w:val="center"/>
        <w:rPr>
          <w:rFonts w:ascii="Arial" w:hAnsi="Arial" w:cs="Arial"/>
          <w:szCs w:val="24"/>
        </w:rPr>
      </w:pPr>
    </w:p>
    <w:p w14:paraId="475FF3A5" w14:textId="77777777" w:rsidR="001F2A16" w:rsidRPr="00F833E7" w:rsidRDefault="001F2A16" w:rsidP="0021496E">
      <w:pPr>
        <w:pStyle w:val="Header"/>
        <w:tabs>
          <w:tab w:val="clear" w:pos="4153"/>
          <w:tab w:val="clear" w:pos="8306"/>
        </w:tabs>
        <w:jc w:val="center"/>
        <w:rPr>
          <w:rFonts w:ascii="Arial" w:hAnsi="Arial" w:cs="Arial"/>
          <w:szCs w:val="24"/>
        </w:rPr>
      </w:pPr>
    </w:p>
    <w:p w14:paraId="475FF3A6" w14:textId="77777777" w:rsidR="00486653" w:rsidRPr="007728FE" w:rsidRDefault="00486653" w:rsidP="00910595">
      <w:pPr>
        <w:pStyle w:val="Heading2"/>
      </w:pPr>
      <w:r w:rsidRPr="007728FE">
        <w:t>General Outline of Instrument</w:t>
      </w:r>
    </w:p>
    <w:p w14:paraId="18256520" w14:textId="610381C9" w:rsidR="0069339C" w:rsidRPr="00252BA2" w:rsidRDefault="00486653" w:rsidP="00536140">
      <w:pPr>
        <w:keepLines/>
        <w:numPr>
          <w:ilvl w:val="0"/>
          <w:numId w:val="1"/>
        </w:numPr>
        <w:tabs>
          <w:tab w:val="clear" w:pos="720"/>
        </w:tabs>
        <w:spacing w:after="120"/>
        <w:ind w:left="709" w:hanging="709"/>
        <w:rPr>
          <w:rFonts w:ascii="Arial" w:hAnsi="Arial" w:cs="Arial"/>
          <w:sz w:val="22"/>
          <w:szCs w:val="22"/>
        </w:rPr>
      </w:pPr>
      <w:r w:rsidRPr="0069339C">
        <w:rPr>
          <w:rFonts w:ascii="Arial" w:hAnsi="Arial" w:cs="Arial"/>
          <w:sz w:val="22"/>
          <w:szCs w:val="22"/>
        </w:rPr>
        <w:t xml:space="preserve">This </w:t>
      </w:r>
      <w:r w:rsidR="00E87346" w:rsidRPr="0069339C">
        <w:rPr>
          <w:rFonts w:ascii="Arial" w:hAnsi="Arial" w:cs="Arial"/>
          <w:sz w:val="22"/>
          <w:szCs w:val="22"/>
        </w:rPr>
        <w:t>legislative instrument</w:t>
      </w:r>
      <w:r w:rsidRPr="0069339C">
        <w:rPr>
          <w:rFonts w:ascii="Arial" w:hAnsi="Arial" w:cs="Arial"/>
          <w:sz w:val="22"/>
          <w:szCs w:val="22"/>
        </w:rPr>
        <w:t xml:space="preserve"> is made under</w:t>
      </w:r>
      <w:r w:rsidR="00181DA1" w:rsidRPr="0069339C">
        <w:rPr>
          <w:rFonts w:ascii="Arial" w:hAnsi="Arial" w:cs="Arial"/>
          <w:sz w:val="22"/>
          <w:szCs w:val="22"/>
        </w:rPr>
        <w:t xml:space="preserve"> </w:t>
      </w:r>
      <w:r w:rsidR="006E1AFA">
        <w:rPr>
          <w:rFonts w:ascii="Arial" w:hAnsi="Arial" w:cs="Arial"/>
          <w:sz w:val="22"/>
          <w:szCs w:val="22"/>
        </w:rPr>
        <w:t>sub</w:t>
      </w:r>
      <w:r w:rsidR="00181DA1" w:rsidRPr="0069339C">
        <w:rPr>
          <w:rFonts w:ascii="Arial" w:hAnsi="Arial" w:cs="Arial"/>
          <w:sz w:val="22"/>
          <w:szCs w:val="22"/>
        </w:rPr>
        <w:t xml:space="preserve">section </w:t>
      </w:r>
      <w:r w:rsidR="00C60A12" w:rsidRPr="0069339C">
        <w:rPr>
          <w:rFonts w:ascii="Arial" w:hAnsi="Arial" w:cs="Arial"/>
          <w:sz w:val="22"/>
          <w:szCs w:val="22"/>
        </w:rPr>
        <w:t>127</w:t>
      </w:r>
      <w:r w:rsidR="0050607B" w:rsidRPr="0069339C">
        <w:rPr>
          <w:rFonts w:ascii="Arial" w:hAnsi="Arial" w:cs="Arial"/>
          <w:sz w:val="22"/>
          <w:szCs w:val="22"/>
        </w:rPr>
        <w:t>2</w:t>
      </w:r>
      <w:proofErr w:type="gramStart"/>
      <w:r w:rsidR="00C60A12" w:rsidRPr="0069339C">
        <w:rPr>
          <w:rFonts w:ascii="Arial" w:hAnsi="Arial" w:cs="Arial"/>
          <w:sz w:val="22"/>
          <w:szCs w:val="22"/>
        </w:rPr>
        <w:t>E(</w:t>
      </w:r>
      <w:proofErr w:type="gramEnd"/>
      <w:r w:rsidR="00C60A12" w:rsidRPr="0069339C">
        <w:rPr>
          <w:rFonts w:ascii="Arial" w:hAnsi="Arial" w:cs="Arial"/>
          <w:sz w:val="22"/>
          <w:szCs w:val="22"/>
        </w:rPr>
        <w:t xml:space="preserve">2) </w:t>
      </w:r>
      <w:r w:rsidR="00181DA1" w:rsidRPr="0069339C">
        <w:rPr>
          <w:rFonts w:ascii="Arial" w:hAnsi="Arial" w:cs="Arial"/>
          <w:sz w:val="22"/>
          <w:szCs w:val="22"/>
        </w:rPr>
        <w:t xml:space="preserve">of the </w:t>
      </w:r>
      <w:r w:rsidR="00181DA1" w:rsidRPr="0069339C">
        <w:rPr>
          <w:rFonts w:ascii="Arial" w:hAnsi="Arial" w:cs="Arial"/>
          <w:i/>
          <w:sz w:val="22"/>
          <w:szCs w:val="22"/>
        </w:rPr>
        <w:t>Corporations Act 2001</w:t>
      </w:r>
      <w:r w:rsidR="00B45FD3" w:rsidRPr="0069339C">
        <w:rPr>
          <w:rFonts w:ascii="Arial" w:hAnsi="Arial" w:cs="Arial"/>
          <w:iCs/>
          <w:sz w:val="22"/>
          <w:szCs w:val="22"/>
        </w:rPr>
        <w:t xml:space="preserve"> (</w:t>
      </w:r>
      <w:bookmarkStart w:id="1" w:name="_Hlk61179816"/>
      <w:r w:rsidR="00C60A12" w:rsidRPr="0069339C">
        <w:rPr>
          <w:rFonts w:ascii="Arial" w:hAnsi="Arial" w:cs="Arial"/>
          <w:iCs/>
          <w:sz w:val="22"/>
          <w:szCs w:val="22"/>
        </w:rPr>
        <w:t xml:space="preserve">the </w:t>
      </w:r>
      <w:r w:rsidR="00B45FD3" w:rsidRPr="0069339C">
        <w:rPr>
          <w:rFonts w:ascii="Arial" w:hAnsi="Arial" w:cs="Arial"/>
          <w:iCs/>
          <w:sz w:val="22"/>
          <w:szCs w:val="22"/>
        </w:rPr>
        <w:t>Act</w:t>
      </w:r>
      <w:bookmarkEnd w:id="1"/>
      <w:r w:rsidR="00B45FD3" w:rsidRPr="0069339C">
        <w:rPr>
          <w:rFonts w:ascii="Arial" w:hAnsi="Arial" w:cs="Arial"/>
          <w:iCs/>
          <w:sz w:val="22"/>
          <w:szCs w:val="22"/>
        </w:rPr>
        <w:t>)</w:t>
      </w:r>
      <w:r w:rsidR="0050607B" w:rsidRPr="0069339C">
        <w:rPr>
          <w:rFonts w:ascii="Arial" w:hAnsi="Arial" w:cs="Arial"/>
          <w:iCs/>
          <w:sz w:val="22"/>
          <w:szCs w:val="22"/>
        </w:rPr>
        <w:t>.</w:t>
      </w:r>
    </w:p>
    <w:p w14:paraId="55A8E9C7" w14:textId="103987C5" w:rsidR="00252BA2" w:rsidRPr="00252BA2" w:rsidRDefault="00252BA2" w:rsidP="00252BA2">
      <w:pPr>
        <w:keepLines/>
        <w:numPr>
          <w:ilvl w:val="0"/>
          <w:numId w:val="1"/>
        </w:numPr>
        <w:tabs>
          <w:tab w:val="clear" w:pos="720"/>
        </w:tabs>
        <w:spacing w:after="120"/>
        <w:ind w:left="709" w:hanging="709"/>
        <w:rPr>
          <w:rFonts w:ascii="Arial" w:hAnsi="Arial" w:cs="Arial"/>
          <w:sz w:val="22"/>
          <w:szCs w:val="22"/>
        </w:rPr>
      </w:pPr>
      <w:bookmarkStart w:id="2" w:name="_Hlk61363706"/>
      <w:r w:rsidRPr="00252BA2">
        <w:rPr>
          <w:rFonts w:ascii="Arial" w:hAnsi="Arial" w:cs="Arial"/>
          <w:sz w:val="22"/>
          <w:szCs w:val="22"/>
        </w:rPr>
        <w:t xml:space="preserve">This legislative instrument </w:t>
      </w:r>
      <w:bookmarkStart w:id="3" w:name="_Hlk61364590"/>
      <w:r w:rsidRPr="00252BA2">
        <w:rPr>
          <w:rFonts w:ascii="Arial" w:hAnsi="Arial" w:cs="Arial"/>
          <w:sz w:val="22"/>
          <w:szCs w:val="22"/>
        </w:rPr>
        <w:t xml:space="preserve">extends the application period in which new eligible officers are required to apply for a </w:t>
      </w:r>
      <w:r w:rsidRPr="00252BA2">
        <w:rPr>
          <w:rFonts w:ascii="Arial" w:hAnsi="Arial" w:cs="Arial"/>
          <w:iCs/>
          <w:sz w:val="22"/>
          <w:szCs w:val="22"/>
        </w:rPr>
        <w:t xml:space="preserve">director identification number (director ID) if </w:t>
      </w:r>
      <w:r w:rsidRPr="00252BA2">
        <w:rPr>
          <w:rFonts w:ascii="Arial" w:hAnsi="Arial" w:cs="Arial"/>
          <w:sz w:val="22"/>
          <w:szCs w:val="22"/>
        </w:rPr>
        <w:t>the individual becomes an eligible officer in the period</w:t>
      </w:r>
      <w:bookmarkEnd w:id="2"/>
      <w:bookmarkEnd w:id="3"/>
      <w:r>
        <w:rPr>
          <w:rFonts w:ascii="Arial" w:hAnsi="Arial" w:cs="Arial"/>
          <w:sz w:val="22"/>
          <w:szCs w:val="22"/>
        </w:rPr>
        <w:t xml:space="preserve"> </w:t>
      </w:r>
      <w:r w:rsidRPr="00252BA2">
        <w:rPr>
          <w:rFonts w:ascii="Arial" w:hAnsi="Arial" w:cs="Arial"/>
          <w:sz w:val="22"/>
          <w:szCs w:val="22"/>
        </w:rPr>
        <w:t>starting when the director ID legislation commences and ending</w:t>
      </w:r>
      <w:r w:rsidR="00CE4448">
        <w:rPr>
          <w:rFonts w:ascii="Arial" w:hAnsi="Arial" w:cs="Arial"/>
          <w:sz w:val="22"/>
          <w:szCs w:val="22"/>
        </w:rPr>
        <w:t xml:space="preserve"> </w:t>
      </w:r>
      <w:r w:rsidRPr="00252BA2">
        <w:rPr>
          <w:rFonts w:ascii="Arial" w:hAnsi="Arial" w:cs="Arial"/>
          <w:sz w:val="22"/>
          <w:szCs w:val="22"/>
        </w:rPr>
        <w:t xml:space="preserve">31 October 2021. </w:t>
      </w:r>
    </w:p>
    <w:p w14:paraId="081C94B8" w14:textId="6EB9C2EF" w:rsidR="00E156C1" w:rsidRPr="00252BA2" w:rsidRDefault="00E156C1" w:rsidP="00252BA2">
      <w:pPr>
        <w:keepLines/>
        <w:numPr>
          <w:ilvl w:val="0"/>
          <w:numId w:val="1"/>
        </w:numPr>
        <w:tabs>
          <w:tab w:val="clear" w:pos="720"/>
        </w:tabs>
        <w:spacing w:after="120"/>
        <w:ind w:left="709" w:hanging="709"/>
        <w:rPr>
          <w:rFonts w:ascii="Arial" w:hAnsi="Arial" w:cs="Arial"/>
          <w:sz w:val="22"/>
          <w:szCs w:val="22"/>
        </w:rPr>
      </w:pPr>
      <w:r w:rsidRPr="00252BA2">
        <w:rPr>
          <w:rFonts w:ascii="Arial" w:hAnsi="Arial" w:cs="Arial"/>
          <w:sz w:val="22"/>
          <w:szCs w:val="22"/>
        </w:rPr>
        <w:t>In accordance with section 5C of the Act</w:t>
      </w:r>
      <w:r w:rsidRPr="00252BA2">
        <w:rPr>
          <w:rFonts w:ascii="Arial" w:hAnsi="Arial" w:cs="Arial"/>
          <w:iCs/>
          <w:sz w:val="22"/>
          <w:szCs w:val="22"/>
        </w:rPr>
        <w:t xml:space="preserve">, the relevant version of </w:t>
      </w:r>
      <w:r w:rsidRPr="00252BA2">
        <w:rPr>
          <w:rFonts w:ascii="Arial" w:hAnsi="Arial" w:cs="Arial"/>
          <w:sz w:val="22"/>
          <w:szCs w:val="22"/>
        </w:rPr>
        <w:t xml:space="preserve">the </w:t>
      </w:r>
      <w:r w:rsidRPr="00252BA2">
        <w:rPr>
          <w:rFonts w:ascii="Arial" w:hAnsi="Arial" w:cs="Arial"/>
          <w:i/>
          <w:iCs/>
          <w:sz w:val="22"/>
          <w:szCs w:val="22"/>
        </w:rPr>
        <w:t>Acts Interpretation Act 1901</w:t>
      </w:r>
      <w:r w:rsidRPr="00252BA2">
        <w:rPr>
          <w:rFonts w:ascii="Arial" w:hAnsi="Arial" w:cs="Arial"/>
          <w:sz w:val="22"/>
          <w:szCs w:val="22"/>
        </w:rPr>
        <w:t xml:space="preserve"> that applies to the Act </w:t>
      </w:r>
      <w:r w:rsidRPr="00252BA2">
        <w:rPr>
          <w:rFonts w:ascii="Arial" w:hAnsi="Arial" w:cs="Arial"/>
          <w:iCs/>
          <w:sz w:val="22"/>
          <w:szCs w:val="22"/>
        </w:rPr>
        <w:t xml:space="preserve">is the version as at 1 </w:t>
      </w:r>
      <w:r w:rsidR="00714ECB" w:rsidRPr="00252BA2">
        <w:rPr>
          <w:rFonts w:ascii="Arial" w:hAnsi="Arial" w:cs="Arial"/>
          <w:iCs/>
          <w:sz w:val="22"/>
          <w:szCs w:val="22"/>
        </w:rPr>
        <w:t xml:space="preserve">November </w:t>
      </w:r>
      <w:r w:rsidRPr="00252BA2">
        <w:rPr>
          <w:rFonts w:ascii="Arial" w:hAnsi="Arial" w:cs="Arial"/>
          <w:iCs/>
          <w:sz w:val="22"/>
          <w:szCs w:val="22"/>
        </w:rPr>
        <w:t>2005</w:t>
      </w:r>
      <w:r w:rsidRPr="00252BA2">
        <w:rPr>
          <w:rFonts w:ascii="Arial" w:hAnsi="Arial" w:cs="Arial"/>
          <w:sz w:val="22"/>
          <w:szCs w:val="22"/>
        </w:rPr>
        <w:t xml:space="preserve">. Under section 33(3) of the </w:t>
      </w:r>
      <w:r w:rsidRPr="00252BA2">
        <w:rPr>
          <w:rFonts w:ascii="Arial" w:hAnsi="Arial" w:cs="Arial"/>
          <w:i/>
          <w:iCs/>
          <w:sz w:val="22"/>
          <w:szCs w:val="22"/>
        </w:rPr>
        <w:t>Acts Interpretation Act 1901</w:t>
      </w:r>
      <w:r w:rsidRPr="00252BA2">
        <w:rPr>
          <w:rFonts w:ascii="Arial" w:hAnsi="Arial" w:cs="Arial"/>
          <w:sz w:val="22"/>
          <w:szCs w:val="22"/>
        </w:rPr>
        <w:t xml:space="preserve"> where an Act confers a power to make, grant or issue any instrument (including rules, regulations or by</w:t>
      </w:r>
      <w:r w:rsidRPr="00252BA2">
        <w:rPr>
          <w:rFonts w:ascii="Arial" w:hAnsi="Arial" w:cs="Arial"/>
          <w:sz w:val="22"/>
          <w:szCs w:val="22"/>
        </w:rPr>
        <w:noBreakHyphen/>
        <w:t>laws) the power shall, unless the contrary intention appears, be construed as including a power exercisable in the like manner and subject to the like conditions (if any) to repeal, rescind, revoke, amend, or vary any such instrument.</w:t>
      </w:r>
      <w:r w:rsidR="00AA2D6A">
        <w:rPr>
          <w:rFonts w:ascii="Arial" w:hAnsi="Arial" w:cs="Arial"/>
          <w:sz w:val="22"/>
          <w:szCs w:val="22"/>
        </w:rPr>
        <w:t xml:space="preserve"> </w:t>
      </w:r>
    </w:p>
    <w:p w14:paraId="475FF3AB" w14:textId="47ED5949" w:rsidR="001D02E6" w:rsidRPr="007728FE" w:rsidRDefault="001D02E6" w:rsidP="00910595">
      <w:pPr>
        <w:pStyle w:val="Heading2"/>
      </w:pPr>
      <w:r w:rsidRPr="007728FE">
        <w:t>Date of effect</w:t>
      </w:r>
    </w:p>
    <w:p w14:paraId="5F71825A" w14:textId="6F645B8A" w:rsidR="0061122B" w:rsidRDefault="00222AFB" w:rsidP="00BC6916">
      <w:pPr>
        <w:numPr>
          <w:ilvl w:val="0"/>
          <w:numId w:val="1"/>
        </w:numPr>
        <w:tabs>
          <w:tab w:val="clear" w:pos="720"/>
        </w:tabs>
        <w:spacing w:after="120"/>
        <w:ind w:left="709" w:hanging="709"/>
        <w:rPr>
          <w:rFonts w:ascii="Arial" w:hAnsi="Arial" w:cs="Arial"/>
          <w:sz w:val="22"/>
          <w:szCs w:val="22"/>
        </w:rPr>
      </w:pPr>
      <w:r w:rsidRPr="00E3090D">
        <w:rPr>
          <w:rFonts w:ascii="Arial" w:hAnsi="Arial" w:cs="Arial"/>
          <w:sz w:val="22"/>
          <w:szCs w:val="22"/>
        </w:rPr>
        <w:t xml:space="preserve">This instrument </w:t>
      </w:r>
      <w:r w:rsidRPr="0061122B">
        <w:rPr>
          <w:rFonts w:ascii="Arial" w:hAnsi="Arial" w:cs="Arial"/>
          <w:sz w:val="22"/>
          <w:szCs w:val="22"/>
        </w:rPr>
        <w:t>commences on</w:t>
      </w:r>
      <w:r w:rsidR="0061122B" w:rsidRPr="003446AA">
        <w:rPr>
          <w:rFonts w:ascii="Arial" w:hAnsi="Arial" w:cs="Arial"/>
          <w:sz w:val="22"/>
          <w:szCs w:val="22"/>
        </w:rPr>
        <w:t xml:space="preserve"> the later of:</w:t>
      </w:r>
    </w:p>
    <w:p w14:paraId="651960F6" w14:textId="77777777" w:rsidR="00C8283A" w:rsidRPr="002B18C8" w:rsidRDefault="00C8283A" w:rsidP="00C8283A">
      <w:pPr>
        <w:numPr>
          <w:ilvl w:val="1"/>
          <w:numId w:val="1"/>
        </w:numPr>
        <w:spacing w:after="120"/>
        <w:rPr>
          <w:rFonts w:ascii="Arial" w:hAnsi="Arial" w:cs="Arial"/>
          <w:sz w:val="22"/>
          <w:szCs w:val="22"/>
        </w:rPr>
      </w:pPr>
      <w:r w:rsidRPr="0061122B">
        <w:rPr>
          <w:rFonts w:ascii="Arial" w:hAnsi="Arial" w:cs="Arial"/>
          <w:sz w:val="22"/>
          <w:szCs w:val="22"/>
        </w:rPr>
        <w:t xml:space="preserve">the day after it is registered </w:t>
      </w:r>
      <w:r w:rsidRPr="004F06A5">
        <w:rPr>
          <w:rFonts w:ascii="Arial" w:hAnsi="Arial" w:cs="Arial"/>
          <w:sz w:val="22"/>
          <w:szCs w:val="22"/>
        </w:rPr>
        <w:t xml:space="preserve">on the Federal Register of Legislation; and </w:t>
      </w:r>
    </w:p>
    <w:p w14:paraId="7818A907" w14:textId="36E3D894" w:rsidR="00C8283A" w:rsidRDefault="00C8283A" w:rsidP="00C8283A">
      <w:pPr>
        <w:numPr>
          <w:ilvl w:val="1"/>
          <w:numId w:val="1"/>
        </w:numPr>
        <w:spacing w:after="120"/>
        <w:rPr>
          <w:rFonts w:ascii="Arial" w:hAnsi="Arial" w:cs="Arial"/>
          <w:sz w:val="22"/>
          <w:szCs w:val="22"/>
        </w:rPr>
      </w:pPr>
      <w:r w:rsidRPr="007E08FF">
        <w:rPr>
          <w:rFonts w:ascii="Arial" w:hAnsi="Arial" w:cs="Arial"/>
          <w:sz w:val="22"/>
          <w:szCs w:val="22"/>
        </w:rPr>
        <w:t xml:space="preserve">the day </w:t>
      </w:r>
      <w:r w:rsidRPr="00492009">
        <w:rPr>
          <w:rFonts w:ascii="Arial" w:hAnsi="Arial" w:cs="Arial"/>
          <w:sz w:val="22"/>
          <w:szCs w:val="22"/>
        </w:rPr>
        <w:t xml:space="preserve">on which Part 9.1A of the </w:t>
      </w:r>
      <w:r w:rsidRPr="00922F80">
        <w:rPr>
          <w:rFonts w:ascii="Arial" w:hAnsi="Arial" w:cs="Arial"/>
          <w:sz w:val="22"/>
          <w:szCs w:val="22"/>
        </w:rPr>
        <w:t>Act</w:t>
      </w:r>
      <w:r w:rsidRPr="00F32702">
        <w:rPr>
          <w:rFonts w:ascii="Arial" w:hAnsi="Arial" w:cs="Arial"/>
          <w:i/>
          <w:iCs/>
          <w:sz w:val="22"/>
          <w:szCs w:val="22"/>
        </w:rPr>
        <w:t xml:space="preserve"> </w:t>
      </w:r>
      <w:r w:rsidRPr="00F32702">
        <w:rPr>
          <w:rFonts w:ascii="Arial" w:hAnsi="Arial" w:cs="Arial"/>
          <w:sz w:val="22"/>
          <w:szCs w:val="22"/>
        </w:rPr>
        <w:t>commences</w:t>
      </w:r>
      <w:r w:rsidR="00D30A44">
        <w:rPr>
          <w:rFonts w:ascii="Arial" w:hAnsi="Arial" w:cs="Arial"/>
          <w:sz w:val="22"/>
          <w:szCs w:val="22"/>
        </w:rPr>
        <w:t>.</w:t>
      </w:r>
    </w:p>
    <w:p w14:paraId="07932EA6" w14:textId="4A2CAC4E" w:rsidR="00923845" w:rsidRPr="00C8283A" w:rsidRDefault="00923845" w:rsidP="00923845">
      <w:pPr>
        <w:numPr>
          <w:ilvl w:val="0"/>
          <w:numId w:val="1"/>
        </w:numPr>
        <w:tabs>
          <w:tab w:val="clear" w:pos="720"/>
        </w:tabs>
        <w:spacing w:after="120"/>
        <w:ind w:left="709" w:hanging="709"/>
        <w:rPr>
          <w:rFonts w:ascii="Arial" w:hAnsi="Arial" w:cs="Arial"/>
          <w:sz w:val="22"/>
          <w:szCs w:val="22"/>
        </w:rPr>
      </w:pPr>
      <w:r w:rsidRPr="00C8283A">
        <w:rPr>
          <w:rFonts w:ascii="Arial" w:hAnsi="Arial" w:cs="Arial"/>
          <w:sz w:val="22"/>
          <w:szCs w:val="22"/>
        </w:rPr>
        <w:t xml:space="preserve">By way of clarity, this </w:t>
      </w:r>
      <w:r w:rsidR="007B52CB">
        <w:rPr>
          <w:rFonts w:ascii="Arial" w:hAnsi="Arial" w:cs="Arial"/>
          <w:sz w:val="22"/>
          <w:szCs w:val="22"/>
        </w:rPr>
        <w:t>legislative instrument</w:t>
      </w:r>
      <w:r w:rsidRPr="00C8283A">
        <w:rPr>
          <w:rFonts w:ascii="Arial" w:hAnsi="Arial" w:cs="Arial"/>
          <w:sz w:val="22"/>
          <w:szCs w:val="22"/>
        </w:rPr>
        <w:t xml:space="preserve"> applies from the day the </w:t>
      </w:r>
      <w:r w:rsidR="00E87346">
        <w:rPr>
          <w:rFonts w:ascii="Arial" w:hAnsi="Arial" w:cs="Arial"/>
          <w:sz w:val="22"/>
          <w:szCs w:val="22"/>
        </w:rPr>
        <w:t>R</w:t>
      </w:r>
      <w:r w:rsidR="00E87346" w:rsidRPr="00C8283A">
        <w:rPr>
          <w:rFonts w:ascii="Arial" w:hAnsi="Arial" w:cs="Arial"/>
          <w:sz w:val="22"/>
          <w:szCs w:val="22"/>
        </w:rPr>
        <w:t xml:space="preserve">egistrar </w:t>
      </w:r>
      <w:r w:rsidRPr="00C8283A">
        <w:rPr>
          <w:rFonts w:ascii="Arial" w:hAnsi="Arial" w:cs="Arial"/>
          <w:sz w:val="22"/>
          <w:szCs w:val="22"/>
        </w:rPr>
        <w:t>is appointed.</w:t>
      </w:r>
    </w:p>
    <w:p w14:paraId="08220171" w14:textId="77777777" w:rsidR="00E22A9B" w:rsidRPr="00E3090D" w:rsidRDefault="00E22A9B" w:rsidP="00E22A9B">
      <w:pPr>
        <w:pStyle w:val="Heading2"/>
      </w:pPr>
      <w:r w:rsidRPr="00E3090D">
        <w:t>Background</w:t>
      </w:r>
    </w:p>
    <w:p w14:paraId="7EC9B949" w14:textId="77777777" w:rsidR="00405FC6" w:rsidRPr="00E3090D" w:rsidRDefault="00405FC6" w:rsidP="00405FC6">
      <w:pPr>
        <w:numPr>
          <w:ilvl w:val="0"/>
          <w:numId w:val="1"/>
        </w:numPr>
        <w:tabs>
          <w:tab w:val="clear" w:pos="720"/>
        </w:tabs>
        <w:spacing w:after="120"/>
        <w:ind w:left="709" w:hanging="709"/>
        <w:rPr>
          <w:rFonts w:ascii="Arial" w:hAnsi="Arial" w:cs="Arial"/>
          <w:color w:val="000000"/>
          <w:sz w:val="22"/>
          <w:szCs w:val="22"/>
        </w:rPr>
      </w:pPr>
      <w:r w:rsidRPr="00E3090D">
        <w:rPr>
          <w:rFonts w:ascii="Arial" w:hAnsi="Arial" w:cs="Arial"/>
          <w:sz w:val="22"/>
          <w:szCs w:val="22"/>
        </w:rPr>
        <w:t xml:space="preserve">The introduction of a </w:t>
      </w:r>
      <w:r>
        <w:rPr>
          <w:rFonts w:ascii="Arial" w:hAnsi="Arial" w:cs="Arial"/>
          <w:sz w:val="22"/>
          <w:szCs w:val="22"/>
        </w:rPr>
        <w:t>director ID</w:t>
      </w:r>
      <w:r w:rsidRPr="00E3090D">
        <w:rPr>
          <w:rFonts w:ascii="Arial" w:hAnsi="Arial" w:cs="Arial"/>
          <w:sz w:val="22"/>
          <w:szCs w:val="22"/>
        </w:rPr>
        <w:t xml:space="preserve"> requirement is one of the Commonwealth Government initiatives to promote good corporate conduct, and to deter and penalise illegal phoenix</w:t>
      </w:r>
      <w:r>
        <w:rPr>
          <w:rFonts w:ascii="Arial" w:hAnsi="Arial" w:cs="Arial"/>
          <w:sz w:val="22"/>
          <w:szCs w:val="22"/>
        </w:rPr>
        <w:t>ing</w:t>
      </w:r>
      <w:r w:rsidRPr="00E3090D">
        <w:rPr>
          <w:rFonts w:ascii="Arial" w:hAnsi="Arial" w:cs="Arial"/>
          <w:sz w:val="22"/>
          <w:szCs w:val="22"/>
        </w:rPr>
        <w:t xml:space="preserve"> in order to protect those who are negatively affected by such fraudulent behaviour.</w:t>
      </w:r>
    </w:p>
    <w:p w14:paraId="2B69CF2A" w14:textId="3502B4FC" w:rsidR="00E22A9B" w:rsidRPr="00B564B0" w:rsidRDefault="00E22A9B" w:rsidP="00BC6916">
      <w:pPr>
        <w:numPr>
          <w:ilvl w:val="0"/>
          <w:numId w:val="1"/>
        </w:numPr>
        <w:tabs>
          <w:tab w:val="clear" w:pos="720"/>
        </w:tabs>
        <w:spacing w:after="120"/>
        <w:ind w:left="709" w:hanging="709"/>
        <w:rPr>
          <w:rFonts w:ascii="Arial" w:hAnsi="Arial" w:cs="Arial"/>
          <w:color w:val="000000"/>
          <w:sz w:val="22"/>
          <w:szCs w:val="22"/>
        </w:rPr>
      </w:pPr>
      <w:r w:rsidRPr="00B564B0">
        <w:rPr>
          <w:rFonts w:ascii="Arial" w:hAnsi="Arial" w:cs="Arial"/>
          <w:color w:val="000000"/>
          <w:sz w:val="22"/>
          <w:szCs w:val="22"/>
        </w:rPr>
        <w:t xml:space="preserve">The new </w:t>
      </w:r>
      <w:r w:rsidR="00884209">
        <w:rPr>
          <w:rFonts w:ascii="Arial" w:hAnsi="Arial" w:cs="Arial"/>
          <w:color w:val="000000"/>
          <w:sz w:val="22"/>
          <w:szCs w:val="22"/>
        </w:rPr>
        <w:t>director ID</w:t>
      </w:r>
      <w:r w:rsidRPr="00B564B0">
        <w:rPr>
          <w:rFonts w:ascii="Arial" w:hAnsi="Arial" w:cs="Arial"/>
          <w:color w:val="000000"/>
          <w:sz w:val="22"/>
          <w:szCs w:val="22"/>
        </w:rPr>
        <w:t xml:space="preserve"> regime will also offer benefits beyond combating </w:t>
      </w:r>
      <w:r w:rsidR="00CD039B" w:rsidRPr="00B564B0">
        <w:rPr>
          <w:rFonts w:ascii="Arial" w:hAnsi="Arial" w:cs="Arial"/>
          <w:sz w:val="22"/>
          <w:szCs w:val="22"/>
        </w:rPr>
        <w:t xml:space="preserve">illegal </w:t>
      </w:r>
      <w:r w:rsidRPr="00B564B0">
        <w:rPr>
          <w:rFonts w:ascii="Arial" w:hAnsi="Arial" w:cs="Arial"/>
          <w:color w:val="000000"/>
          <w:sz w:val="22"/>
          <w:szCs w:val="22"/>
        </w:rPr>
        <w:t xml:space="preserve">phoenixing. For instance, simpler more effective tracking of </w:t>
      </w:r>
      <w:r w:rsidR="005026D4" w:rsidRPr="00B564B0">
        <w:rPr>
          <w:rFonts w:ascii="Arial" w:hAnsi="Arial" w:cs="Arial"/>
          <w:color w:val="000000"/>
          <w:sz w:val="22"/>
          <w:szCs w:val="22"/>
        </w:rPr>
        <w:t>d</w:t>
      </w:r>
      <w:r w:rsidR="001D78F9" w:rsidRPr="00B564B0">
        <w:rPr>
          <w:rFonts w:ascii="Arial" w:hAnsi="Arial" w:cs="Arial"/>
          <w:color w:val="000000"/>
          <w:sz w:val="22"/>
          <w:szCs w:val="22"/>
        </w:rPr>
        <w:t>irector</w:t>
      </w:r>
      <w:r w:rsidRPr="00B564B0">
        <w:rPr>
          <w:rFonts w:ascii="Arial" w:hAnsi="Arial" w:cs="Arial"/>
          <w:color w:val="000000"/>
          <w:sz w:val="22"/>
          <w:szCs w:val="22"/>
        </w:rPr>
        <w:t xml:space="preserve">s and their corporate history will reduce time and cost for administrators and liquidators, thereby improving the efficiency of the insolvency process. In addition, the new regime will improve data integrity and security. </w:t>
      </w:r>
    </w:p>
    <w:p w14:paraId="359D2906" w14:textId="43E5E9C9" w:rsidR="00904EFD" w:rsidRPr="00405FC6" w:rsidRDefault="00E22A9B" w:rsidP="00BC6916">
      <w:pPr>
        <w:numPr>
          <w:ilvl w:val="0"/>
          <w:numId w:val="1"/>
        </w:numPr>
        <w:tabs>
          <w:tab w:val="clear" w:pos="720"/>
        </w:tabs>
        <w:spacing w:after="120"/>
        <w:ind w:left="709" w:hanging="709"/>
        <w:rPr>
          <w:rFonts w:ascii="Arial" w:hAnsi="Arial" w:cs="Arial"/>
          <w:color w:val="000000"/>
          <w:sz w:val="22"/>
          <w:szCs w:val="22"/>
        </w:rPr>
      </w:pPr>
      <w:r w:rsidRPr="00B564B0">
        <w:rPr>
          <w:rFonts w:ascii="Arial" w:hAnsi="Arial" w:cs="Arial"/>
          <w:color w:val="000000"/>
          <w:sz w:val="22"/>
          <w:szCs w:val="22"/>
        </w:rPr>
        <w:t xml:space="preserve">The </w:t>
      </w:r>
      <w:r w:rsidR="00884209">
        <w:rPr>
          <w:rFonts w:ascii="Arial" w:hAnsi="Arial" w:cs="Arial"/>
          <w:color w:val="000000"/>
          <w:sz w:val="22"/>
          <w:szCs w:val="22"/>
        </w:rPr>
        <w:t>director ID</w:t>
      </w:r>
      <w:r w:rsidRPr="00B564B0">
        <w:rPr>
          <w:rFonts w:ascii="Arial" w:hAnsi="Arial" w:cs="Arial"/>
          <w:color w:val="000000"/>
          <w:sz w:val="22"/>
          <w:szCs w:val="22"/>
        </w:rPr>
        <w:t xml:space="preserve"> will require all </w:t>
      </w:r>
      <w:r w:rsidR="005026D4" w:rsidRPr="00B564B0">
        <w:rPr>
          <w:rFonts w:ascii="Arial" w:hAnsi="Arial" w:cs="Arial"/>
          <w:color w:val="000000"/>
          <w:sz w:val="22"/>
          <w:szCs w:val="22"/>
        </w:rPr>
        <w:t>d</w:t>
      </w:r>
      <w:r w:rsidR="001D78F9" w:rsidRPr="00B564B0">
        <w:rPr>
          <w:rFonts w:ascii="Arial" w:hAnsi="Arial" w:cs="Arial"/>
          <w:color w:val="000000"/>
          <w:sz w:val="22"/>
          <w:szCs w:val="22"/>
        </w:rPr>
        <w:t>irector</w:t>
      </w:r>
      <w:r w:rsidRPr="00B564B0">
        <w:rPr>
          <w:rFonts w:ascii="Arial" w:hAnsi="Arial" w:cs="Arial"/>
          <w:color w:val="000000"/>
          <w:sz w:val="22"/>
          <w:szCs w:val="22"/>
        </w:rPr>
        <w:t xml:space="preserve">s to </w:t>
      </w:r>
      <w:r w:rsidR="00453782">
        <w:rPr>
          <w:rFonts w:ascii="Arial" w:hAnsi="Arial" w:cs="Arial"/>
          <w:color w:val="000000"/>
          <w:sz w:val="22"/>
          <w:szCs w:val="22"/>
        </w:rPr>
        <w:t>establish</w:t>
      </w:r>
      <w:r w:rsidR="00453782" w:rsidRPr="00B564B0">
        <w:rPr>
          <w:rFonts w:ascii="Arial" w:hAnsi="Arial" w:cs="Arial"/>
          <w:color w:val="000000"/>
          <w:sz w:val="22"/>
          <w:szCs w:val="22"/>
        </w:rPr>
        <w:t xml:space="preserve"> </w:t>
      </w:r>
      <w:r w:rsidRPr="00B564B0">
        <w:rPr>
          <w:rFonts w:ascii="Arial" w:hAnsi="Arial" w:cs="Arial"/>
          <w:color w:val="000000"/>
          <w:sz w:val="22"/>
          <w:szCs w:val="22"/>
        </w:rPr>
        <w:t>their identity</w:t>
      </w:r>
      <w:r w:rsidR="00453782">
        <w:rPr>
          <w:rFonts w:ascii="Arial" w:hAnsi="Arial" w:cs="Arial"/>
          <w:color w:val="000000"/>
          <w:sz w:val="22"/>
          <w:szCs w:val="22"/>
        </w:rPr>
        <w:t xml:space="preserve"> with the Registrar</w:t>
      </w:r>
      <w:r w:rsidRPr="00B564B0">
        <w:rPr>
          <w:rFonts w:ascii="Arial" w:hAnsi="Arial" w:cs="Arial"/>
          <w:color w:val="000000"/>
          <w:sz w:val="22"/>
          <w:szCs w:val="22"/>
        </w:rPr>
        <w:t xml:space="preserve"> and it will be a unique identifier for each </w:t>
      </w:r>
      <w:r w:rsidR="00A9021B" w:rsidRPr="00B564B0">
        <w:rPr>
          <w:rFonts w:ascii="Arial" w:hAnsi="Arial" w:cs="Arial"/>
          <w:color w:val="000000"/>
          <w:sz w:val="22"/>
          <w:szCs w:val="22"/>
        </w:rPr>
        <w:t xml:space="preserve">individual </w:t>
      </w:r>
      <w:r w:rsidRPr="00B564B0">
        <w:rPr>
          <w:rFonts w:ascii="Arial" w:hAnsi="Arial" w:cs="Arial"/>
          <w:color w:val="000000"/>
          <w:sz w:val="22"/>
          <w:szCs w:val="22"/>
        </w:rPr>
        <w:t xml:space="preserve">who consents to being </w:t>
      </w:r>
      <w:r w:rsidR="001C2822" w:rsidRPr="00B564B0">
        <w:rPr>
          <w:rFonts w:ascii="Arial" w:hAnsi="Arial" w:cs="Arial"/>
          <w:color w:val="000000"/>
          <w:sz w:val="22"/>
          <w:szCs w:val="22"/>
        </w:rPr>
        <w:t xml:space="preserve">appointed </w:t>
      </w:r>
      <w:r w:rsidRPr="00B564B0">
        <w:rPr>
          <w:rFonts w:ascii="Arial" w:hAnsi="Arial" w:cs="Arial"/>
          <w:color w:val="000000"/>
          <w:sz w:val="22"/>
          <w:szCs w:val="22"/>
        </w:rPr>
        <w:t xml:space="preserve">a </w:t>
      </w:r>
      <w:r w:rsidR="005026D4" w:rsidRPr="00B564B0">
        <w:rPr>
          <w:rFonts w:ascii="Arial" w:hAnsi="Arial" w:cs="Arial"/>
          <w:color w:val="000000"/>
          <w:sz w:val="22"/>
          <w:szCs w:val="22"/>
        </w:rPr>
        <w:t>d</w:t>
      </w:r>
      <w:r w:rsidR="001D78F9" w:rsidRPr="00B564B0">
        <w:rPr>
          <w:rFonts w:ascii="Arial" w:hAnsi="Arial" w:cs="Arial"/>
          <w:color w:val="000000"/>
          <w:sz w:val="22"/>
          <w:szCs w:val="22"/>
        </w:rPr>
        <w:t>irector</w:t>
      </w:r>
      <w:r w:rsidRPr="00B564B0">
        <w:rPr>
          <w:rFonts w:ascii="Arial" w:hAnsi="Arial" w:cs="Arial"/>
          <w:color w:val="000000"/>
          <w:sz w:val="22"/>
          <w:szCs w:val="22"/>
        </w:rPr>
        <w:t xml:space="preserve">. The </w:t>
      </w:r>
      <w:r w:rsidR="00A9021B" w:rsidRPr="00B564B0">
        <w:rPr>
          <w:rFonts w:ascii="Arial" w:hAnsi="Arial" w:cs="Arial"/>
          <w:color w:val="000000"/>
          <w:sz w:val="22"/>
          <w:szCs w:val="22"/>
        </w:rPr>
        <w:t xml:space="preserve">individual </w:t>
      </w:r>
      <w:r w:rsidRPr="00B564B0">
        <w:rPr>
          <w:rFonts w:ascii="Arial" w:hAnsi="Arial" w:cs="Arial"/>
          <w:color w:val="000000"/>
          <w:sz w:val="22"/>
          <w:szCs w:val="22"/>
        </w:rPr>
        <w:t xml:space="preserve">will keep that unique identifier permanently, even if they cease to be a </w:t>
      </w:r>
      <w:r w:rsidR="005026D4" w:rsidRPr="00B564B0">
        <w:rPr>
          <w:rFonts w:ascii="Arial" w:hAnsi="Arial" w:cs="Arial"/>
          <w:color w:val="000000"/>
          <w:sz w:val="22"/>
          <w:szCs w:val="22"/>
        </w:rPr>
        <w:t>d</w:t>
      </w:r>
      <w:r w:rsidR="001D78F9" w:rsidRPr="00B564B0">
        <w:rPr>
          <w:rFonts w:ascii="Arial" w:hAnsi="Arial" w:cs="Arial"/>
          <w:color w:val="000000"/>
          <w:sz w:val="22"/>
          <w:szCs w:val="22"/>
        </w:rPr>
        <w:t>irector</w:t>
      </w:r>
      <w:r w:rsidRPr="00B564B0">
        <w:rPr>
          <w:rFonts w:ascii="Arial" w:hAnsi="Arial" w:cs="Arial"/>
          <w:color w:val="000000"/>
          <w:sz w:val="22"/>
          <w:szCs w:val="22"/>
        </w:rPr>
        <w:t>.</w:t>
      </w:r>
      <w:r w:rsidR="00A30E05" w:rsidRPr="00B564B0">
        <w:rPr>
          <w:rFonts w:ascii="Arial" w:hAnsi="Arial" w:cs="Arial"/>
          <w:sz w:val="22"/>
          <w:szCs w:val="22"/>
        </w:rPr>
        <w:t xml:space="preserve"> An individual’s </w:t>
      </w:r>
      <w:r w:rsidR="00884209">
        <w:rPr>
          <w:rFonts w:ascii="Arial" w:hAnsi="Arial" w:cs="Arial"/>
          <w:sz w:val="22"/>
          <w:szCs w:val="22"/>
        </w:rPr>
        <w:t>director ID</w:t>
      </w:r>
      <w:r w:rsidR="00A30E05" w:rsidRPr="00B564B0">
        <w:rPr>
          <w:rFonts w:ascii="Arial" w:hAnsi="Arial" w:cs="Arial"/>
          <w:sz w:val="22"/>
          <w:szCs w:val="22"/>
        </w:rPr>
        <w:t xml:space="preserve"> will not be re-issued to someone else and </w:t>
      </w:r>
      <w:r w:rsidR="00680B56" w:rsidRPr="00405FC6">
        <w:rPr>
          <w:rFonts w:ascii="Arial" w:hAnsi="Arial" w:cs="Arial"/>
          <w:sz w:val="22"/>
          <w:szCs w:val="22"/>
        </w:rPr>
        <w:t xml:space="preserve">generally </w:t>
      </w:r>
      <w:r w:rsidR="00A30E05" w:rsidRPr="00405FC6">
        <w:rPr>
          <w:rFonts w:ascii="Arial" w:hAnsi="Arial" w:cs="Arial"/>
          <w:sz w:val="22"/>
          <w:szCs w:val="22"/>
        </w:rPr>
        <w:t xml:space="preserve">only one </w:t>
      </w:r>
      <w:r w:rsidR="00884209" w:rsidRPr="00405FC6">
        <w:rPr>
          <w:rFonts w:ascii="Arial" w:hAnsi="Arial" w:cs="Arial"/>
          <w:sz w:val="22"/>
          <w:szCs w:val="22"/>
        </w:rPr>
        <w:t>director ID</w:t>
      </w:r>
      <w:r w:rsidR="00A30E05" w:rsidRPr="00405FC6">
        <w:rPr>
          <w:rFonts w:ascii="Arial" w:hAnsi="Arial" w:cs="Arial"/>
          <w:sz w:val="22"/>
          <w:szCs w:val="22"/>
        </w:rPr>
        <w:t xml:space="preserve"> will be issued to an individual</w:t>
      </w:r>
      <w:r w:rsidRPr="00405FC6">
        <w:rPr>
          <w:rFonts w:ascii="Arial" w:hAnsi="Arial" w:cs="Arial"/>
          <w:color w:val="000000"/>
          <w:sz w:val="22"/>
          <w:szCs w:val="22"/>
        </w:rPr>
        <w:t xml:space="preserve">. </w:t>
      </w:r>
    </w:p>
    <w:p w14:paraId="451C5640" w14:textId="7B07F840" w:rsidR="00E22A9B" w:rsidRPr="00E35E48" w:rsidRDefault="00904EFD" w:rsidP="00BC6916">
      <w:pPr>
        <w:numPr>
          <w:ilvl w:val="0"/>
          <w:numId w:val="1"/>
        </w:numPr>
        <w:tabs>
          <w:tab w:val="clear" w:pos="720"/>
        </w:tabs>
        <w:spacing w:after="120"/>
        <w:ind w:left="709" w:hanging="709"/>
        <w:rPr>
          <w:rFonts w:ascii="Arial" w:hAnsi="Arial" w:cs="Arial"/>
          <w:color w:val="000000"/>
          <w:sz w:val="22"/>
          <w:szCs w:val="22"/>
        </w:rPr>
      </w:pPr>
      <w:r w:rsidRPr="00405FC6">
        <w:rPr>
          <w:rFonts w:ascii="Arial" w:hAnsi="Arial" w:cs="Arial"/>
          <w:color w:val="000000"/>
          <w:sz w:val="22"/>
          <w:szCs w:val="22"/>
        </w:rPr>
        <w:t>T</w:t>
      </w:r>
      <w:r w:rsidR="00E22A9B" w:rsidRPr="00405FC6">
        <w:rPr>
          <w:rFonts w:ascii="Arial" w:hAnsi="Arial" w:cs="Arial"/>
          <w:color w:val="000000"/>
          <w:sz w:val="22"/>
          <w:szCs w:val="22"/>
        </w:rPr>
        <w:t xml:space="preserve">he </w:t>
      </w:r>
      <w:r w:rsidR="00884209" w:rsidRPr="00405FC6">
        <w:rPr>
          <w:rFonts w:ascii="Arial" w:hAnsi="Arial" w:cs="Arial"/>
          <w:color w:val="000000"/>
          <w:sz w:val="22"/>
          <w:szCs w:val="22"/>
        </w:rPr>
        <w:t>director ID</w:t>
      </w:r>
      <w:r w:rsidR="00E22A9B" w:rsidRPr="00405FC6">
        <w:rPr>
          <w:rFonts w:ascii="Arial" w:hAnsi="Arial" w:cs="Arial"/>
          <w:color w:val="000000"/>
          <w:sz w:val="22"/>
          <w:szCs w:val="22"/>
        </w:rPr>
        <w:t xml:space="preserve"> will provide traceability of a </w:t>
      </w:r>
      <w:r w:rsidR="005026D4" w:rsidRPr="00405FC6">
        <w:rPr>
          <w:rFonts w:ascii="Arial" w:hAnsi="Arial" w:cs="Arial"/>
          <w:color w:val="000000"/>
          <w:sz w:val="22"/>
          <w:szCs w:val="22"/>
        </w:rPr>
        <w:t>d</w:t>
      </w:r>
      <w:r w:rsidR="001D78F9" w:rsidRPr="00405FC6">
        <w:rPr>
          <w:rFonts w:ascii="Arial" w:hAnsi="Arial" w:cs="Arial"/>
          <w:color w:val="000000"/>
          <w:sz w:val="22"/>
          <w:szCs w:val="22"/>
        </w:rPr>
        <w:t>irector</w:t>
      </w:r>
      <w:r w:rsidR="00E22A9B" w:rsidRPr="00405FC6">
        <w:rPr>
          <w:rFonts w:ascii="Arial" w:hAnsi="Arial" w:cs="Arial"/>
          <w:color w:val="000000"/>
          <w:sz w:val="22"/>
          <w:szCs w:val="22"/>
        </w:rPr>
        <w:t xml:space="preserve">’s relationships across companies, </w:t>
      </w:r>
      <w:r w:rsidR="00E22A9B" w:rsidRPr="00E35E48">
        <w:rPr>
          <w:rFonts w:ascii="Arial" w:hAnsi="Arial" w:cs="Arial"/>
          <w:color w:val="000000"/>
          <w:sz w:val="22"/>
          <w:szCs w:val="22"/>
        </w:rPr>
        <w:t xml:space="preserve">enabling better tracking of </w:t>
      </w:r>
      <w:r w:rsidR="005026D4" w:rsidRPr="00E35E48">
        <w:rPr>
          <w:rFonts w:ascii="Arial" w:hAnsi="Arial" w:cs="Arial"/>
          <w:color w:val="000000"/>
          <w:sz w:val="22"/>
          <w:szCs w:val="22"/>
        </w:rPr>
        <w:t>d</w:t>
      </w:r>
      <w:r w:rsidR="001D78F9" w:rsidRPr="00E35E48">
        <w:rPr>
          <w:rFonts w:ascii="Arial" w:hAnsi="Arial" w:cs="Arial"/>
          <w:color w:val="000000"/>
          <w:sz w:val="22"/>
          <w:szCs w:val="22"/>
        </w:rPr>
        <w:t>irector</w:t>
      </w:r>
      <w:r w:rsidR="00E22A9B" w:rsidRPr="00E35E48">
        <w:rPr>
          <w:rFonts w:ascii="Arial" w:hAnsi="Arial" w:cs="Arial"/>
          <w:color w:val="000000"/>
          <w:sz w:val="22"/>
          <w:szCs w:val="22"/>
        </w:rPr>
        <w:t>s and prevent</w:t>
      </w:r>
      <w:r w:rsidR="000A141A" w:rsidRPr="00E35E48">
        <w:rPr>
          <w:rFonts w:ascii="Arial" w:hAnsi="Arial" w:cs="Arial"/>
          <w:color w:val="000000"/>
          <w:sz w:val="22"/>
          <w:szCs w:val="22"/>
        </w:rPr>
        <w:t>ing</w:t>
      </w:r>
      <w:r w:rsidR="00E22A9B" w:rsidRPr="00E35E48">
        <w:rPr>
          <w:rFonts w:ascii="Arial" w:hAnsi="Arial" w:cs="Arial"/>
          <w:color w:val="000000"/>
          <w:sz w:val="22"/>
          <w:szCs w:val="22"/>
        </w:rPr>
        <w:t xml:space="preserve"> the use of fictitious identities. This will assist regulators and external administrators to investigate a </w:t>
      </w:r>
      <w:r w:rsidR="005026D4" w:rsidRPr="00E35E48">
        <w:rPr>
          <w:rFonts w:ascii="Arial" w:hAnsi="Arial" w:cs="Arial"/>
          <w:color w:val="000000"/>
          <w:sz w:val="22"/>
          <w:szCs w:val="22"/>
        </w:rPr>
        <w:t>d</w:t>
      </w:r>
      <w:r w:rsidR="001D78F9" w:rsidRPr="00E35E48">
        <w:rPr>
          <w:rFonts w:ascii="Arial" w:hAnsi="Arial" w:cs="Arial"/>
          <w:color w:val="000000"/>
          <w:sz w:val="22"/>
          <w:szCs w:val="22"/>
        </w:rPr>
        <w:t>irector</w:t>
      </w:r>
      <w:r w:rsidR="00E22A9B" w:rsidRPr="00E35E48">
        <w:rPr>
          <w:rFonts w:ascii="Arial" w:hAnsi="Arial" w:cs="Arial"/>
          <w:color w:val="000000"/>
          <w:sz w:val="22"/>
          <w:szCs w:val="22"/>
        </w:rPr>
        <w:t>’s involvement in what may be repeated unlawful activity including illegal phoenix activity.</w:t>
      </w:r>
    </w:p>
    <w:p w14:paraId="173AAA85" w14:textId="1C87FD04" w:rsidR="00E35E48" w:rsidRPr="00E35E48" w:rsidRDefault="00E35E48" w:rsidP="00E35E48">
      <w:pPr>
        <w:numPr>
          <w:ilvl w:val="0"/>
          <w:numId w:val="1"/>
        </w:numPr>
        <w:tabs>
          <w:tab w:val="clear" w:pos="720"/>
        </w:tabs>
        <w:spacing w:after="120"/>
        <w:ind w:left="709" w:hanging="709"/>
        <w:rPr>
          <w:rFonts w:ascii="Arial" w:hAnsi="Arial" w:cs="Arial"/>
          <w:color w:val="000000"/>
          <w:sz w:val="22"/>
          <w:szCs w:val="22"/>
        </w:rPr>
      </w:pPr>
      <w:r w:rsidRPr="00E35E48">
        <w:rPr>
          <w:rFonts w:ascii="Arial" w:hAnsi="Arial" w:cs="Arial"/>
          <w:sz w:val="22"/>
          <w:szCs w:val="22"/>
        </w:rPr>
        <w:lastRenderedPageBreak/>
        <w:t>The Digital Transformation Agency (DTA) digital service standard</w:t>
      </w:r>
      <w:r w:rsidR="00BA7CCD">
        <w:rPr>
          <w:rFonts w:ascii="Arial" w:hAnsi="Arial" w:cs="Arial"/>
          <w:sz w:val="22"/>
          <w:szCs w:val="22"/>
        </w:rPr>
        <w:t>s</w:t>
      </w:r>
      <w:r w:rsidRPr="00E35E48">
        <w:rPr>
          <w:rFonts w:ascii="Arial" w:hAnsi="Arial" w:cs="Arial"/>
          <w:sz w:val="22"/>
          <w:szCs w:val="22"/>
        </w:rPr>
        <w:t xml:space="preserve"> provides that government agencies </w:t>
      </w:r>
      <w:r w:rsidR="008439F3">
        <w:rPr>
          <w:rFonts w:ascii="Arial" w:hAnsi="Arial" w:cs="Arial"/>
          <w:sz w:val="22"/>
          <w:szCs w:val="22"/>
        </w:rPr>
        <w:t>are required to</w:t>
      </w:r>
      <w:r w:rsidR="008439F3" w:rsidRPr="00E35E48">
        <w:rPr>
          <w:rFonts w:ascii="Arial" w:hAnsi="Arial" w:cs="Arial"/>
          <w:sz w:val="22"/>
          <w:szCs w:val="22"/>
        </w:rPr>
        <w:t xml:space="preserve"> </w:t>
      </w:r>
      <w:r w:rsidRPr="00E35E48">
        <w:rPr>
          <w:rFonts w:ascii="Arial" w:hAnsi="Arial" w:cs="Arial"/>
          <w:sz w:val="22"/>
          <w:szCs w:val="22"/>
        </w:rPr>
        <w:t>test</w:t>
      </w:r>
      <w:r w:rsidR="006B1EBE">
        <w:rPr>
          <w:rFonts w:ascii="Arial" w:hAnsi="Arial" w:cs="Arial"/>
          <w:sz w:val="22"/>
          <w:szCs w:val="22"/>
        </w:rPr>
        <w:t xml:space="preserve"> systems </w:t>
      </w:r>
      <w:r w:rsidRPr="00E35E48">
        <w:rPr>
          <w:rFonts w:ascii="Arial" w:hAnsi="Arial" w:cs="Arial"/>
          <w:sz w:val="22"/>
          <w:szCs w:val="22"/>
        </w:rPr>
        <w:t xml:space="preserve">from end to end in an environment that replicates the live environment </w:t>
      </w:r>
      <w:r w:rsidR="006B1EBE">
        <w:rPr>
          <w:rFonts w:ascii="Arial" w:hAnsi="Arial" w:cs="Arial"/>
          <w:sz w:val="22"/>
          <w:szCs w:val="22"/>
        </w:rPr>
        <w:t>prior to</w:t>
      </w:r>
      <w:r w:rsidRPr="00E35E48">
        <w:rPr>
          <w:rFonts w:ascii="Arial" w:hAnsi="Arial" w:cs="Arial"/>
          <w:sz w:val="22"/>
          <w:szCs w:val="22"/>
        </w:rPr>
        <w:t xml:space="preserve"> a system/service </w:t>
      </w:r>
      <w:r w:rsidR="00BF1EF4">
        <w:rPr>
          <w:rFonts w:ascii="Arial" w:hAnsi="Arial" w:cs="Arial"/>
          <w:sz w:val="22"/>
          <w:szCs w:val="22"/>
        </w:rPr>
        <w:t>becoming</w:t>
      </w:r>
      <w:r w:rsidRPr="00E35E48">
        <w:rPr>
          <w:rFonts w:ascii="Arial" w:hAnsi="Arial" w:cs="Arial"/>
          <w:sz w:val="22"/>
          <w:szCs w:val="22"/>
        </w:rPr>
        <w:t xml:space="preserve"> </w:t>
      </w:r>
      <w:r w:rsidR="0083036A">
        <w:rPr>
          <w:rFonts w:ascii="Arial" w:hAnsi="Arial" w:cs="Arial"/>
          <w:sz w:val="22"/>
          <w:szCs w:val="22"/>
        </w:rPr>
        <w:t xml:space="preserve">available to the public </w:t>
      </w:r>
      <w:r w:rsidR="006B1EBE">
        <w:rPr>
          <w:rFonts w:ascii="Arial" w:hAnsi="Arial" w:cs="Arial"/>
          <w:sz w:val="22"/>
          <w:szCs w:val="22"/>
        </w:rPr>
        <w:t>in order</w:t>
      </w:r>
      <w:r w:rsidRPr="00E35E48">
        <w:rPr>
          <w:rFonts w:ascii="Arial" w:hAnsi="Arial" w:cs="Arial"/>
          <w:sz w:val="22"/>
          <w:szCs w:val="22"/>
        </w:rPr>
        <w:t xml:space="preserve"> to </w:t>
      </w:r>
      <w:r w:rsidR="0083036A">
        <w:rPr>
          <w:rFonts w:ascii="Arial" w:hAnsi="Arial" w:cs="Arial"/>
          <w:sz w:val="22"/>
          <w:szCs w:val="22"/>
        </w:rPr>
        <w:t>identify and resolve</w:t>
      </w:r>
      <w:r w:rsidR="0083036A" w:rsidRPr="00E35E48">
        <w:rPr>
          <w:rFonts w:ascii="Arial" w:hAnsi="Arial" w:cs="Arial"/>
          <w:sz w:val="22"/>
          <w:szCs w:val="22"/>
        </w:rPr>
        <w:t xml:space="preserve"> </w:t>
      </w:r>
      <w:r w:rsidR="006B1EBE">
        <w:rPr>
          <w:rFonts w:ascii="Arial" w:hAnsi="Arial" w:cs="Arial"/>
          <w:sz w:val="22"/>
          <w:szCs w:val="22"/>
        </w:rPr>
        <w:t xml:space="preserve">any </w:t>
      </w:r>
      <w:r w:rsidR="00453782">
        <w:rPr>
          <w:rFonts w:ascii="Arial" w:hAnsi="Arial" w:cs="Arial"/>
          <w:sz w:val="22"/>
          <w:szCs w:val="22"/>
        </w:rPr>
        <w:t>issues</w:t>
      </w:r>
      <w:r w:rsidRPr="00E35E48">
        <w:rPr>
          <w:rFonts w:ascii="Arial" w:hAnsi="Arial" w:cs="Arial"/>
          <w:sz w:val="22"/>
          <w:szCs w:val="22"/>
        </w:rPr>
        <w:t>.</w:t>
      </w:r>
    </w:p>
    <w:p w14:paraId="606DA3BD" w14:textId="4D760F0F" w:rsidR="00E35E48" w:rsidRPr="004B64E3" w:rsidRDefault="00E35E48" w:rsidP="007F72C5">
      <w:pPr>
        <w:numPr>
          <w:ilvl w:val="0"/>
          <w:numId w:val="1"/>
        </w:numPr>
        <w:tabs>
          <w:tab w:val="clear" w:pos="720"/>
        </w:tabs>
        <w:spacing w:after="120"/>
        <w:ind w:left="709" w:hanging="709"/>
        <w:rPr>
          <w:rFonts w:ascii="Arial" w:hAnsi="Arial" w:cs="Arial"/>
          <w:color w:val="000000"/>
          <w:sz w:val="22"/>
          <w:szCs w:val="22"/>
        </w:rPr>
      </w:pPr>
      <w:r w:rsidRPr="00E35E48">
        <w:rPr>
          <w:rFonts w:ascii="Arial" w:hAnsi="Arial" w:cs="Arial"/>
          <w:sz w:val="22"/>
          <w:szCs w:val="22"/>
        </w:rPr>
        <w:t xml:space="preserve">To this end the </w:t>
      </w:r>
      <w:r w:rsidR="00712EDE">
        <w:rPr>
          <w:rFonts w:ascii="Arial" w:hAnsi="Arial" w:cs="Arial"/>
          <w:sz w:val="22"/>
          <w:szCs w:val="22"/>
        </w:rPr>
        <w:t>R</w:t>
      </w:r>
      <w:r w:rsidR="0079082D">
        <w:rPr>
          <w:rFonts w:ascii="Arial" w:hAnsi="Arial" w:cs="Arial"/>
          <w:sz w:val="22"/>
          <w:szCs w:val="22"/>
        </w:rPr>
        <w:t>egistrar</w:t>
      </w:r>
      <w:r w:rsidRPr="00E35E48">
        <w:rPr>
          <w:rFonts w:ascii="Arial" w:hAnsi="Arial" w:cs="Arial"/>
          <w:sz w:val="22"/>
          <w:szCs w:val="22"/>
        </w:rPr>
        <w:t xml:space="preserve"> </w:t>
      </w:r>
      <w:r w:rsidR="00453782">
        <w:rPr>
          <w:rFonts w:ascii="Arial" w:hAnsi="Arial" w:cs="Arial"/>
          <w:sz w:val="22"/>
          <w:szCs w:val="22"/>
        </w:rPr>
        <w:t xml:space="preserve">will </w:t>
      </w:r>
      <w:r w:rsidR="007F72C5">
        <w:rPr>
          <w:rFonts w:ascii="Arial" w:hAnsi="Arial" w:cs="Arial"/>
          <w:sz w:val="22"/>
          <w:szCs w:val="22"/>
        </w:rPr>
        <w:t>conduct</w:t>
      </w:r>
      <w:r w:rsidRPr="00E35E48">
        <w:rPr>
          <w:rFonts w:ascii="Arial" w:hAnsi="Arial" w:cs="Arial"/>
          <w:sz w:val="22"/>
          <w:szCs w:val="22"/>
        </w:rPr>
        <w:t xml:space="preserve"> testing of the director ID </w:t>
      </w:r>
      <w:r w:rsidR="00453782">
        <w:rPr>
          <w:rFonts w:ascii="Arial" w:hAnsi="Arial" w:cs="Arial"/>
          <w:sz w:val="22"/>
          <w:szCs w:val="22"/>
        </w:rPr>
        <w:t>system</w:t>
      </w:r>
      <w:r w:rsidR="00453782" w:rsidRPr="00E35E48">
        <w:rPr>
          <w:rFonts w:ascii="Arial" w:hAnsi="Arial" w:cs="Arial"/>
          <w:sz w:val="22"/>
          <w:szCs w:val="22"/>
        </w:rPr>
        <w:t xml:space="preserve"> </w:t>
      </w:r>
      <w:r w:rsidRPr="00E35E48">
        <w:rPr>
          <w:rFonts w:ascii="Arial" w:hAnsi="Arial" w:cs="Arial"/>
          <w:sz w:val="22"/>
          <w:szCs w:val="22"/>
        </w:rPr>
        <w:t xml:space="preserve">in the live environment to </w:t>
      </w:r>
      <w:r w:rsidR="007F72C5">
        <w:rPr>
          <w:rFonts w:ascii="Arial" w:hAnsi="Arial" w:cs="Arial"/>
          <w:sz w:val="22"/>
          <w:szCs w:val="22"/>
        </w:rPr>
        <w:t xml:space="preserve">ensure </w:t>
      </w:r>
      <w:r w:rsidR="008439F3">
        <w:rPr>
          <w:rFonts w:ascii="Arial" w:hAnsi="Arial" w:cs="Arial"/>
          <w:sz w:val="22"/>
          <w:szCs w:val="22"/>
        </w:rPr>
        <w:t xml:space="preserve">the new platform </w:t>
      </w:r>
      <w:r w:rsidR="007F72C5">
        <w:rPr>
          <w:rFonts w:ascii="Arial" w:hAnsi="Arial" w:cs="Arial"/>
          <w:sz w:val="22"/>
          <w:szCs w:val="22"/>
        </w:rPr>
        <w:t>delivers a</w:t>
      </w:r>
      <w:r w:rsidRPr="00E35E48">
        <w:rPr>
          <w:rFonts w:ascii="Arial" w:hAnsi="Arial" w:cs="Arial"/>
          <w:sz w:val="22"/>
          <w:szCs w:val="22"/>
        </w:rPr>
        <w:t xml:space="preserve"> robust, reliable and consistent user experience. </w:t>
      </w:r>
      <w:r w:rsidR="00C77930">
        <w:rPr>
          <w:rFonts w:ascii="Arial" w:hAnsi="Arial" w:cs="Arial"/>
          <w:sz w:val="22"/>
          <w:szCs w:val="22"/>
        </w:rPr>
        <w:t xml:space="preserve"> During this testing period</w:t>
      </w:r>
      <w:r w:rsidR="00EA037D">
        <w:rPr>
          <w:rFonts w:ascii="Arial" w:hAnsi="Arial" w:cs="Arial"/>
          <w:sz w:val="22"/>
          <w:szCs w:val="22"/>
        </w:rPr>
        <w:t xml:space="preserve"> the director ID application system will not be available publicly and</w:t>
      </w:r>
      <w:r w:rsidR="00C77930">
        <w:rPr>
          <w:rFonts w:ascii="Arial" w:hAnsi="Arial" w:cs="Arial"/>
          <w:sz w:val="22"/>
          <w:szCs w:val="22"/>
        </w:rPr>
        <w:t xml:space="preserve"> </w:t>
      </w:r>
      <w:r w:rsidR="004C2795">
        <w:rPr>
          <w:rFonts w:ascii="Arial" w:hAnsi="Arial" w:cs="Arial"/>
          <w:sz w:val="22"/>
          <w:szCs w:val="22"/>
        </w:rPr>
        <w:t>a controlled</w:t>
      </w:r>
      <w:r w:rsidR="00C77930">
        <w:rPr>
          <w:rFonts w:ascii="Arial" w:hAnsi="Arial" w:cs="Arial"/>
          <w:sz w:val="22"/>
          <w:szCs w:val="22"/>
        </w:rPr>
        <w:t xml:space="preserve"> number of existing directors will be invited by the Registrar</w:t>
      </w:r>
      <w:r w:rsidR="00EA037D">
        <w:rPr>
          <w:rFonts w:ascii="Arial" w:hAnsi="Arial" w:cs="Arial"/>
          <w:sz w:val="22"/>
          <w:szCs w:val="22"/>
        </w:rPr>
        <w:t xml:space="preserve"> to participate in testing the director ID application system.</w:t>
      </w:r>
    </w:p>
    <w:p w14:paraId="7A7D8C24" w14:textId="563D2E2F" w:rsidR="0083036A" w:rsidRDefault="0083036A" w:rsidP="007F72C5">
      <w:pPr>
        <w:numPr>
          <w:ilvl w:val="0"/>
          <w:numId w:val="1"/>
        </w:numPr>
        <w:tabs>
          <w:tab w:val="clear" w:pos="720"/>
        </w:tabs>
        <w:spacing w:after="120"/>
        <w:ind w:left="709" w:hanging="709"/>
        <w:rPr>
          <w:rFonts w:ascii="Arial" w:hAnsi="Arial" w:cs="Arial"/>
          <w:color w:val="000000"/>
          <w:sz w:val="22"/>
          <w:szCs w:val="22"/>
        </w:rPr>
      </w:pPr>
      <w:r>
        <w:rPr>
          <w:rFonts w:ascii="Arial" w:hAnsi="Arial" w:cs="Arial"/>
          <w:sz w:val="22"/>
          <w:szCs w:val="22"/>
        </w:rPr>
        <w:t>For the purpose of this instrument the testing period will:</w:t>
      </w:r>
    </w:p>
    <w:p w14:paraId="04219838" w14:textId="08FF6D8E" w:rsidR="0083036A" w:rsidRDefault="0083036A" w:rsidP="00B86F9E">
      <w:pPr>
        <w:numPr>
          <w:ilvl w:val="1"/>
          <w:numId w:val="1"/>
        </w:numPr>
        <w:spacing w:after="120"/>
        <w:rPr>
          <w:rFonts w:ascii="Arial" w:hAnsi="Arial" w:cs="Arial"/>
          <w:color w:val="000000"/>
          <w:sz w:val="22"/>
          <w:szCs w:val="22"/>
        </w:rPr>
      </w:pPr>
      <w:r>
        <w:rPr>
          <w:rFonts w:ascii="Arial" w:hAnsi="Arial" w:cs="Arial"/>
          <w:color w:val="000000"/>
          <w:sz w:val="22"/>
          <w:szCs w:val="22"/>
        </w:rPr>
        <w:t>begin on the commencement of the director ID provision in the Act, and</w:t>
      </w:r>
    </w:p>
    <w:p w14:paraId="4A1A8FDE" w14:textId="4D3B0DEF" w:rsidR="0083036A" w:rsidRPr="007F72C5" w:rsidRDefault="0083036A" w:rsidP="004B64E3">
      <w:pPr>
        <w:numPr>
          <w:ilvl w:val="1"/>
          <w:numId w:val="1"/>
        </w:numPr>
        <w:spacing w:after="120"/>
        <w:rPr>
          <w:rFonts w:ascii="Arial" w:hAnsi="Arial" w:cs="Arial"/>
          <w:color w:val="000000"/>
          <w:sz w:val="22"/>
          <w:szCs w:val="22"/>
        </w:rPr>
      </w:pPr>
      <w:r>
        <w:rPr>
          <w:rFonts w:ascii="Arial" w:hAnsi="Arial" w:cs="Arial"/>
          <w:color w:val="000000"/>
          <w:sz w:val="22"/>
          <w:szCs w:val="22"/>
        </w:rPr>
        <w:t>end 31 October 2021.</w:t>
      </w:r>
    </w:p>
    <w:p w14:paraId="29EC79D7" w14:textId="00D52BE7" w:rsidR="00E35E48" w:rsidRPr="00E35E48" w:rsidRDefault="00453782" w:rsidP="00E35E48">
      <w:pPr>
        <w:numPr>
          <w:ilvl w:val="0"/>
          <w:numId w:val="1"/>
        </w:numPr>
        <w:tabs>
          <w:tab w:val="clear" w:pos="720"/>
        </w:tabs>
        <w:spacing w:after="120"/>
        <w:ind w:left="709" w:hanging="709"/>
        <w:rPr>
          <w:rFonts w:ascii="Arial" w:hAnsi="Arial" w:cs="Arial"/>
          <w:color w:val="000000"/>
          <w:sz w:val="22"/>
          <w:szCs w:val="22"/>
        </w:rPr>
      </w:pPr>
      <w:r>
        <w:rPr>
          <w:rFonts w:ascii="Arial" w:hAnsi="Arial" w:cs="Arial"/>
          <w:sz w:val="22"/>
          <w:szCs w:val="22"/>
        </w:rPr>
        <w:t>To conduct the</w:t>
      </w:r>
      <w:r w:rsidR="00E35E48" w:rsidRPr="00E35E48">
        <w:rPr>
          <w:rFonts w:ascii="Arial" w:hAnsi="Arial" w:cs="Arial"/>
          <w:sz w:val="22"/>
          <w:szCs w:val="22"/>
        </w:rPr>
        <w:t xml:space="preserve"> end to end testing</w:t>
      </w:r>
      <w:r>
        <w:rPr>
          <w:rFonts w:ascii="Arial" w:hAnsi="Arial" w:cs="Arial"/>
          <w:sz w:val="22"/>
          <w:szCs w:val="22"/>
        </w:rPr>
        <w:t xml:space="preserve"> of director ID</w:t>
      </w:r>
      <w:r w:rsidR="00E35E48" w:rsidRPr="00E35E48">
        <w:rPr>
          <w:rFonts w:ascii="Arial" w:hAnsi="Arial" w:cs="Arial"/>
          <w:sz w:val="22"/>
          <w:szCs w:val="22"/>
        </w:rPr>
        <w:t xml:space="preserve"> in a live environment</w:t>
      </w:r>
      <w:r w:rsidR="004C2795">
        <w:rPr>
          <w:rFonts w:ascii="Arial" w:hAnsi="Arial" w:cs="Arial"/>
          <w:sz w:val="22"/>
          <w:szCs w:val="22"/>
        </w:rPr>
        <w:t xml:space="preserve"> </w:t>
      </w:r>
      <w:r>
        <w:rPr>
          <w:rFonts w:ascii="Arial" w:hAnsi="Arial" w:cs="Arial"/>
          <w:sz w:val="22"/>
          <w:szCs w:val="22"/>
        </w:rPr>
        <w:t xml:space="preserve">it is essential that </w:t>
      </w:r>
      <w:r w:rsidR="00E35E48" w:rsidRPr="00E35E48">
        <w:rPr>
          <w:rFonts w:ascii="Arial" w:hAnsi="Arial" w:cs="Arial"/>
          <w:sz w:val="22"/>
          <w:szCs w:val="22"/>
        </w:rPr>
        <w:t xml:space="preserve">the director ID provisions in the </w:t>
      </w:r>
      <w:r w:rsidR="00E35E48" w:rsidRPr="00566EA5">
        <w:rPr>
          <w:rFonts w:ascii="Arial" w:hAnsi="Arial" w:cs="Arial"/>
          <w:sz w:val="22"/>
          <w:szCs w:val="22"/>
        </w:rPr>
        <w:t>Act</w:t>
      </w:r>
      <w:r w:rsidR="00E35E48" w:rsidRPr="00E35E48">
        <w:rPr>
          <w:rFonts w:ascii="Arial" w:hAnsi="Arial" w:cs="Arial"/>
          <w:i/>
          <w:iCs/>
          <w:sz w:val="22"/>
          <w:szCs w:val="22"/>
        </w:rPr>
        <w:t xml:space="preserve"> </w:t>
      </w:r>
      <w:r w:rsidR="00E35E48" w:rsidRPr="00E35E48">
        <w:rPr>
          <w:rFonts w:ascii="Arial" w:hAnsi="Arial" w:cs="Arial"/>
          <w:sz w:val="22"/>
          <w:szCs w:val="22"/>
        </w:rPr>
        <w:t>have commenced</w:t>
      </w:r>
      <w:r>
        <w:rPr>
          <w:rFonts w:ascii="Arial" w:hAnsi="Arial" w:cs="Arial"/>
          <w:sz w:val="22"/>
          <w:szCs w:val="22"/>
        </w:rPr>
        <w:t xml:space="preserve"> in order for the Registrar to have legislative basis to process applications and issue a valid director ID</w:t>
      </w:r>
      <w:r w:rsidR="004C2795">
        <w:rPr>
          <w:rFonts w:ascii="Arial" w:hAnsi="Arial" w:cs="Arial"/>
          <w:sz w:val="22"/>
          <w:szCs w:val="22"/>
        </w:rPr>
        <w:t xml:space="preserve"> to those participating</w:t>
      </w:r>
      <w:r w:rsidR="00E35E48" w:rsidRPr="00E35E48">
        <w:rPr>
          <w:rFonts w:ascii="Arial" w:hAnsi="Arial" w:cs="Arial"/>
          <w:sz w:val="22"/>
          <w:szCs w:val="22"/>
        </w:rPr>
        <w:t xml:space="preserve">. </w:t>
      </w:r>
    </w:p>
    <w:p w14:paraId="2EEAE35B" w14:textId="6FFBA1AC" w:rsidR="00E35E48" w:rsidRPr="00E35E48" w:rsidRDefault="00453782" w:rsidP="00E35E48">
      <w:pPr>
        <w:numPr>
          <w:ilvl w:val="0"/>
          <w:numId w:val="1"/>
        </w:numPr>
        <w:tabs>
          <w:tab w:val="clear" w:pos="720"/>
        </w:tabs>
        <w:spacing w:after="120"/>
        <w:ind w:left="709" w:hanging="709"/>
        <w:rPr>
          <w:rFonts w:ascii="Arial" w:hAnsi="Arial" w:cs="Arial"/>
          <w:color w:val="000000"/>
          <w:sz w:val="22"/>
          <w:szCs w:val="22"/>
        </w:rPr>
      </w:pPr>
      <w:r>
        <w:rPr>
          <w:rFonts w:ascii="Arial" w:hAnsi="Arial" w:cs="Arial"/>
          <w:sz w:val="22"/>
          <w:szCs w:val="22"/>
        </w:rPr>
        <w:t>However, t</w:t>
      </w:r>
      <w:r w:rsidR="00E35E48" w:rsidRPr="00E35E48">
        <w:rPr>
          <w:rFonts w:ascii="Arial" w:hAnsi="Arial" w:cs="Arial"/>
          <w:sz w:val="22"/>
          <w:szCs w:val="22"/>
        </w:rPr>
        <w:t xml:space="preserve">he commencement of the director ID provisions in the </w:t>
      </w:r>
      <w:r w:rsidR="00274A7F" w:rsidRPr="00566EA5">
        <w:rPr>
          <w:rFonts w:ascii="Arial" w:hAnsi="Arial" w:cs="Arial"/>
          <w:sz w:val="22"/>
          <w:szCs w:val="22"/>
        </w:rPr>
        <w:t>Act</w:t>
      </w:r>
      <w:r w:rsidR="00274A7F" w:rsidRPr="00E35E48">
        <w:rPr>
          <w:rFonts w:ascii="Arial" w:hAnsi="Arial" w:cs="Arial"/>
          <w:i/>
          <w:iCs/>
          <w:sz w:val="22"/>
          <w:szCs w:val="22"/>
        </w:rPr>
        <w:t xml:space="preserve"> </w:t>
      </w:r>
      <w:r w:rsidR="00E35E48" w:rsidRPr="00E35E48">
        <w:rPr>
          <w:rFonts w:ascii="Arial" w:hAnsi="Arial" w:cs="Arial"/>
          <w:sz w:val="22"/>
          <w:szCs w:val="22"/>
        </w:rPr>
        <w:t xml:space="preserve">starts the timeframe for when </w:t>
      </w:r>
      <w:r w:rsidR="002E076E">
        <w:rPr>
          <w:rFonts w:ascii="Arial" w:hAnsi="Arial" w:cs="Arial"/>
          <w:sz w:val="22"/>
          <w:szCs w:val="22"/>
        </w:rPr>
        <w:t>existing</w:t>
      </w:r>
      <w:r w:rsidR="002E076E" w:rsidRPr="00E35E48">
        <w:rPr>
          <w:rFonts w:ascii="Arial" w:hAnsi="Arial" w:cs="Arial"/>
          <w:sz w:val="22"/>
          <w:szCs w:val="22"/>
        </w:rPr>
        <w:t xml:space="preserve"> </w:t>
      </w:r>
      <w:r w:rsidR="00E35E48" w:rsidRPr="00E35E48">
        <w:rPr>
          <w:rFonts w:ascii="Arial" w:hAnsi="Arial" w:cs="Arial"/>
          <w:sz w:val="22"/>
          <w:szCs w:val="22"/>
        </w:rPr>
        <w:t xml:space="preserve">directors or newly appointed directors must </w:t>
      </w:r>
      <w:r>
        <w:rPr>
          <w:rFonts w:ascii="Arial" w:hAnsi="Arial" w:cs="Arial"/>
          <w:sz w:val="22"/>
          <w:szCs w:val="22"/>
        </w:rPr>
        <w:t>have</w:t>
      </w:r>
      <w:r w:rsidR="00E35E48" w:rsidRPr="00E35E48">
        <w:rPr>
          <w:rFonts w:ascii="Arial" w:hAnsi="Arial" w:cs="Arial"/>
          <w:sz w:val="22"/>
          <w:szCs w:val="22"/>
        </w:rPr>
        <w:t xml:space="preserve"> a director ID. These timeframes </w:t>
      </w:r>
      <w:r w:rsidR="00C77930">
        <w:rPr>
          <w:rFonts w:ascii="Arial" w:hAnsi="Arial" w:cs="Arial"/>
          <w:sz w:val="22"/>
          <w:szCs w:val="22"/>
        </w:rPr>
        <w:t>are</w:t>
      </w:r>
      <w:r w:rsidR="00E35E48" w:rsidRPr="00E35E48">
        <w:rPr>
          <w:rFonts w:ascii="Arial" w:hAnsi="Arial" w:cs="Arial"/>
          <w:sz w:val="22"/>
          <w:szCs w:val="22"/>
        </w:rPr>
        <w:t>:</w:t>
      </w:r>
    </w:p>
    <w:p w14:paraId="23575C13" w14:textId="706B155C" w:rsidR="00E35E48" w:rsidRPr="00E35E48" w:rsidRDefault="0083036A" w:rsidP="00E35E48">
      <w:pPr>
        <w:numPr>
          <w:ilvl w:val="1"/>
          <w:numId w:val="1"/>
        </w:numPr>
        <w:spacing w:after="120"/>
        <w:rPr>
          <w:rFonts w:ascii="Arial" w:hAnsi="Arial" w:cs="Arial"/>
          <w:color w:val="000000"/>
          <w:sz w:val="22"/>
          <w:szCs w:val="22"/>
        </w:rPr>
      </w:pPr>
      <w:r>
        <w:rPr>
          <w:rFonts w:ascii="Arial" w:hAnsi="Arial" w:cs="Arial"/>
          <w:b/>
          <w:bCs/>
          <w:i/>
          <w:iCs/>
          <w:sz w:val="22"/>
          <w:szCs w:val="22"/>
        </w:rPr>
        <w:t>Transitional period for exi</w:t>
      </w:r>
      <w:r w:rsidR="008439F3">
        <w:rPr>
          <w:rFonts w:ascii="Arial" w:hAnsi="Arial" w:cs="Arial"/>
          <w:b/>
          <w:bCs/>
          <w:i/>
          <w:iCs/>
          <w:sz w:val="22"/>
          <w:szCs w:val="22"/>
        </w:rPr>
        <w:t>s</w:t>
      </w:r>
      <w:r>
        <w:rPr>
          <w:rFonts w:ascii="Arial" w:hAnsi="Arial" w:cs="Arial"/>
          <w:b/>
          <w:bCs/>
          <w:i/>
          <w:iCs/>
          <w:sz w:val="22"/>
          <w:szCs w:val="22"/>
        </w:rPr>
        <w:t xml:space="preserve">ting directors: </w:t>
      </w:r>
      <w:r w:rsidR="00274A7F">
        <w:rPr>
          <w:rFonts w:ascii="Arial" w:hAnsi="Arial" w:cs="Arial"/>
          <w:sz w:val="22"/>
          <w:szCs w:val="22"/>
        </w:rPr>
        <w:t xml:space="preserve">for </w:t>
      </w:r>
      <w:r w:rsidR="00C77930">
        <w:rPr>
          <w:rFonts w:ascii="Arial" w:hAnsi="Arial" w:cs="Arial"/>
          <w:sz w:val="22"/>
          <w:szCs w:val="22"/>
        </w:rPr>
        <w:t>individual</w:t>
      </w:r>
      <w:r w:rsidR="00876B8D">
        <w:rPr>
          <w:rFonts w:ascii="Arial" w:hAnsi="Arial" w:cs="Arial"/>
          <w:sz w:val="22"/>
          <w:szCs w:val="22"/>
        </w:rPr>
        <w:t>s</w:t>
      </w:r>
      <w:r w:rsidR="00C77930">
        <w:rPr>
          <w:rFonts w:ascii="Arial" w:hAnsi="Arial" w:cs="Arial"/>
          <w:sz w:val="22"/>
          <w:szCs w:val="22"/>
        </w:rPr>
        <w:t xml:space="preserve"> who are a </w:t>
      </w:r>
      <w:r w:rsidR="00E35E48" w:rsidRPr="00E35E48">
        <w:rPr>
          <w:rFonts w:ascii="Arial" w:hAnsi="Arial" w:cs="Arial"/>
          <w:sz w:val="22"/>
          <w:szCs w:val="22"/>
        </w:rPr>
        <w:t xml:space="preserve">director </w:t>
      </w:r>
      <w:r w:rsidR="00C77930">
        <w:rPr>
          <w:rFonts w:ascii="Arial" w:hAnsi="Arial" w:cs="Arial"/>
          <w:sz w:val="22"/>
          <w:szCs w:val="22"/>
        </w:rPr>
        <w:t>prior to</w:t>
      </w:r>
      <w:r w:rsidR="00C77930" w:rsidRPr="00E35E48">
        <w:rPr>
          <w:rFonts w:ascii="Arial" w:hAnsi="Arial" w:cs="Arial"/>
          <w:sz w:val="22"/>
          <w:szCs w:val="22"/>
        </w:rPr>
        <w:t xml:space="preserve"> </w:t>
      </w:r>
      <w:r w:rsidR="00E35E48" w:rsidRPr="00E35E48">
        <w:rPr>
          <w:rFonts w:ascii="Arial" w:hAnsi="Arial" w:cs="Arial"/>
          <w:sz w:val="22"/>
          <w:szCs w:val="22"/>
        </w:rPr>
        <w:t>commencement</w:t>
      </w:r>
      <w:r w:rsidR="00C77930" w:rsidRPr="00C77930">
        <w:rPr>
          <w:rFonts w:ascii="Arial" w:hAnsi="Arial" w:cs="Arial"/>
          <w:sz w:val="22"/>
          <w:szCs w:val="22"/>
        </w:rPr>
        <w:t xml:space="preserve"> </w:t>
      </w:r>
      <w:r w:rsidR="00C77930" w:rsidRPr="00E35E48">
        <w:rPr>
          <w:rFonts w:ascii="Arial" w:hAnsi="Arial" w:cs="Arial"/>
          <w:sz w:val="22"/>
          <w:szCs w:val="22"/>
        </w:rPr>
        <w:t>of the director ID provisions</w:t>
      </w:r>
      <w:r w:rsidR="00C77930">
        <w:rPr>
          <w:rFonts w:ascii="Arial" w:hAnsi="Arial" w:cs="Arial"/>
          <w:sz w:val="22"/>
          <w:szCs w:val="22"/>
        </w:rPr>
        <w:t xml:space="preserve"> (existing directors)</w:t>
      </w:r>
      <w:r w:rsidR="00E35E48" w:rsidRPr="00E35E48">
        <w:rPr>
          <w:rFonts w:ascii="Arial" w:hAnsi="Arial" w:cs="Arial"/>
          <w:sz w:val="22"/>
          <w:szCs w:val="22"/>
        </w:rPr>
        <w:t xml:space="preserve"> – within </w:t>
      </w:r>
      <w:r w:rsidR="007B5ADE" w:rsidRPr="007B5ADE">
        <w:rPr>
          <w:rFonts w:ascii="Arial" w:hAnsi="Arial" w:cs="Arial"/>
          <w:bCs/>
          <w:sz w:val="22"/>
          <w:szCs w:val="22"/>
        </w:rPr>
        <w:t>the period the Minister specifies by legislative instrument</w:t>
      </w:r>
      <w:r w:rsidR="00C77930">
        <w:rPr>
          <w:rFonts w:ascii="Arial" w:hAnsi="Arial" w:cs="Arial"/>
          <w:bCs/>
          <w:sz w:val="22"/>
          <w:szCs w:val="22"/>
        </w:rPr>
        <w:t xml:space="preserve"> (transitional application period)</w:t>
      </w:r>
      <w:r w:rsidR="007B5ADE" w:rsidRPr="007B5ADE">
        <w:rPr>
          <w:rFonts w:ascii="Arial" w:hAnsi="Arial" w:cs="Arial"/>
          <w:bCs/>
          <w:sz w:val="22"/>
          <w:szCs w:val="22"/>
        </w:rPr>
        <w:t xml:space="preserve"> under subsection 1653(3) of the Act</w:t>
      </w:r>
      <w:r w:rsidR="00274A7F" w:rsidRPr="007B5ADE">
        <w:rPr>
          <w:rFonts w:ascii="Arial" w:hAnsi="Arial" w:cs="Arial"/>
          <w:sz w:val="22"/>
          <w:szCs w:val="22"/>
        </w:rPr>
        <w:t xml:space="preserve">; </w:t>
      </w:r>
      <w:r w:rsidR="00274A7F">
        <w:rPr>
          <w:rFonts w:ascii="Arial" w:hAnsi="Arial" w:cs="Arial"/>
          <w:sz w:val="22"/>
          <w:szCs w:val="22"/>
        </w:rPr>
        <w:t>and</w:t>
      </w:r>
    </w:p>
    <w:p w14:paraId="3DD78CF3" w14:textId="3A0CE5D5" w:rsidR="00E35E48" w:rsidRPr="004B64E3" w:rsidRDefault="0083036A" w:rsidP="00E35E48">
      <w:pPr>
        <w:numPr>
          <w:ilvl w:val="1"/>
          <w:numId w:val="1"/>
        </w:numPr>
        <w:spacing w:after="120"/>
        <w:rPr>
          <w:rFonts w:ascii="Arial" w:hAnsi="Arial" w:cs="Arial"/>
          <w:color w:val="000000"/>
          <w:sz w:val="22"/>
          <w:szCs w:val="22"/>
        </w:rPr>
      </w:pPr>
      <w:r>
        <w:rPr>
          <w:rFonts w:ascii="Arial" w:hAnsi="Arial" w:cs="Arial"/>
          <w:b/>
          <w:bCs/>
          <w:i/>
          <w:iCs/>
          <w:sz w:val="22"/>
          <w:szCs w:val="22"/>
        </w:rPr>
        <w:t>Transitional period for new directors</w:t>
      </w:r>
      <w:r>
        <w:rPr>
          <w:rFonts w:ascii="Arial" w:hAnsi="Arial" w:cs="Arial"/>
          <w:sz w:val="22"/>
          <w:szCs w:val="22"/>
        </w:rPr>
        <w:t xml:space="preserve"> </w:t>
      </w:r>
      <w:r w:rsidR="00274A7F">
        <w:rPr>
          <w:rFonts w:ascii="Arial" w:hAnsi="Arial" w:cs="Arial"/>
          <w:sz w:val="22"/>
          <w:szCs w:val="22"/>
        </w:rPr>
        <w:t>f</w:t>
      </w:r>
      <w:r w:rsidR="00E35E48" w:rsidRPr="00E35E48">
        <w:rPr>
          <w:rFonts w:ascii="Arial" w:hAnsi="Arial" w:cs="Arial"/>
          <w:sz w:val="22"/>
          <w:szCs w:val="22"/>
        </w:rPr>
        <w:t>or individuals</w:t>
      </w:r>
      <w:r w:rsidR="00C77930">
        <w:rPr>
          <w:rFonts w:ascii="Arial" w:hAnsi="Arial" w:cs="Arial"/>
          <w:sz w:val="22"/>
          <w:szCs w:val="22"/>
        </w:rPr>
        <w:t xml:space="preserve"> who are not a director prior to</w:t>
      </w:r>
      <w:r w:rsidR="00C77930" w:rsidRPr="00E35E48">
        <w:rPr>
          <w:rFonts w:ascii="Arial" w:hAnsi="Arial" w:cs="Arial"/>
          <w:sz w:val="22"/>
          <w:szCs w:val="22"/>
        </w:rPr>
        <w:t xml:space="preserve"> commencement</w:t>
      </w:r>
      <w:r w:rsidR="00C77930" w:rsidRPr="00C77930">
        <w:rPr>
          <w:rFonts w:ascii="Arial" w:hAnsi="Arial" w:cs="Arial"/>
          <w:sz w:val="22"/>
          <w:szCs w:val="22"/>
        </w:rPr>
        <w:t xml:space="preserve"> </w:t>
      </w:r>
      <w:r w:rsidR="00C77930" w:rsidRPr="00E35E48">
        <w:rPr>
          <w:rFonts w:ascii="Arial" w:hAnsi="Arial" w:cs="Arial"/>
          <w:sz w:val="22"/>
          <w:szCs w:val="22"/>
        </w:rPr>
        <w:t>of the director ID provisions</w:t>
      </w:r>
      <w:r w:rsidR="00C77930">
        <w:rPr>
          <w:rFonts w:ascii="Arial" w:hAnsi="Arial" w:cs="Arial"/>
          <w:sz w:val="22"/>
          <w:szCs w:val="22"/>
        </w:rPr>
        <w:t xml:space="preserve"> but are</w:t>
      </w:r>
      <w:r w:rsidR="00E35E48" w:rsidRPr="00E35E48">
        <w:rPr>
          <w:rFonts w:ascii="Arial" w:hAnsi="Arial" w:cs="Arial"/>
          <w:sz w:val="22"/>
          <w:szCs w:val="22"/>
        </w:rPr>
        <w:t xml:space="preserve"> appointed a</w:t>
      </w:r>
      <w:r w:rsidR="00274A7F">
        <w:rPr>
          <w:rFonts w:ascii="Arial" w:hAnsi="Arial" w:cs="Arial"/>
          <w:sz w:val="22"/>
          <w:szCs w:val="22"/>
        </w:rPr>
        <w:t>s a</w:t>
      </w:r>
      <w:r w:rsidR="00E35E48" w:rsidRPr="00E35E48">
        <w:rPr>
          <w:rFonts w:ascii="Arial" w:hAnsi="Arial" w:cs="Arial"/>
          <w:sz w:val="22"/>
          <w:szCs w:val="22"/>
        </w:rPr>
        <w:t xml:space="preserve"> director after commencement</w:t>
      </w:r>
      <w:r w:rsidR="00C77930">
        <w:rPr>
          <w:rFonts w:ascii="Arial" w:hAnsi="Arial" w:cs="Arial"/>
          <w:sz w:val="22"/>
          <w:szCs w:val="22"/>
        </w:rPr>
        <w:t xml:space="preserve"> (new directors)</w:t>
      </w:r>
      <w:r w:rsidR="008439F3">
        <w:rPr>
          <w:rFonts w:ascii="Arial" w:hAnsi="Arial" w:cs="Arial"/>
          <w:sz w:val="22"/>
          <w:szCs w:val="22"/>
        </w:rPr>
        <w:t xml:space="preserve"> </w:t>
      </w:r>
      <w:r w:rsidR="00274A7F">
        <w:rPr>
          <w:rFonts w:ascii="Arial" w:hAnsi="Arial" w:cs="Arial"/>
          <w:sz w:val="22"/>
          <w:szCs w:val="22"/>
        </w:rPr>
        <w:t>–</w:t>
      </w:r>
      <w:r w:rsidR="00E35E48" w:rsidRPr="00E35E48">
        <w:rPr>
          <w:rFonts w:ascii="Arial" w:hAnsi="Arial" w:cs="Arial"/>
          <w:sz w:val="22"/>
          <w:szCs w:val="22"/>
        </w:rPr>
        <w:t xml:space="preserve"> </w:t>
      </w:r>
      <w:r w:rsidR="00274A7F">
        <w:rPr>
          <w:rFonts w:ascii="Arial" w:hAnsi="Arial" w:cs="Arial"/>
          <w:sz w:val="22"/>
          <w:szCs w:val="22"/>
        </w:rPr>
        <w:t xml:space="preserve">within </w:t>
      </w:r>
      <w:r w:rsidR="00E35E48" w:rsidRPr="00E35E48">
        <w:rPr>
          <w:rFonts w:ascii="Arial" w:hAnsi="Arial" w:cs="Arial"/>
          <w:sz w:val="22"/>
          <w:szCs w:val="22"/>
        </w:rPr>
        <w:t>28 days of being appointed a director</w:t>
      </w:r>
      <w:r w:rsidR="00C77930">
        <w:rPr>
          <w:rFonts w:ascii="Arial" w:hAnsi="Arial" w:cs="Arial"/>
          <w:sz w:val="22"/>
          <w:szCs w:val="22"/>
        </w:rPr>
        <w:t xml:space="preserve"> for the first 12 months after the legislation commences</w:t>
      </w:r>
      <w:r w:rsidR="00E35E48" w:rsidRPr="00E35E48">
        <w:rPr>
          <w:rFonts w:ascii="Arial" w:hAnsi="Arial" w:cs="Arial"/>
          <w:sz w:val="22"/>
          <w:szCs w:val="22"/>
        </w:rPr>
        <w:t>.</w:t>
      </w:r>
    </w:p>
    <w:p w14:paraId="236549AD" w14:textId="70817059" w:rsidR="0083036A" w:rsidRPr="00E35E48" w:rsidRDefault="0083036A" w:rsidP="00E35E48">
      <w:pPr>
        <w:numPr>
          <w:ilvl w:val="1"/>
          <w:numId w:val="1"/>
        </w:numPr>
        <w:spacing w:after="120"/>
        <w:rPr>
          <w:rFonts w:ascii="Arial" w:hAnsi="Arial" w:cs="Arial"/>
          <w:color w:val="000000"/>
          <w:sz w:val="22"/>
          <w:szCs w:val="22"/>
        </w:rPr>
      </w:pPr>
      <w:r>
        <w:rPr>
          <w:rFonts w:ascii="Arial" w:hAnsi="Arial" w:cs="Arial"/>
          <w:b/>
          <w:bCs/>
          <w:i/>
          <w:iCs/>
          <w:color w:val="000000"/>
          <w:sz w:val="22"/>
          <w:szCs w:val="22"/>
        </w:rPr>
        <w:t>After the transitional period:</w:t>
      </w:r>
      <w:r>
        <w:rPr>
          <w:rFonts w:ascii="Arial" w:hAnsi="Arial" w:cs="Arial"/>
          <w:b/>
          <w:bCs/>
          <w:color w:val="000000"/>
          <w:sz w:val="22"/>
          <w:szCs w:val="22"/>
        </w:rPr>
        <w:t xml:space="preserve"> </w:t>
      </w:r>
      <w:r>
        <w:rPr>
          <w:rFonts w:ascii="Arial" w:hAnsi="Arial" w:cs="Arial"/>
          <w:color w:val="000000"/>
          <w:sz w:val="22"/>
          <w:szCs w:val="22"/>
        </w:rPr>
        <w:t>all individuals must have a director ID prior to their appointment as a director</w:t>
      </w:r>
      <w:r w:rsidR="00B86F9E">
        <w:rPr>
          <w:rFonts w:ascii="Arial" w:hAnsi="Arial" w:cs="Arial"/>
          <w:color w:val="000000"/>
          <w:sz w:val="22"/>
          <w:szCs w:val="22"/>
        </w:rPr>
        <w:t xml:space="preserve"> or such later period as may be allowed under the regulations or the Registrar.</w:t>
      </w:r>
    </w:p>
    <w:p w14:paraId="4A90E01E" w14:textId="743B7C30" w:rsidR="00E35E48" w:rsidRPr="004B64E3" w:rsidRDefault="004C2795" w:rsidP="00E35E48">
      <w:pPr>
        <w:numPr>
          <w:ilvl w:val="0"/>
          <w:numId w:val="1"/>
        </w:numPr>
        <w:tabs>
          <w:tab w:val="clear" w:pos="720"/>
        </w:tabs>
        <w:spacing w:after="120"/>
        <w:ind w:left="709" w:hanging="709"/>
        <w:rPr>
          <w:rFonts w:ascii="Arial" w:hAnsi="Arial" w:cs="Arial"/>
          <w:color w:val="000000"/>
          <w:sz w:val="22"/>
          <w:szCs w:val="22"/>
        </w:rPr>
      </w:pPr>
      <w:r>
        <w:rPr>
          <w:rFonts w:ascii="Arial" w:hAnsi="Arial" w:cs="Arial"/>
          <w:sz w:val="22"/>
          <w:szCs w:val="22"/>
        </w:rPr>
        <w:t xml:space="preserve">In order to ensure that new directors are not disadvantaged or exposed to the offence provision (for not having a director ID within the required timeframe) during the testing period the Registrar will extend the time in which these individuals are required to have a director ID. </w:t>
      </w:r>
    </w:p>
    <w:p w14:paraId="25AFD222" w14:textId="6796DDD3" w:rsidR="00BA7CCD" w:rsidRPr="00E35E48" w:rsidRDefault="00BA7CCD" w:rsidP="00E35E48">
      <w:pPr>
        <w:numPr>
          <w:ilvl w:val="0"/>
          <w:numId w:val="1"/>
        </w:numPr>
        <w:tabs>
          <w:tab w:val="clear" w:pos="720"/>
        </w:tabs>
        <w:spacing w:after="120"/>
        <w:ind w:left="709" w:hanging="709"/>
        <w:rPr>
          <w:rFonts w:ascii="Arial" w:hAnsi="Arial" w:cs="Arial"/>
          <w:color w:val="000000"/>
          <w:sz w:val="22"/>
          <w:szCs w:val="22"/>
        </w:rPr>
      </w:pPr>
      <w:r>
        <w:rPr>
          <w:rFonts w:ascii="Arial" w:hAnsi="Arial" w:cs="Arial"/>
          <w:color w:val="000000"/>
          <w:sz w:val="22"/>
          <w:szCs w:val="22"/>
        </w:rPr>
        <w:t>Specifically, this instrument provides that new directors appointed in testing period have until 30 November 2022 to obtain a director ID.</w:t>
      </w:r>
    </w:p>
    <w:p w14:paraId="72F9F677" w14:textId="5E2ACD5B" w:rsidR="00405FC6" w:rsidRPr="00E35E48" w:rsidRDefault="00CD3627" w:rsidP="00E35E48">
      <w:pPr>
        <w:numPr>
          <w:ilvl w:val="0"/>
          <w:numId w:val="1"/>
        </w:numPr>
        <w:tabs>
          <w:tab w:val="clear" w:pos="720"/>
        </w:tabs>
        <w:spacing w:after="120"/>
        <w:ind w:left="709" w:hanging="709"/>
        <w:rPr>
          <w:rFonts w:ascii="Arial" w:hAnsi="Arial" w:cs="Arial"/>
          <w:color w:val="000000"/>
          <w:sz w:val="22"/>
          <w:szCs w:val="22"/>
        </w:rPr>
      </w:pPr>
      <w:r>
        <w:rPr>
          <w:rFonts w:ascii="Arial" w:hAnsi="Arial" w:cs="Arial"/>
          <w:sz w:val="22"/>
          <w:szCs w:val="22"/>
        </w:rPr>
        <w:t>S</w:t>
      </w:r>
      <w:r w:rsidR="00405FC6" w:rsidRPr="00E35E48">
        <w:rPr>
          <w:rFonts w:ascii="Arial" w:hAnsi="Arial" w:cs="Arial"/>
          <w:sz w:val="22"/>
          <w:szCs w:val="22"/>
        </w:rPr>
        <w:t>ubsection 1272</w:t>
      </w:r>
      <w:proofErr w:type="gramStart"/>
      <w:r w:rsidR="00405FC6" w:rsidRPr="00E35E48">
        <w:rPr>
          <w:rFonts w:ascii="Arial" w:hAnsi="Arial" w:cs="Arial"/>
          <w:sz w:val="22"/>
          <w:szCs w:val="22"/>
        </w:rPr>
        <w:t>E(</w:t>
      </w:r>
      <w:proofErr w:type="gramEnd"/>
      <w:r w:rsidR="00405FC6" w:rsidRPr="00E35E48">
        <w:rPr>
          <w:rFonts w:ascii="Arial" w:hAnsi="Arial" w:cs="Arial"/>
          <w:sz w:val="22"/>
          <w:szCs w:val="22"/>
        </w:rPr>
        <w:t xml:space="preserve">2) of the </w:t>
      </w:r>
      <w:r w:rsidR="007F3E0C" w:rsidRPr="00566EA5">
        <w:rPr>
          <w:rFonts w:ascii="Arial" w:hAnsi="Arial" w:cs="Arial"/>
          <w:sz w:val="22"/>
          <w:szCs w:val="22"/>
        </w:rPr>
        <w:t>Act</w:t>
      </w:r>
      <w:r w:rsidR="007F3E0C" w:rsidRPr="00E35E48">
        <w:rPr>
          <w:rFonts w:ascii="Arial" w:hAnsi="Arial" w:cs="Arial"/>
          <w:i/>
          <w:iCs/>
          <w:sz w:val="22"/>
          <w:szCs w:val="22"/>
        </w:rPr>
        <w:t xml:space="preserve"> </w:t>
      </w:r>
      <w:r w:rsidR="00405FC6" w:rsidRPr="00E35E48">
        <w:rPr>
          <w:rFonts w:ascii="Arial" w:hAnsi="Arial" w:cs="Arial"/>
          <w:sz w:val="22"/>
          <w:szCs w:val="22"/>
        </w:rPr>
        <w:t>allows the Registrar to specify a longer time period to apply for a director ID number for a class of person by legislative instrument.</w:t>
      </w:r>
    </w:p>
    <w:p w14:paraId="2CFA84A3" w14:textId="1CA873AD" w:rsidR="00CE4448" w:rsidRPr="005D00BF" w:rsidRDefault="0032552B" w:rsidP="008439F3">
      <w:pPr>
        <w:keepLines/>
        <w:spacing w:after="120"/>
        <w:rPr>
          <w:rFonts w:ascii="Arial" w:hAnsi="Arial" w:cs="Arial"/>
          <w:sz w:val="22"/>
          <w:szCs w:val="22"/>
        </w:rPr>
      </w:pPr>
      <w:r>
        <w:rPr>
          <w:rFonts w:ascii="Arial" w:hAnsi="Arial"/>
          <w:sz w:val="22"/>
          <w:szCs w:val="22"/>
        </w:rPr>
        <w:t xml:space="preserve">   </w:t>
      </w:r>
    </w:p>
    <w:p w14:paraId="4E018611" w14:textId="102F6150" w:rsidR="00334F95" w:rsidRPr="00F13A65" w:rsidRDefault="00334F95" w:rsidP="00F13A65">
      <w:pPr>
        <w:spacing w:after="120"/>
        <w:rPr>
          <w:rFonts w:ascii="Arial" w:hAnsi="Arial" w:cs="Arial"/>
          <w:b/>
          <w:bCs/>
          <w:sz w:val="22"/>
          <w:szCs w:val="22"/>
        </w:rPr>
      </w:pPr>
      <w:r w:rsidRPr="00F13A65">
        <w:rPr>
          <w:rFonts w:ascii="Arial" w:hAnsi="Arial" w:cs="Arial"/>
          <w:b/>
          <w:bCs/>
          <w:sz w:val="22"/>
          <w:szCs w:val="22"/>
        </w:rPr>
        <w:t>Compliance Cost Impact</w:t>
      </w:r>
    </w:p>
    <w:p w14:paraId="2B812B8B" w14:textId="326B785E" w:rsidR="00334F95" w:rsidRPr="005242C6" w:rsidRDefault="005242C6" w:rsidP="00F13A65">
      <w:pPr>
        <w:numPr>
          <w:ilvl w:val="0"/>
          <w:numId w:val="1"/>
        </w:numPr>
        <w:tabs>
          <w:tab w:val="clear" w:pos="720"/>
        </w:tabs>
        <w:spacing w:after="120"/>
        <w:ind w:left="709" w:hanging="709"/>
        <w:rPr>
          <w:rFonts w:ascii="Arial" w:hAnsi="Arial" w:cs="Arial"/>
          <w:sz w:val="22"/>
          <w:szCs w:val="22"/>
        </w:rPr>
      </w:pPr>
      <w:r w:rsidRPr="005242C6">
        <w:rPr>
          <w:rFonts w:ascii="Arial" w:hAnsi="Arial" w:cs="Arial"/>
          <w:sz w:val="22"/>
          <w:szCs w:val="22"/>
        </w:rPr>
        <w:t>Compliance cost impact: The instrument is minor or machinery in nature. It implements</w:t>
      </w:r>
      <w:r>
        <w:rPr>
          <w:rFonts w:ascii="Arial" w:hAnsi="Arial" w:cs="Arial"/>
          <w:sz w:val="22"/>
          <w:szCs w:val="22"/>
        </w:rPr>
        <w:t xml:space="preserve"> </w:t>
      </w:r>
      <w:r w:rsidRPr="005242C6">
        <w:rPr>
          <w:rFonts w:ascii="Arial" w:hAnsi="Arial" w:cs="Arial"/>
          <w:sz w:val="22"/>
          <w:szCs w:val="22"/>
        </w:rPr>
        <w:t>certain procedural elements of a decision that has already be made by Government</w:t>
      </w:r>
      <w:r w:rsidR="00334F95" w:rsidRPr="005242C6">
        <w:rPr>
          <w:rFonts w:ascii="Arial" w:hAnsi="Arial" w:cs="Arial"/>
          <w:sz w:val="22"/>
          <w:szCs w:val="22"/>
        </w:rPr>
        <w:t>.</w:t>
      </w:r>
    </w:p>
    <w:p w14:paraId="78044850" w14:textId="77777777" w:rsidR="00334F95" w:rsidRPr="00334F95" w:rsidRDefault="00334F95" w:rsidP="00334F95">
      <w:pPr>
        <w:spacing w:after="120"/>
        <w:ind w:left="709"/>
        <w:rPr>
          <w:rFonts w:ascii="Arial" w:hAnsi="Arial" w:cs="Arial"/>
          <w:color w:val="000000"/>
          <w:sz w:val="22"/>
          <w:szCs w:val="22"/>
        </w:rPr>
      </w:pPr>
    </w:p>
    <w:p w14:paraId="475FF3BE" w14:textId="5E531E88" w:rsidR="00486653" w:rsidRPr="00B564B0" w:rsidRDefault="00E10B37" w:rsidP="00910595">
      <w:pPr>
        <w:pStyle w:val="Heading2"/>
      </w:pPr>
      <w:r w:rsidRPr="00B564B0">
        <w:t>Consultation</w:t>
      </w:r>
    </w:p>
    <w:p w14:paraId="4324210D" w14:textId="77777777" w:rsidR="005160D4" w:rsidRDefault="005160D4" w:rsidP="005160D4">
      <w:pPr>
        <w:numPr>
          <w:ilvl w:val="0"/>
          <w:numId w:val="1"/>
        </w:numPr>
        <w:tabs>
          <w:tab w:val="clear" w:pos="720"/>
        </w:tabs>
        <w:spacing w:before="120" w:after="120"/>
        <w:ind w:left="709" w:hanging="709"/>
        <w:rPr>
          <w:rFonts w:ascii="Arial" w:hAnsi="Arial" w:cs="Arial"/>
          <w:sz w:val="22"/>
          <w:szCs w:val="22"/>
        </w:rPr>
      </w:pPr>
      <w:r w:rsidRPr="0083610F">
        <w:rPr>
          <w:rFonts w:ascii="Arial" w:hAnsi="Arial" w:cs="Arial"/>
          <w:sz w:val="22"/>
          <w:szCs w:val="22"/>
        </w:rPr>
        <w:t>Subsection 17(1) of the Legislation</w:t>
      </w:r>
      <w:r w:rsidRPr="0083610F">
        <w:rPr>
          <w:rFonts w:ascii="Arial" w:hAnsi="Arial" w:cs="Arial"/>
          <w:i/>
          <w:iCs/>
          <w:sz w:val="22"/>
          <w:szCs w:val="22"/>
        </w:rPr>
        <w:t xml:space="preserve"> Act 2003</w:t>
      </w:r>
      <w:r w:rsidRPr="0083610F">
        <w:rPr>
          <w:rFonts w:ascii="Arial" w:hAnsi="Arial" w:cs="Arial"/>
          <w:sz w:val="22"/>
          <w:szCs w:val="22"/>
        </w:rPr>
        <w:t xml:space="preserve"> requires that the rule-maker undertake an appropriate level of consultation that is reasonably practicable to undertake before making a legislative instrument.</w:t>
      </w:r>
    </w:p>
    <w:p w14:paraId="5C14CAC2" w14:textId="6A26E093" w:rsidR="005160D4" w:rsidRDefault="005160D4" w:rsidP="005160D4">
      <w:pPr>
        <w:numPr>
          <w:ilvl w:val="0"/>
          <w:numId w:val="1"/>
        </w:numPr>
        <w:tabs>
          <w:tab w:val="clear" w:pos="720"/>
        </w:tabs>
        <w:spacing w:before="120" w:after="120"/>
        <w:ind w:left="709" w:hanging="709"/>
        <w:rPr>
          <w:rFonts w:ascii="Arial" w:hAnsi="Arial" w:cs="Arial"/>
          <w:color w:val="000000"/>
          <w:sz w:val="22"/>
          <w:szCs w:val="22"/>
        </w:rPr>
      </w:pPr>
      <w:r w:rsidRPr="009C17CC">
        <w:rPr>
          <w:rFonts w:ascii="Arial" w:hAnsi="Arial" w:cs="Arial"/>
          <w:color w:val="000000"/>
          <w:sz w:val="22"/>
          <w:szCs w:val="22"/>
        </w:rPr>
        <w:lastRenderedPageBreak/>
        <w:t xml:space="preserve">For this </w:t>
      </w:r>
      <w:r>
        <w:rPr>
          <w:rFonts w:ascii="Arial" w:hAnsi="Arial" w:cs="Arial"/>
          <w:color w:val="000000"/>
          <w:sz w:val="22"/>
          <w:szCs w:val="22"/>
        </w:rPr>
        <w:t>instrument</w:t>
      </w:r>
      <w:r w:rsidRPr="009C17CC">
        <w:rPr>
          <w:rFonts w:ascii="Arial" w:hAnsi="Arial" w:cs="Arial"/>
          <w:color w:val="000000"/>
          <w:sz w:val="22"/>
          <w:szCs w:val="22"/>
        </w:rPr>
        <w:t xml:space="preserve">, broad consultation was undertaken for a period of </w:t>
      </w:r>
      <w:r>
        <w:rPr>
          <w:rFonts w:ascii="Arial" w:hAnsi="Arial" w:cs="Arial"/>
          <w:color w:val="000000"/>
          <w:sz w:val="22"/>
          <w:szCs w:val="22"/>
        </w:rPr>
        <w:t>3</w:t>
      </w:r>
      <w:r w:rsidRPr="009C17CC">
        <w:rPr>
          <w:rFonts w:ascii="Arial" w:hAnsi="Arial" w:cs="Arial"/>
          <w:color w:val="000000"/>
          <w:sz w:val="22"/>
          <w:szCs w:val="22"/>
        </w:rPr>
        <w:t xml:space="preserve"> weeks commencing on </w:t>
      </w:r>
      <w:r>
        <w:rPr>
          <w:rFonts w:ascii="Arial" w:hAnsi="Arial" w:cs="Arial"/>
          <w:color w:val="000000"/>
          <w:sz w:val="22"/>
          <w:szCs w:val="22"/>
        </w:rPr>
        <w:t>29 March 2021</w:t>
      </w:r>
      <w:r w:rsidRPr="009C17CC">
        <w:rPr>
          <w:rFonts w:ascii="Arial" w:hAnsi="Arial" w:cs="Arial"/>
          <w:color w:val="000000"/>
          <w:sz w:val="22"/>
          <w:szCs w:val="22"/>
        </w:rPr>
        <w:t xml:space="preserve">. The draft </w:t>
      </w:r>
      <w:r>
        <w:rPr>
          <w:rFonts w:ascii="Arial" w:hAnsi="Arial" w:cs="Arial"/>
          <w:color w:val="000000"/>
          <w:sz w:val="22"/>
          <w:szCs w:val="22"/>
        </w:rPr>
        <w:t>instrument</w:t>
      </w:r>
      <w:r w:rsidRPr="009C17CC">
        <w:rPr>
          <w:rFonts w:ascii="Arial" w:hAnsi="Arial" w:cs="Arial"/>
          <w:color w:val="000000"/>
          <w:sz w:val="22"/>
          <w:szCs w:val="22"/>
        </w:rPr>
        <w:t xml:space="preserve"> and draft explanatory statement were published on the</w:t>
      </w:r>
      <w:r>
        <w:rPr>
          <w:rFonts w:ascii="Arial" w:hAnsi="Arial" w:cs="Arial"/>
          <w:color w:val="000000"/>
          <w:sz w:val="22"/>
          <w:szCs w:val="22"/>
        </w:rPr>
        <w:t xml:space="preserve"> Treasury website.</w:t>
      </w:r>
    </w:p>
    <w:p w14:paraId="475FF3D0" w14:textId="62B51391" w:rsidR="00240CFB" w:rsidRPr="005160D4" w:rsidRDefault="005160D4" w:rsidP="005160D4">
      <w:pPr>
        <w:numPr>
          <w:ilvl w:val="0"/>
          <w:numId w:val="1"/>
        </w:numPr>
        <w:tabs>
          <w:tab w:val="clear" w:pos="720"/>
        </w:tabs>
        <w:spacing w:after="120"/>
        <w:ind w:left="0" w:firstLine="0"/>
        <w:rPr>
          <w:rFonts w:ascii="Arial" w:hAnsi="Arial" w:cs="Arial"/>
          <w:sz w:val="22"/>
          <w:szCs w:val="22"/>
        </w:rPr>
      </w:pPr>
      <w:r>
        <w:rPr>
          <w:rFonts w:ascii="Arial" w:eastAsiaTheme="minorHAnsi" w:hAnsi="Arial" w:cs="Arial"/>
          <w:sz w:val="22"/>
          <w:szCs w:val="22"/>
          <w:lang w:eastAsia="en-US"/>
        </w:rPr>
        <w:t xml:space="preserve">There </w:t>
      </w:r>
      <w:r w:rsidRPr="00C376B5">
        <w:rPr>
          <w:rFonts w:ascii="Arial" w:eastAsiaTheme="minorHAnsi" w:hAnsi="Arial" w:cs="Arial"/>
          <w:sz w:val="22"/>
          <w:szCs w:val="22"/>
          <w:lang w:eastAsia="en-US"/>
        </w:rPr>
        <w:t>were 7</w:t>
      </w:r>
      <w:r>
        <w:rPr>
          <w:rFonts w:ascii="Arial" w:eastAsiaTheme="minorHAnsi" w:hAnsi="Arial" w:cs="Arial"/>
          <w:sz w:val="22"/>
          <w:szCs w:val="22"/>
          <w:lang w:eastAsia="en-US"/>
        </w:rPr>
        <w:t xml:space="preserve"> written</w:t>
      </w:r>
      <w:r w:rsidRPr="00C376B5">
        <w:rPr>
          <w:rFonts w:ascii="Arial" w:eastAsiaTheme="minorHAnsi" w:hAnsi="Arial" w:cs="Arial"/>
          <w:sz w:val="22"/>
          <w:szCs w:val="22"/>
          <w:lang w:eastAsia="en-US"/>
        </w:rPr>
        <w:t xml:space="preserve"> submissions received</w:t>
      </w:r>
      <w:r>
        <w:rPr>
          <w:rFonts w:ascii="Arial" w:eastAsiaTheme="minorHAnsi" w:hAnsi="Arial" w:cs="Arial"/>
          <w:sz w:val="22"/>
          <w:szCs w:val="22"/>
          <w:lang w:eastAsia="en-US"/>
        </w:rPr>
        <w:t xml:space="preserve"> from:</w:t>
      </w:r>
    </w:p>
    <w:p w14:paraId="26A1D85A" w14:textId="58D0EEBC" w:rsidR="005160D4" w:rsidRDefault="005160D4" w:rsidP="005160D4">
      <w:pPr>
        <w:numPr>
          <w:ilvl w:val="1"/>
          <w:numId w:val="1"/>
        </w:numPr>
        <w:spacing w:after="120"/>
        <w:rPr>
          <w:rFonts w:ascii="Arial" w:hAnsi="Arial" w:cs="Arial"/>
          <w:sz w:val="22"/>
          <w:szCs w:val="22"/>
        </w:rPr>
      </w:pPr>
      <w:r w:rsidRPr="005160D4">
        <w:rPr>
          <w:rFonts w:ascii="Arial" w:hAnsi="Arial" w:cs="Arial"/>
          <w:sz w:val="22"/>
          <w:szCs w:val="22"/>
        </w:rPr>
        <w:t>Australian Charities and Not-for-profits Commission</w:t>
      </w:r>
    </w:p>
    <w:p w14:paraId="48ADBB66" w14:textId="07216163" w:rsidR="005160D4" w:rsidRDefault="005160D4" w:rsidP="005160D4">
      <w:pPr>
        <w:numPr>
          <w:ilvl w:val="1"/>
          <w:numId w:val="1"/>
        </w:numPr>
        <w:spacing w:after="120"/>
        <w:rPr>
          <w:rFonts w:ascii="Arial" w:hAnsi="Arial" w:cs="Arial"/>
          <w:sz w:val="22"/>
          <w:szCs w:val="22"/>
        </w:rPr>
      </w:pPr>
      <w:r w:rsidRPr="005160D4">
        <w:rPr>
          <w:rFonts w:ascii="Arial" w:hAnsi="Arial" w:cs="Arial"/>
          <w:sz w:val="22"/>
          <w:szCs w:val="22"/>
        </w:rPr>
        <w:t>Australian Financial Markets Association</w:t>
      </w:r>
    </w:p>
    <w:p w14:paraId="633BFE10" w14:textId="75DAB2F2" w:rsidR="00F92BFC" w:rsidRDefault="005160D4" w:rsidP="00F92BFC">
      <w:pPr>
        <w:numPr>
          <w:ilvl w:val="1"/>
          <w:numId w:val="1"/>
        </w:numPr>
        <w:spacing w:after="120"/>
        <w:rPr>
          <w:rFonts w:ascii="Arial" w:hAnsi="Arial" w:cs="Arial"/>
          <w:sz w:val="22"/>
          <w:szCs w:val="22"/>
        </w:rPr>
      </w:pPr>
      <w:r w:rsidRPr="005160D4">
        <w:rPr>
          <w:rFonts w:ascii="Arial" w:hAnsi="Arial" w:cs="Arial"/>
          <w:sz w:val="22"/>
          <w:szCs w:val="22"/>
        </w:rPr>
        <w:t>Australian Institute of Company Directors</w:t>
      </w:r>
    </w:p>
    <w:p w14:paraId="620FE353" w14:textId="0C353F55" w:rsidR="00F92BFC" w:rsidRDefault="00F92BFC" w:rsidP="00F92BFC">
      <w:pPr>
        <w:numPr>
          <w:ilvl w:val="1"/>
          <w:numId w:val="1"/>
        </w:numPr>
        <w:spacing w:after="120"/>
        <w:rPr>
          <w:rFonts w:ascii="Arial" w:hAnsi="Arial" w:cs="Arial"/>
          <w:sz w:val="22"/>
          <w:szCs w:val="22"/>
        </w:rPr>
      </w:pPr>
      <w:r w:rsidRPr="00F92BFC">
        <w:rPr>
          <w:rFonts w:ascii="Arial" w:hAnsi="Arial" w:cs="Arial"/>
          <w:sz w:val="22"/>
          <w:szCs w:val="22"/>
        </w:rPr>
        <w:t>Chartered Accountants Australia and New Zealand</w:t>
      </w:r>
    </w:p>
    <w:p w14:paraId="72D5ECEB" w14:textId="4AA6273C" w:rsidR="00F92BFC" w:rsidRPr="00F92BFC" w:rsidRDefault="00F92BFC" w:rsidP="00F92BFC">
      <w:pPr>
        <w:numPr>
          <w:ilvl w:val="1"/>
          <w:numId w:val="1"/>
        </w:numPr>
        <w:spacing w:after="120"/>
        <w:rPr>
          <w:rFonts w:ascii="Arial" w:hAnsi="Arial" w:cs="Arial"/>
          <w:sz w:val="22"/>
          <w:szCs w:val="22"/>
        </w:rPr>
      </w:pPr>
      <w:r w:rsidRPr="00F92BFC">
        <w:rPr>
          <w:rFonts w:ascii="Arial" w:hAnsi="Arial" w:cs="Arial"/>
          <w:sz w:val="22"/>
          <w:szCs w:val="22"/>
        </w:rPr>
        <w:t>CPA Australia</w:t>
      </w:r>
    </w:p>
    <w:p w14:paraId="1755716B" w14:textId="77777777" w:rsidR="00F13A65" w:rsidRDefault="00F92BFC" w:rsidP="00F13A65">
      <w:pPr>
        <w:numPr>
          <w:ilvl w:val="1"/>
          <w:numId w:val="1"/>
        </w:numPr>
        <w:spacing w:after="120"/>
        <w:rPr>
          <w:rFonts w:ascii="Arial" w:hAnsi="Arial" w:cs="Arial"/>
          <w:sz w:val="22"/>
          <w:szCs w:val="22"/>
        </w:rPr>
      </w:pPr>
      <w:r w:rsidRPr="00F92BFC">
        <w:rPr>
          <w:rFonts w:ascii="Arial" w:hAnsi="Arial" w:cs="Arial"/>
          <w:sz w:val="22"/>
          <w:szCs w:val="22"/>
        </w:rPr>
        <w:t>Digital Service Providers Australia New Zealand</w:t>
      </w:r>
    </w:p>
    <w:p w14:paraId="38680F54" w14:textId="6F547D3D" w:rsidR="005160D4" w:rsidRPr="00F13A65" w:rsidRDefault="005160D4" w:rsidP="00F13A65">
      <w:pPr>
        <w:numPr>
          <w:ilvl w:val="1"/>
          <w:numId w:val="1"/>
        </w:numPr>
        <w:spacing w:after="120"/>
        <w:rPr>
          <w:rFonts w:ascii="Arial" w:hAnsi="Arial" w:cs="Arial"/>
          <w:sz w:val="22"/>
          <w:szCs w:val="22"/>
        </w:rPr>
      </w:pPr>
      <w:r w:rsidRPr="00F13A65">
        <w:rPr>
          <w:rFonts w:ascii="Arial" w:hAnsi="Arial" w:cs="Arial"/>
          <w:sz w:val="22"/>
          <w:szCs w:val="22"/>
        </w:rPr>
        <w:t>Governance Institute of Australia</w:t>
      </w:r>
    </w:p>
    <w:p w14:paraId="61B75C99" w14:textId="58A37672" w:rsidR="00F92BFC" w:rsidRPr="00B564B0" w:rsidRDefault="00F92BFC" w:rsidP="00F13A65">
      <w:pPr>
        <w:numPr>
          <w:ilvl w:val="0"/>
          <w:numId w:val="1"/>
        </w:numPr>
        <w:tabs>
          <w:tab w:val="clear" w:pos="720"/>
        </w:tabs>
        <w:spacing w:before="120" w:after="120"/>
        <w:ind w:left="709" w:hanging="709"/>
        <w:rPr>
          <w:rFonts w:ascii="Arial" w:hAnsi="Arial" w:cs="Arial"/>
          <w:sz w:val="22"/>
          <w:szCs w:val="22"/>
        </w:rPr>
      </w:pPr>
      <w:r w:rsidRPr="00F13A65">
        <w:rPr>
          <w:rFonts w:ascii="Arial" w:hAnsi="Arial" w:cs="Arial"/>
          <w:color w:val="000000"/>
          <w:sz w:val="22"/>
          <w:szCs w:val="22"/>
        </w:rPr>
        <w:t>Comments were supportive of the instrument and director</w:t>
      </w:r>
      <w:r>
        <w:rPr>
          <w:rFonts w:ascii="Arial" w:hAnsi="Arial" w:cs="Arial"/>
          <w:sz w:val="22"/>
          <w:szCs w:val="22"/>
        </w:rPr>
        <w:t xml:space="preserve"> ID initiative.</w:t>
      </w:r>
    </w:p>
    <w:p w14:paraId="475FF3D4" w14:textId="77777777" w:rsidR="009371D0" w:rsidRPr="00B564B0" w:rsidRDefault="007E0A01" w:rsidP="00910595">
      <w:pPr>
        <w:pStyle w:val="Heading3"/>
        <w:rPr>
          <w:i/>
          <w:sz w:val="22"/>
          <w:szCs w:val="22"/>
        </w:rPr>
      </w:pPr>
      <w:r w:rsidRPr="00B564B0">
        <w:rPr>
          <w:i/>
          <w:sz w:val="22"/>
          <w:szCs w:val="22"/>
        </w:rPr>
        <w:t>Legislative references</w:t>
      </w:r>
    </w:p>
    <w:p w14:paraId="475FF3D6" w14:textId="77777777" w:rsidR="0076271C" w:rsidRPr="00FF571E" w:rsidRDefault="0076271C" w:rsidP="00101CD5">
      <w:pPr>
        <w:rPr>
          <w:rFonts w:ascii="Arial" w:hAnsi="Arial" w:cs="Arial"/>
          <w:i/>
          <w:color w:val="000000" w:themeColor="text1"/>
          <w:sz w:val="22"/>
          <w:szCs w:val="22"/>
        </w:rPr>
      </w:pPr>
      <w:r w:rsidRPr="00FF571E">
        <w:rPr>
          <w:rFonts w:ascii="Arial" w:hAnsi="Arial" w:cs="Arial"/>
          <w:i/>
          <w:color w:val="000000" w:themeColor="text1"/>
          <w:sz w:val="22"/>
          <w:szCs w:val="22"/>
        </w:rPr>
        <w:t>Acts Interpretation Act 1901</w:t>
      </w:r>
    </w:p>
    <w:p w14:paraId="54DC4453" w14:textId="21360137" w:rsidR="00D56021" w:rsidRPr="00FF571E" w:rsidRDefault="00D56021" w:rsidP="00101CD5">
      <w:pPr>
        <w:rPr>
          <w:rFonts w:ascii="Arial" w:hAnsi="Arial" w:cs="Arial"/>
          <w:i/>
          <w:iCs/>
          <w:sz w:val="22"/>
          <w:szCs w:val="22"/>
        </w:rPr>
      </w:pPr>
      <w:r w:rsidRPr="00FF571E">
        <w:rPr>
          <w:rFonts w:ascii="Arial" w:hAnsi="Arial" w:cs="Arial"/>
          <w:i/>
          <w:iCs/>
          <w:sz w:val="22"/>
          <w:szCs w:val="22"/>
        </w:rPr>
        <w:t>Administrative Appeals Tribunal Act 1975</w:t>
      </w:r>
    </w:p>
    <w:p w14:paraId="475FF3D8" w14:textId="77777777" w:rsidR="00CF4E31" w:rsidRPr="00FF571E" w:rsidRDefault="00CF4E31" w:rsidP="00101CD5">
      <w:pPr>
        <w:rPr>
          <w:rFonts w:ascii="Arial" w:hAnsi="Arial" w:cs="Arial"/>
          <w:i/>
          <w:color w:val="000000" w:themeColor="text1"/>
          <w:sz w:val="22"/>
          <w:szCs w:val="22"/>
        </w:rPr>
      </w:pPr>
      <w:r w:rsidRPr="00FF571E">
        <w:rPr>
          <w:rFonts w:ascii="Arial" w:hAnsi="Arial" w:cs="Arial"/>
          <w:i/>
          <w:color w:val="000000" w:themeColor="text1"/>
          <w:sz w:val="22"/>
          <w:szCs w:val="22"/>
        </w:rPr>
        <w:t>Corporations Act 2001</w:t>
      </w:r>
    </w:p>
    <w:p w14:paraId="475FF3D9" w14:textId="77777777" w:rsidR="00AC1D2B" w:rsidRPr="00FF571E" w:rsidRDefault="00AC1D2B" w:rsidP="00101CD5">
      <w:pPr>
        <w:rPr>
          <w:rFonts w:ascii="Arial" w:hAnsi="Arial" w:cs="Arial"/>
          <w:i/>
          <w:color w:val="000000" w:themeColor="text1"/>
          <w:sz w:val="22"/>
          <w:szCs w:val="22"/>
        </w:rPr>
      </w:pPr>
      <w:r w:rsidRPr="00FF571E">
        <w:rPr>
          <w:rFonts w:ascii="Arial" w:hAnsi="Arial" w:cs="Arial"/>
          <w:i/>
          <w:color w:val="000000" w:themeColor="text1"/>
          <w:sz w:val="22"/>
          <w:szCs w:val="22"/>
        </w:rPr>
        <w:t>Human Rights (Parliamentary Scrutiny) Act 2011</w:t>
      </w:r>
    </w:p>
    <w:p w14:paraId="475FF3DA" w14:textId="703EF504" w:rsidR="00910595" w:rsidRPr="00FF571E" w:rsidRDefault="0076271C" w:rsidP="00101CD5">
      <w:pPr>
        <w:rPr>
          <w:rFonts w:ascii="Arial" w:hAnsi="Arial" w:cs="Arial"/>
          <w:i/>
          <w:color w:val="000000" w:themeColor="text1"/>
          <w:sz w:val="22"/>
          <w:szCs w:val="22"/>
        </w:rPr>
      </w:pPr>
      <w:r w:rsidRPr="00FF571E">
        <w:rPr>
          <w:rFonts w:ascii="Arial" w:hAnsi="Arial" w:cs="Arial"/>
          <w:i/>
          <w:color w:val="000000" w:themeColor="text1"/>
          <w:sz w:val="22"/>
          <w:szCs w:val="22"/>
        </w:rPr>
        <w:t>Legislation Act 2003</w:t>
      </w:r>
    </w:p>
    <w:p w14:paraId="4E937EC2" w14:textId="0B72C786" w:rsidR="00BE5F71" w:rsidRDefault="00BE5F71" w:rsidP="00910595">
      <w:pPr>
        <w:spacing w:after="120"/>
        <w:rPr>
          <w:rFonts w:ascii="Arial" w:hAnsi="Arial" w:cs="Arial"/>
          <w:i/>
          <w:color w:val="000000" w:themeColor="text1"/>
          <w:sz w:val="22"/>
          <w:szCs w:val="22"/>
        </w:rPr>
      </w:pPr>
    </w:p>
    <w:p w14:paraId="558EF4A4" w14:textId="77777777" w:rsidR="00187C19" w:rsidRDefault="00187C19">
      <w:pPr>
        <w:rPr>
          <w:rFonts w:ascii="Arial" w:hAnsi="Arial" w:cs="Arial"/>
          <w:b/>
          <w:bCs/>
          <w:sz w:val="22"/>
          <w:szCs w:val="22"/>
        </w:rPr>
      </w:pPr>
      <w:r>
        <w:rPr>
          <w:sz w:val="22"/>
          <w:szCs w:val="22"/>
        </w:rPr>
        <w:br w:type="page"/>
      </w:r>
    </w:p>
    <w:p w14:paraId="475FF3DF" w14:textId="62A7AC6E" w:rsidR="00333567" w:rsidRPr="00B564B0" w:rsidRDefault="00E53399" w:rsidP="00101CD5">
      <w:pPr>
        <w:pStyle w:val="Heading3"/>
        <w:spacing w:before="0" w:after="120"/>
        <w:jc w:val="center"/>
        <w:rPr>
          <w:sz w:val="22"/>
          <w:szCs w:val="22"/>
        </w:rPr>
      </w:pPr>
      <w:r w:rsidRPr="00B564B0">
        <w:rPr>
          <w:sz w:val="22"/>
          <w:szCs w:val="22"/>
        </w:rPr>
        <w:lastRenderedPageBreak/>
        <w:t xml:space="preserve">Statement of compatibility </w:t>
      </w:r>
      <w:r w:rsidR="00C11D03" w:rsidRPr="00B564B0">
        <w:rPr>
          <w:sz w:val="22"/>
          <w:szCs w:val="22"/>
        </w:rPr>
        <w:t>with Human Rights</w:t>
      </w:r>
    </w:p>
    <w:p w14:paraId="475FF3E0" w14:textId="087236B6" w:rsidR="00E53399" w:rsidRPr="00ED1541" w:rsidRDefault="004F5EB1" w:rsidP="00101CD5">
      <w:pPr>
        <w:pStyle w:val="Heading3"/>
        <w:spacing w:before="0" w:after="120"/>
        <w:rPr>
          <w:sz w:val="22"/>
          <w:szCs w:val="22"/>
        </w:rPr>
      </w:pPr>
      <w:r w:rsidRPr="00B564B0">
        <w:rPr>
          <w:b w:val="0"/>
          <w:sz w:val="22"/>
          <w:szCs w:val="22"/>
        </w:rPr>
        <w:t>P</w:t>
      </w:r>
      <w:r w:rsidR="00E53399" w:rsidRPr="00B564B0">
        <w:rPr>
          <w:b w:val="0"/>
          <w:sz w:val="22"/>
          <w:szCs w:val="22"/>
        </w:rPr>
        <w:t xml:space="preserve">repared in </w:t>
      </w:r>
      <w:r w:rsidR="00E53399" w:rsidRPr="00ED1541">
        <w:rPr>
          <w:b w:val="0"/>
          <w:sz w:val="22"/>
          <w:szCs w:val="22"/>
        </w:rPr>
        <w:t xml:space="preserve">accordance with Part 3 of the </w:t>
      </w:r>
      <w:r w:rsidR="00E53399" w:rsidRPr="00ED1541">
        <w:rPr>
          <w:b w:val="0"/>
          <w:i/>
          <w:sz w:val="22"/>
          <w:szCs w:val="22"/>
        </w:rPr>
        <w:t>Human Rights (Parliamentary Scrutiny) Act 2011</w:t>
      </w:r>
      <w:r w:rsidR="0005424A" w:rsidRPr="00ED1541">
        <w:rPr>
          <w:b w:val="0"/>
          <w:i/>
          <w:sz w:val="22"/>
          <w:szCs w:val="22"/>
        </w:rPr>
        <w:t>.</w:t>
      </w:r>
    </w:p>
    <w:p w14:paraId="475FF3E1" w14:textId="77777777" w:rsidR="00D77015" w:rsidRPr="00ED1541" w:rsidRDefault="00D77015" w:rsidP="00101CD5">
      <w:pPr>
        <w:spacing w:after="120"/>
        <w:rPr>
          <w:rFonts w:ascii="Arial" w:hAnsi="Arial" w:cs="Arial"/>
          <w:sz w:val="22"/>
          <w:szCs w:val="22"/>
        </w:rPr>
      </w:pPr>
    </w:p>
    <w:p w14:paraId="39E53D61" w14:textId="77777777" w:rsidR="00FA2D1C" w:rsidRPr="00FA2D1C" w:rsidRDefault="00FA2D1C" w:rsidP="00FA2D1C">
      <w:pPr>
        <w:autoSpaceDE w:val="0"/>
        <w:autoSpaceDN w:val="0"/>
        <w:adjustRightInd w:val="0"/>
        <w:spacing w:after="120"/>
        <w:jc w:val="center"/>
        <w:rPr>
          <w:rFonts w:ascii="Arial" w:hAnsi="Arial" w:cs="Arial"/>
          <w:b/>
          <w:sz w:val="22"/>
          <w:szCs w:val="22"/>
        </w:rPr>
      </w:pPr>
      <w:r w:rsidRPr="00FA2D1C">
        <w:rPr>
          <w:rFonts w:ascii="Arial" w:hAnsi="Arial" w:cs="Arial"/>
          <w:b/>
          <w:sz w:val="22"/>
          <w:szCs w:val="22"/>
        </w:rPr>
        <w:t>Corporations (Transitional) Director Identification Number Extended Application Period 2021</w:t>
      </w:r>
    </w:p>
    <w:p w14:paraId="475FF3E3" w14:textId="77777777" w:rsidR="009371D0" w:rsidRPr="00ED1541" w:rsidRDefault="00075B58" w:rsidP="00101CD5">
      <w:pPr>
        <w:autoSpaceDE w:val="0"/>
        <w:autoSpaceDN w:val="0"/>
        <w:adjustRightInd w:val="0"/>
        <w:spacing w:after="120"/>
        <w:rPr>
          <w:rFonts w:ascii="Arial" w:hAnsi="Arial" w:cs="Arial"/>
          <w:color w:val="000000"/>
          <w:sz w:val="22"/>
          <w:szCs w:val="22"/>
        </w:rPr>
      </w:pPr>
      <w:r w:rsidRPr="00ED1541">
        <w:rPr>
          <w:rFonts w:ascii="Arial" w:hAnsi="Arial" w:cs="Arial"/>
          <w:color w:val="000000"/>
          <w:sz w:val="22"/>
          <w:szCs w:val="22"/>
        </w:rPr>
        <w:t xml:space="preserve">This Legislative Instrument is compatible with the human rights and freedoms recognised or declared in the international instruments listed in section 3 of the </w:t>
      </w:r>
      <w:r w:rsidRPr="00ED1541">
        <w:rPr>
          <w:rFonts w:ascii="Arial" w:hAnsi="Arial" w:cs="Arial"/>
          <w:i/>
          <w:color w:val="000000"/>
          <w:sz w:val="22"/>
          <w:szCs w:val="22"/>
        </w:rPr>
        <w:t>Human Righ</w:t>
      </w:r>
      <w:r w:rsidR="00101CD5" w:rsidRPr="00ED1541">
        <w:rPr>
          <w:rFonts w:ascii="Arial" w:hAnsi="Arial" w:cs="Arial"/>
          <w:i/>
          <w:color w:val="000000"/>
          <w:sz w:val="22"/>
          <w:szCs w:val="22"/>
        </w:rPr>
        <w:t>ts (Parliamentary Scrutiny) Act </w:t>
      </w:r>
      <w:r w:rsidRPr="00ED1541">
        <w:rPr>
          <w:rFonts w:ascii="Arial" w:hAnsi="Arial" w:cs="Arial"/>
          <w:i/>
          <w:color w:val="000000"/>
          <w:sz w:val="22"/>
          <w:szCs w:val="22"/>
        </w:rPr>
        <w:t>2011.</w:t>
      </w:r>
    </w:p>
    <w:p w14:paraId="475FF3E4" w14:textId="77777777" w:rsidR="00075B58" w:rsidRPr="00ED1541" w:rsidRDefault="00075B58" w:rsidP="00101CD5">
      <w:pPr>
        <w:spacing w:after="120"/>
        <w:rPr>
          <w:rFonts w:ascii="Arial" w:hAnsi="Arial" w:cs="Arial"/>
          <w:sz w:val="22"/>
          <w:szCs w:val="22"/>
        </w:rPr>
      </w:pPr>
    </w:p>
    <w:p w14:paraId="475FF3E5" w14:textId="77777777" w:rsidR="00075B58" w:rsidRPr="00ED1541" w:rsidRDefault="00075B58" w:rsidP="00101CD5">
      <w:pPr>
        <w:pStyle w:val="Heading2"/>
      </w:pPr>
      <w:r w:rsidRPr="00ED1541">
        <w:t xml:space="preserve">Overview of </w:t>
      </w:r>
      <w:r w:rsidR="007E0A01" w:rsidRPr="00ED1541">
        <w:t xml:space="preserve">the </w:t>
      </w:r>
      <w:r w:rsidRPr="00ED1541">
        <w:t>Legislative Instrument</w:t>
      </w:r>
    </w:p>
    <w:p w14:paraId="0A762722" w14:textId="1A65187F" w:rsidR="008C233C" w:rsidRDefault="008C233C" w:rsidP="008C233C">
      <w:pPr>
        <w:rPr>
          <w:sz w:val="22"/>
        </w:rPr>
      </w:pPr>
      <w:r>
        <w:rPr>
          <w:rFonts w:ascii="Arial" w:hAnsi="Arial" w:cs="Arial"/>
        </w:rPr>
        <w:t xml:space="preserve">This disallowable legislative instrument provides additional time for </w:t>
      </w:r>
      <w:r w:rsidR="00BA7CCD">
        <w:rPr>
          <w:rFonts w:ascii="Arial" w:hAnsi="Arial" w:cs="Arial"/>
        </w:rPr>
        <w:t>new</w:t>
      </w:r>
      <w:r>
        <w:rPr>
          <w:rFonts w:ascii="Arial" w:hAnsi="Arial" w:cs="Arial"/>
        </w:rPr>
        <w:t xml:space="preserve"> directors to apply for a director ID during the </w:t>
      </w:r>
      <w:r w:rsidR="00BA7CCD">
        <w:rPr>
          <w:rFonts w:ascii="Arial" w:hAnsi="Arial" w:cs="Arial"/>
        </w:rPr>
        <w:t>testing</w:t>
      </w:r>
      <w:r>
        <w:rPr>
          <w:rFonts w:ascii="Arial" w:hAnsi="Arial" w:cs="Arial"/>
        </w:rPr>
        <w:t xml:space="preserve"> period. The Registrar </w:t>
      </w:r>
      <w:r w:rsidR="00BA7CCD">
        <w:rPr>
          <w:rFonts w:ascii="Arial" w:hAnsi="Arial" w:cs="Arial"/>
        </w:rPr>
        <w:t xml:space="preserve">will </w:t>
      </w:r>
      <w:r>
        <w:rPr>
          <w:rFonts w:ascii="Arial" w:hAnsi="Arial" w:cs="Arial"/>
        </w:rPr>
        <w:t xml:space="preserve">conduct testing of the </w:t>
      </w:r>
      <w:r w:rsidR="00BA7CCD">
        <w:rPr>
          <w:rFonts w:ascii="Arial" w:hAnsi="Arial" w:cs="Arial"/>
        </w:rPr>
        <w:t>director ID application system</w:t>
      </w:r>
      <w:r>
        <w:rPr>
          <w:rFonts w:ascii="Arial" w:hAnsi="Arial" w:cs="Arial"/>
        </w:rPr>
        <w:t xml:space="preserve"> in the live environment</w:t>
      </w:r>
      <w:r w:rsidR="00BA7CCD">
        <w:rPr>
          <w:rFonts w:ascii="Arial" w:hAnsi="Arial" w:cs="Arial"/>
        </w:rPr>
        <w:t xml:space="preserve"> in compliance with DTA </w:t>
      </w:r>
      <w:r w:rsidR="00BA7CCD" w:rsidRPr="00BA7CCD">
        <w:rPr>
          <w:rFonts w:ascii="Arial" w:hAnsi="Arial" w:cs="Arial"/>
        </w:rPr>
        <w:t>digital service standard</w:t>
      </w:r>
      <w:r w:rsidR="00BA7CCD">
        <w:rPr>
          <w:rFonts w:ascii="Arial" w:hAnsi="Arial" w:cs="Arial"/>
        </w:rPr>
        <w:t>s</w:t>
      </w:r>
      <w:r>
        <w:rPr>
          <w:rFonts w:ascii="Arial" w:hAnsi="Arial" w:cs="Arial"/>
        </w:rPr>
        <w:t xml:space="preserve"> to ensure it delivers a robust, reliable and consistent user experience. </w:t>
      </w:r>
      <w:r w:rsidR="00BA7CCD">
        <w:rPr>
          <w:rFonts w:ascii="Arial" w:hAnsi="Arial" w:cs="Arial"/>
        </w:rPr>
        <w:t xml:space="preserve">For new directors appointed during </w:t>
      </w:r>
      <w:r>
        <w:rPr>
          <w:rFonts w:ascii="Arial" w:hAnsi="Arial" w:cs="Arial"/>
        </w:rPr>
        <w:t xml:space="preserve">this </w:t>
      </w:r>
      <w:r w:rsidR="00BA7CCD">
        <w:rPr>
          <w:rFonts w:ascii="Arial" w:hAnsi="Arial" w:cs="Arial"/>
        </w:rPr>
        <w:t>testing</w:t>
      </w:r>
      <w:r>
        <w:rPr>
          <w:rFonts w:ascii="Arial" w:hAnsi="Arial" w:cs="Arial"/>
        </w:rPr>
        <w:t xml:space="preserve"> period this instrument extends the application period to </w:t>
      </w:r>
      <w:r w:rsidR="00BA7CCD" w:rsidRPr="00BA7CCD">
        <w:rPr>
          <w:rFonts w:ascii="Arial" w:hAnsi="Arial" w:cs="Arial"/>
        </w:rPr>
        <w:t>ensure that new directors are not disadvantaged or exposed to the offence provision</w:t>
      </w:r>
      <w:r w:rsidR="00BA7CCD">
        <w:rPr>
          <w:rFonts w:ascii="Arial" w:hAnsi="Arial" w:cs="Arial"/>
        </w:rPr>
        <w:t>.</w:t>
      </w:r>
      <w:r>
        <w:rPr>
          <w:rFonts w:ascii="Arial" w:hAnsi="Arial" w:cs="Arial"/>
        </w:rPr>
        <w:t xml:space="preserve"> </w:t>
      </w:r>
    </w:p>
    <w:p w14:paraId="71C80AD5" w14:textId="77777777" w:rsidR="008C233C" w:rsidRDefault="008C233C" w:rsidP="008C233C"/>
    <w:p w14:paraId="22547229" w14:textId="77777777" w:rsidR="008C233C" w:rsidRDefault="008C233C" w:rsidP="008C233C">
      <w:pPr>
        <w:pStyle w:val="Heading2"/>
      </w:pPr>
      <w:r>
        <w:t>Human rights implications</w:t>
      </w:r>
    </w:p>
    <w:p w14:paraId="1CAC4E36" w14:textId="3629F298" w:rsidR="008C233C" w:rsidRDefault="008C233C" w:rsidP="008C233C">
      <w:pPr>
        <w:autoSpaceDE w:val="0"/>
        <w:autoSpaceDN w:val="0"/>
        <w:rPr>
          <w:rFonts w:ascii="Arial" w:eastAsiaTheme="minorHAnsi" w:hAnsi="Arial" w:cs="Arial"/>
        </w:rPr>
      </w:pPr>
      <w:r>
        <w:rPr>
          <w:rFonts w:ascii="Arial" w:hAnsi="Arial" w:cs="Arial"/>
        </w:rPr>
        <w:t xml:space="preserve">This Legislative Instrument does not engage any of the applicable rights or freedoms. The purpose of this instrument is to provide additional time </w:t>
      </w:r>
      <w:r w:rsidR="00BA7CCD">
        <w:rPr>
          <w:rFonts w:ascii="Arial" w:hAnsi="Arial" w:cs="Arial"/>
        </w:rPr>
        <w:t>for</w:t>
      </w:r>
      <w:r>
        <w:rPr>
          <w:rFonts w:ascii="Arial" w:hAnsi="Arial" w:cs="Arial"/>
        </w:rPr>
        <w:t xml:space="preserve"> which </w:t>
      </w:r>
      <w:r w:rsidR="00BA7CCD">
        <w:rPr>
          <w:rFonts w:ascii="Arial" w:hAnsi="Arial" w:cs="Arial"/>
        </w:rPr>
        <w:t xml:space="preserve">new </w:t>
      </w:r>
      <w:r>
        <w:rPr>
          <w:rFonts w:ascii="Arial" w:hAnsi="Arial" w:cs="Arial"/>
        </w:rPr>
        <w:t>directors</w:t>
      </w:r>
      <w:r w:rsidR="00BA7CCD">
        <w:rPr>
          <w:rFonts w:ascii="Arial" w:hAnsi="Arial" w:cs="Arial"/>
        </w:rPr>
        <w:t xml:space="preserve"> appointed during the testing period</w:t>
      </w:r>
      <w:r>
        <w:rPr>
          <w:rFonts w:ascii="Arial" w:hAnsi="Arial" w:cs="Arial"/>
        </w:rPr>
        <w:t xml:space="preserve"> are required </w:t>
      </w:r>
      <w:r w:rsidR="00A81168">
        <w:rPr>
          <w:rFonts w:ascii="Arial" w:hAnsi="Arial" w:cs="Arial"/>
        </w:rPr>
        <w:t>have</w:t>
      </w:r>
      <w:r>
        <w:rPr>
          <w:rFonts w:ascii="Arial" w:hAnsi="Arial" w:cs="Arial"/>
        </w:rPr>
        <w:t xml:space="preserve"> a director ID. This will not engage any of the applicable rights or freedoms.</w:t>
      </w:r>
    </w:p>
    <w:p w14:paraId="192427AC" w14:textId="67770917" w:rsidR="00134CD5" w:rsidRPr="00ED1541" w:rsidRDefault="00134CD5" w:rsidP="00134CD5">
      <w:pPr>
        <w:autoSpaceDE w:val="0"/>
        <w:autoSpaceDN w:val="0"/>
        <w:rPr>
          <w:rFonts w:ascii="Arial" w:hAnsi="Arial" w:cs="Arial"/>
          <w:sz w:val="22"/>
          <w:szCs w:val="22"/>
        </w:rPr>
      </w:pPr>
    </w:p>
    <w:p w14:paraId="1B12BB97" w14:textId="77777777" w:rsidR="00134CD5" w:rsidRPr="00ED1541" w:rsidRDefault="00134CD5" w:rsidP="00134CD5">
      <w:pPr>
        <w:autoSpaceDE w:val="0"/>
        <w:autoSpaceDN w:val="0"/>
        <w:rPr>
          <w:rFonts w:ascii="Arial" w:hAnsi="Arial" w:cs="Arial"/>
          <w:sz w:val="22"/>
          <w:szCs w:val="22"/>
        </w:rPr>
      </w:pPr>
    </w:p>
    <w:p w14:paraId="38B35BFC" w14:textId="77777777" w:rsidR="00134CD5" w:rsidRPr="00ED1541" w:rsidRDefault="00134CD5" w:rsidP="00134CD5">
      <w:pPr>
        <w:autoSpaceDE w:val="0"/>
        <w:autoSpaceDN w:val="0"/>
        <w:rPr>
          <w:rFonts w:ascii="Arial" w:hAnsi="Arial" w:cs="Arial"/>
          <w:b/>
          <w:bCs/>
          <w:sz w:val="22"/>
          <w:szCs w:val="22"/>
        </w:rPr>
      </w:pPr>
      <w:r w:rsidRPr="00ED1541">
        <w:rPr>
          <w:rFonts w:ascii="Arial" w:hAnsi="Arial" w:cs="Arial"/>
          <w:b/>
          <w:bCs/>
          <w:sz w:val="22"/>
          <w:szCs w:val="22"/>
        </w:rPr>
        <w:t>Conclusion</w:t>
      </w:r>
    </w:p>
    <w:p w14:paraId="48F966AD" w14:textId="6588FAB8" w:rsidR="00134CD5" w:rsidRPr="00ED1541" w:rsidRDefault="00134CD5" w:rsidP="00134CD5">
      <w:pPr>
        <w:spacing w:before="120" w:after="120"/>
        <w:rPr>
          <w:rFonts w:ascii="Arial" w:hAnsi="Arial" w:cs="Arial"/>
          <w:sz w:val="22"/>
          <w:szCs w:val="22"/>
        </w:rPr>
      </w:pPr>
      <w:r w:rsidRPr="00ED1541">
        <w:rPr>
          <w:rFonts w:ascii="Arial" w:hAnsi="Arial" w:cs="Arial"/>
          <w:sz w:val="22"/>
          <w:szCs w:val="22"/>
        </w:rPr>
        <w:t>This Legislative Instrument is compatible with human rights as it does not raise any human rights issues.</w:t>
      </w:r>
    </w:p>
    <w:p w14:paraId="475FF3EE" w14:textId="7122ADE6" w:rsidR="00101CD5" w:rsidRPr="00ED1541" w:rsidRDefault="00101CD5" w:rsidP="00101CD5">
      <w:pPr>
        <w:spacing w:after="120"/>
        <w:rPr>
          <w:rFonts w:ascii="Arial" w:hAnsi="Arial" w:cs="Arial"/>
          <w:sz w:val="22"/>
          <w:szCs w:val="22"/>
        </w:rPr>
      </w:pPr>
    </w:p>
    <w:sectPr w:rsidR="00101CD5" w:rsidRPr="00ED1541" w:rsidSect="00081520">
      <w:headerReference w:type="even" r:id="rId8"/>
      <w:headerReference w:type="default" r:id="rId9"/>
      <w:footerReference w:type="even" r:id="rId10"/>
      <w:footerReference w:type="default" r:id="rId11"/>
      <w:headerReference w:type="first" r:id="rId12"/>
      <w:footerReference w:type="first" r:id="rId13"/>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EA51E" w14:textId="77777777" w:rsidR="0063710A" w:rsidRDefault="0063710A">
      <w:r>
        <w:separator/>
      </w:r>
    </w:p>
  </w:endnote>
  <w:endnote w:type="continuationSeparator" w:id="0">
    <w:p w14:paraId="27860BD9" w14:textId="77777777" w:rsidR="0063710A" w:rsidRDefault="0063710A">
      <w:r>
        <w:continuationSeparator/>
      </w:r>
    </w:p>
  </w:endnote>
  <w:endnote w:type="continuationNotice" w:id="1">
    <w:p w14:paraId="670DC285" w14:textId="77777777" w:rsidR="0063710A" w:rsidRDefault="00637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3DA5" w14:textId="77777777" w:rsidR="005656B9" w:rsidRDefault="00565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22E2E" w14:textId="77777777" w:rsidR="005656B9" w:rsidRDefault="005656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2E847" w14:textId="77777777" w:rsidR="005656B9" w:rsidRDefault="00565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8A905" w14:textId="77777777" w:rsidR="0063710A" w:rsidRDefault="0063710A">
      <w:r>
        <w:separator/>
      </w:r>
    </w:p>
  </w:footnote>
  <w:footnote w:type="continuationSeparator" w:id="0">
    <w:p w14:paraId="6E271413" w14:textId="77777777" w:rsidR="0063710A" w:rsidRDefault="0063710A">
      <w:r>
        <w:continuationSeparator/>
      </w:r>
    </w:p>
  </w:footnote>
  <w:footnote w:type="continuationNotice" w:id="1">
    <w:p w14:paraId="0A2B4133" w14:textId="77777777" w:rsidR="0063710A" w:rsidRDefault="006371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F3F5" w14:textId="3C48533A" w:rsidR="00AB4D7C" w:rsidRPr="0067541C" w:rsidRDefault="00AB4D7C">
    <w:pPr>
      <w:pStyle w:val="Header"/>
      <w:rPr>
        <w:rFonts w:ascii="Arial" w:hAnsi="Arial" w:cs="Arial"/>
        <w:sz w:val="52"/>
      </w:rPr>
    </w:pPr>
    <w:r w:rsidRPr="0067541C">
      <w:rPr>
        <w:rFonts w:ascii="Arial" w:hAnsi="Arial" w:cs="Arial"/>
        <w:sz w:val="20"/>
      </w:rPr>
      <w:t>Taxation Determination</w:t>
    </w:r>
  </w:p>
  <w:p w14:paraId="475FF3F6" w14:textId="09F5CCCC" w:rsidR="00AB4D7C" w:rsidRPr="0067541C" w:rsidRDefault="00AB4D7C">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separate"/>
    </w:r>
    <w:r w:rsidR="00107385">
      <w:rPr>
        <w:rFonts w:ascii="Arial" w:hAnsi="Arial" w:cs="Arial"/>
        <w:b/>
        <w:bCs/>
        <w:sz w:val="52"/>
        <w:lang w:val="en-US"/>
      </w:rPr>
      <w:t>Error! Reference source not found.</w:t>
    </w:r>
    <w:r w:rsidRPr="0067541C">
      <w:rPr>
        <w:rFonts w:ascii="Arial" w:hAnsi="Arial" w:cs="Arial"/>
        <w:sz w:val="52"/>
      </w:rPr>
      <w:fldChar w:fldCharType="end"/>
    </w:r>
  </w:p>
  <w:p w14:paraId="475FF3F7" w14:textId="77777777" w:rsidR="00AB4D7C" w:rsidRPr="0067541C" w:rsidRDefault="00AB4D7C">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F3F8" w14:textId="3DADAA44" w:rsidR="00AB4D7C" w:rsidRDefault="00AB4D7C"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F3FA" w14:textId="77777777" w:rsidR="00AB4D7C" w:rsidRDefault="00AB4D7C" w:rsidP="001828A4">
    <w:pPr>
      <w:pStyle w:val="Header"/>
      <w:tabs>
        <w:tab w:val="clear" w:pos="4153"/>
        <w:tab w:val="clear" w:pos="8306"/>
      </w:tabs>
      <w:rPr>
        <w:rFonts w:ascii="Arial" w:hAnsi="Arial" w:cs="Arial"/>
        <w:sz w:val="20"/>
      </w:rPr>
    </w:pPr>
    <w:r>
      <w:rPr>
        <w:noProof/>
      </w:rPr>
      <w:drawing>
        <wp:inline distT="0" distB="0" distL="0" distR="0" wp14:anchorId="475FF3FC" wp14:editId="475FF3FD">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475FF3FB" w14:textId="77777777" w:rsidR="00AB4D7C" w:rsidRPr="001A6644" w:rsidRDefault="00AB4D7C"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 w15:restartNumberingAfterBreak="0">
    <w:nsid w:val="1019513F"/>
    <w:multiLevelType w:val="hybridMultilevel"/>
    <w:tmpl w:val="6DDE7E28"/>
    <w:lvl w:ilvl="0" w:tplc="441A2812">
      <w:start w:val="1"/>
      <w:numFmt w:val="lowerLetter"/>
      <w:lvlText w:val="(%1)"/>
      <w:lvlJc w:val="left"/>
      <w:pPr>
        <w:ind w:left="1069" w:hanging="360"/>
      </w:pPr>
      <w:rPr>
        <w:rFonts w:asciiTheme="minorHAnsi" w:hAnsiTheme="minorHAnsi" w:hint="default"/>
        <w:sz w:val="22"/>
        <w:szCs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1022104A"/>
    <w:multiLevelType w:val="hybridMultilevel"/>
    <w:tmpl w:val="4F9C949A"/>
    <w:lvl w:ilvl="0" w:tplc="17649F48">
      <w:start w:val="1"/>
      <w:numFmt w:val="lowerRoman"/>
      <w:lvlText w:val="(%1)"/>
      <w:lvlJc w:val="left"/>
      <w:pPr>
        <w:ind w:left="720" w:hanging="36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FE5586"/>
    <w:multiLevelType w:val="hybridMultilevel"/>
    <w:tmpl w:val="5CBCE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63569F"/>
    <w:multiLevelType w:val="hybridMultilevel"/>
    <w:tmpl w:val="D4FC40FE"/>
    <w:lvl w:ilvl="0" w:tplc="0C090003">
      <w:start w:val="1"/>
      <w:numFmt w:val="bullet"/>
      <w:lvlText w:val="o"/>
      <w:lvlJc w:val="left"/>
      <w:pPr>
        <w:ind w:left="1794" w:hanging="360"/>
      </w:pPr>
      <w:rPr>
        <w:rFonts w:ascii="Courier New" w:hAnsi="Courier New" w:cs="Courier New" w:hint="default"/>
      </w:rPr>
    </w:lvl>
    <w:lvl w:ilvl="1" w:tplc="0C090003" w:tentative="1">
      <w:start w:val="1"/>
      <w:numFmt w:val="bullet"/>
      <w:lvlText w:val="o"/>
      <w:lvlJc w:val="left"/>
      <w:pPr>
        <w:ind w:left="2514" w:hanging="360"/>
      </w:pPr>
      <w:rPr>
        <w:rFonts w:ascii="Courier New" w:hAnsi="Courier New" w:cs="Courier New" w:hint="default"/>
      </w:rPr>
    </w:lvl>
    <w:lvl w:ilvl="2" w:tplc="0C090005" w:tentative="1">
      <w:start w:val="1"/>
      <w:numFmt w:val="bullet"/>
      <w:lvlText w:val=""/>
      <w:lvlJc w:val="left"/>
      <w:pPr>
        <w:ind w:left="3234" w:hanging="360"/>
      </w:pPr>
      <w:rPr>
        <w:rFonts w:ascii="Wingdings" w:hAnsi="Wingdings" w:hint="default"/>
      </w:rPr>
    </w:lvl>
    <w:lvl w:ilvl="3" w:tplc="0C090001" w:tentative="1">
      <w:start w:val="1"/>
      <w:numFmt w:val="bullet"/>
      <w:lvlText w:val=""/>
      <w:lvlJc w:val="left"/>
      <w:pPr>
        <w:ind w:left="3954" w:hanging="360"/>
      </w:pPr>
      <w:rPr>
        <w:rFonts w:ascii="Symbol" w:hAnsi="Symbol" w:hint="default"/>
      </w:rPr>
    </w:lvl>
    <w:lvl w:ilvl="4" w:tplc="0C090003" w:tentative="1">
      <w:start w:val="1"/>
      <w:numFmt w:val="bullet"/>
      <w:lvlText w:val="o"/>
      <w:lvlJc w:val="left"/>
      <w:pPr>
        <w:ind w:left="4674" w:hanging="360"/>
      </w:pPr>
      <w:rPr>
        <w:rFonts w:ascii="Courier New" w:hAnsi="Courier New" w:cs="Courier New" w:hint="default"/>
      </w:rPr>
    </w:lvl>
    <w:lvl w:ilvl="5" w:tplc="0C090005" w:tentative="1">
      <w:start w:val="1"/>
      <w:numFmt w:val="bullet"/>
      <w:lvlText w:val=""/>
      <w:lvlJc w:val="left"/>
      <w:pPr>
        <w:ind w:left="5394" w:hanging="360"/>
      </w:pPr>
      <w:rPr>
        <w:rFonts w:ascii="Wingdings" w:hAnsi="Wingdings" w:hint="default"/>
      </w:rPr>
    </w:lvl>
    <w:lvl w:ilvl="6" w:tplc="0C090001" w:tentative="1">
      <w:start w:val="1"/>
      <w:numFmt w:val="bullet"/>
      <w:lvlText w:val=""/>
      <w:lvlJc w:val="left"/>
      <w:pPr>
        <w:ind w:left="6114" w:hanging="360"/>
      </w:pPr>
      <w:rPr>
        <w:rFonts w:ascii="Symbol" w:hAnsi="Symbol" w:hint="default"/>
      </w:rPr>
    </w:lvl>
    <w:lvl w:ilvl="7" w:tplc="0C090003" w:tentative="1">
      <w:start w:val="1"/>
      <w:numFmt w:val="bullet"/>
      <w:lvlText w:val="o"/>
      <w:lvlJc w:val="left"/>
      <w:pPr>
        <w:ind w:left="6834" w:hanging="360"/>
      </w:pPr>
      <w:rPr>
        <w:rFonts w:ascii="Courier New" w:hAnsi="Courier New" w:cs="Courier New" w:hint="default"/>
      </w:rPr>
    </w:lvl>
    <w:lvl w:ilvl="8" w:tplc="0C090005" w:tentative="1">
      <w:start w:val="1"/>
      <w:numFmt w:val="bullet"/>
      <w:lvlText w:val=""/>
      <w:lvlJc w:val="left"/>
      <w:pPr>
        <w:ind w:left="7554" w:hanging="360"/>
      </w:pPr>
      <w:rPr>
        <w:rFonts w:ascii="Wingdings" w:hAnsi="Wingdings" w:hint="default"/>
      </w:rPr>
    </w:lvl>
  </w:abstractNum>
  <w:abstractNum w:abstractNumId="5" w15:restartNumberingAfterBreak="0">
    <w:nsid w:val="222F24AD"/>
    <w:multiLevelType w:val="hybridMultilevel"/>
    <w:tmpl w:val="958214CE"/>
    <w:lvl w:ilvl="0" w:tplc="17649F48">
      <w:start w:val="1"/>
      <w:numFmt w:val="lowerRoman"/>
      <w:lvlText w:val="(%1)"/>
      <w:lvlJc w:val="left"/>
      <w:pPr>
        <w:ind w:left="1429" w:hanging="360"/>
      </w:pPr>
      <w:rPr>
        <w:rFonts w:ascii="Arial" w:eastAsia="Calibri"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284A4FBB"/>
    <w:multiLevelType w:val="hybridMultilevel"/>
    <w:tmpl w:val="63ECA96C"/>
    <w:lvl w:ilvl="0" w:tplc="17649F48">
      <w:start w:val="1"/>
      <w:numFmt w:val="lowerRoman"/>
      <w:lvlText w:val="(%1)"/>
      <w:lvlJc w:val="left"/>
      <w:pPr>
        <w:ind w:left="720" w:hanging="360"/>
      </w:pPr>
      <w:rPr>
        <w:rFonts w:ascii="Arial" w:eastAsia="Calibr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C67ED"/>
    <w:multiLevelType w:val="hybridMultilevel"/>
    <w:tmpl w:val="995A8822"/>
    <w:lvl w:ilvl="0" w:tplc="17649F48">
      <w:start w:val="1"/>
      <w:numFmt w:val="lowerRoman"/>
      <w:lvlText w:val="(%1)"/>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9" w15:restartNumberingAfterBreak="0">
    <w:nsid w:val="38B66D58"/>
    <w:multiLevelType w:val="hybridMultilevel"/>
    <w:tmpl w:val="48EE5C7C"/>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0" w15:restartNumberingAfterBreak="0">
    <w:nsid w:val="3BD507B1"/>
    <w:multiLevelType w:val="hybridMultilevel"/>
    <w:tmpl w:val="A2B0E696"/>
    <w:lvl w:ilvl="0" w:tplc="B19AF8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714D4B"/>
    <w:multiLevelType w:val="multilevel"/>
    <w:tmpl w:val="B7DA9544"/>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3FCC3903"/>
    <w:multiLevelType w:val="hybridMultilevel"/>
    <w:tmpl w:val="1BDAFD84"/>
    <w:lvl w:ilvl="0" w:tplc="8C0ADE04">
      <w:start w:val="1"/>
      <w:numFmt w:val="decimal"/>
      <w:lvlText w:val="%1."/>
      <w:lvlJc w:val="left"/>
      <w:pPr>
        <w:tabs>
          <w:tab w:val="num" w:pos="720"/>
        </w:tabs>
        <w:ind w:left="720" w:hanging="360"/>
      </w:pPr>
      <w:rPr>
        <w:rFonts w:ascii="Arial" w:hAnsi="Arial" w:cs="Arial" w:hint="default"/>
        <w:b w:val="0"/>
        <w:i w:val="0"/>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05656A6"/>
    <w:multiLevelType w:val="hybridMultilevel"/>
    <w:tmpl w:val="6DDE7E28"/>
    <w:lvl w:ilvl="0" w:tplc="441A2812">
      <w:start w:val="1"/>
      <w:numFmt w:val="lowerLetter"/>
      <w:lvlText w:val="(%1)"/>
      <w:lvlJc w:val="left"/>
      <w:pPr>
        <w:ind w:left="1069" w:hanging="360"/>
      </w:pPr>
      <w:rPr>
        <w:rFonts w:asciiTheme="minorHAnsi" w:hAnsiTheme="minorHAnsi" w:hint="default"/>
        <w:sz w:val="22"/>
        <w:szCs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4517396B"/>
    <w:multiLevelType w:val="hybridMultilevel"/>
    <w:tmpl w:val="4F9C949A"/>
    <w:lvl w:ilvl="0" w:tplc="17649F48">
      <w:start w:val="1"/>
      <w:numFmt w:val="lowerRoman"/>
      <w:lvlText w:val="(%1)"/>
      <w:lvlJc w:val="left"/>
      <w:pPr>
        <w:ind w:left="720" w:hanging="36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A462B4A"/>
    <w:multiLevelType w:val="hybridMultilevel"/>
    <w:tmpl w:val="C380A8DE"/>
    <w:lvl w:ilvl="0" w:tplc="DF3EDEA2">
      <w:start w:val="1"/>
      <w:numFmt w:val="decimal"/>
      <w:lvlText w:val="%1."/>
      <w:lvlJc w:val="left"/>
      <w:pPr>
        <w:tabs>
          <w:tab w:val="num" w:pos="1211"/>
        </w:tabs>
        <w:ind w:left="1211" w:hanging="360"/>
      </w:pPr>
      <w:rPr>
        <w:b/>
      </w:rPr>
    </w:lvl>
    <w:lvl w:ilvl="1" w:tplc="0C090005">
      <w:start w:val="1"/>
      <w:numFmt w:val="bullet"/>
      <w:lvlText w:val=""/>
      <w:lvlJc w:val="left"/>
      <w:pPr>
        <w:tabs>
          <w:tab w:val="num" w:pos="2149"/>
        </w:tabs>
        <w:ind w:left="2149" w:hanging="360"/>
      </w:pPr>
      <w:rPr>
        <w:rFonts w:ascii="Wingdings" w:hAnsi="Wingdings" w:hint="default"/>
      </w:rPr>
    </w:lvl>
    <w:lvl w:ilvl="2" w:tplc="DAD8255C">
      <w:start w:val="1"/>
      <w:numFmt w:val="decimal"/>
      <w:lvlText w:val="(%3)"/>
      <w:lvlJc w:val="left"/>
      <w:pPr>
        <w:ind w:left="3124" w:hanging="435"/>
      </w:pPr>
      <w:rPr>
        <w:rFonts w:hint="default"/>
      </w:rPr>
    </w:lvl>
    <w:lvl w:ilvl="3" w:tplc="0C09000F">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8" w15:restartNumberingAfterBreak="0">
    <w:nsid w:val="4E5C57CA"/>
    <w:multiLevelType w:val="hybridMultilevel"/>
    <w:tmpl w:val="F47019FC"/>
    <w:lvl w:ilvl="0" w:tplc="C85AC6CC">
      <w:start w:val="1"/>
      <w:numFmt w:val="lowerLetter"/>
      <w:lvlText w:val="(%1)"/>
      <w:lvlJc w:val="left"/>
      <w:pPr>
        <w:ind w:left="1429" w:hanging="360"/>
      </w:pPr>
      <w:rPr>
        <w:rFonts w:hint="default"/>
        <w:i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50A101DB"/>
    <w:multiLevelType w:val="hybridMultilevel"/>
    <w:tmpl w:val="C1546EC4"/>
    <w:lvl w:ilvl="0" w:tplc="B19AF8E4">
      <w:start w:val="1"/>
      <w:numFmt w:val="lowerLetter"/>
      <w:lvlText w:val="(%1)"/>
      <w:lvlJc w:val="left"/>
      <w:pPr>
        <w:ind w:left="1069" w:hanging="360"/>
      </w:pPr>
      <w:rPr>
        <w:rFont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0" w15:restartNumberingAfterBreak="0">
    <w:nsid w:val="55501AB6"/>
    <w:multiLevelType w:val="hybridMultilevel"/>
    <w:tmpl w:val="E418F316"/>
    <w:lvl w:ilvl="0" w:tplc="CF64CDAC">
      <w:start w:val="3"/>
      <w:numFmt w:val="bullet"/>
      <w:lvlText w:val="-"/>
      <w:lvlJc w:val="left"/>
      <w:pPr>
        <w:ind w:left="720" w:hanging="360"/>
      </w:pPr>
      <w:rPr>
        <w:rFonts w:ascii="Arial" w:eastAsia="Times New Roman" w:hAnsi="Aria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7677FF"/>
    <w:multiLevelType w:val="multilevel"/>
    <w:tmpl w:val="8CBEB8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C5F6D49"/>
    <w:multiLevelType w:val="multilevel"/>
    <w:tmpl w:val="B1CA20EA"/>
    <w:lvl w:ilvl="0">
      <w:start w:val="3"/>
      <w:numFmt w:val="decimal"/>
      <w:lvlText w:val="%1"/>
      <w:lvlJc w:val="left"/>
      <w:pPr>
        <w:ind w:left="360" w:hanging="360"/>
      </w:pPr>
      <w:rPr>
        <w:rFonts w:hint="default"/>
      </w:rPr>
    </w:lvl>
    <w:lvl w:ilvl="1">
      <w:start w:val="9"/>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3" w15:restartNumberingAfterBreak="0">
    <w:nsid w:val="6155324E"/>
    <w:multiLevelType w:val="hybridMultilevel"/>
    <w:tmpl w:val="30A2213C"/>
    <w:lvl w:ilvl="0" w:tplc="EBC2FD36">
      <w:start w:val="1"/>
      <w:numFmt w:val="decimal"/>
      <w:lvlText w:val="(%1)"/>
      <w:lvlJc w:val="left"/>
      <w:pPr>
        <w:ind w:left="1069" w:hanging="360"/>
      </w:pPr>
      <w:rPr>
        <w:rFonts w:asciiTheme="minorHAnsi" w:hAnsiTheme="minorHAnsi" w:hint="default"/>
        <w:sz w:val="22"/>
        <w:szCs w:val="22"/>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4" w15:restartNumberingAfterBreak="0">
    <w:nsid w:val="65DF6494"/>
    <w:multiLevelType w:val="multilevel"/>
    <w:tmpl w:val="B7DA9544"/>
    <w:numStyleLink w:val="ChapterList"/>
  </w:abstractNum>
  <w:abstractNum w:abstractNumId="25" w15:restartNumberingAfterBreak="0">
    <w:nsid w:val="6B3656EB"/>
    <w:multiLevelType w:val="hybridMultilevel"/>
    <w:tmpl w:val="990AB17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E243151"/>
    <w:multiLevelType w:val="hybridMultilevel"/>
    <w:tmpl w:val="0DDE4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2437F6"/>
    <w:multiLevelType w:val="hybridMultilevel"/>
    <w:tmpl w:val="281AE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F066C7"/>
    <w:multiLevelType w:val="hybridMultilevel"/>
    <w:tmpl w:val="31B8C65C"/>
    <w:lvl w:ilvl="0" w:tplc="B19AF8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4E33FC"/>
    <w:multiLevelType w:val="hybridMultilevel"/>
    <w:tmpl w:val="31B8C65C"/>
    <w:lvl w:ilvl="0" w:tplc="B19AF8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985545"/>
    <w:multiLevelType w:val="hybridMultilevel"/>
    <w:tmpl w:val="C074CF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FAF3C1E"/>
    <w:multiLevelType w:val="hybridMultilevel"/>
    <w:tmpl w:val="F37695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0"/>
  </w:num>
  <w:num w:numId="3">
    <w:abstractNumId w:val="10"/>
  </w:num>
  <w:num w:numId="4">
    <w:abstractNumId w:val="11"/>
  </w:num>
  <w:num w:numId="5">
    <w:abstractNumId w:val="24"/>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2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2"/>
  </w:num>
  <w:num w:numId="11">
    <w:abstractNumId w:val="15"/>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4"/>
  </w:num>
  <w:num w:numId="24">
    <w:abstractNumId w:val="19"/>
  </w:num>
  <w:num w:numId="25">
    <w:abstractNumId w:val="5"/>
  </w:num>
  <w:num w:numId="26">
    <w:abstractNumId w:val="29"/>
  </w:num>
  <w:num w:numId="27">
    <w:abstractNumId w:val="20"/>
  </w:num>
  <w:num w:numId="28">
    <w:abstractNumId w:val="28"/>
  </w:num>
  <w:num w:numId="29">
    <w:abstractNumId w:val="7"/>
  </w:num>
  <w:num w:numId="30">
    <w:abstractNumId w:val="17"/>
  </w:num>
  <w:num w:numId="31">
    <w:abstractNumId w:val="1"/>
  </w:num>
  <w:num w:numId="32">
    <w:abstractNumId w:val="14"/>
  </w:num>
  <w:num w:numId="33">
    <w:abstractNumId w:val="23"/>
  </w:num>
  <w:num w:numId="34">
    <w:abstractNumId w:val="18"/>
  </w:num>
  <w:num w:numId="35">
    <w:abstractNumId w:val="16"/>
  </w:num>
  <w:num w:numId="36">
    <w:abstractNumId w:val="8"/>
  </w:num>
  <w:num w:numId="37">
    <w:abstractNumId w:val="26"/>
  </w:num>
  <w:num w:numId="38">
    <w:abstractNumId w:val="30"/>
  </w:num>
  <w:num w:numId="39">
    <w:abstractNumId w:val="25"/>
  </w:num>
  <w:num w:numId="40">
    <w:abstractNumId w:val="27"/>
  </w:num>
  <w:num w:numId="41">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18"/>
    <w:rsid w:val="00003076"/>
    <w:rsid w:val="00004761"/>
    <w:rsid w:val="00005765"/>
    <w:rsid w:val="0000688B"/>
    <w:rsid w:val="000075B6"/>
    <w:rsid w:val="000117B2"/>
    <w:rsid w:val="00011F79"/>
    <w:rsid w:val="000126CD"/>
    <w:rsid w:val="00012A26"/>
    <w:rsid w:val="00012BF1"/>
    <w:rsid w:val="00012C9E"/>
    <w:rsid w:val="00012CC5"/>
    <w:rsid w:val="00015D97"/>
    <w:rsid w:val="0001796D"/>
    <w:rsid w:val="00017BF0"/>
    <w:rsid w:val="0002568B"/>
    <w:rsid w:val="000278BA"/>
    <w:rsid w:val="000331E4"/>
    <w:rsid w:val="00034935"/>
    <w:rsid w:val="00035A53"/>
    <w:rsid w:val="00043FA7"/>
    <w:rsid w:val="00043FF9"/>
    <w:rsid w:val="00044E57"/>
    <w:rsid w:val="000455C0"/>
    <w:rsid w:val="00045760"/>
    <w:rsid w:val="00045888"/>
    <w:rsid w:val="00045CBF"/>
    <w:rsid w:val="00046504"/>
    <w:rsid w:val="000478CE"/>
    <w:rsid w:val="00050D62"/>
    <w:rsid w:val="0005424A"/>
    <w:rsid w:val="000552E8"/>
    <w:rsid w:val="00055FF3"/>
    <w:rsid w:val="00056585"/>
    <w:rsid w:val="0005674F"/>
    <w:rsid w:val="0006111B"/>
    <w:rsid w:val="00061309"/>
    <w:rsid w:val="00063405"/>
    <w:rsid w:val="00065C6E"/>
    <w:rsid w:val="0006719E"/>
    <w:rsid w:val="00067823"/>
    <w:rsid w:val="00071D51"/>
    <w:rsid w:val="00072405"/>
    <w:rsid w:val="00072E6E"/>
    <w:rsid w:val="00073F1B"/>
    <w:rsid w:val="00075B58"/>
    <w:rsid w:val="00081520"/>
    <w:rsid w:val="00083F4D"/>
    <w:rsid w:val="000861A5"/>
    <w:rsid w:val="00087B6E"/>
    <w:rsid w:val="0009028C"/>
    <w:rsid w:val="000903CD"/>
    <w:rsid w:val="0009209F"/>
    <w:rsid w:val="000921D9"/>
    <w:rsid w:val="00092735"/>
    <w:rsid w:val="0009500E"/>
    <w:rsid w:val="000957AB"/>
    <w:rsid w:val="0009620E"/>
    <w:rsid w:val="000A141A"/>
    <w:rsid w:val="000A2C63"/>
    <w:rsid w:val="000A3A3B"/>
    <w:rsid w:val="000A654D"/>
    <w:rsid w:val="000A7452"/>
    <w:rsid w:val="000A75B9"/>
    <w:rsid w:val="000B11DD"/>
    <w:rsid w:val="000B1785"/>
    <w:rsid w:val="000B4C78"/>
    <w:rsid w:val="000B754B"/>
    <w:rsid w:val="000C21EA"/>
    <w:rsid w:val="000C390A"/>
    <w:rsid w:val="000C5B59"/>
    <w:rsid w:val="000C6C4B"/>
    <w:rsid w:val="000C77DD"/>
    <w:rsid w:val="000C7BF5"/>
    <w:rsid w:val="000D2D0A"/>
    <w:rsid w:val="000E1C28"/>
    <w:rsid w:val="000E295B"/>
    <w:rsid w:val="000E45A0"/>
    <w:rsid w:val="000E4797"/>
    <w:rsid w:val="000E5E9E"/>
    <w:rsid w:val="000E6DCC"/>
    <w:rsid w:val="000E755E"/>
    <w:rsid w:val="000E7F35"/>
    <w:rsid w:val="000F2E91"/>
    <w:rsid w:val="000F5130"/>
    <w:rsid w:val="000F5357"/>
    <w:rsid w:val="00100089"/>
    <w:rsid w:val="00101CD5"/>
    <w:rsid w:val="001039FB"/>
    <w:rsid w:val="00107385"/>
    <w:rsid w:val="00107460"/>
    <w:rsid w:val="001121BD"/>
    <w:rsid w:val="00112415"/>
    <w:rsid w:val="00116233"/>
    <w:rsid w:val="001165D0"/>
    <w:rsid w:val="00121CB7"/>
    <w:rsid w:val="00134CD5"/>
    <w:rsid w:val="001365EA"/>
    <w:rsid w:val="0013678D"/>
    <w:rsid w:val="00136B76"/>
    <w:rsid w:val="00136F83"/>
    <w:rsid w:val="00140A34"/>
    <w:rsid w:val="00145060"/>
    <w:rsid w:val="00146AD8"/>
    <w:rsid w:val="00146DD4"/>
    <w:rsid w:val="00146ED8"/>
    <w:rsid w:val="00151426"/>
    <w:rsid w:val="00151E75"/>
    <w:rsid w:val="00160D19"/>
    <w:rsid w:val="001617FA"/>
    <w:rsid w:val="00162BF9"/>
    <w:rsid w:val="00162D83"/>
    <w:rsid w:val="0016465F"/>
    <w:rsid w:val="00166BE5"/>
    <w:rsid w:val="00167202"/>
    <w:rsid w:val="00172E58"/>
    <w:rsid w:val="001732BD"/>
    <w:rsid w:val="0017407E"/>
    <w:rsid w:val="00174D54"/>
    <w:rsid w:val="00176F88"/>
    <w:rsid w:val="001770EB"/>
    <w:rsid w:val="001774E5"/>
    <w:rsid w:val="00180EC9"/>
    <w:rsid w:val="00181DA1"/>
    <w:rsid w:val="001828A4"/>
    <w:rsid w:val="001828C3"/>
    <w:rsid w:val="001861AF"/>
    <w:rsid w:val="00186826"/>
    <w:rsid w:val="001869EE"/>
    <w:rsid w:val="00186A7C"/>
    <w:rsid w:val="0018734C"/>
    <w:rsid w:val="00187C19"/>
    <w:rsid w:val="00191F5F"/>
    <w:rsid w:val="00194CEE"/>
    <w:rsid w:val="00196949"/>
    <w:rsid w:val="00197994"/>
    <w:rsid w:val="001A2E2F"/>
    <w:rsid w:val="001A3377"/>
    <w:rsid w:val="001A3BE2"/>
    <w:rsid w:val="001A699F"/>
    <w:rsid w:val="001B0005"/>
    <w:rsid w:val="001B0208"/>
    <w:rsid w:val="001B1279"/>
    <w:rsid w:val="001B20EB"/>
    <w:rsid w:val="001B683C"/>
    <w:rsid w:val="001B6C92"/>
    <w:rsid w:val="001C0F3F"/>
    <w:rsid w:val="001C1CC8"/>
    <w:rsid w:val="001C2822"/>
    <w:rsid w:val="001C35E7"/>
    <w:rsid w:val="001C3D9E"/>
    <w:rsid w:val="001C4578"/>
    <w:rsid w:val="001C6F3F"/>
    <w:rsid w:val="001D02E6"/>
    <w:rsid w:val="001D1FDF"/>
    <w:rsid w:val="001D2172"/>
    <w:rsid w:val="001D4FA2"/>
    <w:rsid w:val="001D78F9"/>
    <w:rsid w:val="001D7E5F"/>
    <w:rsid w:val="001E396C"/>
    <w:rsid w:val="001E447B"/>
    <w:rsid w:val="001E4E29"/>
    <w:rsid w:val="001F020D"/>
    <w:rsid w:val="001F0FBF"/>
    <w:rsid w:val="001F28A6"/>
    <w:rsid w:val="001F2A16"/>
    <w:rsid w:val="001F31E5"/>
    <w:rsid w:val="001F3BAD"/>
    <w:rsid w:val="001F554E"/>
    <w:rsid w:val="001F6921"/>
    <w:rsid w:val="001F7C3E"/>
    <w:rsid w:val="00201969"/>
    <w:rsid w:val="0020426F"/>
    <w:rsid w:val="0020614D"/>
    <w:rsid w:val="00206FFD"/>
    <w:rsid w:val="0021222C"/>
    <w:rsid w:val="002132C1"/>
    <w:rsid w:val="00213FA5"/>
    <w:rsid w:val="00214046"/>
    <w:rsid w:val="0021496E"/>
    <w:rsid w:val="00222AFB"/>
    <w:rsid w:val="002256DA"/>
    <w:rsid w:val="002273EC"/>
    <w:rsid w:val="002307E9"/>
    <w:rsid w:val="0023093F"/>
    <w:rsid w:val="00235235"/>
    <w:rsid w:val="00235C91"/>
    <w:rsid w:val="00236200"/>
    <w:rsid w:val="00236D67"/>
    <w:rsid w:val="00237118"/>
    <w:rsid w:val="0023733A"/>
    <w:rsid w:val="00240244"/>
    <w:rsid w:val="0024044F"/>
    <w:rsid w:val="00240CFB"/>
    <w:rsid w:val="00240EB1"/>
    <w:rsid w:val="0024320D"/>
    <w:rsid w:val="002447D4"/>
    <w:rsid w:val="00245D00"/>
    <w:rsid w:val="00245D75"/>
    <w:rsid w:val="002506F3"/>
    <w:rsid w:val="00250E1D"/>
    <w:rsid w:val="00252BA2"/>
    <w:rsid w:val="00252E42"/>
    <w:rsid w:val="0025581A"/>
    <w:rsid w:val="002565EF"/>
    <w:rsid w:val="0025662A"/>
    <w:rsid w:val="0025722E"/>
    <w:rsid w:val="00257F2D"/>
    <w:rsid w:val="00262F9F"/>
    <w:rsid w:val="00263C44"/>
    <w:rsid w:val="00266D2D"/>
    <w:rsid w:val="00266E57"/>
    <w:rsid w:val="0027319F"/>
    <w:rsid w:val="0027331F"/>
    <w:rsid w:val="002736F3"/>
    <w:rsid w:val="00274283"/>
    <w:rsid w:val="00274A7F"/>
    <w:rsid w:val="00284A66"/>
    <w:rsid w:val="00285E76"/>
    <w:rsid w:val="002948F0"/>
    <w:rsid w:val="002949C3"/>
    <w:rsid w:val="00295471"/>
    <w:rsid w:val="00296185"/>
    <w:rsid w:val="00297626"/>
    <w:rsid w:val="00297D13"/>
    <w:rsid w:val="002A082C"/>
    <w:rsid w:val="002A10A4"/>
    <w:rsid w:val="002A207D"/>
    <w:rsid w:val="002A26FE"/>
    <w:rsid w:val="002A3AA8"/>
    <w:rsid w:val="002A40A3"/>
    <w:rsid w:val="002A44E2"/>
    <w:rsid w:val="002A4D90"/>
    <w:rsid w:val="002A5141"/>
    <w:rsid w:val="002B12CF"/>
    <w:rsid w:val="002B1423"/>
    <w:rsid w:val="002B18C8"/>
    <w:rsid w:val="002B2FEB"/>
    <w:rsid w:val="002B4074"/>
    <w:rsid w:val="002B4A32"/>
    <w:rsid w:val="002B552F"/>
    <w:rsid w:val="002B5848"/>
    <w:rsid w:val="002B5AEC"/>
    <w:rsid w:val="002B7296"/>
    <w:rsid w:val="002C020A"/>
    <w:rsid w:val="002C2998"/>
    <w:rsid w:val="002C39AB"/>
    <w:rsid w:val="002C6622"/>
    <w:rsid w:val="002C6D53"/>
    <w:rsid w:val="002C7AE1"/>
    <w:rsid w:val="002D0E0E"/>
    <w:rsid w:val="002D1299"/>
    <w:rsid w:val="002D1E3E"/>
    <w:rsid w:val="002D236B"/>
    <w:rsid w:val="002D2EE1"/>
    <w:rsid w:val="002E076E"/>
    <w:rsid w:val="002E0967"/>
    <w:rsid w:val="002E1221"/>
    <w:rsid w:val="002E37C5"/>
    <w:rsid w:val="002F1257"/>
    <w:rsid w:val="002F29F9"/>
    <w:rsid w:val="002F3BB1"/>
    <w:rsid w:val="002F64B8"/>
    <w:rsid w:val="00302F56"/>
    <w:rsid w:val="003033E5"/>
    <w:rsid w:val="003052EB"/>
    <w:rsid w:val="003069C8"/>
    <w:rsid w:val="0031026E"/>
    <w:rsid w:val="00310C61"/>
    <w:rsid w:val="00312EBC"/>
    <w:rsid w:val="003157C7"/>
    <w:rsid w:val="003171B3"/>
    <w:rsid w:val="00317495"/>
    <w:rsid w:val="00320EAF"/>
    <w:rsid w:val="00321B36"/>
    <w:rsid w:val="0032295C"/>
    <w:rsid w:val="00323867"/>
    <w:rsid w:val="0032552B"/>
    <w:rsid w:val="0032559D"/>
    <w:rsid w:val="00327B59"/>
    <w:rsid w:val="00331616"/>
    <w:rsid w:val="003327D4"/>
    <w:rsid w:val="0033330D"/>
    <w:rsid w:val="00333567"/>
    <w:rsid w:val="0033423F"/>
    <w:rsid w:val="00334F95"/>
    <w:rsid w:val="00337A32"/>
    <w:rsid w:val="00340CAC"/>
    <w:rsid w:val="003430C0"/>
    <w:rsid w:val="00344575"/>
    <w:rsid w:val="003446AA"/>
    <w:rsid w:val="00347596"/>
    <w:rsid w:val="00350867"/>
    <w:rsid w:val="0035113C"/>
    <w:rsid w:val="00351EEC"/>
    <w:rsid w:val="00352EC9"/>
    <w:rsid w:val="00354525"/>
    <w:rsid w:val="00357F1B"/>
    <w:rsid w:val="00363625"/>
    <w:rsid w:val="00364F1E"/>
    <w:rsid w:val="00365887"/>
    <w:rsid w:val="00365F35"/>
    <w:rsid w:val="003713B4"/>
    <w:rsid w:val="00372774"/>
    <w:rsid w:val="00374385"/>
    <w:rsid w:val="00377A30"/>
    <w:rsid w:val="00380BCC"/>
    <w:rsid w:val="00380CC4"/>
    <w:rsid w:val="00390EAD"/>
    <w:rsid w:val="003912A3"/>
    <w:rsid w:val="00392C4D"/>
    <w:rsid w:val="00394754"/>
    <w:rsid w:val="003A06B1"/>
    <w:rsid w:val="003A26B2"/>
    <w:rsid w:val="003A2B62"/>
    <w:rsid w:val="003A4A09"/>
    <w:rsid w:val="003A5F96"/>
    <w:rsid w:val="003A6ED5"/>
    <w:rsid w:val="003B2699"/>
    <w:rsid w:val="003B3D3F"/>
    <w:rsid w:val="003B5562"/>
    <w:rsid w:val="003B7503"/>
    <w:rsid w:val="003B7E54"/>
    <w:rsid w:val="003C012B"/>
    <w:rsid w:val="003C0686"/>
    <w:rsid w:val="003C32CD"/>
    <w:rsid w:val="003C38D3"/>
    <w:rsid w:val="003C69FB"/>
    <w:rsid w:val="003D08CF"/>
    <w:rsid w:val="003D0CBA"/>
    <w:rsid w:val="003D0F6A"/>
    <w:rsid w:val="003D4BA8"/>
    <w:rsid w:val="003E28A0"/>
    <w:rsid w:val="003E32D0"/>
    <w:rsid w:val="003E362E"/>
    <w:rsid w:val="003E4005"/>
    <w:rsid w:val="003E40A3"/>
    <w:rsid w:val="003E5269"/>
    <w:rsid w:val="003F0D6C"/>
    <w:rsid w:val="003F2F9F"/>
    <w:rsid w:val="003F4853"/>
    <w:rsid w:val="003F5D2B"/>
    <w:rsid w:val="0040042A"/>
    <w:rsid w:val="0040062C"/>
    <w:rsid w:val="00400A51"/>
    <w:rsid w:val="00400EF8"/>
    <w:rsid w:val="00402538"/>
    <w:rsid w:val="00405394"/>
    <w:rsid w:val="00405FC6"/>
    <w:rsid w:val="004066E4"/>
    <w:rsid w:val="0040680B"/>
    <w:rsid w:val="00407361"/>
    <w:rsid w:val="00413943"/>
    <w:rsid w:val="00414012"/>
    <w:rsid w:val="00417C55"/>
    <w:rsid w:val="0042159E"/>
    <w:rsid w:val="004227EE"/>
    <w:rsid w:val="004232CC"/>
    <w:rsid w:val="00424A7B"/>
    <w:rsid w:val="004254CD"/>
    <w:rsid w:val="00425EB9"/>
    <w:rsid w:val="004263F9"/>
    <w:rsid w:val="00427FE8"/>
    <w:rsid w:val="00432EEB"/>
    <w:rsid w:val="00434425"/>
    <w:rsid w:val="00435D89"/>
    <w:rsid w:val="00440CBD"/>
    <w:rsid w:val="0044103B"/>
    <w:rsid w:val="004447C1"/>
    <w:rsid w:val="00444981"/>
    <w:rsid w:val="00446AA8"/>
    <w:rsid w:val="004472B7"/>
    <w:rsid w:val="004478BD"/>
    <w:rsid w:val="00447B51"/>
    <w:rsid w:val="0045121D"/>
    <w:rsid w:val="00453782"/>
    <w:rsid w:val="0045590D"/>
    <w:rsid w:val="00456CA3"/>
    <w:rsid w:val="00457B7F"/>
    <w:rsid w:val="00461B14"/>
    <w:rsid w:val="0046211F"/>
    <w:rsid w:val="004625E8"/>
    <w:rsid w:val="004629C1"/>
    <w:rsid w:val="00464483"/>
    <w:rsid w:val="0046476D"/>
    <w:rsid w:val="004652E3"/>
    <w:rsid w:val="0046787B"/>
    <w:rsid w:val="00480E59"/>
    <w:rsid w:val="0048365D"/>
    <w:rsid w:val="004837FA"/>
    <w:rsid w:val="00486653"/>
    <w:rsid w:val="0049090A"/>
    <w:rsid w:val="00492009"/>
    <w:rsid w:val="00493CA7"/>
    <w:rsid w:val="00494B08"/>
    <w:rsid w:val="00496928"/>
    <w:rsid w:val="004974E1"/>
    <w:rsid w:val="004A21F0"/>
    <w:rsid w:val="004A3F81"/>
    <w:rsid w:val="004A50B7"/>
    <w:rsid w:val="004A5FDA"/>
    <w:rsid w:val="004B255C"/>
    <w:rsid w:val="004B28C1"/>
    <w:rsid w:val="004B2957"/>
    <w:rsid w:val="004B4781"/>
    <w:rsid w:val="004B4ED6"/>
    <w:rsid w:val="004B500F"/>
    <w:rsid w:val="004B64E3"/>
    <w:rsid w:val="004B65A0"/>
    <w:rsid w:val="004B6BE7"/>
    <w:rsid w:val="004C032E"/>
    <w:rsid w:val="004C08D4"/>
    <w:rsid w:val="004C2795"/>
    <w:rsid w:val="004C41EC"/>
    <w:rsid w:val="004C46C0"/>
    <w:rsid w:val="004C7069"/>
    <w:rsid w:val="004C7450"/>
    <w:rsid w:val="004C7DCE"/>
    <w:rsid w:val="004D098C"/>
    <w:rsid w:val="004D10B5"/>
    <w:rsid w:val="004D24A9"/>
    <w:rsid w:val="004D3CCE"/>
    <w:rsid w:val="004D41FE"/>
    <w:rsid w:val="004D52E0"/>
    <w:rsid w:val="004D72BB"/>
    <w:rsid w:val="004E06D7"/>
    <w:rsid w:val="004E1E68"/>
    <w:rsid w:val="004E2542"/>
    <w:rsid w:val="004E5357"/>
    <w:rsid w:val="004E5EF7"/>
    <w:rsid w:val="004F06A5"/>
    <w:rsid w:val="004F0D43"/>
    <w:rsid w:val="004F28CB"/>
    <w:rsid w:val="004F4461"/>
    <w:rsid w:val="004F4A07"/>
    <w:rsid w:val="004F54C4"/>
    <w:rsid w:val="004F5A9E"/>
    <w:rsid w:val="004F5EB1"/>
    <w:rsid w:val="004F6887"/>
    <w:rsid w:val="005026D4"/>
    <w:rsid w:val="005030AD"/>
    <w:rsid w:val="005040AE"/>
    <w:rsid w:val="00504931"/>
    <w:rsid w:val="00505F85"/>
    <w:rsid w:val="0050607B"/>
    <w:rsid w:val="005115BF"/>
    <w:rsid w:val="00511F3B"/>
    <w:rsid w:val="005120F2"/>
    <w:rsid w:val="0051249C"/>
    <w:rsid w:val="005160D4"/>
    <w:rsid w:val="005176E7"/>
    <w:rsid w:val="00520330"/>
    <w:rsid w:val="00521140"/>
    <w:rsid w:val="0052152C"/>
    <w:rsid w:val="00522C64"/>
    <w:rsid w:val="00522EF0"/>
    <w:rsid w:val="0052400A"/>
    <w:rsid w:val="005242C6"/>
    <w:rsid w:val="00524353"/>
    <w:rsid w:val="00524B6B"/>
    <w:rsid w:val="00526403"/>
    <w:rsid w:val="00527403"/>
    <w:rsid w:val="00530DDF"/>
    <w:rsid w:val="0053540D"/>
    <w:rsid w:val="00536140"/>
    <w:rsid w:val="005376B2"/>
    <w:rsid w:val="005413EE"/>
    <w:rsid w:val="00541762"/>
    <w:rsid w:val="0054226D"/>
    <w:rsid w:val="00543649"/>
    <w:rsid w:val="00552B1F"/>
    <w:rsid w:val="005609F2"/>
    <w:rsid w:val="00564B63"/>
    <w:rsid w:val="00564C74"/>
    <w:rsid w:val="005656B9"/>
    <w:rsid w:val="00565B9F"/>
    <w:rsid w:val="00565EF2"/>
    <w:rsid w:val="00566591"/>
    <w:rsid w:val="0056699B"/>
    <w:rsid w:val="00566EA5"/>
    <w:rsid w:val="00567008"/>
    <w:rsid w:val="0057195A"/>
    <w:rsid w:val="00575B35"/>
    <w:rsid w:val="00575DF0"/>
    <w:rsid w:val="005812DE"/>
    <w:rsid w:val="00583B10"/>
    <w:rsid w:val="00587443"/>
    <w:rsid w:val="00587C50"/>
    <w:rsid w:val="005917F3"/>
    <w:rsid w:val="00591BFE"/>
    <w:rsid w:val="00591F5C"/>
    <w:rsid w:val="00591F68"/>
    <w:rsid w:val="00596B24"/>
    <w:rsid w:val="00597662"/>
    <w:rsid w:val="005A0D9F"/>
    <w:rsid w:val="005A1FE9"/>
    <w:rsid w:val="005A2466"/>
    <w:rsid w:val="005A35B3"/>
    <w:rsid w:val="005A44CB"/>
    <w:rsid w:val="005A5770"/>
    <w:rsid w:val="005A5F24"/>
    <w:rsid w:val="005A6226"/>
    <w:rsid w:val="005B092C"/>
    <w:rsid w:val="005B0ACD"/>
    <w:rsid w:val="005B0D90"/>
    <w:rsid w:val="005B1BA3"/>
    <w:rsid w:val="005B2BA3"/>
    <w:rsid w:val="005B4F93"/>
    <w:rsid w:val="005B50A2"/>
    <w:rsid w:val="005B5B22"/>
    <w:rsid w:val="005C1172"/>
    <w:rsid w:val="005C3408"/>
    <w:rsid w:val="005C3BAF"/>
    <w:rsid w:val="005D00BF"/>
    <w:rsid w:val="005D51E6"/>
    <w:rsid w:val="005D6058"/>
    <w:rsid w:val="005D6073"/>
    <w:rsid w:val="005D611B"/>
    <w:rsid w:val="005D616A"/>
    <w:rsid w:val="005D6B8C"/>
    <w:rsid w:val="005E0F9C"/>
    <w:rsid w:val="005F1971"/>
    <w:rsid w:val="005F1ACE"/>
    <w:rsid w:val="005F256D"/>
    <w:rsid w:val="005F2F30"/>
    <w:rsid w:val="005F543E"/>
    <w:rsid w:val="005F552E"/>
    <w:rsid w:val="005F58BA"/>
    <w:rsid w:val="0060183A"/>
    <w:rsid w:val="0060270C"/>
    <w:rsid w:val="00602836"/>
    <w:rsid w:val="00602B68"/>
    <w:rsid w:val="00603110"/>
    <w:rsid w:val="00604E71"/>
    <w:rsid w:val="00606E08"/>
    <w:rsid w:val="00606EA8"/>
    <w:rsid w:val="0060714E"/>
    <w:rsid w:val="0061122B"/>
    <w:rsid w:val="00611C8E"/>
    <w:rsid w:val="00611E9A"/>
    <w:rsid w:val="00613AA1"/>
    <w:rsid w:val="0061478A"/>
    <w:rsid w:val="00614C31"/>
    <w:rsid w:val="00617C00"/>
    <w:rsid w:val="00622C11"/>
    <w:rsid w:val="00625FDC"/>
    <w:rsid w:val="006302F7"/>
    <w:rsid w:val="00631F30"/>
    <w:rsid w:val="0063710A"/>
    <w:rsid w:val="00637417"/>
    <w:rsid w:val="00642420"/>
    <w:rsid w:val="00646158"/>
    <w:rsid w:val="0064633E"/>
    <w:rsid w:val="00650648"/>
    <w:rsid w:val="00650C27"/>
    <w:rsid w:val="006513F4"/>
    <w:rsid w:val="00652E0F"/>
    <w:rsid w:val="00654F1B"/>
    <w:rsid w:val="006601FB"/>
    <w:rsid w:val="0066622C"/>
    <w:rsid w:val="00666487"/>
    <w:rsid w:val="0067150F"/>
    <w:rsid w:val="00672894"/>
    <w:rsid w:val="00672D7C"/>
    <w:rsid w:val="00673B37"/>
    <w:rsid w:val="006744CE"/>
    <w:rsid w:val="00674705"/>
    <w:rsid w:val="00675F48"/>
    <w:rsid w:val="00676313"/>
    <w:rsid w:val="00677E4A"/>
    <w:rsid w:val="00680907"/>
    <w:rsid w:val="00680A2A"/>
    <w:rsid w:val="00680B56"/>
    <w:rsid w:val="00682B17"/>
    <w:rsid w:val="00683DE5"/>
    <w:rsid w:val="00684EEF"/>
    <w:rsid w:val="00685777"/>
    <w:rsid w:val="006874BF"/>
    <w:rsid w:val="00690809"/>
    <w:rsid w:val="006920B7"/>
    <w:rsid w:val="0069224B"/>
    <w:rsid w:val="0069339C"/>
    <w:rsid w:val="006945EA"/>
    <w:rsid w:val="006A0DB4"/>
    <w:rsid w:val="006A0FFE"/>
    <w:rsid w:val="006A2A96"/>
    <w:rsid w:val="006A5E2A"/>
    <w:rsid w:val="006A5EDF"/>
    <w:rsid w:val="006A6282"/>
    <w:rsid w:val="006A6792"/>
    <w:rsid w:val="006A72D8"/>
    <w:rsid w:val="006B1EBE"/>
    <w:rsid w:val="006B31DB"/>
    <w:rsid w:val="006B33E8"/>
    <w:rsid w:val="006B4354"/>
    <w:rsid w:val="006B452C"/>
    <w:rsid w:val="006B50F4"/>
    <w:rsid w:val="006B5470"/>
    <w:rsid w:val="006B5538"/>
    <w:rsid w:val="006B5933"/>
    <w:rsid w:val="006C22F5"/>
    <w:rsid w:val="006C2DFE"/>
    <w:rsid w:val="006C2E3E"/>
    <w:rsid w:val="006C59ED"/>
    <w:rsid w:val="006C6A6D"/>
    <w:rsid w:val="006C6A75"/>
    <w:rsid w:val="006C6C55"/>
    <w:rsid w:val="006C6F85"/>
    <w:rsid w:val="006D0106"/>
    <w:rsid w:val="006D0138"/>
    <w:rsid w:val="006D6A9B"/>
    <w:rsid w:val="006D6F52"/>
    <w:rsid w:val="006D6F98"/>
    <w:rsid w:val="006E09B4"/>
    <w:rsid w:val="006E1AFA"/>
    <w:rsid w:val="006E1EC9"/>
    <w:rsid w:val="006E3213"/>
    <w:rsid w:val="006F2F24"/>
    <w:rsid w:val="006F4847"/>
    <w:rsid w:val="007000E1"/>
    <w:rsid w:val="007011CF"/>
    <w:rsid w:val="00701718"/>
    <w:rsid w:val="00701C02"/>
    <w:rsid w:val="00702624"/>
    <w:rsid w:val="007036D2"/>
    <w:rsid w:val="00703DD6"/>
    <w:rsid w:val="00706A84"/>
    <w:rsid w:val="00710359"/>
    <w:rsid w:val="007114A1"/>
    <w:rsid w:val="00711AD2"/>
    <w:rsid w:val="007123EA"/>
    <w:rsid w:val="00712EDE"/>
    <w:rsid w:val="00712FFF"/>
    <w:rsid w:val="007140C8"/>
    <w:rsid w:val="00714ECB"/>
    <w:rsid w:val="00722DBF"/>
    <w:rsid w:val="00725E27"/>
    <w:rsid w:val="00727E5D"/>
    <w:rsid w:val="00735157"/>
    <w:rsid w:val="0073659E"/>
    <w:rsid w:val="007369E2"/>
    <w:rsid w:val="00741EC0"/>
    <w:rsid w:val="007430EF"/>
    <w:rsid w:val="007437F5"/>
    <w:rsid w:val="0074405E"/>
    <w:rsid w:val="00745656"/>
    <w:rsid w:val="00745CDC"/>
    <w:rsid w:val="00752576"/>
    <w:rsid w:val="007604D8"/>
    <w:rsid w:val="00760976"/>
    <w:rsid w:val="0076271C"/>
    <w:rsid w:val="007631E3"/>
    <w:rsid w:val="00764B0A"/>
    <w:rsid w:val="0076761C"/>
    <w:rsid w:val="00767CE8"/>
    <w:rsid w:val="00770411"/>
    <w:rsid w:val="0077169E"/>
    <w:rsid w:val="00771F3B"/>
    <w:rsid w:val="007728FE"/>
    <w:rsid w:val="00773D0C"/>
    <w:rsid w:val="007740B3"/>
    <w:rsid w:val="00775490"/>
    <w:rsid w:val="0077629E"/>
    <w:rsid w:val="007803A9"/>
    <w:rsid w:val="00780465"/>
    <w:rsid w:val="007816CE"/>
    <w:rsid w:val="00783E37"/>
    <w:rsid w:val="00784881"/>
    <w:rsid w:val="0079082D"/>
    <w:rsid w:val="0079455A"/>
    <w:rsid w:val="0079520A"/>
    <w:rsid w:val="00795652"/>
    <w:rsid w:val="0079570B"/>
    <w:rsid w:val="00795D0C"/>
    <w:rsid w:val="007966E2"/>
    <w:rsid w:val="00797B65"/>
    <w:rsid w:val="00797C36"/>
    <w:rsid w:val="007A0C32"/>
    <w:rsid w:val="007A1EB0"/>
    <w:rsid w:val="007A2699"/>
    <w:rsid w:val="007A55BA"/>
    <w:rsid w:val="007A7E38"/>
    <w:rsid w:val="007B0104"/>
    <w:rsid w:val="007B1372"/>
    <w:rsid w:val="007B20CA"/>
    <w:rsid w:val="007B245A"/>
    <w:rsid w:val="007B30CF"/>
    <w:rsid w:val="007B41D1"/>
    <w:rsid w:val="007B52CB"/>
    <w:rsid w:val="007B5ADE"/>
    <w:rsid w:val="007C1BA5"/>
    <w:rsid w:val="007C1FBD"/>
    <w:rsid w:val="007C454E"/>
    <w:rsid w:val="007C54B3"/>
    <w:rsid w:val="007C5C8E"/>
    <w:rsid w:val="007D531E"/>
    <w:rsid w:val="007D5EBB"/>
    <w:rsid w:val="007E08FF"/>
    <w:rsid w:val="007E0A01"/>
    <w:rsid w:val="007E22F5"/>
    <w:rsid w:val="007E23F0"/>
    <w:rsid w:val="007E6C38"/>
    <w:rsid w:val="007F1668"/>
    <w:rsid w:val="007F1FAA"/>
    <w:rsid w:val="007F2574"/>
    <w:rsid w:val="007F25F3"/>
    <w:rsid w:val="007F31B5"/>
    <w:rsid w:val="007F3E0C"/>
    <w:rsid w:val="007F4901"/>
    <w:rsid w:val="007F50E7"/>
    <w:rsid w:val="007F68B3"/>
    <w:rsid w:val="007F72C5"/>
    <w:rsid w:val="0080008E"/>
    <w:rsid w:val="00800461"/>
    <w:rsid w:val="00804817"/>
    <w:rsid w:val="00807C5B"/>
    <w:rsid w:val="00807ED4"/>
    <w:rsid w:val="00811E7B"/>
    <w:rsid w:val="008144F8"/>
    <w:rsid w:val="008168E5"/>
    <w:rsid w:val="00816D9D"/>
    <w:rsid w:val="00825C6C"/>
    <w:rsid w:val="00826DEB"/>
    <w:rsid w:val="0083036A"/>
    <w:rsid w:val="0083180A"/>
    <w:rsid w:val="00832A78"/>
    <w:rsid w:val="00832F64"/>
    <w:rsid w:val="00833CF4"/>
    <w:rsid w:val="008346FA"/>
    <w:rsid w:val="00834B80"/>
    <w:rsid w:val="00836B02"/>
    <w:rsid w:val="00836FC6"/>
    <w:rsid w:val="008437CD"/>
    <w:rsid w:val="008439F3"/>
    <w:rsid w:val="00843CBE"/>
    <w:rsid w:val="008467D4"/>
    <w:rsid w:val="00850FB0"/>
    <w:rsid w:val="0085238E"/>
    <w:rsid w:val="00852D8D"/>
    <w:rsid w:val="00853428"/>
    <w:rsid w:val="008540EA"/>
    <w:rsid w:val="00854463"/>
    <w:rsid w:val="00854F1B"/>
    <w:rsid w:val="00855287"/>
    <w:rsid w:val="0085581F"/>
    <w:rsid w:val="00857072"/>
    <w:rsid w:val="0086188B"/>
    <w:rsid w:val="00862FB5"/>
    <w:rsid w:val="00866A00"/>
    <w:rsid w:val="00867380"/>
    <w:rsid w:val="00867D2F"/>
    <w:rsid w:val="008702A6"/>
    <w:rsid w:val="00873CA8"/>
    <w:rsid w:val="008757CE"/>
    <w:rsid w:val="00876B8D"/>
    <w:rsid w:val="00883545"/>
    <w:rsid w:val="0088392C"/>
    <w:rsid w:val="00884209"/>
    <w:rsid w:val="00884521"/>
    <w:rsid w:val="00887693"/>
    <w:rsid w:val="00887BDE"/>
    <w:rsid w:val="00887BE2"/>
    <w:rsid w:val="00887F13"/>
    <w:rsid w:val="008906B3"/>
    <w:rsid w:val="008907A2"/>
    <w:rsid w:val="00890C61"/>
    <w:rsid w:val="00894AF8"/>
    <w:rsid w:val="00897C0E"/>
    <w:rsid w:val="00897E31"/>
    <w:rsid w:val="008A046F"/>
    <w:rsid w:val="008A067C"/>
    <w:rsid w:val="008A0CE6"/>
    <w:rsid w:val="008A209F"/>
    <w:rsid w:val="008A405A"/>
    <w:rsid w:val="008A4070"/>
    <w:rsid w:val="008A46FA"/>
    <w:rsid w:val="008A6A6A"/>
    <w:rsid w:val="008A75E3"/>
    <w:rsid w:val="008B650A"/>
    <w:rsid w:val="008B72D3"/>
    <w:rsid w:val="008B787C"/>
    <w:rsid w:val="008C233C"/>
    <w:rsid w:val="008C3898"/>
    <w:rsid w:val="008C3EAC"/>
    <w:rsid w:val="008C66CC"/>
    <w:rsid w:val="008C7FA3"/>
    <w:rsid w:val="008D4497"/>
    <w:rsid w:val="008D45A7"/>
    <w:rsid w:val="008D4F7C"/>
    <w:rsid w:val="008D65FF"/>
    <w:rsid w:val="008E17D7"/>
    <w:rsid w:val="008E2677"/>
    <w:rsid w:val="008E60FE"/>
    <w:rsid w:val="008E741D"/>
    <w:rsid w:val="008F380C"/>
    <w:rsid w:val="008F483C"/>
    <w:rsid w:val="008F4970"/>
    <w:rsid w:val="0090377C"/>
    <w:rsid w:val="00904EFD"/>
    <w:rsid w:val="00905991"/>
    <w:rsid w:val="00906E8F"/>
    <w:rsid w:val="00910595"/>
    <w:rsid w:val="00910756"/>
    <w:rsid w:val="00911BC2"/>
    <w:rsid w:val="0091265D"/>
    <w:rsid w:val="00912D61"/>
    <w:rsid w:val="00913114"/>
    <w:rsid w:val="00913734"/>
    <w:rsid w:val="00914BFA"/>
    <w:rsid w:val="00915839"/>
    <w:rsid w:val="009216D5"/>
    <w:rsid w:val="009220CB"/>
    <w:rsid w:val="009220FA"/>
    <w:rsid w:val="00922F80"/>
    <w:rsid w:val="00923845"/>
    <w:rsid w:val="009248A0"/>
    <w:rsid w:val="009322D7"/>
    <w:rsid w:val="00932BDE"/>
    <w:rsid w:val="009371D0"/>
    <w:rsid w:val="00937643"/>
    <w:rsid w:val="00943650"/>
    <w:rsid w:val="0094435A"/>
    <w:rsid w:val="009511A7"/>
    <w:rsid w:val="00953765"/>
    <w:rsid w:val="00954B83"/>
    <w:rsid w:val="009556F6"/>
    <w:rsid w:val="009632E5"/>
    <w:rsid w:val="00963AA0"/>
    <w:rsid w:val="00965C6D"/>
    <w:rsid w:val="0096606F"/>
    <w:rsid w:val="00967725"/>
    <w:rsid w:val="00971141"/>
    <w:rsid w:val="00972915"/>
    <w:rsid w:val="00972DE9"/>
    <w:rsid w:val="009732D9"/>
    <w:rsid w:val="00975EC0"/>
    <w:rsid w:val="0097722A"/>
    <w:rsid w:val="0097747A"/>
    <w:rsid w:val="0098195F"/>
    <w:rsid w:val="00981FEC"/>
    <w:rsid w:val="00982A39"/>
    <w:rsid w:val="00983F0E"/>
    <w:rsid w:val="0098419A"/>
    <w:rsid w:val="00984C9C"/>
    <w:rsid w:val="00984E0D"/>
    <w:rsid w:val="00986498"/>
    <w:rsid w:val="00990128"/>
    <w:rsid w:val="009902F8"/>
    <w:rsid w:val="0099156D"/>
    <w:rsid w:val="0099226D"/>
    <w:rsid w:val="00993BB8"/>
    <w:rsid w:val="0099555F"/>
    <w:rsid w:val="00995ADE"/>
    <w:rsid w:val="00995DA2"/>
    <w:rsid w:val="00997A3B"/>
    <w:rsid w:val="009A1F05"/>
    <w:rsid w:val="009A22A1"/>
    <w:rsid w:val="009A7282"/>
    <w:rsid w:val="009B341B"/>
    <w:rsid w:val="009B3A1B"/>
    <w:rsid w:val="009B6332"/>
    <w:rsid w:val="009B788D"/>
    <w:rsid w:val="009C04FC"/>
    <w:rsid w:val="009C0574"/>
    <w:rsid w:val="009C0912"/>
    <w:rsid w:val="009C2683"/>
    <w:rsid w:val="009C4B22"/>
    <w:rsid w:val="009C7443"/>
    <w:rsid w:val="009D3951"/>
    <w:rsid w:val="009D54E2"/>
    <w:rsid w:val="009D6694"/>
    <w:rsid w:val="009D76C8"/>
    <w:rsid w:val="009E06FB"/>
    <w:rsid w:val="009E2622"/>
    <w:rsid w:val="009E4E56"/>
    <w:rsid w:val="009F0300"/>
    <w:rsid w:val="009F2042"/>
    <w:rsid w:val="009F2D60"/>
    <w:rsid w:val="009F6DBE"/>
    <w:rsid w:val="009F7D33"/>
    <w:rsid w:val="00A0054B"/>
    <w:rsid w:val="00A00D94"/>
    <w:rsid w:val="00A033CD"/>
    <w:rsid w:val="00A049D1"/>
    <w:rsid w:val="00A0589C"/>
    <w:rsid w:val="00A07560"/>
    <w:rsid w:val="00A11197"/>
    <w:rsid w:val="00A14042"/>
    <w:rsid w:val="00A149CB"/>
    <w:rsid w:val="00A15D00"/>
    <w:rsid w:val="00A167A8"/>
    <w:rsid w:val="00A20274"/>
    <w:rsid w:val="00A21F0A"/>
    <w:rsid w:val="00A2403E"/>
    <w:rsid w:val="00A25B8C"/>
    <w:rsid w:val="00A26011"/>
    <w:rsid w:val="00A27C9E"/>
    <w:rsid w:val="00A30E05"/>
    <w:rsid w:val="00A37553"/>
    <w:rsid w:val="00A3788E"/>
    <w:rsid w:val="00A410D5"/>
    <w:rsid w:val="00A4303F"/>
    <w:rsid w:val="00A4376D"/>
    <w:rsid w:val="00A4703F"/>
    <w:rsid w:val="00A471B7"/>
    <w:rsid w:val="00A47721"/>
    <w:rsid w:val="00A50094"/>
    <w:rsid w:val="00A506C2"/>
    <w:rsid w:val="00A50819"/>
    <w:rsid w:val="00A5110C"/>
    <w:rsid w:val="00A53799"/>
    <w:rsid w:val="00A55BE3"/>
    <w:rsid w:val="00A55E71"/>
    <w:rsid w:val="00A62886"/>
    <w:rsid w:val="00A64B9F"/>
    <w:rsid w:val="00A64E0C"/>
    <w:rsid w:val="00A659A9"/>
    <w:rsid w:val="00A6676A"/>
    <w:rsid w:val="00A674CA"/>
    <w:rsid w:val="00A73B23"/>
    <w:rsid w:val="00A73F33"/>
    <w:rsid w:val="00A74C38"/>
    <w:rsid w:val="00A77D24"/>
    <w:rsid w:val="00A81168"/>
    <w:rsid w:val="00A82E84"/>
    <w:rsid w:val="00A841E3"/>
    <w:rsid w:val="00A8566E"/>
    <w:rsid w:val="00A8572F"/>
    <w:rsid w:val="00A86244"/>
    <w:rsid w:val="00A9021B"/>
    <w:rsid w:val="00A9253A"/>
    <w:rsid w:val="00A92E3B"/>
    <w:rsid w:val="00A93A93"/>
    <w:rsid w:val="00A93E07"/>
    <w:rsid w:val="00A979CF"/>
    <w:rsid w:val="00AA0AA0"/>
    <w:rsid w:val="00AA1BF1"/>
    <w:rsid w:val="00AA1DD7"/>
    <w:rsid w:val="00AA2BF2"/>
    <w:rsid w:val="00AA2D6A"/>
    <w:rsid w:val="00AA4DF8"/>
    <w:rsid w:val="00AA764C"/>
    <w:rsid w:val="00AB0073"/>
    <w:rsid w:val="00AB0D85"/>
    <w:rsid w:val="00AB15E4"/>
    <w:rsid w:val="00AB3794"/>
    <w:rsid w:val="00AB4D7C"/>
    <w:rsid w:val="00AB780C"/>
    <w:rsid w:val="00AC1D2B"/>
    <w:rsid w:val="00AC2448"/>
    <w:rsid w:val="00AC5895"/>
    <w:rsid w:val="00AC5FDE"/>
    <w:rsid w:val="00AC7316"/>
    <w:rsid w:val="00AD0B0B"/>
    <w:rsid w:val="00AD245D"/>
    <w:rsid w:val="00AD5ADE"/>
    <w:rsid w:val="00AD791D"/>
    <w:rsid w:val="00AE0B6E"/>
    <w:rsid w:val="00AE5715"/>
    <w:rsid w:val="00AE7138"/>
    <w:rsid w:val="00AE71C5"/>
    <w:rsid w:val="00AE7846"/>
    <w:rsid w:val="00AF401C"/>
    <w:rsid w:val="00AF4C3F"/>
    <w:rsid w:val="00AF4CAF"/>
    <w:rsid w:val="00AF7FC3"/>
    <w:rsid w:val="00B03431"/>
    <w:rsid w:val="00B051B9"/>
    <w:rsid w:val="00B117BA"/>
    <w:rsid w:val="00B1445D"/>
    <w:rsid w:val="00B15F23"/>
    <w:rsid w:val="00B16508"/>
    <w:rsid w:val="00B17A68"/>
    <w:rsid w:val="00B20D87"/>
    <w:rsid w:val="00B214E1"/>
    <w:rsid w:val="00B228A8"/>
    <w:rsid w:val="00B23DE1"/>
    <w:rsid w:val="00B24053"/>
    <w:rsid w:val="00B24F50"/>
    <w:rsid w:val="00B259A9"/>
    <w:rsid w:val="00B31550"/>
    <w:rsid w:val="00B31EF9"/>
    <w:rsid w:val="00B33C56"/>
    <w:rsid w:val="00B3531E"/>
    <w:rsid w:val="00B358B8"/>
    <w:rsid w:val="00B36FC7"/>
    <w:rsid w:val="00B37056"/>
    <w:rsid w:val="00B424ED"/>
    <w:rsid w:val="00B42DA7"/>
    <w:rsid w:val="00B4335C"/>
    <w:rsid w:val="00B45FD3"/>
    <w:rsid w:val="00B5394C"/>
    <w:rsid w:val="00B555AD"/>
    <w:rsid w:val="00B564B0"/>
    <w:rsid w:val="00B5683A"/>
    <w:rsid w:val="00B578AC"/>
    <w:rsid w:val="00B60CCF"/>
    <w:rsid w:val="00B619E1"/>
    <w:rsid w:val="00B619F3"/>
    <w:rsid w:val="00B62499"/>
    <w:rsid w:val="00B62987"/>
    <w:rsid w:val="00B6433F"/>
    <w:rsid w:val="00B64CF5"/>
    <w:rsid w:val="00B65065"/>
    <w:rsid w:val="00B65566"/>
    <w:rsid w:val="00B71374"/>
    <w:rsid w:val="00B7330E"/>
    <w:rsid w:val="00B73D63"/>
    <w:rsid w:val="00B74A1C"/>
    <w:rsid w:val="00B76C9B"/>
    <w:rsid w:val="00B77E27"/>
    <w:rsid w:val="00B823A1"/>
    <w:rsid w:val="00B8428B"/>
    <w:rsid w:val="00B86F9E"/>
    <w:rsid w:val="00B900B8"/>
    <w:rsid w:val="00B912E8"/>
    <w:rsid w:val="00B9177C"/>
    <w:rsid w:val="00B94147"/>
    <w:rsid w:val="00B95903"/>
    <w:rsid w:val="00BA0C08"/>
    <w:rsid w:val="00BA0F61"/>
    <w:rsid w:val="00BA15A6"/>
    <w:rsid w:val="00BA3262"/>
    <w:rsid w:val="00BA40F4"/>
    <w:rsid w:val="00BA41F5"/>
    <w:rsid w:val="00BA7B0A"/>
    <w:rsid w:val="00BA7CCD"/>
    <w:rsid w:val="00BB0558"/>
    <w:rsid w:val="00BB3C9C"/>
    <w:rsid w:val="00BB45DB"/>
    <w:rsid w:val="00BB4C39"/>
    <w:rsid w:val="00BB7FA5"/>
    <w:rsid w:val="00BC29C8"/>
    <w:rsid w:val="00BC37E8"/>
    <w:rsid w:val="00BC4B05"/>
    <w:rsid w:val="00BC5311"/>
    <w:rsid w:val="00BC6916"/>
    <w:rsid w:val="00BC732C"/>
    <w:rsid w:val="00BD0DAE"/>
    <w:rsid w:val="00BD1121"/>
    <w:rsid w:val="00BD2E1C"/>
    <w:rsid w:val="00BD2E7B"/>
    <w:rsid w:val="00BD419E"/>
    <w:rsid w:val="00BD47B6"/>
    <w:rsid w:val="00BD61E7"/>
    <w:rsid w:val="00BE0C1E"/>
    <w:rsid w:val="00BE1E8A"/>
    <w:rsid w:val="00BE308A"/>
    <w:rsid w:val="00BE34B9"/>
    <w:rsid w:val="00BE3B8D"/>
    <w:rsid w:val="00BE4CD1"/>
    <w:rsid w:val="00BE5F71"/>
    <w:rsid w:val="00BE5FBD"/>
    <w:rsid w:val="00BE69FF"/>
    <w:rsid w:val="00BE75B0"/>
    <w:rsid w:val="00BF1EF4"/>
    <w:rsid w:val="00BF2359"/>
    <w:rsid w:val="00BF39A1"/>
    <w:rsid w:val="00BF3F33"/>
    <w:rsid w:val="00BF4822"/>
    <w:rsid w:val="00BF5D6A"/>
    <w:rsid w:val="00C01D22"/>
    <w:rsid w:val="00C07132"/>
    <w:rsid w:val="00C10335"/>
    <w:rsid w:val="00C104B6"/>
    <w:rsid w:val="00C10F02"/>
    <w:rsid w:val="00C114F4"/>
    <w:rsid w:val="00C11D03"/>
    <w:rsid w:val="00C12012"/>
    <w:rsid w:val="00C12E31"/>
    <w:rsid w:val="00C14485"/>
    <w:rsid w:val="00C16BBD"/>
    <w:rsid w:val="00C219B9"/>
    <w:rsid w:val="00C315E3"/>
    <w:rsid w:val="00C31967"/>
    <w:rsid w:val="00C321BB"/>
    <w:rsid w:val="00C35477"/>
    <w:rsid w:val="00C354DD"/>
    <w:rsid w:val="00C371DE"/>
    <w:rsid w:val="00C409AE"/>
    <w:rsid w:val="00C4143E"/>
    <w:rsid w:val="00C42D50"/>
    <w:rsid w:val="00C471AB"/>
    <w:rsid w:val="00C47579"/>
    <w:rsid w:val="00C476FD"/>
    <w:rsid w:val="00C50AC8"/>
    <w:rsid w:val="00C50E18"/>
    <w:rsid w:val="00C54217"/>
    <w:rsid w:val="00C54312"/>
    <w:rsid w:val="00C54DF8"/>
    <w:rsid w:val="00C552E0"/>
    <w:rsid w:val="00C55B92"/>
    <w:rsid w:val="00C60A12"/>
    <w:rsid w:val="00C60B49"/>
    <w:rsid w:val="00C63D10"/>
    <w:rsid w:val="00C64EEF"/>
    <w:rsid w:val="00C654CB"/>
    <w:rsid w:val="00C66039"/>
    <w:rsid w:val="00C71B4A"/>
    <w:rsid w:val="00C721D6"/>
    <w:rsid w:val="00C7440A"/>
    <w:rsid w:val="00C74703"/>
    <w:rsid w:val="00C751C0"/>
    <w:rsid w:val="00C75511"/>
    <w:rsid w:val="00C758DB"/>
    <w:rsid w:val="00C75B46"/>
    <w:rsid w:val="00C75B5D"/>
    <w:rsid w:val="00C77930"/>
    <w:rsid w:val="00C80D2F"/>
    <w:rsid w:val="00C80F87"/>
    <w:rsid w:val="00C8283A"/>
    <w:rsid w:val="00C84EEE"/>
    <w:rsid w:val="00C865ED"/>
    <w:rsid w:val="00C8775A"/>
    <w:rsid w:val="00C87FFB"/>
    <w:rsid w:val="00C93883"/>
    <w:rsid w:val="00C94262"/>
    <w:rsid w:val="00C945D8"/>
    <w:rsid w:val="00CA0877"/>
    <w:rsid w:val="00CA1751"/>
    <w:rsid w:val="00CA1B31"/>
    <w:rsid w:val="00CA31D8"/>
    <w:rsid w:val="00CA6B59"/>
    <w:rsid w:val="00CA7178"/>
    <w:rsid w:val="00CB26B9"/>
    <w:rsid w:val="00CB3B6C"/>
    <w:rsid w:val="00CB3E9A"/>
    <w:rsid w:val="00CB45A2"/>
    <w:rsid w:val="00CB58E4"/>
    <w:rsid w:val="00CB75F1"/>
    <w:rsid w:val="00CB7B5E"/>
    <w:rsid w:val="00CC1833"/>
    <w:rsid w:val="00CC189F"/>
    <w:rsid w:val="00CC3368"/>
    <w:rsid w:val="00CC3ED9"/>
    <w:rsid w:val="00CD039B"/>
    <w:rsid w:val="00CD1802"/>
    <w:rsid w:val="00CD25DD"/>
    <w:rsid w:val="00CD3627"/>
    <w:rsid w:val="00CD39D2"/>
    <w:rsid w:val="00CD41B2"/>
    <w:rsid w:val="00CD493B"/>
    <w:rsid w:val="00CD616E"/>
    <w:rsid w:val="00CE102F"/>
    <w:rsid w:val="00CE2BBD"/>
    <w:rsid w:val="00CE2C37"/>
    <w:rsid w:val="00CE3219"/>
    <w:rsid w:val="00CE4448"/>
    <w:rsid w:val="00CE4A4E"/>
    <w:rsid w:val="00CE4D82"/>
    <w:rsid w:val="00CE5304"/>
    <w:rsid w:val="00CE57CE"/>
    <w:rsid w:val="00CE582B"/>
    <w:rsid w:val="00CE6FE7"/>
    <w:rsid w:val="00CE7368"/>
    <w:rsid w:val="00CE7586"/>
    <w:rsid w:val="00CF05CB"/>
    <w:rsid w:val="00CF19C4"/>
    <w:rsid w:val="00CF2B0A"/>
    <w:rsid w:val="00CF33E0"/>
    <w:rsid w:val="00CF4E31"/>
    <w:rsid w:val="00CF7D8A"/>
    <w:rsid w:val="00D00A10"/>
    <w:rsid w:val="00D012BC"/>
    <w:rsid w:val="00D03E83"/>
    <w:rsid w:val="00D0480B"/>
    <w:rsid w:val="00D11B4A"/>
    <w:rsid w:val="00D131D3"/>
    <w:rsid w:val="00D134B9"/>
    <w:rsid w:val="00D13C04"/>
    <w:rsid w:val="00D16A6B"/>
    <w:rsid w:val="00D17F8C"/>
    <w:rsid w:val="00D203A9"/>
    <w:rsid w:val="00D20A78"/>
    <w:rsid w:val="00D22373"/>
    <w:rsid w:val="00D232F8"/>
    <w:rsid w:val="00D2465B"/>
    <w:rsid w:val="00D278BA"/>
    <w:rsid w:val="00D27A83"/>
    <w:rsid w:val="00D30A44"/>
    <w:rsid w:val="00D31FC5"/>
    <w:rsid w:val="00D331C1"/>
    <w:rsid w:val="00D3673E"/>
    <w:rsid w:val="00D370CE"/>
    <w:rsid w:val="00D40454"/>
    <w:rsid w:val="00D4059C"/>
    <w:rsid w:val="00D40643"/>
    <w:rsid w:val="00D41468"/>
    <w:rsid w:val="00D43004"/>
    <w:rsid w:val="00D44824"/>
    <w:rsid w:val="00D452AB"/>
    <w:rsid w:val="00D4572A"/>
    <w:rsid w:val="00D47E0D"/>
    <w:rsid w:val="00D52482"/>
    <w:rsid w:val="00D5317B"/>
    <w:rsid w:val="00D53C03"/>
    <w:rsid w:val="00D53C5D"/>
    <w:rsid w:val="00D53D8F"/>
    <w:rsid w:val="00D54A17"/>
    <w:rsid w:val="00D55716"/>
    <w:rsid w:val="00D56021"/>
    <w:rsid w:val="00D6164D"/>
    <w:rsid w:val="00D6179D"/>
    <w:rsid w:val="00D61C76"/>
    <w:rsid w:val="00D63697"/>
    <w:rsid w:val="00D677F1"/>
    <w:rsid w:val="00D716B3"/>
    <w:rsid w:val="00D717C5"/>
    <w:rsid w:val="00D72A5A"/>
    <w:rsid w:val="00D748D0"/>
    <w:rsid w:val="00D76988"/>
    <w:rsid w:val="00D77015"/>
    <w:rsid w:val="00D81E4F"/>
    <w:rsid w:val="00D84782"/>
    <w:rsid w:val="00D85DD7"/>
    <w:rsid w:val="00D86247"/>
    <w:rsid w:val="00D87BFC"/>
    <w:rsid w:val="00D91469"/>
    <w:rsid w:val="00D92B48"/>
    <w:rsid w:val="00D95773"/>
    <w:rsid w:val="00D96F1E"/>
    <w:rsid w:val="00DA06B3"/>
    <w:rsid w:val="00DA3724"/>
    <w:rsid w:val="00DA5145"/>
    <w:rsid w:val="00DA7725"/>
    <w:rsid w:val="00DA7D46"/>
    <w:rsid w:val="00DB1693"/>
    <w:rsid w:val="00DC026D"/>
    <w:rsid w:val="00DC1A27"/>
    <w:rsid w:val="00DC4570"/>
    <w:rsid w:val="00DC5091"/>
    <w:rsid w:val="00DC7CD1"/>
    <w:rsid w:val="00DD03A8"/>
    <w:rsid w:val="00DD139A"/>
    <w:rsid w:val="00DD1414"/>
    <w:rsid w:val="00DD1B8C"/>
    <w:rsid w:val="00DD3676"/>
    <w:rsid w:val="00DD3B06"/>
    <w:rsid w:val="00DD55D3"/>
    <w:rsid w:val="00DD5B07"/>
    <w:rsid w:val="00DD7F41"/>
    <w:rsid w:val="00DE11E5"/>
    <w:rsid w:val="00DE1D98"/>
    <w:rsid w:val="00DE4424"/>
    <w:rsid w:val="00DE6821"/>
    <w:rsid w:val="00DE6DF5"/>
    <w:rsid w:val="00DF07EC"/>
    <w:rsid w:val="00DF0AB0"/>
    <w:rsid w:val="00DF154F"/>
    <w:rsid w:val="00DF2022"/>
    <w:rsid w:val="00DF2A42"/>
    <w:rsid w:val="00DF34BE"/>
    <w:rsid w:val="00DF5D59"/>
    <w:rsid w:val="00DF7B7C"/>
    <w:rsid w:val="00DF7D15"/>
    <w:rsid w:val="00E0139E"/>
    <w:rsid w:val="00E074BE"/>
    <w:rsid w:val="00E10946"/>
    <w:rsid w:val="00E10B37"/>
    <w:rsid w:val="00E14A4B"/>
    <w:rsid w:val="00E156C1"/>
    <w:rsid w:val="00E1643E"/>
    <w:rsid w:val="00E20299"/>
    <w:rsid w:val="00E22A9B"/>
    <w:rsid w:val="00E239E4"/>
    <w:rsid w:val="00E24183"/>
    <w:rsid w:val="00E3090D"/>
    <w:rsid w:val="00E31DE4"/>
    <w:rsid w:val="00E324D9"/>
    <w:rsid w:val="00E343C8"/>
    <w:rsid w:val="00E35BC0"/>
    <w:rsid w:val="00E35E48"/>
    <w:rsid w:val="00E36A38"/>
    <w:rsid w:val="00E403DB"/>
    <w:rsid w:val="00E4154E"/>
    <w:rsid w:val="00E417D7"/>
    <w:rsid w:val="00E4459B"/>
    <w:rsid w:val="00E455B2"/>
    <w:rsid w:val="00E45D16"/>
    <w:rsid w:val="00E4792A"/>
    <w:rsid w:val="00E5025E"/>
    <w:rsid w:val="00E519E0"/>
    <w:rsid w:val="00E53399"/>
    <w:rsid w:val="00E53B04"/>
    <w:rsid w:val="00E542C4"/>
    <w:rsid w:val="00E5771F"/>
    <w:rsid w:val="00E6165C"/>
    <w:rsid w:val="00E62F5E"/>
    <w:rsid w:val="00E63869"/>
    <w:rsid w:val="00E666A3"/>
    <w:rsid w:val="00E6715F"/>
    <w:rsid w:val="00E70645"/>
    <w:rsid w:val="00E72584"/>
    <w:rsid w:val="00E72E6D"/>
    <w:rsid w:val="00E7377B"/>
    <w:rsid w:val="00E74FC9"/>
    <w:rsid w:val="00E76041"/>
    <w:rsid w:val="00E76C74"/>
    <w:rsid w:val="00E7755E"/>
    <w:rsid w:val="00E77995"/>
    <w:rsid w:val="00E77E82"/>
    <w:rsid w:val="00E81531"/>
    <w:rsid w:val="00E81F79"/>
    <w:rsid w:val="00E87099"/>
    <w:rsid w:val="00E87346"/>
    <w:rsid w:val="00E90827"/>
    <w:rsid w:val="00E91F43"/>
    <w:rsid w:val="00E95EE7"/>
    <w:rsid w:val="00EA037D"/>
    <w:rsid w:val="00EA1689"/>
    <w:rsid w:val="00EA28E6"/>
    <w:rsid w:val="00EA575B"/>
    <w:rsid w:val="00EB549C"/>
    <w:rsid w:val="00EB5A45"/>
    <w:rsid w:val="00EB6203"/>
    <w:rsid w:val="00EB62CE"/>
    <w:rsid w:val="00EB708B"/>
    <w:rsid w:val="00EB7FBD"/>
    <w:rsid w:val="00EC4367"/>
    <w:rsid w:val="00EC54C5"/>
    <w:rsid w:val="00ED1541"/>
    <w:rsid w:val="00ED3420"/>
    <w:rsid w:val="00ED6040"/>
    <w:rsid w:val="00ED6A13"/>
    <w:rsid w:val="00EE1833"/>
    <w:rsid w:val="00EE3E56"/>
    <w:rsid w:val="00EE44C6"/>
    <w:rsid w:val="00EE5101"/>
    <w:rsid w:val="00EE75F2"/>
    <w:rsid w:val="00EE7AF4"/>
    <w:rsid w:val="00EF7012"/>
    <w:rsid w:val="00EF78C4"/>
    <w:rsid w:val="00EF7F47"/>
    <w:rsid w:val="00F04CD7"/>
    <w:rsid w:val="00F057D7"/>
    <w:rsid w:val="00F07D69"/>
    <w:rsid w:val="00F110A3"/>
    <w:rsid w:val="00F11793"/>
    <w:rsid w:val="00F1192C"/>
    <w:rsid w:val="00F13A65"/>
    <w:rsid w:val="00F20181"/>
    <w:rsid w:val="00F23607"/>
    <w:rsid w:val="00F23C72"/>
    <w:rsid w:val="00F23CC5"/>
    <w:rsid w:val="00F23E15"/>
    <w:rsid w:val="00F244A2"/>
    <w:rsid w:val="00F24B62"/>
    <w:rsid w:val="00F26BEE"/>
    <w:rsid w:val="00F30307"/>
    <w:rsid w:val="00F31F94"/>
    <w:rsid w:val="00F32702"/>
    <w:rsid w:val="00F35064"/>
    <w:rsid w:val="00F3712A"/>
    <w:rsid w:val="00F374D8"/>
    <w:rsid w:val="00F37842"/>
    <w:rsid w:val="00F4033F"/>
    <w:rsid w:val="00F44529"/>
    <w:rsid w:val="00F45187"/>
    <w:rsid w:val="00F4755E"/>
    <w:rsid w:val="00F47577"/>
    <w:rsid w:val="00F539FB"/>
    <w:rsid w:val="00F545F8"/>
    <w:rsid w:val="00F548A2"/>
    <w:rsid w:val="00F5684D"/>
    <w:rsid w:val="00F57AB6"/>
    <w:rsid w:val="00F60CA4"/>
    <w:rsid w:val="00F610E6"/>
    <w:rsid w:val="00F6128C"/>
    <w:rsid w:val="00F62274"/>
    <w:rsid w:val="00F643E4"/>
    <w:rsid w:val="00F6480F"/>
    <w:rsid w:val="00F64868"/>
    <w:rsid w:val="00F656EF"/>
    <w:rsid w:val="00F65F71"/>
    <w:rsid w:val="00F664C9"/>
    <w:rsid w:val="00F66CFA"/>
    <w:rsid w:val="00F67C54"/>
    <w:rsid w:val="00F70C2E"/>
    <w:rsid w:val="00F73C46"/>
    <w:rsid w:val="00F76312"/>
    <w:rsid w:val="00F80475"/>
    <w:rsid w:val="00F8060C"/>
    <w:rsid w:val="00F81F6D"/>
    <w:rsid w:val="00F82B8E"/>
    <w:rsid w:val="00F833E7"/>
    <w:rsid w:val="00F84DF2"/>
    <w:rsid w:val="00F85129"/>
    <w:rsid w:val="00F856CA"/>
    <w:rsid w:val="00F85A29"/>
    <w:rsid w:val="00F86713"/>
    <w:rsid w:val="00F90255"/>
    <w:rsid w:val="00F9148D"/>
    <w:rsid w:val="00F915A0"/>
    <w:rsid w:val="00F92BFC"/>
    <w:rsid w:val="00F932E0"/>
    <w:rsid w:val="00F939D1"/>
    <w:rsid w:val="00FA0E2F"/>
    <w:rsid w:val="00FA28B9"/>
    <w:rsid w:val="00FA2D1C"/>
    <w:rsid w:val="00FA50BB"/>
    <w:rsid w:val="00FA7946"/>
    <w:rsid w:val="00FB0146"/>
    <w:rsid w:val="00FB4B5C"/>
    <w:rsid w:val="00FB507E"/>
    <w:rsid w:val="00FB5ABF"/>
    <w:rsid w:val="00FB7701"/>
    <w:rsid w:val="00FC40F0"/>
    <w:rsid w:val="00FC427E"/>
    <w:rsid w:val="00FC4379"/>
    <w:rsid w:val="00FC53BC"/>
    <w:rsid w:val="00FC6D3B"/>
    <w:rsid w:val="00FD0129"/>
    <w:rsid w:val="00FD1987"/>
    <w:rsid w:val="00FE17ED"/>
    <w:rsid w:val="00FE5174"/>
    <w:rsid w:val="00FE742C"/>
    <w:rsid w:val="00FE7ED1"/>
    <w:rsid w:val="00FF0AE4"/>
    <w:rsid w:val="00FF2314"/>
    <w:rsid w:val="00FF4315"/>
    <w:rsid w:val="00FF485C"/>
    <w:rsid w:val="00FF4DD8"/>
    <w:rsid w:val="00FF57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5F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A2D1C"/>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4C46C0"/>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semiHidden/>
    <w:unhideWhenUsed/>
    <w:qFormat/>
    <w:rsid w:val="00675F4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46DD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aliases w:val="FOOTNOTE,MAC footnote text"/>
    <w:basedOn w:val="Normal"/>
    <w:link w:val="FootnoteTextChar"/>
    <w:qFormat/>
    <w:rsid w:val="00F35064"/>
    <w:rPr>
      <w:sz w:val="20"/>
    </w:rPr>
  </w:style>
  <w:style w:type="character" w:styleId="FootnoteReference">
    <w:name w:val="footnote reference"/>
    <w:aliases w:val="MAC footnote reference"/>
    <w:basedOn w:val="DefaultParagraphFont"/>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4472B7"/>
  </w:style>
  <w:style w:type="character" w:customStyle="1" w:styleId="FootnoteTextChar">
    <w:name w:val="Footnote Text Char"/>
    <w:aliases w:val="FOOTNOTE Char,MAC footnote text Char"/>
    <w:basedOn w:val="DefaultParagraphFont"/>
    <w:link w:val="FootnoteText"/>
    <w:rsid w:val="00400A51"/>
  </w:style>
  <w:style w:type="paragraph" w:customStyle="1" w:styleId="Body">
    <w:name w:val="Body"/>
    <w:basedOn w:val="Normal"/>
    <w:qFormat/>
    <w:rsid w:val="00400A51"/>
    <w:pPr>
      <w:spacing w:before="120" w:after="120" w:line="240" w:lineRule="atLeast"/>
    </w:pPr>
    <w:rPr>
      <w:rFonts w:ascii="Arial" w:eastAsiaTheme="minorHAnsi" w:hAnsi="Arial" w:cstheme="minorBidi"/>
      <w:sz w:val="20"/>
      <w:szCs w:val="22"/>
      <w:lang w:eastAsia="en-US"/>
    </w:rPr>
  </w:style>
  <w:style w:type="paragraph" w:customStyle="1" w:styleId="subsection">
    <w:name w:val="subsection"/>
    <w:aliases w:val="ss"/>
    <w:basedOn w:val="Normal"/>
    <w:link w:val="subsectionChar"/>
    <w:rsid w:val="00400A51"/>
    <w:pPr>
      <w:tabs>
        <w:tab w:val="right" w:pos="1021"/>
      </w:tabs>
      <w:spacing w:before="180"/>
      <w:ind w:left="1134" w:hanging="1134"/>
    </w:pPr>
    <w:rPr>
      <w:sz w:val="22"/>
    </w:rPr>
  </w:style>
  <w:style w:type="character" w:customStyle="1" w:styleId="subsectionChar">
    <w:name w:val="subsection Char"/>
    <w:aliases w:val="ss Char"/>
    <w:link w:val="subsection"/>
    <w:rsid w:val="00400A51"/>
    <w:rPr>
      <w:sz w:val="22"/>
    </w:rPr>
  </w:style>
  <w:style w:type="paragraph" w:customStyle="1" w:styleId="Default">
    <w:name w:val="Default"/>
    <w:rsid w:val="001F0FBF"/>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146DD4"/>
    <w:rPr>
      <w:rFonts w:asciiTheme="majorHAnsi" w:eastAsiaTheme="majorEastAsia" w:hAnsiTheme="majorHAnsi" w:cstheme="majorBidi"/>
      <w:i/>
      <w:iCs/>
      <w:color w:val="243F60" w:themeColor="accent1" w:themeShade="7F"/>
      <w:sz w:val="22"/>
      <w:szCs w:val="22"/>
      <w:lang w:eastAsia="en-US"/>
    </w:rPr>
  </w:style>
  <w:style w:type="paragraph" w:styleId="Revision">
    <w:name w:val="Revision"/>
    <w:hidden/>
    <w:uiPriority w:val="99"/>
    <w:semiHidden/>
    <w:rsid w:val="00146DD4"/>
    <w:rPr>
      <w:sz w:val="24"/>
    </w:rPr>
  </w:style>
  <w:style w:type="character" w:customStyle="1" w:styleId="Heading4Char">
    <w:name w:val="Heading 4 Char"/>
    <w:basedOn w:val="DefaultParagraphFont"/>
    <w:link w:val="Heading4"/>
    <w:uiPriority w:val="9"/>
    <w:rsid w:val="004C46C0"/>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semiHidden/>
    <w:rsid w:val="00675F48"/>
    <w:rPr>
      <w:rFonts w:asciiTheme="majorHAnsi" w:eastAsiaTheme="majorEastAsia" w:hAnsiTheme="majorHAnsi" w:cstheme="majorBidi"/>
      <w:color w:val="365F91" w:themeColor="accent1" w:themeShade="BF"/>
      <w:sz w:val="24"/>
    </w:rPr>
  </w:style>
  <w:style w:type="paragraph" w:customStyle="1" w:styleId="base-text-paragraph">
    <w:name w:val="base-text-paragraph"/>
    <w:basedOn w:val="Normal"/>
    <w:link w:val="base-text-paragraphChar"/>
    <w:qFormat/>
    <w:rsid w:val="00675F48"/>
    <w:pPr>
      <w:numPr>
        <w:ilvl w:val="1"/>
        <w:numId w:val="5"/>
      </w:numPr>
      <w:spacing w:before="120" w:after="120"/>
    </w:pPr>
    <w:rPr>
      <w:sz w:val="22"/>
    </w:rPr>
  </w:style>
  <w:style w:type="character" w:customStyle="1" w:styleId="base-text-paragraphChar">
    <w:name w:val="base-text-paragraph Char"/>
    <w:basedOn w:val="DefaultParagraphFont"/>
    <w:link w:val="base-text-paragraph"/>
    <w:rsid w:val="00675F48"/>
    <w:rPr>
      <w:sz w:val="22"/>
    </w:rPr>
  </w:style>
  <w:style w:type="paragraph" w:customStyle="1" w:styleId="ChapterHeading">
    <w:name w:val="Chapter Heading"/>
    <w:next w:val="Heading2"/>
    <w:rsid w:val="00675F48"/>
    <w:pPr>
      <w:numPr>
        <w:numId w:val="5"/>
      </w:num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675F48"/>
    <w:pPr>
      <w:numPr>
        <w:numId w:val="4"/>
      </w:numPr>
    </w:pPr>
  </w:style>
  <w:style w:type="paragraph" w:customStyle="1" w:styleId="Diagram">
    <w:name w:val="Diagram"/>
    <w:basedOn w:val="Normal"/>
    <w:next w:val="Normal"/>
    <w:rsid w:val="00675F48"/>
    <w:pPr>
      <w:keepNext/>
      <w:numPr>
        <w:ilvl w:val="2"/>
        <w:numId w:val="5"/>
      </w:numPr>
    </w:pPr>
    <w:rPr>
      <w:b/>
      <w:sz w:val="22"/>
    </w:rPr>
  </w:style>
  <w:style w:type="paragraph" w:customStyle="1" w:styleId="ExampleHeading">
    <w:name w:val="Example Heading"/>
    <w:basedOn w:val="Normal"/>
    <w:next w:val="Normal"/>
    <w:rsid w:val="00675F48"/>
    <w:pPr>
      <w:keepNext/>
      <w:numPr>
        <w:ilvl w:val="3"/>
        <w:numId w:val="5"/>
      </w:numPr>
      <w:spacing w:before="120" w:after="120"/>
    </w:pPr>
    <w:rPr>
      <w:b/>
      <w:sz w:val="22"/>
    </w:rPr>
  </w:style>
  <w:style w:type="paragraph" w:customStyle="1" w:styleId="TableHeadingoutsidetable">
    <w:name w:val="Table Heading (outside table)"/>
    <w:basedOn w:val="Heading4"/>
    <w:rsid w:val="00675F48"/>
    <w:pPr>
      <w:keepLines w:val="0"/>
      <w:numPr>
        <w:ilvl w:val="4"/>
        <w:numId w:val="5"/>
      </w:numPr>
      <w:tabs>
        <w:tab w:val="num" w:pos="360"/>
        <w:tab w:val="num" w:pos="3960"/>
      </w:tabs>
      <w:spacing w:before="120" w:after="200" w:line="240" w:lineRule="auto"/>
      <w:ind w:left="3960" w:hanging="360"/>
    </w:pPr>
    <w:rPr>
      <w:rFonts w:ascii="Times New Roman" w:eastAsia="Times New Roman" w:hAnsi="Times New Roman" w:cs="Times New Roman"/>
      <w:bCs w:val="0"/>
      <w:i w:val="0"/>
      <w:iCs w:val="0"/>
      <w:color w:val="auto"/>
      <w:szCs w:val="20"/>
      <w:lang w:eastAsia="en-AU"/>
    </w:rPr>
  </w:style>
  <w:style w:type="paragraph" w:customStyle="1" w:styleId="tabletext">
    <w:name w:val="table text"/>
    <w:basedOn w:val="Normal"/>
    <w:rsid w:val="00675F48"/>
    <w:pPr>
      <w:spacing w:before="40" w:after="40"/>
    </w:pPr>
    <w:rPr>
      <w:sz w:val="20"/>
    </w:rPr>
  </w:style>
  <w:style w:type="paragraph" w:customStyle="1" w:styleId="dotpoint">
    <w:name w:val="dot point"/>
    <w:basedOn w:val="Normal"/>
    <w:link w:val="dotpointChar"/>
    <w:qFormat/>
    <w:rsid w:val="00DF7B7C"/>
    <w:pPr>
      <w:numPr>
        <w:numId w:val="21"/>
      </w:numPr>
      <w:spacing w:before="120" w:after="120"/>
    </w:pPr>
    <w:rPr>
      <w:sz w:val="22"/>
    </w:rPr>
  </w:style>
  <w:style w:type="character" w:customStyle="1" w:styleId="dotpointChar">
    <w:name w:val="dot point Char"/>
    <w:basedOn w:val="DefaultParagraphFont"/>
    <w:link w:val="dotpoint"/>
    <w:rsid w:val="00DF7B7C"/>
    <w:rPr>
      <w:sz w:val="22"/>
    </w:rPr>
  </w:style>
  <w:style w:type="paragraph" w:customStyle="1" w:styleId="pbitem">
    <w:name w:val="pbitem"/>
    <w:basedOn w:val="Normal"/>
    <w:rsid w:val="00DF7B7C"/>
    <w:pPr>
      <w:spacing w:before="100" w:beforeAutospacing="1" w:after="100" w:afterAutospacing="1"/>
    </w:pPr>
    <w:rPr>
      <w:rFonts w:ascii="Calibri" w:eastAsiaTheme="minorHAnsi" w:hAnsi="Calibri"/>
      <w:sz w:val="22"/>
      <w:szCs w:val="22"/>
    </w:rPr>
  </w:style>
  <w:style w:type="paragraph" w:customStyle="1" w:styleId="paragraph">
    <w:name w:val="paragraph"/>
    <w:aliases w:val="a"/>
    <w:basedOn w:val="Normal"/>
    <w:link w:val="paragraphChar"/>
    <w:rsid w:val="00F643E4"/>
    <w:pPr>
      <w:tabs>
        <w:tab w:val="right" w:pos="1531"/>
      </w:tabs>
      <w:spacing w:before="40"/>
      <w:ind w:left="1644" w:hanging="1644"/>
    </w:pPr>
    <w:rPr>
      <w:sz w:val="22"/>
    </w:rPr>
  </w:style>
  <w:style w:type="character" w:customStyle="1" w:styleId="paragraphChar">
    <w:name w:val="paragraph Char"/>
    <w:aliases w:val="a Char"/>
    <w:basedOn w:val="DefaultParagraphFont"/>
    <w:link w:val="paragraph"/>
    <w:locked/>
    <w:rsid w:val="00F643E4"/>
    <w:rPr>
      <w:sz w:val="22"/>
    </w:rPr>
  </w:style>
  <w:style w:type="paragraph" w:customStyle="1" w:styleId="ActHead4">
    <w:name w:val="ActHead 4"/>
    <w:aliases w:val="sd"/>
    <w:basedOn w:val="Normal"/>
    <w:next w:val="Normal"/>
    <w:link w:val="ActHead4Char"/>
    <w:qFormat/>
    <w:rsid w:val="007C1BA5"/>
    <w:pPr>
      <w:keepNext/>
      <w:keepLines/>
      <w:spacing w:before="220"/>
      <w:ind w:left="1134" w:hanging="1134"/>
      <w:outlineLvl w:val="3"/>
    </w:pPr>
    <w:rPr>
      <w:b/>
      <w:kern w:val="28"/>
      <w:sz w:val="26"/>
    </w:rPr>
  </w:style>
  <w:style w:type="character" w:customStyle="1" w:styleId="ActHead4Char">
    <w:name w:val="ActHead 4 Char"/>
    <w:aliases w:val="sd Char"/>
    <w:link w:val="ActHead4"/>
    <w:rsid w:val="007C1BA5"/>
    <w:rPr>
      <w:b/>
      <w:kern w:val="28"/>
      <w:sz w:val="26"/>
    </w:rPr>
  </w:style>
  <w:style w:type="numbering" w:customStyle="1" w:styleId="Headings">
    <w:name w:val="Headings"/>
    <w:basedOn w:val="NoList"/>
    <w:uiPriority w:val="99"/>
    <w:rsid w:val="00E35E48"/>
    <w:pPr>
      <w:numPr>
        <w:numId w:val="36"/>
      </w:numPr>
    </w:pPr>
  </w:style>
  <w:style w:type="character" w:customStyle="1" w:styleId="UnresolvedMention1">
    <w:name w:val="Unresolved Mention1"/>
    <w:basedOn w:val="DefaultParagraphFont"/>
    <w:uiPriority w:val="99"/>
    <w:semiHidden/>
    <w:unhideWhenUsed/>
    <w:rsid w:val="00617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729">
      <w:bodyDiv w:val="1"/>
      <w:marLeft w:val="0"/>
      <w:marRight w:val="0"/>
      <w:marTop w:val="0"/>
      <w:marBottom w:val="0"/>
      <w:divBdr>
        <w:top w:val="none" w:sz="0" w:space="0" w:color="auto"/>
        <w:left w:val="none" w:sz="0" w:space="0" w:color="auto"/>
        <w:bottom w:val="none" w:sz="0" w:space="0" w:color="auto"/>
        <w:right w:val="none" w:sz="0" w:space="0" w:color="auto"/>
      </w:divBdr>
    </w:div>
    <w:div w:id="211499151">
      <w:bodyDiv w:val="1"/>
      <w:marLeft w:val="0"/>
      <w:marRight w:val="0"/>
      <w:marTop w:val="0"/>
      <w:marBottom w:val="0"/>
      <w:divBdr>
        <w:top w:val="none" w:sz="0" w:space="0" w:color="auto"/>
        <w:left w:val="none" w:sz="0" w:space="0" w:color="auto"/>
        <w:bottom w:val="none" w:sz="0" w:space="0" w:color="auto"/>
        <w:right w:val="none" w:sz="0" w:space="0" w:color="auto"/>
      </w:divBdr>
    </w:div>
    <w:div w:id="288976123">
      <w:bodyDiv w:val="1"/>
      <w:marLeft w:val="0"/>
      <w:marRight w:val="0"/>
      <w:marTop w:val="0"/>
      <w:marBottom w:val="0"/>
      <w:divBdr>
        <w:top w:val="none" w:sz="0" w:space="0" w:color="auto"/>
        <w:left w:val="none" w:sz="0" w:space="0" w:color="auto"/>
        <w:bottom w:val="none" w:sz="0" w:space="0" w:color="auto"/>
        <w:right w:val="none" w:sz="0" w:space="0" w:color="auto"/>
      </w:divBdr>
    </w:div>
    <w:div w:id="689795592">
      <w:bodyDiv w:val="1"/>
      <w:marLeft w:val="0"/>
      <w:marRight w:val="0"/>
      <w:marTop w:val="0"/>
      <w:marBottom w:val="0"/>
      <w:divBdr>
        <w:top w:val="none" w:sz="0" w:space="0" w:color="auto"/>
        <w:left w:val="none" w:sz="0" w:space="0" w:color="auto"/>
        <w:bottom w:val="none" w:sz="0" w:space="0" w:color="auto"/>
        <w:right w:val="none" w:sz="0" w:space="0" w:color="auto"/>
      </w:divBdr>
    </w:div>
    <w:div w:id="796266023">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120299532">
      <w:bodyDiv w:val="1"/>
      <w:marLeft w:val="0"/>
      <w:marRight w:val="0"/>
      <w:marTop w:val="0"/>
      <w:marBottom w:val="0"/>
      <w:divBdr>
        <w:top w:val="none" w:sz="0" w:space="0" w:color="auto"/>
        <w:left w:val="none" w:sz="0" w:space="0" w:color="auto"/>
        <w:bottom w:val="none" w:sz="0" w:space="0" w:color="auto"/>
        <w:right w:val="none" w:sz="0" w:space="0" w:color="auto"/>
      </w:divBdr>
    </w:div>
    <w:div w:id="11792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80036">
          <w:marLeft w:val="0"/>
          <w:marRight w:val="0"/>
          <w:marTop w:val="0"/>
          <w:marBottom w:val="0"/>
          <w:divBdr>
            <w:top w:val="none" w:sz="0" w:space="0" w:color="auto"/>
            <w:left w:val="none" w:sz="0" w:space="0" w:color="auto"/>
            <w:bottom w:val="none" w:sz="0" w:space="0" w:color="auto"/>
            <w:right w:val="none" w:sz="0" w:space="0" w:color="auto"/>
          </w:divBdr>
          <w:divsChild>
            <w:div w:id="670253195">
              <w:marLeft w:val="0"/>
              <w:marRight w:val="0"/>
              <w:marTop w:val="0"/>
              <w:marBottom w:val="0"/>
              <w:divBdr>
                <w:top w:val="none" w:sz="0" w:space="0" w:color="auto"/>
                <w:left w:val="none" w:sz="0" w:space="0" w:color="auto"/>
                <w:bottom w:val="none" w:sz="0" w:space="0" w:color="auto"/>
                <w:right w:val="none" w:sz="0" w:space="0" w:color="auto"/>
              </w:divBdr>
              <w:divsChild>
                <w:div w:id="771752314">
                  <w:marLeft w:val="0"/>
                  <w:marRight w:val="0"/>
                  <w:marTop w:val="0"/>
                  <w:marBottom w:val="0"/>
                  <w:divBdr>
                    <w:top w:val="none" w:sz="0" w:space="0" w:color="auto"/>
                    <w:left w:val="none" w:sz="0" w:space="0" w:color="auto"/>
                    <w:bottom w:val="none" w:sz="0" w:space="0" w:color="auto"/>
                    <w:right w:val="none" w:sz="0" w:space="0" w:color="auto"/>
                  </w:divBdr>
                  <w:divsChild>
                    <w:div w:id="959340031">
                      <w:marLeft w:val="0"/>
                      <w:marRight w:val="0"/>
                      <w:marTop w:val="0"/>
                      <w:marBottom w:val="0"/>
                      <w:divBdr>
                        <w:top w:val="none" w:sz="0" w:space="0" w:color="auto"/>
                        <w:left w:val="none" w:sz="0" w:space="0" w:color="auto"/>
                        <w:bottom w:val="none" w:sz="0" w:space="0" w:color="auto"/>
                        <w:right w:val="none" w:sz="0" w:space="0" w:color="auto"/>
                      </w:divBdr>
                      <w:divsChild>
                        <w:div w:id="1570916982">
                          <w:marLeft w:val="0"/>
                          <w:marRight w:val="0"/>
                          <w:marTop w:val="0"/>
                          <w:marBottom w:val="0"/>
                          <w:divBdr>
                            <w:top w:val="none" w:sz="0" w:space="0" w:color="auto"/>
                            <w:left w:val="none" w:sz="0" w:space="0" w:color="auto"/>
                            <w:bottom w:val="none" w:sz="0" w:space="0" w:color="auto"/>
                            <w:right w:val="none" w:sz="0" w:space="0" w:color="auto"/>
                          </w:divBdr>
                          <w:divsChild>
                            <w:div w:id="1776291103">
                              <w:marLeft w:val="0"/>
                              <w:marRight w:val="0"/>
                              <w:marTop w:val="0"/>
                              <w:marBottom w:val="0"/>
                              <w:divBdr>
                                <w:top w:val="none" w:sz="0" w:space="0" w:color="auto"/>
                                <w:left w:val="none" w:sz="0" w:space="0" w:color="auto"/>
                                <w:bottom w:val="none" w:sz="0" w:space="0" w:color="auto"/>
                                <w:right w:val="none" w:sz="0" w:space="0" w:color="auto"/>
                              </w:divBdr>
                              <w:divsChild>
                                <w:div w:id="649284132">
                                  <w:marLeft w:val="0"/>
                                  <w:marRight w:val="0"/>
                                  <w:marTop w:val="0"/>
                                  <w:marBottom w:val="0"/>
                                  <w:divBdr>
                                    <w:top w:val="none" w:sz="0" w:space="0" w:color="auto"/>
                                    <w:left w:val="none" w:sz="0" w:space="0" w:color="auto"/>
                                    <w:bottom w:val="none" w:sz="0" w:space="0" w:color="auto"/>
                                    <w:right w:val="none" w:sz="0" w:space="0" w:color="auto"/>
                                  </w:divBdr>
                                  <w:divsChild>
                                    <w:div w:id="86124624">
                                      <w:marLeft w:val="0"/>
                                      <w:marRight w:val="0"/>
                                      <w:marTop w:val="0"/>
                                      <w:marBottom w:val="0"/>
                                      <w:divBdr>
                                        <w:top w:val="none" w:sz="0" w:space="0" w:color="auto"/>
                                        <w:left w:val="none" w:sz="0" w:space="0" w:color="auto"/>
                                        <w:bottom w:val="none" w:sz="0" w:space="0" w:color="auto"/>
                                        <w:right w:val="none" w:sz="0" w:space="0" w:color="auto"/>
                                      </w:divBdr>
                                      <w:divsChild>
                                        <w:div w:id="1159541060">
                                          <w:marLeft w:val="0"/>
                                          <w:marRight w:val="0"/>
                                          <w:marTop w:val="0"/>
                                          <w:marBottom w:val="0"/>
                                          <w:divBdr>
                                            <w:top w:val="none" w:sz="0" w:space="0" w:color="auto"/>
                                            <w:left w:val="none" w:sz="0" w:space="0" w:color="auto"/>
                                            <w:bottom w:val="none" w:sz="0" w:space="0" w:color="auto"/>
                                            <w:right w:val="none" w:sz="0" w:space="0" w:color="auto"/>
                                          </w:divBdr>
                                          <w:divsChild>
                                            <w:div w:id="874460946">
                                              <w:marLeft w:val="0"/>
                                              <w:marRight w:val="0"/>
                                              <w:marTop w:val="0"/>
                                              <w:marBottom w:val="0"/>
                                              <w:divBdr>
                                                <w:top w:val="none" w:sz="0" w:space="0" w:color="auto"/>
                                                <w:left w:val="none" w:sz="0" w:space="0" w:color="auto"/>
                                                <w:bottom w:val="none" w:sz="0" w:space="0" w:color="auto"/>
                                                <w:right w:val="none" w:sz="0" w:space="0" w:color="auto"/>
                                              </w:divBdr>
                                              <w:divsChild>
                                                <w:div w:id="1901288202">
                                                  <w:marLeft w:val="0"/>
                                                  <w:marRight w:val="0"/>
                                                  <w:marTop w:val="0"/>
                                                  <w:marBottom w:val="0"/>
                                                  <w:divBdr>
                                                    <w:top w:val="none" w:sz="0" w:space="0" w:color="auto"/>
                                                    <w:left w:val="none" w:sz="0" w:space="0" w:color="auto"/>
                                                    <w:bottom w:val="none" w:sz="0" w:space="0" w:color="auto"/>
                                                    <w:right w:val="none" w:sz="0" w:space="0" w:color="auto"/>
                                                  </w:divBdr>
                                                  <w:divsChild>
                                                    <w:div w:id="1189222992">
                                                      <w:marLeft w:val="0"/>
                                                      <w:marRight w:val="0"/>
                                                      <w:marTop w:val="0"/>
                                                      <w:marBottom w:val="0"/>
                                                      <w:divBdr>
                                                        <w:top w:val="none" w:sz="0" w:space="0" w:color="auto"/>
                                                        <w:left w:val="none" w:sz="0" w:space="0" w:color="auto"/>
                                                        <w:bottom w:val="none" w:sz="0" w:space="0" w:color="auto"/>
                                                        <w:right w:val="none" w:sz="0" w:space="0" w:color="auto"/>
                                                      </w:divBdr>
                                                      <w:divsChild>
                                                        <w:div w:id="641810528">
                                                          <w:marLeft w:val="0"/>
                                                          <w:marRight w:val="0"/>
                                                          <w:marTop w:val="0"/>
                                                          <w:marBottom w:val="0"/>
                                                          <w:divBdr>
                                                            <w:top w:val="none" w:sz="0" w:space="0" w:color="auto"/>
                                                            <w:left w:val="none" w:sz="0" w:space="0" w:color="auto"/>
                                                            <w:bottom w:val="none" w:sz="0" w:space="0" w:color="auto"/>
                                                            <w:right w:val="none" w:sz="0" w:space="0" w:color="auto"/>
                                                          </w:divBdr>
                                                          <w:divsChild>
                                                            <w:div w:id="1618757875">
                                                              <w:marLeft w:val="0"/>
                                                              <w:marRight w:val="0"/>
                                                              <w:marTop w:val="0"/>
                                                              <w:marBottom w:val="0"/>
                                                              <w:divBdr>
                                                                <w:top w:val="none" w:sz="0" w:space="0" w:color="auto"/>
                                                                <w:left w:val="none" w:sz="0" w:space="0" w:color="auto"/>
                                                                <w:bottom w:val="none" w:sz="0" w:space="0" w:color="auto"/>
                                                                <w:right w:val="none" w:sz="0" w:space="0" w:color="auto"/>
                                                              </w:divBdr>
                                                              <w:divsChild>
                                                                <w:div w:id="18155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1164024">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1809662106">
      <w:bodyDiv w:val="1"/>
      <w:marLeft w:val="0"/>
      <w:marRight w:val="0"/>
      <w:marTop w:val="0"/>
      <w:marBottom w:val="0"/>
      <w:divBdr>
        <w:top w:val="none" w:sz="0" w:space="0" w:color="auto"/>
        <w:left w:val="none" w:sz="0" w:space="0" w:color="auto"/>
        <w:bottom w:val="none" w:sz="0" w:space="0" w:color="auto"/>
        <w:right w:val="none" w:sz="0" w:space="0" w:color="auto"/>
      </w:divBdr>
      <w:divsChild>
        <w:div w:id="187914857">
          <w:marLeft w:val="0"/>
          <w:marRight w:val="0"/>
          <w:marTop w:val="0"/>
          <w:marBottom w:val="0"/>
          <w:divBdr>
            <w:top w:val="none" w:sz="0" w:space="0" w:color="auto"/>
            <w:left w:val="none" w:sz="0" w:space="0" w:color="auto"/>
            <w:bottom w:val="none" w:sz="0" w:space="0" w:color="auto"/>
            <w:right w:val="none" w:sz="0" w:space="0" w:color="auto"/>
          </w:divBdr>
          <w:divsChild>
            <w:div w:id="362243673">
              <w:marLeft w:val="0"/>
              <w:marRight w:val="0"/>
              <w:marTop w:val="0"/>
              <w:marBottom w:val="0"/>
              <w:divBdr>
                <w:top w:val="none" w:sz="0" w:space="0" w:color="auto"/>
                <w:left w:val="none" w:sz="0" w:space="0" w:color="auto"/>
                <w:bottom w:val="none" w:sz="0" w:space="0" w:color="auto"/>
                <w:right w:val="none" w:sz="0" w:space="0" w:color="auto"/>
              </w:divBdr>
              <w:divsChild>
                <w:div w:id="145629947">
                  <w:marLeft w:val="0"/>
                  <w:marRight w:val="0"/>
                  <w:marTop w:val="0"/>
                  <w:marBottom w:val="0"/>
                  <w:divBdr>
                    <w:top w:val="none" w:sz="0" w:space="0" w:color="auto"/>
                    <w:left w:val="none" w:sz="0" w:space="0" w:color="auto"/>
                    <w:bottom w:val="none" w:sz="0" w:space="0" w:color="auto"/>
                    <w:right w:val="none" w:sz="0" w:space="0" w:color="auto"/>
                  </w:divBdr>
                  <w:divsChild>
                    <w:div w:id="888614965">
                      <w:marLeft w:val="0"/>
                      <w:marRight w:val="0"/>
                      <w:marTop w:val="0"/>
                      <w:marBottom w:val="0"/>
                      <w:divBdr>
                        <w:top w:val="none" w:sz="0" w:space="0" w:color="auto"/>
                        <w:left w:val="none" w:sz="0" w:space="0" w:color="auto"/>
                        <w:bottom w:val="none" w:sz="0" w:space="0" w:color="auto"/>
                        <w:right w:val="none" w:sz="0" w:space="0" w:color="auto"/>
                      </w:divBdr>
                      <w:divsChild>
                        <w:div w:id="1209801694">
                          <w:marLeft w:val="0"/>
                          <w:marRight w:val="0"/>
                          <w:marTop w:val="0"/>
                          <w:marBottom w:val="0"/>
                          <w:divBdr>
                            <w:top w:val="none" w:sz="0" w:space="0" w:color="auto"/>
                            <w:left w:val="none" w:sz="0" w:space="0" w:color="auto"/>
                            <w:bottom w:val="none" w:sz="0" w:space="0" w:color="auto"/>
                            <w:right w:val="none" w:sz="0" w:space="0" w:color="auto"/>
                          </w:divBdr>
                          <w:divsChild>
                            <w:div w:id="1978409284">
                              <w:marLeft w:val="0"/>
                              <w:marRight w:val="0"/>
                              <w:marTop w:val="0"/>
                              <w:marBottom w:val="0"/>
                              <w:divBdr>
                                <w:top w:val="none" w:sz="0" w:space="0" w:color="auto"/>
                                <w:left w:val="none" w:sz="0" w:space="0" w:color="auto"/>
                                <w:bottom w:val="none" w:sz="0" w:space="0" w:color="auto"/>
                                <w:right w:val="none" w:sz="0" w:space="0" w:color="auto"/>
                              </w:divBdr>
                              <w:divsChild>
                                <w:div w:id="296036892">
                                  <w:marLeft w:val="0"/>
                                  <w:marRight w:val="0"/>
                                  <w:marTop w:val="0"/>
                                  <w:marBottom w:val="0"/>
                                  <w:divBdr>
                                    <w:top w:val="none" w:sz="0" w:space="0" w:color="auto"/>
                                    <w:left w:val="none" w:sz="0" w:space="0" w:color="auto"/>
                                    <w:bottom w:val="none" w:sz="0" w:space="0" w:color="auto"/>
                                    <w:right w:val="none" w:sz="0" w:space="0" w:color="auto"/>
                                  </w:divBdr>
                                  <w:divsChild>
                                    <w:div w:id="1781803198">
                                      <w:marLeft w:val="0"/>
                                      <w:marRight w:val="0"/>
                                      <w:marTop w:val="0"/>
                                      <w:marBottom w:val="0"/>
                                      <w:divBdr>
                                        <w:top w:val="none" w:sz="0" w:space="0" w:color="auto"/>
                                        <w:left w:val="none" w:sz="0" w:space="0" w:color="auto"/>
                                        <w:bottom w:val="none" w:sz="0" w:space="0" w:color="auto"/>
                                        <w:right w:val="none" w:sz="0" w:space="0" w:color="auto"/>
                                      </w:divBdr>
                                      <w:divsChild>
                                        <w:div w:id="1041436462">
                                          <w:marLeft w:val="0"/>
                                          <w:marRight w:val="0"/>
                                          <w:marTop w:val="0"/>
                                          <w:marBottom w:val="0"/>
                                          <w:divBdr>
                                            <w:top w:val="none" w:sz="0" w:space="0" w:color="auto"/>
                                            <w:left w:val="none" w:sz="0" w:space="0" w:color="auto"/>
                                            <w:bottom w:val="none" w:sz="0" w:space="0" w:color="auto"/>
                                            <w:right w:val="none" w:sz="0" w:space="0" w:color="auto"/>
                                          </w:divBdr>
                                          <w:divsChild>
                                            <w:div w:id="1735353029">
                                              <w:marLeft w:val="0"/>
                                              <w:marRight w:val="0"/>
                                              <w:marTop w:val="0"/>
                                              <w:marBottom w:val="0"/>
                                              <w:divBdr>
                                                <w:top w:val="none" w:sz="0" w:space="0" w:color="auto"/>
                                                <w:left w:val="none" w:sz="0" w:space="0" w:color="auto"/>
                                                <w:bottom w:val="none" w:sz="0" w:space="0" w:color="auto"/>
                                                <w:right w:val="none" w:sz="0" w:space="0" w:color="auto"/>
                                              </w:divBdr>
                                              <w:divsChild>
                                                <w:div w:id="1024552797">
                                                  <w:marLeft w:val="0"/>
                                                  <w:marRight w:val="0"/>
                                                  <w:marTop w:val="0"/>
                                                  <w:marBottom w:val="0"/>
                                                  <w:divBdr>
                                                    <w:top w:val="none" w:sz="0" w:space="0" w:color="auto"/>
                                                    <w:left w:val="none" w:sz="0" w:space="0" w:color="auto"/>
                                                    <w:bottom w:val="none" w:sz="0" w:space="0" w:color="auto"/>
                                                    <w:right w:val="none" w:sz="0" w:space="0" w:color="auto"/>
                                                  </w:divBdr>
                                                  <w:divsChild>
                                                    <w:div w:id="764544475">
                                                      <w:marLeft w:val="0"/>
                                                      <w:marRight w:val="0"/>
                                                      <w:marTop w:val="0"/>
                                                      <w:marBottom w:val="0"/>
                                                      <w:divBdr>
                                                        <w:top w:val="none" w:sz="0" w:space="0" w:color="auto"/>
                                                        <w:left w:val="none" w:sz="0" w:space="0" w:color="auto"/>
                                                        <w:bottom w:val="none" w:sz="0" w:space="0" w:color="auto"/>
                                                        <w:right w:val="none" w:sz="0" w:space="0" w:color="auto"/>
                                                      </w:divBdr>
                                                      <w:divsChild>
                                                        <w:div w:id="1014576757">
                                                          <w:marLeft w:val="0"/>
                                                          <w:marRight w:val="0"/>
                                                          <w:marTop w:val="0"/>
                                                          <w:marBottom w:val="0"/>
                                                          <w:divBdr>
                                                            <w:top w:val="none" w:sz="0" w:space="0" w:color="auto"/>
                                                            <w:left w:val="none" w:sz="0" w:space="0" w:color="auto"/>
                                                            <w:bottom w:val="none" w:sz="0" w:space="0" w:color="auto"/>
                                                            <w:right w:val="none" w:sz="0" w:space="0" w:color="auto"/>
                                                          </w:divBdr>
                                                          <w:divsChild>
                                                            <w:div w:id="2090926512">
                                                              <w:marLeft w:val="0"/>
                                                              <w:marRight w:val="0"/>
                                                              <w:marTop w:val="0"/>
                                                              <w:marBottom w:val="0"/>
                                                              <w:divBdr>
                                                                <w:top w:val="none" w:sz="0" w:space="0" w:color="auto"/>
                                                                <w:left w:val="none" w:sz="0" w:space="0" w:color="auto"/>
                                                                <w:bottom w:val="none" w:sz="0" w:space="0" w:color="auto"/>
                                                                <w:right w:val="none" w:sz="0" w:space="0" w:color="auto"/>
                                                              </w:divBdr>
                                                              <w:divsChild>
                                                                <w:div w:id="19155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4613545">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188587420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E9FC0-C490-4F47-9DAA-FAF7EBDD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6936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Corporations (Transitional) Director Identification Number Extended Application Period 2021 Explanatory Statement</vt:lpstr>
    </vt:vector>
  </TitlesOfParts>
  <Company/>
  <LinksUpToDate>false</LinksUpToDate>
  <CharactersWithSpaces>8178</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(Transitional) Director Identification Number Extended Application Period 2021 Explanatory Statement</dc:title>
  <dc:creator/>
  <cp:lastModifiedBy/>
  <cp:revision>1</cp:revision>
  <dcterms:created xsi:type="dcterms:W3CDTF">2021-04-28T03:09:00Z</dcterms:created>
  <dcterms:modified xsi:type="dcterms:W3CDTF">2021-04-28T03:09:00Z</dcterms:modified>
</cp:coreProperties>
</file>