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5FE3DD" w14:textId="77777777" w:rsidR="00EC59C9" w:rsidRPr="006A05B0" w:rsidRDefault="00EC59C9" w:rsidP="006A05B0">
      <w:pPr>
        <w:keepNext/>
        <w:tabs>
          <w:tab w:val="clear" w:pos="567"/>
        </w:tabs>
        <w:overflowPunct/>
        <w:autoSpaceDE/>
        <w:autoSpaceDN/>
        <w:adjustRightInd/>
        <w:spacing w:after="60"/>
        <w:ind w:left="720" w:hanging="720"/>
        <w:textAlignment w:val="auto"/>
        <w:rPr>
          <w:rFonts w:ascii="Arial" w:hAnsi="Arial"/>
          <w:b/>
        </w:rPr>
      </w:pPr>
      <w:r w:rsidRPr="006A05B0">
        <w:rPr>
          <w:rFonts w:ascii="Arial" w:hAnsi="Arial"/>
          <w:b/>
        </w:rPr>
        <w:t>Explanatory Statement</w:t>
      </w:r>
    </w:p>
    <w:p w14:paraId="20B5866E" w14:textId="77777777" w:rsidR="00EC59C9" w:rsidRPr="005F633B" w:rsidRDefault="00EC59C9" w:rsidP="00C43992">
      <w:pPr>
        <w:pStyle w:val="Heading3"/>
        <w:rPr>
          <w:sz w:val="24"/>
          <w:szCs w:val="24"/>
        </w:rPr>
      </w:pPr>
      <w:r w:rsidRPr="005F633B">
        <w:rPr>
          <w:sz w:val="24"/>
          <w:szCs w:val="24"/>
        </w:rPr>
        <w:t>Civil Aviation Regulations 1988</w:t>
      </w:r>
    </w:p>
    <w:p w14:paraId="6EF2E813" w14:textId="77777777" w:rsidR="006F47EF" w:rsidRDefault="006F47EF" w:rsidP="006F47EF">
      <w:pPr>
        <w:pStyle w:val="Heading3"/>
        <w:rPr>
          <w:sz w:val="24"/>
          <w:szCs w:val="24"/>
        </w:rPr>
      </w:pPr>
      <w:r w:rsidRPr="005F633B">
        <w:rPr>
          <w:sz w:val="24"/>
          <w:szCs w:val="24"/>
        </w:rPr>
        <w:t>Civil Aviation Safety Regulations 1998</w:t>
      </w:r>
    </w:p>
    <w:p w14:paraId="558F8BA8" w14:textId="4C17202D" w:rsidR="00402954" w:rsidRPr="003A3195" w:rsidRDefault="007057D7" w:rsidP="00A54868">
      <w:pPr>
        <w:pStyle w:val="Heading3"/>
        <w:spacing w:after="0"/>
        <w:jc w:val="left"/>
        <w:rPr>
          <w:i/>
          <w:sz w:val="24"/>
          <w:szCs w:val="24"/>
          <w:lang w:val="en-AU"/>
        </w:rPr>
      </w:pPr>
      <w:r>
        <w:rPr>
          <w:sz w:val="24"/>
          <w:szCs w:val="24"/>
          <w:lang w:val="en-AU"/>
        </w:rPr>
        <w:t xml:space="preserve">CASA </w:t>
      </w:r>
      <w:r w:rsidR="00AE67D6">
        <w:rPr>
          <w:sz w:val="24"/>
          <w:szCs w:val="24"/>
          <w:lang w:val="en-AU"/>
        </w:rPr>
        <w:t>EX45/21</w:t>
      </w:r>
      <w:r w:rsidR="00687EDF">
        <w:rPr>
          <w:sz w:val="24"/>
          <w:szCs w:val="24"/>
          <w:lang w:val="en-AU"/>
        </w:rPr>
        <w:t> </w:t>
      </w:r>
      <w:r>
        <w:rPr>
          <w:sz w:val="24"/>
          <w:szCs w:val="24"/>
          <w:lang w:val="en-AU"/>
        </w:rPr>
        <w:t xml:space="preserve">— </w:t>
      </w:r>
      <w:r w:rsidR="008405A1">
        <w:rPr>
          <w:sz w:val="24"/>
          <w:szCs w:val="24"/>
          <w:lang w:val="en-AU"/>
        </w:rPr>
        <w:t xml:space="preserve">ATSB </w:t>
      </w:r>
      <w:r>
        <w:rPr>
          <w:sz w:val="24"/>
          <w:szCs w:val="24"/>
          <w:lang w:val="en-AU"/>
        </w:rPr>
        <w:t xml:space="preserve">Winching Operations </w:t>
      </w:r>
      <w:r w:rsidR="008405A1">
        <w:rPr>
          <w:sz w:val="24"/>
          <w:szCs w:val="24"/>
          <w:lang w:val="en-AU"/>
        </w:rPr>
        <w:t>Instrument 20</w:t>
      </w:r>
      <w:r w:rsidR="009D7DCC">
        <w:rPr>
          <w:sz w:val="24"/>
          <w:szCs w:val="24"/>
          <w:lang w:val="en-AU"/>
        </w:rPr>
        <w:t>21</w:t>
      </w:r>
    </w:p>
    <w:p w14:paraId="77F0BC4B" w14:textId="77777777" w:rsidR="008405A1" w:rsidRDefault="008405A1" w:rsidP="00A54868">
      <w:pPr>
        <w:tabs>
          <w:tab w:val="clear" w:pos="567"/>
        </w:tabs>
        <w:overflowPunct/>
        <w:autoSpaceDE/>
        <w:autoSpaceDN/>
        <w:adjustRightInd/>
        <w:spacing w:before="480"/>
        <w:textAlignment w:val="auto"/>
        <w:rPr>
          <w:rFonts w:ascii="Times New Roman" w:hAnsi="Times New Roman"/>
          <w:b/>
        </w:rPr>
      </w:pPr>
      <w:r>
        <w:rPr>
          <w:rFonts w:ascii="Times New Roman" w:hAnsi="Times New Roman"/>
          <w:b/>
        </w:rPr>
        <w:t>Purpose</w:t>
      </w:r>
    </w:p>
    <w:p w14:paraId="69748E64" w14:textId="556DCD8F" w:rsidR="00A763A8" w:rsidRDefault="008405A1" w:rsidP="00C43992">
      <w:pPr>
        <w:tabs>
          <w:tab w:val="clear" w:pos="567"/>
        </w:tabs>
        <w:overflowPunct/>
        <w:autoSpaceDE/>
        <w:autoSpaceDN/>
        <w:adjustRightInd/>
        <w:textAlignment w:val="auto"/>
        <w:rPr>
          <w:rFonts w:ascii="Times New Roman" w:hAnsi="Times New Roman"/>
        </w:rPr>
      </w:pPr>
      <w:r>
        <w:rPr>
          <w:rFonts w:ascii="Times New Roman" w:hAnsi="Times New Roman"/>
        </w:rPr>
        <w:t>The</w:t>
      </w:r>
      <w:r w:rsidR="00200234">
        <w:rPr>
          <w:rFonts w:ascii="Times New Roman" w:hAnsi="Times New Roman"/>
        </w:rPr>
        <w:t xml:space="preserve"> purpose of this instrument is to allow </w:t>
      </w:r>
      <w:r w:rsidR="00DC0826">
        <w:rPr>
          <w:rFonts w:ascii="Times New Roman" w:hAnsi="Times New Roman"/>
        </w:rPr>
        <w:t xml:space="preserve">Australian Transport Safety Bureau </w:t>
      </w:r>
      <w:r w:rsidR="00EE2D76">
        <w:rPr>
          <w:rFonts w:ascii="Times New Roman" w:hAnsi="Times New Roman"/>
        </w:rPr>
        <w:t>(</w:t>
      </w:r>
      <w:r w:rsidR="00EE2D76">
        <w:rPr>
          <w:rFonts w:ascii="Times New Roman" w:hAnsi="Times New Roman"/>
          <w:b/>
          <w:bCs/>
          <w:i/>
          <w:iCs/>
        </w:rPr>
        <w:t>ATSB</w:t>
      </w:r>
      <w:r w:rsidR="00EE2D76">
        <w:rPr>
          <w:rFonts w:ascii="Times New Roman" w:hAnsi="Times New Roman"/>
        </w:rPr>
        <w:t xml:space="preserve">) </w:t>
      </w:r>
      <w:r w:rsidR="00DC0826">
        <w:rPr>
          <w:rFonts w:ascii="Times New Roman" w:hAnsi="Times New Roman"/>
        </w:rPr>
        <w:t>personnel</w:t>
      </w:r>
      <w:r w:rsidR="00EE2D76">
        <w:rPr>
          <w:rFonts w:ascii="Times New Roman" w:hAnsi="Times New Roman"/>
        </w:rPr>
        <w:t xml:space="preserve"> </w:t>
      </w:r>
      <w:r w:rsidR="00DC0826" w:rsidRPr="0005491E">
        <w:rPr>
          <w:rFonts w:ascii="Times New Roman" w:hAnsi="Times New Roman"/>
        </w:rPr>
        <w:t>t</w:t>
      </w:r>
      <w:r w:rsidR="0005491E">
        <w:rPr>
          <w:rFonts w:ascii="Times New Roman" w:hAnsi="Times New Roman"/>
        </w:rPr>
        <w:t xml:space="preserve">o </w:t>
      </w:r>
      <w:r w:rsidR="00DC0826" w:rsidRPr="0005491E">
        <w:rPr>
          <w:rFonts w:ascii="Times New Roman" w:hAnsi="Times New Roman"/>
        </w:rPr>
        <w:t>safely</w:t>
      </w:r>
      <w:r w:rsidR="00DC0826">
        <w:rPr>
          <w:rFonts w:ascii="Times New Roman" w:hAnsi="Times New Roman"/>
        </w:rPr>
        <w:t xml:space="preserve"> </w:t>
      </w:r>
      <w:r w:rsidR="00B56F0C">
        <w:rPr>
          <w:rFonts w:ascii="Times New Roman" w:hAnsi="Times New Roman"/>
        </w:rPr>
        <w:t>access transport accident sites by helicopter winching, including if necessary by being winched into confined areas.</w:t>
      </w:r>
    </w:p>
    <w:p w14:paraId="378789FD" w14:textId="28485D0D" w:rsidR="00DC0826" w:rsidRPr="00A54868" w:rsidRDefault="00DC0826" w:rsidP="00C43992">
      <w:pPr>
        <w:tabs>
          <w:tab w:val="clear" w:pos="567"/>
        </w:tabs>
        <w:overflowPunct/>
        <w:autoSpaceDE/>
        <w:autoSpaceDN/>
        <w:adjustRightInd/>
        <w:textAlignment w:val="auto"/>
        <w:rPr>
          <w:rFonts w:ascii="Times New Roman" w:hAnsi="Times New Roman"/>
          <w:bCs/>
        </w:rPr>
      </w:pPr>
    </w:p>
    <w:p w14:paraId="65C58BD2" w14:textId="77777777" w:rsidR="00EC59C9" w:rsidRPr="00E119C3" w:rsidRDefault="00EC59C9" w:rsidP="00C43992">
      <w:pPr>
        <w:tabs>
          <w:tab w:val="clear" w:pos="567"/>
        </w:tabs>
        <w:overflowPunct/>
        <w:autoSpaceDE/>
        <w:autoSpaceDN/>
        <w:adjustRightInd/>
        <w:textAlignment w:val="auto"/>
        <w:rPr>
          <w:rFonts w:ascii="Times New Roman" w:hAnsi="Times New Roman"/>
          <w:b/>
        </w:rPr>
      </w:pPr>
      <w:bookmarkStart w:id="0" w:name="_Hlk69983820"/>
      <w:r w:rsidRPr="00E119C3">
        <w:rPr>
          <w:rFonts w:ascii="Times New Roman" w:hAnsi="Times New Roman"/>
          <w:b/>
        </w:rPr>
        <w:t>Legislation</w:t>
      </w:r>
    </w:p>
    <w:p w14:paraId="6691DA1E" w14:textId="1948148C" w:rsidR="00DC0826" w:rsidRDefault="00EC59C9" w:rsidP="00DC0826">
      <w:pPr>
        <w:rPr>
          <w:rFonts w:ascii="Times New Roman" w:hAnsi="Times New Roman"/>
        </w:rPr>
      </w:pPr>
      <w:r w:rsidRPr="00E119C3">
        <w:rPr>
          <w:rFonts w:ascii="Times New Roman" w:hAnsi="Times New Roman"/>
        </w:rPr>
        <w:t xml:space="preserve">Section 98 of the </w:t>
      </w:r>
      <w:r w:rsidRPr="00E119C3">
        <w:rPr>
          <w:rFonts w:ascii="Times New Roman" w:hAnsi="Times New Roman"/>
          <w:i/>
        </w:rPr>
        <w:t xml:space="preserve">Civil Aviation Act 1988 </w:t>
      </w:r>
      <w:r w:rsidRPr="00E119C3">
        <w:rPr>
          <w:rFonts w:ascii="Times New Roman" w:hAnsi="Times New Roman"/>
          <w:iCs/>
        </w:rPr>
        <w:t xml:space="preserve">(the </w:t>
      </w:r>
      <w:r w:rsidR="007057D7" w:rsidRPr="006536E1">
        <w:rPr>
          <w:rFonts w:ascii="Times New Roman" w:hAnsi="Times New Roman"/>
          <w:b/>
          <w:i/>
          <w:iCs/>
        </w:rPr>
        <w:t>Act</w:t>
      </w:r>
      <w:r w:rsidRPr="00E119C3">
        <w:rPr>
          <w:rFonts w:ascii="Times New Roman" w:hAnsi="Times New Roman"/>
          <w:iCs/>
        </w:rPr>
        <w:t>)</w:t>
      </w:r>
      <w:r w:rsidRPr="00E119C3">
        <w:rPr>
          <w:rFonts w:ascii="Times New Roman" w:hAnsi="Times New Roman"/>
        </w:rPr>
        <w:t xml:space="preserve"> empowers the Governor-General to make regulations for the Act and in the interests of the safety of air navigation.</w:t>
      </w:r>
      <w:r w:rsidR="007057D7">
        <w:rPr>
          <w:rFonts w:ascii="Times New Roman" w:hAnsi="Times New Roman"/>
        </w:rPr>
        <w:t xml:space="preserve"> Relevantly, the Governor-General has made the </w:t>
      </w:r>
      <w:r w:rsidR="007057D7">
        <w:rPr>
          <w:rFonts w:ascii="Times New Roman" w:hAnsi="Times New Roman"/>
          <w:i/>
        </w:rPr>
        <w:t xml:space="preserve">Civil Aviation Regulations 1988 </w:t>
      </w:r>
      <w:r w:rsidR="007057D7">
        <w:rPr>
          <w:rFonts w:ascii="Times New Roman" w:hAnsi="Times New Roman"/>
        </w:rPr>
        <w:t>(</w:t>
      </w:r>
      <w:r w:rsidR="007057D7" w:rsidRPr="006536E1">
        <w:rPr>
          <w:rFonts w:ascii="Times New Roman" w:hAnsi="Times New Roman"/>
          <w:b/>
          <w:i/>
        </w:rPr>
        <w:t>CAR</w:t>
      </w:r>
      <w:r w:rsidR="007057D7">
        <w:rPr>
          <w:rFonts w:ascii="Times New Roman" w:hAnsi="Times New Roman"/>
        </w:rPr>
        <w:t xml:space="preserve">) and the </w:t>
      </w:r>
      <w:r w:rsidR="00DC0826" w:rsidRPr="00F25143">
        <w:rPr>
          <w:rFonts w:ascii="Times New Roman" w:hAnsi="Times New Roman"/>
          <w:i/>
        </w:rPr>
        <w:t xml:space="preserve">Civil Aviation </w:t>
      </w:r>
      <w:r w:rsidR="00A22C43">
        <w:rPr>
          <w:rFonts w:ascii="Times New Roman" w:hAnsi="Times New Roman"/>
          <w:i/>
        </w:rPr>
        <w:t xml:space="preserve">Safety </w:t>
      </w:r>
      <w:r w:rsidR="00DC0826" w:rsidRPr="00F25143">
        <w:rPr>
          <w:rFonts w:ascii="Times New Roman" w:hAnsi="Times New Roman"/>
          <w:i/>
        </w:rPr>
        <w:t>Regulations 19</w:t>
      </w:r>
      <w:r w:rsidR="00A22C43">
        <w:rPr>
          <w:rFonts w:ascii="Times New Roman" w:hAnsi="Times New Roman"/>
          <w:i/>
        </w:rPr>
        <w:t>9</w:t>
      </w:r>
      <w:r w:rsidR="00DC0826" w:rsidRPr="00F25143">
        <w:rPr>
          <w:rFonts w:ascii="Times New Roman" w:hAnsi="Times New Roman"/>
          <w:i/>
        </w:rPr>
        <w:t>8</w:t>
      </w:r>
      <w:r w:rsidR="00DC0826">
        <w:rPr>
          <w:rFonts w:ascii="Times New Roman" w:hAnsi="Times New Roman"/>
        </w:rPr>
        <w:t xml:space="preserve"> (</w:t>
      </w:r>
      <w:r w:rsidR="00DC0826" w:rsidRPr="00F25143">
        <w:rPr>
          <w:rFonts w:ascii="Times New Roman" w:hAnsi="Times New Roman"/>
          <w:b/>
          <w:i/>
        </w:rPr>
        <w:t>CA</w:t>
      </w:r>
      <w:r w:rsidR="00A22C43">
        <w:rPr>
          <w:rFonts w:ascii="Times New Roman" w:hAnsi="Times New Roman"/>
          <w:b/>
          <w:i/>
        </w:rPr>
        <w:t>S</w:t>
      </w:r>
      <w:r w:rsidR="00DC0826" w:rsidRPr="00F25143">
        <w:rPr>
          <w:rFonts w:ascii="Times New Roman" w:hAnsi="Times New Roman"/>
          <w:b/>
          <w:i/>
        </w:rPr>
        <w:t>R</w:t>
      </w:r>
      <w:r w:rsidR="00DC0826">
        <w:rPr>
          <w:rFonts w:ascii="Times New Roman" w:hAnsi="Times New Roman"/>
        </w:rPr>
        <w:t>).</w:t>
      </w:r>
    </w:p>
    <w:p w14:paraId="7D490B48" w14:textId="7642D3D8" w:rsidR="00530283" w:rsidRPr="0069323F" w:rsidRDefault="00530283" w:rsidP="00DC0826">
      <w:pPr>
        <w:rPr>
          <w:rFonts w:ascii="Times New Roman" w:hAnsi="Times New Roman"/>
        </w:rPr>
      </w:pPr>
    </w:p>
    <w:p w14:paraId="0CB0B892" w14:textId="2099D372" w:rsidR="00242EBE" w:rsidRPr="0069323F" w:rsidRDefault="00530283" w:rsidP="00242EBE">
      <w:pPr>
        <w:rPr>
          <w:rFonts w:ascii="Times New Roman" w:hAnsi="Times New Roman"/>
        </w:rPr>
      </w:pPr>
      <w:r w:rsidRPr="00BC487D">
        <w:rPr>
          <w:rFonts w:ascii="Times New Roman" w:hAnsi="Times New Roman"/>
        </w:rPr>
        <w:t>Under subregulation 11.160</w:t>
      </w:r>
      <w:r w:rsidR="000D7BA9" w:rsidRPr="00BC487D">
        <w:rPr>
          <w:rFonts w:ascii="Times New Roman" w:hAnsi="Times New Roman"/>
        </w:rPr>
        <w:t> </w:t>
      </w:r>
      <w:r w:rsidRPr="00BC487D">
        <w:rPr>
          <w:rFonts w:ascii="Times New Roman" w:hAnsi="Times New Roman"/>
        </w:rPr>
        <w:t>(1) of</w:t>
      </w:r>
      <w:r w:rsidR="00242EBE" w:rsidRPr="00BC487D">
        <w:rPr>
          <w:rFonts w:ascii="Times New Roman" w:hAnsi="Times New Roman"/>
        </w:rPr>
        <w:t xml:space="preserve"> CASR</w:t>
      </w:r>
      <w:r w:rsidRPr="00BC487D">
        <w:rPr>
          <w:rFonts w:ascii="Times New Roman" w:hAnsi="Times New Roman"/>
        </w:rPr>
        <w:t>, for subsection</w:t>
      </w:r>
      <w:r w:rsidR="001F5B29" w:rsidRPr="00BC487D">
        <w:rPr>
          <w:rFonts w:ascii="Times New Roman" w:hAnsi="Times New Roman"/>
        </w:rPr>
        <w:t xml:space="preserve"> </w:t>
      </w:r>
      <w:r w:rsidRPr="00BC487D">
        <w:rPr>
          <w:rFonts w:ascii="Times New Roman" w:hAnsi="Times New Roman"/>
        </w:rPr>
        <w:t>98</w:t>
      </w:r>
      <w:r w:rsidR="001F5B29" w:rsidRPr="00BC487D">
        <w:rPr>
          <w:rFonts w:ascii="Times New Roman" w:hAnsi="Times New Roman"/>
        </w:rPr>
        <w:t> </w:t>
      </w:r>
      <w:r w:rsidRPr="00BC487D">
        <w:rPr>
          <w:rFonts w:ascii="Times New Roman" w:hAnsi="Times New Roman"/>
        </w:rPr>
        <w:t xml:space="preserve">(5A) of </w:t>
      </w:r>
      <w:r w:rsidR="00242EBE" w:rsidRPr="00BC487D">
        <w:rPr>
          <w:rFonts w:ascii="Times New Roman" w:hAnsi="Times New Roman"/>
        </w:rPr>
        <w:t>Act</w:t>
      </w:r>
      <w:r w:rsidRPr="00BC487D">
        <w:rPr>
          <w:rFonts w:ascii="Times New Roman" w:hAnsi="Times New Roman"/>
        </w:rPr>
        <w:t>,</w:t>
      </w:r>
      <w:r w:rsidRPr="00BC487D">
        <w:rPr>
          <w:rFonts w:ascii="Times New Roman" w:hAnsi="Times New Roman"/>
          <w:i/>
        </w:rPr>
        <w:t xml:space="preserve"> </w:t>
      </w:r>
      <w:r w:rsidRPr="00BC487D">
        <w:rPr>
          <w:rFonts w:ascii="Times New Roman" w:hAnsi="Times New Roman"/>
        </w:rPr>
        <w:t>CASA may, by</w:t>
      </w:r>
      <w:r w:rsidRPr="0069323F">
        <w:rPr>
          <w:rFonts w:ascii="Times New Roman" w:hAnsi="Times New Roman"/>
        </w:rPr>
        <w:t xml:space="preserve"> instrument, grant an exemption from compliance with a provision of CASR or </w:t>
      </w:r>
      <w:r w:rsidR="00242EBE" w:rsidRPr="0069323F">
        <w:rPr>
          <w:rFonts w:ascii="Times New Roman" w:hAnsi="Times New Roman"/>
        </w:rPr>
        <w:t>CAR</w:t>
      </w:r>
      <w:r w:rsidRPr="0069323F">
        <w:rPr>
          <w:rFonts w:ascii="Times New Roman" w:hAnsi="Times New Roman"/>
        </w:rPr>
        <w:t xml:space="preserve"> or a Civil Aviation Order (</w:t>
      </w:r>
      <w:r w:rsidRPr="0069323F">
        <w:rPr>
          <w:rFonts w:ascii="Times New Roman" w:hAnsi="Times New Roman"/>
          <w:b/>
          <w:i/>
        </w:rPr>
        <w:t>CAO</w:t>
      </w:r>
      <w:r w:rsidRPr="0069323F">
        <w:rPr>
          <w:rFonts w:ascii="Times New Roman" w:hAnsi="Times New Roman"/>
        </w:rPr>
        <w:t>).</w:t>
      </w:r>
      <w:r w:rsidR="00242EBE" w:rsidRPr="0069323F">
        <w:rPr>
          <w:rFonts w:ascii="Times New Roman" w:hAnsi="Times New Roman"/>
        </w:rPr>
        <w:t xml:space="preserve"> Under subregulation 11.160</w:t>
      </w:r>
      <w:r w:rsidR="001F5B29">
        <w:rPr>
          <w:rFonts w:ascii="Times New Roman" w:hAnsi="Times New Roman"/>
        </w:rPr>
        <w:t> </w:t>
      </w:r>
      <w:r w:rsidR="00242EBE" w:rsidRPr="0069323F">
        <w:rPr>
          <w:rFonts w:ascii="Times New Roman" w:hAnsi="Times New Roman"/>
        </w:rPr>
        <w:t>(2), an exemption may be granted to a person or a class of persons, and may specify the class by reference to membership of a specified body or any other characteristic.</w:t>
      </w:r>
    </w:p>
    <w:p w14:paraId="6699426F" w14:textId="72A565B2" w:rsidR="00530283" w:rsidRPr="0069323F" w:rsidRDefault="00530283" w:rsidP="00530283">
      <w:pPr>
        <w:rPr>
          <w:rFonts w:ascii="Times New Roman" w:hAnsi="Times New Roman"/>
        </w:rPr>
      </w:pPr>
    </w:p>
    <w:p w14:paraId="6C3C9FDD" w14:textId="77777777" w:rsidR="00BC487D" w:rsidRDefault="00E61263" w:rsidP="00E61263">
      <w:pPr>
        <w:rPr>
          <w:rFonts w:ascii="Times New Roman" w:hAnsi="Times New Roman"/>
        </w:rPr>
      </w:pPr>
      <w:r w:rsidRPr="00E61263">
        <w:rPr>
          <w:rFonts w:ascii="Times New Roman" w:hAnsi="Times New Roman"/>
        </w:rPr>
        <w:t>Subregulations</w:t>
      </w:r>
      <w:r w:rsidR="000D7BA9">
        <w:rPr>
          <w:rFonts w:ascii="Times New Roman" w:hAnsi="Times New Roman"/>
        </w:rPr>
        <w:t xml:space="preserve"> </w:t>
      </w:r>
      <w:r w:rsidRPr="00E61263">
        <w:rPr>
          <w:rFonts w:ascii="Times New Roman" w:hAnsi="Times New Roman"/>
        </w:rPr>
        <w:t>11.170</w:t>
      </w:r>
      <w:r w:rsidR="000D7BA9">
        <w:rPr>
          <w:rFonts w:ascii="Times New Roman" w:hAnsi="Times New Roman"/>
        </w:rPr>
        <w:t> </w:t>
      </w:r>
      <w:r w:rsidRPr="00E61263">
        <w:rPr>
          <w:rFonts w:ascii="Times New Roman" w:hAnsi="Times New Roman"/>
        </w:rPr>
        <w:t>(3) and</w:t>
      </w:r>
      <w:r w:rsidR="000D7BA9">
        <w:rPr>
          <w:rFonts w:ascii="Times New Roman" w:hAnsi="Times New Roman"/>
        </w:rPr>
        <w:t xml:space="preserve"> </w:t>
      </w:r>
      <w:r w:rsidRPr="00E61263">
        <w:rPr>
          <w:rFonts w:ascii="Times New Roman" w:hAnsi="Times New Roman"/>
        </w:rPr>
        <w:t>11.175</w:t>
      </w:r>
      <w:r w:rsidR="000D7BA9">
        <w:rPr>
          <w:rFonts w:ascii="Times New Roman" w:hAnsi="Times New Roman"/>
        </w:rPr>
        <w:t> </w:t>
      </w:r>
      <w:r w:rsidRPr="00E61263">
        <w:rPr>
          <w:rFonts w:ascii="Times New Roman" w:hAnsi="Times New Roman"/>
        </w:rPr>
        <w:t>(4) of CASR provide that in deciding whether to grant or renew, respectively, an exemption, on application by a person, CASA must regard as paramount the preservation of at least an acceptable level of aviation safety</w:t>
      </w:r>
      <w:r w:rsidR="00BC487D">
        <w:rPr>
          <w:rFonts w:ascii="Times New Roman" w:hAnsi="Times New Roman"/>
        </w:rPr>
        <w:t>.</w:t>
      </w:r>
    </w:p>
    <w:p w14:paraId="3F2671BC" w14:textId="5F7A2725" w:rsidR="00530283" w:rsidRPr="0069323F" w:rsidRDefault="00530283" w:rsidP="00530283">
      <w:pPr>
        <w:tabs>
          <w:tab w:val="left" w:pos="540"/>
        </w:tabs>
        <w:rPr>
          <w:rFonts w:ascii="Times New Roman" w:hAnsi="Times New Roman"/>
        </w:rPr>
      </w:pPr>
    </w:p>
    <w:p w14:paraId="2ED506D0" w14:textId="77777777" w:rsidR="00BC487D" w:rsidRDefault="00530283" w:rsidP="00530283">
      <w:pPr>
        <w:pStyle w:val="LDBodytext"/>
      </w:pPr>
      <w:r w:rsidRPr="0069323F">
        <w:t>Subregulation 11.205</w:t>
      </w:r>
      <w:r w:rsidR="001F5B29">
        <w:t> </w:t>
      </w:r>
      <w:r w:rsidRPr="0069323F">
        <w:t>(1) of CASR enables CASA to impose conditions on an exemption if this is necessary in the interests of the safety of air navigation. Under regulation</w:t>
      </w:r>
      <w:r w:rsidR="001F5B29">
        <w:t xml:space="preserve"> </w:t>
      </w:r>
      <w:r w:rsidRPr="0069323F">
        <w:t>11.210, it is an offence to fail to comply with a condition of an exemption</w:t>
      </w:r>
      <w:r w:rsidR="00BC487D">
        <w:t>.</w:t>
      </w:r>
    </w:p>
    <w:p w14:paraId="529078E2" w14:textId="6CCDD0ED" w:rsidR="00530283" w:rsidRPr="0069323F" w:rsidRDefault="00530283" w:rsidP="00530283">
      <w:pPr>
        <w:pStyle w:val="LDBodytext"/>
      </w:pPr>
    </w:p>
    <w:p w14:paraId="0B7A48AD" w14:textId="32EA43A9" w:rsidR="00530283" w:rsidRPr="0069323F" w:rsidRDefault="00530283" w:rsidP="00530283">
      <w:pPr>
        <w:pStyle w:val="LDBodytext"/>
      </w:pPr>
      <w:r w:rsidRPr="0069323F">
        <w:t>Regulation</w:t>
      </w:r>
      <w:r w:rsidR="00BC487D">
        <w:t xml:space="preserve"> </w:t>
      </w:r>
      <w:r w:rsidRPr="0069323F">
        <w:t>11.225 of CASR requires an exemption to be published on the internet. Under subregulation</w:t>
      </w:r>
      <w:r w:rsidR="00BC487D">
        <w:t xml:space="preserve"> </w:t>
      </w:r>
      <w:r w:rsidRPr="0069323F">
        <w:t>11.230</w:t>
      </w:r>
      <w:r w:rsidR="001F5B29">
        <w:t> </w:t>
      </w:r>
      <w:r w:rsidRPr="0069323F">
        <w:t>(1), the maximum duration of an exemption is 3</w:t>
      </w:r>
      <w:r w:rsidR="00BC487D">
        <w:t xml:space="preserve"> </w:t>
      </w:r>
      <w:r w:rsidRPr="0069323F">
        <w:t>years.</w:t>
      </w:r>
    </w:p>
    <w:p w14:paraId="6D42CEC4" w14:textId="77777777" w:rsidR="00530283" w:rsidRPr="0069323F" w:rsidRDefault="00530283" w:rsidP="00530283">
      <w:pPr>
        <w:pStyle w:val="LDBodytext"/>
      </w:pPr>
    </w:p>
    <w:p w14:paraId="5BFA5B37" w14:textId="3F00AB3A" w:rsidR="00242EBE" w:rsidRPr="0069323F" w:rsidRDefault="00242EBE" w:rsidP="00242EBE">
      <w:pPr>
        <w:tabs>
          <w:tab w:val="clear" w:pos="567"/>
        </w:tabs>
        <w:overflowPunct/>
        <w:autoSpaceDE/>
        <w:autoSpaceDN/>
        <w:adjustRightInd/>
        <w:textAlignment w:val="auto"/>
        <w:rPr>
          <w:rFonts w:ascii="Times New Roman" w:hAnsi="Times New Roman"/>
        </w:rPr>
      </w:pPr>
      <w:r w:rsidRPr="0069323F">
        <w:rPr>
          <w:rFonts w:ascii="Times New Roman" w:hAnsi="Times New Roman"/>
        </w:rPr>
        <w:t>Under subregulation 151</w:t>
      </w:r>
      <w:r w:rsidR="001F5B29">
        <w:rPr>
          <w:rFonts w:ascii="Times New Roman" w:hAnsi="Times New Roman"/>
        </w:rPr>
        <w:t> </w:t>
      </w:r>
      <w:r w:rsidRPr="0069323F">
        <w:rPr>
          <w:rFonts w:ascii="Times New Roman" w:hAnsi="Times New Roman"/>
        </w:rPr>
        <w:t>(1) of CAR, the pilot in command of an aircraft in flight must not allow persons or objects to be picked up by the aircraft. However, under paragraph 151</w:t>
      </w:r>
      <w:r w:rsidR="001F5B29">
        <w:rPr>
          <w:rFonts w:ascii="Times New Roman" w:hAnsi="Times New Roman"/>
        </w:rPr>
        <w:t> </w:t>
      </w:r>
      <w:r w:rsidRPr="0069323F">
        <w:rPr>
          <w:rFonts w:ascii="Times New Roman" w:hAnsi="Times New Roman"/>
        </w:rPr>
        <w:t>(3)</w:t>
      </w:r>
      <w:r w:rsidR="001F5B29">
        <w:rPr>
          <w:rFonts w:ascii="Times New Roman" w:hAnsi="Times New Roman"/>
        </w:rPr>
        <w:t> </w:t>
      </w:r>
      <w:r w:rsidRPr="0069323F">
        <w:rPr>
          <w:rFonts w:ascii="Times New Roman" w:hAnsi="Times New Roman"/>
        </w:rPr>
        <w:t>(a) of CAR, it is a defence to a prosecution under subregulation 151</w:t>
      </w:r>
      <w:r w:rsidR="001F5B29">
        <w:rPr>
          <w:rFonts w:ascii="Times New Roman" w:hAnsi="Times New Roman"/>
        </w:rPr>
        <w:t> </w:t>
      </w:r>
      <w:r w:rsidRPr="0069323F">
        <w:rPr>
          <w:rFonts w:ascii="Times New Roman" w:hAnsi="Times New Roman"/>
        </w:rPr>
        <w:t>(1) if CASA has given prior written authority for the person or object to be picked up while the aircraft was in flight.</w:t>
      </w:r>
    </w:p>
    <w:p w14:paraId="0DBDAFA4" w14:textId="77777777" w:rsidR="00530283" w:rsidRPr="0069323F" w:rsidRDefault="00530283" w:rsidP="00530283">
      <w:pPr>
        <w:pStyle w:val="LDBodytext"/>
      </w:pPr>
    </w:p>
    <w:p w14:paraId="0811C1E3" w14:textId="77777777" w:rsidR="00BC487D" w:rsidRDefault="00530283" w:rsidP="00530283">
      <w:pPr>
        <w:pStyle w:val="LDBodytext"/>
      </w:pPr>
      <w:r w:rsidRPr="0069323F">
        <w:t>Subregulation 250</w:t>
      </w:r>
      <w:r w:rsidR="001F5B29">
        <w:t> </w:t>
      </w:r>
      <w:r w:rsidRPr="0069323F">
        <w:t>(1) of CAR prohibits the operator of an aircraft from carrying a person on the wings or undercarriage of the aircraft, or any part of the aircraft that is not designed for the accommodation of the crew or passengers, or on anything attached to the aircraft</w:t>
      </w:r>
      <w:r w:rsidR="00BC487D">
        <w:t>.</w:t>
      </w:r>
    </w:p>
    <w:p w14:paraId="471B8E94" w14:textId="3D733700" w:rsidR="0069323F" w:rsidRDefault="0069323F" w:rsidP="00530283">
      <w:pPr>
        <w:pStyle w:val="LDBodytext"/>
      </w:pPr>
    </w:p>
    <w:p w14:paraId="1D10D7CD" w14:textId="5B6712C2" w:rsidR="00530283" w:rsidRPr="0069323F" w:rsidRDefault="00530283" w:rsidP="00530283">
      <w:pPr>
        <w:pStyle w:val="LDBodytext"/>
      </w:pPr>
      <w:r w:rsidRPr="0069323F">
        <w:t>Subregulation 250</w:t>
      </w:r>
      <w:r w:rsidR="001F5B29">
        <w:t> </w:t>
      </w:r>
      <w:r w:rsidRPr="0069323F">
        <w:t xml:space="preserve">(1A) </w:t>
      </w:r>
      <w:r w:rsidR="003419DB">
        <w:t xml:space="preserve">of CAR </w:t>
      </w:r>
      <w:r w:rsidRPr="0069323F">
        <w:t>similarly prohibits the pilot in command from carrying a person in those ways</w:t>
      </w:r>
      <w:r w:rsidR="00B33AA6">
        <w:t xml:space="preserve">. </w:t>
      </w:r>
      <w:r w:rsidR="00242EBE" w:rsidRPr="0069323F">
        <w:t>However, under subregulation</w:t>
      </w:r>
      <w:r w:rsidR="001F5B29">
        <w:t xml:space="preserve"> </w:t>
      </w:r>
      <w:r w:rsidR="00242EBE" w:rsidRPr="0069323F">
        <w:t>250</w:t>
      </w:r>
      <w:r w:rsidR="001F5B29">
        <w:t> </w:t>
      </w:r>
      <w:r w:rsidR="00242EBE" w:rsidRPr="0069323F">
        <w:t>(6), it is a defence to a prosecution under subregulation</w:t>
      </w:r>
      <w:r w:rsidR="001F5B29">
        <w:t xml:space="preserve"> </w:t>
      </w:r>
      <w:r w:rsidR="00242EBE" w:rsidRPr="0069323F">
        <w:t>250</w:t>
      </w:r>
      <w:r w:rsidR="001F5B29">
        <w:t> </w:t>
      </w:r>
      <w:r w:rsidR="00242EBE" w:rsidRPr="0069323F">
        <w:t>(1) or (1A) if the person has CASA’s permission under subregulation</w:t>
      </w:r>
      <w:r w:rsidR="005B2D15">
        <w:t> </w:t>
      </w:r>
      <w:r w:rsidR="00242EBE" w:rsidRPr="0069323F">
        <w:t>250</w:t>
      </w:r>
      <w:r w:rsidR="001F5B29">
        <w:t> </w:t>
      </w:r>
      <w:r w:rsidR="00242EBE" w:rsidRPr="0069323F">
        <w:t>(2). Under subregulation 250</w:t>
      </w:r>
      <w:r w:rsidR="001F5B29">
        <w:t> </w:t>
      </w:r>
      <w:r w:rsidR="00242EBE" w:rsidRPr="0069323F">
        <w:t xml:space="preserve">(2), a person may, with CASA’s permission given in respect of certain flights, be carried on, or in, a part of an aircraft that is not designed for the accommodation of the crew or passengers, or on, or in, anything attached to the </w:t>
      </w:r>
      <w:r w:rsidR="00242EBE" w:rsidRPr="0069323F">
        <w:lastRenderedPageBreak/>
        <w:t>aircraft. Under subregulation 250</w:t>
      </w:r>
      <w:r w:rsidR="001F5B29">
        <w:t> </w:t>
      </w:r>
      <w:r w:rsidR="00242EBE" w:rsidRPr="0069323F">
        <w:t>(3), CASA may, when granting a permission, specify conditions subject to which a person may be carried.</w:t>
      </w:r>
    </w:p>
    <w:p w14:paraId="2A3395A3" w14:textId="77777777" w:rsidR="00530283" w:rsidRPr="0069323F" w:rsidRDefault="00530283" w:rsidP="00530283">
      <w:pPr>
        <w:pStyle w:val="LDBodytext"/>
      </w:pPr>
    </w:p>
    <w:p w14:paraId="1800509B" w14:textId="46F85F80" w:rsidR="00530283" w:rsidRPr="0069323F" w:rsidRDefault="00530283" w:rsidP="00530283">
      <w:pPr>
        <w:pStyle w:val="LDBodytext"/>
      </w:pPr>
      <w:r w:rsidRPr="0069323F">
        <w:t>Paragraph</w:t>
      </w:r>
      <w:r w:rsidR="001F5B29">
        <w:t xml:space="preserve"> </w:t>
      </w:r>
      <w:r w:rsidRPr="0069323F">
        <w:t>251</w:t>
      </w:r>
      <w:r w:rsidR="001F5B29">
        <w:t> </w:t>
      </w:r>
      <w:r w:rsidRPr="0069323F">
        <w:t>(1)</w:t>
      </w:r>
      <w:r w:rsidR="001F5B29">
        <w:t> </w:t>
      </w:r>
      <w:r w:rsidRPr="0069323F">
        <w:t>(c) of CAR requires the wearing of seat belts when an aircraft is flying at a height of less than 1</w:t>
      </w:r>
      <w:r w:rsidR="001F5B29">
        <w:t> </w:t>
      </w:r>
      <w:r w:rsidRPr="0069323F">
        <w:t>000 feet above the terrain.</w:t>
      </w:r>
      <w:r w:rsidR="00242EBE" w:rsidRPr="0069323F">
        <w:t xml:space="preserve"> However, under subregulation 251</w:t>
      </w:r>
      <w:r w:rsidR="001F5B29">
        <w:t> </w:t>
      </w:r>
      <w:r w:rsidR="00242EBE" w:rsidRPr="0069323F">
        <w:t>(3), CASA may direct that a specified type of safety harness be worn in place of a seat</w:t>
      </w:r>
      <w:r w:rsidR="001F5B29">
        <w:t xml:space="preserve"> </w:t>
      </w:r>
      <w:r w:rsidR="00242EBE" w:rsidRPr="0069323F">
        <w:t>belt in the circumstances set out in the direction. Under subregulation 251</w:t>
      </w:r>
      <w:r w:rsidR="001F5B29">
        <w:t> </w:t>
      </w:r>
      <w:r w:rsidR="00242EBE" w:rsidRPr="0069323F">
        <w:t>(9) of CAR</w:t>
      </w:r>
      <w:r w:rsidR="00113510">
        <w:t>,</w:t>
      </w:r>
      <w:r w:rsidR="00242EBE" w:rsidRPr="0069323F">
        <w:t xml:space="preserve"> it is a defence to a prosecution under paragraph 251</w:t>
      </w:r>
      <w:r w:rsidR="001F5B29">
        <w:t> </w:t>
      </w:r>
      <w:r w:rsidR="00242EBE" w:rsidRPr="0069323F">
        <w:t>(1)</w:t>
      </w:r>
      <w:r w:rsidR="001F5B29">
        <w:t> </w:t>
      </w:r>
      <w:r w:rsidR="00242EBE" w:rsidRPr="0069323F">
        <w:t>(c) if CASA directs that seat</w:t>
      </w:r>
      <w:r w:rsidR="001F5B29">
        <w:t xml:space="preserve"> </w:t>
      </w:r>
      <w:r w:rsidR="00242EBE" w:rsidRPr="0069323F">
        <w:t>belts need not be worn in that circumstance.</w:t>
      </w:r>
    </w:p>
    <w:p w14:paraId="5F20FB3C" w14:textId="77777777" w:rsidR="00530283" w:rsidRPr="0069323F" w:rsidRDefault="00530283" w:rsidP="00530283">
      <w:pPr>
        <w:pStyle w:val="LDBodytext"/>
      </w:pPr>
    </w:p>
    <w:p w14:paraId="0F531E17" w14:textId="7CF09217" w:rsidR="00530283" w:rsidRPr="0069323F" w:rsidRDefault="00530283" w:rsidP="00530283">
      <w:pPr>
        <w:pStyle w:val="LDBodytext"/>
      </w:pPr>
      <w:r w:rsidRPr="00E41395">
        <w:t>Paragraphs</w:t>
      </w:r>
      <w:r w:rsidR="001F5B29" w:rsidRPr="00E41395">
        <w:t xml:space="preserve"> </w:t>
      </w:r>
      <w:r w:rsidRPr="00E41395">
        <w:t>3.1 and</w:t>
      </w:r>
      <w:r w:rsidR="001F5B29" w:rsidRPr="00E41395">
        <w:t xml:space="preserve"> </w:t>
      </w:r>
      <w:r w:rsidRPr="00E41395">
        <w:t xml:space="preserve">4.1 of </w:t>
      </w:r>
      <w:r w:rsidR="0081025E" w:rsidRPr="00E41395">
        <w:t>CAO 20.16.</w:t>
      </w:r>
      <w:r w:rsidR="008E4201" w:rsidRPr="00E41395">
        <w:t>3</w:t>
      </w:r>
      <w:r w:rsidR="002771D3" w:rsidRPr="00E41395">
        <w:t>,</w:t>
      </w:r>
      <w:r w:rsidR="0081025E" w:rsidRPr="00E41395">
        <w:t xml:space="preserve"> </w:t>
      </w:r>
      <w:r w:rsidRPr="00E41395">
        <w:t>respectively</w:t>
      </w:r>
      <w:r w:rsidR="002771D3" w:rsidRPr="00E41395">
        <w:t>,</w:t>
      </w:r>
      <w:r w:rsidRPr="00E41395">
        <w:t xml:space="preserve"> require a person to occupy a seat and</w:t>
      </w:r>
      <w:r w:rsidRPr="0069323F">
        <w:t xml:space="preserve"> wear a seat belt or </w:t>
      </w:r>
      <w:r w:rsidR="00D2782A">
        <w:t xml:space="preserve">safety </w:t>
      </w:r>
      <w:r w:rsidRPr="0069323F">
        <w:t>harness while the aircraft is flying at a height of less than 1</w:t>
      </w:r>
      <w:r w:rsidR="001F5B29">
        <w:t> </w:t>
      </w:r>
      <w:r w:rsidRPr="0069323F">
        <w:t>000</w:t>
      </w:r>
      <w:r w:rsidR="001F5B29">
        <w:t xml:space="preserve"> </w:t>
      </w:r>
      <w:r w:rsidRPr="0069323F">
        <w:t>feet above the terrain.</w:t>
      </w:r>
    </w:p>
    <w:p w14:paraId="5E1863A8" w14:textId="77777777" w:rsidR="00530283" w:rsidRPr="0069323F" w:rsidRDefault="00530283" w:rsidP="00C43992">
      <w:pPr>
        <w:tabs>
          <w:tab w:val="clear" w:pos="567"/>
        </w:tabs>
        <w:overflowPunct/>
        <w:autoSpaceDE/>
        <w:autoSpaceDN/>
        <w:adjustRightInd/>
        <w:textAlignment w:val="auto"/>
        <w:rPr>
          <w:rFonts w:ascii="Times New Roman" w:hAnsi="Times New Roman"/>
        </w:rPr>
      </w:pPr>
    </w:p>
    <w:p w14:paraId="0328BD57" w14:textId="30EA97A8" w:rsidR="0069323F" w:rsidRPr="0069323F" w:rsidRDefault="00942BA0" w:rsidP="00C43992">
      <w:pPr>
        <w:tabs>
          <w:tab w:val="clear" w:pos="567"/>
        </w:tabs>
        <w:overflowPunct/>
        <w:autoSpaceDE/>
        <w:autoSpaceDN/>
        <w:adjustRightInd/>
        <w:textAlignment w:val="auto"/>
        <w:rPr>
          <w:rFonts w:ascii="Times New Roman" w:hAnsi="Times New Roman"/>
        </w:rPr>
      </w:pPr>
      <w:r w:rsidRPr="005B2D15">
        <w:rPr>
          <w:rFonts w:ascii="Times New Roman" w:hAnsi="Times New Roman"/>
        </w:rPr>
        <w:t>CAO 29.11</w:t>
      </w:r>
      <w:r w:rsidRPr="0069323F">
        <w:rPr>
          <w:rFonts w:ascii="Times New Roman" w:hAnsi="Times New Roman"/>
        </w:rPr>
        <w:t xml:space="preserve"> </w:t>
      </w:r>
      <w:r w:rsidR="00C07A55" w:rsidRPr="0069323F">
        <w:rPr>
          <w:rFonts w:ascii="Times New Roman" w:hAnsi="Times New Roman"/>
        </w:rPr>
        <w:t>relates to winching and rappelling operations. Paragraph</w:t>
      </w:r>
      <w:r w:rsidR="007E6287">
        <w:rPr>
          <w:rFonts w:ascii="Times New Roman" w:hAnsi="Times New Roman"/>
        </w:rPr>
        <w:t xml:space="preserve"> </w:t>
      </w:r>
      <w:r w:rsidR="00C07A55" w:rsidRPr="0069323F">
        <w:rPr>
          <w:rFonts w:ascii="Times New Roman" w:hAnsi="Times New Roman"/>
        </w:rPr>
        <w:t xml:space="preserve">3.2 of CAO 29.11 grants an exemption from compliance with </w:t>
      </w:r>
      <w:r w:rsidR="004E33CA" w:rsidRPr="0069323F">
        <w:rPr>
          <w:rFonts w:ascii="Times New Roman" w:hAnsi="Times New Roman"/>
        </w:rPr>
        <w:t>paragraph</w:t>
      </w:r>
      <w:r w:rsidR="007E6287">
        <w:rPr>
          <w:rFonts w:ascii="Times New Roman" w:hAnsi="Times New Roman"/>
        </w:rPr>
        <w:t xml:space="preserve"> </w:t>
      </w:r>
      <w:r w:rsidR="00C07A55" w:rsidRPr="0069323F">
        <w:rPr>
          <w:rFonts w:ascii="Times New Roman" w:hAnsi="Times New Roman"/>
        </w:rPr>
        <w:t>251</w:t>
      </w:r>
      <w:r w:rsidR="007E6287">
        <w:rPr>
          <w:rFonts w:ascii="Times New Roman" w:hAnsi="Times New Roman"/>
        </w:rPr>
        <w:t> </w:t>
      </w:r>
      <w:r w:rsidR="00C07A55" w:rsidRPr="0069323F">
        <w:rPr>
          <w:rFonts w:ascii="Times New Roman" w:hAnsi="Times New Roman"/>
        </w:rPr>
        <w:t>(1)</w:t>
      </w:r>
      <w:r w:rsidR="007E6287">
        <w:rPr>
          <w:rFonts w:ascii="Times New Roman" w:hAnsi="Times New Roman"/>
        </w:rPr>
        <w:t> </w:t>
      </w:r>
      <w:r w:rsidR="00C07A55" w:rsidRPr="0069323F">
        <w:rPr>
          <w:rFonts w:ascii="Times New Roman" w:hAnsi="Times New Roman"/>
        </w:rPr>
        <w:t>(</w:t>
      </w:r>
      <w:r w:rsidR="00741CD0">
        <w:rPr>
          <w:rFonts w:ascii="Times New Roman" w:hAnsi="Times New Roman"/>
        </w:rPr>
        <w:t>c</w:t>
      </w:r>
      <w:r w:rsidR="00C07A55" w:rsidRPr="0069323F">
        <w:rPr>
          <w:rFonts w:ascii="Times New Roman" w:hAnsi="Times New Roman"/>
        </w:rPr>
        <w:t>) of CAR, subject to the conditions in CAO</w:t>
      </w:r>
      <w:r w:rsidR="00862FF8" w:rsidRPr="0069323F">
        <w:rPr>
          <w:rFonts w:ascii="Times New Roman" w:hAnsi="Times New Roman"/>
        </w:rPr>
        <w:t xml:space="preserve"> </w:t>
      </w:r>
      <w:r w:rsidR="00C07A55" w:rsidRPr="0069323F">
        <w:rPr>
          <w:rFonts w:ascii="Times New Roman" w:hAnsi="Times New Roman"/>
        </w:rPr>
        <w:t xml:space="preserve">29.11. </w:t>
      </w:r>
      <w:r w:rsidR="00830722" w:rsidRPr="0069323F">
        <w:rPr>
          <w:rFonts w:ascii="Times New Roman" w:hAnsi="Times New Roman"/>
        </w:rPr>
        <w:t>This exemption</w:t>
      </w:r>
      <w:r w:rsidR="0069323F" w:rsidRPr="0069323F">
        <w:rPr>
          <w:rFonts w:ascii="Times New Roman" w:hAnsi="Times New Roman"/>
        </w:rPr>
        <w:t xml:space="preserve"> and its conditions are </w:t>
      </w:r>
      <w:r w:rsidR="00830722" w:rsidRPr="0069323F">
        <w:rPr>
          <w:rFonts w:ascii="Times New Roman" w:hAnsi="Times New Roman"/>
        </w:rPr>
        <w:t>continued by regulation</w:t>
      </w:r>
      <w:r w:rsidR="007E6287">
        <w:rPr>
          <w:rFonts w:ascii="Times New Roman" w:hAnsi="Times New Roman"/>
        </w:rPr>
        <w:t xml:space="preserve"> </w:t>
      </w:r>
      <w:r w:rsidR="00830722" w:rsidRPr="0069323F">
        <w:rPr>
          <w:rFonts w:ascii="Times New Roman" w:hAnsi="Times New Roman"/>
        </w:rPr>
        <w:t>202.011 of CASR.</w:t>
      </w:r>
    </w:p>
    <w:p w14:paraId="54E93D3A" w14:textId="77777777" w:rsidR="0069323F" w:rsidRPr="0069323F" w:rsidRDefault="0069323F" w:rsidP="00C43992">
      <w:pPr>
        <w:tabs>
          <w:tab w:val="clear" w:pos="567"/>
        </w:tabs>
        <w:overflowPunct/>
        <w:autoSpaceDE/>
        <w:autoSpaceDN/>
        <w:adjustRightInd/>
        <w:textAlignment w:val="auto"/>
        <w:rPr>
          <w:rFonts w:ascii="Times New Roman" w:hAnsi="Times New Roman"/>
        </w:rPr>
      </w:pPr>
    </w:p>
    <w:p w14:paraId="56118A21" w14:textId="01E05554" w:rsidR="0069323F" w:rsidRPr="0069323F" w:rsidRDefault="0069323F" w:rsidP="0069323F">
      <w:pPr>
        <w:pStyle w:val="LDBodytext"/>
      </w:pPr>
      <w:r w:rsidRPr="0069323F">
        <w:t>Paragraph</w:t>
      </w:r>
      <w:r w:rsidR="007E6287">
        <w:t xml:space="preserve"> </w:t>
      </w:r>
      <w:r w:rsidRPr="0069323F">
        <w:t>5.1 of CAO</w:t>
      </w:r>
      <w:r w:rsidR="007E6287">
        <w:t xml:space="preserve"> </w:t>
      </w:r>
      <w:r w:rsidRPr="0069323F">
        <w:t>29.11 specifies the requirements for an operating area over which winching may be conducted.</w:t>
      </w:r>
    </w:p>
    <w:p w14:paraId="763EC1AC" w14:textId="77777777" w:rsidR="009E7695" w:rsidRPr="0069323F" w:rsidRDefault="009E7695" w:rsidP="00C43992">
      <w:pPr>
        <w:tabs>
          <w:tab w:val="clear" w:pos="567"/>
        </w:tabs>
        <w:overflowPunct/>
        <w:autoSpaceDE/>
        <w:autoSpaceDN/>
        <w:adjustRightInd/>
        <w:textAlignment w:val="auto"/>
        <w:rPr>
          <w:rFonts w:ascii="Times New Roman" w:hAnsi="Times New Roman"/>
        </w:rPr>
      </w:pPr>
    </w:p>
    <w:p w14:paraId="59C9BE58" w14:textId="0111EBD8" w:rsidR="00BC487D" w:rsidRDefault="00C17B02" w:rsidP="009E7695">
      <w:pPr>
        <w:rPr>
          <w:rFonts w:ascii="Times New Roman" w:hAnsi="Times New Roman"/>
        </w:rPr>
      </w:pPr>
      <w:bookmarkStart w:id="1" w:name="_Hlk514311284"/>
      <w:r w:rsidRPr="0069323F">
        <w:rPr>
          <w:rFonts w:ascii="Times New Roman" w:hAnsi="Times New Roman"/>
        </w:rPr>
        <w:t xml:space="preserve">Paragraph </w:t>
      </w:r>
      <w:r w:rsidR="00C42725" w:rsidRPr="0069323F">
        <w:rPr>
          <w:rFonts w:ascii="Times New Roman" w:hAnsi="Times New Roman"/>
        </w:rPr>
        <w:t>14</w:t>
      </w:r>
      <w:r w:rsidR="007E6287">
        <w:rPr>
          <w:rFonts w:ascii="Times New Roman" w:hAnsi="Times New Roman"/>
        </w:rPr>
        <w:t> </w:t>
      </w:r>
      <w:r w:rsidRPr="0069323F">
        <w:rPr>
          <w:rFonts w:ascii="Times New Roman" w:hAnsi="Times New Roman"/>
        </w:rPr>
        <w:t>(1)</w:t>
      </w:r>
      <w:r w:rsidR="007E6287">
        <w:rPr>
          <w:rFonts w:ascii="Times New Roman" w:hAnsi="Times New Roman"/>
        </w:rPr>
        <w:t> </w:t>
      </w:r>
      <w:r w:rsidRPr="0069323F">
        <w:rPr>
          <w:rFonts w:ascii="Times New Roman" w:hAnsi="Times New Roman"/>
        </w:rPr>
        <w:t>(a)</w:t>
      </w:r>
      <w:r w:rsidR="00C42725" w:rsidRPr="0069323F">
        <w:rPr>
          <w:rFonts w:ascii="Times New Roman" w:hAnsi="Times New Roman"/>
        </w:rPr>
        <w:t xml:space="preserve"> of the </w:t>
      </w:r>
      <w:r w:rsidR="00C42725" w:rsidRPr="0069323F">
        <w:rPr>
          <w:rFonts w:ascii="Times New Roman" w:hAnsi="Times New Roman"/>
          <w:i/>
        </w:rPr>
        <w:t>Legislation Act 2003</w:t>
      </w:r>
      <w:r w:rsidR="00A22C43" w:rsidRPr="0069323F">
        <w:rPr>
          <w:rFonts w:ascii="Times New Roman" w:hAnsi="Times New Roman"/>
          <w:i/>
        </w:rPr>
        <w:t xml:space="preserve"> </w:t>
      </w:r>
      <w:r w:rsidR="00A22C43" w:rsidRPr="0069323F">
        <w:rPr>
          <w:rFonts w:ascii="Times New Roman" w:hAnsi="Times New Roman"/>
        </w:rPr>
        <w:t xml:space="preserve">(the </w:t>
      </w:r>
      <w:r w:rsidR="00A22C43" w:rsidRPr="0069323F">
        <w:rPr>
          <w:rFonts w:ascii="Times New Roman" w:hAnsi="Times New Roman"/>
          <w:b/>
          <w:i/>
        </w:rPr>
        <w:t>LA</w:t>
      </w:r>
      <w:r w:rsidR="00A22C43" w:rsidRPr="0069323F">
        <w:rPr>
          <w:rFonts w:ascii="Times New Roman" w:hAnsi="Times New Roman"/>
        </w:rPr>
        <w:t>)</w:t>
      </w:r>
      <w:r w:rsidRPr="0069323F">
        <w:rPr>
          <w:rFonts w:ascii="Times New Roman" w:hAnsi="Times New Roman"/>
        </w:rPr>
        <w:t xml:space="preserve"> provides that</w:t>
      </w:r>
      <w:r w:rsidR="009E7695" w:rsidRPr="0069323F">
        <w:rPr>
          <w:rFonts w:ascii="Times New Roman" w:hAnsi="Times New Roman"/>
        </w:rPr>
        <w:t xml:space="preserve"> a legislative instrument may apply, adopt or incorporate any matter contained in </w:t>
      </w:r>
      <w:r w:rsidRPr="0069323F">
        <w:rPr>
          <w:rFonts w:ascii="Times New Roman" w:hAnsi="Times New Roman"/>
        </w:rPr>
        <w:t xml:space="preserve">a disallowable </w:t>
      </w:r>
      <w:r w:rsidR="00741CD0">
        <w:rPr>
          <w:rFonts w:ascii="Times New Roman" w:hAnsi="Times New Roman"/>
        </w:rPr>
        <w:t xml:space="preserve">legislative </w:t>
      </w:r>
      <w:r w:rsidR="009E7695" w:rsidRPr="0069323F">
        <w:rPr>
          <w:rFonts w:ascii="Times New Roman" w:hAnsi="Times New Roman"/>
        </w:rPr>
        <w:t>instrument</w:t>
      </w:r>
      <w:r w:rsidRPr="0069323F">
        <w:rPr>
          <w:rFonts w:ascii="Times New Roman" w:hAnsi="Times New Roman"/>
        </w:rPr>
        <w:t>,</w:t>
      </w:r>
      <w:r w:rsidR="009E7695" w:rsidRPr="0069323F">
        <w:rPr>
          <w:rFonts w:ascii="Times New Roman" w:hAnsi="Times New Roman"/>
        </w:rPr>
        <w:t xml:space="preserve"> as in force </w:t>
      </w:r>
      <w:r w:rsidRPr="0069323F">
        <w:rPr>
          <w:rFonts w:ascii="Times New Roman" w:hAnsi="Times New Roman"/>
        </w:rPr>
        <w:t xml:space="preserve">at a particular time </w:t>
      </w:r>
      <w:r w:rsidR="009E7695" w:rsidRPr="0069323F">
        <w:rPr>
          <w:rFonts w:ascii="Times New Roman" w:hAnsi="Times New Roman"/>
        </w:rPr>
        <w:t xml:space="preserve">or </w:t>
      </w:r>
      <w:r w:rsidRPr="0069323F">
        <w:rPr>
          <w:rFonts w:ascii="Times New Roman" w:hAnsi="Times New Roman"/>
        </w:rPr>
        <w:t xml:space="preserve">as in force </w:t>
      </w:r>
      <w:r w:rsidR="009E7695" w:rsidRPr="0069323F">
        <w:rPr>
          <w:rFonts w:ascii="Times New Roman" w:hAnsi="Times New Roman"/>
        </w:rPr>
        <w:t>from time to time</w:t>
      </w:r>
      <w:r w:rsidR="00BC487D">
        <w:rPr>
          <w:rFonts w:ascii="Times New Roman" w:hAnsi="Times New Roman"/>
        </w:rPr>
        <w:t>.</w:t>
      </w:r>
    </w:p>
    <w:bookmarkEnd w:id="0"/>
    <w:bookmarkEnd w:id="1"/>
    <w:p w14:paraId="651BA068" w14:textId="2C47CE80" w:rsidR="00967470" w:rsidRDefault="00967470" w:rsidP="00401AAF"/>
    <w:p w14:paraId="20287483" w14:textId="1EC32911" w:rsidR="00276246" w:rsidRDefault="00B31B3E" w:rsidP="008F47B7">
      <w:pPr>
        <w:rPr>
          <w:rFonts w:ascii="Times New Roman" w:hAnsi="Times New Roman"/>
          <w:b/>
          <w:bCs/>
        </w:rPr>
      </w:pPr>
      <w:r>
        <w:rPr>
          <w:rFonts w:ascii="Times New Roman" w:hAnsi="Times New Roman"/>
          <w:b/>
          <w:bCs/>
        </w:rPr>
        <w:t>Background</w:t>
      </w:r>
    </w:p>
    <w:p w14:paraId="549FA7CF" w14:textId="6F2AA882" w:rsidR="002355E4" w:rsidRPr="00A54868" w:rsidRDefault="002355E4" w:rsidP="002355E4">
      <w:pPr>
        <w:rPr>
          <w:rFonts w:ascii="Times New Roman" w:hAnsi="Times New Roman"/>
        </w:rPr>
      </w:pPr>
      <w:bookmarkStart w:id="2" w:name="_Hlk69983879"/>
      <w:r>
        <w:rPr>
          <w:rFonts w:ascii="Times New Roman" w:hAnsi="Times New Roman"/>
        </w:rPr>
        <w:t xml:space="preserve">Under section 12AA of the </w:t>
      </w:r>
      <w:r w:rsidRPr="00E119C3">
        <w:rPr>
          <w:rFonts w:ascii="Times New Roman" w:hAnsi="Times New Roman"/>
          <w:i/>
        </w:rPr>
        <w:t>Transport Safety Investigation Act</w:t>
      </w:r>
      <w:r>
        <w:rPr>
          <w:rFonts w:ascii="Times New Roman" w:hAnsi="Times New Roman"/>
          <w:i/>
        </w:rPr>
        <w:t xml:space="preserve"> </w:t>
      </w:r>
      <w:r w:rsidRPr="00066CE3">
        <w:rPr>
          <w:rFonts w:ascii="Times New Roman" w:hAnsi="Times New Roman"/>
          <w:i/>
        </w:rPr>
        <w:t>2003</w:t>
      </w:r>
      <w:r w:rsidRPr="00066CE3">
        <w:rPr>
          <w:rFonts w:ascii="Times New Roman" w:hAnsi="Times New Roman"/>
        </w:rPr>
        <w:t xml:space="preserve">, </w:t>
      </w:r>
      <w:r>
        <w:rPr>
          <w:rFonts w:ascii="Times New Roman" w:hAnsi="Times New Roman"/>
        </w:rPr>
        <w:t xml:space="preserve">the function of the </w:t>
      </w:r>
      <w:r w:rsidRPr="00A54868">
        <w:rPr>
          <w:rFonts w:ascii="Times New Roman" w:hAnsi="Times New Roman"/>
        </w:rPr>
        <w:t>ATSB</w:t>
      </w:r>
      <w:r>
        <w:rPr>
          <w:rFonts w:ascii="Times New Roman" w:hAnsi="Times New Roman"/>
        </w:rPr>
        <w:t xml:space="preserve"> is to improve transport safety by means that include </w:t>
      </w:r>
      <w:r w:rsidRPr="00E119C3">
        <w:rPr>
          <w:rFonts w:ascii="Times New Roman" w:hAnsi="Times New Roman"/>
        </w:rPr>
        <w:t>independently investigat</w:t>
      </w:r>
      <w:r>
        <w:rPr>
          <w:rFonts w:ascii="Times New Roman" w:hAnsi="Times New Roman"/>
        </w:rPr>
        <w:t>ing</w:t>
      </w:r>
      <w:r w:rsidRPr="00E119C3">
        <w:rPr>
          <w:rFonts w:ascii="Times New Roman" w:hAnsi="Times New Roman"/>
        </w:rPr>
        <w:t xml:space="preserve"> transport safety matters</w:t>
      </w:r>
      <w:r w:rsidRPr="00A54868">
        <w:rPr>
          <w:rFonts w:ascii="Times New Roman" w:hAnsi="Times New Roman"/>
        </w:rPr>
        <w:t>.</w:t>
      </w:r>
    </w:p>
    <w:p w14:paraId="0BF5A41E" w14:textId="77777777" w:rsidR="002355E4" w:rsidRPr="00E119C3" w:rsidRDefault="002355E4" w:rsidP="002355E4">
      <w:pPr>
        <w:rPr>
          <w:rFonts w:ascii="Times New Roman" w:hAnsi="Times New Roman"/>
        </w:rPr>
      </w:pPr>
    </w:p>
    <w:p w14:paraId="69A5C64C" w14:textId="297AC11B" w:rsidR="002355E4" w:rsidRDefault="00172010" w:rsidP="002355E4">
      <w:pPr>
        <w:rPr>
          <w:rFonts w:ascii="Times New Roman" w:hAnsi="Times New Roman"/>
        </w:rPr>
      </w:pPr>
      <w:r>
        <w:rPr>
          <w:rFonts w:ascii="Times New Roman" w:hAnsi="Times New Roman"/>
        </w:rPr>
        <w:t xml:space="preserve">It is vital that </w:t>
      </w:r>
      <w:r w:rsidR="002355E4" w:rsidRPr="00E119C3">
        <w:rPr>
          <w:rFonts w:ascii="Times New Roman" w:hAnsi="Times New Roman"/>
        </w:rPr>
        <w:t>ATSB</w:t>
      </w:r>
      <w:r w:rsidR="002355E4">
        <w:rPr>
          <w:rFonts w:ascii="Times New Roman" w:hAnsi="Times New Roman"/>
        </w:rPr>
        <w:t xml:space="preserve"> personnel </w:t>
      </w:r>
      <w:r>
        <w:rPr>
          <w:rFonts w:ascii="Times New Roman" w:hAnsi="Times New Roman"/>
        </w:rPr>
        <w:t xml:space="preserve">are able </w:t>
      </w:r>
      <w:r w:rsidR="00AE67D6">
        <w:rPr>
          <w:rFonts w:ascii="Times New Roman" w:hAnsi="Times New Roman"/>
        </w:rPr>
        <w:t xml:space="preserve">to </w:t>
      </w:r>
      <w:r w:rsidR="002355E4">
        <w:rPr>
          <w:rFonts w:ascii="Times New Roman" w:hAnsi="Times New Roman"/>
        </w:rPr>
        <w:t xml:space="preserve">access </w:t>
      </w:r>
      <w:r>
        <w:rPr>
          <w:rFonts w:ascii="Times New Roman" w:hAnsi="Times New Roman"/>
        </w:rPr>
        <w:t xml:space="preserve">and investigate </w:t>
      </w:r>
      <w:r w:rsidR="002355E4">
        <w:rPr>
          <w:rFonts w:ascii="Times New Roman" w:hAnsi="Times New Roman"/>
        </w:rPr>
        <w:t xml:space="preserve">accident sites </w:t>
      </w:r>
      <w:r>
        <w:rPr>
          <w:rFonts w:ascii="Times New Roman" w:hAnsi="Times New Roman"/>
        </w:rPr>
        <w:t>in a timely manner</w:t>
      </w:r>
      <w:r w:rsidR="002355E4">
        <w:rPr>
          <w:rFonts w:ascii="Times New Roman" w:hAnsi="Times New Roman"/>
        </w:rPr>
        <w:t xml:space="preserve"> to preserve information. </w:t>
      </w:r>
      <w:r w:rsidR="002355E4" w:rsidRPr="00E119C3">
        <w:rPr>
          <w:rFonts w:ascii="Times New Roman" w:hAnsi="Times New Roman"/>
        </w:rPr>
        <w:t xml:space="preserve">At times, an accident site </w:t>
      </w:r>
      <w:r w:rsidR="002355E4">
        <w:rPr>
          <w:rFonts w:ascii="Times New Roman" w:hAnsi="Times New Roman"/>
        </w:rPr>
        <w:t xml:space="preserve">may be remote or otherwise difficult to access and </w:t>
      </w:r>
      <w:r w:rsidR="002355E4" w:rsidRPr="00E119C3">
        <w:rPr>
          <w:rFonts w:ascii="Times New Roman" w:hAnsi="Times New Roman"/>
        </w:rPr>
        <w:t xml:space="preserve">the </w:t>
      </w:r>
      <w:r w:rsidR="002355E4">
        <w:rPr>
          <w:rFonts w:ascii="Times New Roman" w:hAnsi="Times New Roman"/>
        </w:rPr>
        <w:t>best method of access involving the least risk is for ATSB personnel to be winched from a helicopter into a confined area</w:t>
      </w:r>
      <w:r w:rsidR="002355E4" w:rsidRPr="00E119C3">
        <w:rPr>
          <w:rFonts w:ascii="Times New Roman" w:hAnsi="Times New Roman"/>
        </w:rPr>
        <w:t>.</w:t>
      </w:r>
    </w:p>
    <w:p w14:paraId="17B542AE" w14:textId="77777777" w:rsidR="002355E4" w:rsidRDefault="002355E4" w:rsidP="002355E4">
      <w:pPr>
        <w:rPr>
          <w:rFonts w:ascii="Times New Roman" w:hAnsi="Times New Roman"/>
        </w:rPr>
      </w:pPr>
    </w:p>
    <w:p w14:paraId="1FCBC45C" w14:textId="12F65E7E" w:rsidR="002355E4" w:rsidRPr="00276246" w:rsidRDefault="00172010" w:rsidP="002355E4">
      <w:pPr>
        <w:rPr>
          <w:rFonts w:ascii="Times New Roman" w:hAnsi="Times New Roman"/>
        </w:rPr>
      </w:pPr>
      <w:r>
        <w:rPr>
          <w:rFonts w:ascii="Times New Roman" w:hAnsi="Times New Roman"/>
        </w:rPr>
        <w:t xml:space="preserve">ATSB has been conducting </w:t>
      </w:r>
      <w:r w:rsidR="0081025E">
        <w:rPr>
          <w:rFonts w:ascii="Times New Roman" w:hAnsi="Times New Roman"/>
        </w:rPr>
        <w:t xml:space="preserve">helicopter winching </w:t>
      </w:r>
      <w:r>
        <w:rPr>
          <w:rFonts w:ascii="Times New Roman" w:hAnsi="Times New Roman"/>
        </w:rPr>
        <w:t xml:space="preserve">operations </w:t>
      </w:r>
      <w:r w:rsidR="00B31B3E">
        <w:rPr>
          <w:rFonts w:ascii="Times New Roman" w:hAnsi="Times New Roman"/>
        </w:rPr>
        <w:t xml:space="preserve">for several years </w:t>
      </w:r>
      <w:r>
        <w:rPr>
          <w:rFonts w:ascii="Times New Roman" w:hAnsi="Times New Roman"/>
        </w:rPr>
        <w:t xml:space="preserve">under similar instruments, most recently </w:t>
      </w:r>
      <w:r w:rsidR="002355E4" w:rsidRPr="00276246">
        <w:rPr>
          <w:rFonts w:ascii="Times New Roman" w:hAnsi="Times New Roman"/>
          <w:i/>
          <w:iCs/>
        </w:rPr>
        <w:t>CASA EX54/18</w:t>
      </w:r>
      <w:r w:rsidR="007E6287">
        <w:rPr>
          <w:rFonts w:ascii="Times New Roman" w:hAnsi="Times New Roman"/>
          <w:i/>
          <w:iCs/>
        </w:rPr>
        <w:t> </w:t>
      </w:r>
      <w:r w:rsidR="005B2D15">
        <w:rPr>
          <w:rFonts w:ascii="Times New Roman" w:hAnsi="Times New Roman"/>
          <w:i/>
          <w:iCs/>
        </w:rPr>
        <w:t xml:space="preserve">— </w:t>
      </w:r>
      <w:r w:rsidR="002355E4" w:rsidRPr="00276246">
        <w:rPr>
          <w:rFonts w:ascii="Times New Roman" w:hAnsi="Times New Roman"/>
          <w:i/>
          <w:iCs/>
        </w:rPr>
        <w:t>ATSB Winching Operations Instrument 2018</w:t>
      </w:r>
      <w:r w:rsidR="002355E4">
        <w:rPr>
          <w:rFonts w:ascii="Times New Roman" w:hAnsi="Times New Roman"/>
          <w:i/>
          <w:iCs/>
        </w:rPr>
        <w:t xml:space="preserve"> </w:t>
      </w:r>
      <w:r w:rsidR="002355E4">
        <w:rPr>
          <w:rFonts w:ascii="Times New Roman" w:hAnsi="Times New Roman"/>
        </w:rPr>
        <w:t>which expire</w:t>
      </w:r>
      <w:r w:rsidR="00741CD0">
        <w:rPr>
          <w:rFonts w:ascii="Times New Roman" w:hAnsi="Times New Roman"/>
        </w:rPr>
        <w:t>s</w:t>
      </w:r>
      <w:r w:rsidR="002355E4">
        <w:rPr>
          <w:rFonts w:ascii="Times New Roman" w:hAnsi="Times New Roman"/>
        </w:rPr>
        <w:t xml:space="preserve"> at the end of 30 April 2021</w:t>
      </w:r>
      <w:r w:rsidR="00B33AA6">
        <w:rPr>
          <w:rFonts w:ascii="Times New Roman" w:hAnsi="Times New Roman"/>
        </w:rPr>
        <w:t xml:space="preserve">. </w:t>
      </w:r>
      <w:r>
        <w:rPr>
          <w:rFonts w:ascii="Times New Roman" w:hAnsi="Times New Roman"/>
        </w:rPr>
        <w:t>This instrument</w:t>
      </w:r>
      <w:r w:rsidR="002355E4">
        <w:rPr>
          <w:rFonts w:ascii="Times New Roman" w:hAnsi="Times New Roman"/>
        </w:rPr>
        <w:t xml:space="preserve"> is </w:t>
      </w:r>
      <w:r>
        <w:rPr>
          <w:rFonts w:ascii="Times New Roman" w:hAnsi="Times New Roman"/>
        </w:rPr>
        <w:t xml:space="preserve">essentially </w:t>
      </w:r>
      <w:r w:rsidR="002355E4">
        <w:rPr>
          <w:rFonts w:ascii="Times New Roman" w:hAnsi="Times New Roman"/>
        </w:rPr>
        <w:t xml:space="preserve">the same as that instrument, the only substantial difference being the addition of exemptions from </w:t>
      </w:r>
      <w:r w:rsidR="00FB45DD">
        <w:rPr>
          <w:rFonts w:ascii="Times New Roman" w:hAnsi="Times New Roman"/>
        </w:rPr>
        <w:t>certain seating and seat</w:t>
      </w:r>
      <w:r w:rsidR="007E6287">
        <w:rPr>
          <w:rFonts w:ascii="Times New Roman" w:hAnsi="Times New Roman"/>
        </w:rPr>
        <w:t xml:space="preserve"> </w:t>
      </w:r>
      <w:r w:rsidR="00FB45DD">
        <w:rPr>
          <w:rFonts w:ascii="Times New Roman" w:hAnsi="Times New Roman"/>
        </w:rPr>
        <w:t xml:space="preserve">belt wearing requirements under </w:t>
      </w:r>
      <w:r w:rsidR="002355E4">
        <w:rPr>
          <w:rFonts w:ascii="Times New Roman" w:hAnsi="Times New Roman"/>
        </w:rPr>
        <w:t xml:space="preserve">CAO 20.16.3 for the sake of </w:t>
      </w:r>
      <w:r w:rsidR="00FB45DD">
        <w:rPr>
          <w:rFonts w:ascii="Times New Roman" w:hAnsi="Times New Roman"/>
        </w:rPr>
        <w:t xml:space="preserve">certainty and </w:t>
      </w:r>
      <w:r w:rsidR="002355E4">
        <w:rPr>
          <w:rFonts w:ascii="Times New Roman" w:hAnsi="Times New Roman"/>
        </w:rPr>
        <w:t xml:space="preserve">completeness. </w:t>
      </w:r>
      <w:r w:rsidR="008E4201">
        <w:rPr>
          <w:rFonts w:ascii="Times New Roman" w:hAnsi="Times New Roman"/>
        </w:rPr>
        <w:t xml:space="preserve">These exemptions are counterbalanced by the directions in the instrument </w:t>
      </w:r>
      <w:r w:rsidR="00FE352F">
        <w:rPr>
          <w:rFonts w:ascii="Times New Roman" w:hAnsi="Times New Roman"/>
        </w:rPr>
        <w:t>relating to the wearing of a</w:t>
      </w:r>
      <w:r w:rsidR="008E4201">
        <w:rPr>
          <w:rFonts w:ascii="Times New Roman" w:hAnsi="Times New Roman"/>
        </w:rPr>
        <w:t xml:space="preserve"> </w:t>
      </w:r>
      <w:r w:rsidR="008E4201" w:rsidRPr="00483B87">
        <w:rPr>
          <w:rFonts w:ascii="Times New Roman" w:hAnsi="Times New Roman"/>
        </w:rPr>
        <w:t>winchman’s or rescue harness</w:t>
      </w:r>
      <w:r w:rsidR="008E4201">
        <w:rPr>
          <w:rFonts w:ascii="Times New Roman" w:hAnsi="Times New Roman"/>
        </w:rPr>
        <w:t xml:space="preserve"> during winching operations</w:t>
      </w:r>
      <w:r w:rsidR="00FE352F">
        <w:rPr>
          <w:rFonts w:ascii="Times New Roman" w:hAnsi="Times New Roman"/>
        </w:rPr>
        <w:t xml:space="preserve"> and are also </w:t>
      </w:r>
      <w:r w:rsidR="008E4201">
        <w:rPr>
          <w:rFonts w:ascii="Times New Roman" w:hAnsi="Times New Roman"/>
        </w:rPr>
        <w:t xml:space="preserve">subject to the </w:t>
      </w:r>
      <w:r w:rsidR="008E4201" w:rsidRPr="00483B87">
        <w:rPr>
          <w:rFonts w:ascii="Times New Roman" w:hAnsi="Times New Roman"/>
        </w:rPr>
        <w:t xml:space="preserve">conditions </w:t>
      </w:r>
      <w:r w:rsidR="008E4201">
        <w:rPr>
          <w:rFonts w:ascii="Times New Roman" w:hAnsi="Times New Roman"/>
        </w:rPr>
        <w:t xml:space="preserve">in the instrument imposed in the interests of aviation safety. </w:t>
      </w:r>
      <w:r>
        <w:rPr>
          <w:rFonts w:ascii="Times New Roman" w:hAnsi="Times New Roman"/>
        </w:rPr>
        <w:t>The instrument</w:t>
      </w:r>
      <w:r w:rsidR="002355E4">
        <w:rPr>
          <w:rFonts w:ascii="Times New Roman" w:hAnsi="Times New Roman"/>
        </w:rPr>
        <w:t xml:space="preserve"> is an important </w:t>
      </w:r>
      <w:r w:rsidR="00AE67D6">
        <w:rPr>
          <w:rFonts w:ascii="Times New Roman" w:hAnsi="Times New Roman"/>
        </w:rPr>
        <w:t>means of allowing</w:t>
      </w:r>
      <w:r w:rsidR="002355E4">
        <w:rPr>
          <w:rFonts w:ascii="Times New Roman" w:hAnsi="Times New Roman"/>
        </w:rPr>
        <w:t xml:space="preserve"> ATSB to continue to conduct its accident investigations </w:t>
      </w:r>
      <w:r>
        <w:rPr>
          <w:rFonts w:ascii="Times New Roman" w:hAnsi="Times New Roman"/>
        </w:rPr>
        <w:t xml:space="preserve">that involve helicopter winching </w:t>
      </w:r>
      <w:r w:rsidR="002355E4">
        <w:rPr>
          <w:rFonts w:ascii="Times New Roman" w:hAnsi="Times New Roman"/>
        </w:rPr>
        <w:t xml:space="preserve">in a </w:t>
      </w:r>
      <w:r>
        <w:rPr>
          <w:rFonts w:ascii="Times New Roman" w:hAnsi="Times New Roman"/>
        </w:rPr>
        <w:t>timely</w:t>
      </w:r>
      <w:r w:rsidR="002355E4">
        <w:rPr>
          <w:rFonts w:ascii="Times New Roman" w:hAnsi="Times New Roman"/>
        </w:rPr>
        <w:t>,</w:t>
      </w:r>
      <w:r>
        <w:rPr>
          <w:rFonts w:ascii="Times New Roman" w:hAnsi="Times New Roman"/>
        </w:rPr>
        <w:t xml:space="preserve"> </w:t>
      </w:r>
      <w:r w:rsidR="002355E4">
        <w:rPr>
          <w:rFonts w:ascii="Times New Roman" w:hAnsi="Times New Roman"/>
        </w:rPr>
        <w:t xml:space="preserve">comprehensive </w:t>
      </w:r>
      <w:r>
        <w:rPr>
          <w:rFonts w:ascii="Times New Roman" w:hAnsi="Times New Roman"/>
        </w:rPr>
        <w:t xml:space="preserve">and safe </w:t>
      </w:r>
      <w:r w:rsidR="002355E4">
        <w:rPr>
          <w:rFonts w:ascii="Times New Roman" w:hAnsi="Times New Roman"/>
        </w:rPr>
        <w:t>way.</w:t>
      </w:r>
    </w:p>
    <w:p w14:paraId="6738CB45" w14:textId="77777777" w:rsidR="002355E4" w:rsidRDefault="002355E4" w:rsidP="002355E4">
      <w:pPr>
        <w:tabs>
          <w:tab w:val="clear" w:pos="567"/>
        </w:tabs>
        <w:overflowPunct/>
        <w:autoSpaceDE/>
        <w:autoSpaceDN/>
        <w:adjustRightInd/>
        <w:textAlignment w:val="auto"/>
        <w:rPr>
          <w:rFonts w:ascii="Times New Roman" w:hAnsi="Times New Roman"/>
        </w:rPr>
      </w:pPr>
    </w:p>
    <w:p w14:paraId="04F0BAE0" w14:textId="1DFBEA55" w:rsidR="00BC487D" w:rsidRDefault="002355E4" w:rsidP="002355E4">
      <w:pPr>
        <w:rPr>
          <w:rFonts w:ascii="Times New Roman" w:hAnsi="Times New Roman"/>
        </w:rPr>
      </w:pPr>
      <w:r>
        <w:rPr>
          <w:rFonts w:ascii="Times New Roman" w:hAnsi="Times New Roman"/>
        </w:rPr>
        <w:t xml:space="preserve">In making </w:t>
      </w:r>
      <w:r w:rsidR="00B31B3E">
        <w:rPr>
          <w:rFonts w:ascii="Times New Roman" w:hAnsi="Times New Roman"/>
        </w:rPr>
        <w:t>the</w:t>
      </w:r>
      <w:r>
        <w:rPr>
          <w:rFonts w:ascii="Times New Roman" w:hAnsi="Times New Roman"/>
        </w:rPr>
        <w:t xml:space="preserve"> decision to grant the exemption in this instrument, CASA has regarded as paramount the preservation of at least an acceptable level of </w:t>
      </w:r>
      <w:r w:rsidR="00741CD0">
        <w:rPr>
          <w:rFonts w:ascii="Times New Roman" w:hAnsi="Times New Roman"/>
        </w:rPr>
        <w:t xml:space="preserve">aviation </w:t>
      </w:r>
      <w:r>
        <w:rPr>
          <w:rFonts w:ascii="Times New Roman" w:hAnsi="Times New Roman"/>
        </w:rPr>
        <w:t>safety</w:t>
      </w:r>
      <w:r w:rsidR="00BC487D">
        <w:rPr>
          <w:rFonts w:ascii="Times New Roman" w:hAnsi="Times New Roman"/>
        </w:rPr>
        <w:t>.</w:t>
      </w:r>
    </w:p>
    <w:bookmarkEnd w:id="2"/>
    <w:p w14:paraId="0A2550F6" w14:textId="2B981880" w:rsidR="002355E4" w:rsidRPr="006A05B0" w:rsidRDefault="002355E4" w:rsidP="006A05B0">
      <w:pPr>
        <w:tabs>
          <w:tab w:val="clear" w:pos="567"/>
        </w:tabs>
        <w:overflowPunct/>
        <w:autoSpaceDE/>
        <w:autoSpaceDN/>
        <w:adjustRightInd/>
        <w:textAlignment w:val="auto"/>
        <w:rPr>
          <w:rFonts w:ascii="Times New Roman" w:hAnsi="Times New Roman"/>
        </w:rPr>
      </w:pPr>
    </w:p>
    <w:p w14:paraId="75AB12B8" w14:textId="3DB0A100" w:rsidR="00276246" w:rsidRDefault="00276246" w:rsidP="006A05B0">
      <w:pPr>
        <w:keepNext/>
        <w:rPr>
          <w:rFonts w:ascii="Times New Roman" w:hAnsi="Times New Roman"/>
          <w:b/>
          <w:bCs/>
        </w:rPr>
      </w:pPr>
      <w:r>
        <w:rPr>
          <w:rFonts w:ascii="Times New Roman" w:hAnsi="Times New Roman"/>
          <w:b/>
          <w:bCs/>
        </w:rPr>
        <w:lastRenderedPageBreak/>
        <w:t>Documents incorporated by reference</w:t>
      </w:r>
    </w:p>
    <w:p w14:paraId="36B09A2A" w14:textId="157EEBA0" w:rsidR="00BC487D" w:rsidRDefault="002355E4" w:rsidP="002355E4">
      <w:pPr>
        <w:rPr>
          <w:rFonts w:ascii="Times New Roman" w:hAnsi="Times New Roman"/>
        </w:rPr>
      </w:pPr>
      <w:r>
        <w:rPr>
          <w:rFonts w:ascii="Times New Roman" w:hAnsi="Times New Roman"/>
        </w:rPr>
        <w:t xml:space="preserve">Two </w:t>
      </w:r>
      <w:r w:rsidR="0081025E">
        <w:rPr>
          <w:rFonts w:ascii="Times New Roman" w:hAnsi="Times New Roman"/>
        </w:rPr>
        <w:t>Australian Technical Standard Orders (</w:t>
      </w:r>
      <w:r w:rsidR="0081025E">
        <w:rPr>
          <w:rFonts w:ascii="Times New Roman" w:hAnsi="Times New Roman"/>
          <w:b/>
          <w:bCs/>
          <w:i/>
          <w:iCs/>
        </w:rPr>
        <w:t>ATSO</w:t>
      </w:r>
      <w:r w:rsidR="00420564" w:rsidRPr="00A54868">
        <w:rPr>
          <w:rFonts w:ascii="Times New Roman" w:hAnsi="Times New Roman"/>
          <w:b/>
          <w:bCs/>
          <w:i/>
          <w:iCs/>
        </w:rPr>
        <w:t>s</w:t>
      </w:r>
      <w:r w:rsidR="00420564" w:rsidRPr="00113510">
        <w:rPr>
          <w:rFonts w:ascii="Times New Roman" w:hAnsi="Times New Roman"/>
        </w:rPr>
        <w:t xml:space="preserve">) </w:t>
      </w:r>
      <w:r>
        <w:rPr>
          <w:rFonts w:ascii="Times New Roman" w:hAnsi="Times New Roman"/>
        </w:rPr>
        <w:t>are incorporated by reference, namely ATSO-C1001 and ATSO-C1003</w:t>
      </w:r>
      <w:r w:rsidR="00B33AA6">
        <w:rPr>
          <w:rFonts w:ascii="Times New Roman" w:hAnsi="Times New Roman"/>
        </w:rPr>
        <w:t xml:space="preserve">. </w:t>
      </w:r>
      <w:r>
        <w:rPr>
          <w:rFonts w:ascii="Times New Roman" w:hAnsi="Times New Roman"/>
        </w:rPr>
        <w:t>These documents are referred to in section 6 of the instrument</w:t>
      </w:r>
      <w:r w:rsidR="00B33AA6">
        <w:rPr>
          <w:rFonts w:ascii="Times New Roman" w:hAnsi="Times New Roman"/>
        </w:rPr>
        <w:t xml:space="preserve">. </w:t>
      </w:r>
      <w:r>
        <w:rPr>
          <w:rFonts w:ascii="Times New Roman" w:hAnsi="Times New Roman"/>
        </w:rPr>
        <w:t>Under paragraph 6</w:t>
      </w:r>
      <w:r w:rsidR="007E6287">
        <w:rPr>
          <w:rFonts w:ascii="Times New Roman" w:hAnsi="Times New Roman"/>
        </w:rPr>
        <w:t> </w:t>
      </w:r>
      <w:r>
        <w:rPr>
          <w:rFonts w:ascii="Times New Roman" w:hAnsi="Times New Roman"/>
        </w:rPr>
        <w:t>(a)</w:t>
      </w:r>
      <w:r w:rsidR="00113510">
        <w:rPr>
          <w:rFonts w:ascii="Times New Roman" w:hAnsi="Times New Roman"/>
        </w:rPr>
        <w:t>,</w:t>
      </w:r>
      <w:r>
        <w:rPr>
          <w:rFonts w:ascii="Times New Roman" w:hAnsi="Times New Roman"/>
        </w:rPr>
        <w:t xml:space="preserve"> a winchman’s or rescue harness worn by ATSB personnel must comply with ATSO-C1003 as in force from time to time</w:t>
      </w:r>
      <w:r w:rsidR="00B33AA6">
        <w:rPr>
          <w:rFonts w:ascii="Times New Roman" w:hAnsi="Times New Roman"/>
        </w:rPr>
        <w:t xml:space="preserve">. </w:t>
      </w:r>
      <w:r w:rsidR="00172010">
        <w:rPr>
          <w:rFonts w:ascii="Times New Roman" w:hAnsi="Times New Roman"/>
        </w:rPr>
        <w:t>Under paragraph 6</w:t>
      </w:r>
      <w:r w:rsidR="007E6287">
        <w:rPr>
          <w:rFonts w:ascii="Times New Roman" w:hAnsi="Times New Roman"/>
        </w:rPr>
        <w:t> </w:t>
      </w:r>
      <w:r w:rsidR="00172010">
        <w:rPr>
          <w:rFonts w:ascii="Times New Roman" w:hAnsi="Times New Roman"/>
        </w:rPr>
        <w:t>(b)</w:t>
      </w:r>
      <w:r w:rsidR="00113510">
        <w:rPr>
          <w:rFonts w:ascii="Times New Roman" w:hAnsi="Times New Roman"/>
        </w:rPr>
        <w:t>,</w:t>
      </w:r>
      <w:r w:rsidR="00172010">
        <w:rPr>
          <w:rFonts w:ascii="Times New Roman" w:hAnsi="Times New Roman"/>
        </w:rPr>
        <w:t xml:space="preserve"> the dispatcher’s restraint strap, to which the harness is to be attached, must comply with ATSO</w:t>
      </w:r>
      <w:r w:rsidR="00A54868">
        <w:rPr>
          <w:rFonts w:ascii="Times New Roman" w:hAnsi="Times New Roman"/>
        </w:rPr>
        <w:noBreakHyphen/>
      </w:r>
      <w:r w:rsidR="00172010">
        <w:rPr>
          <w:rFonts w:ascii="Times New Roman" w:hAnsi="Times New Roman"/>
        </w:rPr>
        <w:t>C1001 as in force from time to time</w:t>
      </w:r>
      <w:r w:rsidR="00BC487D">
        <w:rPr>
          <w:rFonts w:ascii="Times New Roman" w:hAnsi="Times New Roman"/>
        </w:rPr>
        <w:t>.</w:t>
      </w:r>
    </w:p>
    <w:p w14:paraId="74E898F3" w14:textId="223DC4B8" w:rsidR="002355E4" w:rsidRDefault="002355E4" w:rsidP="002355E4">
      <w:pPr>
        <w:rPr>
          <w:rFonts w:ascii="Times New Roman" w:hAnsi="Times New Roman"/>
        </w:rPr>
      </w:pPr>
    </w:p>
    <w:p w14:paraId="39E01A4D" w14:textId="4DF406D0" w:rsidR="002355E4" w:rsidRPr="00483B87" w:rsidRDefault="002355E4" w:rsidP="002355E4">
      <w:pPr>
        <w:rPr>
          <w:rFonts w:ascii="Times New Roman" w:hAnsi="Times New Roman"/>
        </w:rPr>
      </w:pPr>
      <w:r w:rsidRPr="00483B87">
        <w:rPr>
          <w:rFonts w:ascii="Times New Roman" w:hAnsi="Times New Roman"/>
        </w:rPr>
        <w:t>Under subregulation 21.601</w:t>
      </w:r>
      <w:r w:rsidR="007E6287">
        <w:rPr>
          <w:rFonts w:ascii="Times New Roman" w:hAnsi="Times New Roman"/>
        </w:rPr>
        <w:t> </w:t>
      </w:r>
      <w:r w:rsidRPr="00483B87">
        <w:rPr>
          <w:rFonts w:ascii="Times New Roman" w:hAnsi="Times New Roman"/>
        </w:rPr>
        <w:t xml:space="preserve">(2) of CASR, </w:t>
      </w:r>
      <w:r w:rsidR="00D30B5A" w:rsidRPr="00483B87">
        <w:rPr>
          <w:rFonts w:ascii="Times New Roman" w:hAnsi="Times New Roman"/>
        </w:rPr>
        <w:t xml:space="preserve">an </w:t>
      </w:r>
      <w:r w:rsidR="00D30B5A" w:rsidRPr="002E7DF8">
        <w:rPr>
          <w:rFonts w:ascii="Times New Roman" w:hAnsi="Times New Roman"/>
          <w:b/>
          <w:bCs/>
          <w:i/>
          <w:iCs/>
        </w:rPr>
        <w:t>ATSO</w:t>
      </w:r>
      <w:r w:rsidR="00D30B5A" w:rsidRPr="002E7DF8">
        <w:rPr>
          <w:rFonts w:ascii="Times New Roman" w:hAnsi="Times New Roman"/>
        </w:rPr>
        <w:t xml:space="preserve"> </w:t>
      </w:r>
      <w:r w:rsidR="00D30B5A" w:rsidRPr="00483B87">
        <w:rPr>
          <w:rFonts w:ascii="Times New Roman" w:hAnsi="Times New Roman"/>
        </w:rPr>
        <w:t xml:space="preserve">is defined as a minimum performance standard prescribed by the </w:t>
      </w:r>
      <w:r w:rsidR="005905FC" w:rsidRPr="00483B87">
        <w:rPr>
          <w:rFonts w:ascii="Times New Roman" w:hAnsi="Times New Roman"/>
          <w:i/>
        </w:rPr>
        <w:t>Part 21 Manual of Standards Instrument 2016</w:t>
      </w:r>
      <w:r w:rsidR="005905FC" w:rsidRPr="00483B87">
        <w:rPr>
          <w:rFonts w:ascii="Times New Roman" w:hAnsi="Times New Roman"/>
        </w:rPr>
        <w:t xml:space="preserve"> </w:t>
      </w:r>
      <w:r w:rsidR="00B31B3E" w:rsidRPr="00483B87">
        <w:rPr>
          <w:rFonts w:ascii="Times New Roman" w:hAnsi="Times New Roman"/>
        </w:rPr>
        <w:t>(</w:t>
      </w:r>
      <w:r w:rsidR="00B31B3E" w:rsidRPr="00764CE9">
        <w:rPr>
          <w:rFonts w:ascii="Times New Roman" w:hAnsi="Times New Roman"/>
        </w:rPr>
        <w:t xml:space="preserve">the </w:t>
      </w:r>
      <w:r w:rsidR="00B31B3E" w:rsidRPr="00483B87">
        <w:rPr>
          <w:rFonts w:ascii="Times New Roman" w:hAnsi="Times New Roman"/>
          <w:b/>
          <w:bCs/>
          <w:i/>
          <w:iCs/>
        </w:rPr>
        <w:t>Part 21 MOS</w:t>
      </w:r>
      <w:r w:rsidR="00B31B3E" w:rsidRPr="00483B87">
        <w:rPr>
          <w:rFonts w:ascii="Times New Roman" w:hAnsi="Times New Roman"/>
        </w:rPr>
        <w:t xml:space="preserve">) </w:t>
      </w:r>
      <w:r w:rsidR="00D30B5A" w:rsidRPr="00483B87">
        <w:rPr>
          <w:rFonts w:ascii="Times New Roman" w:hAnsi="Times New Roman"/>
        </w:rPr>
        <w:t xml:space="preserve">for specified articles used on civil aircraft. </w:t>
      </w:r>
      <w:r w:rsidR="000D52F8" w:rsidRPr="00483B87">
        <w:rPr>
          <w:rFonts w:ascii="Times New Roman" w:hAnsi="Times New Roman"/>
        </w:rPr>
        <w:t xml:space="preserve">Subsection 13.2 (2) of </w:t>
      </w:r>
      <w:r w:rsidR="00B31B3E" w:rsidRPr="00483B87">
        <w:rPr>
          <w:rFonts w:ascii="Times New Roman" w:hAnsi="Times New Roman"/>
        </w:rPr>
        <w:t xml:space="preserve">the Part 21 MOS </w:t>
      </w:r>
      <w:r w:rsidR="00BD79C7" w:rsidRPr="00483B87">
        <w:rPr>
          <w:rFonts w:ascii="Times New Roman" w:hAnsi="Times New Roman"/>
        </w:rPr>
        <w:t xml:space="preserve">allows </w:t>
      </w:r>
      <w:r w:rsidR="00420564" w:rsidRPr="00483B87">
        <w:rPr>
          <w:rFonts w:ascii="Times New Roman" w:hAnsi="Times New Roman"/>
        </w:rPr>
        <w:t xml:space="preserve">ATSOs </w:t>
      </w:r>
      <w:r w:rsidR="00BD79C7" w:rsidRPr="00483B87">
        <w:rPr>
          <w:rFonts w:ascii="Times New Roman" w:hAnsi="Times New Roman"/>
        </w:rPr>
        <w:t xml:space="preserve">to be cited </w:t>
      </w:r>
      <w:r w:rsidR="000D52F8" w:rsidRPr="00483B87">
        <w:rPr>
          <w:rFonts w:ascii="Times New Roman" w:hAnsi="Times New Roman"/>
        </w:rPr>
        <w:t xml:space="preserve">by their ATSO number. </w:t>
      </w:r>
      <w:r w:rsidR="00AE67D6" w:rsidRPr="00483B87">
        <w:rPr>
          <w:rFonts w:ascii="Times New Roman" w:hAnsi="Times New Roman"/>
        </w:rPr>
        <w:t>ATSO-C001</w:t>
      </w:r>
      <w:r w:rsidR="00AE67D6" w:rsidRPr="00483B87">
        <w:rPr>
          <w:rFonts w:ascii="Times New Roman" w:hAnsi="Times New Roman"/>
          <w:i/>
        </w:rPr>
        <w:t xml:space="preserve"> </w:t>
      </w:r>
      <w:r w:rsidR="00420564" w:rsidRPr="00483B87">
        <w:rPr>
          <w:rFonts w:ascii="Times New Roman" w:hAnsi="Times New Roman"/>
          <w:iCs/>
        </w:rPr>
        <w:t xml:space="preserve">is contained </w:t>
      </w:r>
      <w:r w:rsidR="00AE67D6" w:rsidRPr="00483B87">
        <w:rPr>
          <w:rFonts w:ascii="Times New Roman" w:hAnsi="Times New Roman"/>
          <w:iCs/>
        </w:rPr>
        <w:t>within</w:t>
      </w:r>
      <w:r w:rsidR="00AE67D6" w:rsidRPr="00483B87">
        <w:rPr>
          <w:rFonts w:ascii="Times New Roman" w:hAnsi="Times New Roman"/>
        </w:rPr>
        <w:t xml:space="preserve"> Schedule 24 to the Part 21 MOS and </w:t>
      </w:r>
      <w:r w:rsidR="005905FC" w:rsidRPr="00483B87">
        <w:rPr>
          <w:rFonts w:ascii="Times New Roman" w:hAnsi="Times New Roman"/>
        </w:rPr>
        <w:t>ATSO-C003 is contained within Schedule 26</w:t>
      </w:r>
      <w:r w:rsidR="00B33AA6">
        <w:rPr>
          <w:rFonts w:ascii="Times New Roman" w:hAnsi="Times New Roman"/>
        </w:rPr>
        <w:t xml:space="preserve">. </w:t>
      </w:r>
      <w:r w:rsidR="00BD79C7" w:rsidRPr="00483B87">
        <w:rPr>
          <w:rFonts w:ascii="Times New Roman" w:hAnsi="Times New Roman"/>
        </w:rPr>
        <w:t>For the purposes of paragraph</w:t>
      </w:r>
      <w:r w:rsidR="007E6287">
        <w:rPr>
          <w:rFonts w:ascii="Times New Roman" w:hAnsi="Times New Roman"/>
        </w:rPr>
        <w:t xml:space="preserve"> </w:t>
      </w:r>
      <w:r w:rsidR="00BD79C7" w:rsidRPr="00483B87">
        <w:rPr>
          <w:rFonts w:ascii="Times New Roman" w:hAnsi="Times New Roman"/>
        </w:rPr>
        <w:t xml:space="preserve">14 (1) (a) of the LA, the Part 21 MOS is a disallowable legislative instrument. </w:t>
      </w:r>
      <w:r w:rsidR="005905FC" w:rsidRPr="00483B87">
        <w:rPr>
          <w:rFonts w:ascii="Times New Roman" w:hAnsi="Times New Roman"/>
          <w:color w:val="000000" w:themeColor="text1"/>
        </w:rPr>
        <w:t xml:space="preserve">By virtue of section 10 of the </w:t>
      </w:r>
      <w:r w:rsidR="005905FC" w:rsidRPr="00483B87">
        <w:rPr>
          <w:rFonts w:ascii="Times New Roman" w:hAnsi="Times New Roman"/>
          <w:i/>
          <w:iCs/>
          <w:color w:val="000000" w:themeColor="text1"/>
        </w:rPr>
        <w:t>Acts Interpretation Act 1901</w:t>
      </w:r>
      <w:r w:rsidR="005905FC" w:rsidRPr="00483B87">
        <w:rPr>
          <w:rFonts w:ascii="Times New Roman" w:hAnsi="Times New Roman"/>
          <w:color w:val="000000" w:themeColor="text1"/>
        </w:rPr>
        <w:t xml:space="preserve"> and section 13 of the</w:t>
      </w:r>
      <w:r w:rsidR="00A54868">
        <w:rPr>
          <w:rFonts w:ascii="Times New Roman" w:hAnsi="Times New Roman"/>
          <w:color w:val="000000" w:themeColor="text1"/>
        </w:rPr>
        <w:t xml:space="preserve"> LA</w:t>
      </w:r>
      <w:r w:rsidR="005905FC" w:rsidRPr="00483B87">
        <w:rPr>
          <w:rFonts w:ascii="Times New Roman" w:hAnsi="Times New Roman"/>
          <w:color w:val="000000" w:themeColor="text1"/>
        </w:rPr>
        <w:t xml:space="preserve">, the reference in the instrument to </w:t>
      </w:r>
      <w:r w:rsidR="00B31B3E" w:rsidRPr="00483B87">
        <w:rPr>
          <w:rFonts w:ascii="Times New Roman" w:hAnsi="Times New Roman"/>
          <w:color w:val="000000" w:themeColor="text1"/>
        </w:rPr>
        <w:t>an</w:t>
      </w:r>
      <w:r w:rsidR="005905FC" w:rsidRPr="00483B87">
        <w:rPr>
          <w:rFonts w:ascii="Times New Roman" w:hAnsi="Times New Roman"/>
          <w:color w:val="000000" w:themeColor="text1"/>
        </w:rPr>
        <w:t xml:space="preserve"> ATSO is to be construed as a reference to the ATSO as contained within the Part 21 MOS as originally made and as amended from time to time. For the avoidance of doubt, the ATSOs are expressly referred to in the instrument as </w:t>
      </w:r>
      <w:r w:rsidR="00B31B3E" w:rsidRPr="00483B87">
        <w:rPr>
          <w:rFonts w:ascii="Times New Roman" w:hAnsi="Times New Roman"/>
          <w:color w:val="000000" w:themeColor="text1"/>
        </w:rPr>
        <w:t xml:space="preserve">being </w:t>
      </w:r>
      <w:r w:rsidR="005905FC" w:rsidRPr="00483B87">
        <w:rPr>
          <w:rFonts w:ascii="Times New Roman" w:hAnsi="Times New Roman"/>
          <w:color w:val="000000" w:themeColor="text1"/>
        </w:rPr>
        <w:t>in force from time to time</w:t>
      </w:r>
      <w:r w:rsidR="00B33AA6">
        <w:rPr>
          <w:rFonts w:ascii="Times New Roman" w:hAnsi="Times New Roman"/>
          <w:color w:val="000000" w:themeColor="text1"/>
        </w:rPr>
        <w:t xml:space="preserve">. </w:t>
      </w:r>
      <w:r w:rsidR="005905FC" w:rsidRPr="00483B87">
        <w:rPr>
          <w:rFonts w:ascii="Times New Roman" w:hAnsi="Times New Roman"/>
          <w:color w:val="000000" w:themeColor="text1"/>
        </w:rPr>
        <w:t xml:space="preserve">The ATSOs </w:t>
      </w:r>
      <w:r w:rsidR="000D52F8" w:rsidRPr="00483B87">
        <w:rPr>
          <w:rFonts w:ascii="Times New Roman" w:hAnsi="Times New Roman"/>
        </w:rPr>
        <w:t>are freely available</w:t>
      </w:r>
      <w:r w:rsidR="00B31B3E" w:rsidRPr="00483B87">
        <w:rPr>
          <w:rFonts w:ascii="Times New Roman" w:hAnsi="Times New Roman"/>
        </w:rPr>
        <w:t xml:space="preserve"> and accessible via the internet </w:t>
      </w:r>
      <w:r w:rsidR="000D52F8" w:rsidRPr="00483B87">
        <w:rPr>
          <w:rFonts w:ascii="Times New Roman" w:hAnsi="Times New Roman"/>
        </w:rPr>
        <w:t>on the Federal Register of Legislation.</w:t>
      </w:r>
    </w:p>
    <w:p w14:paraId="55A84EB4" w14:textId="34E0422F" w:rsidR="005E2B88" w:rsidRPr="00483B87" w:rsidRDefault="005E2B88" w:rsidP="002355E4">
      <w:pPr>
        <w:rPr>
          <w:rFonts w:ascii="Times New Roman" w:hAnsi="Times New Roman"/>
        </w:rPr>
      </w:pPr>
    </w:p>
    <w:p w14:paraId="11D54D6E" w14:textId="5E858E68" w:rsidR="00AE6915" w:rsidRPr="00483B87" w:rsidRDefault="00AE6915" w:rsidP="00865406">
      <w:pPr>
        <w:rPr>
          <w:rFonts w:ascii="Times New Roman" w:hAnsi="Times New Roman"/>
        </w:rPr>
      </w:pPr>
      <w:r w:rsidRPr="00483B87">
        <w:rPr>
          <w:rFonts w:ascii="Times New Roman" w:hAnsi="Times New Roman"/>
        </w:rPr>
        <w:t xml:space="preserve">Also incorporated into the instrument are </w:t>
      </w:r>
      <w:r w:rsidR="00A07F1A">
        <w:rPr>
          <w:rFonts w:ascii="Times New Roman" w:hAnsi="Times New Roman"/>
        </w:rPr>
        <w:t>3</w:t>
      </w:r>
      <w:r w:rsidRPr="00483B87">
        <w:rPr>
          <w:rFonts w:ascii="Times New Roman" w:hAnsi="Times New Roman"/>
        </w:rPr>
        <w:t xml:space="preserve"> definitions set out in section 3.</w:t>
      </w:r>
    </w:p>
    <w:p w14:paraId="3A93595D" w14:textId="77777777" w:rsidR="00AE6915" w:rsidRPr="00483B87" w:rsidRDefault="00AE6915" w:rsidP="00865406">
      <w:pPr>
        <w:rPr>
          <w:rFonts w:ascii="Times New Roman" w:hAnsi="Times New Roman"/>
        </w:rPr>
      </w:pPr>
    </w:p>
    <w:p w14:paraId="3E947F93" w14:textId="376DF483" w:rsidR="00865406" w:rsidRPr="00483B87" w:rsidRDefault="00AE6915" w:rsidP="00865406">
      <w:pPr>
        <w:rPr>
          <w:rFonts w:ascii="Times New Roman" w:hAnsi="Times New Roman"/>
        </w:rPr>
      </w:pPr>
      <w:r w:rsidRPr="00483B87">
        <w:rPr>
          <w:rFonts w:ascii="Times New Roman" w:hAnsi="Times New Roman"/>
        </w:rPr>
        <w:t>T</w:t>
      </w:r>
      <w:r w:rsidR="005E2B88" w:rsidRPr="00483B87">
        <w:rPr>
          <w:rFonts w:ascii="Times New Roman" w:hAnsi="Times New Roman"/>
        </w:rPr>
        <w:t xml:space="preserve">he definition of </w:t>
      </w:r>
      <w:r w:rsidR="005E2B88" w:rsidRPr="00483B87">
        <w:rPr>
          <w:rFonts w:ascii="Times New Roman" w:hAnsi="Times New Roman"/>
          <w:b/>
          <w:bCs/>
          <w:i/>
          <w:iCs/>
        </w:rPr>
        <w:t>accident site</w:t>
      </w:r>
      <w:r w:rsidR="005E2B88" w:rsidRPr="007B28B7">
        <w:rPr>
          <w:rFonts w:ascii="Times New Roman" w:hAnsi="Times New Roman"/>
        </w:rPr>
        <w:t xml:space="preserve"> </w:t>
      </w:r>
      <w:r w:rsidRPr="00483B87">
        <w:rPr>
          <w:rFonts w:ascii="Times New Roman" w:hAnsi="Times New Roman"/>
        </w:rPr>
        <w:t>is taken f</w:t>
      </w:r>
      <w:r w:rsidR="005E2B88" w:rsidRPr="00483B87">
        <w:rPr>
          <w:rFonts w:ascii="Times New Roman" w:hAnsi="Times New Roman"/>
        </w:rPr>
        <w:t xml:space="preserve">rom the </w:t>
      </w:r>
      <w:r w:rsidR="005E2B88" w:rsidRPr="00483B87">
        <w:rPr>
          <w:rFonts w:ascii="Times New Roman" w:hAnsi="Times New Roman"/>
          <w:i/>
          <w:iCs/>
        </w:rPr>
        <w:t>Transport Safety Investigation Act 2003</w:t>
      </w:r>
      <w:r w:rsidR="005E2B88" w:rsidRPr="00483B87">
        <w:rPr>
          <w:rFonts w:ascii="Times New Roman" w:hAnsi="Times New Roman"/>
        </w:rPr>
        <w:t>. Th</w:t>
      </w:r>
      <w:r w:rsidR="00865406" w:rsidRPr="00483B87">
        <w:rPr>
          <w:rFonts w:ascii="Times New Roman" w:hAnsi="Times New Roman"/>
        </w:rPr>
        <w:t xml:space="preserve">e reference to that </w:t>
      </w:r>
      <w:r w:rsidR="005E2B88" w:rsidRPr="00483B87">
        <w:rPr>
          <w:rFonts w:ascii="Times New Roman" w:hAnsi="Times New Roman"/>
        </w:rPr>
        <w:t xml:space="preserve">Act is, by virtue of </w:t>
      </w:r>
      <w:r w:rsidR="005E2B88" w:rsidRPr="00483B87">
        <w:rPr>
          <w:rFonts w:ascii="Times New Roman" w:hAnsi="Times New Roman"/>
          <w:color w:val="000000" w:themeColor="text1"/>
        </w:rPr>
        <w:t xml:space="preserve">section 10 of the </w:t>
      </w:r>
      <w:r w:rsidR="005E2B88" w:rsidRPr="00483B87">
        <w:rPr>
          <w:rFonts w:ascii="Times New Roman" w:hAnsi="Times New Roman"/>
          <w:i/>
          <w:iCs/>
          <w:color w:val="000000" w:themeColor="text1"/>
        </w:rPr>
        <w:t>Acts Interpretation Act 1901</w:t>
      </w:r>
      <w:r w:rsidR="005E2B88" w:rsidRPr="00483B87">
        <w:rPr>
          <w:rFonts w:ascii="Times New Roman" w:hAnsi="Times New Roman"/>
          <w:color w:val="000000" w:themeColor="text1"/>
        </w:rPr>
        <w:t xml:space="preserve">, </w:t>
      </w:r>
      <w:r w:rsidR="00865406" w:rsidRPr="00483B87">
        <w:rPr>
          <w:rFonts w:ascii="Times New Roman" w:hAnsi="Times New Roman"/>
          <w:color w:val="000000" w:themeColor="text1"/>
        </w:rPr>
        <w:t xml:space="preserve">a reference to the Act </w:t>
      </w:r>
      <w:r w:rsidR="005E2B88" w:rsidRPr="00483B87">
        <w:rPr>
          <w:rFonts w:ascii="Times New Roman" w:hAnsi="Times New Roman"/>
          <w:color w:val="000000" w:themeColor="text1"/>
        </w:rPr>
        <w:t>as originally enacted and as amended from time to time.</w:t>
      </w:r>
      <w:r w:rsidR="00865406" w:rsidRPr="00483B87">
        <w:rPr>
          <w:rFonts w:ascii="Times New Roman" w:hAnsi="Times New Roman"/>
          <w:color w:val="000000" w:themeColor="text1"/>
        </w:rPr>
        <w:t xml:space="preserve"> The Act is </w:t>
      </w:r>
      <w:r w:rsidR="00865406" w:rsidRPr="00483B87">
        <w:rPr>
          <w:rFonts w:ascii="Times New Roman" w:hAnsi="Times New Roman"/>
        </w:rPr>
        <w:t>freely available and accessible via the internet on the Federal Register of Legislation.</w:t>
      </w:r>
    </w:p>
    <w:p w14:paraId="13B3B1AF" w14:textId="6FB451CA" w:rsidR="005E2B88" w:rsidRPr="00483B87" w:rsidRDefault="005E2B88" w:rsidP="002355E4">
      <w:pPr>
        <w:rPr>
          <w:rFonts w:ascii="Times New Roman" w:hAnsi="Times New Roman"/>
          <w:color w:val="000000" w:themeColor="text1"/>
        </w:rPr>
      </w:pPr>
    </w:p>
    <w:p w14:paraId="79170DEE" w14:textId="12943B25" w:rsidR="00865406" w:rsidRPr="00483B87" w:rsidRDefault="005E2B88" w:rsidP="00865406">
      <w:pPr>
        <w:rPr>
          <w:rFonts w:ascii="Times New Roman" w:hAnsi="Times New Roman"/>
        </w:rPr>
      </w:pPr>
      <w:r w:rsidRPr="00483B87">
        <w:rPr>
          <w:rFonts w:ascii="Times New Roman" w:hAnsi="Times New Roman"/>
          <w:color w:val="000000" w:themeColor="text1"/>
        </w:rPr>
        <w:t xml:space="preserve">The definitions of </w:t>
      </w:r>
      <w:r w:rsidR="00865406" w:rsidRPr="00483B87">
        <w:rPr>
          <w:rFonts w:ascii="Times New Roman" w:hAnsi="Times New Roman"/>
          <w:b/>
          <w:bCs/>
          <w:i/>
          <w:iCs/>
          <w:color w:val="000000" w:themeColor="text1"/>
        </w:rPr>
        <w:t>winch or hoist</w:t>
      </w:r>
      <w:r w:rsidR="00865406" w:rsidRPr="00A54868">
        <w:rPr>
          <w:rFonts w:ascii="Times New Roman" w:hAnsi="Times New Roman"/>
          <w:color w:val="000000" w:themeColor="text1"/>
        </w:rPr>
        <w:t xml:space="preserve"> </w:t>
      </w:r>
      <w:r w:rsidR="00865406" w:rsidRPr="00483B87">
        <w:rPr>
          <w:rFonts w:ascii="Times New Roman" w:hAnsi="Times New Roman"/>
          <w:color w:val="000000" w:themeColor="text1"/>
        </w:rPr>
        <w:t xml:space="preserve">and </w:t>
      </w:r>
      <w:r w:rsidR="00865406" w:rsidRPr="00483B87">
        <w:rPr>
          <w:rFonts w:ascii="Times New Roman" w:hAnsi="Times New Roman"/>
          <w:b/>
          <w:bCs/>
          <w:i/>
          <w:iCs/>
          <w:color w:val="000000" w:themeColor="text1"/>
        </w:rPr>
        <w:t>winching</w:t>
      </w:r>
      <w:r w:rsidR="00865406" w:rsidRPr="00A54868">
        <w:rPr>
          <w:rFonts w:ascii="Times New Roman" w:hAnsi="Times New Roman"/>
          <w:color w:val="000000" w:themeColor="text1"/>
        </w:rPr>
        <w:t xml:space="preserve"> </w:t>
      </w:r>
      <w:r w:rsidR="00AE6915" w:rsidRPr="00483B87">
        <w:rPr>
          <w:rFonts w:ascii="Times New Roman" w:hAnsi="Times New Roman"/>
          <w:color w:val="000000" w:themeColor="text1"/>
        </w:rPr>
        <w:t>are taken f</w:t>
      </w:r>
      <w:r w:rsidR="00865406" w:rsidRPr="00483B87">
        <w:rPr>
          <w:rFonts w:ascii="Times New Roman" w:hAnsi="Times New Roman"/>
          <w:color w:val="000000" w:themeColor="text1"/>
        </w:rPr>
        <w:t xml:space="preserve">rom CAO 29.11. </w:t>
      </w:r>
      <w:r w:rsidR="00AE6915" w:rsidRPr="00483B87">
        <w:rPr>
          <w:rFonts w:ascii="Times New Roman" w:hAnsi="Times New Roman"/>
        </w:rPr>
        <w:t>For the purposes of paragraph</w:t>
      </w:r>
      <w:r w:rsidR="007E6287">
        <w:rPr>
          <w:rFonts w:ascii="Times New Roman" w:hAnsi="Times New Roman"/>
        </w:rPr>
        <w:t xml:space="preserve"> </w:t>
      </w:r>
      <w:r w:rsidR="00AE6915" w:rsidRPr="00483B87">
        <w:rPr>
          <w:rFonts w:ascii="Times New Roman" w:hAnsi="Times New Roman"/>
        </w:rPr>
        <w:t xml:space="preserve">14 (1) (a) of the LA, CAO 29.11 is a disallowable </w:t>
      </w:r>
      <w:r w:rsidR="00BD79C7" w:rsidRPr="00483B87">
        <w:rPr>
          <w:rFonts w:ascii="Times New Roman" w:hAnsi="Times New Roman"/>
        </w:rPr>
        <w:t xml:space="preserve">legislative </w:t>
      </w:r>
      <w:r w:rsidR="00AE6915" w:rsidRPr="00483B87">
        <w:rPr>
          <w:rFonts w:ascii="Times New Roman" w:hAnsi="Times New Roman"/>
        </w:rPr>
        <w:t xml:space="preserve">instrument. </w:t>
      </w:r>
      <w:r w:rsidR="00865406" w:rsidRPr="00483B87">
        <w:rPr>
          <w:rFonts w:ascii="Times New Roman" w:hAnsi="Times New Roman"/>
          <w:color w:val="000000" w:themeColor="text1"/>
        </w:rPr>
        <w:t xml:space="preserve">The reference to that CAO is, by virtue of section 10 of the </w:t>
      </w:r>
      <w:r w:rsidR="00865406" w:rsidRPr="00483B87">
        <w:rPr>
          <w:rFonts w:ascii="Times New Roman" w:hAnsi="Times New Roman"/>
          <w:i/>
          <w:iCs/>
          <w:color w:val="000000" w:themeColor="text1"/>
        </w:rPr>
        <w:t>Acts Interpretation Act 1901</w:t>
      </w:r>
      <w:r w:rsidR="00865406" w:rsidRPr="00483B87">
        <w:rPr>
          <w:rFonts w:ascii="Times New Roman" w:hAnsi="Times New Roman"/>
          <w:color w:val="000000" w:themeColor="text1"/>
        </w:rPr>
        <w:t xml:space="preserve"> and section 13 of the</w:t>
      </w:r>
      <w:r w:rsidR="00A54868">
        <w:rPr>
          <w:rFonts w:ascii="Times New Roman" w:hAnsi="Times New Roman"/>
          <w:color w:val="000000" w:themeColor="text1"/>
        </w:rPr>
        <w:t xml:space="preserve"> LA</w:t>
      </w:r>
      <w:r w:rsidR="00865406" w:rsidRPr="00483B87">
        <w:rPr>
          <w:rFonts w:ascii="Times New Roman" w:hAnsi="Times New Roman"/>
          <w:color w:val="000000" w:themeColor="text1"/>
        </w:rPr>
        <w:t>, a reference to the CAO as originally made and as amended from time to time</w:t>
      </w:r>
      <w:r w:rsidR="00B33AA6">
        <w:rPr>
          <w:rFonts w:ascii="Times New Roman" w:hAnsi="Times New Roman"/>
          <w:color w:val="000000" w:themeColor="text1"/>
        </w:rPr>
        <w:t xml:space="preserve">. </w:t>
      </w:r>
      <w:r w:rsidR="00AE6915" w:rsidRPr="00483B87">
        <w:rPr>
          <w:rFonts w:ascii="Times New Roman" w:hAnsi="Times New Roman"/>
          <w:color w:val="000000" w:themeColor="text1"/>
        </w:rPr>
        <w:t xml:space="preserve">It is </w:t>
      </w:r>
      <w:r w:rsidR="00865406" w:rsidRPr="00483B87">
        <w:rPr>
          <w:rFonts w:ascii="Times New Roman" w:hAnsi="Times New Roman"/>
        </w:rPr>
        <w:t>freely available and accessible via the internet on the Federal Register of Legislation.</w:t>
      </w:r>
    </w:p>
    <w:p w14:paraId="0F686D78" w14:textId="77777777" w:rsidR="008F47B7" w:rsidRPr="00483B87" w:rsidRDefault="008F47B7" w:rsidP="00C43992">
      <w:pPr>
        <w:tabs>
          <w:tab w:val="clear" w:pos="567"/>
        </w:tabs>
        <w:overflowPunct/>
        <w:autoSpaceDE/>
        <w:autoSpaceDN/>
        <w:adjustRightInd/>
        <w:textAlignment w:val="auto"/>
        <w:rPr>
          <w:rFonts w:ascii="Times New Roman" w:hAnsi="Times New Roman"/>
        </w:rPr>
      </w:pPr>
    </w:p>
    <w:p w14:paraId="343C48BF" w14:textId="6B8D7C4D" w:rsidR="00434240" w:rsidRPr="00434240" w:rsidRDefault="00276246" w:rsidP="00C43992">
      <w:pPr>
        <w:tabs>
          <w:tab w:val="clear" w:pos="567"/>
        </w:tabs>
        <w:overflowPunct/>
        <w:autoSpaceDE/>
        <w:autoSpaceDN/>
        <w:adjustRightInd/>
        <w:textAlignment w:val="auto"/>
        <w:rPr>
          <w:rFonts w:ascii="Times New Roman" w:hAnsi="Times New Roman"/>
          <w:b/>
        </w:rPr>
      </w:pPr>
      <w:r>
        <w:rPr>
          <w:rFonts w:ascii="Times New Roman" w:hAnsi="Times New Roman"/>
          <w:b/>
        </w:rPr>
        <w:t>Content of i</w:t>
      </w:r>
      <w:r w:rsidR="00434240" w:rsidRPr="00434240">
        <w:rPr>
          <w:rFonts w:ascii="Times New Roman" w:hAnsi="Times New Roman"/>
          <w:b/>
        </w:rPr>
        <w:t>nstrument</w:t>
      </w:r>
    </w:p>
    <w:p w14:paraId="00C6ECCB" w14:textId="77777777" w:rsidR="00BC487D" w:rsidRDefault="00865406" w:rsidP="0005491E">
      <w:pPr>
        <w:rPr>
          <w:rFonts w:ascii="Times New Roman" w:hAnsi="Times New Roman"/>
        </w:rPr>
      </w:pPr>
      <w:r>
        <w:rPr>
          <w:rFonts w:ascii="Times New Roman" w:hAnsi="Times New Roman"/>
        </w:rPr>
        <w:t xml:space="preserve">The </w:t>
      </w:r>
      <w:r w:rsidR="0005491E">
        <w:rPr>
          <w:rFonts w:ascii="Times New Roman" w:hAnsi="Times New Roman"/>
        </w:rPr>
        <w:t>instrument provides an authorisation, permission</w:t>
      </w:r>
      <w:r w:rsidR="0081025E">
        <w:rPr>
          <w:rFonts w:ascii="Times New Roman" w:hAnsi="Times New Roman"/>
        </w:rPr>
        <w:t xml:space="preserve"> and</w:t>
      </w:r>
      <w:r w:rsidR="00CD5F23">
        <w:rPr>
          <w:rFonts w:ascii="Times New Roman" w:hAnsi="Times New Roman"/>
        </w:rPr>
        <w:t xml:space="preserve"> direction </w:t>
      </w:r>
      <w:r w:rsidR="0005491E">
        <w:rPr>
          <w:rFonts w:ascii="Times New Roman" w:hAnsi="Times New Roman"/>
        </w:rPr>
        <w:t xml:space="preserve">under </w:t>
      </w:r>
      <w:r w:rsidR="00922E03">
        <w:rPr>
          <w:rFonts w:ascii="Times New Roman" w:hAnsi="Times New Roman"/>
        </w:rPr>
        <w:t xml:space="preserve">CAR </w:t>
      </w:r>
      <w:r w:rsidR="0005491E">
        <w:rPr>
          <w:rFonts w:ascii="Times New Roman" w:hAnsi="Times New Roman"/>
        </w:rPr>
        <w:t>and exemption</w:t>
      </w:r>
      <w:r w:rsidR="00CD5F23">
        <w:rPr>
          <w:rFonts w:ascii="Times New Roman" w:hAnsi="Times New Roman"/>
        </w:rPr>
        <w:t>s</w:t>
      </w:r>
      <w:r w:rsidR="0005491E">
        <w:rPr>
          <w:rFonts w:ascii="Times New Roman" w:hAnsi="Times New Roman"/>
        </w:rPr>
        <w:t xml:space="preserve"> under </w:t>
      </w:r>
      <w:r w:rsidR="0005491E" w:rsidRPr="00922E03">
        <w:rPr>
          <w:rFonts w:ascii="Times New Roman" w:hAnsi="Times New Roman"/>
        </w:rPr>
        <w:t xml:space="preserve">CASR </w:t>
      </w:r>
      <w:r w:rsidR="00CD5F23">
        <w:rPr>
          <w:rFonts w:ascii="Times New Roman" w:hAnsi="Times New Roman"/>
        </w:rPr>
        <w:t>from provisions of CAO 20.16.3 and CAO 29.11</w:t>
      </w:r>
      <w:r w:rsidR="00B33AA6">
        <w:rPr>
          <w:rFonts w:ascii="Times New Roman" w:hAnsi="Times New Roman"/>
        </w:rPr>
        <w:t xml:space="preserve">. </w:t>
      </w:r>
      <w:r>
        <w:rPr>
          <w:rFonts w:ascii="Times New Roman" w:hAnsi="Times New Roman"/>
        </w:rPr>
        <w:t>The instrument is required to enable ATSB personnel to safely access accident sites by winching, including sites that are difficult to access</w:t>
      </w:r>
      <w:r w:rsidR="00BC487D">
        <w:rPr>
          <w:rFonts w:ascii="Times New Roman" w:hAnsi="Times New Roman"/>
        </w:rPr>
        <w:t>.</w:t>
      </w:r>
    </w:p>
    <w:p w14:paraId="502D85C7" w14:textId="30171680" w:rsidR="0005491E" w:rsidRDefault="0005491E" w:rsidP="0005491E">
      <w:pPr>
        <w:rPr>
          <w:rFonts w:ascii="Times New Roman" w:hAnsi="Times New Roman"/>
        </w:rPr>
      </w:pPr>
    </w:p>
    <w:p w14:paraId="5D597378" w14:textId="6DF6BCD6" w:rsidR="008F47B7" w:rsidRDefault="008F47B7" w:rsidP="00434240">
      <w:pPr>
        <w:rPr>
          <w:rFonts w:ascii="Times New Roman" w:hAnsi="Times New Roman"/>
        </w:rPr>
      </w:pPr>
      <w:bookmarkStart w:id="3" w:name="_Hlk69984019"/>
      <w:r>
        <w:rPr>
          <w:rFonts w:ascii="Times New Roman" w:hAnsi="Times New Roman"/>
        </w:rPr>
        <w:t xml:space="preserve">Section 1 </w:t>
      </w:r>
      <w:r w:rsidR="009A7157">
        <w:rPr>
          <w:rFonts w:ascii="Times New Roman" w:hAnsi="Times New Roman"/>
        </w:rPr>
        <w:t>provides that the name of the instrument is</w:t>
      </w:r>
      <w:r w:rsidR="00B93BA1">
        <w:rPr>
          <w:rFonts w:ascii="Times New Roman" w:hAnsi="Times New Roman"/>
        </w:rPr>
        <w:t xml:space="preserve"> </w:t>
      </w:r>
      <w:r w:rsidR="00B93BA1" w:rsidRPr="00B93BA1">
        <w:rPr>
          <w:rFonts w:ascii="Times New Roman" w:hAnsi="Times New Roman"/>
          <w:i/>
          <w:iCs/>
        </w:rPr>
        <w:t>CASA EX</w:t>
      </w:r>
      <w:r w:rsidR="00946C3D">
        <w:rPr>
          <w:rFonts w:ascii="Times New Roman" w:hAnsi="Times New Roman"/>
          <w:i/>
          <w:iCs/>
        </w:rPr>
        <w:t>45</w:t>
      </w:r>
      <w:r w:rsidR="00B93BA1" w:rsidRPr="00B93BA1">
        <w:rPr>
          <w:rFonts w:ascii="Times New Roman" w:hAnsi="Times New Roman"/>
          <w:i/>
          <w:iCs/>
        </w:rPr>
        <w:t>/21</w:t>
      </w:r>
      <w:r w:rsidR="00764CE9">
        <w:rPr>
          <w:rFonts w:ascii="Times New Roman" w:hAnsi="Times New Roman"/>
          <w:i/>
          <w:iCs/>
        </w:rPr>
        <w:t> —</w:t>
      </w:r>
      <w:r w:rsidR="00B93BA1" w:rsidRPr="00B93BA1">
        <w:rPr>
          <w:rFonts w:ascii="Times New Roman" w:hAnsi="Times New Roman"/>
          <w:i/>
          <w:iCs/>
        </w:rPr>
        <w:t xml:space="preserve"> ATSB Winching Operations Instrument 2021</w:t>
      </w:r>
      <w:r w:rsidR="00B93BA1">
        <w:rPr>
          <w:rFonts w:ascii="Times New Roman" w:hAnsi="Times New Roman"/>
        </w:rPr>
        <w:t>.</w:t>
      </w:r>
    </w:p>
    <w:p w14:paraId="4BAF9910" w14:textId="77777777" w:rsidR="00DC0826" w:rsidRDefault="00DC0826" w:rsidP="00434240">
      <w:pPr>
        <w:rPr>
          <w:rFonts w:ascii="Times New Roman" w:hAnsi="Times New Roman"/>
        </w:rPr>
      </w:pPr>
    </w:p>
    <w:p w14:paraId="7BD15933" w14:textId="55EBC9B3" w:rsidR="00B93BA1" w:rsidRDefault="008F47B7" w:rsidP="00434240">
      <w:pPr>
        <w:rPr>
          <w:rFonts w:ascii="Times New Roman" w:hAnsi="Times New Roman"/>
        </w:rPr>
      </w:pPr>
      <w:r>
        <w:rPr>
          <w:rFonts w:ascii="Times New Roman" w:hAnsi="Times New Roman"/>
        </w:rPr>
        <w:t>Section 2 sets out the duration of the instrument.</w:t>
      </w:r>
      <w:r w:rsidR="0065661C">
        <w:rPr>
          <w:rFonts w:ascii="Times New Roman" w:hAnsi="Times New Roman"/>
        </w:rPr>
        <w:t xml:space="preserve"> The instrument commence</w:t>
      </w:r>
      <w:r w:rsidR="00DE57CC">
        <w:rPr>
          <w:rFonts w:ascii="Times New Roman" w:hAnsi="Times New Roman"/>
        </w:rPr>
        <w:t>s</w:t>
      </w:r>
      <w:r w:rsidR="0065661C">
        <w:rPr>
          <w:rFonts w:ascii="Times New Roman" w:hAnsi="Times New Roman"/>
        </w:rPr>
        <w:t xml:space="preserve"> on </w:t>
      </w:r>
      <w:r w:rsidR="00B93BA1">
        <w:rPr>
          <w:rFonts w:ascii="Times New Roman" w:hAnsi="Times New Roman"/>
        </w:rPr>
        <w:t xml:space="preserve">1 May 2021 and </w:t>
      </w:r>
      <w:r w:rsidR="003B0B92">
        <w:rPr>
          <w:rFonts w:ascii="Times New Roman" w:hAnsi="Times New Roman"/>
        </w:rPr>
        <w:t>will be</w:t>
      </w:r>
      <w:r w:rsidR="0065661C">
        <w:rPr>
          <w:rFonts w:ascii="Times New Roman" w:hAnsi="Times New Roman"/>
        </w:rPr>
        <w:t xml:space="preserve"> repealed </w:t>
      </w:r>
      <w:r w:rsidR="00741CD0">
        <w:rPr>
          <w:rFonts w:ascii="Times New Roman" w:hAnsi="Times New Roman"/>
        </w:rPr>
        <w:t>at</w:t>
      </w:r>
      <w:r w:rsidR="00B93BA1">
        <w:rPr>
          <w:rFonts w:ascii="Times New Roman" w:hAnsi="Times New Roman"/>
        </w:rPr>
        <w:t xml:space="preserve"> the earlier of</w:t>
      </w:r>
      <w:r w:rsidR="006A05B0">
        <w:rPr>
          <w:rFonts w:ascii="Times New Roman" w:hAnsi="Times New Roman"/>
        </w:rPr>
        <w:t xml:space="preserve"> the following:</w:t>
      </w:r>
    </w:p>
    <w:p w14:paraId="3A6DDCF4" w14:textId="284DA168" w:rsidR="00B93BA1" w:rsidRDefault="00B93BA1" w:rsidP="006A05B0">
      <w:pPr>
        <w:pStyle w:val="ListParagraph"/>
        <w:numPr>
          <w:ilvl w:val="0"/>
          <w:numId w:val="1"/>
        </w:numPr>
        <w:tabs>
          <w:tab w:val="clear" w:pos="567"/>
          <w:tab w:val="left" w:pos="709"/>
        </w:tabs>
        <w:rPr>
          <w:rFonts w:ascii="Times New Roman" w:hAnsi="Times New Roman"/>
        </w:rPr>
      </w:pPr>
      <w:r w:rsidRPr="00B93BA1">
        <w:rPr>
          <w:rFonts w:ascii="Times New Roman" w:hAnsi="Times New Roman"/>
        </w:rPr>
        <w:t xml:space="preserve">the day of commencement of Schedule 1 to the </w:t>
      </w:r>
      <w:r w:rsidRPr="00B93BA1">
        <w:rPr>
          <w:rFonts w:ascii="Times New Roman" w:hAnsi="Times New Roman"/>
          <w:i/>
          <w:iCs/>
        </w:rPr>
        <w:t>Civil Aviation Legislation Amendment (Part 138) Regulations 2018</w:t>
      </w:r>
    </w:p>
    <w:p w14:paraId="2A8FC5D1" w14:textId="71378175" w:rsidR="008F47B7" w:rsidRPr="00B93BA1" w:rsidRDefault="0065661C" w:rsidP="006A05B0">
      <w:pPr>
        <w:pStyle w:val="ListParagraph"/>
        <w:numPr>
          <w:ilvl w:val="0"/>
          <w:numId w:val="1"/>
        </w:numPr>
        <w:tabs>
          <w:tab w:val="clear" w:pos="567"/>
          <w:tab w:val="left" w:pos="709"/>
        </w:tabs>
        <w:rPr>
          <w:rFonts w:ascii="Times New Roman" w:hAnsi="Times New Roman"/>
        </w:rPr>
      </w:pPr>
      <w:r w:rsidRPr="00B93BA1">
        <w:rPr>
          <w:rFonts w:ascii="Times New Roman" w:hAnsi="Times New Roman"/>
        </w:rPr>
        <w:t>the end of 30 April 202</w:t>
      </w:r>
      <w:r w:rsidR="00B93BA1" w:rsidRPr="00B93BA1">
        <w:rPr>
          <w:rFonts w:ascii="Times New Roman" w:hAnsi="Times New Roman"/>
        </w:rPr>
        <w:t>4</w:t>
      </w:r>
      <w:r w:rsidRPr="00B93BA1">
        <w:rPr>
          <w:rFonts w:ascii="Times New Roman" w:hAnsi="Times New Roman"/>
        </w:rPr>
        <w:t>.</w:t>
      </w:r>
    </w:p>
    <w:p w14:paraId="68A4B5F2" w14:textId="77777777" w:rsidR="008F47B7" w:rsidRDefault="008F47B7" w:rsidP="00434240">
      <w:pPr>
        <w:rPr>
          <w:rFonts w:ascii="Times New Roman" w:hAnsi="Times New Roman"/>
        </w:rPr>
      </w:pPr>
    </w:p>
    <w:p w14:paraId="2174521C" w14:textId="17E22B83" w:rsidR="00902805" w:rsidRDefault="00DC0826" w:rsidP="00434240">
      <w:pPr>
        <w:rPr>
          <w:rFonts w:ascii="Times New Roman" w:hAnsi="Times New Roman"/>
        </w:rPr>
      </w:pPr>
      <w:r>
        <w:rPr>
          <w:rFonts w:ascii="Times New Roman" w:hAnsi="Times New Roman"/>
        </w:rPr>
        <w:t xml:space="preserve">Section 3 </w:t>
      </w:r>
      <w:r w:rsidR="00B93BA1">
        <w:rPr>
          <w:rFonts w:ascii="Times New Roman" w:hAnsi="Times New Roman"/>
        </w:rPr>
        <w:t xml:space="preserve">sets out the </w:t>
      </w:r>
      <w:r w:rsidR="00922E03">
        <w:rPr>
          <w:rFonts w:ascii="Times New Roman" w:hAnsi="Times New Roman"/>
        </w:rPr>
        <w:t xml:space="preserve">definitions for the instrument. A key term is </w:t>
      </w:r>
      <w:r w:rsidR="00922E03" w:rsidRPr="00922E03">
        <w:rPr>
          <w:rFonts w:ascii="Times New Roman" w:hAnsi="Times New Roman"/>
          <w:b/>
          <w:i/>
        </w:rPr>
        <w:t>relevant</w:t>
      </w:r>
      <w:r w:rsidR="00B93BA1">
        <w:rPr>
          <w:rFonts w:ascii="Times New Roman" w:hAnsi="Times New Roman"/>
          <w:b/>
          <w:i/>
        </w:rPr>
        <w:t xml:space="preserve"> helicopter</w:t>
      </w:r>
      <w:r w:rsidR="00B93BA1">
        <w:rPr>
          <w:rFonts w:ascii="Times New Roman" w:hAnsi="Times New Roman"/>
        </w:rPr>
        <w:t xml:space="preserve"> which is defined to mean a multi-engine helicopter that is capable of hovering out of ground effect </w:t>
      </w:r>
      <w:r w:rsidR="00B93BA1">
        <w:rPr>
          <w:rFonts w:ascii="Times New Roman" w:hAnsi="Times New Roman"/>
        </w:rPr>
        <w:lastRenderedPageBreak/>
        <w:t xml:space="preserve">with one engine </w:t>
      </w:r>
      <w:r w:rsidR="00741CD0">
        <w:rPr>
          <w:rFonts w:ascii="Times New Roman" w:hAnsi="Times New Roman"/>
        </w:rPr>
        <w:t>in</w:t>
      </w:r>
      <w:r w:rsidR="00B93BA1">
        <w:rPr>
          <w:rFonts w:ascii="Times New Roman" w:hAnsi="Times New Roman"/>
        </w:rPr>
        <w:t>operative for the purposes of winching</w:t>
      </w:r>
      <w:r w:rsidR="00DE57CC">
        <w:rPr>
          <w:rFonts w:ascii="Times New Roman" w:hAnsi="Times New Roman"/>
        </w:rPr>
        <w:t xml:space="preserve"> </w:t>
      </w:r>
      <w:r w:rsidR="00B93BA1">
        <w:rPr>
          <w:rFonts w:ascii="Times New Roman" w:hAnsi="Times New Roman"/>
        </w:rPr>
        <w:t xml:space="preserve">and which is authorised under an Air </w:t>
      </w:r>
      <w:r w:rsidR="005E0A21">
        <w:rPr>
          <w:rFonts w:ascii="Times New Roman" w:hAnsi="Times New Roman"/>
        </w:rPr>
        <w:t xml:space="preserve">Operator’s Certificate (the </w:t>
      </w:r>
      <w:r w:rsidR="005E0A21">
        <w:rPr>
          <w:rFonts w:ascii="Times New Roman" w:hAnsi="Times New Roman"/>
          <w:b/>
          <w:bCs/>
          <w:i/>
          <w:iCs/>
        </w:rPr>
        <w:t>AOC</w:t>
      </w:r>
      <w:r w:rsidR="005E0A21">
        <w:rPr>
          <w:rFonts w:ascii="Times New Roman" w:hAnsi="Times New Roman"/>
        </w:rPr>
        <w:t>) to be operated for winching</w:t>
      </w:r>
      <w:r w:rsidR="00B33AA6">
        <w:rPr>
          <w:rFonts w:ascii="Times New Roman" w:hAnsi="Times New Roman"/>
        </w:rPr>
        <w:t xml:space="preserve">. </w:t>
      </w:r>
      <w:r w:rsidR="005E0A21">
        <w:rPr>
          <w:rFonts w:ascii="Times New Roman" w:hAnsi="Times New Roman"/>
          <w:b/>
          <w:bCs/>
          <w:i/>
          <w:iCs/>
        </w:rPr>
        <w:t>Operator</w:t>
      </w:r>
      <w:r w:rsidR="005E0A21" w:rsidRPr="00764CE9">
        <w:rPr>
          <w:rFonts w:ascii="Times New Roman" w:hAnsi="Times New Roman"/>
        </w:rPr>
        <w:t xml:space="preserve"> </w:t>
      </w:r>
      <w:r w:rsidR="005E0A21">
        <w:rPr>
          <w:rFonts w:ascii="Times New Roman" w:hAnsi="Times New Roman"/>
        </w:rPr>
        <w:t xml:space="preserve">is defined as the person who holds the AOC for the helicopter and who has been engaged by the ATSB to carry out ATSB winching operations in the helicopter. </w:t>
      </w:r>
      <w:r w:rsidR="005E0A21">
        <w:rPr>
          <w:rFonts w:ascii="Times New Roman" w:hAnsi="Times New Roman"/>
          <w:b/>
          <w:bCs/>
          <w:i/>
          <w:iCs/>
        </w:rPr>
        <w:t>ATSB winching operation</w:t>
      </w:r>
      <w:r w:rsidR="005E0A21">
        <w:rPr>
          <w:rFonts w:ascii="Times New Roman" w:hAnsi="Times New Roman"/>
        </w:rPr>
        <w:t xml:space="preserve"> is defined as a flight to or from an accident site involving the winching of ATSB personnel to or from a relevant helicopter in the course of an ATSB investigation</w:t>
      </w:r>
      <w:r w:rsidR="00B33AA6">
        <w:rPr>
          <w:rFonts w:ascii="Times New Roman" w:hAnsi="Times New Roman"/>
        </w:rPr>
        <w:t xml:space="preserve">. </w:t>
      </w:r>
      <w:r w:rsidR="00922E03" w:rsidRPr="00922E03">
        <w:rPr>
          <w:rFonts w:ascii="Times New Roman" w:hAnsi="Times New Roman"/>
          <w:b/>
          <w:i/>
        </w:rPr>
        <w:t>ATSB</w:t>
      </w:r>
      <w:r w:rsidR="00922E03">
        <w:rPr>
          <w:rFonts w:ascii="Times New Roman" w:hAnsi="Times New Roman"/>
          <w:b/>
          <w:i/>
        </w:rPr>
        <w:t xml:space="preserve"> </w:t>
      </w:r>
      <w:r w:rsidR="00922E03" w:rsidRPr="00922E03">
        <w:rPr>
          <w:rFonts w:ascii="Times New Roman" w:hAnsi="Times New Roman"/>
          <w:b/>
          <w:i/>
        </w:rPr>
        <w:t>personnel</w:t>
      </w:r>
      <w:r w:rsidR="005E0A21">
        <w:rPr>
          <w:rFonts w:ascii="Times New Roman" w:hAnsi="Times New Roman"/>
        </w:rPr>
        <w:t xml:space="preserve"> is </w:t>
      </w:r>
      <w:r w:rsidR="0065661C">
        <w:rPr>
          <w:rFonts w:ascii="Times New Roman" w:hAnsi="Times New Roman"/>
        </w:rPr>
        <w:t xml:space="preserve">defined as </w:t>
      </w:r>
      <w:r w:rsidR="00922E03">
        <w:rPr>
          <w:rFonts w:ascii="Times New Roman" w:hAnsi="Times New Roman"/>
        </w:rPr>
        <w:t xml:space="preserve">employees of the ATSB or </w:t>
      </w:r>
      <w:r w:rsidR="00741CD0">
        <w:rPr>
          <w:rFonts w:ascii="Times New Roman" w:hAnsi="Times New Roman"/>
        </w:rPr>
        <w:t xml:space="preserve">persons </w:t>
      </w:r>
      <w:r w:rsidR="0065661C">
        <w:rPr>
          <w:rFonts w:ascii="Times New Roman" w:hAnsi="Times New Roman"/>
        </w:rPr>
        <w:t xml:space="preserve">who are </w:t>
      </w:r>
      <w:r w:rsidR="00922E03">
        <w:rPr>
          <w:rFonts w:ascii="Times New Roman" w:hAnsi="Times New Roman"/>
        </w:rPr>
        <w:t xml:space="preserve">engaged by the ATSB </w:t>
      </w:r>
      <w:r w:rsidR="005E0A21">
        <w:rPr>
          <w:rFonts w:ascii="Times New Roman" w:hAnsi="Times New Roman"/>
        </w:rPr>
        <w:t>for the conduct of ATSB investigations.</w:t>
      </w:r>
      <w:r w:rsidR="009F37DD">
        <w:rPr>
          <w:rFonts w:ascii="Times New Roman" w:hAnsi="Times New Roman"/>
        </w:rPr>
        <w:t xml:space="preserve"> The terms </w:t>
      </w:r>
      <w:r w:rsidR="009F37DD" w:rsidRPr="009F37DD">
        <w:rPr>
          <w:rFonts w:ascii="Times New Roman" w:hAnsi="Times New Roman"/>
          <w:b/>
          <w:i/>
        </w:rPr>
        <w:t>winching</w:t>
      </w:r>
      <w:r w:rsidR="009F37DD">
        <w:rPr>
          <w:rFonts w:ascii="Times New Roman" w:hAnsi="Times New Roman"/>
          <w:i/>
        </w:rPr>
        <w:t xml:space="preserve"> </w:t>
      </w:r>
      <w:r w:rsidR="009F37DD">
        <w:rPr>
          <w:rFonts w:ascii="Times New Roman" w:hAnsi="Times New Roman"/>
        </w:rPr>
        <w:t xml:space="preserve">and </w:t>
      </w:r>
      <w:r w:rsidR="009F37DD" w:rsidRPr="009F37DD">
        <w:rPr>
          <w:rFonts w:ascii="Times New Roman" w:hAnsi="Times New Roman"/>
          <w:b/>
          <w:i/>
        </w:rPr>
        <w:t>winch or hoist</w:t>
      </w:r>
      <w:r w:rsidR="009F37DD">
        <w:rPr>
          <w:rFonts w:ascii="Times New Roman" w:hAnsi="Times New Roman"/>
          <w:i/>
        </w:rPr>
        <w:t xml:space="preserve"> </w:t>
      </w:r>
      <w:r w:rsidR="009F37DD">
        <w:rPr>
          <w:rFonts w:ascii="Times New Roman" w:hAnsi="Times New Roman"/>
        </w:rPr>
        <w:t>ha</w:t>
      </w:r>
      <w:r w:rsidR="00656FDE">
        <w:rPr>
          <w:rFonts w:ascii="Times New Roman" w:hAnsi="Times New Roman"/>
        </w:rPr>
        <w:t>ve</w:t>
      </w:r>
      <w:r w:rsidR="009F37DD">
        <w:rPr>
          <w:rFonts w:ascii="Times New Roman" w:hAnsi="Times New Roman"/>
        </w:rPr>
        <w:t xml:space="preserve"> the </w:t>
      </w:r>
      <w:r w:rsidR="005E0A21">
        <w:rPr>
          <w:rFonts w:ascii="Times New Roman" w:hAnsi="Times New Roman"/>
        </w:rPr>
        <w:t xml:space="preserve">same meanings as </w:t>
      </w:r>
      <w:r w:rsidR="009F37DD">
        <w:rPr>
          <w:rFonts w:ascii="Times New Roman" w:hAnsi="Times New Roman"/>
        </w:rPr>
        <w:t>in CAO</w:t>
      </w:r>
      <w:r w:rsidR="007E6287">
        <w:rPr>
          <w:rFonts w:ascii="Times New Roman" w:hAnsi="Times New Roman"/>
        </w:rPr>
        <w:t> </w:t>
      </w:r>
      <w:r w:rsidR="009F37DD">
        <w:rPr>
          <w:rFonts w:ascii="Times New Roman" w:hAnsi="Times New Roman"/>
        </w:rPr>
        <w:t>29.11.</w:t>
      </w:r>
    </w:p>
    <w:p w14:paraId="3379F0F3" w14:textId="4EB2D4E8" w:rsidR="00902805" w:rsidRDefault="00902805" w:rsidP="00434240">
      <w:pPr>
        <w:rPr>
          <w:rFonts w:ascii="Times New Roman" w:hAnsi="Times New Roman"/>
        </w:rPr>
      </w:pPr>
    </w:p>
    <w:p w14:paraId="5618B822" w14:textId="760C6981" w:rsidR="0065661C" w:rsidRPr="0065661C" w:rsidRDefault="0065661C" w:rsidP="0065661C">
      <w:pPr>
        <w:rPr>
          <w:rFonts w:ascii="Times New Roman" w:hAnsi="Times New Roman"/>
          <w:i/>
        </w:rPr>
      </w:pPr>
      <w:r>
        <w:rPr>
          <w:rFonts w:ascii="Times New Roman" w:hAnsi="Times New Roman"/>
        </w:rPr>
        <w:t xml:space="preserve">Section 4 </w:t>
      </w:r>
      <w:r w:rsidR="00865406">
        <w:rPr>
          <w:rFonts w:ascii="Times New Roman" w:hAnsi="Times New Roman"/>
        </w:rPr>
        <w:t xml:space="preserve">authorises </w:t>
      </w:r>
      <w:r>
        <w:rPr>
          <w:rFonts w:ascii="Times New Roman" w:hAnsi="Times New Roman"/>
        </w:rPr>
        <w:t xml:space="preserve">the pilot in command of a relevant </w:t>
      </w:r>
      <w:r w:rsidR="005E0A21">
        <w:rPr>
          <w:rFonts w:ascii="Times New Roman" w:hAnsi="Times New Roman"/>
        </w:rPr>
        <w:t xml:space="preserve">helicopter </w:t>
      </w:r>
      <w:r>
        <w:rPr>
          <w:rFonts w:ascii="Times New Roman" w:hAnsi="Times New Roman"/>
        </w:rPr>
        <w:t xml:space="preserve">to </w:t>
      </w:r>
      <w:r w:rsidR="00DD3CD4">
        <w:rPr>
          <w:rFonts w:ascii="Times New Roman" w:hAnsi="Times New Roman"/>
        </w:rPr>
        <w:t xml:space="preserve">pick up ATSB personnel </w:t>
      </w:r>
      <w:r w:rsidR="005E0A21">
        <w:rPr>
          <w:rFonts w:ascii="Times New Roman" w:hAnsi="Times New Roman"/>
        </w:rPr>
        <w:t xml:space="preserve">and their objects </w:t>
      </w:r>
      <w:r w:rsidR="00DD3CD4">
        <w:rPr>
          <w:rFonts w:ascii="Times New Roman" w:hAnsi="Times New Roman"/>
        </w:rPr>
        <w:t>during</w:t>
      </w:r>
      <w:r w:rsidR="005E0A21">
        <w:rPr>
          <w:rFonts w:ascii="Times New Roman" w:hAnsi="Times New Roman"/>
        </w:rPr>
        <w:t xml:space="preserve"> an ATSB</w:t>
      </w:r>
      <w:r w:rsidR="00DD3CD4">
        <w:rPr>
          <w:rFonts w:ascii="Times New Roman" w:hAnsi="Times New Roman"/>
        </w:rPr>
        <w:t xml:space="preserve"> winching operation.</w:t>
      </w:r>
    </w:p>
    <w:p w14:paraId="0D5CDDFA" w14:textId="77777777" w:rsidR="0065661C" w:rsidRPr="00483B87" w:rsidRDefault="0065661C" w:rsidP="00434240">
      <w:pPr>
        <w:rPr>
          <w:rFonts w:ascii="Times New Roman" w:hAnsi="Times New Roman"/>
        </w:rPr>
      </w:pPr>
    </w:p>
    <w:p w14:paraId="3EBC6955" w14:textId="096285EB" w:rsidR="00434240" w:rsidRPr="00483B87" w:rsidRDefault="004E4A97" w:rsidP="00434240">
      <w:pPr>
        <w:rPr>
          <w:rFonts w:ascii="Times New Roman" w:hAnsi="Times New Roman"/>
          <w:lang w:eastAsia="en-AU"/>
        </w:rPr>
      </w:pPr>
      <w:r w:rsidRPr="00483B87">
        <w:rPr>
          <w:rFonts w:ascii="Times New Roman" w:hAnsi="Times New Roman"/>
        </w:rPr>
        <w:t>Section 5</w:t>
      </w:r>
      <w:r w:rsidR="00865406" w:rsidRPr="00483B87">
        <w:rPr>
          <w:rFonts w:ascii="Times New Roman" w:hAnsi="Times New Roman"/>
        </w:rPr>
        <w:t xml:space="preserve"> permits</w:t>
      </w:r>
      <w:r w:rsidRPr="00483B87">
        <w:rPr>
          <w:rFonts w:ascii="Times New Roman" w:hAnsi="Times New Roman"/>
        </w:rPr>
        <w:t xml:space="preserve"> the operator and pilot in command of a </w:t>
      </w:r>
      <w:r w:rsidR="005E0A21" w:rsidRPr="00483B87">
        <w:rPr>
          <w:rFonts w:ascii="Times New Roman" w:hAnsi="Times New Roman"/>
        </w:rPr>
        <w:t>relevant helicopter</w:t>
      </w:r>
      <w:r w:rsidRPr="00483B87">
        <w:rPr>
          <w:rFonts w:ascii="Times New Roman" w:hAnsi="Times New Roman"/>
        </w:rPr>
        <w:t xml:space="preserve"> to carry </w:t>
      </w:r>
      <w:r w:rsidR="00434240" w:rsidRPr="00483B87">
        <w:rPr>
          <w:rFonts w:ascii="Times New Roman" w:hAnsi="Times New Roman"/>
        </w:rPr>
        <w:t xml:space="preserve">ATSB personnel </w:t>
      </w:r>
      <w:r w:rsidR="00434240" w:rsidRPr="00483B87">
        <w:rPr>
          <w:rFonts w:ascii="Times New Roman" w:hAnsi="Times New Roman"/>
          <w:lang w:eastAsia="en-AU"/>
        </w:rPr>
        <w:t>on</w:t>
      </w:r>
      <w:r w:rsidR="00305EC4" w:rsidRPr="00483B87">
        <w:rPr>
          <w:rFonts w:ascii="Times New Roman" w:hAnsi="Times New Roman"/>
          <w:lang w:eastAsia="en-AU"/>
        </w:rPr>
        <w:t>,</w:t>
      </w:r>
      <w:r w:rsidR="00434240" w:rsidRPr="00483B87">
        <w:rPr>
          <w:rFonts w:ascii="Times New Roman" w:hAnsi="Times New Roman"/>
          <w:lang w:eastAsia="en-AU"/>
        </w:rPr>
        <w:t xml:space="preserve"> or in</w:t>
      </w:r>
      <w:r w:rsidR="00305EC4" w:rsidRPr="00483B87">
        <w:rPr>
          <w:rFonts w:ascii="Times New Roman" w:hAnsi="Times New Roman"/>
          <w:lang w:eastAsia="en-AU"/>
        </w:rPr>
        <w:t>,</w:t>
      </w:r>
      <w:r w:rsidR="00434240" w:rsidRPr="00483B87">
        <w:rPr>
          <w:rFonts w:ascii="Times New Roman" w:hAnsi="Times New Roman"/>
          <w:lang w:eastAsia="en-AU"/>
        </w:rPr>
        <w:t xml:space="preserve"> part of the helicopter that is not designed for the accommodation of </w:t>
      </w:r>
      <w:r w:rsidR="00E95A95" w:rsidRPr="00483B87">
        <w:rPr>
          <w:rFonts w:ascii="Times New Roman" w:hAnsi="Times New Roman"/>
          <w:lang w:eastAsia="en-AU"/>
        </w:rPr>
        <w:t xml:space="preserve">the </w:t>
      </w:r>
      <w:r w:rsidR="00434240" w:rsidRPr="00483B87">
        <w:rPr>
          <w:rFonts w:ascii="Times New Roman" w:hAnsi="Times New Roman"/>
          <w:lang w:eastAsia="en-AU"/>
        </w:rPr>
        <w:t>crew or passengers, or on</w:t>
      </w:r>
      <w:r w:rsidR="00B43309">
        <w:rPr>
          <w:rFonts w:ascii="Times New Roman" w:hAnsi="Times New Roman"/>
          <w:lang w:eastAsia="en-AU"/>
        </w:rPr>
        <w:t>,</w:t>
      </w:r>
      <w:r w:rsidR="00434240" w:rsidRPr="00483B87">
        <w:rPr>
          <w:rFonts w:ascii="Times New Roman" w:hAnsi="Times New Roman"/>
          <w:lang w:eastAsia="en-AU"/>
        </w:rPr>
        <w:t xml:space="preserve"> or in</w:t>
      </w:r>
      <w:r w:rsidR="00B43309">
        <w:rPr>
          <w:rFonts w:ascii="Times New Roman" w:hAnsi="Times New Roman"/>
          <w:lang w:eastAsia="en-AU"/>
        </w:rPr>
        <w:t>,</w:t>
      </w:r>
      <w:r w:rsidR="00434240" w:rsidRPr="00483B87">
        <w:rPr>
          <w:rFonts w:ascii="Times New Roman" w:hAnsi="Times New Roman"/>
          <w:lang w:eastAsia="en-AU"/>
        </w:rPr>
        <w:t xml:space="preserve"> anything attached to the helicopter</w:t>
      </w:r>
      <w:r w:rsidR="0096799E" w:rsidRPr="00483B87">
        <w:rPr>
          <w:rFonts w:ascii="Times New Roman" w:hAnsi="Times New Roman"/>
          <w:lang w:eastAsia="en-AU"/>
        </w:rPr>
        <w:t>,</w:t>
      </w:r>
      <w:r w:rsidR="00434240" w:rsidRPr="00483B87">
        <w:rPr>
          <w:rFonts w:ascii="Times New Roman" w:hAnsi="Times New Roman"/>
          <w:lang w:eastAsia="en-AU"/>
        </w:rPr>
        <w:t xml:space="preserve"> for the </w:t>
      </w:r>
      <w:r w:rsidRPr="00483B87">
        <w:rPr>
          <w:rFonts w:ascii="Times New Roman" w:hAnsi="Times New Roman"/>
          <w:lang w:eastAsia="en-AU"/>
        </w:rPr>
        <w:t>winching of ATSB personnel dur</w:t>
      </w:r>
      <w:r w:rsidR="00687EDF" w:rsidRPr="00483B87">
        <w:rPr>
          <w:rFonts w:ascii="Times New Roman" w:hAnsi="Times New Roman"/>
          <w:lang w:eastAsia="en-AU"/>
        </w:rPr>
        <w:t>ing an ATSB winching operation.</w:t>
      </w:r>
    </w:p>
    <w:p w14:paraId="2AED311E" w14:textId="77777777" w:rsidR="0096799E" w:rsidRPr="00483B87" w:rsidRDefault="0096799E" w:rsidP="004E4A97">
      <w:pPr>
        <w:rPr>
          <w:rFonts w:ascii="Times New Roman" w:hAnsi="Times New Roman"/>
        </w:rPr>
      </w:pPr>
    </w:p>
    <w:p w14:paraId="68821FBE" w14:textId="27F31D82" w:rsidR="0096799E" w:rsidRPr="00483B87" w:rsidRDefault="0096799E" w:rsidP="004E4A97">
      <w:pPr>
        <w:rPr>
          <w:rFonts w:ascii="Times New Roman" w:hAnsi="Times New Roman"/>
        </w:rPr>
      </w:pPr>
      <w:r w:rsidRPr="00483B87">
        <w:rPr>
          <w:rFonts w:ascii="Times New Roman" w:hAnsi="Times New Roman"/>
        </w:rPr>
        <w:t xml:space="preserve">Section 6 </w:t>
      </w:r>
      <w:r w:rsidR="00865406" w:rsidRPr="00483B87">
        <w:rPr>
          <w:rFonts w:ascii="Times New Roman" w:hAnsi="Times New Roman"/>
        </w:rPr>
        <w:t xml:space="preserve">directs ATSB personnel to wear </w:t>
      </w:r>
      <w:r w:rsidRPr="00483B87">
        <w:rPr>
          <w:rFonts w:ascii="Times New Roman" w:hAnsi="Times New Roman"/>
        </w:rPr>
        <w:t xml:space="preserve">a winchman’s or rescue harness </w:t>
      </w:r>
      <w:r w:rsidR="00F76B31" w:rsidRPr="00483B87">
        <w:rPr>
          <w:rFonts w:ascii="Times New Roman" w:hAnsi="Times New Roman"/>
        </w:rPr>
        <w:t>(that is attached to a dispatcher’s restraint strap</w:t>
      </w:r>
      <w:r w:rsidR="00741CD0">
        <w:rPr>
          <w:rFonts w:ascii="Times New Roman" w:hAnsi="Times New Roman"/>
        </w:rPr>
        <w:t xml:space="preserve"> or to </w:t>
      </w:r>
      <w:r w:rsidR="00741CD0" w:rsidRPr="005B3B01">
        <w:t>the winch or hoist</w:t>
      </w:r>
      <w:r w:rsidR="00F76B31" w:rsidRPr="00483B87">
        <w:rPr>
          <w:rFonts w:ascii="Times New Roman" w:hAnsi="Times New Roman"/>
        </w:rPr>
        <w:t xml:space="preserve">) </w:t>
      </w:r>
      <w:r w:rsidRPr="00483B87">
        <w:rPr>
          <w:rFonts w:ascii="Times New Roman" w:hAnsi="Times New Roman"/>
        </w:rPr>
        <w:t>in place of a seat</w:t>
      </w:r>
      <w:r w:rsidR="001F5B29">
        <w:rPr>
          <w:rFonts w:ascii="Times New Roman" w:hAnsi="Times New Roman"/>
        </w:rPr>
        <w:t xml:space="preserve"> </w:t>
      </w:r>
      <w:r w:rsidRPr="00483B87">
        <w:rPr>
          <w:rFonts w:ascii="Times New Roman" w:hAnsi="Times New Roman"/>
        </w:rPr>
        <w:t>belt during an ATSB winching operation to the extent necessary to winch the personnel to</w:t>
      </w:r>
      <w:r w:rsidR="002771D3">
        <w:rPr>
          <w:rFonts w:ascii="Times New Roman" w:hAnsi="Times New Roman"/>
        </w:rPr>
        <w:t>,</w:t>
      </w:r>
      <w:r w:rsidRPr="00483B87">
        <w:rPr>
          <w:rFonts w:ascii="Times New Roman" w:hAnsi="Times New Roman"/>
        </w:rPr>
        <w:t xml:space="preserve"> or from</w:t>
      </w:r>
      <w:r w:rsidR="002771D3">
        <w:rPr>
          <w:rFonts w:ascii="Times New Roman" w:hAnsi="Times New Roman"/>
        </w:rPr>
        <w:t>,</w:t>
      </w:r>
      <w:r w:rsidRPr="00483B87">
        <w:rPr>
          <w:rFonts w:ascii="Times New Roman" w:hAnsi="Times New Roman"/>
        </w:rPr>
        <w:t xml:space="preserve"> a </w:t>
      </w:r>
      <w:r w:rsidR="005E0A21" w:rsidRPr="00483B87">
        <w:rPr>
          <w:rFonts w:ascii="Times New Roman" w:hAnsi="Times New Roman"/>
        </w:rPr>
        <w:t>relevant helicopter</w:t>
      </w:r>
      <w:r w:rsidRPr="00483B87">
        <w:rPr>
          <w:rFonts w:ascii="Times New Roman" w:hAnsi="Times New Roman"/>
        </w:rPr>
        <w:t xml:space="preserve"> flying at a height of less than 1</w:t>
      </w:r>
      <w:r w:rsidR="00B43309">
        <w:rPr>
          <w:rFonts w:ascii="Times New Roman" w:hAnsi="Times New Roman"/>
        </w:rPr>
        <w:t> </w:t>
      </w:r>
      <w:r w:rsidRPr="00483B87">
        <w:rPr>
          <w:rFonts w:ascii="Times New Roman" w:hAnsi="Times New Roman"/>
        </w:rPr>
        <w:t>000 feet</w:t>
      </w:r>
      <w:r w:rsidR="00BD53D2" w:rsidRPr="00483B87">
        <w:rPr>
          <w:rFonts w:ascii="Times New Roman" w:hAnsi="Times New Roman"/>
        </w:rPr>
        <w:t xml:space="preserve"> above the terrain</w:t>
      </w:r>
      <w:r w:rsidRPr="00483B87">
        <w:rPr>
          <w:rFonts w:ascii="Times New Roman" w:hAnsi="Times New Roman"/>
        </w:rPr>
        <w:t>.</w:t>
      </w:r>
      <w:r w:rsidR="00F76B31" w:rsidRPr="00483B87">
        <w:rPr>
          <w:rFonts w:ascii="Times New Roman" w:hAnsi="Times New Roman"/>
        </w:rPr>
        <w:t xml:space="preserve"> </w:t>
      </w:r>
      <w:r w:rsidR="00DE57CC" w:rsidRPr="00483B87">
        <w:rPr>
          <w:rFonts w:ascii="Times New Roman" w:hAnsi="Times New Roman"/>
        </w:rPr>
        <w:t>The harness and strap must comply with the</w:t>
      </w:r>
      <w:r w:rsidR="00A87AA9" w:rsidRPr="00483B87">
        <w:rPr>
          <w:rFonts w:ascii="Times New Roman" w:hAnsi="Times New Roman"/>
        </w:rPr>
        <w:t xml:space="preserve"> minimum performance standard under the</w:t>
      </w:r>
      <w:r w:rsidR="00DE57CC" w:rsidRPr="00483B87">
        <w:rPr>
          <w:rFonts w:ascii="Times New Roman" w:hAnsi="Times New Roman"/>
        </w:rPr>
        <w:t xml:space="preserve"> relevant </w:t>
      </w:r>
      <w:r w:rsidR="00A87AA9" w:rsidRPr="00483B87">
        <w:rPr>
          <w:rFonts w:ascii="Times New Roman" w:hAnsi="Times New Roman"/>
        </w:rPr>
        <w:t>ATSO.</w:t>
      </w:r>
    </w:p>
    <w:p w14:paraId="3396CD7A" w14:textId="3B558043" w:rsidR="0086199A" w:rsidRPr="00483B87" w:rsidRDefault="0086199A" w:rsidP="004E4A97">
      <w:pPr>
        <w:rPr>
          <w:rFonts w:ascii="Times New Roman" w:hAnsi="Times New Roman"/>
        </w:rPr>
      </w:pPr>
    </w:p>
    <w:p w14:paraId="01D3EFB4" w14:textId="77777777" w:rsidR="0086199A" w:rsidRPr="00483B87" w:rsidRDefault="003D02FE" w:rsidP="00A721AF">
      <w:pPr>
        <w:rPr>
          <w:rFonts w:ascii="Times New Roman" w:hAnsi="Times New Roman"/>
        </w:rPr>
      </w:pPr>
      <w:r w:rsidRPr="00483B87">
        <w:rPr>
          <w:rFonts w:ascii="Times New Roman" w:hAnsi="Times New Roman"/>
        </w:rPr>
        <w:t xml:space="preserve">Section 7 </w:t>
      </w:r>
      <w:r w:rsidR="0086199A" w:rsidRPr="00483B87">
        <w:rPr>
          <w:rFonts w:ascii="Times New Roman" w:hAnsi="Times New Roman"/>
        </w:rPr>
        <w:t>sets out the following exemptions:</w:t>
      </w:r>
    </w:p>
    <w:p w14:paraId="1613F616" w14:textId="08BD6A55" w:rsidR="0086199A" w:rsidRPr="00483B87" w:rsidRDefault="0086199A" w:rsidP="006B672B">
      <w:pPr>
        <w:pStyle w:val="ListParagraph"/>
        <w:numPr>
          <w:ilvl w:val="0"/>
          <w:numId w:val="2"/>
        </w:numPr>
        <w:tabs>
          <w:tab w:val="clear" w:pos="567"/>
          <w:tab w:val="left" w:pos="709"/>
        </w:tabs>
        <w:ind w:left="709" w:right="281" w:hanging="349"/>
        <w:rPr>
          <w:rFonts w:ascii="Times New Roman" w:hAnsi="Times New Roman"/>
        </w:rPr>
      </w:pPr>
      <w:r w:rsidRPr="00483B87">
        <w:rPr>
          <w:rFonts w:ascii="Times New Roman" w:hAnsi="Times New Roman"/>
        </w:rPr>
        <w:t>the crew members and passengers are exempt from compliance with subparagraph</w:t>
      </w:r>
      <w:r w:rsidR="006B672B">
        <w:rPr>
          <w:rFonts w:ascii="Times New Roman" w:hAnsi="Times New Roman"/>
        </w:rPr>
        <w:t> </w:t>
      </w:r>
      <w:r w:rsidRPr="00483B87">
        <w:rPr>
          <w:rFonts w:ascii="Times New Roman" w:hAnsi="Times New Roman"/>
        </w:rPr>
        <w:t>3.1</w:t>
      </w:r>
      <w:r w:rsidR="007E6287">
        <w:rPr>
          <w:rFonts w:ascii="Times New Roman" w:hAnsi="Times New Roman"/>
        </w:rPr>
        <w:t> </w:t>
      </w:r>
      <w:r w:rsidRPr="00483B87">
        <w:rPr>
          <w:rFonts w:ascii="Times New Roman" w:hAnsi="Times New Roman"/>
        </w:rPr>
        <w:t>(c) of CAO 20.16.3</w:t>
      </w:r>
      <w:r w:rsidR="00A87AA9" w:rsidRPr="00483B87">
        <w:rPr>
          <w:rFonts w:ascii="Times New Roman" w:hAnsi="Times New Roman"/>
        </w:rPr>
        <w:t>, a provision that would otherwise require those persons to occupy “a seat of an approved type” at crucial times</w:t>
      </w:r>
      <w:r w:rsidR="00B43309">
        <w:rPr>
          <w:rFonts w:ascii="Times New Roman" w:hAnsi="Times New Roman"/>
        </w:rPr>
        <w:t>,</w:t>
      </w:r>
      <w:r w:rsidR="00A87AA9" w:rsidRPr="00483B87">
        <w:rPr>
          <w:rFonts w:ascii="Times New Roman" w:hAnsi="Times New Roman"/>
        </w:rPr>
        <w:t xml:space="preserve"> including when the helicopter is flying below 1</w:t>
      </w:r>
      <w:r w:rsidR="007E6287">
        <w:rPr>
          <w:rFonts w:ascii="Times New Roman" w:hAnsi="Times New Roman"/>
        </w:rPr>
        <w:t> </w:t>
      </w:r>
      <w:r w:rsidR="00A87AA9" w:rsidRPr="00483B87">
        <w:rPr>
          <w:rFonts w:ascii="Times New Roman" w:hAnsi="Times New Roman"/>
        </w:rPr>
        <w:t>000 feet</w:t>
      </w:r>
    </w:p>
    <w:p w14:paraId="665FC234" w14:textId="6205046A" w:rsidR="0086199A" w:rsidRPr="00483B87" w:rsidRDefault="0086199A" w:rsidP="005B2D15">
      <w:pPr>
        <w:pStyle w:val="ListParagraph"/>
        <w:numPr>
          <w:ilvl w:val="0"/>
          <w:numId w:val="2"/>
        </w:numPr>
        <w:tabs>
          <w:tab w:val="clear" w:pos="567"/>
          <w:tab w:val="left" w:pos="709"/>
        </w:tabs>
        <w:ind w:left="709" w:hanging="349"/>
        <w:rPr>
          <w:rFonts w:ascii="Times New Roman" w:hAnsi="Times New Roman"/>
        </w:rPr>
      </w:pPr>
      <w:r w:rsidRPr="00483B87">
        <w:rPr>
          <w:rFonts w:ascii="Times New Roman" w:hAnsi="Times New Roman"/>
        </w:rPr>
        <w:t>the operator</w:t>
      </w:r>
      <w:r w:rsidR="008D6515">
        <w:rPr>
          <w:rFonts w:ascii="Times New Roman" w:hAnsi="Times New Roman"/>
        </w:rPr>
        <w:t xml:space="preserve">, </w:t>
      </w:r>
      <w:r w:rsidRPr="00483B87">
        <w:rPr>
          <w:rFonts w:ascii="Times New Roman" w:hAnsi="Times New Roman"/>
        </w:rPr>
        <w:t>crew members and passengers are exempt from compliance with paragraph 4.1 of CAO 20.16.3</w:t>
      </w:r>
      <w:r w:rsidR="00A87AA9" w:rsidRPr="00483B87">
        <w:rPr>
          <w:rFonts w:ascii="Times New Roman" w:hAnsi="Times New Roman"/>
        </w:rPr>
        <w:t xml:space="preserve">, a provision that would otherwise require </w:t>
      </w:r>
      <w:r w:rsidR="008D6515">
        <w:rPr>
          <w:rFonts w:ascii="Times New Roman" w:hAnsi="Times New Roman"/>
        </w:rPr>
        <w:t xml:space="preserve">the wearing of </w:t>
      </w:r>
      <w:r w:rsidRPr="00483B87">
        <w:rPr>
          <w:rFonts w:ascii="Times New Roman" w:hAnsi="Times New Roman"/>
        </w:rPr>
        <w:t xml:space="preserve">a safety harness, or a seat belt where a safety harness is not fitted, when the helicopter is flying </w:t>
      </w:r>
      <w:r w:rsidR="00A87AA9" w:rsidRPr="00483B87">
        <w:rPr>
          <w:rFonts w:ascii="Times New Roman" w:hAnsi="Times New Roman"/>
        </w:rPr>
        <w:t>below 1</w:t>
      </w:r>
      <w:r w:rsidR="007E6287">
        <w:rPr>
          <w:rFonts w:ascii="Times New Roman" w:hAnsi="Times New Roman"/>
        </w:rPr>
        <w:t> </w:t>
      </w:r>
      <w:r w:rsidR="00A87AA9" w:rsidRPr="00483B87">
        <w:rPr>
          <w:rFonts w:ascii="Times New Roman" w:hAnsi="Times New Roman"/>
        </w:rPr>
        <w:t>000 feet</w:t>
      </w:r>
    </w:p>
    <w:p w14:paraId="201561B0" w14:textId="2540DCB3" w:rsidR="0086199A" w:rsidRPr="00483B87" w:rsidRDefault="0086199A" w:rsidP="005B2D15">
      <w:pPr>
        <w:pStyle w:val="ListParagraph"/>
        <w:numPr>
          <w:ilvl w:val="0"/>
          <w:numId w:val="2"/>
        </w:numPr>
        <w:tabs>
          <w:tab w:val="clear" w:pos="567"/>
          <w:tab w:val="left" w:pos="709"/>
        </w:tabs>
        <w:ind w:left="709" w:hanging="349"/>
        <w:rPr>
          <w:rFonts w:ascii="Times New Roman" w:hAnsi="Times New Roman"/>
        </w:rPr>
      </w:pPr>
      <w:r w:rsidRPr="00483B87">
        <w:rPr>
          <w:rFonts w:ascii="Times New Roman" w:hAnsi="Times New Roman"/>
        </w:rPr>
        <w:t>the operator and pilot in command are exempt from compliance with paragraph 5.1 of CAO 29.11</w:t>
      </w:r>
      <w:r w:rsidR="00A87AA9" w:rsidRPr="00483B87">
        <w:rPr>
          <w:rFonts w:ascii="Times New Roman" w:hAnsi="Times New Roman"/>
        </w:rPr>
        <w:t xml:space="preserve">, a provision that would otherwise prevent </w:t>
      </w:r>
      <w:r w:rsidRPr="00483B87">
        <w:rPr>
          <w:rFonts w:ascii="Times New Roman" w:hAnsi="Times New Roman"/>
        </w:rPr>
        <w:t xml:space="preserve">ATSB personnel </w:t>
      </w:r>
      <w:r w:rsidR="00A87AA9" w:rsidRPr="00483B87">
        <w:rPr>
          <w:rFonts w:ascii="Times New Roman" w:hAnsi="Times New Roman"/>
        </w:rPr>
        <w:t xml:space="preserve">from </w:t>
      </w:r>
      <w:r w:rsidRPr="00483B87">
        <w:rPr>
          <w:rFonts w:ascii="Times New Roman" w:hAnsi="Times New Roman"/>
        </w:rPr>
        <w:t>access</w:t>
      </w:r>
      <w:r w:rsidR="00A87AA9" w:rsidRPr="00483B87">
        <w:rPr>
          <w:rFonts w:ascii="Times New Roman" w:hAnsi="Times New Roman"/>
        </w:rPr>
        <w:t xml:space="preserve">ing certain </w:t>
      </w:r>
      <w:r w:rsidRPr="00483B87">
        <w:rPr>
          <w:rFonts w:ascii="Times New Roman" w:hAnsi="Times New Roman"/>
        </w:rPr>
        <w:t xml:space="preserve">accident sites </w:t>
      </w:r>
      <w:r w:rsidR="00A87AA9" w:rsidRPr="00483B87">
        <w:rPr>
          <w:rFonts w:ascii="Times New Roman" w:hAnsi="Times New Roman"/>
        </w:rPr>
        <w:t>due to the</w:t>
      </w:r>
      <w:r w:rsidRPr="00483B87">
        <w:rPr>
          <w:rFonts w:ascii="Times New Roman" w:hAnsi="Times New Roman"/>
        </w:rPr>
        <w:t xml:space="preserve"> size of the area and obstructions and hazards within the area.</w:t>
      </w:r>
    </w:p>
    <w:p w14:paraId="3510C88A" w14:textId="77777777" w:rsidR="001377D3" w:rsidRPr="00483B87" w:rsidRDefault="001377D3" w:rsidP="005B2D15">
      <w:pPr>
        <w:rPr>
          <w:rFonts w:ascii="Times New Roman" w:hAnsi="Times New Roman"/>
        </w:rPr>
      </w:pPr>
    </w:p>
    <w:p w14:paraId="525110E1" w14:textId="2AB6519C" w:rsidR="0086199A" w:rsidRPr="00483B87" w:rsidRDefault="007E4AD8" w:rsidP="0086199A">
      <w:pPr>
        <w:rPr>
          <w:rFonts w:ascii="Times New Roman" w:hAnsi="Times New Roman"/>
        </w:rPr>
      </w:pPr>
      <w:r w:rsidRPr="00483B87">
        <w:rPr>
          <w:rFonts w:ascii="Times New Roman" w:hAnsi="Times New Roman"/>
        </w:rPr>
        <w:t>Schedule 1 sets out the conditions of the instrument</w:t>
      </w:r>
      <w:r w:rsidR="00B33AA6">
        <w:rPr>
          <w:rFonts w:ascii="Times New Roman" w:hAnsi="Times New Roman"/>
        </w:rPr>
        <w:t xml:space="preserve">. </w:t>
      </w:r>
      <w:r w:rsidR="0086199A" w:rsidRPr="00483B87">
        <w:rPr>
          <w:rFonts w:ascii="Times New Roman" w:hAnsi="Times New Roman"/>
        </w:rPr>
        <w:t xml:space="preserve">The pilot in command and the operator of the helicopter must, when operating under the </w:t>
      </w:r>
      <w:r w:rsidR="00BD79C7" w:rsidRPr="00483B87">
        <w:rPr>
          <w:rFonts w:ascii="Times New Roman" w:hAnsi="Times New Roman"/>
        </w:rPr>
        <w:t xml:space="preserve">authorisation, permission or </w:t>
      </w:r>
      <w:r w:rsidR="0086199A" w:rsidRPr="00483B87">
        <w:rPr>
          <w:rFonts w:ascii="Times New Roman" w:hAnsi="Times New Roman"/>
        </w:rPr>
        <w:t>exemptions</w:t>
      </w:r>
      <w:r w:rsidR="00BD79C7" w:rsidRPr="00483B87">
        <w:rPr>
          <w:rFonts w:ascii="Times New Roman" w:hAnsi="Times New Roman"/>
        </w:rPr>
        <w:t xml:space="preserve"> in the instrument</w:t>
      </w:r>
      <w:r w:rsidR="0086199A" w:rsidRPr="00483B87">
        <w:rPr>
          <w:rFonts w:ascii="Times New Roman" w:hAnsi="Times New Roman"/>
        </w:rPr>
        <w:t xml:space="preserve">, comply with the conditions </w:t>
      </w:r>
      <w:r w:rsidR="00A87AA9" w:rsidRPr="00483B87">
        <w:rPr>
          <w:rFonts w:ascii="Times New Roman" w:hAnsi="Times New Roman"/>
        </w:rPr>
        <w:t xml:space="preserve">that restrict </w:t>
      </w:r>
      <w:r w:rsidR="0086199A" w:rsidRPr="00483B87">
        <w:rPr>
          <w:rFonts w:ascii="Times New Roman" w:hAnsi="Times New Roman"/>
        </w:rPr>
        <w:t xml:space="preserve">carriage to ATSB personnel and operating crew, and </w:t>
      </w:r>
      <w:r w:rsidR="00A87AA9" w:rsidRPr="00483B87">
        <w:rPr>
          <w:rFonts w:ascii="Times New Roman" w:hAnsi="Times New Roman"/>
        </w:rPr>
        <w:t xml:space="preserve">prohibit </w:t>
      </w:r>
      <w:r w:rsidR="0086199A" w:rsidRPr="00483B87">
        <w:rPr>
          <w:rFonts w:ascii="Times New Roman" w:hAnsi="Times New Roman"/>
        </w:rPr>
        <w:t>winching over an accident site if the site can reasonably be accessed from a lawful helicopter landing site</w:t>
      </w:r>
      <w:r w:rsidR="00B33AA6">
        <w:rPr>
          <w:rFonts w:ascii="Times New Roman" w:hAnsi="Times New Roman"/>
        </w:rPr>
        <w:t xml:space="preserve">. </w:t>
      </w:r>
      <w:r w:rsidR="0086199A" w:rsidRPr="00483B87">
        <w:rPr>
          <w:rFonts w:ascii="Times New Roman" w:hAnsi="Times New Roman"/>
        </w:rPr>
        <w:t>The conditions also require the operator to conduct a pre-flight risk assessment and related mitigation process</w:t>
      </w:r>
      <w:r w:rsidR="00A87AA9" w:rsidRPr="00483B87">
        <w:rPr>
          <w:rFonts w:ascii="Times New Roman" w:hAnsi="Times New Roman"/>
        </w:rPr>
        <w:t>es</w:t>
      </w:r>
      <w:r w:rsidR="0086199A" w:rsidRPr="00483B87">
        <w:rPr>
          <w:rFonts w:ascii="Times New Roman" w:hAnsi="Times New Roman"/>
        </w:rPr>
        <w:t xml:space="preserve"> for the operation before conducting an ATSB winching operation.</w:t>
      </w:r>
    </w:p>
    <w:bookmarkEnd w:id="3"/>
    <w:p w14:paraId="50FD65EF" w14:textId="243C670E" w:rsidR="0086199A" w:rsidRPr="00483B87" w:rsidRDefault="0086199A" w:rsidP="0086199A">
      <w:pPr>
        <w:rPr>
          <w:rFonts w:ascii="Times New Roman" w:hAnsi="Times New Roman"/>
        </w:rPr>
      </w:pPr>
    </w:p>
    <w:p w14:paraId="5FB578AA" w14:textId="3EAC2BA4" w:rsidR="00E119C3" w:rsidRPr="00276246" w:rsidRDefault="00E119C3" w:rsidP="00090597">
      <w:pPr>
        <w:rPr>
          <w:rFonts w:ascii="Times New Roman" w:hAnsi="Times New Roman"/>
          <w:b/>
          <w:iCs/>
        </w:rPr>
      </w:pPr>
      <w:r w:rsidRPr="00093FE7">
        <w:rPr>
          <w:rFonts w:ascii="Times New Roman" w:hAnsi="Times New Roman"/>
          <w:b/>
          <w:i/>
        </w:rPr>
        <w:t>Legislati</w:t>
      </w:r>
      <w:r w:rsidR="001344C9">
        <w:rPr>
          <w:rFonts w:ascii="Times New Roman" w:hAnsi="Times New Roman"/>
          <w:b/>
          <w:i/>
        </w:rPr>
        <w:t xml:space="preserve">on Act </w:t>
      </w:r>
      <w:r w:rsidRPr="00093FE7">
        <w:rPr>
          <w:rFonts w:ascii="Times New Roman" w:hAnsi="Times New Roman"/>
          <w:b/>
          <w:i/>
        </w:rPr>
        <w:t>2003</w:t>
      </w:r>
    </w:p>
    <w:p w14:paraId="6BE4B577" w14:textId="77777777" w:rsidR="00BC487D" w:rsidRDefault="009A7157" w:rsidP="00747B12">
      <w:pPr>
        <w:tabs>
          <w:tab w:val="left" w:pos="1134"/>
          <w:tab w:val="left" w:pos="1701"/>
          <w:tab w:val="left" w:pos="2268"/>
          <w:tab w:val="left" w:pos="2835"/>
          <w:tab w:val="left" w:pos="3402"/>
        </w:tabs>
        <w:rPr>
          <w:rFonts w:ascii="Times New Roman" w:hAnsi="Times New Roman"/>
        </w:rPr>
      </w:pPr>
      <w:r>
        <w:rPr>
          <w:rFonts w:ascii="Times New Roman" w:hAnsi="Times New Roman"/>
        </w:rPr>
        <w:t>Paragraph 98</w:t>
      </w:r>
      <w:r w:rsidR="007E6287">
        <w:rPr>
          <w:rFonts w:ascii="Times New Roman" w:hAnsi="Times New Roman"/>
        </w:rPr>
        <w:t> </w:t>
      </w:r>
      <w:r>
        <w:rPr>
          <w:rFonts w:ascii="Times New Roman" w:hAnsi="Times New Roman"/>
        </w:rPr>
        <w:t>(5A)</w:t>
      </w:r>
      <w:r w:rsidR="007E6287">
        <w:rPr>
          <w:rFonts w:ascii="Times New Roman" w:hAnsi="Times New Roman"/>
        </w:rPr>
        <w:t> </w:t>
      </w:r>
      <w:r>
        <w:rPr>
          <w:rFonts w:ascii="Times New Roman" w:hAnsi="Times New Roman"/>
        </w:rPr>
        <w:t xml:space="preserve">(a) of the </w:t>
      </w:r>
      <w:r w:rsidR="00076D3D" w:rsidRPr="005B2D15">
        <w:rPr>
          <w:rFonts w:ascii="Times New Roman" w:hAnsi="Times New Roman"/>
        </w:rPr>
        <w:t xml:space="preserve">Act </w:t>
      </w:r>
      <w:r>
        <w:rPr>
          <w:rFonts w:ascii="Times New Roman" w:hAnsi="Times New Roman"/>
        </w:rPr>
        <w:t>states that CASA may issue instruments in relation to matters affecting the safe navigation and operation, or the maintenance, of aircraft. P</w:t>
      </w:r>
      <w:r w:rsidR="001344C9">
        <w:rPr>
          <w:rFonts w:ascii="Times New Roman" w:hAnsi="Times New Roman"/>
        </w:rPr>
        <w:t>aragraph</w:t>
      </w:r>
      <w:r w:rsidR="00A54868">
        <w:rPr>
          <w:rFonts w:ascii="Times New Roman" w:hAnsi="Times New Roman"/>
        </w:rPr>
        <w:t> </w:t>
      </w:r>
      <w:r w:rsidR="001344C9">
        <w:rPr>
          <w:rFonts w:ascii="Times New Roman" w:hAnsi="Times New Roman"/>
        </w:rPr>
        <w:t>98</w:t>
      </w:r>
      <w:r w:rsidR="007E6287">
        <w:rPr>
          <w:rFonts w:ascii="Times New Roman" w:hAnsi="Times New Roman"/>
        </w:rPr>
        <w:t> </w:t>
      </w:r>
      <w:r w:rsidR="001344C9">
        <w:rPr>
          <w:rFonts w:ascii="Times New Roman" w:hAnsi="Times New Roman"/>
        </w:rPr>
        <w:t>(5A</w:t>
      </w:r>
      <w:r>
        <w:rPr>
          <w:rFonts w:ascii="Times New Roman" w:hAnsi="Times New Roman"/>
        </w:rPr>
        <w:t>A</w:t>
      </w:r>
      <w:r w:rsidR="001344C9">
        <w:rPr>
          <w:rFonts w:ascii="Times New Roman" w:hAnsi="Times New Roman"/>
        </w:rPr>
        <w:t>)</w:t>
      </w:r>
      <w:r w:rsidR="007E6287">
        <w:rPr>
          <w:rFonts w:ascii="Times New Roman" w:hAnsi="Times New Roman"/>
        </w:rPr>
        <w:t> </w:t>
      </w:r>
      <w:r w:rsidR="001344C9">
        <w:rPr>
          <w:rFonts w:ascii="Times New Roman" w:hAnsi="Times New Roman"/>
        </w:rPr>
        <w:t>(a) provides that an instrument issued under paragraph</w:t>
      </w:r>
      <w:r w:rsidR="00764CE9">
        <w:rPr>
          <w:rFonts w:ascii="Times New Roman" w:hAnsi="Times New Roman"/>
        </w:rPr>
        <w:t xml:space="preserve"> </w:t>
      </w:r>
      <w:r w:rsidR="001344C9">
        <w:rPr>
          <w:rFonts w:ascii="Times New Roman" w:hAnsi="Times New Roman"/>
        </w:rPr>
        <w:t>98</w:t>
      </w:r>
      <w:r w:rsidR="007E6287">
        <w:rPr>
          <w:rFonts w:ascii="Times New Roman" w:hAnsi="Times New Roman"/>
        </w:rPr>
        <w:t> </w:t>
      </w:r>
      <w:r w:rsidR="001344C9">
        <w:rPr>
          <w:rFonts w:ascii="Times New Roman" w:hAnsi="Times New Roman"/>
        </w:rPr>
        <w:t>(5A)</w:t>
      </w:r>
      <w:r w:rsidR="007E6287">
        <w:rPr>
          <w:rFonts w:ascii="Times New Roman" w:hAnsi="Times New Roman"/>
        </w:rPr>
        <w:t> </w:t>
      </w:r>
      <w:r w:rsidR="001344C9">
        <w:rPr>
          <w:rFonts w:ascii="Times New Roman" w:hAnsi="Times New Roman"/>
        </w:rPr>
        <w:t xml:space="preserve">(a) is a legislative instrument if the instrument is expressed to apply in relation to a class of persons. </w:t>
      </w:r>
      <w:bookmarkStart w:id="4" w:name="_Hlk69985156"/>
      <w:r w:rsidR="00747B12">
        <w:rPr>
          <w:rFonts w:ascii="Times New Roman" w:hAnsi="Times New Roman"/>
        </w:rPr>
        <w:t xml:space="preserve">The </w:t>
      </w:r>
      <w:r w:rsidR="00117682">
        <w:rPr>
          <w:rFonts w:ascii="Times New Roman" w:hAnsi="Times New Roman"/>
        </w:rPr>
        <w:t xml:space="preserve">authorisation, permission, exemptions, directions and conditions in the </w:t>
      </w:r>
      <w:r w:rsidR="00747B12">
        <w:rPr>
          <w:rFonts w:ascii="Times New Roman" w:hAnsi="Times New Roman"/>
        </w:rPr>
        <w:t xml:space="preserve">instrument </w:t>
      </w:r>
      <w:r w:rsidR="001C3F62">
        <w:rPr>
          <w:rFonts w:ascii="Times New Roman" w:hAnsi="Times New Roman"/>
        </w:rPr>
        <w:lastRenderedPageBreak/>
        <w:t>expressly appl</w:t>
      </w:r>
      <w:r w:rsidR="00117682">
        <w:rPr>
          <w:rFonts w:ascii="Times New Roman" w:hAnsi="Times New Roman"/>
        </w:rPr>
        <w:t>y</w:t>
      </w:r>
      <w:r w:rsidR="001C3F62">
        <w:rPr>
          <w:rFonts w:ascii="Times New Roman" w:hAnsi="Times New Roman"/>
        </w:rPr>
        <w:t xml:space="preserve"> </w:t>
      </w:r>
      <w:r w:rsidR="00117682">
        <w:rPr>
          <w:rFonts w:ascii="Times New Roman" w:hAnsi="Times New Roman"/>
        </w:rPr>
        <w:t xml:space="preserve">(variously) </w:t>
      </w:r>
      <w:r w:rsidR="001C3F62">
        <w:rPr>
          <w:rFonts w:ascii="Times New Roman" w:hAnsi="Times New Roman"/>
        </w:rPr>
        <w:t xml:space="preserve">in relation to operators, </w:t>
      </w:r>
      <w:r w:rsidR="00747B12">
        <w:rPr>
          <w:rFonts w:ascii="Times New Roman" w:hAnsi="Times New Roman"/>
        </w:rPr>
        <w:t>pilots in command</w:t>
      </w:r>
      <w:r w:rsidR="001C3F62">
        <w:rPr>
          <w:rFonts w:ascii="Times New Roman" w:hAnsi="Times New Roman"/>
        </w:rPr>
        <w:t xml:space="preserve">, </w:t>
      </w:r>
      <w:r w:rsidR="00FB45DD">
        <w:rPr>
          <w:rFonts w:ascii="Times New Roman" w:hAnsi="Times New Roman"/>
        </w:rPr>
        <w:t xml:space="preserve">crew members and passengers of relevant helicopters </w:t>
      </w:r>
      <w:r w:rsidR="00747B12">
        <w:rPr>
          <w:rFonts w:ascii="Times New Roman" w:hAnsi="Times New Roman"/>
        </w:rPr>
        <w:t xml:space="preserve">during </w:t>
      </w:r>
      <w:r w:rsidR="00FB45DD">
        <w:rPr>
          <w:rFonts w:ascii="Times New Roman" w:hAnsi="Times New Roman"/>
        </w:rPr>
        <w:t>ATSB winching operations.</w:t>
      </w:r>
      <w:r w:rsidR="00747B12">
        <w:rPr>
          <w:rFonts w:ascii="Times New Roman" w:hAnsi="Times New Roman"/>
        </w:rPr>
        <w:t xml:space="preserve"> </w:t>
      </w:r>
      <w:r w:rsidR="00FB45DD">
        <w:rPr>
          <w:rFonts w:ascii="Times New Roman" w:hAnsi="Times New Roman"/>
        </w:rPr>
        <w:t>These are classes of persons</w:t>
      </w:r>
      <w:bookmarkEnd w:id="4"/>
      <w:r w:rsidR="00BC487D">
        <w:rPr>
          <w:rFonts w:ascii="Times New Roman" w:hAnsi="Times New Roman"/>
        </w:rPr>
        <w:t>.</w:t>
      </w:r>
    </w:p>
    <w:p w14:paraId="4D701FAE" w14:textId="6A76D560" w:rsidR="00FB45DD" w:rsidRDefault="00FB45DD" w:rsidP="00747B12">
      <w:pPr>
        <w:tabs>
          <w:tab w:val="left" w:pos="1134"/>
          <w:tab w:val="left" w:pos="1701"/>
          <w:tab w:val="left" w:pos="2268"/>
          <w:tab w:val="left" w:pos="2835"/>
          <w:tab w:val="left" w:pos="3402"/>
        </w:tabs>
        <w:rPr>
          <w:rFonts w:ascii="Times New Roman" w:hAnsi="Times New Roman"/>
        </w:rPr>
      </w:pPr>
    </w:p>
    <w:p w14:paraId="4FE2EB4C" w14:textId="1AF1E879" w:rsidR="00747B12" w:rsidRDefault="00747B12" w:rsidP="00747B12">
      <w:pPr>
        <w:tabs>
          <w:tab w:val="left" w:pos="1134"/>
          <w:tab w:val="left" w:pos="1701"/>
          <w:tab w:val="left" w:pos="2268"/>
          <w:tab w:val="left" w:pos="2835"/>
          <w:tab w:val="left" w:pos="3402"/>
        </w:tabs>
        <w:rPr>
          <w:rFonts w:ascii="Times New Roman" w:hAnsi="Times New Roman"/>
        </w:rPr>
      </w:pPr>
      <w:r>
        <w:rPr>
          <w:rFonts w:ascii="Times New Roman" w:hAnsi="Times New Roman"/>
        </w:rPr>
        <w:t>The instrument is</w:t>
      </w:r>
      <w:r w:rsidR="00417C92">
        <w:rPr>
          <w:rFonts w:ascii="Times New Roman" w:hAnsi="Times New Roman"/>
        </w:rPr>
        <w:t>,</w:t>
      </w:r>
      <w:r>
        <w:rPr>
          <w:rFonts w:ascii="Times New Roman" w:hAnsi="Times New Roman"/>
        </w:rPr>
        <w:t xml:space="preserve"> </w:t>
      </w:r>
      <w:r w:rsidR="001344C9">
        <w:rPr>
          <w:rFonts w:ascii="Times New Roman" w:hAnsi="Times New Roman"/>
        </w:rPr>
        <w:t>therefore</w:t>
      </w:r>
      <w:r w:rsidR="00417C92">
        <w:rPr>
          <w:rFonts w:ascii="Times New Roman" w:hAnsi="Times New Roman"/>
        </w:rPr>
        <w:t>,</w:t>
      </w:r>
      <w:r w:rsidR="001344C9">
        <w:rPr>
          <w:rFonts w:ascii="Times New Roman" w:hAnsi="Times New Roman"/>
        </w:rPr>
        <w:t xml:space="preserve"> </w:t>
      </w:r>
      <w:r w:rsidR="009A7157">
        <w:rPr>
          <w:rFonts w:ascii="Times New Roman" w:hAnsi="Times New Roman"/>
        </w:rPr>
        <w:t xml:space="preserve">a legislative instrument and </w:t>
      </w:r>
      <w:r w:rsidR="001344C9" w:rsidRPr="00593575">
        <w:rPr>
          <w:rFonts w:ascii="Times New Roman" w:hAnsi="Times New Roman"/>
        </w:rPr>
        <w:t xml:space="preserve">subject to tabling and disallowance in the Parliament under sections 38 and 42 of the </w:t>
      </w:r>
      <w:r w:rsidR="001344C9">
        <w:rPr>
          <w:rFonts w:ascii="Times New Roman" w:hAnsi="Times New Roman"/>
        </w:rPr>
        <w:t>LA.</w:t>
      </w:r>
    </w:p>
    <w:p w14:paraId="4F699EC5" w14:textId="77777777" w:rsidR="006F47EF" w:rsidRPr="00E119C3" w:rsidRDefault="006F47EF" w:rsidP="00C43992">
      <w:pPr>
        <w:tabs>
          <w:tab w:val="clear" w:pos="567"/>
        </w:tabs>
        <w:overflowPunct/>
        <w:autoSpaceDE/>
        <w:autoSpaceDN/>
        <w:adjustRightInd/>
        <w:textAlignment w:val="auto"/>
        <w:rPr>
          <w:rFonts w:ascii="Times New Roman" w:hAnsi="Times New Roman"/>
          <w:iCs/>
        </w:rPr>
      </w:pPr>
    </w:p>
    <w:p w14:paraId="21FCD571" w14:textId="77777777" w:rsidR="00EC59C9" w:rsidRPr="00E119C3" w:rsidRDefault="00EC59C9" w:rsidP="00C43992">
      <w:pPr>
        <w:tabs>
          <w:tab w:val="clear" w:pos="567"/>
        </w:tabs>
        <w:overflowPunct/>
        <w:autoSpaceDE/>
        <w:autoSpaceDN/>
        <w:adjustRightInd/>
        <w:textAlignment w:val="auto"/>
        <w:rPr>
          <w:rFonts w:ascii="Times New Roman" w:hAnsi="Times New Roman"/>
          <w:b/>
        </w:rPr>
      </w:pPr>
      <w:r w:rsidRPr="00400186">
        <w:rPr>
          <w:rFonts w:ascii="Times New Roman" w:hAnsi="Times New Roman"/>
          <w:b/>
        </w:rPr>
        <w:t>Consultation</w:t>
      </w:r>
    </w:p>
    <w:p w14:paraId="7B951CC6" w14:textId="2C364EA1" w:rsidR="00E5381E" w:rsidRPr="00E119C3" w:rsidRDefault="00967470" w:rsidP="00C43992">
      <w:pPr>
        <w:tabs>
          <w:tab w:val="clear" w:pos="567"/>
        </w:tabs>
        <w:overflowPunct/>
        <w:autoSpaceDE/>
        <w:autoSpaceDN/>
        <w:adjustRightInd/>
        <w:textAlignment w:val="auto"/>
        <w:rPr>
          <w:rFonts w:ascii="Times New Roman" w:hAnsi="Times New Roman"/>
          <w:iCs/>
        </w:rPr>
      </w:pPr>
      <w:r w:rsidRPr="00E119C3">
        <w:rPr>
          <w:rFonts w:ascii="Times New Roman" w:hAnsi="Times New Roman"/>
          <w:iCs/>
        </w:rPr>
        <w:t xml:space="preserve">The instrument is required to assist in transport accident investigations by ATSB. </w:t>
      </w:r>
      <w:r w:rsidR="009E7695">
        <w:rPr>
          <w:rFonts w:ascii="Times New Roman" w:hAnsi="Times New Roman"/>
          <w:iCs/>
        </w:rPr>
        <w:t xml:space="preserve">ATSB </w:t>
      </w:r>
      <w:r w:rsidR="00E119C3">
        <w:rPr>
          <w:rFonts w:ascii="Times New Roman" w:hAnsi="Times New Roman"/>
          <w:iCs/>
        </w:rPr>
        <w:t>has requested th</w:t>
      </w:r>
      <w:r>
        <w:rPr>
          <w:rFonts w:ascii="Times New Roman" w:hAnsi="Times New Roman"/>
          <w:iCs/>
        </w:rPr>
        <w:t>e</w:t>
      </w:r>
      <w:r w:rsidR="00E119C3">
        <w:rPr>
          <w:rFonts w:ascii="Times New Roman" w:hAnsi="Times New Roman"/>
          <w:iCs/>
        </w:rPr>
        <w:t xml:space="preserve"> instrument</w:t>
      </w:r>
      <w:r>
        <w:rPr>
          <w:rFonts w:ascii="Times New Roman" w:hAnsi="Times New Roman"/>
          <w:iCs/>
        </w:rPr>
        <w:t xml:space="preserve"> and </w:t>
      </w:r>
      <w:r w:rsidR="00FB45DD">
        <w:rPr>
          <w:rFonts w:ascii="Times New Roman" w:hAnsi="Times New Roman"/>
          <w:iCs/>
        </w:rPr>
        <w:t xml:space="preserve">has provided </w:t>
      </w:r>
      <w:r>
        <w:rPr>
          <w:rFonts w:ascii="Times New Roman" w:hAnsi="Times New Roman"/>
          <w:iCs/>
        </w:rPr>
        <w:t>comment</w:t>
      </w:r>
      <w:r w:rsidR="00FB45DD">
        <w:rPr>
          <w:rFonts w:ascii="Times New Roman" w:hAnsi="Times New Roman"/>
          <w:iCs/>
        </w:rPr>
        <w:t>s</w:t>
      </w:r>
      <w:r>
        <w:rPr>
          <w:rFonts w:ascii="Times New Roman" w:hAnsi="Times New Roman"/>
          <w:iCs/>
        </w:rPr>
        <w:t xml:space="preserve"> on </w:t>
      </w:r>
      <w:r w:rsidR="00FB45DD">
        <w:rPr>
          <w:rFonts w:ascii="Times New Roman" w:hAnsi="Times New Roman"/>
          <w:iCs/>
        </w:rPr>
        <w:t>a previous similar</w:t>
      </w:r>
      <w:r w:rsidR="0020655D">
        <w:rPr>
          <w:rFonts w:ascii="Times New Roman" w:hAnsi="Times New Roman"/>
          <w:iCs/>
        </w:rPr>
        <w:t xml:space="preserve"> </w:t>
      </w:r>
      <w:r w:rsidR="009E7695">
        <w:rPr>
          <w:rFonts w:ascii="Times New Roman" w:hAnsi="Times New Roman"/>
          <w:iCs/>
        </w:rPr>
        <w:t>instrument</w:t>
      </w:r>
      <w:r w:rsidR="00E03F13">
        <w:rPr>
          <w:rFonts w:ascii="Times New Roman" w:hAnsi="Times New Roman"/>
          <w:iCs/>
        </w:rPr>
        <w:t xml:space="preserve">. </w:t>
      </w:r>
      <w:r w:rsidR="004328AA">
        <w:rPr>
          <w:rFonts w:ascii="Times New Roman" w:hAnsi="Times New Roman"/>
          <w:iCs/>
        </w:rPr>
        <w:t>H</w:t>
      </w:r>
      <w:r w:rsidR="00E26D33">
        <w:rPr>
          <w:rFonts w:ascii="Times New Roman" w:hAnsi="Times New Roman"/>
          <w:iCs/>
        </w:rPr>
        <w:t>elicopter operators and pilots</w:t>
      </w:r>
      <w:r w:rsidR="004328AA">
        <w:rPr>
          <w:rFonts w:ascii="Times New Roman" w:hAnsi="Times New Roman"/>
          <w:iCs/>
        </w:rPr>
        <w:t xml:space="preserve"> (</w:t>
      </w:r>
      <w:r w:rsidR="00A721AF">
        <w:rPr>
          <w:rFonts w:ascii="Times New Roman" w:hAnsi="Times New Roman"/>
          <w:iCs/>
        </w:rPr>
        <w:t xml:space="preserve">the persons </w:t>
      </w:r>
      <w:r w:rsidR="00FB45DD">
        <w:rPr>
          <w:rFonts w:ascii="Times New Roman" w:hAnsi="Times New Roman"/>
          <w:iCs/>
        </w:rPr>
        <w:t xml:space="preserve">principally </w:t>
      </w:r>
      <w:r w:rsidR="00A721AF">
        <w:rPr>
          <w:rFonts w:ascii="Times New Roman" w:hAnsi="Times New Roman"/>
          <w:iCs/>
        </w:rPr>
        <w:t>affected by the instrument</w:t>
      </w:r>
      <w:r w:rsidR="004328AA">
        <w:rPr>
          <w:rFonts w:ascii="Times New Roman" w:hAnsi="Times New Roman"/>
          <w:iCs/>
        </w:rPr>
        <w:t xml:space="preserve">) </w:t>
      </w:r>
      <w:r w:rsidR="00A721AF">
        <w:rPr>
          <w:rFonts w:ascii="Times New Roman" w:hAnsi="Times New Roman"/>
          <w:iCs/>
        </w:rPr>
        <w:t xml:space="preserve">have </w:t>
      </w:r>
      <w:r w:rsidR="00611E9D">
        <w:rPr>
          <w:rFonts w:ascii="Times New Roman" w:hAnsi="Times New Roman"/>
          <w:iCs/>
        </w:rPr>
        <w:t xml:space="preserve">also </w:t>
      </w:r>
      <w:r w:rsidR="00A721AF">
        <w:rPr>
          <w:rFonts w:ascii="Times New Roman" w:hAnsi="Times New Roman"/>
          <w:iCs/>
        </w:rPr>
        <w:t xml:space="preserve">operated under </w:t>
      </w:r>
      <w:r w:rsidR="00E26D33">
        <w:rPr>
          <w:rFonts w:ascii="Times New Roman" w:hAnsi="Times New Roman"/>
          <w:iCs/>
        </w:rPr>
        <w:t xml:space="preserve">earlier </w:t>
      </w:r>
      <w:r w:rsidR="00FB45DD">
        <w:rPr>
          <w:rFonts w:ascii="Times New Roman" w:hAnsi="Times New Roman"/>
          <w:iCs/>
        </w:rPr>
        <w:t xml:space="preserve">similar </w:t>
      </w:r>
      <w:r w:rsidR="00E26D33">
        <w:rPr>
          <w:rFonts w:ascii="Times New Roman" w:hAnsi="Times New Roman"/>
          <w:iCs/>
        </w:rPr>
        <w:t>instrument</w:t>
      </w:r>
      <w:r w:rsidR="00FB45DD">
        <w:rPr>
          <w:rFonts w:ascii="Times New Roman" w:hAnsi="Times New Roman"/>
          <w:iCs/>
        </w:rPr>
        <w:t>s</w:t>
      </w:r>
      <w:r w:rsidR="00E3431D">
        <w:rPr>
          <w:rFonts w:ascii="Times New Roman" w:hAnsi="Times New Roman"/>
          <w:iCs/>
        </w:rPr>
        <w:t xml:space="preserve"> </w:t>
      </w:r>
      <w:r w:rsidR="002F1F63">
        <w:rPr>
          <w:rFonts w:ascii="Times New Roman" w:hAnsi="Times New Roman"/>
          <w:iCs/>
        </w:rPr>
        <w:t>and the instrument does not substantially alter the existing arrangements</w:t>
      </w:r>
      <w:r w:rsidR="004328AA">
        <w:rPr>
          <w:rFonts w:ascii="Times New Roman" w:hAnsi="Times New Roman"/>
          <w:iCs/>
        </w:rPr>
        <w:t xml:space="preserve"> other than to </w:t>
      </w:r>
      <w:r w:rsidR="00FB45DD">
        <w:rPr>
          <w:rFonts w:ascii="Times New Roman" w:hAnsi="Times New Roman"/>
          <w:iCs/>
        </w:rPr>
        <w:t>afford them with a further exemption from seating and seat</w:t>
      </w:r>
      <w:r w:rsidR="001F5B29">
        <w:rPr>
          <w:rFonts w:ascii="Times New Roman" w:hAnsi="Times New Roman"/>
          <w:iCs/>
        </w:rPr>
        <w:t xml:space="preserve"> </w:t>
      </w:r>
      <w:r w:rsidR="00FB45DD">
        <w:rPr>
          <w:rFonts w:ascii="Times New Roman" w:hAnsi="Times New Roman"/>
          <w:iCs/>
        </w:rPr>
        <w:t>belt-wearing re</w:t>
      </w:r>
      <w:r w:rsidR="004328AA">
        <w:rPr>
          <w:rFonts w:ascii="Times New Roman" w:hAnsi="Times New Roman"/>
          <w:iCs/>
        </w:rPr>
        <w:t>quire</w:t>
      </w:r>
      <w:r w:rsidR="00FB45DD">
        <w:rPr>
          <w:rFonts w:ascii="Times New Roman" w:hAnsi="Times New Roman"/>
          <w:iCs/>
        </w:rPr>
        <w:t>ments under CAO 20.16.3 for the sake of certainty and completeness</w:t>
      </w:r>
      <w:r w:rsidR="00B33AA6">
        <w:rPr>
          <w:rFonts w:ascii="Times New Roman" w:hAnsi="Times New Roman"/>
          <w:iCs/>
        </w:rPr>
        <w:t xml:space="preserve">. </w:t>
      </w:r>
      <w:r w:rsidR="004328AA">
        <w:rPr>
          <w:rFonts w:ascii="Times New Roman" w:hAnsi="Times New Roman"/>
          <w:iCs/>
        </w:rPr>
        <w:t xml:space="preserve">In these circumstances, </w:t>
      </w:r>
      <w:r w:rsidR="00E119C3">
        <w:rPr>
          <w:rFonts w:ascii="Times New Roman" w:hAnsi="Times New Roman"/>
          <w:iCs/>
          <w:color w:val="000000"/>
          <w:lang w:eastAsia="en-AU"/>
        </w:rPr>
        <w:t>CASA considers that no fur</w:t>
      </w:r>
      <w:r>
        <w:rPr>
          <w:rFonts w:ascii="Times New Roman" w:hAnsi="Times New Roman"/>
          <w:iCs/>
          <w:color w:val="000000"/>
          <w:lang w:eastAsia="en-AU"/>
        </w:rPr>
        <w:t>ther consultation under section</w:t>
      </w:r>
      <w:r w:rsidR="00A54868">
        <w:rPr>
          <w:rFonts w:ascii="Times New Roman" w:hAnsi="Times New Roman"/>
          <w:iCs/>
          <w:color w:val="000000"/>
          <w:lang w:eastAsia="en-AU"/>
        </w:rPr>
        <w:t xml:space="preserve"> </w:t>
      </w:r>
      <w:r w:rsidR="00E119C3">
        <w:rPr>
          <w:rFonts w:ascii="Times New Roman" w:hAnsi="Times New Roman"/>
          <w:iCs/>
          <w:color w:val="000000"/>
          <w:lang w:eastAsia="en-AU"/>
        </w:rPr>
        <w:t>17 of the LA is appropriate or necessary.</w:t>
      </w:r>
    </w:p>
    <w:p w14:paraId="227DD822" w14:textId="77777777" w:rsidR="00E5381E" w:rsidRPr="00E119C3" w:rsidRDefault="00E5381E" w:rsidP="00C43992">
      <w:pPr>
        <w:tabs>
          <w:tab w:val="clear" w:pos="567"/>
        </w:tabs>
        <w:overflowPunct/>
        <w:autoSpaceDE/>
        <w:autoSpaceDN/>
        <w:adjustRightInd/>
        <w:textAlignment w:val="auto"/>
        <w:rPr>
          <w:rFonts w:ascii="Times New Roman" w:hAnsi="Times New Roman"/>
          <w:iCs/>
        </w:rPr>
      </w:pPr>
    </w:p>
    <w:p w14:paraId="50D96219" w14:textId="77777777" w:rsidR="00E119C3" w:rsidRPr="00400186" w:rsidRDefault="00E119C3" w:rsidP="00400186">
      <w:pPr>
        <w:pStyle w:val="Default"/>
        <w:rPr>
          <w:b/>
          <w:bCs/>
        </w:rPr>
      </w:pPr>
      <w:r w:rsidRPr="00400186">
        <w:rPr>
          <w:b/>
          <w:bCs/>
        </w:rPr>
        <w:t>Office of Best Practice Regulation (</w:t>
      </w:r>
      <w:r w:rsidRPr="00400186">
        <w:rPr>
          <w:b/>
          <w:bCs/>
          <w:i/>
          <w:iCs/>
        </w:rPr>
        <w:t>OBPR</w:t>
      </w:r>
      <w:r w:rsidRPr="00400186">
        <w:rPr>
          <w:b/>
          <w:bCs/>
        </w:rPr>
        <w:t>)</w:t>
      </w:r>
    </w:p>
    <w:p w14:paraId="3E953971" w14:textId="0E25AD09" w:rsidR="00E119C3" w:rsidRPr="00483B87" w:rsidRDefault="00E119C3" w:rsidP="00E119C3">
      <w:pPr>
        <w:overflowPunct/>
        <w:autoSpaceDE/>
        <w:autoSpaceDN/>
        <w:adjustRightInd/>
        <w:textAlignment w:val="auto"/>
        <w:rPr>
          <w:rFonts w:ascii="Times New Roman" w:hAnsi="Times New Roman"/>
          <w:lang w:eastAsia="en-AU"/>
        </w:rPr>
      </w:pPr>
      <w:r w:rsidRPr="00483B87">
        <w:rPr>
          <w:rFonts w:ascii="Times New Roman" w:hAnsi="Times New Roman"/>
          <w:lang w:eastAsia="en-AU"/>
        </w:rPr>
        <w:t>A Regulation Impact Statement (</w:t>
      </w:r>
      <w:r w:rsidRPr="00483B87">
        <w:rPr>
          <w:rFonts w:ascii="Times New Roman" w:hAnsi="Times New Roman"/>
          <w:b/>
          <w:i/>
          <w:lang w:eastAsia="en-AU"/>
        </w:rPr>
        <w:t>RIS</w:t>
      </w:r>
      <w:r w:rsidRPr="00483B87">
        <w:rPr>
          <w:rFonts w:ascii="Times New Roman" w:hAnsi="Times New Roman"/>
          <w:lang w:eastAsia="en-AU"/>
        </w:rPr>
        <w:t>) is not required because the instrument is covered by a standing agreement between CASA and OBPR under which a RIS is not required (OBPR</w:t>
      </w:r>
      <w:r w:rsidR="007E6287">
        <w:rPr>
          <w:rFonts w:ascii="Times New Roman" w:hAnsi="Times New Roman"/>
          <w:lang w:eastAsia="en-AU"/>
        </w:rPr>
        <w:t> </w:t>
      </w:r>
      <w:r w:rsidRPr="00483B87">
        <w:rPr>
          <w:rFonts w:ascii="Times New Roman" w:hAnsi="Times New Roman"/>
          <w:lang w:eastAsia="en-AU"/>
        </w:rPr>
        <w:t>id: 14507).</w:t>
      </w:r>
    </w:p>
    <w:p w14:paraId="7DC96E27" w14:textId="77777777" w:rsidR="00E119C3" w:rsidRDefault="00E119C3" w:rsidP="00E119C3">
      <w:pPr>
        <w:pStyle w:val="LDBodytext"/>
        <w:rPr>
          <w:lang w:eastAsia="en-AU"/>
        </w:rPr>
      </w:pPr>
    </w:p>
    <w:p w14:paraId="3393C0A9" w14:textId="77777777" w:rsidR="00E119C3" w:rsidRPr="002569A4" w:rsidRDefault="00E119C3" w:rsidP="00E119C3">
      <w:pPr>
        <w:pStyle w:val="Default"/>
        <w:rPr>
          <w:b/>
          <w:bCs/>
        </w:rPr>
      </w:pPr>
      <w:r w:rsidRPr="002569A4">
        <w:rPr>
          <w:b/>
          <w:bCs/>
        </w:rPr>
        <w:t xml:space="preserve">Statement of Compatibility with Human Rights </w:t>
      </w:r>
    </w:p>
    <w:p w14:paraId="4652DBDA" w14:textId="77777777" w:rsidR="00E119C3" w:rsidRPr="002569A4" w:rsidRDefault="00E119C3" w:rsidP="00E119C3">
      <w:pPr>
        <w:pStyle w:val="Default"/>
        <w:rPr>
          <w:iCs/>
        </w:rPr>
      </w:pPr>
      <w:r w:rsidRPr="002569A4">
        <w:rPr>
          <w:iCs/>
        </w:rPr>
        <w:t xml:space="preserve">A </w:t>
      </w:r>
      <w:r>
        <w:rPr>
          <w:iCs/>
        </w:rPr>
        <w:t>S</w:t>
      </w:r>
      <w:r w:rsidRPr="002569A4">
        <w:rPr>
          <w:iCs/>
        </w:rPr>
        <w:t xml:space="preserve">tatement of </w:t>
      </w:r>
      <w:r>
        <w:rPr>
          <w:iCs/>
        </w:rPr>
        <w:t>C</w:t>
      </w:r>
      <w:r w:rsidRPr="002569A4">
        <w:rPr>
          <w:iCs/>
        </w:rPr>
        <w:t xml:space="preserve">ompatibility with </w:t>
      </w:r>
      <w:r>
        <w:rPr>
          <w:iCs/>
        </w:rPr>
        <w:t>H</w:t>
      </w:r>
      <w:r w:rsidRPr="002569A4">
        <w:rPr>
          <w:iCs/>
        </w:rPr>
        <w:t xml:space="preserve">uman </w:t>
      </w:r>
      <w:r>
        <w:rPr>
          <w:iCs/>
        </w:rPr>
        <w:t>R</w:t>
      </w:r>
      <w:r w:rsidRPr="002569A4">
        <w:rPr>
          <w:iCs/>
        </w:rPr>
        <w:t>ights is at Attachment 1.</w:t>
      </w:r>
    </w:p>
    <w:p w14:paraId="73C90678" w14:textId="77777777" w:rsidR="00E119C3" w:rsidRPr="002569A4" w:rsidRDefault="00E119C3" w:rsidP="00E119C3">
      <w:pPr>
        <w:pStyle w:val="Default"/>
        <w:rPr>
          <w:i/>
          <w:iCs/>
        </w:rPr>
      </w:pPr>
    </w:p>
    <w:p w14:paraId="020A265A" w14:textId="77777777" w:rsidR="00E119C3" w:rsidRPr="00400186" w:rsidRDefault="00E119C3" w:rsidP="00400186">
      <w:pPr>
        <w:pStyle w:val="Default"/>
        <w:rPr>
          <w:b/>
          <w:bCs/>
        </w:rPr>
      </w:pPr>
      <w:r w:rsidRPr="00400186">
        <w:rPr>
          <w:b/>
          <w:bCs/>
        </w:rPr>
        <w:t>Making and commencement</w:t>
      </w:r>
    </w:p>
    <w:p w14:paraId="5A6E0ECE" w14:textId="57B0F518" w:rsidR="00633BB5" w:rsidRPr="002D5828" w:rsidRDefault="00633BB5" w:rsidP="00633BB5">
      <w:pPr>
        <w:ind w:right="-1"/>
        <w:rPr>
          <w:rFonts w:ascii="Times New Roman" w:hAnsi="Times New Roman"/>
          <w:lang w:val="en-US"/>
        </w:rPr>
      </w:pPr>
      <w:r w:rsidRPr="002D5828">
        <w:rPr>
          <w:rFonts w:ascii="Times New Roman" w:hAnsi="Times New Roman"/>
          <w:lang w:val="en-US"/>
        </w:rPr>
        <w:t xml:space="preserve">The </w:t>
      </w:r>
      <w:r w:rsidR="0095501A">
        <w:rPr>
          <w:rFonts w:ascii="Times New Roman" w:hAnsi="Times New Roman"/>
          <w:lang w:val="en-US"/>
        </w:rPr>
        <w:t xml:space="preserve">instrument </w:t>
      </w:r>
      <w:r w:rsidRPr="002D5828">
        <w:rPr>
          <w:rFonts w:ascii="Times New Roman" w:hAnsi="Times New Roman"/>
          <w:lang w:val="en-US"/>
        </w:rPr>
        <w:t>has been made by a delegate of CASA relying on the power of delegation under subregulation 11.260 (1) of CASR.</w:t>
      </w:r>
    </w:p>
    <w:p w14:paraId="4B3AD2F3" w14:textId="77777777" w:rsidR="00E119C3" w:rsidRDefault="00E119C3" w:rsidP="00E119C3">
      <w:pPr>
        <w:ind w:right="-1"/>
        <w:rPr>
          <w:rFonts w:ascii="Times New Roman" w:hAnsi="Times New Roman"/>
        </w:rPr>
      </w:pPr>
    </w:p>
    <w:p w14:paraId="2474CB29" w14:textId="0F49397F" w:rsidR="00D95434" w:rsidRDefault="00D95434" w:rsidP="00D95434">
      <w:pPr>
        <w:rPr>
          <w:rFonts w:ascii="Times New Roman" w:hAnsi="Times New Roman"/>
        </w:rPr>
      </w:pPr>
      <w:r>
        <w:rPr>
          <w:rFonts w:ascii="Times New Roman" w:hAnsi="Times New Roman"/>
        </w:rPr>
        <w:t>The instrument commence</w:t>
      </w:r>
      <w:r w:rsidR="003B0B92">
        <w:rPr>
          <w:rFonts w:ascii="Times New Roman" w:hAnsi="Times New Roman"/>
        </w:rPr>
        <w:t>s</w:t>
      </w:r>
      <w:r>
        <w:rPr>
          <w:rFonts w:ascii="Times New Roman" w:hAnsi="Times New Roman"/>
        </w:rPr>
        <w:t xml:space="preserve"> on 1 May 2021 and </w:t>
      </w:r>
      <w:r w:rsidR="003B0B92">
        <w:rPr>
          <w:rFonts w:ascii="Times New Roman" w:hAnsi="Times New Roman"/>
        </w:rPr>
        <w:t xml:space="preserve">will be </w:t>
      </w:r>
      <w:r>
        <w:rPr>
          <w:rFonts w:ascii="Times New Roman" w:hAnsi="Times New Roman"/>
        </w:rPr>
        <w:t xml:space="preserve">repealed </w:t>
      </w:r>
      <w:r w:rsidR="00741CD0">
        <w:rPr>
          <w:rFonts w:ascii="Times New Roman" w:hAnsi="Times New Roman"/>
        </w:rPr>
        <w:t>at</w:t>
      </w:r>
      <w:r>
        <w:rPr>
          <w:rFonts w:ascii="Times New Roman" w:hAnsi="Times New Roman"/>
        </w:rPr>
        <w:t xml:space="preserve"> the earlier of</w:t>
      </w:r>
      <w:r w:rsidR="005B2D15">
        <w:rPr>
          <w:rFonts w:ascii="Times New Roman" w:hAnsi="Times New Roman"/>
        </w:rPr>
        <w:t xml:space="preserve"> the following:</w:t>
      </w:r>
    </w:p>
    <w:p w14:paraId="2FA2BB56" w14:textId="5CE75547" w:rsidR="00D95434" w:rsidRDefault="00D95434" w:rsidP="005B2D15">
      <w:pPr>
        <w:pStyle w:val="ListParagraph"/>
        <w:numPr>
          <w:ilvl w:val="0"/>
          <w:numId w:val="1"/>
        </w:numPr>
        <w:tabs>
          <w:tab w:val="clear" w:pos="567"/>
          <w:tab w:val="left" w:pos="709"/>
        </w:tabs>
        <w:ind w:left="709" w:hanging="349"/>
        <w:rPr>
          <w:rFonts w:ascii="Times New Roman" w:hAnsi="Times New Roman"/>
        </w:rPr>
      </w:pPr>
      <w:r w:rsidRPr="00B93BA1">
        <w:rPr>
          <w:rFonts w:ascii="Times New Roman" w:hAnsi="Times New Roman"/>
        </w:rPr>
        <w:t xml:space="preserve">the day of commencement of Schedule 1 to the </w:t>
      </w:r>
      <w:r w:rsidRPr="00B93BA1">
        <w:rPr>
          <w:rFonts w:ascii="Times New Roman" w:hAnsi="Times New Roman"/>
          <w:i/>
          <w:iCs/>
        </w:rPr>
        <w:t>Civil Aviation Legislation Amendment (Part 138) Regulations 2018</w:t>
      </w:r>
    </w:p>
    <w:p w14:paraId="05B170C1" w14:textId="447B8511" w:rsidR="00D95434" w:rsidRPr="005B2D15" w:rsidRDefault="00D95434" w:rsidP="00D95434">
      <w:pPr>
        <w:pStyle w:val="ListParagraph"/>
        <w:numPr>
          <w:ilvl w:val="0"/>
          <w:numId w:val="1"/>
        </w:numPr>
        <w:tabs>
          <w:tab w:val="clear" w:pos="567"/>
          <w:tab w:val="left" w:pos="709"/>
        </w:tabs>
        <w:ind w:left="709" w:right="-1" w:hanging="349"/>
        <w:rPr>
          <w:rFonts w:ascii="Times New Roman" w:hAnsi="Times New Roman"/>
        </w:rPr>
      </w:pPr>
      <w:r w:rsidRPr="005B2D15">
        <w:rPr>
          <w:rFonts w:ascii="Times New Roman" w:hAnsi="Times New Roman"/>
        </w:rPr>
        <w:t>the end of 30 April 2024.</w:t>
      </w:r>
    </w:p>
    <w:p w14:paraId="76C997C5" w14:textId="485245A6" w:rsidR="00E119C3" w:rsidRPr="002569A4" w:rsidRDefault="00E119C3" w:rsidP="006A05B0">
      <w:pPr>
        <w:pageBreakBefore/>
        <w:jc w:val="right"/>
        <w:rPr>
          <w:rFonts w:ascii="Times New Roman" w:eastAsia="Calibri" w:hAnsi="Times New Roman"/>
          <w:b/>
          <w:sz w:val="26"/>
          <w:szCs w:val="26"/>
        </w:rPr>
      </w:pPr>
      <w:r w:rsidRPr="002569A4">
        <w:rPr>
          <w:rFonts w:ascii="Times New Roman" w:eastAsia="Calibri" w:hAnsi="Times New Roman"/>
          <w:b/>
          <w:sz w:val="26"/>
          <w:szCs w:val="26"/>
        </w:rPr>
        <w:lastRenderedPageBreak/>
        <w:t>Attachment 1</w:t>
      </w:r>
    </w:p>
    <w:p w14:paraId="2ED044F9" w14:textId="77777777" w:rsidR="00E119C3" w:rsidRPr="002569A4" w:rsidRDefault="00E119C3" w:rsidP="00B30EBA">
      <w:pPr>
        <w:spacing w:before="240"/>
        <w:jc w:val="center"/>
        <w:rPr>
          <w:rFonts w:ascii="Times New Roman" w:eastAsia="Calibri" w:hAnsi="Times New Roman"/>
          <w:b/>
          <w:sz w:val="28"/>
          <w:szCs w:val="28"/>
        </w:rPr>
      </w:pPr>
      <w:r w:rsidRPr="002569A4">
        <w:rPr>
          <w:rFonts w:ascii="Times New Roman" w:eastAsia="Calibri" w:hAnsi="Times New Roman"/>
          <w:b/>
          <w:sz w:val="28"/>
          <w:szCs w:val="28"/>
        </w:rPr>
        <w:t>Statement of Compatibility with Human Rights</w:t>
      </w:r>
    </w:p>
    <w:p w14:paraId="06F2C739" w14:textId="77777777" w:rsidR="00E119C3" w:rsidRPr="002569A4" w:rsidRDefault="00E119C3" w:rsidP="005F4B4B">
      <w:pPr>
        <w:spacing w:before="280"/>
        <w:jc w:val="center"/>
        <w:rPr>
          <w:rFonts w:ascii="Times New Roman" w:eastAsia="Calibri" w:hAnsi="Times New Roman"/>
        </w:rPr>
      </w:pPr>
      <w:r w:rsidRPr="002569A4">
        <w:rPr>
          <w:rFonts w:ascii="Times New Roman" w:eastAsia="Calibri" w:hAnsi="Times New Roman"/>
          <w:i/>
        </w:rPr>
        <w:t>Prepared in accordance with Part 3 of the</w:t>
      </w:r>
      <w:r w:rsidRPr="002569A4">
        <w:rPr>
          <w:rFonts w:ascii="Times New Roman" w:eastAsia="Calibri" w:hAnsi="Times New Roman"/>
          <w:i/>
        </w:rPr>
        <w:br/>
        <w:t>Human Rights (Parliamentary Scrutiny) Act 2011</w:t>
      </w:r>
    </w:p>
    <w:p w14:paraId="2AD1831D" w14:textId="586757AE" w:rsidR="00E119C3" w:rsidRPr="00401AAF" w:rsidRDefault="00F873AA" w:rsidP="005F4B4B">
      <w:pPr>
        <w:pStyle w:val="LDClauseHeading"/>
        <w:tabs>
          <w:tab w:val="clear" w:pos="737"/>
        </w:tabs>
        <w:spacing w:before="280" w:after="300"/>
        <w:ind w:left="0" w:right="-51" w:firstLine="0"/>
        <w:jc w:val="center"/>
        <w:rPr>
          <w:rFonts w:ascii="Times New Roman" w:hAnsi="Times New Roman"/>
          <w:b w:val="0"/>
        </w:rPr>
      </w:pPr>
      <w:r>
        <w:rPr>
          <w:rFonts w:ascii="Times New Roman" w:hAnsi="Times New Roman"/>
        </w:rPr>
        <w:t xml:space="preserve">CASA </w:t>
      </w:r>
      <w:r w:rsidR="00AE67D6">
        <w:rPr>
          <w:rFonts w:ascii="Times New Roman" w:hAnsi="Times New Roman"/>
        </w:rPr>
        <w:t>EX45/21</w:t>
      </w:r>
      <w:r w:rsidR="00417C92">
        <w:rPr>
          <w:rFonts w:ascii="Times New Roman" w:hAnsi="Times New Roman"/>
        </w:rPr>
        <w:t> </w:t>
      </w:r>
      <w:r>
        <w:rPr>
          <w:rFonts w:ascii="Times New Roman" w:hAnsi="Times New Roman"/>
        </w:rPr>
        <w:t>— ATSB Winching Operations Instrument 20</w:t>
      </w:r>
      <w:r w:rsidR="00D95434">
        <w:rPr>
          <w:rFonts w:ascii="Times New Roman" w:hAnsi="Times New Roman"/>
        </w:rPr>
        <w:t>21</w:t>
      </w:r>
    </w:p>
    <w:p w14:paraId="429FCC39" w14:textId="0ACB4A43" w:rsidR="00E119C3" w:rsidRPr="002569A4" w:rsidRDefault="00E119C3" w:rsidP="00E119C3">
      <w:pPr>
        <w:spacing w:before="120"/>
        <w:jc w:val="center"/>
        <w:rPr>
          <w:rFonts w:ascii="Times New Roman" w:eastAsia="Calibri" w:hAnsi="Times New Roman"/>
        </w:rPr>
      </w:pPr>
      <w:r w:rsidRPr="002569A4">
        <w:rPr>
          <w:rFonts w:ascii="Times New Roman" w:eastAsia="Calibri" w:hAnsi="Times New Roman"/>
        </w:rPr>
        <w:t>This legislative instrument is compatible with the human rights and freedoms recognised or declared in the international instruments listed in section 3 of the</w:t>
      </w:r>
      <w:r w:rsidRPr="002569A4">
        <w:rPr>
          <w:rFonts w:ascii="Times New Roman" w:eastAsia="Calibri" w:hAnsi="Times New Roman"/>
        </w:rPr>
        <w:br/>
      </w:r>
      <w:r w:rsidRPr="002569A4">
        <w:rPr>
          <w:rFonts w:ascii="Times New Roman" w:eastAsia="Calibri" w:hAnsi="Times New Roman"/>
          <w:i/>
        </w:rPr>
        <w:t>Human Rights (Parliamentary Scrutiny) Act 2011</w:t>
      </w:r>
      <w:r w:rsidRPr="002569A4">
        <w:rPr>
          <w:rFonts w:ascii="Times New Roman" w:eastAsia="Calibri" w:hAnsi="Times New Roman"/>
        </w:rPr>
        <w:t>.</w:t>
      </w:r>
    </w:p>
    <w:p w14:paraId="076A74A3" w14:textId="77777777" w:rsidR="00E119C3" w:rsidRPr="00741CD0" w:rsidRDefault="00E119C3" w:rsidP="00E119C3">
      <w:pPr>
        <w:spacing w:before="120"/>
        <w:rPr>
          <w:rFonts w:ascii="Times New Roman" w:eastAsia="Calibri" w:hAnsi="Times New Roman"/>
          <w:sz w:val="22"/>
          <w:szCs w:val="22"/>
          <w:highlight w:val="yellow"/>
        </w:rPr>
      </w:pPr>
    </w:p>
    <w:p w14:paraId="1A094119" w14:textId="77777777" w:rsidR="00E119C3" w:rsidRPr="00667694" w:rsidRDefault="00E119C3" w:rsidP="00E119C3">
      <w:pPr>
        <w:jc w:val="both"/>
        <w:rPr>
          <w:rFonts w:ascii="Times New Roman" w:eastAsia="Calibri" w:hAnsi="Times New Roman"/>
          <w:b/>
        </w:rPr>
      </w:pPr>
      <w:r w:rsidRPr="00667694">
        <w:rPr>
          <w:rFonts w:ascii="Times New Roman" w:eastAsia="Calibri" w:hAnsi="Times New Roman"/>
          <w:b/>
        </w:rPr>
        <w:t>Overview of the legislative instrument</w:t>
      </w:r>
    </w:p>
    <w:p w14:paraId="6DA3D331" w14:textId="2F946967" w:rsidR="00200234" w:rsidRDefault="00200234" w:rsidP="00200234">
      <w:pPr>
        <w:tabs>
          <w:tab w:val="clear" w:pos="567"/>
        </w:tabs>
        <w:overflowPunct/>
        <w:autoSpaceDE/>
        <w:autoSpaceDN/>
        <w:adjustRightInd/>
        <w:textAlignment w:val="auto"/>
        <w:rPr>
          <w:rFonts w:ascii="Times New Roman" w:hAnsi="Times New Roman"/>
        </w:rPr>
      </w:pPr>
      <w:r>
        <w:rPr>
          <w:rFonts w:ascii="Times New Roman" w:hAnsi="Times New Roman"/>
        </w:rPr>
        <w:t>The purpose of this legislative instrument is to allow Australian Transport Safety Bureau personnel (</w:t>
      </w:r>
      <w:r w:rsidRPr="0005491E">
        <w:rPr>
          <w:rFonts w:ascii="Times New Roman" w:hAnsi="Times New Roman"/>
          <w:b/>
          <w:i/>
        </w:rPr>
        <w:t>ATSB personnel</w:t>
      </w:r>
      <w:r>
        <w:rPr>
          <w:rFonts w:ascii="Times New Roman" w:hAnsi="Times New Roman"/>
        </w:rPr>
        <w:t>)</w:t>
      </w:r>
      <w:r>
        <w:rPr>
          <w:rFonts w:ascii="Times New Roman" w:hAnsi="Times New Roman"/>
          <w:i/>
        </w:rPr>
        <w:t xml:space="preserve"> </w:t>
      </w:r>
      <w:r w:rsidRPr="0005491E">
        <w:rPr>
          <w:rFonts w:ascii="Times New Roman" w:hAnsi="Times New Roman"/>
        </w:rPr>
        <w:t>t</w:t>
      </w:r>
      <w:r>
        <w:rPr>
          <w:rFonts w:ascii="Times New Roman" w:hAnsi="Times New Roman"/>
        </w:rPr>
        <w:t xml:space="preserve">o </w:t>
      </w:r>
      <w:r w:rsidRPr="0005491E">
        <w:rPr>
          <w:rFonts w:ascii="Times New Roman" w:hAnsi="Times New Roman"/>
        </w:rPr>
        <w:t>safely</w:t>
      </w:r>
      <w:r>
        <w:rPr>
          <w:rFonts w:ascii="Times New Roman" w:hAnsi="Times New Roman"/>
        </w:rPr>
        <w:t xml:space="preserve"> </w:t>
      </w:r>
      <w:r w:rsidR="00A721AF">
        <w:rPr>
          <w:rFonts w:ascii="Times New Roman" w:hAnsi="Times New Roman"/>
        </w:rPr>
        <w:t xml:space="preserve">access transport accident sites by helicopter winching, including if necessary by being winched into </w:t>
      </w:r>
      <w:r>
        <w:rPr>
          <w:rFonts w:ascii="Times New Roman" w:hAnsi="Times New Roman"/>
        </w:rPr>
        <w:t>confined areas</w:t>
      </w:r>
      <w:r w:rsidR="003B6096">
        <w:rPr>
          <w:rFonts w:ascii="Times New Roman" w:hAnsi="Times New Roman"/>
        </w:rPr>
        <w:t xml:space="preserve"> in connection with investigations into such accidents.</w:t>
      </w:r>
    </w:p>
    <w:p w14:paraId="0F706692" w14:textId="77777777" w:rsidR="00200234" w:rsidRPr="00741CD0" w:rsidRDefault="00200234" w:rsidP="00741CD0">
      <w:pPr>
        <w:rPr>
          <w:rFonts w:ascii="Times New Roman" w:eastAsia="Calibri" w:hAnsi="Times New Roman"/>
          <w:sz w:val="20"/>
          <w:szCs w:val="20"/>
          <w:highlight w:val="yellow"/>
        </w:rPr>
      </w:pPr>
    </w:p>
    <w:p w14:paraId="2236681D" w14:textId="77777777" w:rsidR="00BC487D" w:rsidRDefault="000658AD" w:rsidP="00196613">
      <w:pPr>
        <w:rPr>
          <w:rFonts w:ascii="Times New Roman" w:hAnsi="Times New Roman"/>
        </w:rPr>
      </w:pPr>
      <w:r w:rsidRPr="00483B87">
        <w:rPr>
          <w:rFonts w:ascii="Times New Roman" w:hAnsi="Times New Roman"/>
        </w:rPr>
        <w:t>Th</w:t>
      </w:r>
      <w:r w:rsidR="00200234" w:rsidRPr="00483B87">
        <w:rPr>
          <w:rFonts w:ascii="Times New Roman" w:hAnsi="Times New Roman"/>
        </w:rPr>
        <w:t xml:space="preserve">e </w:t>
      </w:r>
      <w:r w:rsidRPr="00483B87">
        <w:rPr>
          <w:rFonts w:ascii="Times New Roman" w:hAnsi="Times New Roman"/>
        </w:rPr>
        <w:t>instrument exempts</w:t>
      </w:r>
      <w:r w:rsidR="00196613" w:rsidRPr="00483B87">
        <w:rPr>
          <w:rFonts w:ascii="Times New Roman" w:hAnsi="Times New Roman"/>
        </w:rPr>
        <w:t xml:space="preserve"> crew members and passengers o</w:t>
      </w:r>
      <w:r w:rsidR="000F5D52" w:rsidRPr="00483B87">
        <w:rPr>
          <w:rFonts w:ascii="Times New Roman" w:hAnsi="Times New Roman"/>
        </w:rPr>
        <w:t>f</w:t>
      </w:r>
      <w:r w:rsidR="00196613" w:rsidRPr="00483B87">
        <w:rPr>
          <w:rFonts w:ascii="Times New Roman" w:hAnsi="Times New Roman"/>
        </w:rPr>
        <w:t xml:space="preserve"> </w:t>
      </w:r>
      <w:r w:rsidR="008D6515">
        <w:rPr>
          <w:rFonts w:ascii="Times New Roman" w:hAnsi="Times New Roman"/>
        </w:rPr>
        <w:t xml:space="preserve">winching </w:t>
      </w:r>
      <w:r w:rsidR="008A5071" w:rsidRPr="00483B87">
        <w:rPr>
          <w:rFonts w:ascii="Times New Roman" w:hAnsi="Times New Roman"/>
        </w:rPr>
        <w:t xml:space="preserve">helicopters from </w:t>
      </w:r>
      <w:r w:rsidR="00196613" w:rsidRPr="00483B87">
        <w:rPr>
          <w:rFonts w:ascii="Times New Roman" w:hAnsi="Times New Roman"/>
        </w:rPr>
        <w:t>requirements under Civil Aviation Order</w:t>
      </w:r>
      <w:r w:rsidR="007E4AD8" w:rsidRPr="00483B87">
        <w:rPr>
          <w:rFonts w:ascii="Times New Roman" w:hAnsi="Times New Roman"/>
        </w:rPr>
        <w:t xml:space="preserve"> 20.16.3</w:t>
      </w:r>
      <w:r w:rsidR="00196613" w:rsidRPr="00483B87">
        <w:rPr>
          <w:rFonts w:ascii="Times New Roman" w:hAnsi="Times New Roman"/>
        </w:rPr>
        <w:t xml:space="preserve"> that would otherwise require th</w:t>
      </w:r>
      <w:r w:rsidR="000F5D52" w:rsidRPr="00483B87">
        <w:rPr>
          <w:rFonts w:ascii="Times New Roman" w:hAnsi="Times New Roman"/>
        </w:rPr>
        <w:t xml:space="preserve">em </w:t>
      </w:r>
      <w:r w:rsidR="00196613" w:rsidRPr="00483B87">
        <w:rPr>
          <w:rFonts w:ascii="Times New Roman" w:hAnsi="Times New Roman"/>
        </w:rPr>
        <w:t>to occupy a seat of an approved type</w:t>
      </w:r>
      <w:r w:rsidR="00B33AA6">
        <w:rPr>
          <w:rFonts w:ascii="Times New Roman" w:hAnsi="Times New Roman"/>
        </w:rPr>
        <w:t xml:space="preserve">. </w:t>
      </w:r>
      <w:r w:rsidR="008D6515">
        <w:rPr>
          <w:rFonts w:ascii="Times New Roman" w:hAnsi="Times New Roman"/>
        </w:rPr>
        <w:t xml:space="preserve">It also exempts operators, crew members and passengers from the obligation to wear </w:t>
      </w:r>
      <w:r w:rsidR="00196613" w:rsidRPr="00483B87">
        <w:rPr>
          <w:rFonts w:ascii="Times New Roman" w:hAnsi="Times New Roman"/>
        </w:rPr>
        <w:t>a seat belt or safety harness at crucial times</w:t>
      </w:r>
      <w:r w:rsidR="00B33AA6">
        <w:rPr>
          <w:rFonts w:ascii="Times New Roman" w:hAnsi="Times New Roman"/>
        </w:rPr>
        <w:t xml:space="preserve">. </w:t>
      </w:r>
      <w:r w:rsidR="008D6515">
        <w:rPr>
          <w:rFonts w:ascii="Times New Roman" w:hAnsi="Times New Roman"/>
        </w:rPr>
        <w:t xml:space="preserve">These exemptions </w:t>
      </w:r>
      <w:r w:rsidR="00A83E28">
        <w:rPr>
          <w:rFonts w:ascii="Times New Roman" w:hAnsi="Times New Roman"/>
        </w:rPr>
        <w:t xml:space="preserve">allow for flexibility in </w:t>
      </w:r>
      <w:r w:rsidR="00196613" w:rsidRPr="00483B87">
        <w:rPr>
          <w:rFonts w:ascii="Times New Roman" w:hAnsi="Times New Roman"/>
        </w:rPr>
        <w:t xml:space="preserve">mobility within the aircraft </w:t>
      </w:r>
      <w:r w:rsidR="00A83E28">
        <w:rPr>
          <w:rFonts w:ascii="Times New Roman" w:hAnsi="Times New Roman"/>
        </w:rPr>
        <w:t xml:space="preserve">that is necessary </w:t>
      </w:r>
      <w:r w:rsidR="00196613" w:rsidRPr="00483B87">
        <w:rPr>
          <w:rFonts w:ascii="Times New Roman" w:hAnsi="Times New Roman"/>
        </w:rPr>
        <w:t>for winching</w:t>
      </w:r>
      <w:r w:rsidR="00A83E28">
        <w:rPr>
          <w:rFonts w:ascii="Times New Roman" w:hAnsi="Times New Roman"/>
        </w:rPr>
        <w:t xml:space="preserve"> operations</w:t>
      </w:r>
      <w:r w:rsidR="00B33AA6">
        <w:rPr>
          <w:rFonts w:ascii="Times New Roman" w:hAnsi="Times New Roman"/>
        </w:rPr>
        <w:t xml:space="preserve">. </w:t>
      </w:r>
      <w:r w:rsidR="007E4AD8" w:rsidRPr="00483B87">
        <w:rPr>
          <w:rFonts w:ascii="Times New Roman" w:hAnsi="Times New Roman"/>
        </w:rPr>
        <w:t>The instrument also exempts operators and pilots in command from requirements under Civil</w:t>
      </w:r>
      <w:r w:rsidR="00764CE9">
        <w:rPr>
          <w:rFonts w:ascii="Times New Roman" w:hAnsi="Times New Roman"/>
        </w:rPr>
        <w:t xml:space="preserve"> </w:t>
      </w:r>
      <w:r w:rsidR="007E4AD8" w:rsidRPr="00483B87">
        <w:rPr>
          <w:rFonts w:ascii="Times New Roman" w:hAnsi="Times New Roman"/>
        </w:rPr>
        <w:t>Aviation Order 29.11</w:t>
      </w:r>
      <w:r w:rsidR="00196613" w:rsidRPr="00483B87">
        <w:rPr>
          <w:rFonts w:ascii="Times New Roman" w:hAnsi="Times New Roman"/>
        </w:rPr>
        <w:t xml:space="preserve"> that would otherwise prevent ATSB personnel from accessing certain accident sites due to the size of the area and obstructions and hazards within the area</w:t>
      </w:r>
      <w:r w:rsidR="00BC487D">
        <w:rPr>
          <w:rFonts w:ascii="Times New Roman" w:hAnsi="Times New Roman"/>
        </w:rPr>
        <w:t>.</w:t>
      </w:r>
    </w:p>
    <w:p w14:paraId="11804FA4" w14:textId="4012899F" w:rsidR="00196613" w:rsidRPr="00741CD0" w:rsidRDefault="00196613" w:rsidP="00196613">
      <w:pPr>
        <w:rPr>
          <w:rFonts w:ascii="Times New Roman" w:eastAsia="Calibri" w:hAnsi="Times New Roman"/>
          <w:sz w:val="20"/>
          <w:szCs w:val="20"/>
          <w:highlight w:val="yellow"/>
        </w:rPr>
      </w:pPr>
    </w:p>
    <w:p w14:paraId="35904DE5" w14:textId="77777777" w:rsidR="003B6096" w:rsidRPr="00483B87" w:rsidRDefault="008A5071" w:rsidP="000658AD">
      <w:pPr>
        <w:rPr>
          <w:rFonts w:ascii="Times New Roman" w:hAnsi="Times New Roman"/>
        </w:rPr>
      </w:pPr>
      <w:r w:rsidRPr="00483B87">
        <w:rPr>
          <w:rFonts w:ascii="Times New Roman" w:hAnsi="Times New Roman"/>
        </w:rPr>
        <w:t>The instrument also</w:t>
      </w:r>
      <w:r w:rsidR="003B6096" w:rsidRPr="00483B87">
        <w:rPr>
          <w:rFonts w:ascii="Times New Roman" w:hAnsi="Times New Roman"/>
        </w:rPr>
        <w:t>:</w:t>
      </w:r>
    </w:p>
    <w:p w14:paraId="3FE747EE" w14:textId="58BE5B5A" w:rsidR="003B6096" w:rsidRPr="00483B87" w:rsidRDefault="00C027FB" w:rsidP="003B6096">
      <w:pPr>
        <w:pStyle w:val="ListParagraph"/>
        <w:numPr>
          <w:ilvl w:val="0"/>
          <w:numId w:val="4"/>
        </w:numPr>
        <w:rPr>
          <w:rFonts w:ascii="Times New Roman" w:hAnsi="Times New Roman"/>
        </w:rPr>
      </w:pPr>
      <w:r w:rsidRPr="00483B87">
        <w:rPr>
          <w:rFonts w:ascii="Times New Roman" w:hAnsi="Times New Roman"/>
        </w:rPr>
        <w:t xml:space="preserve">authorises </w:t>
      </w:r>
      <w:r w:rsidR="003B6096" w:rsidRPr="00483B87">
        <w:rPr>
          <w:rFonts w:ascii="Times New Roman" w:hAnsi="Times New Roman"/>
        </w:rPr>
        <w:t>pilot</w:t>
      </w:r>
      <w:r w:rsidR="007E4AD8" w:rsidRPr="00483B87">
        <w:rPr>
          <w:rFonts w:ascii="Times New Roman" w:hAnsi="Times New Roman"/>
        </w:rPr>
        <w:t>s</w:t>
      </w:r>
      <w:r w:rsidR="003B6096" w:rsidRPr="00483B87">
        <w:rPr>
          <w:rFonts w:ascii="Times New Roman" w:hAnsi="Times New Roman"/>
        </w:rPr>
        <w:t xml:space="preserve"> in command to pick up ATSB personnel and their objects</w:t>
      </w:r>
    </w:p>
    <w:p w14:paraId="1A894AF1" w14:textId="10B1EA37" w:rsidR="00C027FB" w:rsidRPr="00483B87" w:rsidRDefault="003B6096" w:rsidP="003B6096">
      <w:pPr>
        <w:pStyle w:val="ListParagraph"/>
        <w:numPr>
          <w:ilvl w:val="0"/>
          <w:numId w:val="4"/>
        </w:numPr>
        <w:rPr>
          <w:rFonts w:ascii="Times New Roman" w:hAnsi="Times New Roman"/>
        </w:rPr>
      </w:pPr>
      <w:r w:rsidRPr="00483B87">
        <w:rPr>
          <w:rFonts w:ascii="Times New Roman" w:hAnsi="Times New Roman"/>
        </w:rPr>
        <w:t>directs that a winchman’s or rescue harness (that is attached to a dispatcher’s restraint strap</w:t>
      </w:r>
      <w:r w:rsidR="00741CD0">
        <w:rPr>
          <w:rFonts w:ascii="Times New Roman" w:hAnsi="Times New Roman"/>
        </w:rPr>
        <w:t xml:space="preserve"> or to </w:t>
      </w:r>
      <w:r w:rsidR="00741CD0" w:rsidRPr="005B3B01">
        <w:t>the winch or hoist</w:t>
      </w:r>
      <w:r w:rsidRPr="00483B87">
        <w:rPr>
          <w:rFonts w:ascii="Times New Roman" w:hAnsi="Times New Roman"/>
        </w:rPr>
        <w:t>) must be worn by ATSB personnel</w:t>
      </w:r>
      <w:r w:rsidR="00C027FB" w:rsidRPr="00483B87">
        <w:rPr>
          <w:rFonts w:ascii="Times New Roman" w:hAnsi="Times New Roman"/>
        </w:rPr>
        <w:t xml:space="preserve"> conducting the winching</w:t>
      </w:r>
    </w:p>
    <w:p w14:paraId="26AD4E19" w14:textId="157A7687" w:rsidR="000658AD" w:rsidRPr="00483B87" w:rsidRDefault="00C027FB" w:rsidP="000658AD">
      <w:pPr>
        <w:pStyle w:val="ListParagraph"/>
        <w:numPr>
          <w:ilvl w:val="0"/>
          <w:numId w:val="4"/>
        </w:numPr>
        <w:rPr>
          <w:rFonts w:ascii="Times New Roman" w:hAnsi="Times New Roman"/>
        </w:rPr>
      </w:pPr>
      <w:r w:rsidRPr="00483B87">
        <w:rPr>
          <w:rFonts w:ascii="Times New Roman" w:hAnsi="Times New Roman"/>
        </w:rPr>
        <w:t xml:space="preserve">permits </w:t>
      </w:r>
      <w:r w:rsidR="008A5071" w:rsidRPr="00483B87">
        <w:rPr>
          <w:rFonts w:ascii="Times New Roman" w:hAnsi="Times New Roman"/>
        </w:rPr>
        <w:t xml:space="preserve">ATSB personnel </w:t>
      </w:r>
      <w:r w:rsidRPr="00483B87">
        <w:rPr>
          <w:rFonts w:ascii="Times New Roman" w:hAnsi="Times New Roman"/>
        </w:rPr>
        <w:t>to be carried on</w:t>
      </w:r>
      <w:r w:rsidR="005F4B4B">
        <w:rPr>
          <w:rFonts w:ascii="Times New Roman" w:hAnsi="Times New Roman"/>
        </w:rPr>
        <w:t>,</w:t>
      </w:r>
      <w:r w:rsidRPr="00483B87">
        <w:rPr>
          <w:rFonts w:ascii="Times New Roman" w:hAnsi="Times New Roman"/>
        </w:rPr>
        <w:t xml:space="preserve"> or in</w:t>
      </w:r>
      <w:r w:rsidR="005F4B4B">
        <w:rPr>
          <w:rFonts w:ascii="Times New Roman" w:hAnsi="Times New Roman"/>
        </w:rPr>
        <w:t>,</w:t>
      </w:r>
      <w:r w:rsidRPr="00483B87">
        <w:rPr>
          <w:rFonts w:ascii="Times New Roman" w:hAnsi="Times New Roman"/>
        </w:rPr>
        <w:t xml:space="preserve"> a part of the helicopter not designed for the accommodation of crew or passengers or on</w:t>
      </w:r>
      <w:r w:rsidR="005F4B4B">
        <w:rPr>
          <w:rFonts w:ascii="Times New Roman" w:hAnsi="Times New Roman"/>
        </w:rPr>
        <w:t>,</w:t>
      </w:r>
      <w:r w:rsidRPr="00483B87">
        <w:rPr>
          <w:rFonts w:ascii="Times New Roman" w:hAnsi="Times New Roman"/>
        </w:rPr>
        <w:t xml:space="preserve"> or in</w:t>
      </w:r>
      <w:r w:rsidR="005F4B4B">
        <w:rPr>
          <w:rFonts w:ascii="Times New Roman" w:hAnsi="Times New Roman"/>
        </w:rPr>
        <w:t>,</w:t>
      </w:r>
      <w:r w:rsidRPr="00483B87">
        <w:rPr>
          <w:rFonts w:ascii="Times New Roman" w:hAnsi="Times New Roman"/>
        </w:rPr>
        <w:t xml:space="preserve"> anything attached to the helicopter</w:t>
      </w:r>
      <w:r w:rsidR="00B33AA6">
        <w:rPr>
          <w:rFonts w:ascii="Times New Roman" w:hAnsi="Times New Roman"/>
        </w:rPr>
        <w:t>.</w:t>
      </w:r>
    </w:p>
    <w:p w14:paraId="1D6508C7" w14:textId="77777777" w:rsidR="000F5D52" w:rsidRPr="00741CD0" w:rsidRDefault="000F5D52" w:rsidP="00C027FB">
      <w:pPr>
        <w:rPr>
          <w:rFonts w:ascii="Times New Roman" w:eastAsia="Calibri" w:hAnsi="Times New Roman"/>
          <w:sz w:val="20"/>
          <w:szCs w:val="20"/>
          <w:highlight w:val="yellow"/>
        </w:rPr>
      </w:pPr>
    </w:p>
    <w:p w14:paraId="5F1E2200" w14:textId="1A7DF54D" w:rsidR="00C027FB" w:rsidRPr="00483B87" w:rsidRDefault="000658AD" w:rsidP="00C027FB">
      <w:pPr>
        <w:rPr>
          <w:rFonts w:ascii="Times New Roman" w:hAnsi="Times New Roman"/>
        </w:rPr>
      </w:pPr>
      <w:r w:rsidRPr="005F4B4B">
        <w:rPr>
          <w:rFonts w:ascii="Times New Roman" w:hAnsi="Times New Roman"/>
        </w:rPr>
        <w:t>The</w:t>
      </w:r>
      <w:r w:rsidR="00C027FB" w:rsidRPr="005F4B4B">
        <w:rPr>
          <w:rFonts w:ascii="Times New Roman" w:hAnsi="Times New Roman"/>
        </w:rPr>
        <w:t xml:space="preserve"> authorisation,</w:t>
      </w:r>
      <w:r w:rsidR="00200234" w:rsidRPr="005F4B4B">
        <w:rPr>
          <w:rFonts w:ascii="Times New Roman" w:hAnsi="Times New Roman"/>
        </w:rPr>
        <w:t xml:space="preserve"> permission and </w:t>
      </w:r>
      <w:r w:rsidRPr="005F4B4B">
        <w:rPr>
          <w:rFonts w:ascii="Times New Roman" w:hAnsi="Times New Roman"/>
        </w:rPr>
        <w:t>exemption</w:t>
      </w:r>
      <w:r w:rsidR="007E4AD8" w:rsidRPr="005F4B4B">
        <w:rPr>
          <w:rFonts w:ascii="Times New Roman" w:hAnsi="Times New Roman"/>
        </w:rPr>
        <w:t>s</w:t>
      </w:r>
      <w:r w:rsidRPr="005F4B4B">
        <w:rPr>
          <w:rFonts w:ascii="Times New Roman" w:hAnsi="Times New Roman"/>
        </w:rPr>
        <w:t xml:space="preserve"> are subject to conditions</w:t>
      </w:r>
      <w:r w:rsidR="00C027FB" w:rsidRPr="005F4B4B">
        <w:rPr>
          <w:rFonts w:ascii="Times New Roman" w:hAnsi="Times New Roman"/>
        </w:rPr>
        <w:t xml:space="preserve"> that restrict carriage</w:t>
      </w:r>
      <w:r w:rsidR="00C027FB" w:rsidRPr="00483B87">
        <w:rPr>
          <w:rFonts w:ascii="Times New Roman" w:hAnsi="Times New Roman"/>
        </w:rPr>
        <w:t xml:space="preserve"> on the helicopter to ATSB personnel and operating crew and prohibit winching over an accident site if the site can reasonably and lawfully be accessed from a helicopter landing site</w:t>
      </w:r>
      <w:r w:rsidR="004C5DAA" w:rsidRPr="00483B87">
        <w:rPr>
          <w:rFonts w:ascii="Times New Roman" w:hAnsi="Times New Roman"/>
        </w:rPr>
        <w:t>.</w:t>
      </w:r>
      <w:r w:rsidR="00C027FB" w:rsidRPr="00483B87">
        <w:rPr>
          <w:rFonts w:ascii="Times New Roman" w:hAnsi="Times New Roman"/>
        </w:rPr>
        <w:t xml:space="preserve"> The conditions also require the operator to conduct a pre-flight risk assessment and related mitigation processes before conducting a</w:t>
      </w:r>
      <w:r w:rsidR="000F5D52" w:rsidRPr="00483B87">
        <w:rPr>
          <w:rFonts w:ascii="Times New Roman" w:hAnsi="Times New Roman"/>
        </w:rPr>
        <w:t xml:space="preserve"> </w:t>
      </w:r>
      <w:r w:rsidR="00C027FB" w:rsidRPr="00483B87">
        <w:rPr>
          <w:rFonts w:ascii="Times New Roman" w:hAnsi="Times New Roman"/>
        </w:rPr>
        <w:t>winching operation</w:t>
      </w:r>
      <w:r w:rsidR="00B33AA6">
        <w:rPr>
          <w:rFonts w:ascii="Times New Roman" w:hAnsi="Times New Roman"/>
        </w:rPr>
        <w:t xml:space="preserve">. </w:t>
      </w:r>
      <w:r w:rsidR="00C027FB" w:rsidRPr="00483B87">
        <w:rPr>
          <w:rFonts w:ascii="Times New Roman" w:hAnsi="Times New Roman"/>
        </w:rPr>
        <w:t xml:space="preserve">These conditions </w:t>
      </w:r>
      <w:r w:rsidR="000F5D52" w:rsidRPr="00483B87">
        <w:rPr>
          <w:rFonts w:ascii="Times New Roman" w:hAnsi="Times New Roman"/>
        </w:rPr>
        <w:t>are imposed by CASA in the interests of the safety of air navigation.</w:t>
      </w:r>
    </w:p>
    <w:p w14:paraId="27587C5A" w14:textId="77777777" w:rsidR="000658AD" w:rsidRPr="00741CD0" w:rsidRDefault="000658AD" w:rsidP="000658AD">
      <w:pPr>
        <w:rPr>
          <w:rFonts w:ascii="Times New Roman" w:eastAsia="Calibri" w:hAnsi="Times New Roman"/>
          <w:sz w:val="20"/>
          <w:szCs w:val="20"/>
          <w:highlight w:val="yellow"/>
        </w:rPr>
      </w:pPr>
    </w:p>
    <w:p w14:paraId="08A76071" w14:textId="77777777" w:rsidR="00E119C3" w:rsidRPr="00667694" w:rsidRDefault="00E119C3" w:rsidP="00E119C3">
      <w:pPr>
        <w:jc w:val="both"/>
        <w:rPr>
          <w:rFonts w:ascii="Times New Roman" w:eastAsia="Calibri" w:hAnsi="Times New Roman"/>
          <w:b/>
        </w:rPr>
      </w:pPr>
      <w:r w:rsidRPr="00667694">
        <w:rPr>
          <w:rFonts w:ascii="Times New Roman" w:eastAsia="Calibri" w:hAnsi="Times New Roman"/>
          <w:b/>
        </w:rPr>
        <w:t>Human rights implications</w:t>
      </w:r>
    </w:p>
    <w:p w14:paraId="182B7711" w14:textId="77777777" w:rsidR="00E119C3" w:rsidRPr="00667694" w:rsidRDefault="00E119C3" w:rsidP="00E119C3">
      <w:pPr>
        <w:rPr>
          <w:rFonts w:ascii="Times New Roman" w:eastAsia="Calibri" w:hAnsi="Times New Roman"/>
        </w:rPr>
      </w:pPr>
      <w:r w:rsidRPr="00667694">
        <w:rPr>
          <w:rFonts w:ascii="Times New Roman" w:eastAsia="Calibri" w:hAnsi="Times New Roman"/>
        </w:rPr>
        <w:t>This legislative instrument does not engage any of the applicable rights or freedoms.</w:t>
      </w:r>
    </w:p>
    <w:p w14:paraId="56837A80" w14:textId="77777777" w:rsidR="00E119C3" w:rsidRPr="00741CD0" w:rsidRDefault="00E119C3" w:rsidP="00E119C3">
      <w:pPr>
        <w:rPr>
          <w:rFonts w:ascii="Times New Roman" w:eastAsia="Calibri" w:hAnsi="Times New Roman"/>
          <w:sz w:val="20"/>
          <w:szCs w:val="20"/>
          <w:highlight w:val="yellow"/>
        </w:rPr>
      </w:pPr>
    </w:p>
    <w:p w14:paraId="0CFF6A9A" w14:textId="77777777" w:rsidR="00E119C3" w:rsidRPr="00667694" w:rsidRDefault="00E119C3" w:rsidP="00E119C3">
      <w:pPr>
        <w:rPr>
          <w:rFonts w:ascii="Times New Roman" w:eastAsia="Calibri" w:hAnsi="Times New Roman"/>
          <w:b/>
        </w:rPr>
      </w:pPr>
      <w:r w:rsidRPr="00667694">
        <w:rPr>
          <w:rFonts w:ascii="Times New Roman" w:eastAsia="Calibri" w:hAnsi="Times New Roman"/>
          <w:b/>
        </w:rPr>
        <w:t>Conclusion</w:t>
      </w:r>
    </w:p>
    <w:p w14:paraId="443D0397" w14:textId="77777777" w:rsidR="007747BD" w:rsidRDefault="00E119C3" w:rsidP="005F4B4B">
      <w:pPr>
        <w:rPr>
          <w:rFonts w:ascii="Times New Roman" w:eastAsia="Calibri" w:hAnsi="Times New Roman"/>
        </w:rPr>
      </w:pPr>
      <w:r w:rsidRPr="00667694">
        <w:rPr>
          <w:rFonts w:ascii="Times New Roman" w:eastAsia="Calibri" w:hAnsi="Times New Roman"/>
        </w:rPr>
        <w:t>This legislative instrument is compatible with human rights as it does not raise any human rights issues.</w:t>
      </w:r>
    </w:p>
    <w:p w14:paraId="239D7875" w14:textId="6F11AC32" w:rsidR="00E119C3" w:rsidRPr="005F4B4B" w:rsidRDefault="00E119C3" w:rsidP="005F4B4B">
      <w:pPr>
        <w:spacing w:before="320"/>
        <w:jc w:val="center"/>
        <w:rPr>
          <w:rFonts w:ascii="Times New Roman" w:eastAsia="Calibri" w:hAnsi="Times New Roman"/>
        </w:rPr>
      </w:pPr>
      <w:r w:rsidRPr="00667694">
        <w:rPr>
          <w:rFonts w:ascii="Times New Roman" w:eastAsia="Calibri" w:hAnsi="Times New Roman"/>
          <w:b/>
          <w:bCs/>
        </w:rPr>
        <w:t>Civil Aviation Safety Authority</w:t>
      </w:r>
    </w:p>
    <w:sectPr w:rsidR="00E119C3" w:rsidRPr="005F4B4B" w:rsidSect="00EC59C9">
      <w:headerReference w:type="even" r:id="rId8"/>
      <w:headerReference w:type="default" r:id="rId9"/>
      <w:footerReference w:type="even" r:id="rId10"/>
      <w:footerReference w:type="default" r:id="rId11"/>
      <w:pgSz w:w="11906" w:h="16838"/>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A45236" w14:textId="77777777" w:rsidR="00515EE2" w:rsidRDefault="00515EE2">
      <w:r>
        <w:separator/>
      </w:r>
    </w:p>
  </w:endnote>
  <w:endnote w:type="continuationSeparator" w:id="0">
    <w:p w14:paraId="62C15AB5" w14:textId="77777777" w:rsidR="00515EE2" w:rsidRDefault="00515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7359C" w14:textId="77777777" w:rsidR="00B849A6" w:rsidRDefault="00B849A6" w:rsidP="00EC59C9">
    <w:pPr>
      <w:framePr w:wrap="around" w:vAnchor="text" w:hAnchor="margin" w:xAlign="right" w:y="1"/>
    </w:pPr>
    <w:r>
      <w:fldChar w:fldCharType="begin"/>
    </w:r>
    <w:r>
      <w:instrText xml:space="preserve">PAGE  </w:instrText>
    </w:r>
    <w:r>
      <w:fldChar w:fldCharType="separate"/>
    </w:r>
    <w:r>
      <w:rPr>
        <w:noProof/>
      </w:rPr>
      <w:t>4</w:t>
    </w:r>
    <w:r>
      <w:fldChar w:fldCharType="end"/>
    </w:r>
  </w:p>
  <w:p w14:paraId="62C05AD7" w14:textId="77777777" w:rsidR="00B849A6" w:rsidRDefault="00B849A6" w:rsidP="00EC59C9">
    <w:pP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5E566" w14:textId="77777777" w:rsidR="00B849A6" w:rsidRDefault="00B849A6" w:rsidP="00EC59C9">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91D6AD" w14:textId="77777777" w:rsidR="00515EE2" w:rsidRDefault="00515EE2">
      <w:r>
        <w:separator/>
      </w:r>
    </w:p>
  </w:footnote>
  <w:footnote w:type="continuationSeparator" w:id="0">
    <w:p w14:paraId="2C319058" w14:textId="77777777" w:rsidR="00515EE2" w:rsidRDefault="00515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CF1F9" w14:textId="77777777" w:rsidR="00B849A6" w:rsidRDefault="00B849A6" w:rsidP="00EC59C9">
    <w:pPr>
      <w:framePr w:wrap="around" w:vAnchor="text" w:hAnchor="margin" w:xAlign="center" w:y="1"/>
    </w:pPr>
    <w:r>
      <w:fldChar w:fldCharType="begin"/>
    </w:r>
    <w:r>
      <w:instrText xml:space="preserve">PAGE  </w:instrText>
    </w:r>
    <w:r>
      <w:fldChar w:fldCharType="separate"/>
    </w:r>
    <w:r>
      <w:rPr>
        <w:noProof/>
      </w:rPr>
      <w:t>4</w:t>
    </w:r>
    <w:r>
      <w:fldChar w:fldCharType="end"/>
    </w:r>
  </w:p>
  <w:p w14:paraId="74BBCCB9" w14:textId="77777777" w:rsidR="00B849A6" w:rsidRDefault="00B849A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8E048" w14:textId="416E1E2F" w:rsidR="00B849A6" w:rsidRPr="00470909" w:rsidRDefault="00B849A6" w:rsidP="00EC59C9">
    <w:pPr>
      <w:jc w:val="center"/>
      <w:rPr>
        <w:rFonts w:ascii="Times New Roman" w:hAnsi="Times New Roman"/>
      </w:rPr>
    </w:pPr>
    <w:r w:rsidRPr="00470909">
      <w:rPr>
        <w:rStyle w:val="PageNumber"/>
        <w:rFonts w:ascii="Times New Roman" w:hAnsi="Times New Roman"/>
      </w:rPr>
      <w:fldChar w:fldCharType="begin"/>
    </w:r>
    <w:r w:rsidRPr="00470909">
      <w:rPr>
        <w:rStyle w:val="PageNumber"/>
        <w:rFonts w:ascii="Times New Roman" w:hAnsi="Times New Roman"/>
      </w:rPr>
      <w:instrText xml:space="preserve"> PAGE </w:instrText>
    </w:r>
    <w:r w:rsidRPr="00470909">
      <w:rPr>
        <w:rStyle w:val="PageNumber"/>
        <w:rFonts w:ascii="Times New Roman" w:hAnsi="Times New Roman"/>
      </w:rPr>
      <w:fldChar w:fldCharType="separate"/>
    </w:r>
    <w:r w:rsidR="00AF64E7">
      <w:rPr>
        <w:rStyle w:val="PageNumber"/>
        <w:rFonts w:ascii="Times New Roman" w:hAnsi="Times New Roman"/>
        <w:noProof/>
      </w:rPr>
      <w:t>5</w:t>
    </w:r>
    <w:r w:rsidRPr="00470909">
      <w:rPr>
        <w:rStyle w:val="PageNumber"/>
        <w:rFonts w:ascii="Times New Roman" w:hAnsi="Times New Roman"/>
      </w:rPr>
      <w:fldChar w:fldCharType="end"/>
    </w:r>
  </w:p>
  <w:p w14:paraId="17F0CA14" w14:textId="77777777" w:rsidR="00B849A6" w:rsidRPr="00470909" w:rsidRDefault="00B849A6" w:rsidP="00EC59C9">
    <w:pPr>
      <w:pStyle w:val="LDBody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C2122"/>
    <w:multiLevelType w:val="hybridMultilevel"/>
    <w:tmpl w:val="BBE494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4B0A11A5"/>
    <w:multiLevelType w:val="hybridMultilevel"/>
    <w:tmpl w:val="3F1C88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7B14F1"/>
    <w:multiLevelType w:val="hybridMultilevel"/>
    <w:tmpl w:val="4D38BF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C080256"/>
    <w:multiLevelType w:val="hybridMultilevel"/>
    <w:tmpl w:val="B39030C2"/>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9C9"/>
    <w:rsid w:val="00007F70"/>
    <w:rsid w:val="00012C56"/>
    <w:rsid w:val="00017158"/>
    <w:rsid w:val="00021585"/>
    <w:rsid w:val="00023885"/>
    <w:rsid w:val="00027468"/>
    <w:rsid w:val="0003572D"/>
    <w:rsid w:val="00035CC5"/>
    <w:rsid w:val="00037204"/>
    <w:rsid w:val="00037517"/>
    <w:rsid w:val="00037F3F"/>
    <w:rsid w:val="00041E3B"/>
    <w:rsid w:val="00050883"/>
    <w:rsid w:val="00052800"/>
    <w:rsid w:val="0005491E"/>
    <w:rsid w:val="00056AD9"/>
    <w:rsid w:val="0006128F"/>
    <w:rsid w:val="00062FD4"/>
    <w:rsid w:val="00065126"/>
    <w:rsid w:val="00065235"/>
    <w:rsid w:val="000658AD"/>
    <w:rsid w:val="00066CE3"/>
    <w:rsid w:val="000733AA"/>
    <w:rsid w:val="00073D09"/>
    <w:rsid w:val="00074F64"/>
    <w:rsid w:val="000754C6"/>
    <w:rsid w:val="00076D3D"/>
    <w:rsid w:val="00080DA3"/>
    <w:rsid w:val="00084EAB"/>
    <w:rsid w:val="000857EC"/>
    <w:rsid w:val="00090597"/>
    <w:rsid w:val="00091140"/>
    <w:rsid w:val="00097F3B"/>
    <w:rsid w:val="000A0A11"/>
    <w:rsid w:val="000A0FF7"/>
    <w:rsid w:val="000A1533"/>
    <w:rsid w:val="000A15E1"/>
    <w:rsid w:val="000A231B"/>
    <w:rsid w:val="000A508A"/>
    <w:rsid w:val="000B0272"/>
    <w:rsid w:val="000B0A7D"/>
    <w:rsid w:val="000B0B3A"/>
    <w:rsid w:val="000B3A81"/>
    <w:rsid w:val="000B702C"/>
    <w:rsid w:val="000C030B"/>
    <w:rsid w:val="000C390D"/>
    <w:rsid w:val="000C44A7"/>
    <w:rsid w:val="000D1C61"/>
    <w:rsid w:val="000D34A6"/>
    <w:rsid w:val="000D52F8"/>
    <w:rsid w:val="000D7BA9"/>
    <w:rsid w:val="000E4FA3"/>
    <w:rsid w:val="000E518C"/>
    <w:rsid w:val="000F0E3E"/>
    <w:rsid w:val="000F36B1"/>
    <w:rsid w:val="000F5D52"/>
    <w:rsid w:val="000F67FB"/>
    <w:rsid w:val="000F6DB1"/>
    <w:rsid w:val="00103DCB"/>
    <w:rsid w:val="001044E5"/>
    <w:rsid w:val="00105D95"/>
    <w:rsid w:val="0010652F"/>
    <w:rsid w:val="00107DEA"/>
    <w:rsid w:val="00113510"/>
    <w:rsid w:val="00117682"/>
    <w:rsid w:val="001305E1"/>
    <w:rsid w:val="00133ED3"/>
    <w:rsid w:val="001344C9"/>
    <w:rsid w:val="001367CF"/>
    <w:rsid w:val="001377D3"/>
    <w:rsid w:val="00150E36"/>
    <w:rsid w:val="00152540"/>
    <w:rsid w:val="001659A1"/>
    <w:rsid w:val="00166530"/>
    <w:rsid w:val="00172010"/>
    <w:rsid w:val="001737E8"/>
    <w:rsid w:val="0018336F"/>
    <w:rsid w:val="00185893"/>
    <w:rsid w:val="0019198E"/>
    <w:rsid w:val="00196613"/>
    <w:rsid w:val="00197BD6"/>
    <w:rsid w:val="001A0A47"/>
    <w:rsid w:val="001A15C5"/>
    <w:rsid w:val="001A2260"/>
    <w:rsid w:val="001A391B"/>
    <w:rsid w:val="001A6B05"/>
    <w:rsid w:val="001A7E93"/>
    <w:rsid w:val="001B2518"/>
    <w:rsid w:val="001B33CD"/>
    <w:rsid w:val="001B56A5"/>
    <w:rsid w:val="001B648E"/>
    <w:rsid w:val="001C3F62"/>
    <w:rsid w:val="001C4DA9"/>
    <w:rsid w:val="001C5E94"/>
    <w:rsid w:val="001D01A7"/>
    <w:rsid w:val="001D1878"/>
    <w:rsid w:val="001D3791"/>
    <w:rsid w:val="001D6037"/>
    <w:rsid w:val="001D72D6"/>
    <w:rsid w:val="001E4085"/>
    <w:rsid w:val="001E4666"/>
    <w:rsid w:val="001E4E37"/>
    <w:rsid w:val="001F084F"/>
    <w:rsid w:val="001F2F15"/>
    <w:rsid w:val="001F52C2"/>
    <w:rsid w:val="001F5B1D"/>
    <w:rsid w:val="001F5B29"/>
    <w:rsid w:val="00200234"/>
    <w:rsid w:val="0020102D"/>
    <w:rsid w:val="00202DAB"/>
    <w:rsid w:val="0020655D"/>
    <w:rsid w:val="002070D7"/>
    <w:rsid w:val="0021027F"/>
    <w:rsid w:val="00210BA6"/>
    <w:rsid w:val="00212BE7"/>
    <w:rsid w:val="00213451"/>
    <w:rsid w:val="00221CAA"/>
    <w:rsid w:val="00223D92"/>
    <w:rsid w:val="002263DF"/>
    <w:rsid w:val="00226441"/>
    <w:rsid w:val="00227DD6"/>
    <w:rsid w:val="002314A8"/>
    <w:rsid w:val="00231EC9"/>
    <w:rsid w:val="00234397"/>
    <w:rsid w:val="002355E4"/>
    <w:rsid w:val="00242EBE"/>
    <w:rsid w:val="00243C93"/>
    <w:rsid w:val="0024528C"/>
    <w:rsid w:val="00245C45"/>
    <w:rsid w:val="002524B4"/>
    <w:rsid w:val="002527A8"/>
    <w:rsid w:val="00253475"/>
    <w:rsid w:val="00254314"/>
    <w:rsid w:val="00254936"/>
    <w:rsid w:val="002555EE"/>
    <w:rsid w:val="00256199"/>
    <w:rsid w:val="00257427"/>
    <w:rsid w:val="00263143"/>
    <w:rsid w:val="00265B90"/>
    <w:rsid w:val="002663F4"/>
    <w:rsid w:val="00271916"/>
    <w:rsid w:val="00273844"/>
    <w:rsid w:val="00276246"/>
    <w:rsid w:val="002771D3"/>
    <w:rsid w:val="00281894"/>
    <w:rsid w:val="002855AD"/>
    <w:rsid w:val="002857B0"/>
    <w:rsid w:val="00287AC6"/>
    <w:rsid w:val="0029131D"/>
    <w:rsid w:val="002917CD"/>
    <w:rsid w:val="00292C68"/>
    <w:rsid w:val="00295AB8"/>
    <w:rsid w:val="002A190E"/>
    <w:rsid w:val="002A3444"/>
    <w:rsid w:val="002A4E5D"/>
    <w:rsid w:val="002A706F"/>
    <w:rsid w:val="002B0E57"/>
    <w:rsid w:val="002B70E4"/>
    <w:rsid w:val="002C05D0"/>
    <w:rsid w:val="002C2DBF"/>
    <w:rsid w:val="002C60CB"/>
    <w:rsid w:val="002C6415"/>
    <w:rsid w:val="002C745C"/>
    <w:rsid w:val="002C759E"/>
    <w:rsid w:val="002E1A0D"/>
    <w:rsid w:val="002E73B6"/>
    <w:rsid w:val="002E742C"/>
    <w:rsid w:val="002E7DF8"/>
    <w:rsid w:val="002F053F"/>
    <w:rsid w:val="002F10C7"/>
    <w:rsid w:val="002F1F63"/>
    <w:rsid w:val="002F5102"/>
    <w:rsid w:val="002F5C42"/>
    <w:rsid w:val="002F6724"/>
    <w:rsid w:val="00305EC4"/>
    <w:rsid w:val="00307001"/>
    <w:rsid w:val="0031166F"/>
    <w:rsid w:val="0031314F"/>
    <w:rsid w:val="00314661"/>
    <w:rsid w:val="00316D77"/>
    <w:rsid w:val="003212A9"/>
    <w:rsid w:val="0032162F"/>
    <w:rsid w:val="00321661"/>
    <w:rsid w:val="003246BE"/>
    <w:rsid w:val="00335E96"/>
    <w:rsid w:val="00336223"/>
    <w:rsid w:val="003419DB"/>
    <w:rsid w:val="00341B39"/>
    <w:rsid w:val="003435C2"/>
    <w:rsid w:val="00344242"/>
    <w:rsid w:val="003457A9"/>
    <w:rsid w:val="00352AEB"/>
    <w:rsid w:val="0035429F"/>
    <w:rsid w:val="00354BFA"/>
    <w:rsid w:val="003631B7"/>
    <w:rsid w:val="00363885"/>
    <w:rsid w:val="00366145"/>
    <w:rsid w:val="00373977"/>
    <w:rsid w:val="00385B9B"/>
    <w:rsid w:val="00385CBE"/>
    <w:rsid w:val="0039069C"/>
    <w:rsid w:val="00391BDA"/>
    <w:rsid w:val="003956CA"/>
    <w:rsid w:val="00395D33"/>
    <w:rsid w:val="00396FD8"/>
    <w:rsid w:val="003A3195"/>
    <w:rsid w:val="003A45AB"/>
    <w:rsid w:val="003A4D48"/>
    <w:rsid w:val="003B0B92"/>
    <w:rsid w:val="003B4E08"/>
    <w:rsid w:val="003B6096"/>
    <w:rsid w:val="003C5E66"/>
    <w:rsid w:val="003D02FE"/>
    <w:rsid w:val="003D0DA6"/>
    <w:rsid w:val="003D1AAF"/>
    <w:rsid w:val="003D1ACC"/>
    <w:rsid w:val="003D1C54"/>
    <w:rsid w:val="003D33C2"/>
    <w:rsid w:val="003D62F9"/>
    <w:rsid w:val="003E0F19"/>
    <w:rsid w:val="003E1F77"/>
    <w:rsid w:val="003E4556"/>
    <w:rsid w:val="003F313D"/>
    <w:rsid w:val="003F3793"/>
    <w:rsid w:val="003F3C95"/>
    <w:rsid w:val="003F4051"/>
    <w:rsid w:val="003F4E9A"/>
    <w:rsid w:val="003F5558"/>
    <w:rsid w:val="003F56A3"/>
    <w:rsid w:val="00400186"/>
    <w:rsid w:val="0040083A"/>
    <w:rsid w:val="00401AAF"/>
    <w:rsid w:val="00402863"/>
    <w:rsid w:val="00402954"/>
    <w:rsid w:val="00404BD6"/>
    <w:rsid w:val="00405823"/>
    <w:rsid w:val="004124B3"/>
    <w:rsid w:val="00413D4A"/>
    <w:rsid w:val="00417C92"/>
    <w:rsid w:val="00420564"/>
    <w:rsid w:val="00420CD6"/>
    <w:rsid w:val="0042226D"/>
    <w:rsid w:val="00422BEE"/>
    <w:rsid w:val="00423A5C"/>
    <w:rsid w:val="00424413"/>
    <w:rsid w:val="004261D1"/>
    <w:rsid w:val="00427DFD"/>
    <w:rsid w:val="004328AA"/>
    <w:rsid w:val="00434240"/>
    <w:rsid w:val="00434478"/>
    <w:rsid w:val="00435878"/>
    <w:rsid w:val="00440BF0"/>
    <w:rsid w:val="0044139A"/>
    <w:rsid w:val="00443AB0"/>
    <w:rsid w:val="00447BBE"/>
    <w:rsid w:val="0045043E"/>
    <w:rsid w:val="004529F8"/>
    <w:rsid w:val="00452DBC"/>
    <w:rsid w:val="00456630"/>
    <w:rsid w:val="00460D03"/>
    <w:rsid w:val="00462376"/>
    <w:rsid w:val="00462396"/>
    <w:rsid w:val="004634D0"/>
    <w:rsid w:val="00463518"/>
    <w:rsid w:val="00466B05"/>
    <w:rsid w:val="00467174"/>
    <w:rsid w:val="004672B0"/>
    <w:rsid w:val="0048268F"/>
    <w:rsid w:val="00482CD3"/>
    <w:rsid w:val="00483361"/>
    <w:rsid w:val="00483B87"/>
    <w:rsid w:val="00486324"/>
    <w:rsid w:val="00491620"/>
    <w:rsid w:val="00491CE3"/>
    <w:rsid w:val="004946C9"/>
    <w:rsid w:val="00495E61"/>
    <w:rsid w:val="004A1731"/>
    <w:rsid w:val="004A3F80"/>
    <w:rsid w:val="004A685E"/>
    <w:rsid w:val="004B431F"/>
    <w:rsid w:val="004B6EC5"/>
    <w:rsid w:val="004C11F6"/>
    <w:rsid w:val="004C35A5"/>
    <w:rsid w:val="004C5DAA"/>
    <w:rsid w:val="004C752D"/>
    <w:rsid w:val="004C7D2A"/>
    <w:rsid w:val="004D07A4"/>
    <w:rsid w:val="004E1F8C"/>
    <w:rsid w:val="004E24D2"/>
    <w:rsid w:val="004E33CA"/>
    <w:rsid w:val="004E3FFA"/>
    <w:rsid w:val="004E4A97"/>
    <w:rsid w:val="004E5C6F"/>
    <w:rsid w:val="004E60A2"/>
    <w:rsid w:val="004F2C27"/>
    <w:rsid w:val="00500B3D"/>
    <w:rsid w:val="00504A70"/>
    <w:rsid w:val="00515EE2"/>
    <w:rsid w:val="00516B13"/>
    <w:rsid w:val="0052459C"/>
    <w:rsid w:val="00530283"/>
    <w:rsid w:val="00531A7C"/>
    <w:rsid w:val="00532DFD"/>
    <w:rsid w:val="00533F37"/>
    <w:rsid w:val="00541DF4"/>
    <w:rsid w:val="00542583"/>
    <w:rsid w:val="005432E6"/>
    <w:rsid w:val="00545287"/>
    <w:rsid w:val="005507C0"/>
    <w:rsid w:val="0055200B"/>
    <w:rsid w:val="005530A0"/>
    <w:rsid w:val="00556E91"/>
    <w:rsid w:val="00564ADF"/>
    <w:rsid w:val="00564BB6"/>
    <w:rsid w:val="00566335"/>
    <w:rsid w:val="00571DD1"/>
    <w:rsid w:val="0057698C"/>
    <w:rsid w:val="00577040"/>
    <w:rsid w:val="00580954"/>
    <w:rsid w:val="0058163E"/>
    <w:rsid w:val="00581EE8"/>
    <w:rsid w:val="00582290"/>
    <w:rsid w:val="005837E8"/>
    <w:rsid w:val="00584BF8"/>
    <w:rsid w:val="005905FC"/>
    <w:rsid w:val="005935F1"/>
    <w:rsid w:val="00596FC5"/>
    <w:rsid w:val="005A0E95"/>
    <w:rsid w:val="005A1E97"/>
    <w:rsid w:val="005A2D37"/>
    <w:rsid w:val="005A5354"/>
    <w:rsid w:val="005A57F1"/>
    <w:rsid w:val="005B2D15"/>
    <w:rsid w:val="005B6A7C"/>
    <w:rsid w:val="005C152D"/>
    <w:rsid w:val="005D2C83"/>
    <w:rsid w:val="005E0089"/>
    <w:rsid w:val="005E024D"/>
    <w:rsid w:val="005E037A"/>
    <w:rsid w:val="005E0A21"/>
    <w:rsid w:val="005E2B88"/>
    <w:rsid w:val="005E4906"/>
    <w:rsid w:val="005E7074"/>
    <w:rsid w:val="005F18D2"/>
    <w:rsid w:val="005F4B4B"/>
    <w:rsid w:val="005F633B"/>
    <w:rsid w:val="006011CD"/>
    <w:rsid w:val="00601F83"/>
    <w:rsid w:val="00603813"/>
    <w:rsid w:val="0060381A"/>
    <w:rsid w:val="00603B8A"/>
    <w:rsid w:val="00605B6F"/>
    <w:rsid w:val="00611E9D"/>
    <w:rsid w:val="00614BC1"/>
    <w:rsid w:val="00623CEB"/>
    <w:rsid w:val="006309E6"/>
    <w:rsid w:val="00633BB5"/>
    <w:rsid w:val="0063597C"/>
    <w:rsid w:val="00642DB5"/>
    <w:rsid w:val="00650A4A"/>
    <w:rsid w:val="006518D3"/>
    <w:rsid w:val="006536E1"/>
    <w:rsid w:val="0065642E"/>
    <w:rsid w:val="0065661C"/>
    <w:rsid w:val="00656FDE"/>
    <w:rsid w:val="006577D7"/>
    <w:rsid w:val="00661261"/>
    <w:rsid w:val="00661EC2"/>
    <w:rsid w:val="0066628E"/>
    <w:rsid w:val="006714A3"/>
    <w:rsid w:val="00672696"/>
    <w:rsid w:val="00672A3A"/>
    <w:rsid w:val="006730B5"/>
    <w:rsid w:val="00673C5B"/>
    <w:rsid w:val="006760A5"/>
    <w:rsid w:val="00680AB7"/>
    <w:rsid w:val="00681189"/>
    <w:rsid w:val="00683204"/>
    <w:rsid w:val="00685B10"/>
    <w:rsid w:val="00687EDF"/>
    <w:rsid w:val="00692177"/>
    <w:rsid w:val="0069323F"/>
    <w:rsid w:val="006956E6"/>
    <w:rsid w:val="00696CA9"/>
    <w:rsid w:val="006A05B0"/>
    <w:rsid w:val="006A17AD"/>
    <w:rsid w:val="006A520A"/>
    <w:rsid w:val="006A74B0"/>
    <w:rsid w:val="006B672B"/>
    <w:rsid w:val="006D3B1F"/>
    <w:rsid w:val="006E014E"/>
    <w:rsid w:val="006E7122"/>
    <w:rsid w:val="006E7AF2"/>
    <w:rsid w:val="006E7DB5"/>
    <w:rsid w:val="006F2783"/>
    <w:rsid w:val="006F47EF"/>
    <w:rsid w:val="0070166A"/>
    <w:rsid w:val="00705147"/>
    <w:rsid w:val="007057D7"/>
    <w:rsid w:val="00707B50"/>
    <w:rsid w:val="007129F1"/>
    <w:rsid w:val="00713A56"/>
    <w:rsid w:val="00715165"/>
    <w:rsid w:val="00715697"/>
    <w:rsid w:val="00722B53"/>
    <w:rsid w:val="0072404B"/>
    <w:rsid w:val="00733C93"/>
    <w:rsid w:val="00735B91"/>
    <w:rsid w:val="007411B2"/>
    <w:rsid w:val="00741CD0"/>
    <w:rsid w:val="00747B12"/>
    <w:rsid w:val="00750BF2"/>
    <w:rsid w:val="00750EA9"/>
    <w:rsid w:val="00751CA4"/>
    <w:rsid w:val="007522EF"/>
    <w:rsid w:val="00755423"/>
    <w:rsid w:val="0075668B"/>
    <w:rsid w:val="0076176D"/>
    <w:rsid w:val="007619EF"/>
    <w:rsid w:val="00762017"/>
    <w:rsid w:val="00764CE9"/>
    <w:rsid w:val="00766DE7"/>
    <w:rsid w:val="007747BD"/>
    <w:rsid w:val="00775DED"/>
    <w:rsid w:val="00780994"/>
    <w:rsid w:val="00782BEA"/>
    <w:rsid w:val="00783860"/>
    <w:rsid w:val="007A397D"/>
    <w:rsid w:val="007A4DE4"/>
    <w:rsid w:val="007A68FD"/>
    <w:rsid w:val="007B17DD"/>
    <w:rsid w:val="007B28B7"/>
    <w:rsid w:val="007B419C"/>
    <w:rsid w:val="007B54FA"/>
    <w:rsid w:val="007B7CFF"/>
    <w:rsid w:val="007C3A42"/>
    <w:rsid w:val="007C6621"/>
    <w:rsid w:val="007D22C8"/>
    <w:rsid w:val="007D27EC"/>
    <w:rsid w:val="007D4286"/>
    <w:rsid w:val="007D5D5C"/>
    <w:rsid w:val="007E4AD8"/>
    <w:rsid w:val="007E6106"/>
    <w:rsid w:val="007E6287"/>
    <w:rsid w:val="007F0969"/>
    <w:rsid w:val="007F12DE"/>
    <w:rsid w:val="007F23D8"/>
    <w:rsid w:val="007F2FE3"/>
    <w:rsid w:val="007F312D"/>
    <w:rsid w:val="007F587A"/>
    <w:rsid w:val="007F68D6"/>
    <w:rsid w:val="00801B12"/>
    <w:rsid w:val="008024AA"/>
    <w:rsid w:val="00804F4D"/>
    <w:rsid w:val="00807B3C"/>
    <w:rsid w:val="0081025E"/>
    <w:rsid w:val="008127CE"/>
    <w:rsid w:val="00824AB0"/>
    <w:rsid w:val="00824F8E"/>
    <w:rsid w:val="008306D7"/>
    <w:rsid w:val="00830722"/>
    <w:rsid w:val="00830A3F"/>
    <w:rsid w:val="00830D7B"/>
    <w:rsid w:val="00831FA0"/>
    <w:rsid w:val="00832347"/>
    <w:rsid w:val="00832361"/>
    <w:rsid w:val="008358D4"/>
    <w:rsid w:val="00837C6D"/>
    <w:rsid w:val="008405A1"/>
    <w:rsid w:val="00847428"/>
    <w:rsid w:val="008517FB"/>
    <w:rsid w:val="00855E50"/>
    <w:rsid w:val="00855ED6"/>
    <w:rsid w:val="0086199A"/>
    <w:rsid w:val="00862FF8"/>
    <w:rsid w:val="00865406"/>
    <w:rsid w:val="0086555B"/>
    <w:rsid w:val="00872DF5"/>
    <w:rsid w:val="0087585F"/>
    <w:rsid w:val="00887ED6"/>
    <w:rsid w:val="00891438"/>
    <w:rsid w:val="00892600"/>
    <w:rsid w:val="00895354"/>
    <w:rsid w:val="008A01C0"/>
    <w:rsid w:val="008A4039"/>
    <w:rsid w:val="008A5071"/>
    <w:rsid w:val="008A768B"/>
    <w:rsid w:val="008B00BC"/>
    <w:rsid w:val="008B1E7C"/>
    <w:rsid w:val="008B5026"/>
    <w:rsid w:val="008B6D9D"/>
    <w:rsid w:val="008C00BE"/>
    <w:rsid w:val="008C0CA8"/>
    <w:rsid w:val="008C2ED6"/>
    <w:rsid w:val="008D4EB3"/>
    <w:rsid w:val="008D6515"/>
    <w:rsid w:val="008D6A20"/>
    <w:rsid w:val="008D6C84"/>
    <w:rsid w:val="008E153D"/>
    <w:rsid w:val="008E4201"/>
    <w:rsid w:val="008E474A"/>
    <w:rsid w:val="008E5178"/>
    <w:rsid w:val="008F47B7"/>
    <w:rsid w:val="008F7842"/>
    <w:rsid w:val="009014D2"/>
    <w:rsid w:val="00902805"/>
    <w:rsid w:val="00910C8D"/>
    <w:rsid w:val="00912F08"/>
    <w:rsid w:val="00921607"/>
    <w:rsid w:val="00922E03"/>
    <w:rsid w:val="00922ECC"/>
    <w:rsid w:val="00923ED0"/>
    <w:rsid w:val="009256CB"/>
    <w:rsid w:val="009276D5"/>
    <w:rsid w:val="0093005F"/>
    <w:rsid w:val="00933149"/>
    <w:rsid w:val="00934094"/>
    <w:rsid w:val="00940773"/>
    <w:rsid w:val="00942BA0"/>
    <w:rsid w:val="00944D5B"/>
    <w:rsid w:val="00946C3D"/>
    <w:rsid w:val="0095250E"/>
    <w:rsid w:val="009534EE"/>
    <w:rsid w:val="009541ED"/>
    <w:rsid w:val="0095501A"/>
    <w:rsid w:val="009556C9"/>
    <w:rsid w:val="00955877"/>
    <w:rsid w:val="009600F6"/>
    <w:rsid w:val="00960C6A"/>
    <w:rsid w:val="00962E2D"/>
    <w:rsid w:val="009636C2"/>
    <w:rsid w:val="00967213"/>
    <w:rsid w:val="00967470"/>
    <w:rsid w:val="0096799E"/>
    <w:rsid w:val="0097144B"/>
    <w:rsid w:val="00973BFE"/>
    <w:rsid w:val="00973C92"/>
    <w:rsid w:val="00974297"/>
    <w:rsid w:val="009805D7"/>
    <w:rsid w:val="00981D60"/>
    <w:rsid w:val="00982999"/>
    <w:rsid w:val="00987890"/>
    <w:rsid w:val="0099298E"/>
    <w:rsid w:val="00993C7C"/>
    <w:rsid w:val="009A04A0"/>
    <w:rsid w:val="009A1297"/>
    <w:rsid w:val="009A4F5D"/>
    <w:rsid w:val="009A650A"/>
    <w:rsid w:val="009A7157"/>
    <w:rsid w:val="009B1486"/>
    <w:rsid w:val="009B2B35"/>
    <w:rsid w:val="009B2D0B"/>
    <w:rsid w:val="009B6FF4"/>
    <w:rsid w:val="009C1585"/>
    <w:rsid w:val="009C2683"/>
    <w:rsid w:val="009C3859"/>
    <w:rsid w:val="009D1DBE"/>
    <w:rsid w:val="009D2A13"/>
    <w:rsid w:val="009D2B37"/>
    <w:rsid w:val="009D43C2"/>
    <w:rsid w:val="009D5408"/>
    <w:rsid w:val="009D55D2"/>
    <w:rsid w:val="009D7DCC"/>
    <w:rsid w:val="009E2C4B"/>
    <w:rsid w:val="009E6FA2"/>
    <w:rsid w:val="009E7695"/>
    <w:rsid w:val="009F37DD"/>
    <w:rsid w:val="009F4CC2"/>
    <w:rsid w:val="009F4DB4"/>
    <w:rsid w:val="00A07F1A"/>
    <w:rsid w:val="00A10187"/>
    <w:rsid w:val="00A11403"/>
    <w:rsid w:val="00A11E54"/>
    <w:rsid w:val="00A221FB"/>
    <w:rsid w:val="00A22C43"/>
    <w:rsid w:val="00A25C43"/>
    <w:rsid w:val="00A25E76"/>
    <w:rsid w:val="00A27138"/>
    <w:rsid w:val="00A27FB1"/>
    <w:rsid w:val="00A3103C"/>
    <w:rsid w:val="00A312D3"/>
    <w:rsid w:val="00A34268"/>
    <w:rsid w:val="00A3461B"/>
    <w:rsid w:val="00A40155"/>
    <w:rsid w:val="00A441E8"/>
    <w:rsid w:val="00A44DB9"/>
    <w:rsid w:val="00A46B93"/>
    <w:rsid w:val="00A54868"/>
    <w:rsid w:val="00A5495D"/>
    <w:rsid w:val="00A61546"/>
    <w:rsid w:val="00A71B3F"/>
    <w:rsid w:val="00A7214E"/>
    <w:rsid w:val="00A721AF"/>
    <w:rsid w:val="00A728DC"/>
    <w:rsid w:val="00A763A8"/>
    <w:rsid w:val="00A77E2E"/>
    <w:rsid w:val="00A77EE8"/>
    <w:rsid w:val="00A83E28"/>
    <w:rsid w:val="00A87AA9"/>
    <w:rsid w:val="00A94212"/>
    <w:rsid w:val="00A96646"/>
    <w:rsid w:val="00A974EA"/>
    <w:rsid w:val="00AA2380"/>
    <w:rsid w:val="00AB53FE"/>
    <w:rsid w:val="00AB5483"/>
    <w:rsid w:val="00AB5CB8"/>
    <w:rsid w:val="00AC2826"/>
    <w:rsid w:val="00AC4285"/>
    <w:rsid w:val="00AC429C"/>
    <w:rsid w:val="00AC475F"/>
    <w:rsid w:val="00AD1CEE"/>
    <w:rsid w:val="00AD3230"/>
    <w:rsid w:val="00AD33A5"/>
    <w:rsid w:val="00AD590F"/>
    <w:rsid w:val="00AD5D38"/>
    <w:rsid w:val="00AD6961"/>
    <w:rsid w:val="00AE314B"/>
    <w:rsid w:val="00AE67D6"/>
    <w:rsid w:val="00AE6915"/>
    <w:rsid w:val="00AE7590"/>
    <w:rsid w:val="00AF0DCC"/>
    <w:rsid w:val="00AF400F"/>
    <w:rsid w:val="00AF4DC1"/>
    <w:rsid w:val="00AF64E7"/>
    <w:rsid w:val="00B057C3"/>
    <w:rsid w:val="00B0624B"/>
    <w:rsid w:val="00B1220E"/>
    <w:rsid w:val="00B12836"/>
    <w:rsid w:val="00B12B88"/>
    <w:rsid w:val="00B16CD0"/>
    <w:rsid w:val="00B20B71"/>
    <w:rsid w:val="00B21CEC"/>
    <w:rsid w:val="00B304C1"/>
    <w:rsid w:val="00B30EBA"/>
    <w:rsid w:val="00B314F0"/>
    <w:rsid w:val="00B31B3E"/>
    <w:rsid w:val="00B31E75"/>
    <w:rsid w:val="00B33AA6"/>
    <w:rsid w:val="00B3538C"/>
    <w:rsid w:val="00B378BB"/>
    <w:rsid w:val="00B406D5"/>
    <w:rsid w:val="00B43309"/>
    <w:rsid w:val="00B44336"/>
    <w:rsid w:val="00B461DA"/>
    <w:rsid w:val="00B47CAE"/>
    <w:rsid w:val="00B5215A"/>
    <w:rsid w:val="00B5363C"/>
    <w:rsid w:val="00B56AAE"/>
    <w:rsid w:val="00B56F0C"/>
    <w:rsid w:val="00B60815"/>
    <w:rsid w:val="00B63209"/>
    <w:rsid w:val="00B7034E"/>
    <w:rsid w:val="00B728D9"/>
    <w:rsid w:val="00B74C66"/>
    <w:rsid w:val="00B76A84"/>
    <w:rsid w:val="00B80F0E"/>
    <w:rsid w:val="00B849A6"/>
    <w:rsid w:val="00B860B7"/>
    <w:rsid w:val="00B90585"/>
    <w:rsid w:val="00B90D0C"/>
    <w:rsid w:val="00B93BA1"/>
    <w:rsid w:val="00B957F4"/>
    <w:rsid w:val="00BA1EDC"/>
    <w:rsid w:val="00BA347C"/>
    <w:rsid w:val="00BA4054"/>
    <w:rsid w:val="00BA4505"/>
    <w:rsid w:val="00BA63E1"/>
    <w:rsid w:val="00BA695C"/>
    <w:rsid w:val="00BA724F"/>
    <w:rsid w:val="00BB2510"/>
    <w:rsid w:val="00BB3DAF"/>
    <w:rsid w:val="00BB4144"/>
    <w:rsid w:val="00BB6376"/>
    <w:rsid w:val="00BC0B7D"/>
    <w:rsid w:val="00BC487D"/>
    <w:rsid w:val="00BC4FD5"/>
    <w:rsid w:val="00BD53D2"/>
    <w:rsid w:val="00BD65AA"/>
    <w:rsid w:val="00BD79C7"/>
    <w:rsid w:val="00BE5594"/>
    <w:rsid w:val="00BF1DD6"/>
    <w:rsid w:val="00BF6DD9"/>
    <w:rsid w:val="00BF6FFB"/>
    <w:rsid w:val="00C027FB"/>
    <w:rsid w:val="00C03F16"/>
    <w:rsid w:val="00C05E7D"/>
    <w:rsid w:val="00C076B2"/>
    <w:rsid w:val="00C07A55"/>
    <w:rsid w:val="00C10A4A"/>
    <w:rsid w:val="00C147A0"/>
    <w:rsid w:val="00C15661"/>
    <w:rsid w:val="00C17B02"/>
    <w:rsid w:val="00C2229F"/>
    <w:rsid w:val="00C22D32"/>
    <w:rsid w:val="00C23540"/>
    <w:rsid w:val="00C25C0F"/>
    <w:rsid w:val="00C33F6C"/>
    <w:rsid w:val="00C411BB"/>
    <w:rsid w:val="00C42725"/>
    <w:rsid w:val="00C42B96"/>
    <w:rsid w:val="00C43858"/>
    <w:rsid w:val="00C43992"/>
    <w:rsid w:val="00C462C5"/>
    <w:rsid w:val="00C47295"/>
    <w:rsid w:val="00C6001A"/>
    <w:rsid w:val="00C6259F"/>
    <w:rsid w:val="00C717CA"/>
    <w:rsid w:val="00C717EE"/>
    <w:rsid w:val="00C7528D"/>
    <w:rsid w:val="00C77CC9"/>
    <w:rsid w:val="00C77D1D"/>
    <w:rsid w:val="00C81576"/>
    <w:rsid w:val="00C82F71"/>
    <w:rsid w:val="00C83B06"/>
    <w:rsid w:val="00C86CE9"/>
    <w:rsid w:val="00C93D9F"/>
    <w:rsid w:val="00CA5608"/>
    <w:rsid w:val="00CA6A29"/>
    <w:rsid w:val="00CB020A"/>
    <w:rsid w:val="00CB08EB"/>
    <w:rsid w:val="00CB11FC"/>
    <w:rsid w:val="00CB23C9"/>
    <w:rsid w:val="00CB27F9"/>
    <w:rsid w:val="00CB5F0B"/>
    <w:rsid w:val="00CB66B6"/>
    <w:rsid w:val="00CD3738"/>
    <w:rsid w:val="00CD5F23"/>
    <w:rsid w:val="00CD6744"/>
    <w:rsid w:val="00CD7C58"/>
    <w:rsid w:val="00CE10FF"/>
    <w:rsid w:val="00CF14B0"/>
    <w:rsid w:val="00CF251F"/>
    <w:rsid w:val="00CF76EF"/>
    <w:rsid w:val="00D016F3"/>
    <w:rsid w:val="00D025AC"/>
    <w:rsid w:val="00D114D3"/>
    <w:rsid w:val="00D125CE"/>
    <w:rsid w:val="00D13A6A"/>
    <w:rsid w:val="00D14015"/>
    <w:rsid w:val="00D15183"/>
    <w:rsid w:val="00D21422"/>
    <w:rsid w:val="00D228FC"/>
    <w:rsid w:val="00D23FE2"/>
    <w:rsid w:val="00D246FC"/>
    <w:rsid w:val="00D269B7"/>
    <w:rsid w:val="00D27474"/>
    <w:rsid w:val="00D2782A"/>
    <w:rsid w:val="00D30B5A"/>
    <w:rsid w:val="00D32FC8"/>
    <w:rsid w:val="00D53B58"/>
    <w:rsid w:val="00D6391B"/>
    <w:rsid w:val="00D650AC"/>
    <w:rsid w:val="00D675A9"/>
    <w:rsid w:val="00D73982"/>
    <w:rsid w:val="00D7494A"/>
    <w:rsid w:val="00D74DE4"/>
    <w:rsid w:val="00D82DAA"/>
    <w:rsid w:val="00D85C21"/>
    <w:rsid w:val="00D87154"/>
    <w:rsid w:val="00D91621"/>
    <w:rsid w:val="00D918AB"/>
    <w:rsid w:val="00D93654"/>
    <w:rsid w:val="00D94475"/>
    <w:rsid w:val="00D948C2"/>
    <w:rsid w:val="00D95434"/>
    <w:rsid w:val="00DA1C10"/>
    <w:rsid w:val="00DA3EBE"/>
    <w:rsid w:val="00DB11E0"/>
    <w:rsid w:val="00DB5308"/>
    <w:rsid w:val="00DC0826"/>
    <w:rsid w:val="00DC6704"/>
    <w:rsid w:val="00DD0B71"/>
    <w:rsid w:val="00DD16DA"/>
    <w:rsid w:val="00DD2331"/>
    <w:rsid w:val="00DD3CD4"/>
    <w:rsid w:val="00DE3211"/>
    <w:rsid w:val="00DE4125"/>
    <w:rsid w:val="00DE57CC"/>
    <w:rsid w:val="00DE6ADA"/>
    <w:rsid w:val="00DF0285"/>
    <w:rsid w:val="00DF2A12"/>
    <w:rsid w:val="00DF3186"/>
    <w:rsid w:val="00DF3897"/>
    <w:rsid w:val="00DF69EB"/>
    <w:rsid w:val="00DF6CFC"/>
    <w:rsid w:val="00E03F13"/>
    <w:rsid w:val="00E06355"/>
    <w:rsid w:val="00E06C6C"/>
    <w:rsid w:val="00E106ED"/>
    <w:rsid w:val="00E119C3"/>
    <w:rsid w:val="00E12505"/>
    <w:rsid w:val="00E12BCF"/>
    <w:rsid w:val="00E14BF0"/>
    <w:rsid w:val="00E236C9"/>
    <w:rsid w:val="00E24352"/>
    <w:rsid w:val="00E25A27"/>
    <w:rsid w:val="00E26D33"/>
    <w:rsid w:val="00E30091"/>
    <w:rsid w:val="00E332EC"/>
    <w:rsid w:val="00E337B2"/>
    <w:rsid w:val="00E33808"/>
    <w:rsid w:val="00E3431D"/>
    <w:rsid w:val="00E3744F"/>
    <w:rsid w:val="00E40EE6"/>
    <w:rsid w:val="00E41395"/>
    <w:rsid w:val="00E45CA0"/>
    <w:rsid w:val="00E505D2"/>
    <w:rsid w:val="00E528E6"/>
    <w:rsid w:val="00E5381E"/>
    <w:rsid w:val="00E54527"/>
    <w:rsid w:val="00E56FEE"/>
    <w:rsid w:val="00E57B2A"/>
    <w:rsid w:val="00E57B94"/>
    <w:rsid w:val="00E6053C"/>
    <w:rsid w:val="00E61263"/>
    <w:rsid w:val="00E62E50"/>
    <w:rsid w:val="00E825AE"/>
    <w:rsid w:val="00E82AC3"/>
    <w:rsid w:val="00E83D1F"/>
    <w:rsid w:val="00E842FD"/>
    <w:rsid w:val="00E86570"/>
    <w:rsid w:val="00E86CFE"/>
    <w:rsid w:val="00E87D26"/>
    <w:rsid w:val="00E941D0"/>
    <w:rsid w:val="00E95A95"/>
    <w:rsid w:val="00E97016"/>
    <w:rsid w:val="00EA3DFC"/>
    <w:rsid w:val="00EA5ED4"/>
    <w:rsid w:val="00EA63F1"/>
    <w:rsid w:val="00EA7FC2"/>
    <w:rsid w:val="00EB1FE1"/>
    <w:rsid w:val="00EB342B"/>
    <w:rsid w:val="00EB5DDC"/>
    <w:rsid w:val="00EC59C9"/>
    <w:rsid w:val="00EC6020"/>
    <w:rsid w:val="00ED1FE1"/>
    <w:rsid w:val="00ED3973"/>
    <w:rsid w:val="00ED6FC5"/>
    <w:rsid w:val="00EE081F"/>
    <w:rsid w:val="00EE0AEB"/>
    <w:rsid w:val="00EE0F50"/>
    <w:rsid w:val="00EE2D76"/>
    <w:rsid w:val="00EE4693"/>
    <w:rsid w:val="00EF0785"/>
    <w:rsid w:val="00EF1D2F"/>
    <w:rsid w:val="00EF69E9"/>
    <w:rsid w:val="00F0016D"/>
    <w:rsid w:val="00F004A7"/>
    <w:rsid w:val="00F014A1"/>
    <w:rsid w:val="00F0305C"/>
    <w:rsid w:val="00F053BD"/>
    <w:rsid w:val="00F066C5"/>
    <w:rsid w:val="00F078D0"/>
    <w:rsid w:val="00F11CEB"/>
    <w:rsid w:val="00F11D75"/>
    <w:rsid w:val="00F16A55"/>
    <w:rsid w:val="00F261CB"/>
    <w:rsid w:val="00F2726F"/>
    <w:rsid w:val="00F305E8"/>
    <w:rsid w:val="00F3196C"/>
    <w:rsid w:val="00F34058"/>
    <w:rsid w:val="00F34388"/>
    <w:rsid w:val="00F36C28"/>
    <w:rsid w:val="00F43463"/>
    <w:rsid w:val="00F43EB6"/>
    <w:rsid w:val="00F448E4"/>
    <w:rsid w:val="00F4592B"/>
    <w:rsid w:val="00F45DF6"/>
    <w:rsid w:val="00F46E9F"/>
    <w:rsid w:val="00F50767"/>
    <w:rsid w:val="00F513B1"/>
    <w:rsid w:val="00F51965"/>
    <w:rsid w:val="00F52937"/>
    <w:rsid w:val="00F5396E"/>
    <w:rsid w:val="00F543E6"/>
    <w:rsid w:val="00F62B7F"/>
    <w:rsid w:val="00F76B31"/>
    <w:rsid w:val="00F80B5B"/>
    <w:rsid w:val="00F85993"/>
    <w:rsid w:val="00F873AA"/>
    <w:rsid w:val="00F929E6"/>
    <w:rsid w:val="00F93565"/>
    <w:rsid w:val="00FA280E"/>
    <w:rsid w:val="00FA467B"/>
    <w:rsid w:val="00FA5DED"/>
    <w:rsid w:val="00FA7193"/>
    <w:rsid w:val="00FA7682"/>
    <w:rsid w:val="00FB03CF"/>
    <w:rsid w:val="00FB1656"/>
    <w:rsid w:val="00FB45DD"/>
    <w:rsid w:val="00FC497F"/>
    <w:rsid w:val="00FD06E7"/>
    <w:rsid w:val="00FD44B8"/>
    <w:rsid w:val="00FD5321"/>
    <w:rsid w:val="00FD543B"/>
    <w:rsid w:val="00FE0965"/>
    <w:rsid w:val="00FE176E"/>
    <w:rsid w:val="00FE352F"/>
    <w:rsid w:val="00FE5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EEEA29"/>
  <w15:docId w15:val="{2F9A63E0-C126-41B6-8175-56B92EC04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C59C9"/>
    <w:pPr>
      <w:tabs>
        <w:tab w:val="left" w:pos="567"/>
      </w:tabs>
      <w:overflowPunct w:val="0"/>
      <w:autoSpaceDE w:val="0"/>
      <w:autoSpaceDN w:val="0"/>
      <w:adjustRightInd w:val="0"/>
      <w:textAlignment w:val="baseline"/>
    </w:pPr>
    <w:rPr>
      <w:rFonts w:ascii="Times New (W1)" w:hAnsi="Times New (W1)"/>
      <w:sz w:val="24"/>
      <w:szCs w:val="24"/>
      <w:lang w:eastAsia="en-US"/>
    </w:rPr>
  </w:style>
  <w:style w:type="paragraph" w:styleId="Heading3">
    <w:name w:val="heading 3"/>
    <w:basedOn w:val="Normal"/>
    <w:next w:val="Normal"/>
    <w:link w:val="Heading3Char"/>
    <w:qFormat/>
    <w:rsid w:val="00C43992"/>
    <w:pPr>
      <w:keepNext/>
      <w:tabs>
        <w:tab w:val="clear" w:pos="567"/>
      </w:tabs>
      <w:overflowPunct/>
      <w:autoSpaceDE/>
      <w:autoSpaceDN/>
      <w:adjustRightInd/>
      <w:spacing w:before="240" w:after="60"/>
      <w:jc w:val="both"/>
      <w:textAlignment w:val="auto"/>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DAmendHeading">
    <w:name w:val="LDAmendHeading"/>
    <w:basedOn w:val="Normal"/>
    <w:next w:val="Normal"/>
    <w:rsid w:val="00EC59C9"/>
    <w:pPr>
      <w:keepNext/>
      <w:tabs>
        <w:tab w:val="clear" w:pos="567"/>
      </w:tabs>
      <w:overflowPunct/>
      <w:autoSpaceDE/>
      <w:autoSpaceDN/>
      <w:adjustRightInd/>
      <w:spacing w:before="180" w:after="60"/>
      <w:ind w:left="720" w:hanging="720"/>
      <w:textAlignment w:val="auto"/>
    </w:pPr>
    <w:rPr>
      <w:rFonts w:ascii="Arial" w:hAnsi="Arial"/>
      <w:b/>
    </w:rPr>
  </w:style>
  <w:style w:type="paragraph" w:customStyle="1" w:styleId="LDNote">
    <w:name w:val="LDNote"/>
    <w:basedOn w:val="Normal"/>
    <w:rsid w:val="00EC59C9"/>
    <w:pPr>
      <w:tabs>
        <w:tab w:val="clear" w:pos="567"/>
        <w:tab w:val="right" w:pos="454"/>
        <w:tab w:val="left" w:pos="737"/>
      </w:tabs>
      <w:overflowPunct/>
      <w:autoSpaceDE/>
      <w:autoSpaceDN/>
      <w:adjustRightInd/>
      <w:spacing w:before="60" w:after="60"/>
      <w:ind w:left="737"/>
      <w:textAlignment w:val="auto"/>
    </w:pPr>
    <w:rPr>
      <w:rFonts w:ascii="Times New Roman" w:hAnsi="Times New Roman"/>
      <w:sz w:val="20"/>
    </w:rPr>
  </w:style>
  <w:style w:type="paragraph" w:customStyle="1" w:styleId="LDMinuteParagraph">
    <w:name w:val="LDMinuteParagraph"/>
    <w:basedOn w:val="Normal"/>
    <w:rsid w:val="00EC59C9"/>
    <w:pPr>
      <w:spacing w:after="120"/>
    </w:pPr>
  </w:style>
  <w:style w:type="character" w:styleId="PageNumber">
    <w:name w:val="page number"/>
    <w:basedOn w:val="DefaultParagraphFont"/>
    <w:rsid w:val="00EC59C9"/>
  </w:style>
  <w:style w:type="paragraph" w:customStyle="1" w:styleId="LDBodytext">
    <w:name w:val="LDBody text"/>
    <w:link w:val="LDBodytextChar"/>
    <w:rsid w:val="00EC59C9"/>
    <w:rPr>
      <w:sz w:val="24"/>
      <w:szCs w:val="24"/>
      <w:lang w:eastAsia="en-US"/>
    </w:rPr>
  </w:style>
  <w:style w:type="paragraph" w:customStyle="1" w:styleId="Default">
    <w:name w:val="Default"/>
    <w:rsid w:val="00EC6020"/>
    <w:pPr>
      <w:autoSpaceDE w:val="0"/>
      <w:autoSpaceDN w:val="0"/>
      <w:adjustRightInd w:val="0"/>
    </w:pPr>
    <w:rPr>
      <w:color w:val="000000"/>
      <w:sz w:val="24"/>
      <w:szCs w:val="24"/>
    </w:rPr>
  </w:style>
  <w:style w:type="character" w:customStyle="1" w:styleId="Heading3Char">
    <w:name w:val="Heading 3 Char"/>
    <w:link w:val="Heading3"/>
    <w:rsid w:val="00C43992"/>
    <w:rPr>
      <w:rFonts w:ascii="Arial" w:hAnsi="Arial" w:cs="Arial"/>
      <w:b/>
      <w:bCs/>
      <w:sz w:val="26"/>
      <w:szCs w:val="26"/>
      <w:lang w:val="en-US" w:eastAsia="en-US"/>
    </w:rPr>
  </w:style>
  <w:style w:type="paragraph" w:customStyle="1" w:styleId="LDDescription">
    <w:name w:val="LD Description"/>
    <w:basedOn w:val="Normal"/>
    <w:rsid w:val="00C43992"/>
    <w:pPr>
      <w:pBdr>
        <w:bottom w:val="single" w:sz="4" w:space="3" w:color="auto"/>
      </w:pBdr>
      <w:tabs>
        <w:tab w:val="clear" w:pos="567"/>
      </w:tabs>
      <w:overflowPunct/>
      <w:autoSpaceDE/>
      <w:autoSpaceDN/>
      <w:adjustRightInd/>
      <w:spacing w:before="360" w:after="120"/>
      <w:textAlignment w:val="auto"/>
    </w:pPr>
    <w:rPr>
      <w:rFonts w:ascii="Arial" w:hAnsi="Arial"/>
      <w:b/>
    </w:rPr>
  </w:style>
  <w:style w:type="paragraph" w:styleId="BalloonText">
    <w:name w:val="Balloon Text"/>
    <w:basedOn w:val="Normal"/>
    <w:link w:val="BalloonTextChar"/>
    <w:rsid w:val="007522EF"/>
    <w:rPr>
      <w:rFonts w:ascii="Tahoma" w:hAnsi="Tahoma" w:cs="Tahoma"/>
      <w:sz w:val="16"/>
      <w:szCs w:val="16"/>
    </w:rPr>
  </w:style>
  <w:style w:type="character" w:customStyle="1" w:styleId="BalloonTextChar">
    <w:name w:val="Balloon Text Char"/>
    <w:link w:val="BalloonText"/>
    <w:rsid w:val="007522EF"/>
    <w:rPr>
      <w:rFonts w:ascii="Tahoma" w:hAnsi="Tahoma" w:cs="Tahoma"/>
      <w:sz w:val="16"/>
      <w:szCs w:val="16"/>
      <w:lang w:eastAsia="en-US"/>
    </w:rPr>
  </w:style>
  <w:style w:type="character" w:customStyle="1" w:styleId="LDBodytextChar">
    <w:name w:val="LDBody text Char"/>
    <w:link w:val="LDBodytext"/>
    <w:rsid w:val="00E119C3"/>
    <w:rPr>
      <w:sz w:val="24"/>
      <w:szCs w:val="24"/>
      <w:lang w:eastAsia="en-US"/>
    </w:rPr>
  </w:style>
  <w:style w:type="paragraph" w:styleId="BodyText">
    <w:name w:val="Body Text"/>
    <w:basedOn w:val="Normal"/>
    <w:link w:val="BodyTextChar"/>
    <w:rsid w:val="00E119C3"/>
    <w:pPr>
      <w:tabs>
        <w:tab w:val="clear" w:pos="567"/>
      </w:tabs>
      <w:overflowPunct/>
      <w:autoSpaceDE/>
      <w:autoSpaceDN/>
      <w:adjustRightInd/>
      <w:textAlignment w:val="auto"/>
    </w:pPr>
  </w:style>
  <w:style w:type="character" w:customStyle="1" w:styleId="BodyTextChar">
    <w:name w:val="Body Text Char"/>
    <w:link w:val="BodyText"/>
    <w:rsid w:val="00E119C3"/>
    <w:rPr>
      <w:rFonts w:ascii="Times New (W1)" w:hAnsi="Times New (W1)"/>
      <w:sz w:val="24"/>
      <w:szCs w:val="24"/>
      <w:lang w:eastAsia="en-US"/>
    </w:rPr>
  </w:style>
  <w:style w:type="paragraph" w:customStyle="1" w:styleId="LDClauseHeading">
    <w:name w:val="LDClauseHeading"/>
    <w:basedOn w:val="Normal"/>
    <w:next w:val="Normal"/>
    <w:rsid w:val="00E119C3"/>
    <w:pPr>
      <w:keepNext/>
      <w:tabs>
        <w:tab w:val="clear" w:pos="567"/>
        <w:tab w:val="left" w:pos="737"/>
      </w:tabs>
      <w:overflowPunct/>
      <w:autoSpaceDE/>
      <w:autoSpaceDN/>
      <w:adjustRightInd/>
      <w:spacing w:before="180" w:after="60"/>
      <w:ind w:left="737" w:hanging="737"/>
      <w:textAlignment w:val="auto"/>
    </w:pPr>
    <w:rPr>
      <w:rFonts w:ascii="Arial" w:hAnsi="Arial"/>
      <w:b/>
    </w:rPr>
  </w:style>
  <w:style w:type="paragraph" w:customStyle="1" w:styleId="NPRMBodyText">
    <w:name w:val="NPRMBodyText"/>
    <w:basedOn w:val="Normal"/>
    <w:link w:val="NPRMBodyTextChar"/>
    <w:rsid w:val="00E119C3"/>
    <w:pPr>
      <w:widowControl w:val="0"/>
      <w:tabs>
        <w:tab w:val="clear" w:pos="567"/>
        <w:tab w:val="left" w:pos="709"/>
      </w:tabs>
      <w:jc w:val="both"/>
    </w:pPr>
    <w:rPr>
      <w:rFonts w:ascii="Times New Roman" w:hAnsi="Times New Roman"/>
      <w:szCs w:val="20"/>
    </w:rPr>
  </w:style>
  <w:style w:type="character" w:customStyle="1" w:styleId="NPRMBodyTextChar">
    <w:name w:val="NPRMBodyText Char"/>
    <w:link w:val="NPRMBodyText"/>
    <w:rsid w:val="00E119C3"/>
    <w:rPr>
      <w:sz w:val="24"/>
      <w:lang w:eastAsia="en-US"/>
    </w:rPr>
  </w:style>
  <w:style w:type="character" w:customStyle="1" w:styleId="LDCitation">
    <w:name w:val="LDCitation"/>
    <w:rsid w:val="00434240"/>
    <w:rPr>
      <w:i/>
      <w:iCs/>
    </w:rPr>
  </w:style>
  <w:style w:type="character" w:styleId="Hyperlink">
    <w:name w:val="Hyperlink"/>
    <w:basedOn w:val="DefaultParagraphFont"/>
    <w:unhideWhenUsed/>
    <w:rsid w:val="0096799E"/>
    <w:rPr>
      <w:color w:val="0000FF" w:themeColor="hyperlink"/>
      <w:u w:val="single"/>
    </w:rPr>
  </w:style>
  <w:style w:type="character" w:customStyle="1" w:styleId="UnresolvedMention1">
    <w:name w:val="Unresolved Mention1"/>
    <w:basedOn w:val="DefaultParagraphFont"/>
    <w:uiPriority w:val="99"/>
    <w:semiHidden/>
    <w:unhideWhenUsed/>
    <w:rsid w:val="0096799E"/>
    <w:rPr>
      <w:color w:val="808080"/>
      <w:shd w:val="clear" w:color="auto" w:fill="E6E6E6"/>
    </w:rPr>
  </w:style>
  <w:style w:type="character" w:styleId="CommentReference">
    <w:name w:val="annotation reference"/>
    <w:basedOn w:val="DefaultParagraphFont"/>
    <w:semiHidden/>
    <w:unhideWhenUsed/>
    <w:rsid w:val="009F37DD"/>
    <w:rPr>
      <w:sz w:val="16"/>
      <w:szCs w:val="16"/>
    </w:rPr>
  </w:style>
  <w:style w:type="paragraph" w:styleId="CommentText">
    <w:name w:val="annotation text"/>
    <w:basedOn w:val="Normal"/>
    <w:link w:val="CommentTextChar"/>
    <w:semiHidden/>
    <w:unhideWhenUsed/>
    <w:rsid w:val="009F37DD"/>
    <w:rPr>
      <w:sz w:val="20"/>
      <w:szCs w:val="20"/>
    </w:rPr>
  </w:style>
  <w:style w:type="character" w:customStyle="1" w:styleId="CommentTextChar">
    <w:name w:val="Comment Text Char"/>
    <w:basedOn w:val="DefaultParagraphFont"/>
    <w:link w:val="CommentText"/>
    <w:semiHidden/>
    <w:rsid w:val="009F37DD"/>
    <w:rPr>
      <w:rFonts w:ascii="Times New (W1)" w:hAnsi="Times New (W1)"/>
      <w:lang w:eastAsia="en-US"/>
    </w:rPr>
  </w:style>
  <w:style w:type="paragraph" w:styleId="CommentSubject">
    <w:name w:val="annotation subject"/>
    <w:basedOn w:val="CommentText"/>
    <w:next w:val="CommentText"/>
    <w:link w:val="CommentSubjectChar"/>
    <w:semiHidden/>
    <w:unhideWhenUsed/>
    <w:rsid w:val="009F37DD"/>
    <w:rPr>
      <w:b/>
      <w:bCs/>
    </w:rPr>
  </w:style>
  <w:style w:type="character" w:customStyle="1" w:styleId="CommentSubjectChar">
    <w:name w:val="Comment Subject Char"/>
    <w:basedOn w:val="CommentTextChar"/>
    <w:link w:val="CommentSubject"/>
    <w:semiHidden/>
    <w:rsid w:val="009F37DD"/>
    <w:rPr>
      <w:rFonts w:ascii="Times New (W1)" w:hAnsi="Times New (W1)"/>
      <w:b/>
      <w:bCs/>
      <w:lang w:eastAsia="en-US"/>
    </w:rPr>
  </w:style>
  <w:style w:type="paragraph" w:styleId="ListParagraph">
    <w:name w:val="List Paragraph"/>
    <w:basedOn w:val="Normal"/>
    <w:uiPriority w:val="34"/>
    <w:qFormat/>
    <w:rsid w:val="00B93BA1"/>
    <w:pPr>
      <w:ind w:left="720"/>
      <w:contextualSpacing/>
    </w:pPr>
  </w:style>
  <w:style w:type="paragraph" w:styleId="Header">
    <w:name w:val="header"/>
    <w:basedOn w:val="Normal"/>
    <w:link w:val="HeaderChar"/>
    <w:unhideWhenUsed/>
    <w:rsid w:val="00435878"/>
    <w:pPr>
      <w:tabs>
        <w:tab w:val="clear" w:pos="567"/>
        <w:tab w:val="center" w:pos="4513"/>
        <w:tab w:val="right" w:pos="9026"/>
      </w:tabs>
    </w:pPr>
  </w:style>
  <w:style w:type="character" w:customStyle="1" w:styleId="HeaderChar">
    <w:name w:val="Header Char"/>
    <w:basedOn w:val="DefaultParagraphFont"/>
    <w:link w:val="Header"/>
    <w:rsid w:val="00435878"/>
    <w:rPr>
      <w:rFonts w:ascii="Times New (W1)" w:hAnsi="Times New (W1)"/>
      <w:sz w:val="24"/>
      <w:szCs w:val="24"/>
      <w:lang w:eastAsia="en-US"/>
    </w:rPr>
  </w:style>
  <w:style w:type="paragraph" w:styleId="Footer">
    <w:name w:val="footer"/>
    <w:basedOn w:val="Normal"/>
    <w:link w:val="FooterChar"/>
    <w:unhideWhenUsed/>
    <w:rsid w:val="00435878"/>
    <w:pPr>
      <w:tabs>
        <w:tab w:val="clear" w:pos="567"/>
        <w:tab w:val="center" w:pos="4513"/>
        <w:tab w:val="right" w:pos="9026"/>
      </w:tabs>
    </w:pPr>
  </w:style>
  <w:style w:type="character" w:customStyle="1" w:styleId="FooterChar">
    <w:name w:val="Footer Char"/>
    <w:basedOn w:val="DefaultParagraphFont"/>
    <w:link w:val="Footer"/>
    <w:rsid w:val="00435878"/>
    <w:rPr>
      <w:rFonts w:ascii="Times New (W1)" w:hAnsi="Times New (W1)"/>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1EB70A-56DE-49AF-A402-CB9915393E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6</Pages>
  <Words>2824</Words>
  <Characters>14545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CASA EX45/21</vt:lpstr>
    </vt:vector>
  </TitlesOfParts>
  <Company>Civil Aviation Safety Authority</Company>
  <LinksUpToDate>false</LinksUpToDate>
  <CharactersWithSpaces>17335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EX45/21</dc:title>
  <dc:subject>ATSB Winching Operations Instrument 2021</dc:subject>
  <dc:creator>Civil Aviation Safety Authority</dc:creator>
  <dc:description>—</dc:description>
  <cp:lastModifiedBy>Spesyvy, Nadia</cp:lastModifiedBy>
  <cp:revision>12</cp:revision>
  <cp:lastPrinted>2021-04-26T23:10:00Z</cp:lastPrinted>
  <dcterms:created xsi:type="dcterms:W3CDTF">2021-04-26T22:06:00Z</dcterms:created>
  <dcterms:modified xsi:type="dcterms:W3CDTF">2021-04-29T00:45:00Z</dcterms:modified>
  <cp:category>Exemptions, authorisations and permissions</cp:category>
</cp:coreProperties>
</file>