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1B807" w14:textId="77777777" w:rsidR="007A53DD" w:rsidRPr="00BC76EB" w:rsidRDefault="002533F0" w:rsidP="00A2231E">
      <w:pPr>
        <w:spacing w:before="0" w:after="120"/>
        <w:ind w:right="91"/>
        <w:jc w:val="center"/>
        <w:rPr>
          <w:rFonts w:ascii="Arial" w:hAnsi="Arial" w:cs="Arial"/>
          <w:color w:val="0070C0"/>
          <w:szCs w:val="24"/>
        </w:rPr>
      </w:pPr>
      <w:bookmarkStart w:id="0" w:name="_GoBack"/>
      <w:bookmarkEnd w:id="0"/>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183DCB33" w14:textId="77777777" w:rsidR="002533F0" w:rsidRPr="00BC76EB" w:rsidRDefault="002533F0" w:rsidP="002533F0">
      <w:pPr>
        <w:spacing w:before="0"/>
        <w:ind w:right="91"/>
        <w:jc w:val="center"/>
        <w:rPr>
          <w:rFonts w:ascii="Arial" w:hAnsi="Arial" w:cs="Arial"/>
          <w:szCs w:val="24"/>
        </w:rPr>
      </w:pPr>
    </w:p>
    <w:p w14:paraId="15A91150" w14:textId="77777777" w:rsidR="00EC0C59" w:rsidRPr="00BC76EB" w:rsidRDefault="00EC0C59" w:rsidP="002533F0">
      <w:pPr>
        <w:spacing w:before="0"/>
        <w:ind w:right="91"/>
        <w:jc w:val="center"/>
        <w:rPr>
          <w:rFonts w:ascii="Arial" w:hAnsi="Arial" w:cs="Arial"/>
          <w:b/>
          <w:szCs w:val="24"/>
          <w:u w:val="single"/>
        </w:rPr>
      </w:pPr>
    </w:p>
    <w:p w14:paraId="1209DCDE"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A2231E">
        <w:rPr>
          <w:rFonts w:ascii="Arial" w:hAnsi="Arial" w:cs="Arial"/>
          <w:szCs w:val="24"/>
        </w:rPr>
        <w:t>Families and Social Services</w:t>
      </w:r>
      <w:r w:rsidR="00446D6C" w:rsidRPr="00BC76EB">
        <w:rPr>
          <w:rFonts w:ascii="Arial" w:hAnsi="Arial" w:cs="Arial"/>
          <w:szCs w:val="24"/>
        </w:rPr>
        <w:t xml:space="preserve"> </w:t>
      </w:r>
    </w:p>
    <w:p w14:paraId="1F6AE9F9" w14:textId="77777777" w:rsidR="002533F0" w:rsidRPr="00BC76EB" w:rsidRDefault="002533F0" w:rsidP="002533F0">
      <w:pPr>
        <w:spacing w:before="0"/>
        <w:ind w:right="91"/>
        <w:jc w:val="center"/>
        <w:rPr>
          <w:rFonts w:ascii="Arial" w:hAnsi="Arial" w:cs="Arial"/>
          <w:i/>
          <w:szCs w:val="24"/>
        </w:rPr>
      </w:pPr>
    </w:p>
    <w:p w14:paraId="639EA735" w14:textId="77777777" w:rsidR="00966756" w:rsidRPr="00A2231E" w:rsidRDefault="00A2231E" w:rsidP="002533F0">
      <w:pPr>
        <w:spacing w:before="0"/>
        <w:ind w:right="91"/>
        <w:jc w:val="center"/>
        <w:rPr>
          <w:rFonts w:ascii="Arial" w:hAnsi="Arial" w:cs="Arial"/>
          <w:i/>
          <w:szCs w:val="24"/>
        </w:rPr>
      </w:pPr>
      <w:r w:rsidRPr="00A2231E">
        <w:rPr>
          <w:rFonts w:ascii="Arial" w:hAnsi="Arial" w:cs="Arial"/>
          <w:i/>
          <w:szCs w:val="24"/>
        </w:rPr>
        <w:t>Child Support (Assessment) Act 1989</w:t>
      </w:r>
    </w:p>
    <w:p w14:paraId="58818D78" w14:textId="77777777" w:rsidR="00966756" w:rsidRPr="00BC76EB" w:rsidRDefault="00966756" w:rsidP="002533F0">
      <w:pPr>
        <w:spacing w:before="0"/>
        <w:ind w:right="91"/>
        <w:jc w:val="center"/>
        <w:rPr>
          <w:rFonts w:ascii="Arial" w:hAnsi="Arial" w:cs="Arial"/>
          <w:szCs w:val="24"/>
        </w:rPr>
      </w:pPr>
    </w:p>
    <w:p w14:paraId="7D1D200A" w14:textId="77777777" w:rsidR="002533F0" w:rsidRPr="00BC76EB" w:rsidRDefault="00A2231E" w:rsidP="002533F0">
      <w:pPr>
        <w:spacing w:before="0"/>
        <w:ind w:right="91"/>
        <w:jc w:val="center"/>
        <w:rPr>
          <w:rFonts w:ascii="Arial" w:hAnsi="Arial" w:cs="Arial"/>
          <w:i/>
          <w:szCs w:val="24"/>
        </w:rPr>
      </w:pPr>
      <w:r>
        <w:rPr>
          <w:rFonts w:ascii="Arial" w:hAnsi="Arial" w:cs="Arial"/>
          <w:szCs w:val="24"/>
        </w:rPr>
        <w:t>Child Support (Assessment) (AWE amount) Determination 2021</w:t>
      </w:r>
    </w:p>
    <w:p w14:paraId="61630B9A" w14:textId="77777777" w:rsidR="002533F0" w:rsidRPr="00BC76EB" w:rsidRDefault="002533F0" w:rsidP="002533F0">
      <w:pPr>
        <w:spacing w:before="0"/>
        <w:ind w:right="91"/>
        <w:jc w:val="center"/>
        <w:rPr>
          <w:rFonts w:ascii="Arial" w:hAnsi="Arial" w:cs="Arial"/>
          <w:i/>
          <w:szCs w:val="24"/>
        </w:rPr>
      </w:pPr>
    </w:p>
    <w:p w14:paraId="2FC10969"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1B92BB4B" w14:textId="77777777" w:rsidR="00A2231E" w:rsidRPr="00A2231E" w:rsidRDefault="00A2231E" w:rsidP="00A2231E">
      <w:pPr>
        <w:rPr>
          <w:rStyle w:val="BookTitle"/>
          <w:rFonts w:ascii="Arial" w:hAnsi="Arial" w:cs="Arial"/>
          <w:i w:val="0"/>
          <w:iCs w:val="0"/>
          <w:smallCaps w:val="0"/>
          <w:spacing w:val="0"/>
          <w:szCs w:val="24"/>
        </w:rPr>
      </w:pPr>
      <w:r w:rsidRPr="00A2231E">
        <w:rPr>
          <w:rStyle w:val="BookTitle"/>
          <w:rFonts w:ascii="Arial" w:hAnsi="Arial" w:cs="Arial"/>
          <w:i w:val="0"/>
          <w:iCs w:val="0"/>
          <w:smallCaps w:val="0"/>
          <w:spacing w:val="0"/>
          <w:szCs w:val="24"/>
        </w:rPr>
        <w:t>Th</w:t>
      </w:r>
      <w:r>
        <w:rPr>
          <w:rStyle w:val="BookTitle"/>
          <w:rFonts w:ascii="Arial" w:hAnsi="Arial" w:cs="Arial"/>
          <w:i w:val="0"/>
          <w:iCs w:val="0"/>
          <w:smallCaps w:val="0"/>
          <w:spacing w:val="0"/>
          <w:szCs w:val="24"/>
        </w:rPr>
        <w:t>e Child Support (Assessment) (AWE amount) Determination 2021</w:t>
      </w:r>
      <w:r w:rsidRPr="00A2231E">
        <w:rPr>
          <w:rStyle w:val="BookTitle"/>
          <w:rFonts w:ascii="Arial" w:hAnsi="Arial" w:cs="Arial"/>
          <w:i w:val="0"/>
          <w:iCs w:val="0"/>
          <w:smallCaps w:val="0"/>
          <w:spacing w:val="0"/>
          <w:szCs w:val="24"/>
        </w:rPr>
        <w:t xml:space="preserve"> (the instrument) determines an amount under subsection 5</w:t>
      </w:r>
      <w:r>
        <w:rPr>
          <w:rStyle w:val="BookTitle"/>
          <w:rFonts w:ascii="Arial" w:hAnsi="Arial" w:cs="Arial"/>
          <w:i w:val="0"/>
          <w:iCs w:val="0"/>
          <w:smallCaps w:val="0"/>
          <w:spacing w:val="0"/>
          <w:szCs w:val="24"/>
        </w:rPr>
        <w:t>8AA(4</w:t>
      </w:r>
      <w:r w:rsidRPr="00A2231E">
        <w:rPr>
          <w:rStyle w:val="BookTitle"/>
          <w:rFonts w:ascii="Arial" w:hAnsi="Arial" w:cs="Arial"/>
          <w:i w:val="0"/>
          <w:iCs w:val="0"/>
          <w:smallCaps w:val="0"/>
          <w:spacing w:val="0"/>
          <w:szCs w:val="24"/>
        </w:rPr>
        <w:t xml:space="preserve">) of the </w:t>
      </w:r>
      <w:r w:rsidRPr="00960409">
        <w:rPr>
          <w:rStyle w:val="BookTitle"/>
          <w:rFonts w:ascii="Arial" w:hAnsi="Arial" w:cs="Arial"/>
          <w:iCs w:val="0"/>
          <w:smallCaps w:val="0"/>
          <w:spacing w:val="0"/>
          <w:szCs w:val="24"/>
        </w:rPr>
        <w:t>Child Support (Assessment) Act 1989</w:t>
      </w:r>
      <w:r w:rsidRPr="00A2231E">
        <w:rPr>
          <w:rStyle w:val="BookTitle"/>
          <w:rFonts w:ascii="Arial" w:hAnsi="Arial" w:cs="Arial"/>
          <w:i w:val="0"/>
          <w:iCs w:val="0"/>
          <w:smallCaps w:val="0"/>
          <w:spacing w:val="0"/>
          <w:szCs w:val="24"/>
        </w:rPr>
        <w:t xml:space="preserve"> (the</w:t>
      </w:r>
      <w:r>
        <w:rPr>
          <w:rStyle w:val="BookTitle"/>
          <w:rFonts w:ascii="Arial" w:hAnsi="Arial" w:cs="Arial"/>
          <w:i w:val="0"/>
          <w:iCs w:val="0"/>
          <w:smallCaps w:val="0"/>
          <w:spacing w:val="0"/>
          <w:szCs w:val="24"/>
        </w:rPr>
        <w:t xml:space="preserve"> Child Support Assessment Act).</w:t>
      </w:r>
    </w:p>
    <w:p w14:paraId="6727DDEC" w14:textId="6AED7FD3" w:rsidR="00A2231E" w:rsidRPr="00A2231E" w:rsidRDefault="00A2231E" w:rsidP="00A2231E">
      <w:pPr>
        <w:rPr>
          <w:rStyle w:val="BookTitle"/>
          <w:rFonts w:ascii="Arial" w:hAnsi="Arial" w:cs="Arial"/>
          <w:i w:val="0"/>
          <w:iCs w:val="0"/>
          <w:smallCaps w:val="0"/>
          <w:spacing w:val="0"/>
          <w:szCs w:val="24"/>
        </w:rPr>
      </w:pPr>
      <w:r w:rsidRPr="00A2231E">
        <w:rPr>
          <w:rStyle w:val="BookTitle"/>
          <w:rFonts w:ascii="Arial" w:hAnsi="Arial" w:cs="Arial"/>
          <w:i w:val="0"/>
          <w:iCs w:val="0"/>
          <w:smallCaps w:val="0"/>
          <w:spacing w:val="0"/>
          <w:szCs w:val="24"/>
        </w:rPr>
        <w:t>The amount determined in the instrument</w:t>
      </w:r>
      <w:r w:rsidR="00AF742D">
        <w:rPr>
          <w:rStyle w:val="BookTitle"/>
          <w:rFonts w:ascii="Arial" w:hAnsi="Arial" w:cs="Arial"/>
          <w:i w:val="0"/>
          <w:iCs w:val="0"/>
          <w:smallCaps w:val="0"/>
          <w:spacing w:val="0"/>
          <w:szCs w:val="24"/>
        </w:rPr>
        <w:t xml:space="preserve"> on the advice of</w:t>
      </w:r>
      <w:r w:rsidR="00E12FD0">
        <w:rPr>
          <w:rStyle w:val="BookTitle"/>
          <w:rFonts w:ascii="Arial" w:hAnsi="Arial" w:cs="Arial"/>
          <w:i w:val="0"/>
          <w:iCs w:val="0"/>
          <w:smallCaps w:val="0"/>
          <w:spacing w:val="0"/>
          <w:szCs w:val="24"/>
        </w:rPr>
        <w:t xml:space="preserve"> </w:t>
      </w:r>
      <w:r w:rsidRPr="00A2231E">
        <w:rPr>
          <w:rStyle w:val="BookTitle"/>
          <w:rFonts w:ascii="Arial" w:hAnsi="Arial" w:cs="Arial"/>
          <w:i w:val="0"/>
          <w:iCs w:val="0"/>
          <w:smallCaps w:val="0"/>
          <w:spacing w:val="0"/>
          <w:szCs w:val="24"/>
        </w:rPr>
        <w:t>the Australian Statistician</w:t>
      </w:r>
      <w:r w:rsidR="00876F40">
        <w:rPr>
          <w:rStyle w:val="BookTitle"/>
          <w:rFonts w:ascii="Arial" w:hAnsi="Arial" w:cs="Arial"/>
          <w:i w:val="0"/>
          <w:iCs w:val="0"/>
          <w:smallCaps w:val="0"/>
          <w:spacing w:val="0"/>
          <w:szCs w:val="24"/>
        </w:rPr>
        <w:t>,</w:t>
      </w:r>
      <w:r w:rsidRPr="00A2231E">
        <w:rPr>
          <w:rStyle w:val="BookTitle"/>
          <w:rFonts w:ascii="Arial" w:hAnsi="Arial" w:cs="Arial"/>
          <w:i w:val="0"/>
          <w:iCs w:val="0"/>
          <w:smallCaps w:val="0"/>
          <w:spacing w:val="0"/>
          <w:szCs w:val="24"/>
        </w:rPr>
        <w:t xml:space="preserve"> will be taken to be the</w:t>
      </w:r>
      <w:r w:rsidR="00024808">
        <w:rPr>
          <w:rStyle w:val="BookTitle"/>
          <w:rFonts w:ascii="Arial" w:hAnsi="Arial" w:cs="Arial"/>
          <w:i w:val="0"/>
          <w:iCs w:val="0"/>
          <w:smallCaps w:val="0"/>
          <w:spacing w:val="0"/>
          <w:szCs w:val="24"/>
        </w:rPr>
        <w:t xml:space="preserve"> trend</w:t>
      </w:r>
      <w:r w:rsidRPr="00A2231E">
        <w:rPr>
          <w:rStyle w:val="BookTitle"/>
          <w:rFonts w:ascii="Arial" w:hAnsi="Arial" w:cs="Arial"/>
          <w:i w:val="0"/>
          <w:iCs w:val="0"/>
          <w:smallCaps w:val="0"/>
          <w:spacing w:val="0"/>
          <w:szCs w:val="24"/>
        </w:rPr>
        <w:t xml:space="preserve"> A</w:t>
      </w:r>
      <w:r w:rsidR="00B65B05">
        <w:rPr>
          <w:rStyle w:val="BookTitle"/>
          <w:rFonts w:ascii="Arial" w:hAnsi="Arial" w:cs="Arial"/>
          <w:i w:val="0"/>
          <w:iCs w:val="0"/>
          <w:smallCaps w:val="0"/>
          <w:spacing w:val="0"/>
          <w:szCs w:val="24"/>
        </w:rPr>
        <w:t xml:space="preserve">verage </w:t>
      </w:r>
      <w:r w:rsidRPr="00A2231E">
        <w:rPr>
          <w:rStyle w:val="BookTitle"/>
          <w:rFonts w:ascii="Arial" w:hAnsi="Arial" w:cs="Arial"/>
          <w:i w:val="0"/>
          <w:iCs w:val="0"/>
          <w:smallCaps w:val="0"/>
          <w:spacing w:val="0"/>
          <w:szCs w:val="24"/>
        </w:rPr>
        <w:t>W</w:t>
      </w:r>
      <w:r w:rsidR="00B65B05">
        <w:rPr>
          <w:rStyle w:val="BookTitle"/>
          <w:rFonts w:ascii="Arial" w:hAnsi="Arial" w:cs="Arial"/>
          <w:i w:val="0"/>
          <w:iCs w:val="0"/>
          <w:smallCaps w:val="0"/>
          <w:spacing w:val="0"/>
          <w:szCs w:val="24"/>
        </w:rPr>
        <w:t xml:space="preserve">eekly </w:t>
      </w:r>
      <w:r w:rsidRPr="00A2231E">
        <w:rPr>
          <w:rStyle w:val="BookTitle"/>
          <w:rFonts w:ascii="Arial" w:hAnsi="Arial" w:cs="Arial"/>
          <w:i w:val="0"/>
          <w:iCs w:val="0"/>
          <w:smallCaps w:val="0"/>
          <w:spacing w:val="0"/>
          <w:szCs w:val="24"/>
        </w:rPr>
        <w:t>E</w:t>
      </w:r>
      <w:r w:rsidR="00B65B05">
        <w:rPr>
          <w:rStyle w:val="BookTitle"/>
          <w:rFonts w:ascii="Arial" w:hAnsi="Arial" w:cs="Arial"/>
          <w:i w:val="0"/>
          <w:iCs w:val="0"/>
          <w:smallCaps w:val="0"/>
          <w:spacing w:val="0"/>
          <w:szCs w:val="24"/>
        </w:rPr>
        <w:t>arnings (AWE)</w:t>
      </w:r>
      <w:r w:rsidRPr="00A2231E">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amount</w:t>
      </w:r>
      <w:r w:rsidRPr="00A2231E">
        <w:rPr>
          <w:rStyle w:val="BookTitle"/>
          <w:rFonts w:ascii="Arial" w:hAnsi="Arial" w:cs="Arial"/>
          <w:i w:val="0"/>
          <w:iCs w:val="0"/>
          <w:smallCaps w:val="0"/>
          <w:spacing w:val="0"/>
          <w:szCs w:val="24"/>
        </w:rPr>
        <w:t xml:space="preserve"> for the </w:t>
      </w:r>
      <w:r>
        <w:rPr>
          <w:rStyle w:val="BookTitle"/>
          <w:rFonts w:ascii="Arial" w:hAnsi="Arial" w:cs="Arial"/>
          <w:i w:val="0"/>
          <w:iCs w:val="0"/>
          <w:smallCaps w:val="0"/>
          <w:spacing w:val="0"/>
          <w:szCs w:val="24"/>
        </w:rPr>
        <w:t>December</w:t>
      </w:r>
      <w:r w:rsidR="00B32EF4">
        <w:rPr>
          <w:rStyle w:val="BookTitle"/>
          <w:rFonts w:ascii="Arial" w:hAnsi="Arial" w:cs="Arial"/>
          <w:i w:val="0"/>
          <w:iCs w:val="0"/>
          <w:smallCaps w:val="0"/>
          <w:spacing w:val="0"/>
          <w:szCs w:val="24"/>
        </w:rPr>
        <w:t xml:space="preserve"> quarter </w:t>
      </w:r>
      <w:r w:rsidRPr="00A2231E">
        <w:rPr>
          <w:rStyle w:val="BookTitle"/>
          <w:rFonts w:ascii="Arial" w:hAnsi="Arial" w:cs="Arial"/>
          <w:i w:val="0"/>
          <w:iCs w:val="0"/>
          <w:smallCaps w:val="0"/>
          <w:spacing w:val="0"/>
          <w:szCs w:val="24"/>
        </w:rPr>
        <w:t>2020</w:t>
      </w:r>
      <w:r w:rsidR="00AF742D">
        <w:rPr>
          <w:rStyle w:val="BookTitle"/>
          <w:rFonts w:ascii="Arial" w:hAnsi="Arial" w:cs="Arial"/>
          <w:i w:val="0"/>
          <w:iCs w:val="0"/>
          <w:smallCaps w:val="0"/>
          <w:spacing w:val="0"/>
          <w:szCs w:val="24"/>
        </w:rPr>
        <w:t>,</w:t>
      </w:r>
      <w:r w:rsidRPr="00A2231E">
        <w:rPr>
          <w:rStyle w:val="BookTitle"/>
          <w:rFonts w:ascii="Arial" w:hAnsi="Arial" w:cs="Arial"/>
          <w:i w:val="0"/>
          <w:iCs w:val="0"/>
          <w:smallCaps w:val="0"/>
          <w:spacing w:val="0"/>
          <w:szCs w:val="24"/>
        </w:rPr>
        <w:t xml:space="preserve"> in accordance with subsection 5</w:t>
      </w:r>
      <w:r>
        <w:rPr>
          <w:rStyle w:val="BookTitle"/>
          <w:rFonts w:ascii="Arial" w:hAnsi="Arial" w:cs="Arial"/>
          <w:i w:val="0"/>
          <w:iCs w:val="0"/>
          <w:smallCaps w:val="0"/>
          <w:spacing w:val="0"/>
          <w:szCs w:val="24"/>
        </w:rPr>
        <w:t>8AA(5</w:t>
      </w:r>
      <w:r w:rsidRPr="00A2231E">
        <w:rPr>
          <w:rStyle w:val="BookTitle"/>
          <w:rFonts w:ascii="Arial" w:hAnsi="Arial" w:cs="Arial"/>
          <w:i w:val="0"/>
          <w:iCs w:val="0"/>
          <w:smallCaps w:val="0"/>
          <w:spacing w:val="0"/>
          <w:szCs w:val="24"/>
        </w:rPr>
        <w:t>) of the</w:t>
      </w:r>
      <w:r>
        <w:rPr>
          <w:rStyle w:val="BookTitle"/>
          <w:rFonts w:ascii="Arial" w:hAnsi="Arial" w:cs="Arial"/>
          <w:i w:val="0"/>
          <w:iCs w:val="0"/>
          <w:smallCaps w:val="0"/>
          <w:spacing w:val="0"/>
          <w:szCs w:val="24"/>
        </w:rPr>
        <w:t xml:space="preserve"> Child Support Assessment Act. </w:t>
      </w:r>
    </w:p>
    <w:p w14:paraId="7F7990FB" w14:textId="6EEC73B1" w:rsidR="00A2231E" w:rsidRDefault="00A2231E" w:rsidP="00A2231E">
      <w:pPr>
        <w:rPr>
          <w:rStyle w:val="BookTitle"/>
          <w:rFonts w:ascii="Arial" w:hAnsi="Arial" w:cs="Arial"/>
          <w:i w:val="0"/>
          <w:iCs w:val="0"/>
          <w:smallCaps w:val="0"/>
          <w:spacing w:val="0"/>
          <w:szCs w:val="24"/>
        </w:rPr>
      </w:pPr>
      <w:r w:rsidRPr="00A2231E">
        <w:rPr>
          <w:rStyle w:val="BookTitle"/>
          <w:rFonts w:ascii="Arial" w:hAnsi="Arial" w:cs="Arial"/>
          <w:i w:val="0"/>
          <w:iCs w:val="0"/>
          <w:smallCaps w:val="0"/>
          <w:spacing w:val="0"/>
          <w:szCs w:val="24"/>
        </w:rPr>
        <w:t>Determination of an</w:t>
      </w:r>
      <w:r>
        <w:rPr>
          <w:rStyle w:val="BookTitle"/>
          <w:rFonts w:ascii="Arial" w:hAnsi="Arial" w:cs="Arial"/>
          <w:i w:val="0"/>
          <w:iCs w:val="0"/>
          <w:smallCaps w:val="0"/>
          <w:spacing w:val="0"/>
          <w:szCs w:val="24"/>
        </w:rPr>
        <w:t xml:space="preserve"> </w:t>
      </w:r>
      <w:r w:rsidRPr="00A2231E">
        <w:rPr>
          <w:rStyle w:val="BookTitle"/>
          <w:rFonts w:ascii="Arial" w:hAnsi="Arial" w:cs="Arial"/>
          <w:i w:val="0"/>
          <w:iCs w:val="0"/>
          <w:smallCaps w:val="0"/>
          <w:spacing w:val="0"/>
          <w:szCs w:val="24"/>
        </w:rPr>
        <w:t xml:space="preserve">AWE amount is necessary for child support assessment purposes because the publication of trend estimates for the </w:t>
      </w:r>
      <w:r w:rsidR="00876F40">
        <w:rPr>
          <w:rStyle w:val="BookTitle"/>
          <w:rFonts w:ascii="Arial" w:hAnsi="Arial" w:cs="Arial"/>
          <w:i w:val="0"/>
          <w:iCs w:val="0"/>
          <w:smallCaps w:val="0"/>
          <w:spacing w:val="0"/>
          <w:szCs w:val="24"/>
        </w:rPr>
        <w:t>AWE</w:t>
      </w:r>
      <w:r w:rsidRPr="00A2231E">
        <w:rPr>
          <w:rStyle w:val="BookTitle"/>
          <w:rFonts w:ascii="Arial" w:hAnsi="Arial" w:cs="Arial"/>
          <w:i w:val="0"/>
          <w:iCs w:val="0"/>
          <w:smallCaps w:val="0"/>
          <w:spacing w:val="0"/>
          <w:szCs w:val="24"/>
        </w:rPr>
        <w:t xml:space="preserve"> series, ordinarily published by the Australian Statistician, </w:t>
      </w:r>
      <w:r w:rsidR="00F25E14">
        <w:rPr>
          <w:rStyle w:val="BookTitle"/>
          <w:rFonts w:ascii="Arial" w:hAnsi="Arial" w:cs="Arial"/>
          <w:i w:val="0"/>
          <w:iCs w:val="0"/>
          <w:smallCaps w:val="0"/>
          <w:spacing w:val="0"/>
          <w:szCs w:val="24"/>
        </w:rPr>
        <w:t>was</w:t>
      </w:r>
      <w:r w:rsidRPr="00A2231E">
        <w:rPr>
          <w:rStyle w:val="BookTitle"/>
          <w:rFonts w:ascii="Arial" w:hAnsi="Arial" w:cs="Arial"/>
          <w:i w:val="0"/>
          <w:iCs w:val="0"/>
          <w:smallCaps w:val="0"/>
          <w:spacing w:val="0"/>
          <w:szCs w:val="24"/>
        </w:rPr>
        <w:t xml:space="preserve"> suspended in 2020 due to the impact of the COVID-19 pandemic on the labour market. The Minister is able to make the instrument because the Australian Statistician did not publish the </w:t>
      </w:r>
      <w:r>
        <w:rPr>
          <w:rStyle w:val="BookTitle"/>
          <w:rFonts w:ascii="Arial" w:hAnsi="Arial" w:cs="Arial"/>
          <w:i w:val="0"/>
          <w:iCs w:val="0"/>
          <w:smallCaps w:val="0"/>
          <w:spacing w:val="0"/>
          <w:szCs w:val="24"/>
        </w:rPr>
        <w:t>‘</w:t>
      </w:r>
      <w:r w:rsidRPr="00A2231E">
        <w:rPr>
          <w:rStyle w:val="BookTitle"/>
          <w:rFonts w:ascii="Arial" w:hAnsi="Arial" w:cs="Arial"/>
          <w:i w:val="0"/>
          <w:iCs w:val="0"/>
          <w:smallCaps w:val="0"/>
          <w:spacing w:val="0"/>
          <w:szCs w:val="24"/>
        </w:rPr>
        <w:t>Average</w:t>
      </w:r>
      <w:r>
        <w:rPr>
          <w:rStyle w:val="BookTitle"/>
          <w:rFonts w:ascii="Arial" w:hAnsi="Arial" w:cs="Arial"/>
          <w:i w:val="0"/>
          <w:iCs w:val="0"/>
          <w:smallCaps w:val="0"/>
          <w:spacing w:val="0"/>
          <w:szCs w:val="24"/>
        </w:rPr>
        <w:t xml:space="preserve"> Weekly Earnings – Trend – Persons – All employees total e</w:t>
      </w:r>
      <w:r w:rsidRPr="00A2231E">
        <w:rPr>
          <w:rStyle w:val="BookTitle"/>
          <w:rFonts w:ascii="Arial" w:hAnsi="Arial" w:cs="Arial"/>
          <w:i w:val="0"/>
          <w:iCs w:val="0"/>
          <w:smallCaps w:val="0"/>
          <w:spacing w:val="0"/>
          <w:szCs w:val="24"/>
        </w:rPr>
        <w:t>arnings</w:t>
      </w:r>
      <w:r>
        <w:rPr>
          <w:rStyle w:val="BookTitle"/>
          <w:rFonts w:ascii="Arial" w:hAnsi="Arial" w:cs="Arial"/>
          <w:i w:val="0"/>
          <w:iCs w:val="0"/>
          <w:smallCaps w:val="0"/>
          <w:spacing w:val="0"/>
          <w:szCs w:val="24"/>
        </w:rPr>
        <w:t>’</w:t>
      </w:r>
      <w:r w:rsidRPr="00A2231E">
        <w:rPr>
          <w:rStyle w:val="BookTitle"/>
          <w:rFonts w:ascii="Arial" w:hAnsi="Arial" w:cs="Arial"/>
          <w:i w:val="0"/>
          <w:iCs w:val="0"/>
          <w:smallCaps w:val="0"/>
          <w:spacing w:val="0"/>
          <w:szCs w:val="24"/>
        </w:rPr>
        <w:t xml:space="preserve"> figure for the </w:t>
      </w:r>
      <w:r>
        <w:rPr>
          <w:rStyle w:val="BookTitle"/>
          <w:rFonts w:ascii="Arial" w:hAnsi="Arial" w:cs="Arial"/>
          <w:i w:val="0"/>
          <w:iCs w:val="0"/>
          <w:smallCaps w:val="0"/>
          <w:spacing w:val="0"/>
          <w:szCs w:val="24"/>
        </w:rPr>
        <w:t>December 2020 quarter by the end of 31</w:t>
      </w:r>
      <w:r w:rsidRPr="00A2231E">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March 2021</w:t>
      </w:r>
      <w:r w:rsidRPr="00A2231E">
        <w:rPr>
          <w:rStyle w:val="BookTitle"/>
          <w:rFonts w:ascii="Arial" w:hAnsi="Arial" w:cs="Arial"/>
          <w:i w:val="0"/>
          <w:iCs w:val="0"/>
          <w:smallCaps w:val="0"/>
          <w:spacing w:val="0"/>
          <w:szCs w:val="24"/>
        </w:rPr>
        <w:t>.</w:t>
      </w:r>
    </w:p>
    <w:p w14:paraId="75BBDCC0"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43109D6C" w14:textId="30CEC918" w:rsidR="002859AE" w:rsidRPr="00A2231E" w:rsidRDefault="00A2231E" w:rsidP="00A2231E">
      <w:pPr>
        <w:shd w:val="clear" w:color="auto" w:fill="FFFFFF"/>
        <w:rPr>
          <w:color w:val="000000"/>
          <w:szCs w:val="24"/>
        </w:rPr>
      </w:pPr>
      <w:r>
        <w:rPr>
          <w:rFonts w:ascii="Arial" w:hAnsi="Arial" w:cs="Arial"/>
          <w:color w:val="000000"/>
          <w:szCs w:val="24"/>
        </w:rPr>
        <w:t xml:space="preserve">The </w:t>
      </w:r>
      <w:r w:rsidRPr="00A2231E">
        <w:rPr>
          <w:rFonts w:ascii="Arial" w:hAnsi="Arial" w:cs="Arial"/>
          <w:color w:val="000000"/>
          <w:szCs w:val="24"/>
        </w:rPr>
        <w:t xml:space="preserve">AWE </w:t>
      </w:r>
      <w:r w:rsidR="00E12FD0">
        <w:rPr>
          <w:rFonts w:ascii="Arial" w:hAnsi="Arial" w:cs="Arial"/>
          <w:color w:val="000000"/>
          <w:szCs w:val="24"/>
        </w:rPr>
        <w:t>amount</w:t>
      </w:r>
      <w:r w:rsidRPr="00A2231E">
        <w:rPr>
          <w:rFonts w:ascii="Arial" w:hAnsi="Arial" w:cs="Arial"/>
          <w:color w:val="000000"/>
          <w:szCs w:val="24"/>
        </w:rPr>
        <w:t xml:space="preserve"> </w:t>
      </w:r>
      <w:r w:rsidR="002859AE">
        <w:rPr>
          <w:rFonts w:ascii="Arial" w:hAnsi="Arial" w:cs="Arial"/>
          <w:color w:val="000000"/>
          <w:szCs w:val="24"/>
        </w:rPr>
        <w:t>can be</w:t>
      </w:r>
      <w:r w:rsidR="00857F4A" w:rsidRPr="00857F4A">
        <w:rPr>
          <w:rFonts w:ascii="Arial" w:hAnsi="Arial" w:cs="Arial"/>
          <w:color w:val="000000"/>
          <w:szCs w:val="24"/>
        </w:rPr>
        <w:t xml:space="preserve"> used to </w:t>
      </w:r>
      <w:r w:rsidR="00866CA8">
        <w:rPr>
          <w:rFonts w:ascii="Arial" w:hAnsi="Arial" w:cs="Arial"/>
          <w:color w:val="000000"/>
          <w:szCs w:val="24"/>
        </w:rPr>
        <w:t>determine</w:t>
      </w:r>
      <w:r w:rsidR="00857F4A" w:rsidRPr="00857F4A">
        <w:rPr>
          <w:rFonts w:ascii="Arial" w:hAnsi="Arial" w:cs="Arial"/>
          <w:color w:val="000000"/>
          <w:szCs w:val="24"/>
        </w:rPr>
        <w:t xml:space="preserve"> a parent’s Adjusted Taxable Income </w:t>
      </w:r>
      <w:r w:rsidR="004523C2">
        <w:rPr>
          <w:rFonts w:ascii="Arial" w:hAnsi="Arial" w:cs="Arial"/>
          <w:color w:val="000000"/>
          <w:szCs w:val="24"/>
        </w:rPr>
        <w:t xml:space="preserve">(ATI) </w:t>
      </w:r>
      <w:r w:rsidR="00215CB0">
        <w:rPr>
          <w:rFonts w:ascii="Arial" w:hAnsi="Arial" w:cs="Arial"/>
          <w:color w:val="000000"/>
          <w:szCs w:val="24"/>
        </w:rPr>
        <w:t>for</w:t>
      </w:r>
      <w:r w:rsidR="00857F4A" w:rsidRPr="00857F4A">
        <w:rPr>
          <w:rFonts w:ascii="Arial" w:hAnsi="Arial" w:cs="Arial"/>
          <w:color w:val="000000"/>
          <w:szCs w:val="24"/>
        </w:rPr>
        <w:t xml:space="preserve"> </w:t>
      </w:r>
      <w:r w:rsidR="00215CB0">
        <w:rPr>
          <w:rFonts w:ascii="Arial" w:hAnsi="Arial" w:cs="Arial"/>
          <w:color w:val="000000"/>
          <w:szCs w:val="24"/>
        </w:rPr>
        <w:t xml:space="preserve">the last relevant </w:t>
      </w:r>
      <w:r w:rsidR="006156DD">
        <w:rPr>
          <w:rFonts w:ascii="Arial" w:hAnsi="Arial" w:cs="Arial"/>
          <w:color w:val="000000"/>
          <w:szCs w:val="24"/>
        </w:rPr>
        <w:t xml:space="preserve">year of income where the taxable income from the </w:t>
      </w:r>
      <w:r w:rsidR="001C24AD">
        <w:rPr>
          <w:rFonts w:ascii="Arial" w:hAnsi="Arial" w:cs="Arial"/>
          <w:color w:val="000000"/>
          <w:szCs w:val="24"/>
        </w:rPr>
        <w:t xml:space="preserve">last relevant </w:t>
      </w:r>
      <w:r w:rsidR="006156DD">
        <w:rPr>
          <w:rFonts w:ascii="Arial" w:hAnsi="Arial" w:cs="Arial"/>
          <w:color w:val="000000"/>
          <w:szCs w:val="24"/>
        </w:rPr>
        <w:t xml:space="preserve">year of income has not been assessed, but the taxable income from </w:t>
      </w:r>
      <w:r w:rsidR="001C24AD">
        <w:rPr>
          <w:rFonts w:ascii="Arial" w:hAnsi="Arial" w:cs="Arial"/>
          <w:color w:val="000000"/>
          <w:szCs w:val="24"/>
        </w:rPr>
        <w:t xml:space="preserve">the previous year of income, or from </w:t>
      </w:r>
      <w:r w:rsidR="006156DD">
        <w:rPr>
          <w:rFonts w:ascii="Arial" w:hAnsi="Arial" w:cs="Arial"/>
          <w:color w:val="000000"/>
          <w:szCs w:val="24"/>
        </w:rPr>
        <w:t>an earlier year of income</w:t>
      </w:r>
      <w:r w:rsidR="00F91AA6">
        <w:rPr>
          <w:rFonts w:ascii="Arial" w:hAnsi="Arial" w:cs="Arial"/>
          <w:color w:val="000000"/>
          <w:szCs w:val="24"/>
        </w:rPr>
        <w:t>,</w:t>
      </w:r>
      <w:r w:rsidR="006156DD">
        <w:rPr>
          <w:rFonts w:ascii="Arial" w:hAnsi="Arial" w:cs="Arial"/>
          <w:color w:val="000000"/>
          <w:szCs w:val="24"/>
        </w:rPr>
        <w:t xml:space="preserve"> has been assessed. </w:t>
      </w:r>
      <w:r w:rsidR="004523C2">
        <w:rPr>
          <w:rFonts w:ascii="Arial" w:hAnsi="Arial" w:cs="Arial"/>
          <w:color w:val="000000"/>
          <w:szCs w:val="24"/>
        </w:rPr>
        <w:t xml:space="preserve">The AWE amount is used to apply the ATI indexation factor to </w:t>
      </w:r>
      <w:r w:rsidR="008659E5">
        <w:rPr>
          <w:rFonts w:ascii="Arial" w:hAnsi="Arial" w:cs="Arial"/>
          <w:color w:val="000000"/>
          <w:szCs w:val="24"/>
        </w:rPr>
        <w:t xml:space="preserve">account for the growth in earnings </w:t>
      </w:r>
      <w:r w:rsidR="004523C2">
        <w:rPr>
          <w:rFonts w:ascii="Arial" w:hAnsi="Arial" w:cs="Arial"/>
          <w:color w:val="000000"/>
          <w:szCs w:val="24"/>
        </w:rPr>
        <w:t>between the year the parent lodged their last tax return and the last relevant year of income.</w:t>
      </w:r>
    </w:p>
    <w:p w14:paraId="625D5763" w14:textId="12003808" w:rsidR="00386E1E" w:rsidRDefault="00A2231E" w:rsidP="00A2231E">
      <w:pPr>
        <w:shd w:val="clear" w:color="auto" w:fill="FFFFFF"/>
        <w:rPr>
          <w:rFonts w:ascii="Arial" w:hAnsi="Arial" w:cs="Arial"/>
          <w:color w:val="000000"/>
          <w:szCs w:val="24"/>
        </w:rPr>
      </w:pPr>
      <w:r w:rsidRPr="00A2231E">
        <w:rPr>
          <w:rFonts w:ascii="Arial" w:hAnsi="Arial" w:cs="Arial"/>
          <w:color w:val="000000"/>
          <w:szCs w:val="24"/>
        </w:rPr>
        <w:t>The Australian Statistician has temporarily</w:t>
      </w:r>
      <w:r>
        <w:rPr>
          <w:rFonts w:ascii="Arial" w:hAnsi="Arial" w:cs="Arial"/>
          <w:color w:val="000000"/>
          <w:szCs w:val="24"/>
        </w:rPr>
        <w:t xml:space="preserve"> suspended publication of the</w:t>
      </w:r>
      <w:r w:rsidR="00E12FD0">
        <w:rPr>
          <w:rFonts w:ascii="Arial" w:hAnsi="Arial" w:cs="Arial"/>
          <w:color w:val="000000"/>
          <w:szCs w:val="24"/>
        </w:rPr>
        <w:t xml:space="preserve"> trend </w:t>
      </w:r>
      <w:r w:rsidR="001C24AD">
        <w:rPr>
          <w:rFonts w:ascii="Arial" w:hAnsi="Arial" w:cs="Arial"/>
          <w:color w:val="000000"/>
          <w:szCs w:val="24"/>
        </w:rPr>
        <w:t xml:space="preserve">estimates for the AWE series </w:t>
      </w:r>
      <w:r w:rsidRPr="00A2231E">
        <w:rPr>
          <w:rFonts w:ascii="Arial" w:hAnsi="Arial" w:cs="Arial"/>
          <w:color w:val="000000"/>
          <w:szCs w:val="24"/>
        </w:rPr>
        <w:t xml:space="preserve">as a result of the impact of the COVID-19 pandemic, although various other wage statistics, including seasonally adjusted figures, continue to be published. </w:t>
      </w:r>
      <w:r w:rsidR="00857F4A" w:rsidRPr="00857F4A">
        <w:rPr>
          <w:rFonts w:ascii="Arial" w:hAnsi="Arial" w:cs="Arial"/>
          <w:color w:val="000000"/>
          <w:szCs w:val="24"/>
        </w:rPr>
        <w:t xml:space="preserve">Without </w:t>
      </w:r>
      <w:r w:rsidR="00DB54D7">
        <w:rPr>
          <w:rFonts w:ascii="Arial" w:hAnsi="Arial" w:cs="Arial"/>
          <w:color w:val="000000"/>
          <w:szCs w:val="24"/>
        </w:rPr>
        <w:t xml:space="preserve">an </w:t>
      </w:r>
      <w:r w:rsidR="00857F4A" w:rsidRPr="00857F4A">
        <w:rPr>
          <w:rFonts w:ascii="Arial" w:hAnsi="Arial" w:cs="Arial"/>
          <w:color w:val="000000"/>
          <w:szCs w:val="24"/>
        </w:rPr>
        <w:t>AWE</w:t>
      </w:r>
      <w:r w:rsidR="00DB54D7">
        <w:rPr>
          <w:rFonts w:ascii="Arial" w:hAnsi="Arial" w:cs="Arial"/>
          <w:color w:val="000000"/>
          <w:szCs w:val="24"/>
        </w:rPr>
        <w:t xml:space="preserve"> amount</w:t>
      </w:r>
      <w:r w:rsidR="00857F4A" w:rsidRPr="00857F4A">
        <w:rPr>
          <w:rFonts w:ascii="Arial" w:hAnsi="Arial" w:cs="Arial"/>
          <w:color w:val="000000"/>
          <w:szCs w:val="24"/>
        </w:rPr>
        <w:t xml:space="preserve"> </w:t>
      </w:r>
      <w:r w:rsidR="00866CA8">
        <w:rPr>
          <w:rFonts w:ascii="Arial" w:hAnsi="Arial" w:cs="Arial"/>
          <w:color w:val="000000"/>
          <w:szCs w:val="24"/>
        </w:rPr>
        <w:t>the C</w:t>
      </w:r>
      <w:r w:rsidR="00DB54D7">
        <w:rPr>
          <w:rFonts w:ascii="Arial" w:hAnsi="Arial" w:cs="Arial"/>
          <w:color w:val="000000"/>
          <w:szCs w:val="24"/>
        </w:rPr>
        <w:t>hild Support Registrar would</w:t>
      </w:r>
      <w:r w:rsidR="00857F4A" w:rsidRPr="00857F4A">
        <w:rPr>
          <w:rFonts w:ascii="Arial" w:hAnsi="Arial" w:cs="Arial"/>
          <w:color w:val="000000"/>
          <w:szCs w:val="24"/>
        </w:rPr>
        <w:t xml:space="preserve"> not have a basis to determine </w:t>
      </w:r>
      <w:r w:rsidR="00876F40">
        <w:rPr>
          <w:rFonts w:ascii="Arial" w:hAnsi="Arial" w:cs="Arial"/>
          <w:color w:val="000000"/>
          <w:szCs w:val="24"/>
        </w:rPr>
        <w:t xml:space="preserve">some </w:t>
      </w:r>
      <w:r w:rsidR="00857F4A" w:rsidRPr="00857F4A">
        <w:rPr>
          <w:rFonts w:ascii="Arial" w:hAnsi="Arial" w:cs="Arial"/>
          <w:color w:val="000000"/>
          <w:szCs w:val="24"/>
        </w:rPr>
        <w:t xml:space="preserve">provisional incomes </w:t>
      </w:r>
      <w:r w:rsidR="00E66836">
        <w:rPr>
          <w:rFonts w:ascii="Arial" w:hAnsi="Arial" w:cs="Arial"/>
          <w:color w:val="000000"/>
          <w:szCs w:val="24"/>
        </w:rPr>
        <w:t>for the last relevant year of income</w:t>
      </w:r>
      <w:r w:rsidR="00857F4A" w:rsidRPr="00857F4A">
        <w:rPr>
          <w:rFonts w:ascii="Arial" w:hAnsi="Arial" w:cs="Arial"/>
          <w:color w:val="000000"/>
          <w:szCs w:val="24"/>
        </w:rPr>
        <w:t>, for possible use in assessments beginning from 1 July 2021</w:t>
      </w:r>
      <w:r w:rsidR="00857F4A">
        <w:rPr>
          <w:rFonts w:ascii="Arial" w:hAnsi="Arial" w:cs="Arial"/>
          <w:color w:val="000000"/>
          <w:szCs w:val="24"/>
        </w:rPr>
        <w:t xml:space="preserve">. </w:t>
      </w:r>
      <w:r w:rsidR="00DB54D7">
        <w:rPr>
          <w:rFonts w:ascii="Arial" w:hAnsi="Arial" w:cs="Arial"/>
          <w:color w:val="000000"/>
          <w:szCs w:val="24"/>
        </w:rPr>
        <w:t xml:space="preserve">In consultation with the Australian Statistician, an </w:t>
      </w:r>
      <w:r w:rsidR="001221F2">
        <w:rPr>
          <w:rFonts w:ascii="Arial" w:hAnsi="Arial" w:cs="Arial"/>
          <w:color w:val="000000"/>
          <w:szCs w:val="24"/>
        </w:rPr>
        <w:t xml:space="preserve">approximate </w:t>
      </w:r>
      <w:r w:rsidRPr="00A2231E">
        <w:rPr>
          <w:rFonts w:ascii="Arial" w:hAnsi="Arial" w:cs="Arial"/>
          <w:color w:val="000000"/>
          <w:szCs w:val="24"/>
        </w:rPr>
        <w:t xml:space="preserve">amount </w:t>
      </w:r>
      <w:r w:rsidR="00DB54D7">
        <w:rPr>
          <w:rFonts w:ascii="Arial" w:hAnsi="Arial" w:cs="Arial"/>
          <w:color w:val="000000"/>
          <w:szCs w:val="24"/>
        </w:rPr>
        <w:t xml:space="preserve">has been </w:t>
      </w:r>
      <w:r w:rsidRPr="00A2231E">
        <w:rPr>
          <w:rFonts w:ascii="Arial" w:hAnsi="Arial" w:cs="Arial"/>
          <w:color w:val="000000"/>
          <w:szCs w:val="24"/>
        </w:rPr>
        <w:t>determined to ensure children of separated parents continue to share appropriately in the standards of living of their parents in line with the intent of the child support policy, no</w:t>
      </w:r>
      <w:r>
        <w:rPr>
          <w:rFonts w:ascii="Arial" w:hAnsi="Arial" w:cs="Arial"/>
          <w:color w:val="000000"/>
          <w:szCs w:val="24"/>
        </w:rPr>
        <w:t xml:space="preserve">twithstanding the extraordinary </w:t>
      </w:r>
      <w:r w:rsidRPr="00A2231E">
        <w:rPr>
          <w:rFonts w:ascii="Arial" w:hAnsi="Arial" w:cs="Arial"/>
          <w:color w:val="000000"/>
          <w:szCs w:val="24"/>
        </w:rPr>
        <w:t>circumstan</w:t>
      </w:r>
      <w:r>
        <w:rPr>
          <w:rFonts w:ascii="Arial" w:hAnsi="Arial" w:cs="Arial"/>
          <w:color w:val="000000"/>
          <w:szCs w:val="24"/>
        </w:rPr>
        <w:t xml:space="preserve">ces that have arisen due to the </w:t>
      </w:r>
      <w:r w:rsidRPr="00A2231E">
        <w:rPr>
          <w:rFonts w:ascii="Arial" w:hAnsi="Arial" w:cs="Arial"/>
          <w:color w:val="000000"/>
          <w:szCs w:val="24"/>
        </w:rPr>
        <w:t>COVID-19 pandemic.</w:t>
      </w:r>
      <w:r w:rsidR="00386E1E">
        <w:rPr>
          <w:rFonts w:ascii="Arial" w:hAnsi="Arial" w:cs="Arial"/>
          <w:color w:val="000000"/>
          <w:szCs w:val="24"/>
        </w:rPr>
        <w:t xml:space="preserve">  </w:t>
      </w:r>
    </w:p>
    <w:p w14:paraId="6F7412D2" w14:textId="2D21B8F5" w:rsidR="00A2231E" w:rsidRDefault="00386E1E" w:rsidP="00A2231E">
      <w:pPr>
        <w:shd w:val="clear" w:color="auto" w:fill="FFFFFF"/>
        <w:rPr>
          <w:rFonts w:ascii="Arial" w:hAnsi="Arial" w:cs="Arial"/>
          <w:color w:val="000000"/>
          <w:szCs w:val="24"/>
        </w:rPr>
      </w:pPr>
      <w:r>
        <w:rPr>
          <w:rFonts w:ascii="Arial" w:hAnsi="Arial" w:cs="Arial"/>
          <w:color w:val="000000"/>
          <w:szCs w:val="24"/>
        </w:rPr>
        <w:lastRenderedPageBreak/>
        <w:t>Where parents are concerned that their income for the last relevant year of income is not accurately reflected in their child support assessment, they can update their</w:t>
      </w:r>
      <w:r w:rsidR="003905E5">
        <w:rPr>
          <w:rFonts w:ascii="Arial" w:hAnsi="Arial" w:cs="Arial"/>
          <w:color w:val="000000"/>
          <w:szCs w:val="24"/>
        </w:rPr>
        <w:t xml:space="preserve"> income details by lodging their tax return for that year of income, or by providing</w:t>
      </w:r>
      <w:r>
        <w:rPr>
          <w:rFonts w:ascii="Arial" w:hAnsi="Arial" w:cs="Arial"/>
          <w:color w:val="000000"/>
          <w:szCs w:val="24"/>
        </w:rPr>
        <w:t xml:space="preserve"> </w:t>
      </w:r>
      <w:r w:rsidR="003905E5">
        <w:rPr>
          <w:rFonts w:ascii="Arial" w:hAnsi="Arial" w:cs="Arial"/>
          <w:color w:val="000000"/>
          <w:szCs w:val="24"/>
        </w:rPr>
        <w:t xml:space="preserve">updated income details to Services Australia so their child support assessment </w:t>
      </w:r>
      <w:r w:rsidR="00E00220">
        <w:rPr>
          <w:rFonts w:ascii="Arial" w:hAnsi="Arial" w:cs="Arial"/>
          <w:color w:val="000000"/>
          <w:szCs w:val="24"/>
        </w:rPr>
        <w:t xml:space="preserve">can be updated. </w:t>
      </w:r>
      <w:r w:rsidR="003905E5">
        <w:rPr>
          <w:rFonts w:ascii="Arial" w:hAnsi="Arial" w:cs="Arial"/>
          <w:color w:val="000000"/>
          <w:szCs w:val="24"/>
        </w:rPr>
        <w:t>Late lodgement of tax returns may affect the date from which the new income details can be reflected in the child support assessment.</w:t>
      </w:r>
    </w:p>
    <w:p w14:paraId="5302F348" w14:textId="77777777" w:rsidR="00960409" w:rsidRPr="00E66836" w:rsidRDefault="00611CB4" w:rsidP="00E66836">
      <w:pPr>
        <w:shd w:val="clear" w:color="auto" w:fill="FFFFFF"/>
        <w:rPr>
          <w:rStyle w:val="BookTitle"/>
          <w:i w:val="0"/>
          <w:iCs w:val="0"/>
          <w:smallCaps w:val="0"/>
          <w:color w:val="000000"/>
          <w:spacing w:val="0"/>
          <w:szCs w:val="24"/>
        </w:rPr>
      </w:pPr>
      <w:r w:rsidRPr="00A2231E">
        <w:rPr>
          <w:rFonts w:ascii="Arial" w:hAnsi="Arial" w:cs="Arial"/>
          <w:color w:val="000000"/>
          <w:szCs w:val="24"/>
        </w:rPr>
        <w:t>The instrument is a legislative instrument subject to disallowance.</w:t>
      </w:r>
      <w:r>
        <w:rPr>
          <w:rFonts w:ascii="Arial" w:hAnsi="Arial" w:cs="Arial"/>
          <w:color w:val="000000"/>
          <w:szCs w:val="24"/>
        </w:rPr>
        <w:t xml:space="preserve"> </w:t>
      </w:r>
    </w:p>
    <w:p w14:paraId="333BE7B3" w14:textId="77777777" w:rsidR="000B4130" w:rsidRPr="00BC76EB" w:rsidRDefault="000B4130" w:rsidP="00E66836">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1C349000" w14:textId="77777777" w:rsidR="00DA10E5" w:rsidRDefault="00A2231E" w:rsidP="00E01E71">
      <w:pPr>
        <w:rPr>
          <w:rStyle w:val="BookTitle"/>
          <w:rFonts w:ascii="Arial" w:hAnsi="Arial" w:cs="Arial"/>
          <w:b/>
          <w:i w:val="0"/>
          <w:iCs w:val="0"/>
          <w:smallCaps w:val="0"/>
          <w:spacing w:val="0"/>
          <w:szCs w:val="24"/>
        </w:rPr>
      </w:pPr>
      <w:r>
        <w:rPr>
          <w:rFonts w:ascii="Arial" w:hAnsi="Arial" w:cs="Arial"/>
          <w:color w:val="000000"/>
          <w:shd w:val="clear" w:color="auto" w:fill="FFFFFF"/>
        </w:rPr>
        <w:t>The instrument will commence the day after it is registered on the Federal Register of Legislation.</w:t>
      </w:r>
    </w:p>
    <w:p w14:paraId="27851EE7" w14:textId="77777777"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38FF41A9" w14:textId="3EE8E40A" w:rsidR="00A2231E" w:rsidRDefault="00A2231E" w:rsidP="003A04AD">
      <w:pPr>
        <w:spacing w:after="240"/>
        <w:jc w:val="both"/>
        <w:rPr>
          <w:rFonts w:ascii="Arial" w:hAnsi="Arial" w:cs="Arial"/>
          <w:color w:val="000000"/>
          <w:shd w:val="clear" w:color="auto" w:fill="FFFFFF"/>
        </w:rPr>
      </w:pPr>
      <w:r>
        <w:rPr>
          <w:rFonts w:ascii="Arial" w:hAnsi="Arial" w:cs="Arial"/>
          <w:color w:val="000000"/>
          <w:shd w:val="clear" w:color="auto" w:fill="FFFFFF"/>
        </w:rPr>
        <w:t xml:space="preserve">Consultation was undertaken with the Australian Statistician and the Australian Bureau of Statistics to derive an </w:t>
      </w:r>
      <w:r w:rsidR="00DB54D7">
        <w:rPr>
          <w:rFonts w:ascii="Arial" w:hAnsi="Arial" w:cs="Arial"/>
          <w:color w:val="000000"/>
          <w:shd w:val="clear" w:color="auto" w:fill="FFFFFF"/>
        </w:rPr>
        <w:t xml:space="preserve">AWE </w:t>
      </w:r>
      <w:r>
        <w:rPr>
          <w:rFonts w:ascii="Arial" w:hAnsi="Arial" w:cs="Arial"/>
          <w:color w:val="000000"/>
          <w:shd w:val="clear" w:color="auto" w:fill="FFFFFF"/>
        </w:rPr>
        <w:t>amount that approximated the AWE trend figure. Consultation was also undertaken with Services Australia, who will implement the determined figure.</w:t>
      </w:r>
    </w:p>
    <w:p w14:paraId="3386BDA6"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53264732" w14:textId="1B37EA8A" w:rsidR="00925633" w:rsidRDefault="00A2231E" w:rsidP="00A2231E">
      <w:pPr>
        <w:spacing w:before="120"/>
        <w:rPr>
          <w:rFonts w:ascii="Arial" w:hAnsi="Arial" w:cs="Arial"/>
          <w:color w:val="0070C0"/>
          <w:szCs w:val="24"/>
        </w:rPr>
      </w:pPr>
      <w:r>
        <w:rPr>
          <w:rFonts w:ascii="Arial" w:hAnsi="Arial" w:cs="Arial"/>
          <w:color w:val="000000"/>
          <w:shd w:val="clear" w:color="auto" w:fill="FFFFFF"/>
        </w:rPr>
        <w:t>Following consultation with the Office of Best Practice Regulation, a RIS is not required for the instrument (OBPR ID</w:t>
      </w:r>
      <w:r w:rsidR="00DB54D7">
        <w:rPr>
          <w:rFonts w:ascii="Arial" w:hAnsi="Arial" w:cs="Arial"/>
          <w:color w:val="000000"/>
          <w:shd w:val="clear" w:color="auto" w:fill="FFFFFF"/>
        </w:rPr>
        <w:t xml:space="preserve"> 43961</w:t>
      </w:r>
      <w:r>
        <w:rPr>
          <w:rFonts w:ascii="Arial" w:hAnsi="Arial" w:cs="Arial"/>
          <w:color w:val="000000"/>
          <w:shd w:val="clear" w:color="auto" w:fill="FFFFFF"/>
        </w:rPr>
        <w:t xml:space="preserve">). </w:t>
      </w:r>
    </w:p>
    <w:p w14:paraId="7E862459" w14:textId="77777777" w:rsidR="00946E6D" w:rsidRDefault="0006693F" w:rsidP="00C37944">
      <w:pPr>
        <w:spacing w:before="120"/>
        <w:rPr>
          <w:rFonts w:ascii="Arial" w:hAnsi="Arial" w:cs="Arial"/>
          <w:b/>
          <w:szCs w:val="24"/>
        </w:rPr>
      </w:pPr>
      <w:r>
        <w:rPr>
          <w:rFonts w:ascii="Arial" w:hAnsi="Arial" w:cs="Arial"/>
          <w:b/>
          <w:szCs w:val="24"/>
        </w:rPr>
        <w:t xml:space="preserve">Availability of </w:t>
      </w:r>
      <w:r w:rsidR="00611CB4">
        <w:rPr>
          <w:rFonts w:ascii="Arial" w:hAnsi="Arial" w:cs="Arial"/>
          <w:b/>
          <w:szCs w:val="24"/>
        </w:rPr>
        <w:t xml:space="preserve">merits </w:t>
      </w:r>
      <w:r>
        <w:rPr>
          <w:rFonts w:ascii="Arial" w:hAnsi="Arial" w:cs="Arial"/>
          <w:b/>
          <w:szCs w:val="24"/>
        </w:rPr>
        <w:t>review</w:t>
      </w:r>
    </w:p>
    <w:p w14:paraId="18B037B2" w14:textId="53DCC704" w:rsidR="00A2231E" w:rsidRPr="00A2231E" w:rsidRDefault="00A2231E" w:rsidP="00A2231E">
      <w:pPr>
        <w:shd w:val="clear" w:color="auto" w:fill="FFFFFF"/>
        <w:rPr>
          <w:color w:val="000000"/>
          <w:szCs w:val="24"/>
        </w:rPr>
      </w:pPr>
      <w:r w:rsidRPr="00A2231E">
        <w:rPr>
          <w:rFonts w:ascii="Arial" w:hAnsi="Arial" w:cs="Arial"/>
          <w:color w:val="000000"/>
          <w:szCs w:val="24"/>
        </w:rPr>
        <w:t>Should a parent disagree with the</w:t>
      </w:r>
      <w:r w:rsidR="001C42CA">
        <w:rPr>
          <w:rFonts w:ascii="Arial" w:hAnsi="Arial" w:cs="Arial"/>
          <w:color w:val="000000"/>
          <w:szCs w:val="24"/>
        </w:rPr>
        <w:t xml:space="preserve"> income details in their child support</w:t>
      </w:r>
      <w:r w:rsidRPr="00A2231E">
        <w:rPr>
          <w:rFonts w:ascii="Arial" w:hAnsi="Arial" w:cs="Arial"/>
          <w:color w:val="000000"/>
          <w:szCs w:val="24"/>
        </w:rPr>
        <w:t xml:space="preserve"> assessment, they remain able to seek merits review internally</w:t>
      </w:r>
      <w:r w:rsidR="001C42CA">
        <w:rPr>
          <w:rFonts w:ascii="Arial" w:hAnsi="Arial" w:cs="Arial"/>
          <w:color w:val="000000"/>
          <w:szCs w:val="24"/>
        </w:rPr>
        <w:t xml:space="preserve"> </w:t>
      </w:r>
      <w:r w:rsidRPr="00A2231E">
        <w:rPr>
          <w:rFonts w:ascii="Arial" w:hAnsi="Arial" w:cs="Arial"/>
          <w:color w:val="000000"/>
          <w:szCs w:val="24"/>
        </w:rPr>
        <w:t>under</w:t>
      </w:r>
      <w:r w:rsidR="00B65B05">
        <w:rPr>
          <w:rFonts w:ascii="Arial" w:hAnsi="Arial" w:cs="Arial"/>
          <w:color w:val="000000"/>
          <w:szCs w:val="24"/>
        </w:rPr>
        <w:t xml:space="preserve"> </w:t>
      </w:r>
      <w:r w:rsidR="00B65B05" w:rsidRPr="00A2231E">
        <w:rPr>
          <w:rFonts w:ascii="Arial" w:hAnsi="Arial" w:cs="Arial"/>
          <w:color w:val="000000"/>
          <w:szCs w:val="24"/>
        </w:rPr>
        <w:t xml:space="preserve">Part VII </w:t>
      </w:r>
      <w:r w:rsidR="00B65B05">
        <w:rPr>
          <w:rFonts w:ascii="Arial" w:hAnsi="Arial" w:cs="Arial"/>
          <w:color w:val="000000"/>
          <w:szCs w:val="24"/>
        </w:rPr>
        <w:t xml:space="preserve">of </w:t>
      </w:r>
      <w:r w:rsidRPr="00A2231E">
        <w:rPr>
          <w:rFonts w:ascii="Arial" w:hAnsi="Arial" w:cs="Arial"/>
          <w:color w:val="000000"/>
          <w:szCs w:val="24"/>
        </w:rPr>
        <w:t>the </w:t>
      </w:r>
      <w:r w:rsidRPr="00A2231E">
        <w:rPr>
          <w:rFonts w:ascii="Arial" w:hAnsi="Arial" w:cs="Arial"/>
          <w:i/>
          <w:iCs/>
          <w:color w:val="000000"/>
          <w:szCs w:val="24"/>
        </w:rPr>
        <w:t>Child Support (Registration and Collection) Act 1988</w:t>
      </w:r>
      <w:r w:rsidRPr="00A2231E">
        <w:rPr>
          <w:rFonts w:ascii="Arial" w:hAnsi="Arial" w:cs="Arial"/>
          <w:color w:val="000000"/>
          <w:szCs w:val="24"/>
        </w:rPr>
        <w:t> </w:t>
      </w:r>
      <w:r w:rsidR="00B65B05">
        <w:rPr>
          <w:rFonts w:ascii="Arial" w:hAnsi="Arial" w:cs="Arial"/>
          <w:color w:val="000000"/>
          <w:szCs w:val="24"/>
        </w:rPr>
        <w:t>(Registration and Collection Act),</w:t>
      </w:r>
      <w:r w:rsidRPr="00A2231E">
        <w:rPr>
          <w:rFonts w:ascii="Arial" w:hAnsi="Arial" w:cs="Arial"/>
          <w:color w:val="000000"/>
          <w:szCs w:val="24"/>
        </w:rPr>
        <w:t xml:space="preserve"> and externally by the Administrative Appeals Tribunal</w:t>
      </w:r>
      <w:r w:rsidR="00B65B05">
        <w:rPr>
          <w:rFonts w:ascii="Arial" w:hAnsi="Arial" w:cs="Arial"/>
          <w:color w:val="000000"/>
          <w:szCs w:val="24"/>
        </w:rPr>
        <w:t>,</w:t>
      </w:r>
      <w:r w:rsidRPr="00A2231E">
        <w:rPr>
          <w:rFonts w:ascii="Arial" w:hAnsi="Arial" w:cs="Arial"/>
          <w:color w:val="000000"/>
          <w:szCs w:val="24"/>
        </w:rPr>
        <w:t xml:space="preserve"> </w:t>
      </w:r>
      <w:r w:rsidR="00B65B05">
        <w:rPr>
          <w:rFonts w:ascii="Arial" w:hAnsi="Arial" w:cs="Arial"/>
          <w:color w:val="000000"/>
          <w:szCs w:val="24"/>
        </w:rPr>
        <w:t xml:space="preserve">under </w:t>
      </w:r>
      <w:r w:rsidRPr="00A2231E">
        <w:rPr>
          <w:rFonts w:ascii="Arial" w:hAnsi="Arial" w:cs="Arial"/>
          <w:color w:val="000000"/>
          <w:szCs w:val="24"/>
        </w:rPr>
        <w:t>Part VIIA</w:t>
      </w:r>
      <w:r w:rsidR="00B65B05">
        <w:rPr>
          <w:rFonts w:ascii="Arial" w:hAnsi="Arial" w:cs="Arial"/>
          <w:color w:val="000000"/>
          <w:szCs w:val="24"/>
        </w:rPr>
        <w:t xml:space="preserve"> of the Registration and Collection Act</w:t>
      </w:r>
      <w:r w:rsidRPr="00A2231E">
        <w:rPr>
          <w:rFonts w:ascii="Arial" w:hAnsi="Arial" w:cs="Arial"/>
          <w:color w:val="000000"/>
          <w:szCs w:val="24"/>
        </w:rPr>
        <w:t>.</w:t>
      </w:r>
    </w:p>
    <w:p w14:paraId="3B555658"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53DE4E07" w14:textId="77777777"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871F28" w:rsidRPr="00BC76EB">
        <w:rPr>
          <w:rStyle w:val="BookTitle"/>
          <w:rFonts w:ascii="Arial" w:hAnsi="Arial" w:cs="Arial"/>
          <w:i w:val="0"/>
          <w:iCs w:val="0"/>
          <w:smallCaps w:val="0"/>
          <w:spacing w:val="0"/>
          <w:szCs w:val="24"/>
        </w:rPr>
        <w:t xml:space="preserve"> </w:t>
      </w:r>
    </w:p>
    <w:p w14:paraId="12643724" w14:textId="77777777" w:rsidR="007A38E0" w:rsidRDefault="007A38E0" w:rsidP="00871F28">
      <w:pPr>
        <w:rPr>
          <w:rStyle w:val="BookTitle"/>
          <w:rFonts w:ascii="Arial" w:hAnsi="Arial" w:cs="Arial"/>
          <w:i w:val="0"/>
          <w:iCs w:val="0"/>
          <w:smallCaps w:val="0"/>
          <w:spacing w:val="0"/>
          <w:szCs w:val="24"/>
        </w:rPr>
      </w:pPr>
      <w:r w:rsidRPr="007A38E0">
        <w:rPr>
          <w:rStyle w:val="BookTitle"/>
          <w:rFonts w:ascii="Arial" w:hAnsi="Arial" w:cs="Arial"/>
          <w:i w:val="0"/>
          <w:iCs w:val="0"/>
          <w:smallCaps w:val="0"/>
          <w:spacing w:val="0"/>
          <w:szCs w:val="24"/>
        </w:rPr>
        <w:t xml:space="preserve">This section provides that the name of the instrument is the </w:t>
      </w:r>
      <w:r w:rsidRPr="007A38E0">
        <w:rPr>
          <w:rStyle w:val="BookTitle"/>
          <w:rFonts w:ascii="Arial" w:hAnsi="Arial" w:cs="Arial"/>
          <w:iCs w:val="0"/>
          <w:smallCaps w:val="0"/>
          <w:spacing w:val="0"/>
          <w:szCs w:val="24"/>
        </w:rPr>
        <w:t>Child Support (Assessment) (</w:t>
      </w:r>
      <w:r>
        <w:rPr>
          <w:rStyle w:val="BookTitle"/>
          <w:rFonts w:ascii="Arial" w:hAnsi="Arial" w:cs="Arial"/>
          <w:iCs w:val="0"/>
          <w:smallCaps w:val="0"/>
          <w:spacing w:val="0"/>
          <w:szCs w:val="24"/>
        </w:rPr>
        <w:t>AWE amount) Determination 2021</w:t>
      </w:r>
      <w:r w:rsidRPr="007A38E0">
        <w:rPr>
          <w:rStyle w:val="BookTitle"/>
          <w:rFonts w:ascii="Arial" w:hAnsi="Arial" w:cs="Arial"/>
          <w:i w:val="0"/>
          <w:iCs w:val="0"/>
          <w:smallCaps w:val="0"/>
          <w:spacing w:val="0"/>
          <w:szCs w:val="24"/>
        </w:rPr>
        <w:t>.</w:t>
      </w:r>
    </w:p>
    <w:p w14:paraId="29A41654" w14:textId="77777777"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 </w:t>
      </w:r>
      <w:r w:rsidR="00871F28" w:rsidRPr="00BC76EB">
        <w:rPr>
          <w:rStyle w:val="BookTitle"/>
          <w:rFonts w:ascii="Arial" w:hAnsi="Arial" w:cs="Arial"/>
          <w:i w:val="0"/>
          <w:iCs w:val="0"/>
          <w:smallCaps w:val="0"/>
          <w:spacing w:val="0"/>
          <w:szCs w:val="24"/>
        </w:rPr>
        <w:t xml:space="preserve"> </w:t>
      </w:r>
    </w:p>
    <w:p w14:paraId="16F95B7A" w14:textId="77777777" w:rsidR="0095196E" w:rsidRDefault="0095196E" w:rsidP="006546B7">
      <w:pPr>
        <w:shd w:val="clear" w:color="auto" w:fill="FFFFFF"/>
        <w:spacing w:before="0"/>
        <w:textAlignment w:val="top"/>
        <w:rPr>
          <w:rStyle w:val="BookTitle"/>
          <w:rFonts w:ascii="Arial" w:hAnsi="Arial" w:cs="Arial"/>
          <w:i w:val="0"/>
          <w:iCs w:val="0"/>
          <w:smallCaps w:val="0"/>
          <w:spacing w:val="0"/>
          <w:szCs w:val="24"/>
          <w:u w:val="single"/>
        </w:rPr>
      </w:pPr>
    </w:p>
    <w:p w14:paraId="77370B51" w14:textId="77777777" w:rsidR="007A38E0" w:rsidRDefault="007A38E0" w:rsidP="006546B7">
      <w:pPr>
        <w:shd w:val="clear" w:color="auto" w:fill="FFFFFF"/>
        <w:spacing w:before="0"/>
        <w:textAlignment w:val="top"/>
        <w:rPr>
          <w:rFonts w:ascii="Arial" w:hAnsi="Arial" w:cs="Arial"/>
          <w:color w:val="000000"/>
          <w:shd w:val="clear" w:color="auto" w:fill="FFFFFF"/>
        </w:rPr>
      </w:pPr>
      <w:r>
        <w:rPr>
          <w:rFonts w:ascii="Arial" w:hAnsi="Arial" w:cs="Arial"/>
          <w:color w:val="000000"/>
          <w:shd w:val="clear" w:color="auto" w:fill="FFFFFF"/>
        </w:rPr>
        <w:t>This section provides that the instrument commences on the day after it is registered on the Federal Register of Legislation.</w:t>
      </w:r>
    </w:p>
    <w:p w14:paraId="15BA24E1" w14:textId="77777777" w:rsidR="007A38E0" w:rsidRDefault="007A38E0" w:rsidP="006546B7">
      <w:pPr>
        <w:shd w:val="clear" w:color="auto" w:fill="FFFFFF"/>
        <w:spacing w:before="0"/>
        <w:textAlignment w:val="top"/>
        <w:rPr>
          <w:rFonts w:ascii="Arial" w:hAnsi="Arial" w:cs="Arial"/>
          <w:color w:val="000000"/>
          <w:shd w:val="clear" w:color="auto" w:fill="FFFFFF"/>
        </w:rPr>
      </w:pPr>
    </w:p>
    <w:p w14:paraId="2125885C" w14:textId="77777777" w:rsidR="007A38E0" w:rsidRDefault="007A38E0" w:rsidP="006546B7">
      <w:pPr>
        <w:shd w:val="clear" w:color="auto" w:fill="FFFFFF"/>
        <w:spacing w:before="0"/>
        <w:textAlignment w:val="top"/>
        <w:rPr>
          <w:rFonts w:ascii="Arial" w:hAnsi="Arial" w:cs="Arial"/>
          <w:color w:val="000000"/>
          <w:u w:val="single"/>
          <w:shd w:val="clear" w:color="auto" w:fill="FFFFFF"/>
        </w:rPr>
      </w:pPr>
      <w:r>
        <w:rPr>
          <w:rFonts w:ascii="Arial" w:hAnsi="Arial" w:cs="Arial"/>
          <w:color w:val="000000"/>
          <w:u w:val="single"/>
          <w:shd w:val="clear" w:color="auto" w:fill="FFFFFF"/>
        </w:rPr>
        <w:t xml:space="preserve">Section 3 </w:t>
      </w:r>
    </w:p>
    <w:p w14:paraId="37ECE2E0" w14:textId="77777777" w:rsidR="007A38E0" w:rsidRDefault="007A38E0" w:rsidP="006546B7">
      <w:pPr>
        <w:shd w:val="clear" w:color="auto" w:fill="FFFFFF"/>
        <w:spacing w:before="0"/>
        <w:textAlignment w:val="top"/>
        <w:rPr>
          <w:rFonts w:ascii="Arial" w:hAnsi="Arial" w:cs="Arial"/>
          <w:color w:val="000000"/>
          <w:u w:val="single"/>
          <w:shd w:val="clear" w:color="auto" w:fill="FFFFFF"/>
        </w:rPr>
      </w:pPr>
    </w:p>
    <w:p w14:paraId="15C880B9" w14:textId="77777777" w:rsidR="007A38E0" w:rsidRDefault="007A38E0" w:rsidP="006546B7">
      <w:pPr>
        <w:shd w:val="clear" w:color="auto" w:fill="FFFFFF"/>
        <w:spacing w:before="0"/>
        <w:textAlignment w:val="top"/>
        <w:rPr>
          <w:rFonts w:ascii="Arial" w:hAnsi="Arial" w:cs="Arial"/>
          <w:color w:val="000000"/>
          <w:shd w:val="clear" w:color="auto" w:fill="FFFFFF"/>
        </w:rPr>
      </w:pPr>
      <w:r>
        <w:rPr>
          <w:rFonts w:ascii="Arial" w:hAnsi="Arial" w:cs="Arial"/>
          <w:color w:val="000000"/>
          <w:shd w:val="clear" w:color="auto" w:fill="FFFFFF"/>
        </w:rPr>
        <w:t>This section provides that the instrument is made under subsection 58AA(4) of the Child Support Assessment Act.</w:t>
      </w:r>
    </w:p>
    <w:p w14:paraId="47FEE869" w14:textId="77777777" w:rsidR="006656DE" w:rsidRDefault="006656DE" w:rsidP="006546B7">
      <w:pPr>
        <w:shd w:val="clear" w:color="auto" w:fill="FFFFFF"/>
        <w:spacing w:before="0"/>
        <w:textAlignment w:val="top"/>
        <w:rPr>
          <w:rFonts w:ascii="Arial" w:hAnsi="Arial" w:cs="Arial"/>
          <w:color w:val="000000"/>
          <w:shd w:val="clear" w:color="auto" w:fill="FFFFFF"/>
        </w:rPr>
      </w:pPr>
    </w:p>
    <w:p w14:paraId="1926EE9F" w14:textId="77777777" w:rsidR="006656DE" w:rsidRDefault="006656DE" w:rsidP="006546B7">
      <w:pPr>
        <w:shd w:val="clear" w:color="auto" w:fill="FFFFFF"/>
        <w:spacing w:before="0"/>
        <w:textAlignment w:val="top"/>
        <w:rPr>
          <w:rFonts w:ascii="Arial" w:hAnsi="Arial" w:cs="Arial"/>
          <w:color w:val="000000"/>
          <w:u w:val="single"/>
          <w:shd w:val="clear" w:color="auto" w:fill="FFFFFF"/>
        </w:rPr>
      </w:pPr>
      <w:r>
        <w:rPr>
          <w:rFonts w:ascii="Arial" w:hAnsi="Arial" w:cs="Arial"/>
          <w:color w:val="000000"/>
          <w:u w:val="single"/>
          <w:shd w:val="clear" w:color="auto" w:fill="FFFFFF"/>
        </w:rPr>
        <w:t xml:space="preserve">Section 4 </w:t>
      </w:r>
    </w:p>
    <w:p w14:paraId="059D0183" w14:textId="77777777" w:rsidR="006656DE" w:rsidRDefault="006656DE" w:rsidP="006546B7">
      <w:pPr>
        <w:shd w:val="clear" w:color="auto" w:fill="FFFFFF"/>
        <w:spacing w:before="0"/>
        <w:textAlignment w:val="top"/>
        <w:rPr>
          <w:rFonts w:ascii="Arial" w:hAnsi="Arial" w:cs="Arial"/>
          <w:color w:val="000000"/>
          <w:u w:val="single"/>
          <w:shd w:val="clear" w:color="auto" w:fill="FFFFFF"/>
        </w:rPr>
      </w:pPr>
    </w:p>
    <w:p w14:paraId="734FB775" w14:textId="77777777" w:rsidR="00696EF4" w:rsidRDefault="006656DE" w:rsidP="006656DE">
      <w:pPr>
        <w:shd w:val="clear" w:color="auto" w:fill="FFFFFF"/>
        <w:spacing w:before="0"/>
        <w:textAlignment w:val="top"/>
        <w:rPr>
          <w:rFonts w:ascii="Arial" w:hAnsi="Arial" w:cs="Arial"/>
          <w:color w:val="111111"/>
          <w:szCs w:val="24"/>
        </w:rPr>
      </w:pPr>
      <w:r w:rsidRPr="006656DE">
        <w:rPr>
          <w:rFonts w:ascii="Arial" w:hAnsi="Arial" w:cs="Arial"/>
          <w:color w:val="111111"/>
          <w:szCs w:val="24"/>
        </w:rPr>
        <w:t xml:space="preserve">This is the definition section of the instrument. In the instrument, “Act” is defined as the Child Support Assessment Act.  </w:t>
      </w:r>
    </w:p>
    <w:p w14:paraId="543DFE89" w14:textId="77777777" w:rsidR="00696EF4" w:rsidRDefault="00696EF4" w:rsidP="006656DE">
      <w:pPr>
        <w:shd w:val="clear" w:color="auto" w:fill="FFFFFF"/>
        <w:spacing w:before="0"/>
        <w:textAlignment w:val="top"/>
        <w:rPr>
          <w:rFonts w:ascii="Arial" w:hAnsi="Arial" w:cs="Arial"/>
          <w:color w:val="111111"/>
          <w:szCs w:val="24"/>
        </w:rPr>
      </w:pPr>
    </w:p>
    <w:p w14:paraId="695AB17F" w14:textId="77777777" w:rsidR="00C37944" w:rsidRDefault="006656DE" w:rsidP="006656DE">
      <w:pPr>
        <w:shd w:val="clear" w:color="auto" w:fill="FFFFFF"/>
        <w:spacing w:before="0"/>
        <w:textAlignment w:val="top"/>
        <w:rPr>
          <w:rFonts w:ascii="Arial" w:hAnsi="Arial" w:cs="Arial"/>
          <w:color w:val="111111"/>
          <w:szCs w:val="24"/>
        </w:rPr>
      </w:pPr>
      <w:r w:rsidRPr="006656DE">
        <w:rPr>
          <w:rFonts w:ascii="Arial" w:hAnsi="Arial" w:cs="Arial"/>
          <w:color w:val="111111"/>
          <w:szCs w:val="24"/>
        </w:rPr>
        <w:t xml:space="preserve">There is a note that the </w:t>
      </w:r>
      <w:r w:rsidR="00876F40">
        <w:rPr>
          <w:rFonts w:ascii="Arial" w:hAnsi="Arial" w:cs="Arial"/>
          <w:color w:val="111111"/>
          <w:szCs w:val="24"/>
        </w:rPr>
        <w:t>term</w:t>
      </w:r>
      <w:r w:rsidR="00876F40" w:rsidRPr="006656DE">
        <w:rPr>
          <w:rFonts w:ascii="Arial" w:hAnsi="Arial" w:cs="Arial"/>
          <w:color w:val="111111"/>
          <w:szCs w:val="24"/>
        </w:rPr>
        <w:t xml:space="preserve"> </w:t>
      </w:r>
      <w:r w:rsidRPr="006656DE">
        <w:rPr>
          <w:rFonts w:ascii="Arial" w:hAnsi="Arial" w:cs="Arial"/>
          <w:color w:val="111111"/>
          <w:szCs w:val="24"/>
        </w:rPr>
        <w:t>“</w:t>
      </w:r>
      <w:r>
        <w:rPr>
          <w:rFonts w:ascii="Arial" w:hAnsi="Arial" w:cs="Arial"/>
          <w:color w:val="111111"/>
          <w:szCs w:val="24"/>
        </w:rPr>
        <w:t>December</w:t>
      </w:r>
      <w:r w:rsidRPr="006656DE">
        <w:rPr>
          <w:rFonts w:ascii="Arial" w:hAnsi="Arial" w:cs="Arial"/>
          <w:color w:val="111111"/>
          <w:szCs w:val="24"/>
        </w:rPr>
        <w:t xml:space="preserve"> quarter” is defined in subsection 5</w:t>
      </w:r>
      <w:r>
        <w:rPr>
          <w:rFonts w:ascii="Arial" w:hAnsi="Arial" w:cs="Arial"/>
          <w:color w:val="111111"/>
          <w:szCs w:val="24"/>
        </w:rPr>
        <w:t>8AA(1</w:t>
      </w:r>
      <w:r w:rsidRPr="006656DE">
        <w:rPr>
          <w:rFonts w:ascii="Arial" w:hAnsi="Arial" w:cs="Arial"/>
          <w:color w:val="111111"/>
          <w:szCs w:val="24"/>
        </w:rPr>
        <w:t xml:space="preserve">) of the Child Support Assessment Act.  </w:t>
      </w:r>
      <w:r>
        <w:rPr>
          <w:rFonts w:ascii="Arial" w:hAnsi="Arial" w:cs="Arial"/>
          <w:color w:val="111111"/>
          <w:szCs w:val="24"/>
        </w:rPr>
        <w:t>Subs</w:t>
      </w:r>
      <w:r w:rsidRPr="006656DE">
        <w:rPr>
          <w:rFonts w:ascii="Arial" w:hAnsi="Arial" w:cs="Arial"/>
          <w:color w:val="111111"/>
          <w:szCs w:val="24"/>
        </w:rPr>
        <w:t>ection 5</w:t>
      </w:r>
      <w:r>
        <w:rPr>
          <w:rFonts w:ascii="Arial" w:hAnsi="Arial" w:cs="Arial"/>
          <w:color w:val="111111"/>
          <w:szCs w:val="24"/>
        </w:rPr>
        <w:t>8AA(1</w:t>
      </w:r>
      <w:r w:rsidRPr="006656DE">
        <w:rPr>
          <w:rFonts w:ascii="Arial" w:hAnsi="Arial" w:cs="Arial"/>
          <w:color w:val="111111"/>
          <w:szCs w:val="24"/>
        </w:rPr>
        <w:t>) provides that</w:t>
      </w:r>
      <w:r>
        <w:rPr>
          <w:rFonts w:ascii="Arial" w:hAnsi="Arial" w:cs="Arial"/>
          <w:color w:val="111111"/>
          <w:szCs w:val="24"/>
        </w:rPr>
        <w:t xml:space="preserve"> the</w:t>
      </w:r>
      <w:r w:rsidRPr="006656DE">
        <w:rPr>
          <w:rFonts w:ascii="Arial" w:hAnsi="Arial" w:cs="Arial"/>
          <w:color w:val="111111"/>
          <w:szCs w:val="24"/>
        </w:rPr>
        <w:t xml:space="preserve"> “</w:t>
      </w:r>
      <w:r>
        <w:rPr>
          <w:rFonts w:ascii="Arial" w:hAnsi="Arial" w:cs="Arial"/>
          <w:color w:val="111111"/>
          <w:szCs w:val="24"/>
        </w:rPr>
        <w:t>December</w:t>
      </w:r>
      <w:r w:rsidRPr="006656DE">
        <w:rPr>
          <w:rFonts w:ascii="Arial" w:hAnsi="Arial" w:cs="Arial"/>
          <w:color w:val="111111"/>
          <w:szCs w:val="24"/>
        </w:rPr>
        <w:t xml:space="preserve"> quarter”</w:t>
      </w:r>
      <w:r>
        <w:rPr>
          <w:rFonts w:ascii="Arial" w:hAnsi="Arial" w:cs="Arial"/>
          <w:color w:val="111111"/>
          <w:szCs w:val="24"/>
        </w:rPr>
        <w:t xml:space="preserve"> of a year of income</w:t>
      </w:r>
      <w:r w:rsidRPr="006656DE">
        <w:rPr>
          <w:rFonts w:ascii="Arial" w:hAnsi="Arial" w:cs="Arial"/>
          <w:color w:val="111111"/>
          <w:szCs w:val="24"/>
        </w:rPr>
        <w:t xml:space="preserve"> means the quarter ending on 3</w:t>
      </w:r>
      <w:bookmarkStart w:id="1" w:name="_Toc290210739"/>
      <w:r>
        <w:rPr>
          <w:rFonts w:ascii="Arial" w:hAnsi="Arial" w:cs="Arial"/>
          <w:color w:val="111111"/>
          <w:szCs w:val="24"/>
        </w:rPr>
        <w:t xml:space="preserve">1 December of that year. </w:t>
      </w:r>
    </w:p>
    <w:p w14:paraId="57584C46" w14:textId="77777777" w:rsidR="00DA10E5" w:rsidRDefault="00DA10E5" w:rsidP="006656DE">
      <w:pPr>
        <w:shd w:val="clear" w:color="auto" w:fill="FFFFFF"/>
        <w:spacing w:before="0"/>
        <w:textAlignment w:val="top"/>
        <w:rPr>
          <w:rFonts w:ascii="Arial" w:hAnsi="Arial" w:cs="Arial"/>
          <w:color w:val="111111"/>
          <w:szCs w:val="24"/>
        </w:rPr>
      </w:pPr>
    </w:p>
    <w:p w14:paraId="7172EBEC" w14:textId="77777777" w:rsidR="006656DE" w:rsidRDefault="006656DE" w:rsidP="006656DE">
      <w:pPr>
        <w:shd w:val="clear" w:color="auto" w:fill="FFFFFF"/>
        <w:spacing w:before="0"/>
        <w:textAlignment w:val="top"/>
        <w:rPr>
          <w:rFonts w:ascii="Arial" w:hAnsi="Arial" w:cs="Arial"/>
          <w:color w:val="111111"/>
          <w:szCs w:val="24"/>
          <w:u w:val="single"/>
        </w:rPr>
      </w:pPr>
      <w:r>
        <w:rPr>
          <w:rFonts w:ascii="Arial" w:hAnsi="Arial" w:cs="Arial"/>
          <w:color w:val="111111"/>
          <w:szCs w:val="24"/>
          <w:u w:val="single"/>
        </w:rPr>
        <w:t xml:space="preserve">Section 5 </w:t>
      </w:r>
    </w:p>
    <w:p w14:paraId="60D1BC69" w14:textId="77777777" w:rsidR="006656DE" w:rsidRDefault="006656DE" w:rsidP="006656DE">
      <w:pPr>
        <w:shd w:val="clear" w:color="auto" w:fill="FFFFFF"/>
        <w:spacing w:before="0"/>
        <w:textAlignment w:val="top"/>
        <w:rPr>
          <w:rFonts w:ascii="Arial" w:hAnsi="Arial" w:cs="Arial"/>
          <w:color w:val="111111"/>
          <w:szCs w:val="24"/>
          <w:u w:val="single"/>
        </w:rPr>
      </w:pPr>
    </w:p>
    <w:p w14:paraId="6935F5C3" w14:textId="7424DDCC" w:rsidR="00C748D5" w:rsidRPr="00E66836" w:rsidRDefault="006656DE" w:rsidP="00E66836">
      <w:pPr>
        <w:shd w:val="clear" w:color="auto" w:fill="FFFFFF"/>
        <w:spacing w:before="0"/>
        <w:textAlignment w:val="top"/>
        <w:rPr>
          <w:rFonts w:ascii="Arial" w:eastAsiaTheme="majorEastAsia" w:hAnsi="Arial" w:cs="Arial"/>
          <w:bCs/>
          <w:szCs w:val="24"/>
        </w:rPr>
      </w:pPr>
      <w:r w:rsidRPr="006656DE">
        <w:rPr>
          <w:rFonts w:ascii="Arial" w:eastAsiaTheme="majorEastAsia" w:hAnsi="Arial" w:cs="Arial"/>
          <w:bCs/>
          <w:szCs w:val="24"/>
        </w:rPr>
        <w:t xml:space="preserve">This section determines the amount </w:t>
      </w:r>
      <w:r w:rsidRPr="00ED4E57">
        <w:rPr>
          <w:rFonts w:ascii="Arial" w:eastAsiaTheme="majorEastAsia" w:hAnsi="Arial" w:cs="Arial"/>
          <w:bCs/>
          <w:szCs w:val="24"/>
        </w:rPr>
        <w:t>of $</w:t>
      </w:r>
      <w:r w:rsidR="00472C0F">
        <w:rPr>
          <w:rFonts w:ascii="Arial" w:eastAsiaTheme="majorEastAsia" w:hAnsi="Arial" w:cs="Arial"/>
          <w:bCs/>
          <w:szCs w:val="24"/>
        </w:rPr>
        <w:t>1,291</w:t>
      </w:r>
      <w:r w:rsidR="00ED4E57">
        <w:rPr>
          <w:rFonts w:ascii="Arial" w:eastAsiaTheme="majorEastAsia" w:hAnsi="Arial" w:cs="Arial"/>
          <w:bCs/>
          <w:szCs w:val="24"/>
        </w:rPr>
        <w:t>.30</w:t>
      </w:r>
      <w:r>
        <w:rPr>
          <w:rFonts w:ascii="Arial" w:eastAsiaTheme="majorEastAsia" w:hAnsi="Arial" w:cs="Arial"/>
          <w:bCs/>
          <w:szCs w:val="24"/>
        </w:rPr>
        <w:t xml:space="preserve"> </w:t>
      </w:r>
      <w:r w:rsidR="005C3FE0">
        <w:rPr>
          <w:rFonts w:ascii="Arial" w:eastAsiaTheme="majorEastAsia" w:hAnsi="Arial" w:cs="Arial"/>
          <w:bCs/>
          <w:szCs w:val="24"/>
        </w:rPr>
        <w:t xml:space="preserve">as the AWE amount </w:t>
      </w:r>
      <w:r>
        <w:rPr>
          <w:rFonts w:ascii="Arial" w:eastAsiaTheme="majorEastAsia" w:hAnsi="Arial" w:cs="Arial"/>
          <w:bCs/>
          <w:szCs w:val="24"/>
        </w:rPr>
        <w:t>for the December</w:t>
      </w:r>
      <w:r w:rsidRPr="006656DE">
        <w:rPr>
          <w:rFonts w:ascii="Arial" w:eastAsiaTheme="majorEastAsia" w:hAnsi="Arial" w:cs="Arial"/>
          <w:bCs/>
          <w:szCs w:val="24"/>
        </w:rPr>
        <w:t xml:space="preserve"> quarter </w:t>
      </w:r>
      <w:r>
        <w:rPr>
          <w:rFonts w:ascii="Arial" w:eastAsiaTheme="majorEastAsia" w:hAnsi="Arial" w:cs="Arial"/>
          <w:bCs/>
          <w:szCs w:val="24"/>
        </w:rPr>
        <w:t xml:space="preserve">of </w:t>
      </w:r>
      <w:r w:rsidR="00876F40">
        <w:rPr>
          <w:rFonts w:ascii="Arial" w:eastAsiaTheme="majorEastAsia" w:hAnsi="Arial" w:cs="Arial"/>
          <w:bCs/>
          <w:szCs w:val="24"/>
        </w:rPr>
        <w:t>the</w:t>
      </w:r>
      <w:r>
        <w:rPr>
          <w:rFonts w:ascii="Arial" w:eastAsiaTheme="majorEastAsia" w:hAnsi="Arial" w:cs="Arial"/>
          <w:bCs/>
          <w:szCs w:val="24"/>
        </w:rPr>
        <w:t xml:space="preserve"> year of income ending on 31 December 2020</w:t>
      </w:r>
      <w:r w:rsidRPr="006656DE">
        <w:rPr>
          <w:rFonts w:ascii="Arial" w:eastAsiaTheme="majorEastAsia" w:hAnsi="Arial" w:cs="Arial"/>
          <w:bCs/>
          <w:szCs w:val="24"/>
        </w:rPr>
        <w:t xml:space="preserve">, based on an extrapolation of trend AWE data provided by the Australian Statistician.  </w:t>
      </w:r>
    </w:p>
    <w:p w14:paraId="56223013" w14:textId="77777777" w:rsidR="00E66836" w:rsidRDefault="00E66836">
      <w:pPr>
        <w:spacing w:before="0" w:after="200" w:line="276" w:lineRule="auto"/>
        <w:rPr>
          <w:rFonts w:ascii="Arial" w:hAnsi="Arial" w:cs="Arial"/>
          <w:b/>
          <w:szCs w:val="24"/>
        </w:rPr>
      </w:pPr>
      <w:r>
        <w:rPr>
          <w:rFonts w:ascii="Arial" w:hAnsi="Arial" w:cs="Arial"/>
          <w:b/>
          <w:szCs w:val="24"/>
        </w:rPr>
        <w:br w:type="page"/>
      </w:r>
    </w:p>
    <w:p w14:paraId="789B3ADD" w14:textId="77777777" w:rsidR="00960409" w:rsidRDefault="00960409" w:rsidP="00960409">
      <w:pPr>
        <w:spacing w:before="360" w:after="120"/>
        <w:rPr>
          <w:rFonts w:ascii="Arial" w:hAnsi="Arial" w:cs="Arial"/>
          <w:b/>
          <w:szCs w:val="24"/>
        </w:rPr>
      </w:pPr>
    </w:p>
    <w:p w14:paraId="762E3B0D" w14:textId="77777777" w:rsidR="006546B7" w:rsidRPr="00BC76EB" w:rsidRDefault="006546B7" w:rsidP="00960409">
      <w:pPr>
        <w:spacing w:before="360" w:after="120"/>
        <w:jc w:val="center"/>
        <w:rPr>
          <w:rFonts w:ascii="Arial" w:hAnsi="Arial" w:cs="Arial"/>
          <w:b/>
          <w:szCs w:val="24"/>
        </w:rPr>
      </w:pPr>
      <w:r w:rsidRPr="00BC76EB">
        <w:rPr>
          <w:rFonts w:ascii="Arial" w:hAnsi="Arial" w:cs="Arial"/>
          <w:b/>
          <w:szCs w:val="24"/>
        </w:rPr>
        <w:t>Statement of Compatibility with Human Rights</w:t>
      </w:r>
    </w:p>
    <w:p w14:paraId="669C4AD8" w14:textId="77777777" w:rsidR="006546B7" w:rsidRPr="00BC76EB" w:rsidRDefault="006546B7" w:rsidP="00960409">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14F03AAE" w14:textId="77777777" w:rsidR="006546B7" w:rsidRPr="00BC76EB" w:rsidRDefault="006546B7" w:rsidP="006546B7">
      <w:pPr>
        <w:spacing w:before="120" w:after="120"/>
        <w:jc w:val="center"/>
        <w:rPr>
          <w:rFonts w:ascii="Arial" w:hAnsi="Arial" w:cs="Arial"/>
          <w:szCs w:val="24"/>
        </w:rPr>
      </w:pPr>
    </w:p>
    <w:p w14:paraId="5F07E280" w14:textId="77777777" w:rsidR="006546B7" w:rsidRPr="00BC76EB" w:rsidRDefault="00C748D5" w:rsidP="006546B7">
      <w:pPr>
        <w:spacing w:before="120" w:after="120"/>
        <w:jc w:val="center"/>
        <w:rPr>
          <w:rFonts w:ascii="Arial" w:hAnsi="Arial" w:cs="Arial"/>
          <w:szCs w:val="24"/>
        </w:rPr>
      </w:pPr>
      <w:r>
        <w:rPr>
          <w:rFonts w:ascii="Arial" w:hAnsi="Arial" w:cs="Arial"/>
          <w:b/>
          <w:bCs/>
          <w:i/>
          <w:iCs/>
          <w:color w:val="000000"/>
          <w:shd w:val="clear" w:color="auto" w:fill="FFFFFF"/>
        </w:rPr>
        <w:t>Child Support (Assessment) (AWE amount) Determination 2021</w:t>
      </w:r>
    </w:p>
    <w:p w14:paraId="4C8938AB" w14:textId="77777777" w:rsidR="006546B7" w:rsidRPr="00BC76EB" w:rsidRDefault="00374A77" w:rsidP="00C748D5">
      <w:pPr>
        <w:spacing w:before="120" w:after="120"/>
        <w:rPr>
          <w:rFonts w:ascii="Arial" w:hAnsi="Arial" w:cs="Arial"/>
          <w:szCs w:val="24"/>
        </w:rPr>
      </w:pPr>
      <w:r w:rsidRPr="00ED4E57">
        <w:rPr>
          <w:rFonts w:ascii="Arial" w:hAnsi="Arial" w:cs="Arial"/>
          <w:szCs w:val="24"/>
        </w:rPr>
        <w:t>The</w:t>
      </w:r>
      <w:r w:rsidRPr="00960409">
        <w:rPr>
          <w:rFonts w:ascii="Arial" w:hAnsi="Arial" w:cs="Arial"/>
          <w:i/>
          <w:szCs w:val="24"/>
        </w:rPr>
        <w:t xml:space="preserve"> </w:t>
      </w:r>
      <w:r w:rsidR="00C748D5" w:rsidRPr="00960409">
        <w:rPr>
          <w:rFonts w:ascii="Arial" w:hAnsi="Arial" w:cs="Arial"/>
          <w:i/>
          <w:szCs w:val="24"/>
        </w:rPr>
        <w:t>Child Support (Assessment) (AWE</w:t>
      </w:r>
      <w:r w:rsidR="00DA10E5" w:rsidRPr="00960409">
        <w:rPr>
          <w:rFonts w:ascii="Arial" w:hAnsi="Arial" w:cs="Arial"/>
          <w:i/>
          <w:szCs w:val="24"/>
        </w:rPr>
        <w:t xml:space="preserve"> amount</w:t>
      </w:r>
      <w:r w:rsidR="00C748D5" w:rsidRPr="00960409">
        <w:rPr>
          <w:rFonts w:ascii="Arial" w:hAnsi="Arial" w:cs="Arial"/>
          <w:i/>
          <w:szCs w:val="24"/>
        </w:rPr>
        <w:t>) Determination 2021</w:t>
      </w:r>
      <w:r w:rsidR="00C748D5" w:rsidRPr="00C748D5">
        <w:rPr>
          <w:rFonts w:ascii="Arial" w:hAnsi="Arial" w:cs="Arial"/>
          <w:szCs w:val="24"/>
        </w:rPr>
        <w:t xml:space="preserve"> (the instrument) is</w:t>
      </w:r>
      <w:r w:rsidR="00C748D5">
        <w:rPr>
          <w:rFonts w:ascii="Arial" w:hAnsi="Arial" w:cs="Arial"/>
          <w:szCs w:val="24"/>
        </w:rPr>
        <w:t xml:space="preserve"> </w:t>
      </w:r>
      <w:r w:rsidR="006546B7" w:rsidRPr="00BC76EB">
        <w:rPr>
          <w:rFonts w:ascii="Arial" w:hAnsi="Arial" w:cs="Arial"/>
          <w:szCs w:val="24"/>
        </w:rPr>
        <w:t>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474FCEBD" w14:textId="77777777" w:rsidR="006546B7" w:rsidRPr="00BC76EB" w:rsidRDefault="002A63EA" w:rsidP="00AD1347">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5BBB0199" w14:textId="77777777" w:rsidR="00C748D5" w:rsidRPr="00C748D5" w:rsidRDefault="00C748D5" w:rsidP="00C748D5">
      <w:pPr>
        <w:spacing w:after="120"/>
        <w:rPr>
          <w:rFonts w:ascii="Arial" w:hAnsi="Arial" w:cs="Arial"/>
          <w:szCs w:val="24"/>
        </w:rPr>
      </w:pPr>
      <w:r w:rsidRPr="00C748D5">
        <w:rPr>
          <w:rFonts w:ascii="Arial" w:hAnsi="Arial" w:cs="Arial"/>
          <w:szCs w:val="24"/>
        </w:rPr>
        <w:t>The</w:t>
      </w:r>
      <w:r>
        <w:rPr>
          <w:rFonts w:ascii="Arial" w:hAnsi="Arial" w:cs="Arial"/>
          <w:szCs w:val="24"/>
        </w:rPr>
        <w:t xml:space="preserve"> instrument</w:t>
      </w:r>
      <w:r w:rsidRPr="00C748D5">
        <w:rPr>
          <w:rFonts w:ascii="Arial" w:hAnsi="Arial" w:cs="Arial"/>
          <w:szCs w:val="24"/>
        </w:rPr>
        <w:t xml:space="preserve"> determines an amount under subsection 5</w:t>
      </w:r>
      <w:r>
        <w:rPr>
          <w:rFonts w:ascii="Arial" w:hAnsi="Arial" w:cs="Arial"/>
          <w:szCs w:val="24"/>
        </w:rPr>
        <w:t>8AA(4</w:t>
      </w:r>
      <w:r w:rsidRPr="00C748D5">
        <w:rPr>
          <w:rFonts w:ascii="Arial" w:hAnsi="Arial" w:cs="Arial"/>
          <w:szCs w:val="24"/>
        </w:rPr>
        <w:t xml:space="preserve">) of the </w:t>
      </w:r>
      <w:r w:rsidRPr="00960409">
        <w:rPr>
          <w:rFonts w:ascii="Arial" w:hAnsi="Arial" w:cs="Arial"/>
          <w:i/>
          <w:szCs w:val="24"/>
        </w:rPr>
        <w:t>Child Support (Assessment) Act 1989</w:t>
      </w:r>
      <w:r w:rsidRPr="00C748D5">
        <w:rPr>
          <w:rFonts w:ascii="Arial" w:hAnsi="Arial" w:cs="Arial"/>
          <w:szCs w:val="24"/>
        </w:rPr>
        <w:t xml:space="preserve"> (the</w:t>
      </w:r>
      <w:r>
        <w:rPr>
          <w:rFonts w:ascii="Arial" w:hAnsi="Arial" w:cs="Arial"/>
          <w:szCs w:val="24"/>
        </w:rPr>
        <w:t xml:space="preserve"> Child Support Assessment Act).</w:t>
      </w:r>
    </w:p>
    <w:p w14:paraId="30393BBA" w14:textId="5D0AA949" w:rsidR="00C748D5" w:rsidRPr="00C748D5" w:rsidRDefault="00C748D5" w:rsidP="00C748D5">
      <w:pPr>
        <w:spacing w:after="120"/>
        <w:rPr>
          <w:rFonts w:ascii="Arial" w:hAnsi="Arial" w:cs="Arial"/>
          <w:szCs w:val="24"/>
        </w:rPr>
      </w:pPr>
      <w:r w:rsidRPr="00C748D5">
        <w:rPr>
          <w:rFonts w:ascii="Arial" w:hAnsi="Arial" w:cs="Arial"/>
          <w:szCs w:val="24"/>
        </w:rPr>
        <w:t>The amount determined in the instrument</w:t>
      </w:r>
      <w:r w:rsidR="00696EF4">
        <w:rPr>
          <w:rFonts w:ascii="Arial" w:hAnsi="Arial" w:cs="Arial"/>
          <w:szCs w:val="24"/>
        </w:rPr>
        <w:t>,</w:t>
      </w:r>
      <w:r w:rsidRPr="00C748D5">
        <w:rPr>
          <w:rFonts w:ascii="Arial" w:hAnsi="Arial" w:cs="Arial"/>
          <w:szCs w:val="24"/>
        </w:rPr>
        <w:t xml:space="preserve"> as advised by the Australian Statist</w:t>
      </w:r>
      <w:r>
        <w:rPr>
          <w:rFonts w:ascii="Arial" w:hAnsi="Arial" w:cs="Arial"/>
          <w:szCs w:val="24"/>
        </w:rPr>
        <w:t>ician</w:t>
      </w:r>
      <w:r w:rsidR="00696EF4">
        <w:rPr>
          <w:rFonts w:ascii="Arial" w:hAnsi="Arial" w:cs="Arial"/>
          <w:szCs w:val="24"/>
        </w:rPr>
        <w:t>,</w:t>
      </w:r>
      <w:r>
        <w:rPr>
          <w:rFonts w:ascii="Arial" w:hAnsi="Arial" w:cs="Arial"/>
          <w:szCs w:val="24"/>
        </w:rPr>
        <w:t xml:space="preserve"> will be taken to be the AWE amount</w:t>
      </w:r>
      <w:r w:rsidRPr="00C748D5">
        <w:rPr>
          <w:rFonts w:ascii="Arial" w:hAnsi="Arial" w:cs="Arial"/>
          <w:szCs w:val="24"/>
        </w:rPr>
        <w:t xml:space="preserve"> for the </w:t>
      </w:r>
      <w:r>
        <w:rPr>
          <w:rFonts w:ascii="Arial" w:hAnsi="Arial" w:cs="Arial"/>
          <w:szCs w:val="24"/>
        </w:rPr>
        <w:t>December</w:t>
      </w:r>
      <w:r w:rsidRPr="00C748D5">
        <w:rPr>
          <w:rFonts w:ascii="Arial" w:hAnsi="Arial" w:cs="Arial"/>
          <w:szCs w:val="24"/>
        </w:rPr>
        <w:t xml:space="preserve"> quarter</w:t>
      </w:r>
      <w:r w:rsidR="00696EF4">
        <w:rPr>
          <w:rFonts w:ascii="Arial" w:hAnsi="Arial" w:cs="Arial"/>
          <w:szCs w:val="24"/>
        </w:rPr>
        <w:t xml:space="preserve"> ending on 31 December 2020</w:t>
      </w:r>
      <w:r w:rsidR="00092D5C">
        <w:rPr>
          <w:rFonts w:ascii="Arial" w:hAnsi="Arial" w:cs="Arial"/>
          <w:szCs w:val="24"/>
        </w:rPr>
        <w:t>,</w:t>
      </w:r>
      <w:r w:rsidRPr="00C748D5">
        <w:rPr>
          <w:rFonts w:ascii="Arial" w:hAnsi="Arial" w:cs="Arial"/>
          <w:szCs w:val="24"/>
        </w:rPr>
        <w:t xml:space="preserve"> in accordance with subsection 5</w:t>
      </w:r>
      <w:r>
        <w:rPr>
          <w:rFonts w:ascii="Arial" w:hAnsi="Arial" w:cs="Arial"/>
          <w:szCs w:val="24"/>
        </w:rPr>
        <w:t>8AA(5</w:t>
      </w:r>
      <w:r w:rsidRPr="00C748D5">
        <w:rPr>
          <w:rFonts w:ascii="Arial" w:hAnsi="Arial" w:cs="Arial"/>
          <w:szCs w:val="24"/>
        </w:rPr>
        <w:t>) of the</w:t>
      </w:r>
      <w:r>
        <w:rPr>
          <w:rFonts w:ascii="Arial" w:hAnsi="Arial" w:cs="Arial"/>
          <w:szCs w:val="24"/>
        </w:rPr>
        <w:t xml:space="preserve"> Child Support Assessment Act. </w:t>
      </w:r>
    </w:p>
    <w:p w14:paraId="1EB50CB0" w14:textId="5BD8F887" w:rsidR="00C748D5" w:rsidRDefault="00C748D5" w:rsidP="00C748D5">
      <w:pPr>
        <w:spacing w:after="120"/>
        <w:rPr>
          <w:rFonts w:ascii="Arial" w:hAnsi="Arial" w:cs="Arial"/>
          <w:szCs w:val="24"/>
        </w:rPr>
      </w:pPr>
      <w:r w:rsidRPr="00C748D5">
        <w:rPr>
          <w:rFonts w:ascii="Arial" w:hAnsi="Arial" w:cs="Arial"/>
          <w:szCs w:val="24"/>
        </w:rPr>
        <w:t xml:space="preserve">Determination of an amount </w:t>
      </w:r>
      <w:r>
        <w:rPr>
          <w:rFonts w:ascii="Arial" w:hAnsi="Arial" w:cs="Arial"/>
          <w:szCs w:val="24"/>
        </w:rPr>
        <w:t xml:space="preserve">that is taken to be the </w:t>
      </w:r>
      <w:r w:rsidRPr="00C748D5">
        <w:rPr>
          <w:rFonts w:ascii="Arial" w:hAnsi="Arial" w:cs="Arial"/>
          <w:szCs w:val="24"/>
        </w:rPr>
        <w:t>AWE amount is necessary for child support assessment purposes because the publication of trend estimates for</w:t>
      </w:r>
      <w:r w:rsidR="007B3B3E">
        <w:rPr>
          <w:rFonts w:ascii="Arial" w:hAnsi="Arial" w:cs="Arial"/>
          <w:szCs w:val="24"/>
        </w:rPr>
        <w:t xml:space="preserve"> the</w:t>
      </w:r>
      <w:r w:rsidRPr="00C748D5">
        <w:rPr>
          <w:rFonts w:ascii="Arial" w:hAnsi="Arial" w:cs="Arial"/>
          <w:szCs w:val="24"/>
        </w:rPr>
        <w:t xml:space="preserve"> Average Weekly Earnings series, ordinarily published by the Australian Statistician, </w:t>
      </w:r>
      <w:r w:rsidR="00ED4E57">
        <w:rPr>
          <w:rFonts w:ascii="Arial" w:hAnsi="Arial" w:cs="Arial"/>
          <w:szCs w:val="24"/>
        </w:rPr>
        <w:t>was</w:t>
      </w:r>
      <w:r w:rsidRPr="00C748D5">
        <w:rPr>
          <w:rFonts w:ascii="Arial" w:hAnsi="Arial" w:cs="Arial"/>
          <w:szCs w:val="24"/>
        </w:rPr>
        <w:t xml:space="preserve"> suspended due to the impact of the COVID-19 pandemic on the labour market.</w:t>
      </w:r>
    </w:p>
    <w:p w14:paraId="22B485AB" w14:textId="77777777" w:rsidR="006546B7" w:rsidRPr="00BC76EB" w:rsidRDefault="006546B7" w:rsidP="00C748D5">
      <w:pPr>
        <w:spacing w:after="120"/>
        <w:rPr>
          <w:rFonts w:ascii="Arial" w:hAnsi="Arial" w:cs="Arial"/>
          <w:b/>
          <w:szCs w:val="24"/>
        </w:rPr>
      </w:pPr>
      <w:r w:rsidRPr="00BC76EB">
        <w:rPr>
          <w:rFonts w:ascii="Arial" w:hAnsi="Arial" w:cs="Arial"/>
          <w:b/>
          <w:szCs w:val="24"/>
        </w:rPr>
        <w:t>Human rights implications</w:t>
      </w:r>
    </w:p>
    <w:p w14:paraId="0278C0C6" w14:textId="77777777" w:rsidR="00C748D5" w:rsidRPr="00C748D5" w:rsidRDefault="00C748D5" w:rsidP="00C748D5">
      <w:pPr>
        <w:spacing w:after="120"/>
        <w:rPr>
          <w:rFonts w:ascii="Arial" w:hAnsi="Arial" w:cs="Arial"/>
          <w:szCs w:val="24"/>
        </w:rPr>
      </w:pPr>
      <w:r w:rsidRPr="00C748D5">
        <w:rPr>
          <w:rFonts w:ascii="Arial" w:hAnsi="Arial" w:cs="Arial"/>
          <w:szCs w:val="24"/>
        </w:rPr>
        <w:t>The instrument engages the following rights:</w:t>
      </w:r>
    </w:p>
    <w:p w14:paraId="6D8822A0" w14:textId="77777777" w:rsidR="00E4684C" w:rsidRDefault="00C748D5" w:rsidP="00C748D5">
      <w:pPr>
        <w:pStyle w:val="ListParagraph"/>
        <w:numPr>
          <w:ilvl w:val="0"/>
          <w:numId w:val="19"/>
        </w:numPr>
        <w:spacing w:after="120"/>
        <w:rPr>
          <w:rFonts w:ascii="Arial" w:hAnsi="Arial" w:cs="Arial"/>
          <w:szCs w:val="24"/>
        </w:rPr>
      </w:pPr>
      <w:r w:rsidRPr="00E4684C">
        <w:rPr>
          <w:rFonts w:ascii="Arial" w:hAnsi="Arial" w:cs="Arial"/>
          <w:szCs w:val="24"/>
        </w:rPr>
        <w:t xml:space="preserve">Right to respect for family – Article 23(4) of the </w:t>
      </w:r>
      <w:r w:rsidR="00E4684C">
        <w:rPr>
          <w:rFonts w:ascii="Arial" w:hAnsi="Arial" w:cs="Arial"/>
          <w:szCs w:val="24"/>
        </w:rPr>
        <w:t>International Covenant on Civil and Political Rights (</w:t>
      </w:r>
      <w:r w:rsidRPr="00E4684C">
        <w:rPr>
          <w:rFonts w:ascii="Arial" w:hAnsi="Arial" w:cs="Arial"/>
          <w:szCs w:val="24"/>
        </w:rPr>
        <w:t>ICCPR</w:t>
      </w:r>
      <w:r w:rsidR="00E4684C">
        <w:rPr>
          <w:rFonts w:ascii="Arial" w:hAnsi="Arial" w:cs="Arial"/>
          <w:szCs w:val="24"/>
        </w:rPr>
        <w:t>)</w:t>
      </w:r>
      <w:r w:rsidRPr="00E4684C">
        <w:rPr>
          <w:rFonts w:ascii="Arial" w:hAnsi="Arial" w:cs="Arial"/>
          <w:szCs w:val="24"/>
        </w:rPr>
        <w:t>, and</w:t>
      </w:r>
    </w:p>
    <w:p w14:paraId="1AA544E6" w14:textId="77777777" w:rsidR="00E4684C" w:rsidRDefault="00E4684C" w:rsidP="00E4684C">
      <w:pPr>
        <w:pStyle w:val="ListParagraph"/>
        <w:spacing w:after="120"/>
        <w:rPr>
          <w:rFonts w:ascii="Arial" w:hAnsi="Arial" w:cs="Arial"/>
          <w:szCs w:val="24"/>
        </w:rPr>
      </w:pPr>
    </w:p>
    <w:p w14:paraId="5150DDD5" w14:textId="77777777" w:rsidR="00C748D5" w:rsidRPr="00E4684C" w:rsidRDefault="00C748D5" w:rsidP="00C748D5">
      <w:pPr>
        <w:pStyle w:val="ListParagraph"/>
        <w:numPr>
          <w:ilvl w:val="0"/>
          <w:numId w:val="19"/>
        </w:numPr>
        <w:spacing w:after="120"/>
        <w:rPr>
          <w:rFonts w:ascii="Arial" w:hAnsi="Arial" w:cs="Arial"/>
          <w:szCs w:val="24"/>
        </w:rPr>
      </w:pPr>
      <w:r w:rsidRPr="00E4684C">
        <w:rPr>
          <w:rFonts w:ascii="Arial" w:hAnsi="Arial" w:cs="Arial"/>
          <w:szCs w:val="24"/>
        </w:rPr>
        <w:t xml:space="preserve">Right of every child to an adequate standard of living – Article 27 of the </w:t>
      </w:r>
      <w:r w:rsidR="00E4684C">
        <w:rPr>
          <w:rFonts w:ascii="Arial" w:hAnsi="Arial" w:cs="Arial"/>
          <w:szCs w:val="24"/>
        </w:rPr>
        <w:t>Convention on the Rights of the Child (</w:t>
      </w:r>
      <w:r w:rsidRPr="00E4684C">
        <w:rPr>
          <w:rFonts w:ascii="Arial" w:hAnsi="Arial" w:cs="Arial"/>
          <w:szCs w:val="24"/>
        </w:rPr>
        <w:t>CRC</w:t>
      </w:r>
      <w:r w:rsidR="00E4684C">
        <w:rPr>
          <w:rFonts w:ascii="Arial" w:hAnsi="Arial" w:cs="Arial"/>
          <w:szCs w:val="24"/>
        </w:rPr>
        <w:t>)</w:t>
      </w:r>
      <w:r w:rsidRPr="00E4684C">
        <w:rPr>
          <w:rFonts w:ascii="Arial" w:hAnsi="Arial" w:cs="Arial"/>
          <w:szCs w:val="24"/>
        </w:rPr>
        <w:t>.</w:t>
      </w:r>
    </w:p>
    <w:p w14:paraId="265B09A6" w14:textId="77777777" w:rsidR="00C748D5" w:rsidRPr="00E4684C" w:rsidRDefault="00C748D5" w:rsidP="00C748D5">
      <w:pPr>
        <w:spacing w:after="120"/>
        <w:rPr>
          <w:rFonts w:ascii="Arial" w:hAnsi="Arial" w:cs="Arial"/>
          <w:i/>
          <w:szCs w:val="24"/>
        </w:rPr>
      </w:pPr>
      <w:r w:rsidRPr="00E4684C">
        <w:rPr>
          <w:rFonts w:ascii="Arial" w:hAnsi="Arial" w:cs="Arial"/>
          <w:i/>
          <w:szCs w:val="24"/>
        </w:rPr>
        <w:t xml:space="preserve">Right to respect for </w:t>
      </w:r>
      <w:r w:rsidR="00E4684C">
        <w:rPr>
          <w:rFonts w:ascii="Arial" w:hAnsi="Arial" w:cs="Arial"/>
          <w:i/>
          <w:szCs w:val="24"/>
        </w:rPr>
        <w:t>family</w:t>
      </w:r>
    </w:p>
    <w:p w14:paraId="0D8DF3E8" w14:textId="15A32CE2" w:rsidR="00E4684C" w:rsidRDefault="00C748D5" w:rsidP="00C748D5">
      <w:pPr>
        <w:spacing w:after="120"/>
        <w:rPr>
          <w:rFonts w:ascii="Arial" w:hAnsi="Arial" w:cs="Arial"/>
          <w:szCs w:val="24"/>
        </w:rPr>
      </w:pPr>
      <w:r w:rsidRPr="00C748D5">
        <w:rPr>
          <w:rFonts w:ascii="Arial" w:hAnsi="Arial" w:cs="Arial"/>
          <w:szCs w:val="24"/>
        </w:rPr>
        <w:t>The instrument engages Article 23(4) of the ICCPR, which states that appropriate steps should be taken to ensure equality of rights and responsibilities of spouses as to marriage, during marriage and at its dissolution.  Further</w:t>
      </w:r>
      <w:r w:rsidR="00DA10E5">
        <w:rPr>
          <w:rFonts w:ascii="Arial" w:hAnsi="Arial" w:cs="Arial"/>
          <w:szCs w:val="24"/>
        </w:rPr>
        <w:t>,</w:t>
      </w:r>
      <w:r w:rsidRPr="00C748D5">
        <w:rPr>
          <w:rFonts w:ascii="Arial" w:hAnsi="Arial" w:cs="Arial"/>
          <w:szCs w:val="24"/>
        </w:rPr>
        <w:t xml:space="preserve"> the article states that ‘in the case of dissolution [of marriage], provision shall be made for the necessar</w:t>
      </w:r>
      <w:r w:rsidR="00E00220">
        <w:rPr>
          <w:rFonts w:ascii="Arial" w:hAnsi="Arial" w:cs="Arial"/>
          <w:szCs w:val="24"/>
        </w:rPr>
        <w:t xml:space="preserve">y protection of any children’. </w:t>
      </w:r>
      <w:r w:rsidRPr="00C748D5">
        <w:rPr>
          <w:rFonts w:ascii="Arial" w:hAnsi="Arial" w:cs="Arial"/>
          <w:szCs w:val="24"/>
        </w:rPr>
        <w:t>The Child Support Scheme ensures that both parents take financial resp</w:t>
      </w:r>
      <w:r w:rsidR="00E00220">
        <w:rPr>
          <w:rFonts w:ascii="Arial" w:hAnsi="Arial" w:cs="Arial"/>
          <w:szCs w:val="24"/>
        </w:rPr>
        <w:t xml:space="preserve">onsibility for their children. </w:t>
      </w:r>
      <w:r w:rsidRPr="00C748D5">
        <w:rPr>
          <w:rFonts w:ascii="Arial" w:hAnsi="Arial" w:cs="Arial"/>
          <w:szCs w:val="24"/>
        </w:rPr>
        <w:t xml:space="preserve">The Child Support formula takes into consideration the costs of raising a child and each parent’s capacity to contribute.  The instrument engages this right, as it will provide a mechanism for child support assessments to continue to be determined </w:t>
      </w:r>
      <w:r w:rsidR="00D95F29">
        <w:rPr>
          <w:rFonts w:ascii="Arial" w:hAnsi="Arial" w:cs="Arial"/>
          <w:szCs w:val="24"/>
        </w:rPr>
        <w:t xml:space="preserve">using the most up to date income </w:t>
      </w:r>
      <w:r w:rsidR="00D95F29">
        <w:rPr>
          <w:rFonts w:ascii="Arial" w:hAnsi="Arial" w:cs="Arial"/>
          <w:szCs w:val="24"/>
        </w:rPr>
        <w:lastRenderedPageBreak/>
        <w:t xml:space="preserve">information available, </w:t>
      </w:r>
      <w:r w:rsidRPr="00C748D5">
        <w:rPr>
          <w:rFonts w:ascii="Arial" w:hAnsi="Arial" w:cs="Arial"/>
          <w:szCs w:val="24"/>
        </w:rPr>
        <w:t>while the publication of trend estimates for all Average Weekly</w:t>
      </w:r>
      <w:r w:rsidR="00E4684C">
        <w:rPr>
          <w:rFonts w:ascii="Arial" w:hAnsi="Arial" w:cs="Arial"/>
          <w:szCs w:val="24"/>
        </w:rPr>
        <w:t xml:space="preserve"> Earnings series are suspended.</w:t>
      </w:r>
    </w:p>
    <w:p w14:paraId="19D2D384" w14:textId="77777777" w:rsidR="00C748D5" w:rsidRPr="00E4684C" w:rsidRDefault="00C748D5" w:rsidP="00C748D5">
      <w:pPr>
        <w:spacing w:after="120"/>
        <w:rPr>
          <w:rFonts w:ascii="Arial" w:hAnsi="Arial" w:cs="Arial"/>
          <w:i/>
          <w:szCs w:val="24"/>
        </w:rPr>
      </w:pPr>
      <w:r w:rsidRPr="00E4684C">
        <w:rPr>
          <w:rFonts w:ascii="Arial" w:hAnsi="Arial" w:cs="Arial"/>
          <w:i/>
          <w:szCs w:val="24"/>
        </w:rPr>
        <w:t>Right of every child to</w:t>
      </w:r>
      <w:r w:rsidR="00E4684C" w:rsidRPr="00E4684C">
        <w:rPr>
          <w:rFonts w:ascii="Arial" w:hAnsi="Arial" w:cs="Arial"/>
          <w:i/>
          <w:szCs w:val="24"/>
        </w:rPr>
        <w:t xml:space="preserve"> an adequate standard of living</w:t>
      </w:r>
    </w:p>
    <w:p w14:paraId="48092653" w14:textId="5F872848" w:rsidR="00E4684C" w:rsidRDefault="00C748D5" w:rsidP="00C748D5">
      <w:pPr>
        <w:spacing w:after="120"/>
        <w:rPr>
          <w:rFonts w:ascii="Arial" w:hAnsi="Arial" w:cs="Arial"/>
          <w:szCs w:val="24"/>
        </w:rPr>
      </w:pPr>
      <w:r w:rsidRPr="00C748D5">
        <w:rPr>
          <w:rFonts w:ascii="Arial" w:hAnsi="Arial" w:cs="Arial"/>
          <w:szCs w:val="24"/>
        </w:rPr>
        <w:t>The instrument engages Article 27 of the CRC, which states at Article 27(1) that every child has the right to a “standard of living adequate for the child’s physical, mental, spiritual</w:t>
      </w:r>
      <w:r w:rsidR="00DA10E5">
        <w:rPr>
          <w:rFonts w:ascii="Arial" w:hAnsi="Arial" w:cs="Arial"/>
          <w:szCs w:val="24"/>
        </w:rPr>
        <w:t>, moral and social development.”</w:t>
      </w:r>
      <w:r w:rsidRPr="00C748D5">
        <w:rPr>
          <w:rFonts w:ascii="Arial" w:hAnsi="Arial" w:cs="Arial"/>
          <w:szCs w:val="24"/>
        </w:rPr>
        <w:t xml:space="preserve">  Further, Article 27(2) states that “The parent(s) or others responsible for the child have the primary responsibility to secure, within their abilities and financial capacities, the condition of living necessary for the child’s development</w:t>
      </w:r>
      <w:r w:rsidR="00E4684C">
        <w:rPr>
          <w:rFonts w:ascii="Arial" w:hAnsi="Arial" w:cs="Arial"/>
          <w:szCs w:val="24"/>
        </w:rPr>
        <w:t>.</w:t>
      </w:r>
      <w:r w:rsidRPr="00C748D5">
        <w:rPr>
          <w:rFonts w:ascii="Arial" w:hAnsi="Arial" w:cs="Arial"/>
          <w:szCs w:val="24"/>
        </w:rPr>
        <w:t>”  In relation to parents who are separated, whether or not they have ever been married or partnered, Article 27(4) is of particular relevance, and it states that “States parties shall take all appropriate measures to secure the recovery of maintenance for the child from the parents or other persons having financial responsibility for the child, both within the State Party and from abroad.” By providing a mechanism for child support assessments to continu</w:t>
      </w:r>
      <w:r w:rsidR="00DA10E5">
        <w:rPr>
          <w:rFonts w:ascii="Arial" w:hAnsi="Arial" w:cs="Arial"/>
          <w:szCs w:val="24"/>
        </w:rPr>
        <w:t>e</w:t>
      </w:r>
      <w:r w:rsidR="00D95F29">
        <w:rPr>
          <w:rFonts w:ascii="Arial" w:hAnsi="Arial" w:cs="Arial"/>
          <w:szCs w:val="24"/>
        </w:rPr>
        <w:t xml:space="preserve"> </w:t>
      </w:r>
      <w:r w:rsidR="00D95F29" w:rsidRPr="00C748D5">
        <w:rPr>
          <w:rFonts w:ascii="Arial" w:hAnsi="Arial" w:cs="Arial"/>
          <w:szCs w:val="24"/>
        </w:rPr>
        <w:t xml:space="preserve">to be determined </w:t>
      </w:r>
      <w:r w:rsidR="00D95F29">
        <w:rPr>
          <w:rFonts w:ascii="Arial" w:hAnsi="Arial" w:cs="Arial"/>
          <w:szCs w:val="24"/>
        </w:rPr>
        <w:t>using the most up to date income information available</w:t>
      </w:r>
      <w:r w:rsidR="00DA10E5">
        <w:rPr>
          <w:rFonts w:ascii="Arial" w:hAnsi="Arial" w:cs="Arial"/>
          <w:szCs w:val="24"/>
        </w:rPr>
        <w:t>, the instrument will allow</w:t>
      </w:r>
      <w:r w:rsidRPr="00C748D5">
        <w:rPr>
          <w:rFonts w:ascii="Arial" w:hAnsi="Arial" w:cs="Arial"/>
          <w:szCs w:val="24"/>
        </w:rPr>
        <w:t xml:space="preserve"> Australia to meet its obligations under the CRC.</w:t>
      </w:r>
    </w:p>
    <w:p w14:paraId="221020E9" w14:textId="77777777" w:rsidR="006546B7" w:rsidRPr="00BC76EB" w:rsidRDefault="006546B7" w:rsidP="00C748D5">
      <w:pPr>
        <w:spacing w:after="120"/>
        <w:rPr>
          <w:rFonts w:ascii="Arial" w:hAnsi="Arial" w:cs="Arial"/>
          <w:b/>
          <w:szCs w:val="24"/>
        </w:rPr>
      </w:pPr>
      <w:r w:rsidRPr="00BC76EB">
        <w:rPr>
          <w:rFonts w:ascii="Arial" w:hAnsi="Arial" w:cs="Arial"/>
          <w:b/>
          <w:szCs w:val="24"/>
        </w:rPr>
        <w:t>Conclusion</w:t>
      </w:r>
    </w:p>
    <w:p w14:paraId="5FCB4D8E" w14:textId="77777777" w:rsidR="00E4684C" w:rsidRPr="00E4684C" w:rsidRDefault="00E4684C" w:rsidP="00E4684C">
      <w:pPr>
        <w:shd w:val="clear" w:color="auto" w:fill="FFFFFF"/>
        <w:spacing w:before="120" w:after="120"/>
        <w:rPr>
          <w:color w:val="000000"/>
          <w:szCs w:val="24"/>
        </w:rPr>
      </w:pPr>
      <w:bookmarkStart w:id="2" w:name="_Toc290210738"/>
      <w:r w:rsidRPr="00E4684C">
        <w:rPr>
          <w:rFonts w:ascii="Arial" w:hAnsi="Arial" w:cs="Arial"/>
          <w:color w:val="000000"/>
          <w:szCs w:val="24"/>
        </w:rPr>
        <w:t xml:space="preserve">The instrument is compatible with human rights because </w:t>
      </w:r>
      <w:r w:rsidR="00E66836">
        <w:rPr>
          <w:rFonts w:ascii="Arial" w:hAnsi="Arial" w:cs="Arial"/>
          <w:color w:val="000000"/>
          <w:szCs w:val="24"/>
        </w:rPr>
        <w:t>it</w:t>
      </w:r>
      <w:r w:rsidRPr="00E4684C">
        <w:rPr>
          <w:rFonts w:ascii="Arial" w:hAnsi="Arial" w:cs="Arial"/>
          <w:color w:val="000000"/>
          <w:szCs w:val="24"/>
        </w:rPr>
        <w:t xml:space="preserve"> advance</w:t>
      </w:r>
      <w:r w:rsidR="00E66836">
        <w:rPr>
          <w:rFonts w:ascii="Arial" w:hAnsi="Arial" w:cs="Arial"/>
          <w:color w:val="000000"/>
          <w:szCs w:val="24"/>
        </w:rPr>
        <w:t>s</w:t>
      </w:r>
      <w:r w:rsidRPr="00E4684C">
        <w:rPr>
          <w:rFonts w:ascii="Arial" w:hAnsi="Arial" w:cs="Arial"/>
          <w:color w:val="000000"/>
          <w:szCs w:val="24"/>
        </w:rPr>
        <w:t xml:space="preserve"> the protection of human rights.</w:t>
      </w:r>
    </w:p>
    <w:p w14:paraId="156B224C" w14:textId="77777777" w:rsidR="00E4684C" w:rsidRPr="00E4684C" w:rsidRDefault="00E4684C" w:rsidP="00E4684C">
      <w:pPr>
        <w:shd w:val="clear" w:color="auto" w:fill="FFFFFF"/>
        <w:spacing w:before="120" w:after="120"/>
        <w:rPr>
          <w:color w:val="000000"/>
          <w:szCs w:val="24"/>
        </w:rPr>
      </w:pPr>
      <w:r w:rsidRPr="00E4684C">
        <w:rPr>
          <w:rFonts w:ascii="Arial" w:hAnsi="Arial" w:cs="Arial"/>
          <w:color w:val="000000"/>
          <w:szCs w:val="24"/>
        </w:rPr>
        <w:t> </w:t>
      </w:r>
    </w:p>
    <w:p w14:paraId="4A0F6BB1" w14:textId="77777777" w:rsidR="00E4684C" w:rsidRPr="00E4684C" w:rsidRDefault="00E4684C" w:rsidP="00E4684C">
      <w:pPr>
        <w:shd w:val="clear" w:color="auto" w:fill="FFFFFF"/>
        <w:spacing w:before="120" w:after="120"/>
        <w:jc w:val="center"/>
        <w:rPr>
          <w:color w:val="000000"/>
          <w:szCs w:val="24"/>
        </w:rPr>
      </w:pPr>
      <w:r w:rsidRPr="00E4684C">
        <w:rPr>
          <w:rFonts w:ascii="Arial" w:hAnsi="Arial" w:cs="Arial"/>
          <w:b/>
          <w:bCs/>
          <w:color w:val="000000"/>
          <w:szCs w:val="24"/>
        </w:rPr>
        <w:t>Anne Ruston, Minister for Families and Social Services</w:t>
      </w:r>
    </w:p>
    <w:bookmarkEnd w:id="1"/>
    <w:bookmarkEnd w:id="2"/>
    <w:p w14:paraId="4CA333FA" w14:textId="77777777" w:rsidR="00C37944" w:rsidRPr="00BC76EB" w:rsidRDefault="00C37944">
      <w:pPr>
        <w:spacing w:before="0" w:after="200" w:line="276" w:lineRule="auto"/>
        <w:rPr>
          <w:rFonts w:ascii="Arial" w:eastAsiaTheme="majorEastAsia" w:hAnsi="Arial" w:cs="Arial"/>
          <w:b/>
          <w:bCs/>
          <w:szCs w:val="24"/>
        </w:rPr>
      </w:pPr>
    </w:p>
    <w:sectPr w:rsidR="00C37944"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018FE" w14:textId="77777777" w:rsidR="009926F0" w:rsidRDefault="009926F0" w:rsidP="00AD1645">
      <w:pPr>
        <w:spacing w:before="0"/>
      </w:pPr>
      <w:r>
        <w:separator/>
      </w:r>
    </w:p>
  </w:endnote>
  <w:endnote w:type="continuationSeparator" w:id="0">
    <w:p w14:paraId="67F7C2CC" w14:textId="77777777" w:rsidR="009926F0" w:rsidRDefault="009926F0"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D0372" w14:textId="77777777" w:rsidR="009926F0" w:rsidRDefault="009926F0" w:rsidP="00AD1645">
      <w:pPr>
        <w:spacing w:before="0"/>
      </w:pPr>
      <w:r>
        <w:separator/>
      </w:r>
    </w:p>
  </w:footnote>
  <w:footnote w:type="continuationSeparator" w:id="0">
    <w:p w14:paraId="102C153B" w14:textId="77777777" w:rsidR="009926F0" w:rsidRDefault="009926F0"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227A05"/>
    <w:multiLevelType w:val="hybridMultilevel"/>
    <w:tmpl w:val="ADD45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2"/>
  </w:num>
  <w:num w:numId="5">
    <w:abstractNumId w:val="11"/>
  </w:num>
  <w:num w:numId="6">
    <w:abstractNumId w:val="1"/>
  </w:num>
  <w:num w:numId="7">
    <w:abstractNumId w:val="8"/>
  </w:num>
  <w:num w:numId="8">
    <w:abstractNumId w:val="13"/>
  </w:num>
  <w:num w:numId="9">
    <w:abstractNumId w:val="6"/>
  </w:num>
  <w:num w:numId="10">
    <w:abstractNumId w:val="14"/>
  </w:num>
  <w:num w:numId="11">
    <w:abstractNumId w:val="2"/>
  </w:num>
  <w:num w:numId="12">
    <w:abstractNumId w:val="4"/>
  </w:num>
  <w:num w:numId="13">
    <w:abstractNumId w:val="0"/>
  </w:num>
  <w:num w:numId="14">
    <w:abstractNumId w:val="7"/>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24808"/>
    <w:rsid w:val="00030B79"/>
    <w:rsid w:val="00031D0B"/>
    <w:rsid w:val="00043B6D"/>
    <w:rsid w:val="00045BF2"/>
    <w:rsid w:val="00051C3F"/>
    <w:rsid w:val="0006693F"/>
    <w:rsid w:val="00066DAE"/>
    <w:rsid w:val="00074C1A"/>
    <w:rsid w:val="000760DC"/>
    <w:rsid w:val="000844AF"/>
    <w:rsid w:val="00084B46"/>
    <w:rsid w:val="00085730"/>
    <w:rsid w:val="00092D5C"/>
    <w:rsid w:val="00096B8D"/>
    <w:rsid w:val="000A3595"/>
    <w:rsid w:val="000A772F"/>
    <w:rsid w:val="000B4130"/>
    <w:rsid w:val="000C2DDB"/>
    <w:rsid w:val="000C5204"/>
    <w:rsid w:val="000D365F"/>
    <w:rsid w:val="000E02A0"/>
    <w:rsid w:val="000E3915"/>
    <w:rsid w:val="0011719D"/>
    <w:rsid w:val="001221F2"/>
    <w:rsid w:val="00126429"/>
    <w:rsid w:val="001310C6"/>
    <w:rsid w:val="00140359"/>
    <w:rsid w:val="001502F9"/>
    <w:rsid w:val="0015134A"/>
    <w:rsid w:val="00152472"/>
    <w:rsid w:val="00163809"/>
    <w:rsid w:val="0016653C"/>
    <w:rsid w:val="00175BC6"/>
    <w:rsid w:val="00191AEC"/>
    <w:rsid w:val="001920F3"/>
    <w:rsid w:val="001A737C"/>
    <w:rsid w:val="001B5379"/>
    <w:rsid w:val="001C24AD"/>
    <w:rsid w:val="001C42CA"/>
    <w:rsid w:val="001C5176"/>
    <w:rsid w:val="001C64F9"/>
    <w:rsid w:val="001D69AF"/>
    <w:rsid w:val="001E5B72"/>
    <w:rsid w:val="001E5D12"/>
    <w:rsid w:val="001E630D"/>
    <w:rsid w:val="001E7422"/>
    <w:rsid w:val="001F4805"/>
    <w:rsid w:val="001F4E3C"/>
    <w:rsid w:val="002154EE"/>
    <w:rsid w:val="00215CB0"/>
    <w:rsid w:val="00224887"/>
    <w:rsid w:val="002329E1"/>
    <w:rsid w:val="002334D9"/>
    <w:rsid w:val="00234F9E"/>
    <w:rsid w:val="0024465E"/>
    <w:rsid w:val="0024760C"/>
    <w:rsid w:val="002533F0"/>
    <w:rsid w:val="002535D6"/>
    <w:rsid w:val="002642C7"/>
    <w:rsid w:val="00264C31"/>
    <w:rsid w:val="002741BD"/>
    <w:rsid w:val="00274CAF"/>
    <w:rsid w:val="00276D06"/>
    <w:rsid w:val="00276F09"/>
    <w:rsid w:val="002810A5"/>
    <w:rsid w:val="00283079"/>
    <w:rsid w:val="002859AE"/>
    <w:rsid w:val="002926E3"/>
    <w:rsid w:val="002A0E63"/>
    <w:rsid w:val="002A2A71"/>
    <w:rsid w:val="002A523B"/>
    <w:rsid w:val="002A6007"/>
    <w:rsid w:val="002A63EA"/>
    <w:rsid w:val="002B0175"/>
    <w:rsid w:val="002C0F57"/>
    <w:rsid w:val="002C1403"/>
    <w:rsid w:val="002C1938"/>
    <w:rsid w:val="002C2252"/>
    <w:rsid w:val="002C6177"/>
    <w:rsid w:val="002D0F1C"/>
    <w:rsid w:val="002D35D8"/>
    <w:rsid w:val="002D4522"/>
    <w:rsid w:val="002E0BB1"/>
    <w:rsid w:val="002E45E2"/>
    <w:rsid w:val="002E6C9B"/>
    <w:rsid w:val="00300D8B"/>
    <w:rsid w:val="003119FD"/>
    <w:rsid w:val="00333A9C"/>
    <w:rsid w:val="00334F9D"/>
    <w:rsid w:val="00337065"/>
    <w:rsid w:val="003430FC"/>
    <w:rsid w:val="003434E2"/>
    <w:rsid w:val="00345FFE"/>
    <w:rsid w:val="00351E79"/>
    <w:rsid w:val="0035378F"/>
    <w:rsid w:val="003606C5"/>
    <w:rsid w:val="00365424"/>
    <w:rsid w:val="00374A77"/>
    <w:rsid w:val="00380666"/>
    <w:rsid w:val="00386E1E"/>
    <w:rsid w:val="00387D89"/>
    <w:rsid w:val="003905E5"/>
    <w:rsid w:val="00392EB6"/>
    <w:rsid w:val="00393D4E"/>
    <w:rsid w:val="00394743"/>
    <w:rsid w:val="003A04AD"/>
    <w:rsid w:val="003B2BB8"/>
    <w:rsid w:val="003B44E1"/>
    <w:rsid w:val="003C3368"/>
    <w:rsid w:val="003C54B6"/>
    <w:rsid w:val="003D34FF"/>
    <w:rsid w:val="003D4C21"/>
    <w:rsid w:val="003D71F6"/>
    <w:rsid w:val="003E1784"/>
    <w:rsid w:val="00400273"/>
    <w:rsid w:val="00420387"/>
    <w:rsid w:val="0042132E"/>
    <w:rsid w:val="00446D6C"/>
    <w:rsid w:val="004523C2"/>
    <w:rsid w:val="0045240C"/>
    <w:rsid w:val="00453FC9"/>
    <w:rsid w:val="00454405"/>
    <w:rsid w:val="00456FBD"/>
    <w:rsid w:val="00457792"/>
    <w:rsid w:val="004627DE"/>
    <w:rsid w:val="004646E1"/>
    <w:rsid w:val="00470C3D"/>
    <w:rsid w:val="004726FF"/>
    <w:rsid w:val="00472C0F"/>
    <w:rsid w:val="004814F1"/>
    <w:rsid w:val="00482411"/>
    <w:rsid w:val="004956ED"/>
    <w:rsid w:val="0049646F"/>
    <w:rsid w:val="00497768"/>
    <w:rsid w:val="004A0C19"/>
    <w:rsid w:val="004A126A"/>
    <w:rsid w:val="004A24AF"/>
    <w:rsid w:val="004B3147"/>
    <w:rsid w:val="004B54CA"/>
    <w:rsid w:val="004C163F"/>
    <w:rsid w:val="004D336A"/>
    <w:rsid w:val="004E3A61"/>
    <w:rsid w:val="004E5CBF"/>
    <w:rsid w:val="004F1CD0"/>
    <w:rsid w:val="004F264A"/>
    <w:rsid w:val="004F5308"/>
    <w:rsid w:val="004F69ED"/>
    <w:rsid w:val="00511520"/>
    <w:rsid w:val="00527238"/>
    <w:rsid w:val="005332C8"/>
    <w:rsid w:val="00536060"/>
    <w:rsid w:val="00540BD8"/>
    <w:rsid w:val="0055503B"/>
    <w:rsid w:val="00562CBC"/>
    <w:rsid w:val="00566538"/>
    <w:rsid w:val="00566BF6"/>
    <w:rsid w:val="00570884"/>
    <w:rsid w:val="00576330"/>
    <w:rsid w:val="0057641C"/>
    <w:rsid w:val="005766D2"/>
    <w:rsid w:val="00591D1A"/>
    <w:rsid w:val="00594251"/>
    <w:rsid w:val="005C390A"/>
    <w:rsid w:val="005C3AA9"/>
    <w:rsid w:val="005C3FE0"/>
    <w:rsid w:val="005C54B4"/>
    <w:rsid w:val="005C78B2"/>
    <w:rsid w:val="005E4167"/>
    <w:rsid w:val="005E4362"/>
    <w:rsid w:val="005E4607"/>
    <w:rsid w:val="005E7B26"/>
    <w:rsid w:val="005F41C9"/>
    <w:rsid w:val="005F5E17"/>
    <w:rsid w:val="00611CB4"/>
    <w:rsid w:val="00614C63"/>
    <w:rsid w:val="006156DD"/>
    <w:rsid w:val="00620404"/>
    <w:rsid w:val="00622668"/>
    <w:rsid w:val="00622B71"/>
    <w:rsid w:val="00622D63"/>
    <w:rsid w:val="00624E34"/>
    <w:rsid w:val="00632F44"/>
    <w:rsid w:val="006402A6"/>
    <w:rsid w:val="006407D3"/>
    <w:rsid w:val="0064167D"/>
    <w:rsid w:val="00650B9C"/>
    <w:rsid w:val="00650C1C"/>
    <w:rsid w:val="006546B7"/>
    <w:rsid w:val="006643AB"/>
    <w:rsid w:val="006656DE"/>
    <w:rsid w:val="0067070B"/>
    <w:rsid w:val="00681C7F"/>
    <w:rsid w:val="00683FF5"/>
    <w:rsid w:val="00687351"/>
    <w:rsid w:val="00696EF4"/>
    <w:rsid w:val="006A1F70"/>
    <w:rsid w:val="006A4CE7"/>
    <w:rsid w:val="006A5D55"/>
    <w:rsid w:val="006A6D51"/>
    <w:rsid w:val="006A72DE"/>
    <w:rsid w:val="006C5E5E"/>
    <w:rsid w:val="006D7E0F"/>
    <w:rsid w:val="006E1B19"/>
    <w:rsid w:val="006F0769"/>
    <w:rsid w:val="00701486"/>
    <w:rsid w:val="00720E42"/>
    <w:rsid w:val="0073766B"/>
    <w:rsid w:val="00762A05"/>
    <w:rsid w:val="00771003"/>
    <w:rsid w:val="0077461F"/>
    <w:rsid w:val="0078126B"/>
    <w:rsid w:val="00785261"/>
    <w:rsid w:val="007907A8"/>
    <w:rsid w:val="007938F3"/>
    <w:rsid w:val="0079557B"/>
    <w:rsid w:val="007A38E0"/>
    <w:rsid w:val="007A53DD"/>
    <w:rsid w:val="007B0256"/>
    <w:rsid w:val="007B3B3E"/>
    <w:rsid w:val="007B69DD"/>
    <w:rsid w:val="007C4060"/>
    <w:rsid w:val="007C5234"/>
    <w:rsid w:val="007D6273"/>
    <w:rsid w:val="007E4FAD"/>
    <w:rsid w:val="007F44F6"/>
    <w:rsid w:val="00807CD7"/>
    <w:rsid w:val="00816CFA"/>
    <w:rsid w:val="0083135C"/>
    <w:rsid w:val="0083209D"/>
    <w:rsid w:val="00841C22"/>
    <w:rsid w:val="00857F4A"/>
    <w:rsid w:val="00860BE9"/>
    <w:rsid w:val="008659E5"/>
    <w:rsid w:val="008669B7"/>
    <w:rsid w:val="00866CA8"/>
    <w:rsid w:val="008707FE"/>
    <w:rsid w:val="00871F28"/>
    <w:rsid w:val="008761FF"/>
    <w:rsid w:val="00876F40"/>
    <w:rsid w:val="00880E92"/>
    <w:rsid w:val="008954BF"/>
    <w:rsid w:val="00896466"/>
    <w:rsid w:val="008B026E"/>
    <w:rsid w:val="008B1AA5"/>
    <w:rsid w:val="008B4CF1"/>
    <w:rsid w:val="008D14F6"/>
    <w:rsid w:val="008D2D41"/>
    <w:rsid w:val="008D2FC2"/>
    <w:rsid w:val="008D59CA"/>
    <w:rsid w:val="008D5B2E"/>
    <w:rsid w:val="008D68B6"/>
    <w:rsid w:val="008D7A97"/>
    <w:rsid w:val="008E1D0E"/>
    <w:rsid w:val="008E320A"/>
    <w:rsid w:val="008E6ED3"/>
    <w:rsid w:val="008F5702"/>
    <w:rsid w:val="0090001F"/>
    <w:rsid w:val="0090702B"/>
    <w:rsid w:val="009140F6"/>
    <w:rsid w:val="00915A96"/>
    <w:rsid w:val="009225F0"/>
    <w:rsid w:val="00925633"/>
    <w:rsid w:val="00930624"/>
    <w:rsid w:val="00932E80"/>
    <w:rsid w:val="009332B3"/>
    <w:rsid w:val="00935A03"/>
    <w:rsid w:val="009426E4"/>
    <w:rsid w:val="00946730"/>
    <w:rsid w:val="00946E6D"/>
    <w:rsid w:val="00950ACB"/>
    <w:rsid w:val="0095196E"/>
    <w:rsid w:val="00956519"/>
    <w:rsid w:val="00960409"/>
    <w:rsid w:val="00966756"/>
    <w:rsid w:val="00966F79"/>
    <w:rsid w:val="00970C88"/>
    <w:rsid w:val="00985038"/>
    <w:rsid w:val="009926F0"/>
    <w:rsid w:val="0099649B"/>
    <w:rsid w:val="009A4EAB"/>
    <w:rsid w:val="009A5D3E"/>
    <w:rsid w:val="009B71A9"/>
    <w:rsid w:val="009C63A9"/>
    <w:rsid w:val="009C63B6"/>
    <w:rsid w:val="009D1BE5"/>
    <w:rsid w:val="009F3C43"/>
    <w:rsid w:val="00A06B72"/>
    <w:rsid w:val="00A2231E"/>
    <w:rsid w:val="00A27E85"/>
    <w:rsid w:val="00A375D4"/>
    <w:rsid w:val="00A37984"/>
    <w:rsid w:val="00A42690"/>
    <w:rsid w:val="00A4616D"/>
    <w:rsid w:val="00A6045B"/>
    <w:rsid w:val="00A63D74"/>
    <w:rsid w:val="00A66DD0"/>
    <w:rsid w:val="00A719D2"/>
    <w:rsid w:val="00A763EC"/>
    <w:rsid w:val="00A8767B"/>
    <w:rsid w:val="00A94C22"/>
    <w:rsid w:val="00AA0F80"/>
    <w:rsid w:val="00AA37AC"/>
    <w:rsid w:val="00AA45C6"/>
    <w:rsid w:val="00AA51E7"/>
    <w:rsid w:val="00AB7356"/>
    <w:rsid w:val="00AC271F"/>
    <w:rsid w:val="00AC635D"/>
    <w:rsid w:val="00AD1347"/>
    <w:rsid w:val="00AD1645"/>
    <w:rsid w:val="00AD69FE"/>
    <w:rsid w:val="00AE11F6"/>
    <w:rsid w:val="00AE3176"/>
    <w:rsid w:val="00AF0E6A"/>
    <w:rsid w:val="00AF1070"/>
    <w:rsid w:val="00AF742D"/>
    <w:rsid w:val="00B01538"/>
    <w:rsid w:val="00B04EB0"/>
    <w:rsid w:val="00B0515E"/>
    <w:rsid w:val="00B261D9"/>
    <w:rsid w:val="00B32EF4"/>
    <w:rsid w:val="00B33E33"/>
    <w:rsid w:val="00B376E6"/>
    <w:rsid w:val="00B52B87"/>
    <w:rsid w:val="00B54C30"/>
    <w:rsid w:val="00B57278"/>
    <w:rsid w:val="00B6472A"/>
    <w:rsid w:val="00B65B05"/>
    <w:rsid w:val="00B73680"/>
    <w:rsid w:val="00B74531"/>
    <w:rsid w:val="00B777D9"/>
    <w:rsid w:val="00B821A0"/>
    <w:rsid w:val="00BA2DB9"/>
    <w:rsid w:val="00BA5578"/>
    <w:rsid w:val="00BB0D37"/>
    <w:rsid w:val="00BC35F6"/>
    <w:rsid w:val="00BC76EB"/>
    <w:rsid w:val="00BD25AE"/>
    <w:rsid w:val="00BD7E9D"/>
    <w:rsid w:val="00BE56A0"/>
    <w:rsid w:val="00BE7148"/>
    <w:rsid w:val="00BF2FB3"/>
    <w:rsid w:val="00C06E47"/>
    <w:rsid w:val="00C21C68"/>
    <w:rsid w:val="00C2733D"/>
    <w:rsid w:val="00C2743D"/>
    <w:rsid w:val="00C3204C"/>
    <w:rsid w:val="00C3470C"/>
    <w:rsid w:val="00C37944"/>
    <w:rsid w:val="00C37BA8"/>
    <w:rsid w:val="00C4511C"/>
    <w:rsid w:val="00C455A2"/>
    <w:rsid w:val="00C559BF"/>
    <w:rsid w:val="00C66CFA"/>
    <w:rsid w:val="00C7238E"/>
    <w:rsid w:val="00C748D5"/>
    <w:rsid w:val="00C77B41"/>
    <w:rsid w:val="00CA33B2"/>
    <w:rsid w:val="00CA3D78"/>
    <w:rsid w:val="00CA43C4"/>
    <w:rsid w:val="00CA6F15"/>
    <w:rsid w:val="00CB344C"/>
    <w:rsid w:val="00CB42CE"/>
    <w:rsid w:val="00CC7EC4"/>
    <w:rsid w:val="00CD0DDB"/>
    <w:rsid w:val="00CE1802"/>
    <w:rsid w:val="00CF0527"/>
    <w:rsid w:val="00CF5721"/>
    <w:rsid w:val="00D1706F"/>
    <w:rsid w:val="00D2075E"/>
    <w:rsid w:val="00D21D83"/>
    <w:rsid w:val="00D243C5"/>
    <w:rsid w:val="00D3071D"/>
    <w:rsid w:val="00D31C51"/>
    <w:rsid w:val="00D367AA"/>
    <w:rsid w:val="00D37C2C"/>
    <w:rsid w:val="00D459E0"/>
    <w:rsid w:val="00D520A1"/>
    <w:rsid w:val="00D61C4B"/>
    <w:rsid w:val="00D708CA"/>
    <w:rsid w:val="00D72F4B"/>
    <w:rsid w:val="00D849AE"/>
    <w:rsid w:val="00D95F29"/>
    <w:rsid w:val="00DA10E5"/>
    <w:rsid w:val="00DB54D7"/>
    <w:rsid w:val="00DB6E7A"/>
    <w:rsid w:val="00DC765C"/>
    <w:rsid w:val="00DD3BC1"/>
    <w:rsid w:val="00DE0717"/>
    <w:rsid w:val="00DE3A1F"/>
    <w:rsid w:val="00E00220"/>
    <w:rsid w:val="00E01E71"/>
    <w:rsid w:val="00E027AF"/>
    <w:rsid w:val="00E12FD0"/>
    <w:rsid w:val="00E15CFF"/>
    <w:rsid w:val="00E230ED"/>
    <w:rsid w:val="00E23C53"/>
    <w:rsid w:val="00E32139"/>
    <w:rsid w:val="00E44FD4"/>
    <w:rsid w:val="00E4684C"/>
    <w:rsid w:val="00E66836"/>
    <w:rsid w:val="00E708B1"/>
    <w:rsid w:val="00E72DC6"/>
    <w:rsid w:val="00E745BB"/>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4E57"/>
    <w:rsid w:val="00ED6613"/>
    <w:rsid w:val="00EE2764"/>
    <w:rsid w:val="00EF54F0"/>
    <w:rsid w:val="00F0576D"/>
    <w:rsid w:val="00F1074A"/>
    <w:rsid w:val="00F108ED"/>
    <w:rsid w:val="00F10921"/>
    <w:rsid w:val="00F227A4"/>
    <w:rsid w:val="00F25E14"/>
    <w:rsid w:val="00F328DA"/>
    <w:rsid w:val="00F35271"/>
    <w:rsid w:val="00F35580"/>
    <w:rsid w:val="00F502A9"/>
    <w:rsid w:val="00F52853"/>
    <w:rsid w:val="00F61A88"/>
    <w:rsid w:val="00F754A3"/>
    <w:rsid w:val="00F91AA6"/>
    <w:rsid w:val="00F925B9"/>
    <w:rsid w:val="00FA6F53"/>
    <w:rsid w:val="00FA7196"/>
    <w:rsid w:val="00FB030F"/>
    <w:rsid w:val="00FD2F20"/>
    <w:rsid w:val="00FD368E"/>
    <w:rsid w:val="00FD6BF4"/>
    <w:rsid w:val="00FD7A80"/>
    <w:rsid w:val="00FE2339"/>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BFC8"/>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5795">
      <w:bodyDiv w:val="1"/>
      <w:marLeft w:val="0"/>
      <w:marRight w:val="0"/>
      <w:marTop w:val="0"/>
      <w:marBottom w:val="0"/>
      <w:divBdr>
        <w:top w:val="none" w:sz="0" w:space="0" w:color="auto"/>
        <w:left w:val="none" w:sz="0" w:space="0" w:color="auto"/>
        <w:bottom w:val="none" w:sz="0" w:space="0" w:color="auto"/>
        <w:right w:val="none" w:sz="0" w:space="0" w:color="auto"/>
      </w:divBdr>
    </w:div>
    <w:div w:id="341474503">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869842">
      <w:bodyDiv w:val="1"/>
      <w:marLeft w:val="0"/>
      <w:marRight w:val="0"/>
      <w:marTop w:val="0"/>
      <w:marBottom w:val="0"/>
      <w:divBdr>
        <w:top w:val="none" w:sz="0" w:space="0" w:color="auto"/>
        <w:left w:val="none" w:sz="0" w:space="0" w:color="auto"/>
        <w:bottom w:val="none" w:sz="0" w:space="0" w:color="auto"/>
        <w:right w:val="none" w:sz="0" w:space="0" w:color="auto"/>
      </w:divBdr>
    </w:div>
    <w:div w:id="713776984">
      <w:bodyDiv w:val="1"/>
      <w:marLeft w:val="0"/>
      <w:marRight w:val="0"/>
      <w:marTop w:val="0"/>
      <w:marBottom w:val="0"/>
      <w:divBdr>
        <w:top w:val="none" w:sz="0" w:space="0" w:color="auto"/>
        <w:left w:val="none" w:sz="0" w:space="0" w:color="auto"/>
        <w:bottom w:val="none" w:sz="0" w:space="0" w:color="auto"/>
        <w:right w:val="none" w:sz="0" w:space="0" w:color="auto"/>
      </w:divBdr>
    </w:div>
    <w:div w:id="892349091">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CA7ED2C-59EA-4884-A2B9-8D25E758D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3CEDB6927D8DB40935237B6FC350965" ma:contentTypeVersion="" ma:contentTypeDescription="PDMS Document Site Content Type" ma:contentTypeScope="" ma:versionID="01f9968241fa2f6eb61173a69572c38e">
  <xsd:schema xmlns:xsd="http://www.w3.org/2001/XMLSchema" xmlns:xs="http://www.w3.org/2001/XMLSchema" xmlns:p="http://schemas.microsoft.com/office/2006/metadata/properties" xmlns:ns2="ECA7ED2C-59EA-4884-A2B9-8D25E758DED2" targetNamespace="http://schemas.microsoft.com/office/2006/metadata/properties" ma:root="true" ma:fieldsID="5d888e4b57020295f00b7e09b368fb1a" ns2:_="">
    <xsd:import namespace="ECA7ED2C-59EA-4884-A2B9-8D25E758DED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7ED2C-59EA-4884-A2B9-8D25E758DED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8E793-17D7-4A8F-87AE-83B6924EE376}">
  <ds:schemaRefs>
    <ds:schemaRef ds:uri="http://schemas.microsoft.com/sharepoint/v3/contenttype/forms"/>
  </ds:schemaRefs>
</ds:datastoreItem>
</file>

<file path=customXml/itemProps2.xml><?xml version="1.0" encoding="utf-8"?>
<ds:datastoreItem xmlns:ds="http://schemas.openxmlformats.org/officeDocument/2006/customXml" ds:itemID="{10133EA1-CA39-46E9-ABA8-07A7047F35F3}">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ECA7ED2C-59EA-4884-A2B9-8D25E758DED2"/>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0AE0086-A7D5-4B0E-815D-5C13B0D84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7ED2C-59EA-4884-A2B9-8D25E758D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CC80D-719B-439C-96C9-13D18A68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MAHER, Greg</cp:lastModifiedBy>
  <cp:revision>2</cp:revision>
  <cp:lastPrinted>2021-03-31T21:11:00Z</cp:lastPrinted>
  <dcterms:created xsi:type="dcterms:W3CDTF">2021-04-30T07:28:00Z</dcterms:created>
  <dcterms:modified xsi:type="dcterms:W3CDTF">2021-04-30T07:28:00Z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0x010100266966F133664895A6EE3632470D45F50073CEDB6927D8DB40935237B6FC350965</vt:lpwstr>
  </property>
</Properties>
</file>