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0B3F2" w14:textId="7A4B3B5A" w:rsidR="00D603B2" w:rsidRPr="00F17325" w:rsidRDefault="003D0F07" w:rsidP="00EA77B9">
      <w:pPr>
        <w:tabs>
          <w:tab w:val="left" w:pos="6096"/>
        </w:tabs>
        <w:jc w:val="center"/>
        <w:rPr>
          <w:rFonts w:ascii="Times New Roman" w:hAnsi="Times New Roman" w:cs="Times New Roman"/>
          <w:b/>
          <w:u w:val="single"/>
        </w:rPr>
      </w:pPr>
      <w:bookmarkStart w:id="0" w:name="_Toc23425014"/>
      <w:r>
        <w:t xml:space="preserve"> </w:t>
      </w:r>
      <w:bookmarkEnd w:id="0"/>
      <w:r w:rsidR="00D603B2" w:rsidRPr="00F17325">
        <w:rPr>
          <w:rFonts w:ascii="Times New Roman" w:hAnsi="Times New Roman" w:cs="Times New Roman"/>
          <w:b/>
          <w:u w:val="single"/>
        </w:rPr>
        <w:t>EXPLANATORY STATEMENT</w:t>
      </w:r>
    </w:p>
    <w:p w14:paraId="78743383" w14:textId="775496A2" w:rsidR="00D603B2" w:rsidRPr="00F17325" w:rsidRDefault="00D603B2" w:rsidP="00EA77B9">
      <w:pPr>
        <w:pStyle w:val="NormalExplanatorystatement"/>
        <w:jc w:val="center"/>
      </w:pPr>
      <w:r w:rsidRPr="00F17325">
        <w:rPr>
          <w:u w:val="single"/>
        </w:rPr>
        <w:t>Issued by the authority of the Minister for Industry, Science and Technology</w:t>
      </w:r>
    </w:p>
    <w:p w14:paraId="1CE9184F" w14:textId="77777777" w:rsidR="00D603B2" w:rsidRPr="00F17325" w:rsidRDefault="00D603B2" w:rsidP="00007A20">
      <w:pPr>
        <w:pStyle w:val="NormalExplanatorystatement"/>
        <w:jc w:val="center"/>
        <w:rPr>
          <w:i/>
        </w:rPr>
      </w:pPr>
      <w:r w:rsidRPr="00F17325">
        <w:rPr>
          <w:i/>
        </w:rPr>
        <w:t>Industry Research and Development Act 1986</w:t>
      </w:r>
    </w:p>
    <w:p w14:paraId="355661F2" w14:textId="008CE423" w:rsidR="00D603B2" w:rsidRPr="00F17325" w:rsidRDefault="00954480" w:rsidP="00007A20">
      <w:pPr>
        <w:pStyle w:val="NormalExplanatorystatement"/>
        <w:jc w:val="center"/>
        <w:rPr>
          <w:i/>
          <w:u w:val="single"/>
        </w:rPr>
      </w:pPr>
      <w:r w:rsidRPr="00F17325">
        <w:rPr>
          <w:i/>
          <w:u w:val="single"/>
        </w:rPr>
        <w:t>Industry Research and Development (Growing Australia’s Cyber Skills Program) Instrument 202</w:t>
      </w:r>
      <w:r w:rsidR="0089588A" w:rsidRPr="00F17325">
        <w:rPr>
          <w:i/>
          <w:u w:val="single"/>
        </w:rPr>
        <w:t>1</w:t>
      </w:r>
    </w:p>
    <w:p w14:paraId="4DF8532F" w14:textId="77777777" w:rsidR="00D603B2" w:rsidRPr="00F17325" w:rsidRDefault="00D603B2" w:rsidP="00007A20">
      <w:pPr>
        <w:pStyle w:val="NormalExplanatorystatement"/>
        <w:rPr>
          <w:b/>
          <w:u w:val="single"/>
        </w:rPr>
      </w:pPr>
      <w:r w:rsidRPr="00F17325">
        <w:rPr>
          <w:b/>
          <w:u w:val="single"/>
        </w:rPr>
        <w:t>Purpose and Operation</w:t>
      </w:r>
    </w:p>
    <w:p w14:paraId="620B8473" w14:textId="77777777" w:rsidR="00D603B2" w:rsidRPr="00F17325" w:rsidRDefault="00D603B2" w:rsidP="00007A20">
      <w:pPr>
        <w:pStyle w:val="NormalExplanatorystatement"/>
      </w:pPr>
      <w:r w:rsidRPr="00F17325">
        <w:t xml:space="preserve">Section 33 of the </w:t>
      </w:r>
      <w:r w:rsidRPr="00F17325">
        <w:rPr>
          <w:i/>
        </w:rPr>
        <w:t>Industry Research and Development Act 1986</w:t>
      </w:r>
      <w:r w:rsidRPr="00F17325">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6EE524E3" w14:textId="475B4D4E" w:rsidR="00D603B2" w:rsidRPr="00F17325" w:rsidRDefault="00D603B2" w:rsidP="00007A20">
      <w:pPr>
        <w:pStyle w:val="NormalExplanatorystatement"/>
      </w:pPr>
      <w:r w:rsidRPr="00F17325">
        <w:t xml:space="preserve">The statutory framework provided by </w:t>
      </w:r>
      <w:r w:rsidR="00E01D78">
        <w:t xml:space="preserve">section </w:t>
      </w:r>
      <w:r w:rsidR="00E01D78" w:rsidRPr="00F17325">
        <w:t xml:space="preserve">33 </w:t>
      </w:r>
      <w:r w:rsidRPr="00F17325">
        <w:t xml:space="preserve">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7C514FE" w14:textId="7A2A39B2" w:rsidR="00D603B2" w:rsidRPr="00F17325" w:rsidRDefault="00D603B2" w:rsidP="00007A20">
      <w:pPr>
        <w:pStyle w:val="NormalExplanatorystatement"/>
      </w:pPr>
      <w:r w:rsidRPr="00F17325">
        <w:t xml:space="preserve">Once a program is prescribed by the Minister under </w:t>
      </w:r>
      <w:r w:rsidR="00E01D78">
        <w:t xml:space="preserve">section </w:t>
      </w:r>
      <w:r w:rsidR="00E01D78" w:rsidRPr="00F17325">
        <w:t>33</w:t>
      </w:r>
      <w:r w:rsidRPr="00F17325">
        <w:t xml:space="preserve">,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w:t>
      </w:r>
      <w:r w:rsidR="0089588A" w:rsidRPr="00F17325">
        <w:t xml:space="preserve">Commonwealth </w:t>
      </w:r>
      <w:r w:rsidRPr="00F17325">
        <w:t xml:space="preserve">entity, or by their delegate (under </w:t>
      </w:r>
      <w:r w:rsidR="00E01D78">
        <w:t xml:space="preserve">section </w:t>
      </w:r>
      <w:r w:rsidR="00E01D78" w:rsidRPr="00F17325">
        <w:t>36</w:t>
      </w:r>
      <w:r w:rsidRPr="00F17325">
        <w:t xml:space="preserve">). </w:t>
      </w:r>
    </w:p>
    <w:p w14:paraId="4AC5E31C" w14:textId="15F5A069" w:rsidR="00324E11" w:rsidRPr="00F17325" w:rsidRDefault="00324E11" w:rsidP="00324E11">
      <w:pPr>
        <w:pStyle w:val="NormalExplanatorystatement"/>
      </w:pPr>
      <w:bookmarkStart w:id="1" w:name="_GoBack"/>
      <w:r w:rsidRPr="00F17325">
        <w:t xml:space="preserve">The purpose of the </w:t>
      </w:r>
      <w:r w:rsidRPr="00F17325">
        <w:rPr>
          <w:i/>
        </w:rPr>
        <w:t>Industry Research and Development (Growing</w:t>
      </w:r>
      <w:r w:rsidRPr="00F17325">
        <w:t xml:space="preserve"> </w:t>
      </w:r>
      <w:r w:rsidRPr="00F17325">
        <w:rPr>
          <w:i/>
        </w:rPr>
        <w:t xml:space="preserve">Australia’s Cyber Skills Program) Instrument 2021 </w:t>
      </w:r>
      <w:r w:rsidRPr="00F17325">
        <w:t xml:space="preserve">(the Legislative Instrument) is to </w:t>
      </w:r>
      <w:r>
        <w:t>prescribe</w:t>
      </w:r>
      <w:r w:rsidRPr="00F17325">
        <w:t xml:space="preserve"> the Growing Australia’s Cyber Skills Program (</w:t>
      </w:r>
      <w:r w:rsidR="00E01D78">
        <w:t xml:space="preserve">the </w:t>
      </w:r>
      <w:r w:rsidRPr="00F17325">
        <w:t>Program). The Program consists of two elements, the Cyber Security Skills Partnership Innovation Fund and the Questacon Cyber Ready Stream</w:t>
      </w:r>
      <w:bookmarkEnd w:id="1"/>
      <w:r w:rsidRPr="00F17325">
        <w:t xml:space="preserve">.  </w:t>
      </w:r>
    </w:p>
    <w:p w14:paraId="68AD9468" w14:textId="28BB9605" w:rsidR="00F00A78" w:rsidRPr="00F17325" w:rsidRDefault="00F00A78" w:rsidP="00102F8E">
      <w:pPr>
        <w:pStyle w:val="NormalExplanatorystatement"/>
      </w:pPr>
      <w:r w:rsidRPr="00F17325">
        <w:t xml:space="preserve">The Cyber Security Skills Partnership Innovation Fund provides $26.5 million over four financial years (2020-21 to 2023-24). The </w:t>
      </w:r>
      <w:r w:rsidR="00DF2CFD" w:rsidRPr="00F17325">
        <w:t xml:space="preserve">Questacon </w:t>
      </w:r>
      <w:r w:rsidRPr="00F17325">
        <w:t xml:space="preserve">Cyber </w:t>
      </w:r>
      <w:r w:rsidR="00F170AF" w:rsidRPr="00F17325">
        <w:t>Ready</w:t>
      </w:r>
      <w:r w:rsidRPr="00F17325">
        <w:t xml:space="preserve"> Stream provides $</w:t>
      </w:r>
      <w:r w:rsidR="00F170AF" w:rsidRPr="00F17325">
        <w:t>8.7</w:t>
      </w:r>
      <w:r w:rsidRPr="00F17325">
        <w:t xml:space="preserve"> million over f</w:t>
      </w:r>
      <w:r w:rsidR="00F170AF" w:rsidRPr="00F17325">
        <w:t>our</w:t>
      </w:r>
      <w:r w:rsidRPr="00F17325">
        <w:t xml:space="preserve"> financial years (20</w:t>
      </w:r>
      <w:r w:rsidR="00F170AF" w:rsidRPr="00F17325">
        <w:t>20</w:t>
      </w:r>
      <w:r w:rsidRPr="00F17325">
        <w:t>-2</w:t>
      </w:r>
      <w:r w:rsidR="00F170AF" w:rsidRPr="00F17325">
        <w:t>1</w:t>
      </w:r>
      <w:r w:rsidRPr="00F17325">
        <w:t xml:space="preserve"> to 2023-24)</w:t>
      </w:r>
      <w:r w:rsidR="00F170AF" w:rsidRPr="00F17325">
        <w:t>.</w:t>
      </w:r>
    </w:p>
    <w:p w14:paraId="6C2EC8C9" w14:textId="40F45EF2" w:rsidR="00D603B2" w:rsidRPr="00F17325" w:rsidRDefault="00D603B2" w:rsidP="0089588A">
      <w:pPr>
        <w:pStyle w:val="NormalExplanatorystatement"/>
      </w:pPr>
      <w:r w:rsidRPr="00F17325">
        <w:t xml:space="preserve">Funding authorised by </w:t>
      </w:r>
      <w:r w:rsidR="00E01D78">
        <w:t>the</w:t>
      </w:r>
      <w:r w:rsidR="00E01D78" w:rsidRPr="00F17325">
        <w:t xml:space="preserve"> </w:t>
      </w:r>
      <w:r w:rsidRPr="00F17325">
        <w:t xml:space="preserve">Legislative Instrument comes from Program </w:t>
      </w:r>
      <w:r w:rsidR="00242168" w:rsidRPr="00F17325">
        <w:t>1.2: Growing Business Investment and Improving Business Capability</w:t>
      </w:r>
      <w:r w:rsidRPr="00F17325">
        <w:t xml:space="preserve">, Outcome </w:t>
      </w:r>
      <w:r w:rsidR="00242168" w:rsidRPr="00F17325">
        <w:t>1</w:t>
      </w:r>
      <w:r w:rsidRPr="00F17325">
        <w:t xml:space="preserve">, as set out in the </w:t>
      </w:r>
      <w:r w:rsidRPr="00F17325">
        <w:rPr>
          <w:i/>
        </w:rPr>
        <w:t xml:space="preserve">Portfolio Budget Statements </w:t>
      </w:r>
      <w:r w:rsidR="00242168" w:rsidRPr="00F17325">
        <w:rPr>
          <w:i/>
        </w:rPr>
        <w:t>2020-21</w:t>
      </w:r>
      <w:r w:rsidR="0032172A" w:rsidRPr="00F17325">
        <w:rPr>
          <w:i/>
        </w:rPr>
        <w:t>, Budget Related Paper No.1.9</w:t>
      </w:r>
      <w:r w:rsidRPr="00F17325">
        <w:rPr>
          <w:i/>
        </w:rPr>
        <w:t xml:space="preserve">, Industry, Science, Energy and Resources Portfolio </w:t>
      </w:r>
      <w:r w:rsidR="0032172A" w:rsidRPr="00F17325">
        <w:t>(https://www.industry.gov.au/sites/default/files/2020-10/2020-21-department-of-industry-science-enery-and-resources-pbs.pdf)</w:t>
      </w:r>
      <w:r w:rsidRPr="00F17325">
        <w:rPr>
          <w:i/>
        </w:rPr>
        <w:t xml:space="preserve"> </w:t>
      </w:r>
      <w:r w:rsidRPr="00F17325">
        <w:t xml:space="preserve">at page </w:t>
      </w:r>
      <w:r w:rsidR="0032172A" w:rsidRPr="00F17325">
        <w:t>35</w:t>
      </w:r>
      <w:r w:rsidRPr="00F17325">
        <w:t>.</w:t>
      </w:r>
    </w:p>
    <w:p w14:paraId="7A495BA2" w14:textId="155BD50C" w:rsidR="00361F17" w:rsidRPr="00F17325" w:rsidRDefault="00361F17" w:rsidP="00361F17">
      <w:pPr>
        <w:pStyle w:val="NormalExplanatorystatement"/>
        <w:rPr>
          <w:b/>
        </w:rPr>
      </w:pPr>
      <w:r w:rsidRPr="00F17325">
        <w:rPr>
          <w:b/>
        </w:rPr>
        <w:lastRenderedPageBreak/>
        <w:t>1. Cyber Security Skills Partnership Innovation Fund</w:t>
      </w:r>
    </w:p>
    <w:p w14:paraId="1E95AA4C" w14:textId="52F5D4F8" w:rsidR="0089588A" w:rsidRPr="00F17325" w:rsidRDefault="0089588A" w:rsidP="0089588A">
      <w:pPr>
        <w:pStyle w:val="NormalExplanatorystatement"/>
      </w:pPr>
      <w:r w:rsidRPr="00F17325">
        <w:t xml:space="preserve">The Cyber Security Skills Partnerships Innovation Fund (Innovation Fund) </w:t>
      </w:r>
      <w:r w:rsidR="00D63D96" w:rsidRPr="00F17325">
        <w:t xml:space="preserve">is a $26.5 million </w:t>
      </w:r>
      <w:r w:rsidR="00D45936" w:rsidRPr="00F17325">
        <w:t xml:space="preserve">grants </w:t>
      </w:r>
      <w:r w:rsidR="00D63D96" w:rsidRPr="00F17325">
        <w:t>program</w:t>
      </w:r>
      <w:r w:rsidR="00DF2CFD" w:rsidRPr="00F17325">
        <w:t xml:space="preserve"> forming</w:t>
      </w:r>
      <w:r w:rsidRPr="00F17325">
        <w:t xml:space="preserve"> part of the Australian Government’s commitment to i</w:t>
      </w:r>
      <w:r w:rsidR="002E0E72">
        <w:t>ncrease</w:t>
      </w:r>
      <w:r w:rsidRPr="00F17325">
        <w:t xml:space="preserve"> the quality and </w:t>
      </w:r>
      <w:r w:rsidR="002E0E72">
        <w:t>quantity</w:t>
      </w:r>
      <w:r w:rsidR="002E0E72" w:rsidRPr="00F17325">
        <w:t xml:space="preserve"> </w:t>
      </w:r>
      <w:r w:rsidRPr="00F17325">
        <w:t>of cyber security professionals in Australia</w:t>
      </w:r>
      <w:r w:rsidR="00784871" w:rsidRPr="00F17325">
        <w:t>, including increasing the participation of women in cyber security</w:t>
      </w:r>
      <w:r w:rsidRPr="00F17325">
        <w:t xml:space="preserve">. The Innovation Fund will fund innovative industry-led projects </w:t>
      </w:r>
      <w:r w:rsidR="004535C5" w:rsidRPr="00F17325">
        <w:t>which</w:t>
      </w:r>
      <w:r w:rsidRPr="00F17325">
        <w:t xml:space="preserve"> meet </w:t>
      </w:r>
      <w:r w:rsidR="002A087F" w:rsidRPr="00F17325">
        <w:t xml:space="preserve">the needs of </w:t>
      </w:r>
      <w:r w:rsidRPr="00F17325">
        <w:t>local</w:t>
      </w:r>
      <w:r w:rsidR="002A087F" w:rsidRPr="00F17325">
        <w:t xml:space="preserve"> communities and areas,</w:t>
      </w:r>
      <w:r w:rsidR="004535C5" w:rsidRPr="00F17325">
        <w:t xml:space="preserve"> and are</w:t>
      </w:r>
      <w:r w:rsidRPr="00F17325">
        <w:t xml:space="preserve"> designed in partnership with industry, education providers and government</w:t>
      </w:r>
      <w:r w:rsidR="004535C5" w:rsidRPr="00F17325">
        <w:t>,</w:t>
      </w:r>
      <w:r w:rsidRPr="00F17325">
        <w:t xml:space="preserve"> to remove barriers to cyber security education and employment. </w:t>
      </w:r>
    </w:p>
    <w:p w14:paraId="6EB2F508" w14:textId="333027C0" w:rsidR="0089588A" w:rsidRPr="00F17325" w:rsidRDefault="00187B4B" w:rsidP="0089588A">
      <w:pPr>
        <w:pStyle w:val="NormalExplanatorystatement"/>
      </w:pPr>
      <w:r w:rsidRPr="00F17325">
        <w:t xml:space="preserve">Eligible activities </w:t>
      </w:r>
      <w:r w:rsidR="008D7FA6" w:rsidRPr="00F17325">
        <w:t xml:space="preserve">under the Innovation Fund </w:t>
      </w:r>
      <w:r w:rsidRPr="00F17325">
        <w:t>could include</w:t>
      </w:r>
      <w:r w:rsidR="0089588A" w:rsidRPr="00F17325">
        <w:t>:</w:t>
      </w:r>
    </w:p>
    <w:p w14:paraId="3617ECD8" w14:textId="77777777" w:rsidR="00187B4B" w:rsidRPr="00F17325" w:rsidRDefault="00187B4B" w:rsidP="00F00A78">
      <w:pPr>
        <w:pStyle w:val="NormalExplanatorystatement"/>
        <w:numPr>
          <w:ilvl w:val="0"/>
          <w:numId w:val="9"/>
        </w:numPr>
        <w:spacing w:before="40" w:after="40" w:line="240" w:lineRule="atLeast"/>
        <w:ind w:left="714" w:hanging="357"/>
      </w:pPr>
      <w:r w:rsidRPr="00F17325">
        <w:t>developing and delivering specialist cyber security courses for professionals</w:t>
      </w:r>
    </w:p>
    <w:p w14:paraId="4EE5E6E5" w14:textId="77777777" w:rsidR="00187B4B" w:rsidRPr="00F17325" w:rsidRDefault="00187B4B" w:rsidP="00F00A78">
      <w:pPr>
        <w:pStyle w:val="NormalExplanatorystatement"/>
        <w:numPr>
          <w:ilvl w:val="0"/>
          <w:numId w:val="9"/>
        </w:numPr>
        <w:spacing w:before="40" w:after="40" w:line="240" w:lineRule="atLeast"/>
        <w:ind w:left="714" w:hanging="357"/>
      </w:pPr>
      <w:r w:rsidRPr="00F17325">
        <w:t>retraining initiatives, to help existing professionals in other disciplines transition to cyber security roles</w:t>
      </w:r>
    </w:p>
    <w:p w14:paraId="64D7C385" w14:textId="77777777" w:rsidR="00187B4B" w:rsidRPr="00F17325" w:rsidRDefault="00187B4B" w:rsidP="00F00A78">
      <w:pPr>
        <w:pStyle w:val="NormalExplanatorystatement"/>
        <w:numPr>
          <w:ilvl w:val="0"/>
          <w:numId w:val="9"/>
        </w:numPr>
        <w:spacing w:before="40" w:after="40" w:line="240" w:lineRule="atLeast"/>
        <w:ind w:left="714" w:hanging="357"/>
      </w:pPr>
      <w:r w:rsidRPr="00F17325">
        <w:t>establishing cyber labs, training facilities, cyber simulators</w:t>
      </w:r>
    </w:p>
    <w:p w14:paraId="4474A779" w14:textId="77777777" w:rsidR="00187B4B" w:rsidRPr="00F17325" w:rsidRDefault="00187B4B" w:rsidP="00F00A78">
      <w:pPr>
        <w:pStyle w:val="NormalExplanatorystatement"/>
        <w:numPr>
          <w:ilvl w:val="0"/>
          <w:numId w:val="9"/>
        </w:numPr>
        <w:spacing w:before="40" w:after="40" w:line="240" w:lineRule="atLeast"/>
        <w:ind w:left="714" w:hanging="357"/>
      </w:pPr>
      <w:r w:rsidRPr="00F17325">
        <w:t>training or professional development for teachers and board executives, including through practical partnerships or exchanges with industry</w:t>
      </w:r>
    </w:p>
    <w:p w14:paraId="4A49A4D9" w14:textId="77777777" w:rsidR="00187B4B" w:rsidRPr="00F17325" w:rsidRDefault="00187B4B" w:rsidP="00F00A78">
      <w:pPr>
        <w:pStyle w:val="NormalExplanatorystatement"/>
        <w:numPr>
          <w:ilvl w:val="0"/>
          <w:numId w:val="9"/>
        </w:numPr>
        <w:spacing w:before="40" w:after="40" w:line="240" w:lineRule="atLeast"/>
        <w:ind w:left="714" w:hanging="357"/>
      </w:pPr>
      <w:r w:rsidRPr="00F17325">
        <w:t>establishing student delivered cyber security services</w:t>
      </w:r>
    </w:p>
    <w:p w14:paraId="0645F526" w14:textId="064ACCCB" w:rsidR="00187B4B" w:rsidRPr="00F17325" w:rsidRDefault="00187B4B" w:rsidP="00F00A78">
      <w:pPr>
        <w:pStyle w:val="NormalExplanatorystatement"/>
        <w:numPr>
          <w:ilvl w:val="0"/>
          <w:numId w:val="9"/>
        </w:numPr>
        <w:spacing w:before="40" w:after="40" w:line="240" w:lineRule="atLeast"/>
        <w:ind w:left="714" w:hanging="357"/>
      </w:pPr>
      <w:r w:rsidRPr="00F17325">
        <w:t>establishing new scholarships (where at least 50 per cent of the scholarships will be reserved for women)</w:t>
      </w:r>
    </w:p>
    <w:p w14:paraId="44DA5DE3" w14:textId="77777777" w:rsidR="00187B4B" w:rsidRPr="00F17325" w:rsidRDefault="00187B4B" w:rsidP="00F00A78">
      <w:pPr>
        <w:pStyle w:val="NormalExplanatorystatement"/>
        <w:numPr>
          <w:ilvl w:val="0"/>
          <w:numId w:val="9"/>
        </w:numPr>
        <w:spacing w:before="40" w:after="40" w:line="240" w:lineRule="atLeast"/>
        <w:ind w:left="714" w:hanging="357"/>
      </w:pPr>
      <w:r w:rsidRPr="00F17325">
        <w:t>establishing new apprenticeships, or apprenticeship-style courses in higher education</w:t>
      </w:r>
    </w:p>
    <w:p w14:paraId="0850B851" w14:textId="77777777" w:rsidR="00187B4B" w:rsidRPr="00F17325" w:rsidRDefault="00187B4B" w:rsidP="00F00A78">
      <w:pPr>
        <w:pStyle w:val="NormalExplanatorystatement"/>
        <w:numPr>
          <w:ilvl w:val="0"/>
          <w:numId w:val="9"/>
        </w:numPr>
        <w:spacing w:before="40" w:after="40" w:line="240" w:lineRule="atLeast"/>
        <w:ind w:left="714" w:hanging="357"/>
      </w:pPr>
      <w:r w:rsidRPr="00F17325">
        <w:t>establishing new internships, cadetships, work experience and staff exchanges</w:t>
      </w:r>
    </w:p>
    <w:p w14:paraId="1BBBAFA7" w14:textId="77777777" w:rsidR="00187B4B" w:rsidRPr="00F17325" w:rsidRDefault="00187B4B" w:rsidP="00F00A78">
      <w:pPr>
        <w:pStyle w:val="NormalExplanatorystatement"/>
        <w:numPr>
          <w:ilvl w:val="0"/>
          <w:numId w:val="9"/>
        </w:numPr>
        <w:spacing w:before="40" w:after="40" w:line="240" w:lineRule="atLeast"/>
        <w:ind w:left="714" w:hanging="357"/>
      </w:pPr>
      <w:r w:rsidRPr="00F17325">
        <w:t>any other innovative ideas to meet the cyber security needs of businesses.</w:t>
      </w:r>
    </w:p>
    <w:p w14:paraId="71F4199A" w14:textId="664BAE60" w:rsidR="00D603B2" w:rsidRPr="00F17325" w:rsidRDefault="00D603B2" w:rsidP="0089588A">
      <w:pPr>
        <w:pStyle w:val="NormalExplanatorystatement"/>
      </w:pPr>
      <w:r w:rsidRPr="00F17325">
        <w:t xml:space="preserve">The </w:t>
      </w:r>
      <w:r w:rsidR="0089588A" w:rsidRPr="00F17325">
        <w:t xml:space="preserve">Innovation </w:t>
      </w:r>
      <w:r w:rsidR="00361F17" w:rsidRPr="00F17325">
        <w:t xml:space="preserve">Fund </w:t>
      </w:r>
      <w:r w:rsidR="0089588A" w:rsidRPr="00F17325">
        <w:t xml:space="preserve">is a competitive, merits based grants program which </w:t>
      </w:r>
      <w:r w:rsidR="00296740" w:rsidRPr="00F17325">
        <w:t xml:space="preserve">will be delivered by the </w:t>
      </w:r>
      <w:r w:rsidRPr="00F17325">
        <w:t>Department</w:t>
      </w:r>
      <w:r w:rsidR="0089588A" w:rsidRPr="00F17325">
        <w:t xml:space="preserve"> of Industry, Science, Energy and Resources (Department)</w:t>
      </w:r>
      <w:r w:rsidRPr="00F17325">
        <w:t xml:space="preserve"> Business Grants Hub, which is a specialised </w:t>
      </w:r>
      <w:r w:rsidR="004535C5" w:rsidRPr="00F17325">
        <w:t xml:space="preserve">grant program </w:t>
      </w:r>
      <w:r w:rsidRPr="00F17325">
        <w:t xml:space="preserve">design, management and delivery body with extensive expertise and capability in delivering similar programs. </w:t>
      </w:r>
      <w:r w:rsidR="0089588A" w:rsidRPr="00F17325">
        <w:t xml:space="preserve">The </w:t>
      </w:r>
      <w:r w:rsidR="004535C5" w:rsidRPr="00F17325">
        <w:t xml:space="preserve">Innovation </w:t>
      </w:r>
      <w:r w:rsidR="0089588A" w:rsidRPr="00F17325">
        <w:t>Fund will be</w:t>
      </w:r>
      <w:r w:rsidRPr="00F17325">
        <w:t xml:space="preserve"> administered by the Department in accordance with the </w:t>
      </w:r>
      <w:r w:rsidRPr="00F17325">
        <w:rPr>
          <w:i/>
        </w:rPr>
        <w:t xml:space="preserve">Commonwealth Grant Rules and Guidelines 2017 </w:t>
      </w:r>
      <w:r w:rsidRPr="00F17325">
        <w:t>(</w:t>
      </w:r>
      <w:hyperlink r:id="rId11" w:history="1">
        <w:r w:rsidR="001A0D27" w:rsidRPr="00F17325">
          <w:rPr>
            <w:rStyle w:val="Hyperlink"/>
          </w:rPr>
          <w:t>https://www.finance.gov.au/sites/default/files/2019-11/commonwealth-grants-rules-and-guidelines.pdf</w:t>
        </w:r>
      </w:hyperlink>
      <w:r w:rsidR="001A0D27" w:rsidRPr="00F17325">
        <w:t xml:space="preserve"> </w:t>
      </w:r>
      <w:r w:rsidRPr="00F17325">
        <w:t xml:space="preserve">). Eligibility and merit criteria </w:t>
      </w:r>
      <w:r w:rsidR="000B736A" w:rsidRPr="00F17325">
        <w:t xml:space="preserve">for the Innovation Fund </w:t>
      </w:r>
      <w:r w:rsidRPr="00F17325">
        <w:t xml:space="preserve">are outlined in the </w:t>
      </w:r>
      <w:r w:rsidR="00361F17" w:rsidRPr="00F17325">
        <w:t xml:space="preserve">grant opportunity </w:t>
      </w:r>
      <w:r w:rsidRPr="00F17325">
        <w:t>guidelines</w:t>
      </w:r>
      <w:r w:rsidR="0089588A" w:rsidRPr="00F17325">
        <w:t>, which are available on business.gov.au (</w:t>
      </w:r>
      <w:hyperlink r:id="rId12" w:history="1">
        <w:r w:rsidR="00F9431A" w:rsidRPr="00F17325">
          <w:rPr>
            <w:rStyle w:val="Hyperlink"/>
          </w:rPr>
          <w:t>https://business.gov.au/grants-and-programs/cyber-security-skills-partnership-innovation-fund</w:t>
        </w:r>
      </w:hyperlink>
      <w:r w:rsidR="0089588A" w:rsidRPr="00F17325">
        <w:t>)</w:t>
      </w:r>
      <w:r w:rsidRPr="00F17325">
        <w:t>.</w:t>
      </w:r>
    </w:p>
    <w:p w14:paraId="56DC6DB4" w14:textId="6A45450C" w:rsidR="00D603B2" w:rsidRPr="00F17325" w:rsidRDefault="00D603B2" w:rsidP="00007A20">
      <w:pPr>
        <w:pStyle w:val="NormalExplanatorystatement"/>
      </w:pPr>
      <w:r w:rsidRPr="00F17325">
        <w:t xml:space="preserve">Spending decisions will be made by the Program Delegate who is </w:t>
      </w:r>
      <w:r w:rsidR="002C628F" w:rsidRPr="00F17325">
        <w:t>a</w:t>
      </w:r>
      <w:r w:rsidR="00C6460B" w:rsidRPr="00F17325">
        <w:t xml:space="preserve"> </w:t>
      </w:r>
      <w:r w:rsidR="00361F17" w:rsidRPr="00F17325">
        <w:t>manager</w:t>
      </w:r>
      <w:r w:rsidR="002C628F" w:rsidRPr="00F17325">
        <w:t xml:space="preserve"> within the </w:t>
      </w:r>
      <w:r w:rsidR="006C5DE8" w:rsidRPr="00F17325">
        <w:t>D</w:t>
      </w:r>
      <w:r w:rsidR="002C628F" w:rsidRPr="00F17325">
        <w:t>epartment</w:t>
      </w:r>
      <w:r w:rsidR="00361F17" w:rsidRPr="00F17325">
        <w:t xml:space="preserve"> </w:t>
      </w:r>
      <w:r w:rsidRPr="00F17325">
        <w:t xml:space="preserve">responsible for administering the Program, taking into account the recommendations of </w:t>
      </w:r>
      <w:r w:rsidR="00361F17" w:rsidRPr="00F17325">
        <w:t xml:space="preserve">a </w:t>
      </w:r>
      <w:r w:rsidRPr="00F17325">
        <w:t>committe</w:t>
      </w:r>
      <w:r w:rsidR="00296740" w:rsidRPr="00F17325">
        <w:t>e of Australian Government representatives</w:t>
      </w:r>
      <w:r w:rsidR="00361F17" w:rsidRPr="00F17325">
        <w:t xml:space="preserve">. The </w:t>
      </w:r>
      <w:r w:rsidR="00871F1F" w:rsidRPr="00F17325">
        <w:t>c</w:t>
      </w:r>
      <w:r w:rsidR="00361F17" w:rsidRPr="00F17325">
        <w:t>ommittee may also include independent experts and seek additional advice from independent technical experts as required.</w:t>
      </w:r>
      <w:r w:rsidR="00296740" w:rsidRPr="00F17325">
        <w:t xml:space="preserve"> </w:t>
      </w:r>
      <w:r w:rsidR="00D63D96" w:rsidRPr="00F17325">
        <w:t xml:space="preserve">A total of $25.3 million is available for grant funding. </w:t>
      </w:r>
      <w:r w:rsidRPr="00F17325">
        <w:t>Grants will be a minimum of $</w:t>
      </w:r>
      <w:r w:rsidR="00296740" w:rsidRPr="00F17325">
        <w:t>250,000</w:t>
      </w:r>
      <w:r w:rsidRPr="00F17325">
        <w:t xml:space="preserve"> up to a maximum of $</w:t>
      </w:r>
      <w:r w:rsidR="00296740" w:rsidRPr="00F17325">
        <w:t>3 million</w:t>
      </w:r>
      <w:r w:rsidRPr="00F17325">
        <w:t xml:space="preserve">. The grant amount </w:t>
      </w:r>
      <w:r w:rsidR="00296740" w:rsidRPr="00F17325">
        <w:t>will</w:t>
      </w:r>
      <w:r w:rsidRPr="00F17325">
        <w:t xml:space="preserve"> be up to </w:t>
      </w:r>
      <w:r w:rsidR="00296740" w:rsidRPr="00F17325">
        <w:t>50 per cent</w:t>
      </w:r>
      <w:r w:rsidRPr="00F17325">
        <w:t xml:space="preserve"> of eligible project costs. No more than 50 per cent of eligible project costs can be funded from Commonwealth Grants. </w:t>
      </w:r>
    </w:p>
    <w:p w14:paraId="5224AEBC" w14:textId="39CA89CC" w:rsidR="000A4A65" w:rsidRPr="00F17325" w:rsidRDefault="00D603B2" w:rsidP="00007A20">
      <w:pPr>
        <w:pStyle w:val="NormalExplanatorystatement"/>
      </w:pPr>
      <w:r w:rsidRPr="00F17325">
        <w:lastRenderedPageBreak/>
        <w:t xml:space="preserve">Both successful and unsuccessful applicants will be informed in writing. Unsuccessful applicants have an opportunity to discuss the outcome with the Department. </w:t>
      </w:r>
      <w:r w:rsidR="0089588A" w:rsidRPr="00F17325">
        <w:t xml:space="preserve">The Innovation Fund involves the allocation of finite resources between competing applicants. In addition, there is a robust and extensive assessment process, an enquiry and feedback process, and an existing complaints mechanism for affected applicants. Therefore, external merits review does not apply to decisions about the provision of grants under this grant opportunity. </w:t>
      </w:r>
    </w:p>
    <w:p w14:paraId="798CE388" w14:textId="027E13CE" w:rsidR="00D603B2" w:rsidRPr="00F17325" w:rsidRDefault="00D603B2" w:rsidP="00007A20">
      <w:pPr>
        <w:pStyle w:val="NormalExplanatorystatement"/>
      </w:pPr>
      <w:r w:rsidRPr="00F17325">
        <w:t xml:space="preserve">Persons who are otherwise affected by decisions or who have complaints about the </w:t>
      </w:r>
      <w:r w:rsidR="00C7129F" w:rsidRPr="00F17325">
        <w:t xml:space="preserve">Innovation Fund </w:t>
      </w:r>
      <w:r w:rsidRPr="00F17325">
        <w:t xml:space="preserve">will have recourse to the Department. The Department investigates any complaints about the </w:t>
      </w:r>
      <w:r w:rsidR="00C7129F" w:rsidRPr="00F17325">
        <w:t xml:space="preserve">Innovation Fund </w:t>
      </w:r>
      <w:r w:rsidRPr="00F17325">
        <w:t>in accordance with its complaints policy and procedures. If a person is not satisfied with the way the Department handles the complaint, they may lodge a complaint with the Commonwealth Ombudsman.</w:t>
      </w:r>
    </w:p>
    <w:p w14:paraId="08A4519D" w14:textId="77777777" w:rsidR="00324E11" w:rsidRPr="00F17325" w:rsidRDefault="00324E11" w:rsidP="00324E11">
      <w:pPr>
        <w:pStyle w:val="NormalExplanatorystatement"/>
        <w:rPr>
          <w:b/>
        </w:rPr>
      </w:pPr>
      <w:r w:rsidRPr="00F17325">
        <w:rPr>
          <w:b/>
        </w:rPr>
        <w:t xml:space="preserve">2. Questacon Cyber Ready Stream </w:t>
      </w:r>
    </w:p>
    <w:p w14:paraId="386DF7FF" w14:textId="5971B47C" w:rsidR="00F00A78" w:rsidRPr="00F17325" w:rsidRDefault="00F00A78" w:rsidP="00F00A78">
      <w:pPr>
        <w:pStyle w:val="NormalExplanatorystatement"/>
      </w:pPr>
      <w:r w:rsidRPr="00F17325">
        <w:t xml:space="preserve">Questacon - The National Science and Technology Centre (Questacon) will deliver a number of </w:t>
      </w:r>
      <w:r w:rsidR="006C5DE8" w:rsidRPr="00F17325">
        <w:t>programs</w:t>
      </w:r>
      <w:r w:rsidRPr="00F17325">
        <w:t xml:space="preserve"> under the </w:t>
      </w:r>
      <w:r w:rsidR="009658CD" w:rsidRPr="00F17325">
        <w:t xml:space="preserve">Questacon </w:t>
      </w:r>
      <w:r w:rsidRPr="00F17325">
        <w:t xml:space="preserve">Cyber </w:t>
      </w:r>
      <w:r w:rsidR="006C5DE8" w:rsidRPr="00F17325">
        <w:t>Ready</w:t>
      </w:r>
      <w:r w:rsidRPr="00F17325">
        <w:t xml:space="preserve"> Stream. The funding for th</w:t>
      </w:r>
      <w:r w:rsidR="006C5DE8" w:rsidRPr="00F17325">
        <w:t>e</w:t>
      </w:r>
      <w:r w:rsidRPr="00F17325">
        <w:t xml:space="preserve"> stream is $</w:t>
      </w:r>
      <w:r w:rsidR="006C5DE8" w:rsidRPr="00F17325">
        <w:t>8</w:t>
      </w:r>
      <w:r w:rsidRPr="00F17325">
        <w:t>.</w:t>
      </w:r>
      <w:r w:rsidR="006C5DE8" w:rsidRPr="00F17325">
        <w:t>7</w:t>
      </w:r>
      <w:r w:rsidR="00315A60">
        <w:t> </w:t>
      </w:r>
      <w:r w:rsidRPr="00F17325">
        <w:t>million over f</w:t>
      </w:r>
      <w:r w:rsidR="00871F1F" w:rsidRPr="00F17325">
        <w:t>our</w:t>
      </w:r>
      <w:r w:rsidRPr="00F17325">
        <w:t xml:space="preserve"> financial years (20</w:t>
      </w:r>
      <w:r w:rsidR="006C5DE8" w:rsidRPr="00F17325">
        <w:t>20</w:t>
      </w:r>
      <w:r w:rsidRPr="00F17325">
        <w:t>-2</w:t>
      </w:r>
      <w:r w:rsidR="006C5DE8" w:rsidRPr="00F17325">
        <w:t>1</w:t>
      </w:r>
      <w:r w:rsidRPr="00F17325">
        <w:t xml:space="preserve"> to 2023-24) </w:t>
      </w:r>
      <w:r w:rsidR="00871F1F" w:rsidRPr="00F17325">
        <w:t>t</w:t>
      </w:r>
      <w:r w:rsidR="00D45936" w:rsidRPr="00F17325">
        <w:t xml:space="preserve">o </w:t>
      </w:r>
      <w:r w:rsidR="00871F1F" w:rsidRPr="00F17325">
        <w:t>deliver the following programs:</w:t>
      </w:r>
    </w:p>
    <w:p w14:paraId="4E75A3AA" w14:textId="7A25DAAD" w:rsidR="00315A60" w:rsidRPr="00F17325" w:rsidRDefault="00315A60" w:rsidP="00315A60">
      <w:pPr>
        <w:pStyle w:val="ListParagraph"/>
        <w:numPr>
          <w:ilvl w:val="0"/>
          <w:numId w:val="13"/>
        </w:numPr>
        <w:spacing w:before="120" w:after="160" w:line="252" w:lineRule="auto"/>
        <w:rPr>
          <w:rFonts w:ascii="Times New Roman" w:hAnsi="Times New Roman" w:cs="Times New Roman"/>
          <w:szCs w:val="24"/>
        </w:rPr>
      </w:pPr>
      <w:r w:rsidRPr="00F17325">
        <w:rPr>
          <w:rFonts w:ascii="Times New Roman" w:hAnsi="Times New Roman" w:cs="Times New Roman"/>
          <w:szCs w:val="24"/>
        </w:rPr>
        <w:t xml:space="preserve">Questacon Cyber Learning Master Academy: </w:t>
      </w:r>
      <w:r>
        <w:rPr>
          <w:rFonts w:ascii="Times New Roman" w:hAnsi="Times New Roman" w:cs="Times New Roman"/>
          <w:szCs w:val="24"/>
        </w:rPr>
        <w:t>a</w:t>
      </w:r>
      <w:r w:rsidRPr="00F17325">
        <w:rPr>
          <w:rFonts w:ascii="Times New Roman" w:hAnsi="Times New Roman" w:cs="Times New Roman"/>
          <w:szCs w:val="24"/>
        </w:rPr>
        <w:t xml:space="preserve"> pilot program for in-field STEM teachers; </w:t>
      </w:r>
    </w:p>
    <w:p w14:paraId="1214917E" w14:textId="3D30BCE2" w:rsidR="00315A60" w:rsidRPr="00F17325" w:rsidRDefault="00315A60" w:rsidP="00315A60">
      <w:pPr>
        <w:pStyle w:val="ListParagraph"/>
        <w:numPr>
          <w:ilvl w:val="0"/>
          <w:numId w:val="13"/>
        </w:numPr>
        <w:spacing w:before="120" w:after="160" w:line="252" w:lineRule="auto"/>
        <w:rPr>
          <w:rFonts w:ascii="Times New Roman" w:hAnsi="Times New Roman" w:cs="Times New Roman"/>
          <w:szCs w:val="24"/>
        </w:rPr>
      </w:pPr>
      <w:r w:rsidRPr="00F17325">
        <w:rPr>
          <w:rFonts w:ascii="Times New Roman" w:hAnsi="Times New Roman" w:cs="Times New Roman"/>
          <w:szCs w:val="24"/>
        </w:rPr>
        <w:t xml:space="preserve">Questacon Cyber Squad: </w:t>
      </w:r>
      <w:r>
        <w:rPr>
          <w:rFonts w:ascii="Times New Roman" w:hAnsi="Times New Roman" w:cs="Times New Roman"/>
          <w:szCs w:val="24"/>
        </w:rPr>
        <w:t>a</w:t>
      </w:r>
      <w:r w:rsidRPr="00F17325">
        <w:rPr>
          <w:rFonts w:ascii="Times New Roman" w:hAnsi="Times New Roman" w:cs="Times New Roman"/>
          <w:szCs w:val="24"/>
        </w:rPr>
        <w:t xml:space="preserve"> pilot program for non-STEM and out-of-field teachers;</w:t>
      </w:r>
    </w:p>
    <w:p w14:paraId="212E8007" w14:textId="11CB06DE" w:rsidR="00324E11" w:rsidRPr="00F17325" w:rsidRDefault="00324E11" w:rsidP="00324E11">
      <w:pPr>
        <w:pStyle w:val="ListParagraph"/>
        <w:numPr>
          <w:ilvl w:val="0"/>
          <w:numId w:val="13"/>
        </w:numPr>
        <w:spacing w:before="120" w:after="160" w:line="252" w:lineRule="auto"/>
        <w:rPr>
          <w:rFonts w:ascii="Times New Roman" w:hAnsi="Times New Roman" w:cs="Times New Roman"/>
          <w:szCs w:val="24"/>
        </w:rPr>
      </w:pPr>
      <w:r w:rsidRPr="00F17325">
        <w:rPr>
          <w:rFonts w:ascii="Times New Roman" w:hAnsi="Times New Roman" w:cs="Times New Roman"/>
          <w:szCs w:val="24"/>
        </w:rPr>
        <w:t xml:space="preserve">Cyber Program Support: </w:t>
      </w:r>
      <w:r>
        <w:rPr>
          <w:rFonts w:ascii="Times New Roman" w:hAnsi="Times New Roman" w:cs="Times New Roman"/>
          <w:szCs w:val="24"/>
        </w:rPr>
        <w:t>p</w:t>
      </w:r>
      <w:r w:rsidRPr="00F17325">
        <w:rPr>
          <w:rFonts w:ascii="Times New Roman" w:hAnsi="Times New Roman" w:cs="Times New Roman"/>
          <w:szCs w:val="24"/>
        </w:rPr>
        <w:t>ortable resources for family and student engagement, based on existing</w:t>
      </w:r>
      <w:r>
        <w:rPr>
          <w:rFonts w:ascii="Times New Roman" w:hAnsi="Times New Roman" w:cs="Times New Roman"/>
          <w:szCs w:val="24"/>
        </w:rPr>
        <w:t xml:space="preserve"> Questacon assets including exhibits and</w:t>
      </w:r>
      <w:r w:rsidRPr="00F17325">
        <w:rPr>
          <w:rFonts w:ascii="Times New Roman" w:hAnsi="Times New Roman" w:cs="Times New Roman"/>
          <w:szCs w:val="24"/>
        </w:rPr>
        <w:t xml:space="preserve"> maths puzzles;</w:t>
      </w:r>
    </w:p>
    <w:p w14:paraId="38BD61F2" w14:textId="22ACB3D6" w:rsidR="00315A60" w:rsidRPr="00F17325" w:rsidRDefault="00315A60" w:rsidP="00315A60">
      <w:pPr>
        <w:pStyle w:val="ListParagraph"/>
        <w:numPr>
          <w:ilvl w:val="0"/>
          <w:numId w:val="13"/>
        </w:numPr>
        <w:spacing w:before="120" w:after="160" w:line="252" w:lineRule="auto"/>
        <w:rPr>
          <w:rFonts w:ascii="Times New Roman" w:hAnsi="Times New Roman" w:cs="Times New Roman"/>
          <w:szCs w:val="24"/>
        </w:rPr>
      </w:pPr>
      <w:r w:rsidRPr="00F17325">
        <w:rPr>
          <w:rFonts w:ascii="Times New Roman" w:hAnsi="Times New Roman" w:cs="Times New Roman"/>
          <w:szCs w:val="24"/>
        </w:rPr>
        <w:t xml:space="preserve">Questacon Cyber STEM Leaders: </w:t>
      </w:r>
      <w:r>
        <w:rPr>
          <w:rFonts w:ascii="Times New Roman" w:hAnsi="Times New Roman" w:cs="Times New Roman"/>
          <w:szCs w:val="24"/>
        </w:rPr>
        <w:t>a</w:t>
      </w:r>
      <w:r w:rsidRPr="00F17325">
        <w:rPr>
          <w:rFonts w:ascii="Times New Roman" w:hAnsi="Times New Roman" w:cs="Times New Roman"/>
          <w:szCs w:val="24"/>
        </w:rPr>
        <w:t xml:space="preserve"> national leaders forum and minds in residence program;</w:t>
      </w:r>
    </w:p>
    <w:p w14:paraId="54634B3E" w14:textId="567BCF37" w:rsidR="00315A60" w:rsidRPr="00F17325" w:rsidRDefault="00315A60" w:rsidP="00315A60">
      <w:pPr>
        <w:pStyle w:val="ListParagraph"/>
        <w:numPr>
          <w:ilvl w:val="0"/>
          <w:numId w:val="13"/>
        </w:numPr>
        <w:spacing w:before="120" w:after="160" w:line="252" w:lineRule="auto"/>
        <w:rPr>
          <w:rFonts w:ascii="Times New Roman" w:hAnsi="Times New Roman" w:cs="Times New Roman"/>
          <w:szCs w:val="24"/>
        </w:rPr>
      </w:pPr>
      <w:r w:rsidRPr="00F17325">
        <w:rPr>
          <w:rFonts w:ascii="Times New Roman" w:hAnsi="Times New Roman" w:cs="Times New Roman"/>
          <w:szCs w:val="24"/>
        </w:rPr>
        <w:t xml:space="preserve">National Cyber Design Challenge: </w:t>
      </w:r>
      <w:r>
        <w:rPr>
          <w:rFonts w:ascii="Times New Roman" w:hAnsi="Times New Roman" w:cs="Times New Roman"/>
          <w:szCs w:val="24"/>
        </w:rPr>
        <w:t>a</w:t>
      </w:r>
      <w:r w:rsidRPr="00F17325">
        <w:rPr>
          <w:rFonts w:ascii="Times New Roman" w:hAnsi="Times New Roman" w:cs="Times New Roman"/>
          <w:szCs w:val="24"/>
        </w:rPr>
        <w:t xml:space="preserve"> national cyber design challenge for young people aged 8-13.</w:t>
      </w:r>
    </w:p>
    <w:p w14:paraId="761068DD" w14:textId="77777777" w:rsidR="00F00A78" w:rsidRPr="00F17325" w:rsidRDefault="00F00A78" w:rsidP="00F00A78">
      <w:pPr>
        <w:pStyle w:val="NormalExplanatorystatement"/>
      </w:pPr>
      <w:r w:rsidRPr="00F17325">
        <w:t xml:space="preserve">The funding is internal covering Questacon activities related to delivery of these programs. </w:t>
      </w:r>
    </w:p>
    <w:p w14:paraId="0AD9CCCB" w14:textId="1C392CFA" w:rsidR="00F00A78" w:rsidRPr="00F17325" w:rsidRDefault="009658CD" w:rsidP="00F00A78">
      <w:pPr>
        <w:pStyle w:val="NormalExplanatorystatement"/>
      </w:pPr>
      <w:r w:rsidRPr="00F17325">
        <w:t xml:space="preserve">Questacon </w:t>
      </w:r>
      <w:r w:rsidR="00F00A78" w:rsidRPr="00F17325">
        <w:t>Cyber Ready</w:t>
      </w:r>
      <w:r w:rsidR="006C5DE8" w:rsidRPr="00F17325">
        <w:t xml:space="preserve"> Stream</w:t>
      </w:r>
      <w:r w:rsidR="00F00A78" w:rsidRPr="00F17325">
        <w:t xml:space="preserve"> programs will focus on the integration of key cross-disciplinary skills including problem solving, design thinking and teamwork to help build our future workforce, reflecting the fact that a cyber security career is not dependent on ICT qualification. </w:t>
      </w:r>
    </w:p>
    <w:p w14:paraId="66C94CD7" w14:textId="77777777" w:rsidR="00CB6B9C" w:rsidRDefault="00F00A78" w:rsidP="00F00A78">
      <w:pPr>
        <w:pStyle w:val="NormalExplanatorystatement"/>
      </w:pPr>
      <w:r w:rsidRPr="00F17325">
        <w:t>Questacon’s programs will reach out nationally and across remote and regional Australia to engage young people and educators with accessible, high quality cyber science, technology, engineering and mathematics (STEM) programs. The national reach reflects the growth in the cyber security sector across Australia, with cyber security careers being geographically unbound, and as accessible for regional and remote workers as for those in metropolitan Australia.</w:t>
      </w:r>
      <w:r w:rsidR="00324E11" w:rsidRPr="00324E11">
        <w:t xml:space="preserve"> </w:t>
      </w:r>
    </w:p>
    <w:p w14:paraId="60924662" w14:textId="5395C878" w:rsidR="00F00A78" w:rsidRPr="00F17325" w:rsidRDefault="00324E11" w:rsidP="00F00A78">
      <w:pPr>
        <w:pStyle w:val="NormalExplanatorystatement"/>
      </w:pPr>
      <w:r>
        <w:t xml:space="preserve">Programs and activities initiated through the Questacon Cyber Ready Steam will be delivered in conjunction with other well established and nationally delivered Questacon programs. This </w:t>
      </w:r>
      <w:r>
        <w:lastRenderedPageBreak/>
        <w:t>includes the Engineering is Elementary program, which is a related initiative that has similar objectives. The Engineering is Elementary program delivers teacher professional learning and uses engineering topics to enhance the capacity and capability of teachers to deliver cross-disciplinary STEM project based learning.</w:t>
      </w:r>
    </w:p>
    <w:p w14:paraId="211F492D" w14:textId="675218FC" w:rsidR="00D15755" w:rsidRPr="00F17325" w:rsidRDefault="00D15755" w:rsidP="0032172A">
      <w:pPr>
        <w:pStyle w:val="NormalExplanatorystatement"/>
        <w:rPr>
          <w:b/>
          <w:u w:val="single"/>
        </w:rPr>
      </w:pPr>
      <w:r w:rsidRPr="00F17325">
        <w:rPr>
          <w:b/>
          <w:u w:val="single"/>
        </w:rPr>
        <w:t>Legislative Powers</w:t>
      </w:r>
    </w:p>
    <w:p w14:paraId="066BB59D" w14:textId="6D22ED1F" w:rsidR="00B3460C" w:rsidRPr="00F17325" w:rsidRDefault="00B3460C" w:rsidP="00007A20">
      <w:pPr>
        <w:pStyle w:val="NormalExplanatorystatement"/>
      </w:pPr>
      <w:r w:rsidRPr="00F17325">
        <w:t>The Legislative Instrument specifies that the legislative powers in respect of which the Instrument is made are the following:</w:t>
      </w:r>
    </w:p>
    <w:p w14:paraId="61C2FE70" w14:textId="10A80830" w:rsidR="0089588A" w:rsidRPr="00F17325" w:rsidRDefault="0089588A" w:rsidP="00007A20">
      <w:pPr>
        <w:pStyle w:val="NormalExplanatorystatement"/>
        <w:rPr>
          <w:i/>
        </w:rPr>
      </w:pPr>
      <w:r w:rsidRPr="00F17325">
        <w:rPr>
          <w:i/>
        </w:rPr>
        <w:t>Communications Power</w:t>
      </w:r>
    </w:p>
    <w:p w14:paraId="194ECE0A" w14:textId="701B283A" w:rsidR="0089588A" w:rsidRPr="00F17325" w:rsidRDefault="0089588A" w:rsidP="00007A20">
      <w:pPr>
        <w:pStyle w:val="NormalExplanatorystatement"/>
        <w:rPr>
          <w:color w:val="000000"/>
          <w:shd w:val="clear" w:color="auto" w:fill="FFFFFF"/>
        </w:rPr>
      </w:pPr>
      <w:r w:rsidRPr="00F17325">
        <w:rPr>
          <w:color w:val="000000"/>
          <w:shd w:val="clear" w:color="auto" w:fill="FFFFFF"/>
        </w:rPr>
        <w:t>Section 51(v) of the Constitution empowers the Parliament to make laws with respect to 'postal, telegraphic, telephonic and other like services'.</w:t>
      </w:r>
    </w:p>
    <w:p w14:paraId="5CE32AF6" w14:textId="6231EBFB" w:rsidR="0089588A" w:rsidRPr="00F17325" w:rsidRDefault="0089588A" w:rsidP="00007A20">
      <w:pPr>
        <w:pStyle w:val="NormalExplanatorystatement"/>
        <w:rPr>
          <w:color w:val="000000"/>
          <w:shd w:val="clear" w:color="auto" w:fill="FFFFFF"/>
        </w:rPr>
      </w:pPr>
      <w:r w:rsidRPr="00F17325">
        <w:rPr>
          <w:color w:val="000000"/>
          <w:shd w:val="clear" w:color="auto" w:fill="FFFFFF"/>
        </w:rPr>
        <w:t>In that regard, funding provided under this Legislative Instrument will promote resilience and security in Australia’s electronic communications by building knowledge and skills in the area of cyber security.</w:t>
      </w:r>
    </w:p>
    <w:p w14:paraId="075814E4" w14:textId="77777777" w:rsidR="0089588A" w:rsidRPr="00F17325" w:rsidRDefault="0089588A" w:rsidP="00F9431A">
      <w:pPr>
        <w:pStyle w:val="NormalExplanatorystatement"/>
        <w:rPr>
          <w:i/>
        </w:rPr>
      </w:pPr>
      <w:r w:rsidRPr="00F17325">
        <w:rPr>
          <w:i/>
        </w:rPr>
        <w:t>Territories power</w:t>
      </w:r>
    </w:p>
    <w:p w14:paraId="7DB01997" w14:textId="18C25D2E" w:rsidR="0089588A" w:rsidRPr="00F17325" w:rsidRDefault="0089588A" w:rsidP="00F9431A">
      <w:pPr>
        <w:pStyle w:val="NormalExplanatorystatement"/>
      </w:pPr>
      <w:r w:rsidRPr="00F17325">
        <w:t xml:space="preserve">Section 122 of the Constitution empowers the Parliament to </w:t>
      </w:r>
      <w:r w:rsidR="00D52DAE">
        <w:t>‘make laws for the government of any territory’.</w:t>
      </w:r>
      <w:r w:rsidRPr="00F17325">
        <w:t xml:space="preserve"> </w:t>
      </w:r>
    </w:p>
    <w:p w14:paraId="61190CE4" w14:textId="09B4C092" w:rsidR="00F00A78" w:rsidRPr="00F17325" w:rsidRDefault="00F00A78" w:rsidP="00F00A78">
      <w:pPr>
        <w:pStyle w:val="NormalExplanatorystatement"/>
      </w:pPr>
      <w:r w:rsidRPr="00F17325">
        <w:t xml:space="preserve">In that regard, funding for the </w:t>
      </w:r>
      <w:r w:rsidR="009658CD" w:rsidRPr="00F17325">
        <w:t xml:space="preserve">Questacon </w:t>
      </w:r>
      <w:r w:rsidRPr="00F17325">
        <w:t xml:space="preserve">Cyber </w:t>
      </w:r>
      <w:r w:rsidR="00007687" w:rsidRPr="00F17325">
        <w:t>Ready</w:t>
      </w:r>
      <w:r w:rsidRPr="00F17325">
        <w:t xml:space="preserve"> Stream, provided under this Legislative Instrument, will be applied by Questacon to activities within the Australian Capital Territory, where Questacon is headquartered.</w:t>
      </w:r>
    </w:p>
    <w:p w14:paraId="22DCB84F" w14:textId="77777777" w:rsidR="0089588A" w:rsidRPr="00F17325" w:rsidRDefault="0089588A" w:rsidP="0089588A">
      <w:pPr>
        <w:shd w:val="clear" w:color="auto" w:fill="FFFFFF"/>
        <w:spacing w:after="40" w:line="240" w:lineRule="auto"/>
        <w:rPr>
          <w:rFonts w:eastAsia="Times New Roman" w:cs="Calibri"/>
          <w:i/>
          <w:color w:val="000000"/>
          <w:szCs w:val="24"/>
          <w:lang w:eastAsia="zh-CN"/>
        </w:rPr>
      </w:pPr>
      <w:r w:rsidRPr="00F17325">
        <w:rPr>
          <w:rFonts w:ascii="Times New Roman" w:eastAsia="Times New Roman" w:hAnsi="Times New Roman" w:cs="Times New Roman"/>
          <w:bCs/>
          <w:i/>
          <w:color w:val="000000"/>
          <w:szCs w:val="24"/>
          <w:lang w:eastAsia="zh-CN"/>
        </w:rPr>
        <w:t>Executive power and express incidental power, including the nationhood aspect </w:t>
      </w:r>
    </w:p>
    <w:p w14:paraId="089764F3" w14:textId="737D774A" w:rsidR="0089588A" w:rsidRPr="00F17325" w:rsidRDefault="0089588A" w:rsidP="0089588A">
      <w:pPr>
        <w:shd w:val="clear" w:color="auto" w:fill="FFFFFF"/>
        <w:spacing w:before="240" w:after="240" w:line="276" w:lineRule="atLeast"/>
        <w:rPr>
          <w:rFonts w:ascii="Times New Roman" w:eastAsia="Times New Roman" w:hAnsi="Times New Roman" w:cs="Times New Roman"/>
          <w:color w:val="000000"/>
          <w:szCs w:val="24"/>
          <w:lang w:eastAsia="zh-CN"/>
        </w:rPr>
      </w:pPr>
      <w:r w:rsidRPr="00F17325">
        <w:rPr>
          <w:rFonts w:ascii="Times New Roman" w:eastAsia="Times New Roman" w:hAnsi="Times New Roman" w:cs="Times New Roman"/>
          <w:color w:val="000000"/>
          <w:szCs w:val="24"/>
          <w:lang w:eastAsia="zh-CN"/>
        </w:rPr>
        <w:t xml:space="preserve">The express incidental power in </w:t>
      </w:r>
      <w:r w:rsidR="00E01D78">
        <w:rPr>
          <w:rFonts w:ascii="Times New Roman" w:eastAsia="Times New Roman" w:hAnsi="Times New Roman" w:cs="Times New Roman"/>
          <w:color w:val="000000"/>
          <w:szCs w:val="24"/>
          <w:lang w:eastAsia="zh-CN"/>
        </w:rPr>
        <w:t>section</w:t>
      </w:r>
      <w:r w:rsidR="00E01D78" w:rsidRPr="00F17325">
        <w:rPr>
          <w:rFonts w:ascii="Times New Roman" w:eastAsia="Times New Roman" w:hAnsi="Times New Roman" w:cs="Times New Roman"/>
          <w:color w:val="000000"/>
          <w:szCs w:val="24"/>
          <w:lang w:eastAsia="zh-CN"/>
        </w:rPr>
        <w:t xml:space="preserve"> </w:t>
      </w:r>
      <w:r w:rsidRPr="00F17325">
        <w:rPr>
          <w:rFonts w:ascii="Times New Roman" w:eastAsia="Times New Roman" w:hAnsi="Times New Roman" w:cs="Times New Roman"/>
          <w:color w:val="000000"/>
          <w:szCs w:val="24"/>
          <w:lang w:eastAsia="zh-CN"/>
        </w:rPr>
        <w:t>51(xxxix) of the Constitution empowers the Parliament to make laws with respect to matters incidental to the execution of any power vested in the Parliament, the executive or the courts by the Constitution. That paragraph, together with section 61 of the Constitution, supports activities that are peculiarly adapted to the government of a nation and cannot be carried out for the benefit of the nation otherwise than by the Commonwealth.</w:t>
      </w:r>
    </w:p>
    <w:p w14:paraId="266C6BE1" w14:textId="4F122BB1" w:rsidR="00F00A78" w:rsidRPr="00F17325" w:rsidRDefault="00F00A78" w:rsidP="00F00A78">
      <w:pPr>
        <w:shd w:val="clear" w:color="auto" w:fill="FFFFFF"/>
        <w:spacing w:before="240" w:after="240" w:line="276" w:lineRule="atLeast"/>
        <w:rPr>
          <w:rFonts w:ascii="Times New Roman" w:eastAsia="Times New Roman" w:hAnsi="Times New Roman" w:cs="Times New Roman"/>
          <w:color w:val="000000"/>
          <w:szCs w:val="24"/>
          <w:lang w:eastAsia="zh-CN"/>
        </w:rPr>
      </w:pPr>
      <w:r w:rsidRPr="00F17325">
        <w:rPr>
          <w:rFonts w:ascii="Times New Roman" w:eastAsia="Times New Roman" w:hAnsi="Times New Roman" w:cs="Times New Roman"/>
          <w:color w:val="000000"/>
          <w:szCs w:val="24"/>
          <w:lang w:eastAsia="zh-CN"/>
        </w:rPr>
        <w:t xml:space="preserve">In that regard </w:t>
      </w:r>
      <w:r w:rsidR="0063176C">
        <w:rPr>
          <w:rFonts w:ascii="Times New Roman" w:eastAsia="Times New Roman" w:hAnsi="Times New Roman" w:cs="Times New Roman"/>
          <w:color w:val="000000"/>
          <w:szCs w:val="24"/>
          <w:lang w:eastAsia="zh-CN"/>
        </w:rPr>
        <w:t xml:space="preserve">Questacon (and its activities) is a national initiative in science and related fields. </w:t>
      </w:r>
      <w:r w:rsidR="005B0758">
        <w:rPr>
          <w:rFonts w:ascii="Times New Roman" w:eastAsia="Times New Roman" w:hAnsi="Times New Roman" w:cs="Times New Roman"/>
          <w:color w:val="000000"/>
          <w:szCs w:val="24"/>
          <w:lang w:eastAsia="zh-CN"/>
        </w:rPr>
        <w:t xml:space="preserve">The Questacon Cyber Ready Stream is one aspect of that broader national initiative. </w:t>
      </w:r>
    </w:p>
    <w:p w14:paraId="636C538C" w14:textId="4DCE1181" w:rsidR="0089588A" w:rsidRPr="00F17325" w:rsidRDefault="0089588A" w:rsidP="0089588A">
      <w:pPr>
        <w:shd w:val="clear" w:color="auto" w:fill="FFFFFF"/>
        <w:spacing w:before="240" w:after="240" w:line="276" w:lineRule="atLeast"/>
        <w:rPr>
          <w:rFonts w:ascii="Times New Roman" w:eastAsia="Times New Roman" w:hAnsi="Times New Roman" w:cs="Times New Roman"/>
          <w:i/>
          <w:color w:val="000000"/>
          <w:szCs w:val="24"/>
          <w:lang w:eastAsia="zh-CN"/>
        </w:rPr>
      </w:pPr>
      <w:r w:rsidRPr="00F17325">
        <w:rPr>
          <w:rFonts w:ascii="Times New Roman" w:eastAsia="Times New Roman" w:hAnsi="Times New Roman" w:cs="Times New Roman"/>
          <w:i/>
          <w:color w:val="000000"/>
          <w:szCs w:val="24"/>
          <w:lang w:eastAsia="zh-CN"/>
        </w:rPr>
        <w:t>External affairs power</w:t>
      </w:r>
    </w:p>
    <w:p w14:paraId="1479C186" w14:textId="0722F5ED" w:rsidR="00F0190E" w:rsidRPr="00F17325" w:rsidRDefault="00E01D78" w:rsidP="00F9431A">
      <w:pPr>
        <w:pStyle w:val="NormalExplanatorystatement"/>
        <w:rPr>
          <w:color w:val="000000"/>
          <w:shd w:val="clear" w:color="auto" w:fill="FFFFFF"/>
        </w:rPr>
      </w:pPr>
      <w:r>
        <w:rPr>
          <w:color w:val="000000"/>
          <w:shd w:val="clear" w:color="auto" w:fill="FFFFFF"/>
        </w:rPr>
        <w:t>Section</w:t>
      </w:r>
      <w:r w:rsidRPr="00F17325">
        <w:rPr>
          <w:color w:val="000000"/>
          <w:shd w:val="clear" w:color="auto" w:fill="FFFFFF"/>
        </w:rPr>
        <w:t xml:space="preserve"> </w:t>
      </w:r>
      <w:r w:rsidR="0089588A" w:rsidRPr="00F17325">
        <w:rPr>
          <w:color w:val="000000"/>
          <w:shd w:val="clear" w:color="auto" w:fill="FFFFFF"/>
        </w:rPr>
        <w:t xml:space="preserve">51(xxix) of the Constitution empowers the Parliament to make laws with respect to ‘external affairs’. The external affairs power supports Commonwealth legislation which gives effect to Australia’s obligations under international treaties. Australia has </w:t>
      </w:r>
      <w:r w:rsidR="00F0190E" w:rsidRPr="00F17325">
        <w:rPr>
          <w:color w:val="000000"/>
          <w:shd w:val="clear" w:color="auto" w:fill="FFFFFF"/>
        </w:rPr>
        <w:t xml:space="preserve">relevant </w:t>
      </w:r>
      <w:r w:rsidR="0089588A" w:rsidRPr="00F17325">
        <w:rPr>
          <w:color w:val="000000"/>
          <w:shd w:val="clear" w:color="auto" w:fill="FFFFFF"/>
        </w:rPr>
        <w:t>obligations under the</w:t>
      </w:r>
      <w:r w:rsidR="00F0190E" w:rsidRPr="00F17325">
        <w:rPr>
          <w:color w:val="000000"/>
          <w:shd w:val="clear" w:color="auto" w:fill="FFFFFF"/>
        </w:rPr>
        <w:t xml:space="preserve"> following international treaties:</w:t>
      </w:r>
    </w:p>
    <w:p w14:paraId="57990319" w14:textId="4C11B1EA" w:rsidR="00F0190E" w:rsidRPr="00F17325" w:rsidRDefault="00F0190E" w:rsidP="00B153E7">
      <w:pPr>
        <w:pStyle w:val="NormalExplanatorystatement"/>
        <w:numPr>
          <w:ilvl w:val="0"/>
          <w:numId w:val="10"/>
        </w:numPr>
        <w:spacing w:before="0" w:after="0" w:line="240" w:lineRule="auto"/>
        <w:ind w:left="357" w:hanging="357"/>
      </w:pPr>
      <w:r w:rsidRPr="00F17325">
        <w:lastRenderedPageBreak/>
        <w:t xml:space="preserve">the </w:t>
      </w:r>
      <w:r w:rsidR="0089588A" w:rsidRPr="00F17325">
        <w:t>Convention on the Elimination of All Forms of Discrimination Against Women [1983] ATS 9 (CEDAW)</w:t>
      </w:r>
      <w:r w:rsidRPr="00F17325">
        <w:t>;</w:t>
      </w:r>
    </w:p>
    <w:p w14:paraId="6677507C" w14:textId="1F659601" w:rsidR="00F0190E" w:rsidRPr="00F17325" w:rsidRDefault="00F0190E" w:rsidP="00B153E7">
      <w:pPr>
        <w:pStyle w:val="NormalExplanatorystatement"/>
        <w:numPr>
          <w:ilvl w:val="0"/>
          <w:numId w:val="10"/>
        </w:numPr>
        <w:spacing w:before="0" w:after="0" w:line="240" w:lineRule="auto"/>
        <w:ind w:left="357" w:hanging="357"/>
      </w:pPr>
      <w:r w:rsidRPr="00F17325">
        <w:t>the Convention on the Rights of the Child [1991] ATS 4 (the CRC)</w:t>
      </w:r>
      <w:r w:rsidR="005D1E1D" w:rsidRPr="00F17325">
        <w:t>;</w:t>
      </w:r>
    </w:p>
    <w:p w14:paraId="4D80FC96" w14:textId="61984DD5" w:rsidR="00F0190E" w:rsidRPr="00F17325" w:rsidRDefault="005D1E1D" w:rsidP="00B153E7">
      <w:pPr>
        <w:pStyle w:val="NormalExplanatorystatement"/>
        <w:numPr>
          <w:ilvl w:val="0"/>
          <w:numId w:val="10"/>
        </w:numPr>
        <w:spacing w:before="0" w:after="0" w:line="240" w:lineRule="auto"/>
        <w:ind w:left="357" w:hanging="357"/>
      </w:pPr>
      <w:r w:rsidRPr="00F17325">
        <w:t>the Convention concerning Employment Policy [1970] ATS 17 (ILO Convention 122);</w:t>
      </w:r>
    </w:p>
    <w:p w14:paraId="0BD03848" w14:textId="173860FC" w:rsidR="005D1E1D" w:rsidRPr="00F17325" w:rsidRDefault="005D1E1D" w:rsidP="00B153E7">
      <w:pPr>
        <w:pStyle w:val="NormalExplanatorystatement"/>
        <w:numPr>
          <w:ilvl w:val="0"/>
          <w:numId w:val="10"/>
        </w:numPr>
        <w:spacing w:before="0" w:after="0" w:line="240" w:lineRule="auto"/>
        <w:ind w:left="357" w:hanging="357"/>
      </w:pPr>
      <w:r w:rsidRPr="00F17325">
        <w:t>the Convention concerning Vocational Guidance and Vocational Training in the Development of Human Resources [1986] ATS 2 (ILO Convention 142); and</w:t>
      </w:r>
    </w:p>
    <w:p w14:paraId="1C54AD39" w14:textId="68ED54FF" w:rsidR="005D1E1D" w:rsidRPr="00F17325" w:rsidRDefault="005D1E1D" w:rsidP="00B153E7">
      <w:pPr>
        <w:pStyle w:val="NormalExplanatorystatement"/>
        <w:numPr>
          <w:ilvl w:val="0"/>
          <w:numId w:val="10"/>
        </w:numPr>
        <w:spacing w:before="0" w:after="0" w:line="240" w:lineRule="auto"/>
        <w:ind w:left="357" w:hanging="357"/>
      </w:pPr>
      <w:r w:rsidRPr="00F17325">
        <w:t>the International Covenant on Economic, Social and Cultural Rights [1976] ATS 5 (ICESCR).</w:t>
      </w:r>
    </w:p>
    <w:p w14:paraId="420C40A9" w14:textId="5AB39396" w:rsidR="0089588A" w:rsidRPr="00F17325" w:rsidRDefault="0089588A" w:rsidP="00F9431A">
      <w:pPr>
        <w:pStyle w:val="NormalExplanatorystatement"/>
        <w:rPr>
          <w:color w:val="000000"/>
          <w:shd w:val="clear" w:color="auto" w:fill="FFFFFF"/>
        </w:rPr>
      </w:pPr>
      <w:r w:rsidRPr="00F17325">
        <w:t xml:space="preserve">Articles </w:t>
      </w:r>
      <w:r w:rsidR="00473BD4">
        <w:t xml:space="preserve">1, </w:t>
      </w:r>
      <w:r w:rsidRPr="00F17325">
        <w:t>2, 3, 10 and 11</w:t>
      </w:r>
      <w:r w:rsidR="004535C5" w:rsidRPr="00F17325">
        <w:t xml:space="preserve"> of CEDAW</w:t>
      </w:r>
      <w:r w:rsidRPr="00F17325">
        <w:t xml:space="preserve"> relevantly provide that signatories agree to pursue a policy of eliminating discrimination against women, to take all appropriate measures to ensure the full development </w:t>
      </w:r>
      <w:r w:rsidRPr="00F17325">
        <w:rPr>
          <w:color w:val="000000"/>
          <w:shd w:val="clear" w:color="auto" w:fill="FFFFFF"/>
        </w:rPr>
        <w:t xml:space="preserve">and advancement of women, and </w:t>
      </w:r>
      <w:r w:rsidR="004535C5" w:rsidRPr="00F17325">
        <w:rPr>
          <w:color w:val="000000"/>
          <w:shd w:val="clear" w:color="auto" w:fill="FFFFFF"/>
        </w:rPr>
        <w:t xml:space="preserve">to </w:t>
      </w:r>
      <w:r w:rsidRPr="00F17325">
        <w:rPr>
          <w:color w:val="000000"/>
          <w:shd w:val="clear" w:color="auto" w:fill="FFFFFF"/>
        </w:rPr>
        <w:t>take all appropriate measures to eliminate discrimination against women in the field</w:t>
      </w:r>
      <w:r w:rsidR="005C11B1">
        <w:rPr>
          <w:color w:val="000000"/>
          <w:shd w:val="clear" w:color="auto" w:fill="FFFFFF"/>
        </w:rPr>
        <w:t>s of education and</w:t>
      </w:r>
      <w:r w:rsidRPr="00F17325">
        <w:rPr>
          <w:color w:val="000000"/>
          <w:shd w:val="clear" w:color="auto" w:fill="FFFFFF"/>
        </w:rPr>
        <w:t xml:space="preserve"> employment.</w:t>
      </w:r>
      <w:r w:rsidR="005D1E1D" w:rsidRPr="00F17325">
        <w:rPr>
          <w:color w:val="000000"/>
          <w:shd w:val="clear" w:color="auto" w:fill="FFFFFF"/>
        </w:rPr>
        <w:t xml:space="preserve"> </w:t>
      </w:r>
      <w:r w:rsidRPr="00F17325">
        <w:rPr>
          <w:color w:val="000000"/>
          <w:shd w:val="clear" w:color="auto" w:fill="FFFFFF"/>
        </w:rPr>
        <w:t xml:space="preserve">In that regard, the Innovation Fund has, as an objective, increasing the participation of women in cyber security, and </w:t>
      </w:r>
      <w:r w:rsidR="000B736A" w:rsidRPr="00F17325">
        <w:rPr>
          <w:color w:val="000000"/>
          <w:shd w:val="clear" w:color="auto" w:fill="FFFFFF"/>
        </w:rPr>
        <w:t>is intended to</w:t>
      </w:r>
      <w:r w:rsidRPr="00F17325">
        <w:rPr>
          <w:color w:val="000000"/>
          <w:shd w:val="clear" w:color="auto" w:fill="FFFFFF"/>
        </w:rPr>
        <w:t xml:space="preserve"> support scholarship</w:t>
      </w:r>
      <w:r w:rsidR="004535C5" w:rsidRPr="00F17325">
        <w:rPr>
          <w:color w:val="000000"/>
          <w:shd w:val="clear" w:color="auto" w:fill="FFFFFF"/>
        </w:rPr>
        <w:t xml:space="preserve"> programs</w:t>
      </w:r>
      <w:r w:rsidRPr="00F17325">
        <w:rPr>
          <w:color w:val="000000"/>
          <w:shd w:val="clear" w:color="auto" w:fill="FFFFFF"/>
        </w:rPr>
        <w:t xml:space="preserve"> where at least fifty per cent of the scholarship </w:t>
      </w:r>
      <w:r w:rsidR="004535C5" w:rsidRPr="00F17325">
        <w:rPr>
          <w:color w:val="000000"/>
          <w:shd w:val="clear" w:color="auto" w:fill="FFFFFF"/>
        </w:rPr>
        <w:t>offered are</w:t>
      </w:r>
      <w:r w:rsidRPr="00F17325">
        <w:rPr>
          <w:color w:val="000000"/>
          <w:shd w:val="clear" w:color="auto" w:fill="FFFFFF"/>
        </w:rPr>
        <w:t xml:space="preserve"> reserved for women. </w:t>
      </w:r>
    </w:p>
    <w:p w14:paraId="31345F4A" w14:textId="7AB38B93" w:rsidR="00B153E7" w:rsidRPr="00F17325" w:rsidRDefault="00B153E7" w:rsidP="00B153E7">
      <w:pPr>
        <w:pStyle w:val="NormalExplanatorystatement"/>
        <w:rPr>
          <w:color w:val="000000"/>
          <w:shd w:val="clear" w:color="auto" w:fill="FFFFFF"/>
        </w:rPr>
      </w:pPr>
      <w:r w:rsidRPr="00F17325">
        <w:rPr>
          <w:color w:val="000000"/>
          <w:shd w:val="clear" w:color="auto" w:fill="FFFFFF"/>
        </w:rPr>
        <w:t xml:space="preserve">Article 29(1)(a) of the CRC provides that signatories agree that the education of the child shall be directed to ‘[t]he development of the child’s personality, talents and mental and physical abilities to their fullest potential’. In that regard, the </w:t>
      </w:r>
      <w:r w:rsidR="009658CD" w:rsidRPr="00F17325">
        <w:rPr>
          <w:color w:val="000000"/>
          <w:shd w:val="clear" w:color="auto" w:fill="FFFFFF"/>
        </w:rPr>
        <w:t xml:space="preserve">Questacon </w:t>
      </w:r>
      <w:r w:rsidRPr="00F17325">
        <w:rPr>
          <w:color w:val="000000"/>
          <w:shd w:val="clear" w:color="auto" w:fill="FFFFFF"/>
        </w:rPr>
        <w:t xml:space="preserve">Cyber </w:t>
      </w:r>
      <w:r w:rsidR="00007687" w:rsidRPr="00F17325">
        <w:rPr>
          <w:color w:val="000000"/>
          <w:shd w:val="clear" w:color="auto" w:fill="FFFFFF"/>
        </w:rPr>
        <w:t xml:space="preserve">Ready </w:t>
      </w:r>
      <w:r w:rsidRPr="00F17325">
        <w:rPr>
          <w:color w:val="000000"/>
          <w:shd w:val="clear" w:color="auto" w:fill="FFFFFF"/>
        </w:rPr>
        <w:t xml:space="preserve">Stream will improve the knowledge of school students about cyber security. </w:t>
      </w:r>
    </w:p>
    <w:p w14:paraId="77AFA365" w14:textId="783631E3" w:rsidR="005D1E1D" w:rsidRPr="00F17325" w:rsidRDefault="00063E1E" w:rsidP="005D1E1D">
      <w:pPr>
        <w:pStyle w:val="NormalExplanatorystatement"/>
        <w:rPr>
          <w:color w:val="000000"/>
          <w:shd w:val="clear" w:color="auto" w:fill="FFFFFF"/>
        </w:rPr>
      </w:pPr>
      <w:r w:rsidRPr="00F17325">
        <w:rPr>
          <w:color w:val="000000"/>
          <w:shd w:val="clear" w:color="auto" w:fill="FFFFFF"/>
        </w:rPr>
        <w:t xml:space="preserve">Article 1(1) of </w:t>
      </w:r>
      <w:r w:rsidR="005D1E1D" w:rsidRPr="00F17325">
        <w:rPr>
          <w:color w:val="000000"/>
          <w:shd w:val="clear" w:color="auto" w:fill="FFFFFF"/>
        </w:rPr>
        <w:t>ILO Convention 122</w:t>
      </w:r>
      <w:r w:rsidRPr="00F17325">
        <w:rPr>
          <w:color w:val="000000"/>
          <w:shd w:val="clear" w:color="auto" w:fill="FFFFFF"/>
        </w:rPr>
        <w:t xml:space="preserve"> requires signatories to pursue ‘an active policy designed </w:t>
      </w:r>
      <w:r w:rsidR="005D1E1D" w:rsidRPr="00F17325">
        <w:rPr>
          <w:color w:val="000000"/>
          <w:shd w:val="clear" w:color="auto" w:fill="FFFFFF"/>
        </w:rPr>
        <w:t>to promote full, productive and freely chosen employment’ with a view to ‘meeting manpower requirements’</w:t>
      </w:r>
      <w:r w:rsidRPr="00F17325">
        <w:rPr>
          <w:color w:val="000000"/>
          <w:shd w:val="clear" w:color="auto" w:fill="FFFFFF"/>
        </w:rPr>
        <w:t xml:space="preserve">. </w:t>
      </w:r>
      <w:r w:rsidR="00ED46C9" w:rsidRPr="00F17325">
        <w:rPr>
          <w:color w:val="000000"/>
          <w:shd w:val="clear" w:color="auto" w:fill="FFFFFF"/>
        </w:rPr>
        <w:t>I</w:t>
      </w:r>
      <w:r w:rsidRPr="00F17325">
        <w:rPr>
          <w:color w:val="000000"/>
          <w:shd w:val="clear" w:color="auto" w:fill="FFFFFF"/>
        </w:rPr>
        <w:t>LO Convention 142 require signatories to adopt a comprehensive program of vocational guidance and training</w:t>
      </w:r>
      <w:r w:rsidR="00ED46C9" w:rsidRPr="00F17325">
        <w:rPr>
          <w:color w:val="000000"/>
          <w:shd w:val="clear" w:color="auto" w:fill="FFFFFF"/>
        </w:rPr>
        <w:t xml:space="preserve"> (Article 1(1)),</w:t>
      </w:r>
      <w:r w:rsidRPr="00F17325">
        <w:rPr>
          <w:color w:val="000000"/>
          <w:shd w:val="clear" w:color="auto" w:fill="FFFFFF"/>
        </w:rPr>
        <w:t xml:space="preserve"> </w:t>
      </w:r>
      <w:r w:rsidR="00ED46C9" w:rsidRPr="00F17325">
        <w:rPr>
          <w:color w:val="000000"/>
          <w:shd w:val="clear" w:color="auto" w:fill="FFFFFF"/>
        </w:rPr>
        <w:t>to</w:t>
      </w:r>
      <w:r w:rsidRPr="00F17325">
        <w:rPr>
          <w:color w:val="000000"/>
          <w:shd w:val="clear" w:color="auto" w:fill="FFFFFF"/>
        </w:rPr>
        <w:t xml:space="preserve"> develop open, flexible and complementary system of vocational edu</w:t>
      </w:r>
      <w:r w:rsidR="00ED46C9" w:rsidRPr="00F17325">
        <w:rPr>
          <w:color w:val="000000"/>
          <w:shd w:val="clear" w:color="auto" w:fill="FFFFFF"/>
        </w:rPr>
        <w:t>cation (Article 2), and to adapt and harmonise the vocational training system to meet the needs of people in all sectors of the economy (Article 4)</w:t>
      </w:r>
      <w:r w:rsidRPr="00F17325">
        <w:rPr>
          <w:color w:val="000000"/>
          <w:shd w:val="clear" w:color="auto" w:fill="FFFFFF"/>
        </w:rPr>
        <w:t xml:space="preserve">. </w:t>
      </w:r>
      <w:r w:rsidR="00ED46C9" w:rsidRPr="00F17325">
        <w:rPr>
          <w:color w:val="000000"/>
          <w:shd w:val="clear" w:color="auto" w:fill="FFFFFF"/>
        </w:rPr>
        <w:t xml:space="preserve">Article 6(2) of the ICESCR requires signatories to take steps to implement vocational guidance and training programs in order to achieve full and productive employment. In this regard, the Innovation Fund will </w:t>
      </w:r>
      <w:r w:rsidR="000B736A" w:rsidRPr="00F17325">
        <w:rPr>
          <w:color w:val="000000"/>
          <w:shd w:val="clear" w:color="auto" w:fill="FFFFFF"/>
        </w:rPr>
        <w:t>promote full and productive employment by providing vocational guidance and training programs to</w:t>
      </w:r>
      <w:r w:rsidR="005D1E1D" w:rsidRPr="00F17325">
        <w:rPr>
          <w:color w:val="000000"/>
          <w:shd w:val="clear" w:color="auto" w:fill="FFFFFF"/>
        </w:rPr>
        <w:t xml:space="preserve"> assist persons to become trained in cyber security.</w:t>
      </w:r>
    </w:p>
    <w:p w14:paraId="5237CEFA" w14:textId="1741153F" w:rsidR="0089588A" w:rsidRPr="00F17325" w:rsidRDefault="0089588A" w:rsidP="00F9431A">
      <w:pPr>
        <w:pStyle w:val="NormalExplanatorystatement"/>
        <w:rPr>
          <w:i/>
        </w:rPr>
      </w:pPr>
      <w:r w:rsidRPr="00F17325">
        <w:rPr>
          <w:i/>
        </w:rPr>
        <w:t>Student benefits</w:t>
      </w:r>
    </w:p>
    <w:p w14:paraId="1163EB37" w14:textId="3631CE5D" w:rsidR="0089588A" w:rsidRPr="00F17325" w:rsidRDefault="00E01D78" w:rsidP="00F9431A">
      <w:pPr>
        <w:pStyle w:val="NormalExplanatorystatement"/>
        <w:rPr>
          <w:color w:val="000000"/>
          <w:shd w:val="clear" w:color="auto" w:fill="FFFFFF"/>
        </w:rPr>
      </w:pPr>
      <w:r>
        <w:t>Section</w:t>
      </w:r>
      <w:r w:rsidRPr="00F17325">
        <w:t xml:space="preserve"> </w:t>
      </w:r>
      <w:r w:rsidR="0089588A" w:rsidRPr="00F17325">
        <w:t>51(xxiiiA)</w:t>
      </w:r>
      <w:r w:rsidR="0089588A" w:rsidRPr="00F17325">
        <w:rPr>
          <w:color w:val="000000"/>
          <w:shd w:val="clear" w:color="auto" w:fill="FFFFFF"/>
        </w:rPr>
        <w:t xml:space="preserve"> of the Constitution empowers the Parliament to make laws with respect to the provision of certain social welfare benefits and services, including ‘benefits to students’. </w:t>
      </w:r>
    </w:p>
    <w:p w14:paraId="36D8E030" w14:textId="19BB08CA" w:rsidR="0089588A" w:rsidRPr="00F17325" w:rsidRDefault="0089588A" w:rsidP="00F9431A">
      <w:pPr>
        <w:pStyle w:val="NormalExplanatorystatement"/>
      </w:pPr>
      <w:r w:rsidRPr="00F17325">
        <w:rPr>
          <w:color w:val="000000"/>
          <w:shd w:val="clear" w:color="auto" w:fill="FFFFFF"/>
        </w:rPr>
        <w:t>In that regard, grant funding provided under the Innovation Fund is intended to contribute to establishing new scholarships</w:t>
      </w:r>
      <w:r w:rsidR="005C11B1">
        <w:rPr>
          <w:color w:val="000000"/>
          <w:shd w:val="clear" w:color="auto" w:fill="FFFFFF"/>
        </w:rPr>
        <w:t xml:space="preserve"> for students</w:t>
      </w:r>
      <w:r w:rsidRPr="00F17325">
        <w:rPr>
          <w:color w:val="000000"/>
          <w:shd w:val="clear" w:color="auto" w:fill="FFFFFF"/>
        </w:rPr>
        <w:t xml:space="preserve"> which are aimed at improving the quantity, quality or pipeline of skilled cyber security professionals by enhancing partnerships between industry, employers, schools and tertiary providers. </w:t>
      </w:r>
    </w:p>
    <w:p w14:paraId="2C7720C3" w14:textId="343880CE" w:rsidR="00D603B2" w:rsidRPr="00F17325" w:rsidRDefault="00D603B2" w:rsidP="00D17E8E">
      <w:pPr>
        <w:pStyle w:val="NormalExplanatorystatement"/>
        <w:keepNext/>
        <w:rPr>
          <w:b/>
          <w:u w:val="single"/>
        </w:rPr>
      </w:pPr>
      <w:r w:rsidRPr="00F17325">
        <w:rPr>
          <w:b/>
          <w:u w:val="single"/>
        </w:rPr>
        <w:lastRenderedPageBreak/>
        <w:t>Authority</w:t>
      </w:r>
    </w:p>
    <w:p w14:paraId="713099F3" w14:textId="77777777" w:rsidR="00D603B2" w:rsidRPr="00F17325" w:rsidRDefault="00D603B2" w:rsidP="00007A20">
      <w:pPr>
        <w:pStyle w:val="NormalExplanatorystatement"/>
      </w:pPr>
      <w:r w:rsidRPr="00F17325">
        <w:t xml:space="preserve">Section 33 of the </w:t>
      </w:r>
      <w:r w:rsidRPr="00F17325">
        <w:rPr>
          <w:i/>
        </w:rPr>
        <w:t>Industry Research and Development Act 1986</w:t>
      </w:r>
      <w:r w:rsidRPr="00F17325">
        <w:t xml:space="preserve"> provides authority for the Legislative Instrument. </w:t>
      </w:r>
    </w:p>
    <w:p w14:paraId="708EF98F" w14:textId="77777777" w:rsidR="00D603B2" w:rsidRPr="00F17325" w:rsidRDefault="00D603B2" w:rsidP="00007A20">
      <w:pPr>
        <w:pStyle w:val="NormalExplanatorystatement"/>
        <w:rPr>
          <w:b/>
          <w:u w:val="single"/>
        </w:rPr>
      </w:pPr>
      <w:r w:rsidRPr="00F17325">
        <w:rPr>
          <w:b/>
          <w:u w:val="single"/>
        </w:rPr>
        <w:t>Consultation</w:t>
      </w:r>
    </w:p>
    <w:p w14:paraId="44C34629" w14:textId="2C84C88B" w:rsidR="00D603B2" w:rsidRPr="00F17325" w:rsidRDefault="00D603B2" w:rsidP="00007A20">
      <w:pPr>
        <w:pStyle w:val="NormalExplanatorystatement"/>
      </w:pPr>
      <w:r w:rsidRPr="00F17325">
        <w:t xml:space="preserve">In accordance with section 17 of the </w:t>
      </w:r>
      <w:r w:rsidRPr="00F17325">
        <w:rPr>
          <w:i/>
        </w:rPr>
        <w:t>Legislation Act 2003</w:t>
      </w:r>
      <w:r w:rsidRPr="00F17325">
        <w:t>, the Attorney-General’s Department has been consulted on this Legislative Instrument.</w:t>
      </w:r>
    </w:p>
    <w:p w14:paraId="4515BAD5" w14:textId="111EE25B" w:rsidR="0010286F" w:rsidRPr="00F17325" w:rsidRDefault="0010286F" w:rsidP="0010286F">
      <w:pPr>
        <w:pStyle w:val="NormalExplanatorystatement"/>
        <w:rPr>
          <w:rFonts w:eastAsia="Times New Roman"/>
          <w:lang w:val="en-US" w:eastAsia="en-AU"/>
        </w:rPr>
      </w:pPr>
      <w:r w:rsidRPr="00F17325">
        <w:rPr>
          <w:rFonts w:eastAsia="Times New Roman"/>
          <w:lang w:eastAsia="en-AU"/>
        </w:rPr>
        <w:t xml:space="preserve">In </w:t>
      </w:r>
      <w:r w:rsidRPr="00F17325">
        <w:t>the development of Cyber Security Skills Partnership Innovation Fund</w:t>
      </w:r>
      <w:r w:rsidRPr="00F17325">
        <w:rPr>
          <w:rFonts w:eastAsia="Times New Roman"/>
          <w:lang w:eastAsia="en-AU"/>
        </w:rPr>
        <w:t xml:space="preserve">, consultation was undertaken with the </w:t>
      </w:r>
      <w:r w:rsidR="00473BD4" w:rsidRPr="00473BD4">
        <w:rPr>
          <w:rFonts w:eastAsia="Times New Roman"/>
          <w:lang w:eastAsia="en-AU"/>
        </w:rPr>
        <w:t>Cyber Security Growth Centre (AustCyber)</w:t>
      </w:r>
      <w:r w:rsidR="003E1AB1">
        <w:rPr>
          <w:rFonts w:eastAsia="Times New Roman"/>
          <w:lang w:eastAsia="en-AU"/>
        </w:rPr>
        <w:t xml:space="preserve"> who represent Australia’s </w:t>
      </w:r>
      <w:r w:rsidR="00D17E8E">
        <w:rPr>
          <w:rFonts w:eastAsia="Times New Roman"/>
          <w:lang w:eastAsia="en-AU"/>
        </w:rPr>
        <w:t>c</w:t>
      </w:r>
      <w:r w:rsidR="003E1AB1">
        <w:rPr>
          <w:rFonts w:eastAsia="Times New Roman"/>
          <w:lang w:eastAsia="en-AU"/>
        </w:rPr>
        <w:t>yber security industry</w:t>
      </w:r>
      <w:r w:rsidR="00473BD4">
        <w:rPr>
          <w:rFonts w:eastAsia="Times New Roman"/>
          <w:lang w:eastAsia="en-AU"/>
        </w:rPr>
        <w:t xml:space="preserve">, the </w:t>
      </w:r>
      <w:r w:rsidRPr="00F17325">
        <w:rPr>
          <w:rFonts w:eastAsia="Times New Roman"/>
          <w:lang w:eastAsia="en-AU"/>
        </w:rPr>
        <w:t xml:space="preserve">Department of Home Affairs, the </w:t>
      </w:r>
      <w:r w:rsidR="004209B3" w:rsidRPr="00F17325">
        <w:rPr>
          <w:rFonts w:eastAsia="Times New Roman"/>
          <w:lang w:eastAsia="en-AU"/>
        </w:rPr>
        <w:t xml:space="preserve">Department of Defence, the Department of Education, Skills and </w:t>
      </w:r>
      <w:r w:rsidR="00762124" w:rsidRPr="00F17325">
        <w:rPr>
          <w:rFonts w:eastAsia="Times New Roman"/>
          <w:lang w:eastAsia="en-AU"/>
        </w:rPr>
        <w:t>Employment</w:t>
      </w:r>
      <w:r w:rsidR="004209B3" w:rsidRPr="00F17325">
        <w:rPr>
          <w:rFonts w:eastAsia="Times New Roman"/>
          <w:lang w:eastAsia="en-AU"/>
        </w:rPr>
        <w:t xml:space="preserve">, </w:t>
      </w:r>
      <w:r w:rsidRPr="00F17325">
        <w:rPr>
          <w:rFonts w:eastAsia="Times New Roman"/>
          <w:lang w:eastAsia="en-AU"/>
        </w:rPr>
        <w:t xml:space="preserve">the Department of Finance, </w:t>
      </w:r>
      <w:r w:rsidR="00D17E8E">
        <w:rPr>
          <w:rFonts w:eastAsia="Times New Roman"/>
          <w:lang w:eastAsia="en-AU"/>
        </w:rPr>
        <w:t xml:space="preserve">The </w:t>
      </w:r>
      <w:r w:rsidRPr="00F17325">
        <w:rPr>
          <w:rFonts w:eastAsia="Times New Roman"/>
          <w:lang w:eastAsia="en-AU"/>
        </w:rPr>
        <w:t>Treasury and the Department of the Prime Minister and Cabinet.</w:t>
      </w:r>
    </w:p>
    <w:p w14:paraId="126770DC" w14:textId="77777777" w:rsidR="00D603B2" w:rsidRPr="00F17325" w:rsidRDefault="00D603B2" w:rsidP="00007A20">
      <w:pPr>
        <w:pStyle w:val="NormalExplanatorystatement"/>
        <w:rPr>
          <w:b/>
          <w:u w:val="single"/>
        </w:rPr>
      </w:pPr>
      <w:r w:rsidRPr="00F17325">
        <w:rPr>
          <w:b/>
          <w:u w:val="single"/>
        </w:rPr>
        <w:t>Regulatory Impact</w:t>
      </w:r>
    </w:p>
    <w:p w14:paraId="21B47879" w14:textId="14B37B54" w:rsidR="00D603B2" w:rsidRPr="00F17325" w:rsidRDefault="00D603B2" w:rsidP="00007A20">
      <w:pPr>
        <w:pStyle w:val="NormalExplanatorystatement"/>
      </w:pPr>
      <w:r w:rsidRPr="00F17325">
        <w:t>It is estimated that the reg</w:t>
      </w:r>
      <w:r w:rsidR="0032172A" w:rsidRPr="00F17325">
        <w:t>ulatory burden is likely to be low. The initiatives in this measure are all voluntary</w:t>
      </w:r>
      <w:r w:rsidRPr="00F17325">
        <w:t xml:space="preserve"> (OBPR reference number</w:t>
      </w:r>
      <w:r w:rsidR="0032172A" w:rsidRPr="00F17325">
        <w:t>: 23883</w:t>
      </w:r>
      <w:r w:rsidRPr="00F17325">
        <w:t xml:space="preserve">). </w:t>
      </w:r>
    </w:p>
    <w:p w14:paraId="237E766D" w14:textId="77777777" w:rsidR="00D603B2" w:rsidRPr="00F17325" w:rsidRDefault="00D603B2" w:rsidP="00007A20">
      <w:pPr>
        <w:pStyle w:val="NormalExplanatorystatement"/>
      </w:pPr>
    </w:p>
    <w:p w14:paraId="4591FD7A" w14:textId="77777777" w:rsidR="00D603B2" w:rsidRPr="00F17325" w:rsidRDefault="00D603B2" w:rsidP="00007A20">
      <w:pPr>
        <w:pStyle w:val="NormalExplanatorystatement"/>
        <w:sectPr w:rsidR="00D603B2" w:rsidRPr="00F17325" w:rsidSect="00D603B2">
          <w:footerReference w:type="default" r:id="rId13"/>
          <w:pgSz w:w="11906" w:h="16838"/>
          <w:pgMar w:top="1440" w:right="1440" w:bottom="1440" w:left="1440" w:header="708" w:footer="708" w:gutter="0"/>
          <w:pgNumType w:start="1"/>
          <w:cols w:space="708"/>
          <w:docGrid w:linePitch="360"/>
        </w:sectPr>
      </w:pPr>
    </w:p>
    <w:p w14:paraId="74ED7748" w14:textId="334E683C" w:rsidR="00D603B2" w:rsidRPr="00F17325" w:rsidRDefault="00D603B2" w:rsidP="00007A20">
      <w:pPr>
        <w:pStyle w:val="NormalExplanatorystatement"/>
        <w:rPr>
          <w:b/>
          <w:u w:val="single"/>
        </w:rPr>
      </w:pPr>
      <w:r w:rsidRPr="00F17325">
        <w:rPr>
          <w:b/>
          <w:u w:val="single"/>
        </w:rPr>
        <w:lastRenderedPageBreak/>
        <w:t xml:space="preserve">Details of the </w:t>
      </w:r>
      <w:r w:rsidR="00BA7B55" w:rsidRPr="00F17325">
        <w:rPr>
          <w:b/>
          <w:i/>
          <w:u w:val="single"/>
        </w:rPr>
        <w:t>Industry Research and Development (Growing Australia’s Cyber Skills Program) Instrument 202</w:t>
      </w:r>
      <w:r w:rsidR="0089588A" w:rsidRPr="00F17325">
        <w:rPr>
          <w:b/>
          <w:i/>
          <w:u w:val="single"/>
        </w:rPr>
        <w:t>1</w:t>
      </w:r>
    </w:p>
    <w:p w14:paraId="5505F6F9" w14:textId="77777777" w:rsidR="00D603B2" w:rsidRPr="00F17325" w:rsidRDefault="00D603B2" w:rsidP="00007A20">
      <w:pPr>
        <w:pStyle w:val="NormalExplanatorystatement"/>
        <w:rPr>
          <w:b/>
        </w:rPr>
      </w:pPr>
      <w:r w:rsidRPr="00F17325">
        <w:rPr>
          <w:b/>
        </w:rPr>
        <w:t>PART 1 – PRELIMINARY</w:t>
      </w:r>
    </w:p>
    <w:p w14:paraId="60E084FF" w14:textId="77777777" w:rsidR="00D603B2" w:rsidRPr="00F17325" w:rsidRDefault="00D603B2" w:rsidP="00007A20">
      <w:pPr>
        <w:pStyle w:val="NormalExplanatorystatement"/>
        <w:rPr>
          <w:b/>
        </w:rPr>
      </w:pPr>
      <w:r w:rsidRPr="00F17325">
        <w:rPr>
          <w:b/>
        </w:rPr>
        <w:t>Section 1 – Name of Instrument</w:t>
      </w:r>
    </w:p>
    <w:p w14:paraId="205B22F9" w14:textId="16BAB54C" w:rsidR="00D603B2" w:rsidRPr="00F17325" w:rsidRDefault="00D603B2" w:rsidP="00007A20">
      <w:pPr>
        <w:pStyle w:val="NormalExplanatorystatement"/>
      </w:pPr>
      <w:r w:rsidRPr="00F17325">
        <w:t xml:space="preserve">This section specifies the name of the Legislative Instrument as the </w:t>
      </w:r>
      <w:r w:rsidR="00F05138" w:rsidRPr="00F17325">
        <w:rPr>
          <w:i/>
        </w:rPr>
        <w:t>Industry Research and Development (Growing Australia’s Cyber Skills Program) Instrument 202</w:t>
      </w:r>
      <w:r w:rsidR="0089588A" w:rsidRPr="00F17325">
        <w:rPr>
          <w:i/>
        </w:rPr>
        <w:t>1</w:t>
      </w:r>
      <w:r w:rsidRPr="00F17325">
        <w:rPr>
          <w:i/>
        </w:rPr>
        <w:t>.</w:t>
      </w:r>
    </w:p>
    <w:p w14:paraId="6359795B" w14:textId="77777777" w:rsidR="00D603B2" w:rsidRPr="00F17325" w:rsidRDefault="00D603B2" w:rsidP="00007A20">
      <w:pPr>
        <w:pStyle w:val="NormalExplanatorystatement"/>
        <w:rPr>
          <w:b/>
        </w:rPr>
      </w:pPr>
      <w:r w:rsidRPr="00F17325">
        <w:rPr>
          <w:b/>
        </w:rPr>
        <w:t>Section 2 – Commencement</w:t>
      </w:r>
    </w:p>
    <w:p w14:paraId="7A917C29" w14:textId="0A25EF45" w:rsidR="00D603B2" w:rsidRPr="00F17325" w:rsidRDefault="00D603B2" w:rsidP="00007A20">
      <w:pPr>
        <w:pStyle w:val="NormalExplanatorystatement"/>
      </w:pPr>
      <w:r w:rsidRPr="00F17325">
        <w:t xml:space="preserve">This section provides that the Legislative Instrument commences on the day after registration on the Federal Register of Legislation.  </w:t>
      </w:r>
    </w:p>
    <w:p w14:paraId="3A552482" w14:textId="77777777" w:rsidR="00D603B2" w:rsidRPr="00F17325" w:rsidRDefault="00D603B2" w:rsidP="00007A20">
      <w:pPr>
        <w:pStyle w:val="NormalExplanatorystatement"/>
        <w:rPr>
          <w:b/>
        </w:rPr>
      </w:pPr>
      <w:r w:rsidRPr="00F17325">
        <w:rPr>
          <w:b/>
        </w:rPr>
        <w:t>Section 3 – Authority</w:t>
      </w:r>
    </w:p>
    <w:p w14:paraId="6F66738E" w14:textId="77777777" w:rsidR="00D603B2" w:rsidRPr="00F17325" w:rsidRDefault="00D603B2" w:rsidP="00007A20">
      <w:pPr>
        <w:pStyle w:val="NormalExplanatorystatement"/>
      </w:pPr>
      <w:r w:rsidRPr="00F17325">
        <w:t xml:space="preserve">This section specifies the provision of the </w:t>
      </w:r>
      <w:r w:rsidRPr="00F17325">
        <w:rPr>
          <w:i/>
        </w:rPr>
        <w:t>Industry, Research and Development Act 1986</w:t>
      </w:r>
      <w:r w:rsidRPr="00F17325">
        <w:t xml:space="preserve"> (the Act) under which the Legislative Instrument is made. </w:t>
      </w:r>
    </w:p>
    <w:p w14:paraId="486BF0BE" w14:textId="77777777" w:rsidR="00D603B2" w:rsidRPr="00F17325" w:rsidRDefault="00D603B2" w:rsidP="00007A20">
      <w:pPr>
        <w:pStyle w:val="NormalExplanatorystatement"/>
        <w:rPr>
          <w:b/>
        </w:rPr>
      </w:pPr>
      <w:r w:rsidRPr="00F17325">
        <w:rPr>
          <w:b/>
        </w:rPr>
        <w:t>Section 4 – Definitions</w:t>
      </w:r>
    </w:p>
    <w:p w14:paraId="6FFF8110" w14:textId="77777777" w:rsidR="00D603B2" w:rsidRPr="00F17325" w:rsidRDefault="00D603B2" w:rsidP="00007A20">
      <w:pPr>
        <w:pStyle w:val="NormalExplanatorystatement"/>
      </w:pPr>
      <w:r w:rsidRPr="00F17325">
        <w:t>This item provides for definitions of terms used in the Legislative Instrument.</w:t>
      </w:r>
    </w:p>
    <w:p w14:paraId="38072D10" w14:textId="6945BC69" w:rsidR="00D603B2" w:rsidRPr="00F17325" w:rsidRDefault="00F05138" w:rsidP="00007A20">
      <w:pPr>
        <w:pStyle w:val="NormalExplanatorystatement"/>
        <w:rPr>
          <w:b/>
        </w:rPr>
      </w:pPr>
      <w:r w:rsidRPr="00F17325">
        <w:rPr>
          <w:b/>
        </w:rPr>
        <w:t xml:space="preserve">Section 5 – </w:t>
      </w:r>
      <w:r w:rsidR="00D603B2" w:rsidRPr="00F17325">
        <w:rPr>
          <w:b/>
        </w:rPr>
        <w:t>Prescribed Program</w:t>
      </w:r>
    </w:p>
    <w:p w14:paraId="46B44B92" w14:textId="77777777" w:rsidR="00B153E7" w:rsidRPr="00F17325" w:rsidRDefault="00B153E7" w:rsidP="00B153E7">
      <w:pPr>
        <w:pStyle w:val="NormalExplanatorystatement"/>
      </w:pPr>
      <w:r w:rsidRPr="00F17325">
        <w:t xml:space="preserve">This section prescribes the Growing Australia’s Cyber Skills Program for the purposes of section 33 of the Act. </w:t>
      </w:r>
    </w:p>
    <w:p w14:paraId="0DC3E7C0" w14:textId="477CD707" w:rsidR="00B153E7" w:rsidRPr="00F17325" w:rsidRDefault="00B153E7" w:rsidP="00B153E7">
      <w:pPr>
        <w:pStyle w:val="NormalExplanatorystatement"/>
      </w:pPr>
      <w:r w:rsidRPr="00F17325">
        <w:t xml:space="preserve">The Program consists of the Cyber Security Skills Partnerships Innovation Fund and </w:t>
      </w:r>
      <w:r w:rsidR="00FA6091" w:rsidRPr="00F17325">
        <w:t>a number of programs r</w:t>
      </w:r>
      <w:r w:rsidR="00FA6091" w:rsidRPr="00F17325">
        <w:rPr>
          <w:lang w:val="en-GB"/>
        </w:rPr>
        <w:t xml:space="preserve">un by Questacon </w:t>
      </w:r>
      <w:r w:rsidR="00FA6091" w:rsidRPr="00F17325">
        <w:rPr>
          <w:lang w:val="en-GB"/>
        </w:rPr>
        <w:noBreakHyphen/>
        <w:t xml:space="preserve"> The National Science and Technology Centre</w:t>
      </w:r>
      <w:r w:rsidR="00FA6091" w:rsidRPr="00F17325">
        <w:t xml:space="preserve"> (Questacon) designed to prepare primary, secondary and tertiary students for a career in cyber security</w:t>
      </w:r>
      <w:r w:rsidR="00FA6091" w:rsidRPr="00F17325">
        <w:rPr>
          <w:lang w:val="en-GB"/>
        </w:rPr>
        <w:t xml:space="preserve"> </w:t>
      </w:r>
      <w:r w:rsidR="00FA6091" w:rsidRPr="00F17325">
        <w:t>(Questacon</w:t>
      </w:r>
      <w:r w:rsidR="009658CD" w:rsidRPr="00F17325">
        <w:t xml:space="preserve"> </w:t>
      </w:r>
      <w:r w:rsidRPr="00F17325">
        <w:t xml:space="preserve">Cyber </w:t>
      </w:r>
      <w:r w:rsidR="00007687" w:rsidRPr="00F17325">
        <w:t xml:space="preserve">Ready </w:t>
      </w:r>
      <w:r w:rsidRPr="00F17325">
        <w:t>Stream</w:t>
      </w:r>
      <w:r w:rsidR="00FA6091" w:rsidRPr="00F17325">
        <w:t>).</w:t>
      </w:r>
    </w:p>
    <w:p w14:paraId="6ABA1F39" w14:textId="76B2372C" w:rsidR="00574FFA" w:rsidRPr="00F17325" w:rsidRDefault="00D603B2" w:rsidP="00007A20">
      <w:pPr>
        <w:pStyle w:val="NormalExplanatorystatement"/>
      </w:pPr>
      <w:r w:rsidRPr="00F17325">
        <w:t xml:space="preserve">The </w:t>
      </w:r>
      <w:r w:rsidR="002541DB" w:rsidRPr="00F17325">
        <w:t xml:space="preserve">Cyber Security Skills Partnership Innovation Fund </w:t>
      </w:r>
      <w:r w:rsidRPr="00F17325">
        <w:t xml:space="preserve">provides </w:t>
      </w:r>
      <w:r w:rsidR="00F05138" w:rsidRPr="00F17325">
        <w:t xml:space="preserve">funding </w:t>
      </w:r>
      <w:r w:rsidR="00574FFA" w:rsidRPr="00F17325">
        <w:t>to organisations for the purposes of:</w:t>
      </w:r>
    </w:p>
    <w:p w14:paraId="7D3AC240" w14:textId="673F864E" w:rsidR="00D603B2" w:rsidRPr="00F17325" w:rsidRDefault="00574FFA" w:rsidP="00B153E7">
      <w:pPr>
        <w:pStyle w:val="NormalExplanatorystatement"/>
        <w:numPr>
          <w:ilvl w:val="0"/>
          <w:numId w:val="10"/>
        </w:numPr>
        <w:spacing w:before="0" w:after="0" w:line="240" w:lineRule="auto"/>
        <w:ind w:left="357" w:hanging="357"/>
      </w:pPr>
      <w:r w:rsidRPr="00F17325">
        <w:t xml:space="preserve">improving the quality or quantity of cyber security professionals in Australia, including increasing </w:t>
      </w:r>
      <w:r w:rsidR="00F05138" w:rsidRPr="00F17325">
        <w:t>the participation of women in cybe</w:t>
      </w:r>
      <w:r w:rsidRPr="00F17325">
        <w:t>r security</w:t>
      </w:r>
    </w:p>
    <w:p w14:paraId="1AC3B409" w14:textId="6CE808A9" w:rsidR="00574FFA" w:rsidRPr="00F17325" w:rsidRDefault="00574FFA" w:rsidP="00B153E7">
      <w:pPr>
        <w:pStyle w:val="NormalExplanatorystatement"/>
        <w:numPr>
          <w:ilvl w:val="0"/>
          <w:numId w:val="10"/>
        </w:numPr>
        <w:spacing w:before="0" w:after="0" w:line="240" w:lineRule="auto"/>
        <w:ind w:left="357" w:hanging="357"/>
      </w:pPr>
      <w:r w:rsidRPr="00F17325">
        <w:t>improving collaboration between industry and the education sector to build the quality and availability of cyber security professionals in Australia</w:t>
      </w:r>
    </w:p>
    <w:p w14:paraId="7EDD88FE" w14:textId="246F9334" w:rsidR="002541DB" w:rsidRPr="00F17325" w:rsidRDefault="00574FFA" w:rsidP="002541DB">
      <w:pPr>
        <w:pStyle w:val="NormalExplanatorystatement"/>
        <w:numPr>
          <w:ilvl w:val="0"/>
          <w:numId w:val="10"/>
        </w:numPr>
        <w:spacing w:before="0" w:after="0" w:line="240" w:lineRule="auto"/>
        <w:ind w:left="357" w:hanging="357"/>
      </w:pPr>
      <w:r w:rsidRPr="00F17325">
        <w:t>supporting industry and academia to build Australia’s future pipeline of skilled cyber security professionals.</w:t>
      </w:r>
    </w:p>
    <w:p w14:paraId="582C72A2" w14:textId="2DFB991C" w:rsidR="00B153E7" w:rsidRPr="00F17325" w:rsidRDefault="00FA6091" w:rsidP="00D17E8E">
      <w:pPr>
        <w:pStyle w:val="NormalExplanatorystatement"/>
      </w:pPr>
      <w:r w:rsidRPr="00F17325">
        <w:t>Questacon</w:t>
      </w:r>
      <w:r w:rsidR="00B153E7" w:rsidRPr="00F17325">
        <w:t xml:space="preserve"> will deliver a number of programs under</w:t>
      </w:r>
      <w:r w:rsidRPr="00F17325">
        <w:t xml:space="preserve"> the Questacon Cyber Ready </w:t>
      </w:r>
      <w:r w:rsidR="00102F8E">
        <w:t>Stream</w:t>
      </w:r>
      <w:r w:rsidRPr="00F17325">
        <w:t xml:space="preserve"> which are</w:t>
      </w:r>
      <w:r w:rsidR="00A91F24" w:rsidRPr="00F17325">
        <w:t xml:space="preserve"> designed to prepare primary, secondary and tertiary students for a career in cyber security</w:t>
      </w:r>
      <w:r w:rsidR="00B153E7" w:rsidRPr="00F17325">
        <w:t xml:space="preserve">. These programs will focus on the integration of key cross-disciplinary skills </w:t>
      </w:r>
      <w:r w:rsidR="00B153E7" w:rsidRPr="00F17325">
        <w:lastRenderedPageBreak/>
        <w:t>including problem solving, design thinking and teamwork to help build our future workforce, reflecting the fact that a cyber security career is not dependent on ICT qualification.</w:t>
      </w:r>
    </w:p>
    <w:p w14:paraId="523B0ADC" w14:textId="5A203DD3" w:rsidR="00D603B2" w:rsidRPr="00F17325" w:rsidRDefault="00351CDF" w:rsidP="00007A20">
      <w:pPr>
        <w:pStyle w:val="NormalExplanatorystatement"/>
        <w:rPr>
          <w:b/>
        </w:rPr>
      </w:pPr>
      <w:r w:rsidRPr="00F17325">
        <w:rPr>
          <w:b/>
        </w:rPr>
        <w:t xml:space="preserve">Section 6 – </w:t>
      </w:r>
      <w:r w:rsidR="00D603B2" w:rsidRPr="00F17325">
        <w:rPr>
          <w:b/>
        </w:rPr>
        <w:t>Specified Legislative Power</w:t>
      </w:r>
    </w:p>
    <w:p w14:paraId="12ED3384" w14:textId="10C85D78" w:rsidR="0089588A" w:rsidRPr="00F17325" w:rsidRDefault="00D603B2" w:rsidP="00007A20">
      <w:pPr>
        <w:pStyle w:val="NormalExplanatorystatement"/>
      </w:pPr>
      <w:r w:rsidRPr="00F17325">
        <w:t>This section specifies that the legislative power</w:t>
      </w:r>
      <w:r w:rsidR="0089588A" w:rsidRPr="00F17325">
        <w:t>s</w:t>
      </w:r>
      <w:r w:rsidRPr="00F17325">
        <w:t xml:space="preserve"> in respect of which the Legislative Instrument is made </w:t>
      </w:r>
      <w:r w:rsidR="0089588A" w:rsidRPr="00F17325">
        <w:t>are:</w:t>
      </w:r>
    </w:p>
    <w:p w14:paraId="5A5E658B" w14:textId="2FC69CB4" w:rsidR="0089588A" w:rsidRPr="00F17325" w:rsidRDefault="0089588A" w:rsidP="00B153E7">
      <w:pPr>
        <w:pStyle w:val="NormalExplanatorystatement"/>
        <w:numPr>
          <w:ilvl w:val="0"/>
          <w:numId w:val="10"/>
        </w:numPr>
        <w:spacing w:before="0" w:after="0" w:line="240" w:lineRule="auto"/>
        <w:ind w:left="357" w:hanging="357"/>
      </w:pPr>
      <w:r w:rsidRPr="00F17325">
        <w:t xml:space="preserve">postal, telegraphic, telephonic and other like services (within the meaning of </w:t>
      </w:r>
      <w:r w:rsidR="00E01D78">
        <w:t>section</w:t>
      </w:r>
      <w:r w:rsidR="00E01D78" w:rsidRPr="00F17325">
        <w:t xml:space="preserve"> </w:t>
      </w:r>
      <w:r w:rsidRPr="00F17325">
        <w:t>51(v) of the Constitution);</w:t>
      </w:r>
    </w:p>
    <w:p w14:paraId="726A7224" w14:textId="717673D6" w:rsidR="0089588A" w:rsidRPr="00F17325" w:rsidRDefault="0089588A" w:rsidP="00B153E7">
      <w:pPr>
        <w:pStyle w:val="NormalExplanatorystatement"/>
        <w:numPr>
          <w:ilvl w:val="0"/>
          <w:numId w:val="10"/>
        </w:numPr>
        <w:spacing w:before="0" w:after="0" w:line="240" w:lineRule="auto"/>
        <w:ind w:left="357" w:hanging="357"/>
      </w:pPr>
      <w:r w:rsidRPr="00F17325">
        <w:t xml:space="preserve">the provision of benefits to students (within the meaning of </w:t>
      </w:r>
      <w:r w:rsidR="00E01D78">
        <w:t>section</w:t>
      </w:r>
      <w:r w:rsidR="00E01D78" w:rsidRPr="00F17325">
        <w:t xml:space="preserve"> </w:t>
      </w:r>
      <w:r w:rsidRPr="00F17325">
        <w:t>s 51(xxiiiA) of the Constitution);</w:t>
      </w:r>
    </w:p>
    <w:p w14:paraId="78A9B773" w14:textId="6846DFC3" w:rsidR="0089588A" w:rsidRPr="00F17325" w:rsidRDefault="0089588A" w:rsidP="00B153E7">
      <w:pPr>
        <w:pStyle w:val="NormalExplanatorystatement"/>
        <w:numPr>
          <w:ilvl w:val="0"/>
          <w:numId w:val="10"/>
        </w:numPr>
        <w:spacing w:before="0" w:after="0" w:line="240" w:lineRule="auto"/>
        <w:ind w:left="357" w:hanging="357"/>
      </w:pPr>
      <w:r w:rsidRPr="00F17325">
        <w:t xml:space="preserve">external affairs (within the meaning of </w:t>
      </w:r>
      <w:r w:rsidR="00E01D78">
        <w:t>section</w:t>
      </w:r>
      <w:r w:rsidR="00E01D78" w:rsidRPr="00F17325">
        <w:t xml:space="preserve"> </w:t>
      </w:r>
      <w:r w:rsidRPr="00F17325">
        <w:t>51(xxix) of the Constitution);</w:t>
      </w:r>
    </w:p>
    <w:p w14:paraId="6EAABDC1" w14:textId="7401FCB0" w:rsidR="0089588A" w:rsidRPr="00F17325" w:rsidRDefault="0089588A" w:rsidP="00B153E7">
      <w:pPr>
        <w:pStyle w:val="NormalExplanatorystatement"/>
        <w:numPr>
          <w:ilvl w:val="0"/>
          <w:numId w:val="10"/>
        </w:numPr>
        <w:spacing w:before="0" w:after="0" w:line="240" w:lineRule="auto"/>
        <w:ind w:left="357" w:hanging="357"/>
      </w:pPr>
      <w:r w:rsidRPr="00F17325">
        <w:t>the government of a Territory (within the meaning of section 122 of the Constitution</w:t>
      </w:r>
      <w:r w:rsidR="005C11B1">
        <w:t>)</w:t>
      </w:r>
      <w:r w:rsidRPr="00F17325">
        <w:t>; and</w:t>
      </w:r>
    </w:p>
    <w:p w14:paraId="532E24FF" w14:textId="020321F9" w:rsidR="00D603B2" w:rsidRPr="00F17325" w:rsidRDefault="0089588A" w:rsidP="00B153E7">
      <w:pPr>
        <w:pStyle w:val="NormalExplanatorystatement"/>
        <w:numPr>
          <w:ilvl w:val="0"/>
          <w:numId w:val="10"/>
        </w:numPr>
        <w:spacing w:before="0" w:after="0" w:line="240" w:lineRule="auto"/>
        <w:ind w:left="357" w:hanging="357"/>
      </w:pPr>
      <w:r w:rsidRPr="00F17325">
        <w:t xml:space="preserve">measures that are peculiarly adapted to the government of a nation and cannot otherwise be carried on for the benefit of the nation other than by the Commonwealth (section 61 and </w:t>
      </w:r>
      <w:r w:rsidR="00E01D78">
        <w:t>section</w:t>
      </w:r>
      <w:r w:rsidR="00E01D78" w:rsidRPr="00F17325">
        <w:t xml:space="preserve"> </w:t>
      </w:r>
      <w:r w:rsidRPr="00F17325">
        <w:t>51(xxxix) of the Constitution).</w:t>
      </w:r>
      <w:r w:rsidRPr="00F17325" w:rsidDel="0089588A">
        <w:t xml:space="preserve"> </w:t>
      </w:r>
    </w:p>
    <w:p w14:paraId="2C4E31E4" w14:textId="77777777" w:rsidR="00D603B2" w:rsidRPr="00F17325" w:rsidRDefault="00D603B2" w:rsidP="00007A20">
      <w:pPr>
        <w:pStyle w:val="NormalExplanatorystatement"/>
        <w:sectPr w:rsidR="00D603B2" w:rsidRPr="00F17325">
          <w:pgSz w:w="11906" w:h="16838"/>
          <w:pgMar w:top="1440" w:right="1440" w:bottom="1440" w:left="1440" w:header="708" w:footer="708" w:gutter="0"/>
          <w:cols w:space="708"/>
          <w:docGrid w:linePitch="360"/>
        </w:sectPr>
      </w:pPr>
    </w:p>
    <w:p w14:paraId="4EDCB6D8" w14:textId="77777777" w:rsidR="00D603B2" w:rsidRPr="00F17325" w:rsidRDefault="00D603B2" w:rsidP="00007A20">
      <w:pPr>
        <w:pStyle w:val="NormalExplanatorystatement"/>
        <w:jc w:val="center"/>
        <w:rPr>
          <w:b/>
          <w:sz w:val="28"/>
          <w:szCs w:val="28"/>
        </w:rPr>
      </w:pPr>
      <w:r w:rsidRPr="00F17325">
        <w:rPr>
          <w:b/>
          <w:sz w:val="28"/>
          <w:szCs w:val="28"/>
        </w:rPr>
        <w:lastRenderedPageBreak/>
        <w:t>Statement of Compatibility with Human Rights</w:t>
      </w:r>
    </w:p>
    <w:p w14:paraId="045F4D18" w14:textId="77777777" w:rsidR="00D603B2" w:rsidRPr="00F17325" w:rsidRDefault="00D603B2" w:rsidP="00007A20">
      <w:pPr>
        <w:pStyle w:val="NormalExplanatorystatement"/>
        <w:jc w:val="center"/>
      </w:pPr>
      <w:r w:rsidRPr="00F17325">
        <w:rPr>
          <w:i/>
        </w:rPr>
        <w:t>Prepared in accordance with Part 3 of the Human Rights (Parliamentary Scrutiny) Act 2011</w:t>
      </w:r>
    </w:p>
    <w:p w14:paraId="571D5647" w14:textId="5481640D" w:rsidR="00D603B2" w:rsidRPr="00F17325" w:rsidRDefault="00300E62" w:rsidP="00007A20">
      <w:pPr>
        <w:pStyle w:val="NormalExplanatorystatement"/>
        <w:jc w:val="center"/>
        <w:rPr>
          <w:i/>
        </w:rPr>
      </w:pPr>
      <w:r w:rsidRPr="00F17325">
        <w:rPr>
          <w:i/>
        </w:rPr>
        <w:t>Industry Research and Development (Growing Australia’s Cyber Skills Program) Instrument 202</w:t>
      </w:r>
      <w:r w:rsidR="0089588A" w:rsidRPr="00F17325">
        <w:rPr>
          <w:i/>
        </w:rPr>
        <w:t>1</w:t>
      </w:r>
    </w:p>
    <w:p w14:paraId="1B83C35A" w14:textId="77777777" w:rsidR="00D603B2" w:rsidRPr="00F17325" w:rsidRDefault="00D603B2" w:rsidP="00007A20">
      <w:pPr>
        <w:pStyle w:val="NormalExplanatorystatement"/>
        <w:jc w:val="center"/>
      </w:pPr>
      <w:r w:rsidRPr="00F17325">
        <w:t xml:space="preserve">This Legislative Instrument is compatible with the human rights and freedoms recognised or declared in the international instruments listed in section 3 of the </w:t>
      </w:r>
      <w:r w:rsidRPr="00F17325">
        <w:rPr>
          <w:i/>
        </w:rPr>
        <w:t>Human Rights (Parliamentary Scrutiny) Act 2011</w:t>
      </w:r>
      <w:r w:rsidRPr="00F17325">
        <w:t>.</w:t>
      </w:r>
    </w:p>
    <w:p w14:paraId="37FC13CF" w14:textId="77777777" w:rsidR="00D603B2" w:rsidRPr="00F17325" w:rsidRDefault="00D603B2" w:rsidP="00007A20">
      <w:pPr>
        <w:pStyle w:val="NormalExplanatorystatement"/>
        <w:rPr>
          <w:b/>
        </w:rPr>
      </w:pPr>
      <w:r w:rsidRPr="00F17325">
        <w:rPr>
          <w:b/>
        </w:rPr>
        <w:t>Overview of the Legislative Instrument</w:t>
      </w:r>
    </w:p>
    <w:p w14:paraId="2D92D7C0" w14:textId="5C110FAF" w:rsidR="00EC4674" w:rsidRPr="00F17325" w:rsidRDefault="00EC4674" w:rsidP="00EC4674">
      <w:pPr>
        <w:pStyle w:val="NormalExplanatorystatement"/>
      </w:pPr>
      <w:r w:rsidRPr="00F17325">
        <w:t>The Growing Australia’s Cyber Skills Program</w:t>
      </w:r>
      <w:r w:rsidR="00950E9A" w:rsidRPr="00F17325">
        <w:t xml:space="preserve"> (the Program)</w:t>
      </w:r>
      <w:r w:rsidRPr="00F17325">
        <w:t xml:space="preserve"> consists of two elements:</w:t>
      </w:r>
    </w:p>
    <w:p w14:paraId="756BBEC8" w14:textId="01A99D25" w:rsidR="00EC4674" w:rsidRPr="00F17325" w:rsidRDefault="00EC4674" w:rsidP="00B153E7">
      <w:pPr>
        <w:pStyle w:val="NormalExplanatorystatement"/>
        <w:numPr>
          <w:ilvl w:val="0"/>
          <w:numId w:val="12"/>
        </w:numPr>
      </w:pPr>
      <w:r w:rsidRPr="00F17325">
        <w:t>Cyber Security Skills Partnership Innovation Fund</w:t>
      </w:r>
      <w:r w:rsidR="00950E9A" w:rsidRPr="00F17325">
        <w:t xml:space="preserve"> (Innovation Fund)</w:t>
      </w:r>
    </w:p>
    <w:p w14:paraId="468D6BB6" w14:textId="6E053D09" w:rsidR="00EC4674" w:rsidRPr="00F17325" w:rsidRDefault="00A91F24" w:rsidP="00B153E7">
      <w:pPr>
        <w:pStyle w:val="NormalExplanatorystatement"/>
        <w:numPr>
          <w:ilvl w:val="0"/>
          <w:numId w:val="12"/>
        </w:numPr>
      </w:pPr>
      <w:r w:rsidRPr="00F17325">
        <w:t>Questacon Cyber Ready Stream</w:t>
      </w:r>
    </w:p>
    <w:p w14:paraId="7A2BA98E" w14:textId="3ACD7C2C" w:rsidR="00997D1E" w:rsidRPr="00F17325" w:rsidRDefault="0064321F">
      <w:pPr>
        <w:pStyle w:val="NormalExplanatorystatement"/>
      </w:pPr>
      <w:r w:rsidRPr="00F17325">
        <w:t xml:space="preserve">The </w:t>
      </w:r>
      <w:r w:rsidR="0032172A" w:rsidRPr="00F17325">
        <w:t>Innovation Fund provides $25.3</w:t>
      </w:r>
      <w:r w:rsidRPr="00F17325">
        <w:t xml:space="preserve"> million </w:t>
      </w:r>
      <w:r w:rsidR="00007687" w:rsidRPr="00F17325">
        <w:t>of</w:t>
      </w:r>
      <w:r w:rsidR="0010286F" w:rsidRPr="00F17325">
        <w:t xml:space="preserve"> grant funding </w:t>
      </w:r>
      <w:r w:rsidRPr="00F17325">
        <w:t xml:space="preserve">as part of Australia’s commitment to </w:t>
      </w:r>
      <w:r w:rsidR="00997D1E" w:rsidRPr="00F17325">
        <w:t xml:space="preserve">to improve the quality and availability of cyber security professionals in Australia, including increasing the participation of women in cyber security. </w:t>
      </w:r>
    </w:p>
    <w:p w14:paraId="6F431188" w14:textId="77777777" w:rsidR="00053C0E" w:rsidRPr="00F17325" w:rsidRDefault="00053C0E" w:rsidP="00B153E7">
      <w:pPr>
        <w:pStyle w:val="NormalExplanatorystatement"/>
      </w:pPr>
      <w:r w:rsidRPr="00F17325">
        <w:t xml:space="preserve">The Innovation Fund will fund innovative industry-led projects which meet the needs of local communities and areas, and are designed in partnership with industry, education providers and government, to remove barriers to cyber security education and employment. </w:t>
      </w:r>
    </w:p>
    <w:p w14:paraId="0FAA5F20" w14:textId="75B97B24" w:rsidR="00B153E7" w:rsidRDefault="00B153E7" w:rsidP="00B153E7">
      <w:pPr>
        <w:pStyle w:val="NormalExplanatorystatement"/>
      </w:pPr>
      <w:r w:rsidRPr="00F17325">
        <w:t>Questacon - The National Science and Technology Centre (Questacon) will deliver a number of program</w:t>
      </w:r>
      <w:r w:rsidR="00A91F24" w:rsidRPr="00F17325">
        <w:t xml:space="preserve">s designed to prepare primary, secondary and tertiary students for a career in cyber security </w:t>
      </w:r>
      <w:r w:rsidRPr="00F17325">
        <w:t xml:space="preserve">under the </w:t>
      </w:r>
      <w:r w:rsidR="009658CD" w:rsidRPr="00F17325">
        <w:t xml:space="preserve">Questacon </w:t>
      </w:r>
      <w:r w:rsidRPr="00F17325">
        <w:t xml:space="preserve">Cyber </w:t>
      </w:r>
      <w:r w:rsidR="00007687" w:rsidRPr="00F17325">
        <w:t>Ready</w:t>
      </w:r>
      <w:r w:rsidRPr="00F17325">
        <w:t xml:space="preserve"> Stream. These programs will focus on the integration of key cross-disciplinary skills including problem solving, design thinking and teamwork to help build our future workforce, reflecting the fact that a cyber security career is not dependent on ICT qualification.</w:t>
      </w:r>
      <w:r>
        <w:t xml:space="preserve"> </w:t>
      </w:r>
    </w:p>
    <w:p w14:paraId="1CC56D06" w14:textId="422BC0F7" w:rsidR="00EC4674" w:rsidRPr="00EC4674" w:rsidRDefault="0032172A" w:rsidP="00894F8A">
      <w:pPr>
        <w:pStyle w:val="NormalExplanatorystatement"/>
      </w:pPr>
      <w:r>
        <w:t>Questacon’s programs will reach out nationally and across remote and regional Australia to engage young people and educators with accessible, high quality cyber STEM programs. The national reach reflects the growth in the cyber security sector across Australia, with cyber security careers being geographically unbound, and as accessible for regional and remote workers as for those in metropolitan Australia.</w:t>
      </w:r>
    </w:p>
    <w:p w14:paraId="375552F7" w14:textId="2835864A" w:rsidR="00D603B2" w:rsidRPr="00007A20" w:rsidRDefault="00D603B2" w:rsidP="00007A20">
      <w:pPr>
        <w:pStyle w:val="NormalExplanatorystatement"/>
        <w:rPr>
          <w:b/>
        </w:rPr>
      </w:pPr>
      <w:r w:rsidRPr="00007A20">
        <w:rPr>
          <w:b/>
        </w:rPr>
        <w:t>Human rights implications</w:t>
      </w:r>
    </w:p>
    <w:p w14:paraId="6361B18B" w14:textId="2F68EF42" w:rsidR="00950E9A" w:rsidRDefault="00950E9A" w:rsidP="00007A20">
      <w:pPr>
        <w:pStyle w:val="NormalExplanatorystatement"/>
      </w:pPr>
      <w:r>
        <w:t>This Legislative Instrument engages the following rights:</w:t>
      </w:r>
    </w:p>
    <w:p w14:paraId="10A79F51" w14:textId="77777777" w:rsidR="00950E9A" w:rsidRPr="0010286F" w:rsidRDefault="00950E9A" w:rsidP="00B153E7">
      <w:pPr>
        <w:pStyle w:val="NormalExplanatorystatement"/>
        <w:numPr>
          <w:ilvl w:val="0"/>
          <w:numId w:val="10"/>
        </w:numPr>
        <w:spacing w:before="0" w:after="0" w:line="240" w:lineRule="auto"/>
        <w:ind w:left="357" w:hanging="357"/>
      </w:pPr>
      <w:r w:rsidRPr="0010286F">
        <w:t>The right to education – article 28 of the Convention on the Rights of the Child [1991] ATS 4 (the CRC);</w:t>
      </w:r>
    </w:p>
    <w:p w14:paraId="430270ED" w14:textId="5EE99CCC" w:rsidR="00950E9A" w:rsidRPr="0010286F" w:rsidRDefault="00950E9A" w:rsidP="00B153E7">
      <w:pPr>
        <w:pStyle w:val="NormalExplanatorystatement"/>
        <w:numPr>
          <w:ilvl w:val="0"/>
          <w:numId w:val="10"/>
        </w:numPr>
        <w:spacing w:before="0" w:after="0" w:line="240" w:lineRule="auto"/>
        <w:ind w:left="357" w:hanging="357"/>
      </w:pPr>
      <w:r w:rsidRPr="0010286F">
        <w:lastRenderedPageBreak/>
        <w:t xml:space="preserve">The right to work - </w:t>
      </w:r>
      <w:r w:rsidR="005C3AD0">
        <w:t>a</w:t>
      </w:r>
      <w:r w:rsidR="005C3AD0">
        <w:rPr>
          <w:color w:val="000000"/>
          <w:shd w:val="clear" w:color="auto" w:fill="FFFFFF"/>
        </w:rPr>
        <w:t xml:space="preserve">rticle 6(2) of </w:t>
      </w:r>
      <w:r w:rsidRPr="0010286F">
        <w:t>the International Covenant on Economic, Social and Cultural Rights [1976] ATS 5 (ICESCR).</w:t>
      </w:r>
    </w:p>
    <w:p w14:paraId="67E6CB58" w14:textId="6EE0B2D4" w:rsidR="00950E9A" w:rsidRPr="0010286F" w:rsidRDefault="00950E9A" w:rsidP="00B153E7">
      <w:pPr>
        <w:pStyle w:val="NormalExplanatorystatement"/>
        <w:numPr>
          <w:ilvl w:val="0"/>
          <w:numId w:val="10"/>
        </w:numPr>
        <w:spacing w:before="0" w:after="0" w:line="240" w:lineRule="auto"/>
        <w:ind w:left="357" w:hanging="357"/>
      </w:pPr>
      <w:r w:rsidRPr="0010286F">
        <w:t>The right to equality and non-discrimination – article 10 of the Convention on the Elimination of all Forms of Discrimination against Women (CEDAW)</w:t>
      </w:r>
    </w:p>
    <w:p w14:paraId="5A5B5961" w14:textId="7D80C244" w:rsidR="00950E9A" w:rsidRPr="0010286F" w:rsidRDefault="00950E9A" w:rsidP="00007A20">
      <w:pPr>
        <w:pStyle w:val="NormalExplanatorystatement"/>
        <w:rPr>
          <w:i/>
        </w:rPr>
      </w:pPr>
      <w:r w:rsidRPr="0010286F">
        <w:rPr>
          <w:i/>
        </w:rPr>
        <w:t>The right to education</w:t>
      </w:r>
    </w:p>
    <w:p w14:paraId="5CEA5175" w14:textId="77777777" w:rsidR="00950E9A" w:rsidRDefault="00950E9A" w:rsidP="00950E9A">
      <w:pPr>
        <w:pStyle w:val="NormalExplanatorystatement"/>
      </w:pPr>
      <w:r>
        <w:t>Article 28 of the CRC recognises the right of the child to education.</w:t>
      </w:r>
    </w:p>
    <w:p w14:paraId="02EFD39E" w14:textId="42512FA2" w:rsidR="00B153E7" w:rsidRDefault="00B153E7" w:rsidP="00B153E7">
      <w:pPr>
        <w:pStyle w:val="NormalExplanatorystatement"/>
      </w:pPr>
      <w:r>
        <w:t xml:space="preserve">The </w:t>
      </w:r>
      <w:r w:rsidR="009658CD">
        <w:t xml:space="preserve">Questacon </w:t>
      </w:r>
      <w:r w:rsidRPr="007044D8">
        <w:t xml:space="preserve">Cyber </w:t>
      </w:r>
      <w:r w:rsidR="00A91F24" w:rsidRPr="007044D8">
        <w:t xml:space="preserve">Ready </w:t>
      </w:r>
      <w:r w:rsidRPr="007044D8">
        <w:t>Stream element</w:t>
      </w:r>
      <w:r>
        <w:t xml:space="preserve"> of the Program directly engages this right by providing additional opportunities for STEM engagement, which will provide educational benefits, directed at students and youth.</w:t>
      </w:r>
    </w:p>
    <w:p w14:paraId="13BDC49A" w14:textId="0224910D" w:rsidR="00711C7A" w:rsidRPr="0010286F" w:rsidRDefault="00950E9A" w:rsidP="00950E9A">
      <w:pPr>
        <w:pStyle w:val="NormalExplanatorystatement"/>
        <w:rPr>
          <w:i/>
        </w:rPr>
      </w:pPr>
      <w:r>
        <w:rPr>
          <w:i/>
        </w:rPr>
        <w:t>The right to work</w:t>
      </w:r>
    </w:p>
    <w:p w14:paraId="37AA4DE4" w14:textId="61D87A68" w:rsidR="00B153E7" w:rsidRDefault="00B153E7" w:rsidP="00B153E7">
      <w:pPr>
        <w:pStyle w:val="NormalExplanatorystatement"/>
        <w:rPr>
          <w:color w:val="000000"/>
          <w:shd w:val="clear" w:color="auto" w:fill="FFFFFF"/>
        </w:rPr>
      </w:pPr>
      <w:r>
        <w:t xml:space="preserve">Article </w:t>
      </w:r>
      <w:r>
        <w:rPr>
          <w:color w:val="000000"/>
          <w:shd w:val="clear" w:color="auto" w:fill="FFFFFF"/>
        </w:rPr>
        <w:t xml:space="preserve">Article 6(2) of the ICESCR requires State Parties to take steps to achieve the full realisation of the right to work, including </w:t>
      </w:r>
      <w:r w:rsidRPr="005C3AD0">
        <w:rPr>
          <w:color w:val="000000"/>
          <w:shd w:val="clear" w:color="auto" w:fill="FFFFFF"/>
        </w:rPr>
        <w:t>technical and vocational guidance and training programmes</w:t>
      </w:r>
      <w:r>
        <w:rPr>
          <w:color w:val="000000"/>
          <w:shd w:val="clear" w:color="auto" w:fill="FFFFFF"/>
        </w:rPr>
        <w:t>.</w:t>
      </w:r>
    </w:p>
    <w:p w14:paraId="3AFDB49B" w14:textId="61FF13B2" w:rsidR="005C3AD0" w:rsidRDefault="005C3AD0" w:rsidP="00950E9A">
      <w:pPr>
        <w:pStyle w:val="NormalExplanatorystatement"/>
        <w:rPr>
          <w:color w:val="000000"/>
          <w:shd w:val="clear" w:color="auto" w:fill="FFFFFF"/>
        </w:rPr>
      </w:pPr>
      <w:r>
        <w:rPr>
          <w:color w:val="000000"/>
          <w:shd w:val="clear" w:color="auto" w:fill="FFFFFF"/>
        </w:rPr>
        <w:t>The Innovation Fund directly engages this right by providing vocational guidance and training programs to</w:t>
      </w:r>
      <w:r w:rsidRPr="005D1E1D">
        <w:rPr>
          <w:color w:val="000000"/>
          <w:shd w:val="clear" w:color="auto" w:fill="FFFFFF"/>
        </w:rPr>
        <w:t xml:space="preserve"> assist persons to become trained in cyber security.</w:t>
      </w:r>
    </w:p>
    <w:p w14:paraId="4FDD5D8A" w14:textId="101E6807" w:rsidR="005C3AD0" w:rsidRDefault="005C3AD0" w:rsidP="00950E9A">
      <w:pPr>
        <w:pStyle w:val="NormalExplanatorystatement"/>
      </w:pPr>
      <w:r>
        <w:rPr>
          <w:i/>
        </w:rPr>
        <w:t>The right to equality</w:t>
      </w:r>
    </w:p>
    <w:p w14:paraId="3DFFB11D" w14:textId="70523BEF" w:rsidR="00711C7A" w:rsidRDefault="00711C7A" w:rsidP="00950E9A">
      <w:pPr>
        <w:pStyle w:val="NormalExplanatorystatement"/>
      </w:pPr>
      <w:r w:rsidRPr="00711C7A">
        <w:t>Article 10 of the CEDAW requires State Parties to take appropriate measures to ensure women equal rights in the field of education.</w:t>
      </w:r>
    </w:p>
    <w:p w14:paraId="1DD22AE6" w14:textId="08F7A720" w:rsidR="00711C7A" w:rsidRPr="00C6460B" w:rsidRDefault="00711C7A" w:rsidP="00950E9A">
      <w:pPr>
        <w:pStyle w:val="NormalExplanatorystatement"/>
      </w:pPr>
      <w:r>
        <w:t xml:space="preserve">The Innovation Fund directly engages this right by supporting projects which are </w:t>
      </w:r>
      <w:r w:rsidR="005C3AD0">
        <w:t xml:space="preserve">designed to increase the participation of women in cyber security professions. </w:t>
      </w:r>
    </w:p>
    <w:p w14:paraId="08E6EA90" w14:textId="77777777" w:rsidR="00D603B2" w:rsidRPr="001F4C22" w:rsidRDefault="00D603B2" w:rsidP="00007A20">
      <w:pPr>
        <w:pStyle w:val="NormalExplanatorystatement"/>
        <w:rPr>
          <w:b/>
        </w:rPr>
      </w:pPr>
      <w:r w:rsidRPr="001F4C22">
        <w:rPr>
          <w:b/>
        </w:rPr>
        <w:t>Conclusion</w:t>
      </w:r>
    </w:p>
    <w:p w14:paraId="1DC1479E" w14:textId="12337EF3" w:rsidR="00D603B2" w:rsidRDefault="00D603B2" w:rsidP="00007A20">
      <w:pPr>
        <w:pStyle w:val="NormalExplanatorystatement"/>
      </w:pPr>
      <w:r w:rsidRPr="001F4C22">
        <w:t xml:space="preserve">This Legislative Instrument is compatible with human rights </w:t>
      </w:r>
      <w:r w:rsidR="00950E9A">
        <w:t>because, to the extent it engages human rights, it promotes the protection of those rights.</w:t>
      </w:r>
    </w:p>
    <w:p w14:paraId="1112B0F8" w14:textId="77777777" w:rsidR="0032172A" w:rsidRPr="001F4C22" w:rsidRDefault="0032172A" w:rsidP="00007A20">
      <w:pPr>
        <w:pStyle w:val="NormalExplanatorystatement"/>
      </w:pPr>
    </w:p>
    <w:p w14:paraId="67CD9FA5" w14:textId="6124D0A8" w:rsidR="00D603B2" w:rsidRPr="001F4C22" w:rsidRDefault="00392A14" w:rsidP="00007A20">
      <w:pPr>
        <w:pStyle w:val="NormalExplanatorystatement"/>
        <w:jc w:val="center"/>
        <w:rPr>
          <w:b/>
        </w:rPr>
      </w:pPr>
      <w:r w:rsidRPr="001F4C22">
        <w:rPr>
          <w:b/>
        </w:rPr>
        <w:t xml:space="preserve">The </w:t>
      </w:r>
      <w:r w:rsidR="00D603B2" w:rsidRPr="001F4C22">
        <w:rPr>
          <w:b/>
        </w:rPr>
        <w:t xml:space="preserve">Hon </w:t>
      </w:r>
      <w:r w:rsidR="005260ED">
        <w:rPr>
          <w:b/>
        </w:rPr>
        <w:t>Christian Porter</w:t>
      </w:r>
      <w:r w:rsidR="00E979B9">
        <w:rPr>
          <w:b/>
        </w:rPr>
        <w:t xml:space="preserve"> </w:t>
      </w:r>
      <w:r w:rsidR="00D603B2" w:rsidRPr="001F4C22">
        <w:rPr>
          <w:b/>
        </w:rPr>
        <w:t xml:space="preserve">MP </w:t>
      </w:r>
    </w:p>
    <w:p w14:paraId="567266AA" w14:textId="67FCD8F4" w:rsidR="00D603B2" w:rsidRPr="00007A20" w:rsidRDefault="00D603B2" w:rsidP="00007A20">
      <w:pPr>
        <w:pStyle w:val="NormalExplanatorystatement"/>
        <w:jc w:val="center"/>
        <w:rPr>
          <w:b/>
        </w:rPr>
      </w:pPr>
      <w:r w:rsidRPr="001F4C22">
        <w:rPr>
          <w:b/>
        </w:rPr>
        <w:t xml:space="preserve">Minister for Industry, Science and Technology </w:t>
      </w:r>
    </w:p>
    <w:p w14:paraId="5F98783D" w14:textId="476528D3" w:rsidR="00D603B2" w:rsidRPr="00D603B2" w:rsidRDefault="00D603B2" w:rsidP="00007A20">
      <w:pPr>
        <w:pStyle w:val="NormalExplanatorystatement"/>
      </w:pPr>
    </w:p>
    <w:sectPr w:rsidR="00D603B2" w:rsidRPr="00D603B2" w:rsidSect="00D603B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120DB" w16cid:durableId="1E8C7074"/>
  <w16cid:commentId w16cid:paraId="60B62BA0" w16cid:durableId="1E8C70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FB32" w14:textId="77777777" w:rsidR="007D36B2" w:rsidRDefault="007D36B2" w:rsidP="007240FE">
      <w:pPr>
        <w:spacing w:before="0" w:after="0" w:line="240" w:lineRule="auto"/>
      </w:pPr>
      <w:r>
        <w:separator/>
      </w:r>
    </w:p>
  </w:endnote>
  <w:endnote w:type="continuationSeparator" w:id="0">
    <w:p w14:paraId="5215C4F5" w14:textId="77777777" w:rsidR="007D36B2" w:rsidRDefault="007D36B2" w:rsidP="007240FE">
      <w:pPr>
        <w:spacing w:before="0" w:after="0" w:line="240" w:lineRule="auto"/>
      </w:pPr>
      <w:r>
        <w:continuationSeparator/>
      </w:r>
    </w:p>
  </w:endnote>
  <w:endnote w:type="continuationNotice" w:id="1">
    <w:p w14:paraId="1ACC07F3" w14:textId="77777777" w:rsidR="007D36B2" w:rsidRDefault="007D36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7917" w14:textId="692FDE8F" w:rsidR="0063176C" w:rsidRPr="00473BD4" w:rsidRDefault="00961E57" w:rsidP="00473BD4">
    <w:pPr>
      <w:pStyle w:val="Footer"/>
      <w:tabs>
        <w:tab w:val="clear" w:pos="4513"/>
        <w:tab w:val="center" w:pos="6804"/>
      </w:tabs>
      <w:jc w:val="right"/>
    </w:pPr>
    <w:sdt>
      <w:sdtPr>
        <w:id w:val="1490128851"/>
        <w:docPartObj>
          <w:docPartGallery w:val="Page Numbers (Bottom of Page)"/>
          <w:docPartUnique/>
        </w:docPartObj>
      </w:sdtPr>
      <w:sdtEndPr>
        <w:rPr>
          <w:noProof/>
        </w:rPr>
      </w:sdtEndPr>
      <w:sdtContent>
        <w:r w:rsidR="00D603B2">
          <w:fldChar w:fldCharType="begin"/>
        </w:r>
        <w:r w:rsidR="00D603B2">
          <w:instrText xml:space="preserve"> PAGE  \* Arabic  \* MERGEFORMAT </w:instrText>
        </w:r>
        <w:r w:rsidR="00D603B2">
          <w:fldChar w:fldCharType="separate"/>
        </w:r>
        <w:r>
          <w:rPr>
            <w:noProof/>
          </w:rPr>
          <w:t>4</w:t>
        </w:r>
        <w:r w:rsidR="00D603B2">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81C2" w14:textId="77777777" w:rsidR="007D36B2" w:rsidRDefault="007D36B2" w:rsidP="007240FE">
      <w:pPr>
        <w:spacing w:before="0" w:after="0" w:line="240" w:lineRule="auto"/>
      </w:pPr>
      <w:r>
        <w:separator/>
      </w:r>
    </w:p>
  </w:footnote>
  <w:footnote w:type="continuationSeparator" w:id="0">
    <w:p w14:paraId="20940244" w14:textId="77777777" w:rsidR="007D36B2" w:rsidRDefault="007D36B2" w:rsidP="007240FE">
      <w:pPr>
        <w:spacing w:before="0" w:after="0" w:line="240" w:lineRule="auto"/>
      </w:pPr>
      <w:r>
        <w:continuationSeparator/>
      </w:r>
    </w:p>
  </w:footnote>
  <w:footnote w:type="continuationNotice" w:id="1">
    <w:p w14:paraId="2F84A10A" w14:textId="77777777" w:rsidR="007D36B2" w:rsidRDefault="007D36B2">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 w15:restartNumberingAfterBreak="0">
    <w:nsid w:val="18DE3B49"/>
    <w:multiLevelType w:val="multilevel"/>
    <w:tmpl w:val="5F70A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9361B0"/>
    <w:multiLevelType w:val="hybridMultilevel"/>
    <w:tmpl w:val="BC220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F0263"/>
    <w:multiLevelType w:val="hybridMultilevel"/>
    <w:tmpl w:val="9FE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E2756"/>
    <w:multiLevelType w:val="multilevel"/>
    <w:tmpl w:val="31B8B072"/>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775A99"/>
    <w:multiLevelType w:val="hybridMultilevel"/>
    <w:tmpl w:val="BAFE42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A2DAB"/>
    <w:multiLevelType w:val="multilevel"/>
    <w:tmpl w:val="407089D0"/>
    <w:lvl w:ilvl="0">
      <w:start w:val="1"/>
      <w:numFmt w:val="bullet"/>
      <w:pStyle w:val="ListBullet"/>
      <w:lvlText w:val=""/>
      <w:lvlJc w:val="left"/>
      <w:pPr>
        <w:ind w:left="360" w:hanging="360"/>
      </w:pPr>
      <w:rPr>
        <w:rFonts w:ascii="Wingdings" w:hAnsi="Wingdings" w:hint="default"/>
        <w:color w:val="005677" w:themeColor="accent1"/>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AB01C5"/>
    <w:multiLevelType w:val="hybridMultilevel"/>
    <w:tmpl w:val="362EC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6A465C"/>
    <w:multiLevelType w:val="multilevel"/>
    <w:tmpl w:val="547A46C0"/>
    <w:lvl w:ilvl="0">
      <w:start w:val="1"/>
      <w:numFmt w:val="decimal"/>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BB2E92"/>
    <w:multiLevelType w:val="hybridMultilevel"/>
    <w:tmpl w:val="A0AEB60E"/>
    <w:lvl w:ilvl="0" w:tplc="D768652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9D5D1F"/>
    <w:multiLevelType w:val="hybridMultilevel"/>
    <w:tmpl w:val="7E1C9164"/>
    <w:lvl w:ilvl="0" w:tplc="5C4AE6F4">
      <w:start w:val="1"/>
      <w:numFmt w:val="bullet"/>
      <w:pStyle w:val="ListBullet2"/>
      <w:lvlText w:val=""/>
      <w:lvlJc w:val="left"/>
      <w:pPr>
        <w:ind w:left="720" w:hanging="360"/>
      </w:pPr>
      <w:rPr>
        <w:rFonts w:ascii="Wingdings" w:hAnsi="Wingdings" w:hint="default"/>
        <w:color w:val="0056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96B75"/>
    <w:multiLevelType w:val="hybridMultilevel"/>
    <w:tmpl w:val="BAFE42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C06ED8"/>
    <w:multiLevelType w:val="hybridMultilevel"/>
    <w:tmpl w:val="5F72E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4"/>
  </w:num>
  <w:num w:numId="4">
    <w:abstractNumId w:val="8"/>
  </w:num>
  <w:num w:numId="5">
    <w:abstractNumId w:val="11"/>
  </w:num>
  <w:num w:numId="6">
    <w:abstractNumId w:val="9"/>
  </w:num>
  <w:num w:numId="7">
    <w:abstractNumId w:val="13"/>
  </w:num>
  <w:num w:numId="8">
    <w:abstractNumId w:val="10"/>
  </w:num>
  <w:num w:numId="9">
    <w:abstractNumId w:val="2"/>
  </w:num>
  <w:num w:numId="10">
    <w:abstractNumId w:val="15"/>
  </w:num>
  <w:num w:numId="11">
    <w:abstractNumId w:val="5"/>
  </w:num>
  <w:num w:numId="12">
    <w:abstractNumId w:val="14"/>
  </w:num>
  <w:num w:numId="13">
    <w:abstractNumId w:val="7"/>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0453"/>
    <w:rsid w:val="00002009"/>
    <w:rsid w:val="00007687"/>
    <w:rsid w:val="00007A20"/>
    <w:rsid w:val="00010E36"/>
    <w:rsid w:val="000168AA"/>
    <w:rsid w:val="000208BD"/>
    <w:rsid w:val="0002584D"/>
    <w:rsid w:val="00027442"/>
    <w:rsid w:val="00037142"/>
    <w:rsid w:val="00040232"/>
    <w:rsid w:val="0004626E"/>
    <w:rsid w:val="00053C0E"/>
    <w:rsid w:val="00063E1E"/>
    <w:rsid w:val="0007119F"/>
    <w:rsid w:val="0007766A"/>
    <w:rsid w:val="000828A0"/>
    <w:rsid w:val="00083880"/>
    <w:rsid w:val="00084622"/>
    <w:rsid w:val="000A0233"/>
    <w:rsid w:val="000A4A65"/>
    <w:rsid w:val="000B0175"/>
    <w:rsid w:val="000B0B5A"/>
    <w:rsid w:val="000B601D"/>
    <w:rsid w:val="000B736A"/>
    <w:rsid w:val="000C2D78"/>
    <w:rsid w:val="000C310B"/>
    <w:rsid w:val="000C75FA"/>
    <w:rsid w:val="000D3AD0"/>
    <w:rsid w:val="000D4CA4"/>
    <w:rsid w:val="000E201E"/>
    <w:rsid w:val="000F17F0"/>
    <w:rsid w:val="000F2BA1"/>
    <w:rsid w:val="000F5108"/>
    <w:rsid w:val="00101E03"/>
    <w:rsid w:val="0010286F"/>
    <w:rsid w:val="00102F8E"/>
    <w:rsid w:val="001258C2"/>
    <w:rsid w:val="001433BF"/>
    <w:rsid w:val="00143A4C"/>
    <w:rsid w:val="001523DC"/>
    <w:rsid w:val="00157609"/>
    <w:rsid w:val="001768A9"/>
    <w:rsid w:val="00182BB8"/>
    <w:rsid w:val="00183D4F"/>
    <w:rsid w:val="00186667"/>
    <w:rsid w:val="00187B4B"/>
    <w:rsid w:val="001905EB"/>
    <w:rsid w:val="00191A86"/>
    <w:rsid w:val="00191BA6"/>
    <w:rsid w:val="0019595B"/>
    <w:rsid w:val="001A09CA"/>
    <w:rsid w:val="001A0D27"/>
    <w:rsid w:val="001B0F02"/>
    <w:rsid w:val="001B7151"/>
    <w:rsid w:val="001C6FC3"/>
    <w:rsid w:val="001D0226"/>
    <w:rsid w:val="001E7798"/>
    <w:rsid w:val="001F23CA"/>
    <w:rsid w:val="001F47EC"/>
    <w:rsid w:val="001F4C22"/>
    <w:rsid w:val="001F58C9"/>
    <w:rsid w:val="00210F63"/>
    <w:rsid w:val="0021248F"/>
    <w:rsid w:val="00214F5E"/>
    <w:rsid w:val="0021528D"/>
    <w:rsid w:val="00223022"/>
    <w:rsid w:val="0023020C"/>
    <w:rsid w:val="00242168"/>
    <w:rsid w:val="00245AFC"/>
    <w:rsid w:val="002541DB"/>
    <w:rsid w:val="00282125"/>
    <w:rsid w:val="002856C7"/>
    <w:rsid w:val="00287B7A"/>
    <w:rsid w:val="0029166A"/>
    <w:rsid w:val="00296740"/>
    <w:rsid w:val="002A087F"/>
    <w:rsid w:val="002C4576"/>
    <w:rsid w:val="002C628F"/>
    <w:rsid w:val="002C6F0C"/>
    <w:rsid w:val="002C71B3"/>
    <w:rsid w:val="002D2FD6"/>
    <w:rsid w:val="002D4DBF"/>
    <w:rsid w:val="002E0E72"/>
    <w:rsid w:val="002F2F5F"/>
    <w:rsid w:val="00300E62"/>
    <w:rsid w:val="00303E00"/>
    <w:rsid w:val="00304B6B"/>
    <w:rsid w:val="003123D6"/>
    <w:rsid w:val="003147EB"/>
    <w:rsid w:val="00315A60"/>
    <w:rsid w:val="0032172A"/>
    <w:rsid w:val="0032271B"/>
    <w:rsid w:val="00324E11"/>
    <w:rsid w:val="003328AC"/>
    <w:rsid w:val="00342D97"/>
    <w:rsid w:val="00351CDF"/>
    <w:rsid w:val="00351E19"/>
    <w:rsid w:val="0035464E"/>
    <w:rsid w:val="00361F17"/>
    <w:rsid w:val="00363597"/>
    <w:rsid w:val="00364C95"/>
    <w:rsid w:val="00371F56"/>
    <w:rsid w:val="00376EA0"/>
    <w:rsid w:val="00376F42"/>
    <w:rsid w:val="003808AD"/>
    <w:rsid w:val="003809BA"/>
    <w:rsid w:val="00385203"/>
    <w:rsid w:val="003860DC"/>
    <w:rsid w:val="00392A14"/>
    <w:rsid w:val="003A407E"/>
    <w:rsid w:val="003B0611"/>
    <w:rsid w:val="003C60E0"/>
    <w:rsid w:val="003D0F07"/>
    <w:rsid w:val="003D1310"/>
    <w:rsid w:val="003D7E05"/>
    <w:rsid w:val="003E1AB1"/>
    <w:rsid w:val="003E33FA"/>
    <w:rsid w:val="003F6AD9"/>
    <w:rsid w:val="0040074A"/>
    <w:rsid w:val="00407208"/>
    <w:rsid w:val="004164DF"/>
    <w:rsid w:val="004209B3"/>
    <w:rsid w:val="00423879"/>
    <w:rsid w:val="00426C1E"/>
    <w:rsid w:val="004346B2"/>
    <w:rsid w:val="00437258"/>
    <w:rsid w:val="00441084"/>
    <w:rsid w:val="00446863"/>
    <w:rsid w:val="00451CA5"/>
    <w:rsid w:val="004535C5"/>
    <w:rsid w:val="00454EA7"/>
    <w:rsid w:val="00464F1E"/>
    <w:rsid w:val="00473007"/>
    <w:rsid w:val="00473BD4"/>
    <w:rsid w:val="00486A08"/>
    <w:rsid w:val="004953D7"/>
    <w:rsid w:val="00496E29"/>
    <w:rsid w:val="004A46C4"/>
    <w:rsid w:val="004A60BC"/>
    <w:rsid w:val="004C3712"/>
    <w:rsid w:val="004C6042"/>
    <w:rsid w:val="004E13B2"/>
    <w:rsid w:val="004E2060"/>
    <w:rsid w:val="004F6B05"/>
    <w:rsid w:val="005005DE"/>
    <w:rsid w:val="00506AFB"/>
    <w:rsid w:val="00517C9E"/>
    <w:rsid w:val="00521387"/>
    <w:rsid w:val="005260ED"/>
    <w:rsid w:val="00527E00"/>
    <w:rsid w:val="00530BC0"/>
    <w:rsid w:val="00540939"/>
    <w:rsid w:val="00542D2B"/>
    <w:rsid w:val="005544C0"/>
    <w:rsid w:val="00557497"/>
    <w:rsid w:val="00562F1A"/>
    <w:rsid w:val="00563257"/>
    <w:rsid w:val="00564FD6"/>
    <w:rsid w:val="00567516"/>
    <w:rsid w:val="00574FFA"/>
    <w:rsid w:val="005947B3"/>
    <w:rsid w:val="005B0758"/>
    <w:rsid w:val="005B7873"/>
    <w:rsid w:val="005C1032"/>
    <w:rsid w:val="005C11B1"/>
    <w:rsid w:val="005C2356"/>
    <w:rsid w:val="005C3AD0"/>
    <w:rsid w:val="005D1E1D"/>
    <w:rsid w:val="0060211E"/>
    <w:rsid w:val="0061068E"/>
    <w:rsid w:val="00611FE1"/>
    <w:rsid w:val="006125FB"/>
    <w:rsid w:val="00624DB7"/>
    <w:rsid w:val="006302E4"/>
    <w:rsid w:val="0063176C"/>
    <w:rsid w:val="0064321F"/>
    <w:rsid w:val="00644D4C"/>
    <w:rsid w:val="00654790"/>
    <w:rsid w:val="00667AA0"/>
    <w:rsid w:val="00685A1C"/>
    <w:rsid w:val="00685B06"/>
    <w:rsid w:val="006B57D3"/>
    <w:rsid w:val="006C1A11"/>
    <w:rsid w:val="006C5DE8"/>
    <w:rsid w:val="006D3F76"/>
    <w:rsid w:val="006E4F05"/>
    <w:rsid w:val="006F31AD"/>
    <w:rsid w:val="006F428F"/>
    <w:rsid w:val="006F7AE0"/>
    <w:rsid w:val="007044D8"/>
    <w:rsid w:val="00711C7A"/>
    <w:rsid w:val="007230AC"/>
    <w:rsid w:val="00723F3F"/>
    <w:rsid w:val="007240FE"/>
    <w:rsid w:val="00724122"/>
    <w:rsid w:val="007501B7"/>
    <w:rsid w:val="007610DD"/>
    <w:rsid w:val="00761E91"/>
    <w:rsid w:val="00762124"/>
    <w:rsid w:val="00762135"/>
    <w:rsid w:val="00764057"/>
    <w:rsid w:val="00767E5B"/>
    <w:rsid w:val="007734F9"/>
    <w:rsid w:val="00783D86"/>
    <w:rsid w:val="00784871"/>
    <w:rsid w:val="007948B3"/>
    <w:rsid w:val="00795881"/>
    <w:rsid w:val="007B36E4"/>
    <w:rsid w:val="007B7064"/>
    <w:rsid w:val="007C24DF"/>
    <w:rsid w:val="007C6905"/>
    <w:rsid w:val="007D13AC"/>
    <w:rsid w:val="007D36B2"/>
    <w:rsid w:val="007E1E88"/>
    <w:rsid w:val="007E2344"/>
    <w:rsid w:val="007E75D5"/>
    <w:rsid w:val="008003AF"/>
    <w:rsid w:val="00802870"/>
    <w:rsid w:val="00803A89"/>
    <w:rsid w:val="00817E20"/>
    <w:rsid w:val="00822C2E"/>
    <w:rsid w:val="0083735F"/>
    <w:rsid w:val="0085294C"/>
    <w:rsid w:val="00860A87"/>
    <w:rsid w:val="00860FAE"/>
    <w:rsid w:val="00867161"/>
    <w:rsid w:val="00871F1F"/>
    <w:rsid w:val="008762F8"/>
    <w:rsid w:val="00876DCE"/>
    <w:rsid w:val="00893414"/>
    <w:rsid w:val="00894F8A"/>
    <w:rsid w:val="0089588A"/>
    <w:rsid w:val="008B0035"/>
    <w:rsid w:val="008B0D46"/>
    <w:rsid w:val="008D7FA6"/>
    <w:rsid w:val="008E06FF"/>
    <w:rsid w:val="00901678"/>
    <w:rsid w:val="00901CE8"/>
    <w:rsid w:val="00911EF2"/>
    <w:rsid w:val="00917BBA"/>
    <w:rsid w:val="00923171"/>
    <w:rsid w:val="0092506D"/>
    <w:rsid w:val="00927677"/>
    <w:rsid w:val="00931E3A"/>
    <w:rsid w:val="00941607"/>
    <w:rsid w:val="00950E9A"/>
    <w:rsid w:val="00954480"/>
    <w:rsid w:val="0095531D"/>
    <w:rsid w:val="009562A7"/>
    <w:rsid w:val="00957FD3"/>
    <w:rsid w:val="00961E57"/>
    <w:rsid w:val="0096456E"/>
    <w:rsid w:val="009658CD"/>
    <w:rsid w:val="00972795"/>
    <w:rsid w:val="00975BAF"/>
    <w:rsid w:val="00977536"/>
    <w:rsid w:val="00982394"/>
    <w:rsid w:val="00990914"/>
    <w:rsid w:val="009914B9"/>
    <w:rsid w:val="0099221C"/>
    <w:rsid w:val="00993B20"/>
    <w:rsid w:val="009968C6"/>
    <w:rsid w:val="009969DD"/>
    <w:rsid w:val="00997D1E"/>
    <w:rsid w:val="009A11D6"/>
    <w:rsid w:val="009A7B79"/>
    <w:rsid w:val="009B2589"/>
    <w:rsid w:val="009B413B"/>
    <w:rsid w:val="009C3764"/>
    <w:rsid w:val="009D0AFD"/>
    <w:rsid w:val="009D66A1"/>
    <w:rsid w:val="009E1ACA"/>
    <w:rsid w:val="009E332D"/>
    <w:rsid w:val="009E4C04"/>
    <w:rsid w:val="009E55DF"/>
    <w:rsid w:val="009E6C5F"/>
    <w:rsid w:val="009F6384"/>
    <w:rsid w:val="00A03DCC"/>
    <w:rsid w:val="00A06A84"/>
    <w:rsid w:val="00A21120"/>
    <w:rsid w:val="00A23FE0"/>
    <w:rsid w:val="00A2476B"/>
    <w:rsid w:val="00A24FE8"/>
    <w:rsid w:val="00A37B01"/>
    <w:rsid w:val="00A46551"/>
    <w:rsid w:val="00A62C76"/>
    <w:rsid w:val="00A63293"/>
    <w:rsid w:val="00A74B8E"/>
    <w:rsid w:val="00A74E57"/>
    <w:rsid w:val="00A77A52"/>
    <w:rsid w:val="00A810A4"/>
    <w:rsid w:val="00A91AC1"/>
    <w:rsid w:val="00A91F24"/>
    <w:rsid w:val="00AA176E"/>
    <w:rsid w:val="00AA3C69"/>
    <w:rsid w:val="00AA6A43"/>
    <w:rsid w:val="00AA6EE3"/>
    <w:rsid w:val="00AA77D9"/>
    <w:rsid w:val="00AB0DED"/>
    <w:rsid w:val="00AB74C0"/>
    <w:rsid w:val="00AC2E90"/>
    <w:rsid w:val="00AC603A"/>
    <w:rsid w:val="00AC68E6"/>
    <w:rsid w:val="00AC7FD5"/>
    <w:rsid w:val="00AE46DA"/>
    <w:rsid w:val="00AE4CAE"/>
    <w:rsid w:val="00AF0FEA"/>
    <w:rsid w:val="00AF3517"/>
    <w:rsid w:val="00AF4808"/>
    <w:rsid w:val="00AF6476"/>
    <w:rsid w:val="00B03B27"/>
    <w:rsid w:val="00B067D0"/>
    <w:rsid w:val="00B07610"/>
    <w:rsid w:val="00B153E7"/>
    <w:rsid w:val="00B156D7"/>
    <w:rsid w:val="00B203BA"/>
    <w:rsid w:val="00B26A5F"/>
    <w:rsid w:val="00B26C19"/>
    <w:rsid w:val="00B32E71"/>
    <w:rsid w:val="00B3460C"/>
    <w:rsid w:val="00B40051"/>
    <w:rsid w:val="00B46DBD"/>
    <w:rsid w:val="00B561CC"/>
    <w:rsid w:val="00B61102"/>
    <w:rsid w:val="00B653D3"/>
    <w:rsid w:val="00B660D6"/>
    <w:rsid w:val="00B9086E"/>
    <w:rsid w:val="00B940F7"/>
    <w:rsid w:val="00B94142"/>
    <w:rsid w:val="00BA4498"/>
    <w:rsid w:val="00BA7B55"/>
    <w:rsid w:val="00BB3305"/>
    <w:rsid w:val="00BB6EB1"/>
    <w:rsid w:val="00BB7088"/>
    <w:rsid w:val="00BB7126"/>
    <w:rsid w:val="00BC02EC"/>
    <w:rsid w:val="00BC18D7"/>
    <w:rsid w:val="00BC240C"/>
    <w:rsid w:val="00BF2B33"/>
    <w:rsid w:val="00BF5EB7"/>
    <w:rsid w:val="00C01E7C"/>
    <w:rsid w:val="00C04997"/>
    <w:rsid w:val="00C05966"/>
    <w:rsid w:val="00C11461"/>
    <w:rsid w:val="00C171D8"/>
    <w:rsid w:val="00C2182C"/>
    <w:rsid w:val="00C27728"/>
    <w:rsid w:val="00C30D28"/>
    <w:rsid w:val="00C403AC"/>
    <w:rsid w:val="00C40E01"/>
    <w:rsid w:val="00C43635"/>
    <w:rsid w:val="00C464C7"/>
    <w:rsid w:val="00C520EE"/>
    <w:rsid w:val="00C6460B"/>
    <w:rsid w:val="00C66D57"/>
    <w:rsid w:val="00C6703E"/>
    <w:rsid w:val="00C676C3"/>
    <w:rsid w:val="00C70FD4"/>
    <w:rsid w:val="00C7129F"/>
    <w:rsid w:val="00C719CA"/>
    <w:rsid w:val="00C73642"/>
    <w:rsid w:val="00C77FFB"/>
    <w:rsid w:val="00C82D77"/>
    <w:rsid w:val="00C90B40"/>
    <w:rsid w:val="00C929F7"/>
    <w:rsid w:val="00C9583C"/>
    <w:rsid w:val="00CB0BE5"/>
    <w:rsid w:val="00CB6B9C"/>
    <w:rsid w:val="00CB7934"/>
    <w:rsid w:val="00CC59C7"/>
    <w:rsid w:val="00CC720E"/>
    <w:rsid w:val="00CC7EB3"/>
    <w:rsid w:val="00CD13FF"/>
    <w:rsid w:val="00CD3A06"/>
    <w:rsid w:val="00CD7830"/>
    <w:rsid w:val="00CE7963"/>
    <w:rsid w:val="00CF436A"/>
    <w:rsid w:val="00CF5194"/>
    <w:rsid w:val="00CF6719"/>
    <w:rsid w:val="00D05FDF"/>
    <w:rsid w:val="00D15755"/>
    <w:rsid w:val="00D17E8E"/>
    <w:rsid w:val="00D211BD"/>
    <w:rsid w:val="00D223A7"/>
    <w:rsid w:val="00D41770"/>
    <w:rsid w:val="00D45936"/>
    <w:rsid w:val="00D466C7"/>
    <w:rsid w:val="00D51847"/>
    <w:rsid w:val="00D52DAE"/>
    <w:rsid w:val="00D554C9"/>
    <w:rsid w:val="00D603B2"/>
    <w:rsid w:val="00D60C2E"/>
    <w:rsid w:val="00D63D96"/>
    <w:rsid w:val="00D67187"/>
    <w:rsid w:val="00D769F8"/>
    <w:rsid w:val="00D93DC7"/>
    <w:rsid w:val="00DA291A"/>
    <w:rsid w:val="00DB0472"/>
    <w:rsid w:val="00DB547C"/>
    <w:rsid w:val="00DC44A1"/>
    <w:rsid w:val="00DC55BD"/>
    <w:rsid w:val="00DC7D2F"/>
    <w:rsid w:val="00DE1A4D"/>
    <w:rsid w:val="00DE31D2"/>
    <w:rsid w:val="00DE3D00"/>
    <w:rsid w:val="00DF2CFD"/>
    <w:rsid w:val="00E01D78"/>
    <w:rsid w:val="00E06578"/>
    <w:rsid w:val="00E1559A"/>
    <w:rsid w:val="00E416DF"/>
    <w:rsid w:val="00E4776B"/>
    <w:rsid w:val="00E55366"/>
    <w:rsid w:val="00E733FE"/>
    <w:rsid w:val="00E76BF9"/>
    <w:rsid w:val="00E871C6"/>
    <w:rsid w:val="00E92731"/>
    <w:rsid w:val="00E967FB"/>
    <w:rsid w:val="00E979B9"/>
    <w:rsid w:val="00E97C27"/>
    <w:rsid w:val="00EA18B3"/>
    <w:rsid w:val="00EA77B9"/>
    <w:rsid w:val="00EA78FC"/>
    <w:rsid w:val="00EB015C"/>
    <w:rsid w:val="00EC4674"/>
    <w:rsid w:val="00ED2D4F"/>
    <w:rsid w:val="00ED46A0"/>
    <w:rsid w:val="00ED46C9"/>
    <w:rsid w:val="00ED7E89"/>
    <w:rsid w:val="00EE368A"/>
    <w:rsid w:val="00EE4534"/>
    <w:rsid w:val="00EE6C16"/>
    <w:rsid w:val="00EF11A3"/>
    <w:rsid w:val="00EF6E4F"/>
    <w:rsid w:val="00F00A78"/>
    <w:rsid w:val="00F0190E"/>
    <w:rsid w:val="00F027F1"/>
    <w:rsid w:val="00F05138"/>
    <w:rsid w:val="00F13E3A"/>
    <w:rsid w:val="00F16E70"/>
    <w:rsid w:val="00F170AF"/>
    <w:rsid w:val="00F17325"/>
    <w:rsid w:val="00F20A59"/>
    <w:rsid w:val="00F21874"/>
    <w:rsid w:val="00F25445"/>
    <w:rsid w:val="00F366C5"/>
    <w:rsid w:val="00F458DC"/>
    <w:rsid w:val="00F527E6"/>
    <w:rsid w:val="00F5466C"/>
    <w:rsid w:val="00F64396"/>
    <w:rsid w:val="00F64FB4"/>
    <w:rsid w:val="00F74264"/>
    <w:rsid w:val="00F8049E"/>
    <w:rsid w:val="00F80D74"/>
    <w:rsid w:val="00F9431A"/>
    <w:rsid w:val="00F95592"/>
    <w:rsid w:val="00FA2F1F"/>
    <w:rsid w:val="00FA5721"/>
    <w:rsid w:val="00FA6091"/>
    <w:rsid w:val="00FB192E"/>
    <w:rsid w:val="00FB3843"/>
    <w:rsid w:val="00FC0591"/>
    <w:rsid w:val="00FC4AFA"/>
    <w:rsid w:val="00FC5B30"/>
    <w:rsid w:val="00FE3F78"/>
    <w:rsid w:val="00FE7F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20459B"/>
  <w15:chartTrackingRefBased/>
  <w15:docId w15:val="{1B9B0FE0-ED0D-4633-9094-C817E3B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94"/>
    <w:pPr>
      <w:spacing w:before="40" w:after="120" w:line="280" w:lineRule="atLeast"/>
    </w:pPr>
    <w:rPr>
      <w:rFonts w:ascii="Calibri" w:hAnsi="Calibri"/>
      <w:sz w:val="24"/>
    </w:rPr>
  </w:style>
  <w:style w:type="paragraph" w:styleId="Heading1">
    <w:name w:val="heading 1"/>
    <w:basedOn w:val="Normal"/>
    <w:next w:val="Normal"/>
    <w:link w:val="Heading1Char"/>
    <w:uiPriority w:val="9"/>
    <w:qFormat/>
    <w:rsid w:val="009D66A1"/>
    <w:pPr>
      <w:keepNext/>
      <w:keepLines/>
      <w:numPr>
        <w:numId w:val="8"/>
      </w:numPr>
      <w:spacing w:before="240"/>
      <w:ind w:hanging="720"/>
      <w:outlineLvl w:val="0"/>
    </w:pPr>
    <w:rPr>
      <w:rFonts w:eastAsiaTheme="majorEastAsia" w:cstheme="majorBidi"/>
      <w:color w:val="005677" w:themeColor="accent1"/>
      <w:sz w:val="28"/>
      <w:szCs w:val="32"/>
    </w:rPr>
  </w:style>
  <w:style w:type="paragraph" w:styleId="Heading2">
    <w:name w:val="heading 2"/>
    <w:basedOn w:val="Normal"/>
    <w:next w:val="Normal"/>
    <w:link w:val="Heading2Char"/>
    <w:uiPriority w:val="9"/>
    <w:unhideWhenUsed/>
    <w:qFormat/>
    <w:rsid w:val="00CF5194"/>
    <w:pPr>
      <w:keepNext/>
      <w:keepLines/>
      <w:numPr>
        <w:ilvl w:val="1"/>
        <w:numId w:val="6"/>
      </w:numPr>
      <w:spacing w:before="240" w:after="240"/>
      <w:outlineLvl w:val="1"/>
    </w:pPr>
    <w:rPr>
      <w:rFonts w:eastAsiaTheme="majorEastAsia" w:cstheme="majorBidi"/>
      <w:color w:val="005677" w:themeColor="accent1"/>
      <w:sz w:val="36"/>
      <w:szCs w:val="26"/>
    </w:rPr>
  </w:style>
  <w:style w:type="paragraph" w:styleId="Heading3">
    <w:name w:val="heading 3"/>
    <w:basedOn w:val="Normal"/>
    <w:next w:val="Normal"/>
    <w:link w:val="Heading3Char"/>
    <w:uiPriority w:val="9"/>
    <w:unhideWhenUsed/>
    <w:qFormat/>
    <w:rsid w:val="008B0D46"/>
    <w:pPr>
      <w:keepNext/>
      <w:keepLines/>
      <w:numPr>
        <w:ilvl w:val="2"/>
        <w:numId w:val="6"/>
      </w:numPr>
      <w:spacing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numPr>
        <w:ilvl w:val="3"/>
        <w:numId w:val="6"/>
      </w:numPr>
      <w:spacing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numPr>
        <w:ilvl w:val="4"/>
        <w:numId w:val="6"/>
      </w:numPr>
      <w:spacing w:after="0"/>
      <w:outlineLvl w:val="4"/>
    </w:pPr>
    <w:rPr>
      <w:rFonts w:eastAsiaTheme="majorEastAsia" w:cstheme="majorBidi"/>
      <w:b/>
      <w:color w:val="00283E"/>
    </w:rPr>
  </w:style>
  <w:style w:type="paragraph" w:styleId="Heading6">
    <w:name w:val="heading 6"/>
    <w:basedOn w:val="Normal"/>
    <w:next w:val="Normal"/>
    <w:link w:val="Heading6Char"/>
    <w:uiPriority w:val="9"/>
    <w:semiHidden/>
    <w:unhideWhenUsed/>
    <w:rsid w:val="00CF5194"/>
    <w:pPr>
      <w:keepNext/>
      <w:keepLines/>
      <w:numPr>
        <w:ilvl w:val="5"/>
        <w:numId w:val="6"/>
      </w:numPr>
      <w:spacing w:after="0"/>
      <w:outlineLvl w:val="5"/>
    </w:pPr>
    <w:rPr>
      <w:rFonts w:asciiTheme="majorHAnsi" w:eastAsiaTheme="majorEastAsia" w:hAnsiTheme="majorHAnsi" w:cstheme="majorBidi"/>
      <w:color w:val="002A3B" w:themeColor="accent1" w:themeShade="7F"/>
    </w:rPr>
  </w:style>
  <w:style w:type="paragraph" w:styleId="Heading7">
    <w:name w:val="heading 7"/>
    <w:basedOn w:val="Normal"/>
    <w:next w:val="Normal"/>
    <w:link w:val="Heading7Char"/>
    <w:uiPriority w:val="9"/>
    <w:semiHidden/>
    <w:unhideWhenUsed/>
    <w:qFormat/>
    <w:rsid w:val="00CF5194"/>
    <w:pPr>
      <w:keepNext/>
      <w:keepLines/>
      <w:numPr>
        <w:ilvl w:val="6"/>
        <w:numId w:val="6"/>
      </w:numPr>
      <w:spacing w:after="0"/>
      <w:outlineLvl w:val="6"/>
    </w:pPr>
    <w:rPr>
      <w:rFonts w:asciiTheme="majorHAnsi" w:eastAsiaTheme="majorEastAsia" w:hAnsiTheme="majorHAnsi" w:cstheme="majorBidi"/>
      <w:i/>
      <w:iCs/>
      <w:color w:val="002A3B" w:themeColor="accent1" w:themeShade="7F"/>
    </w:rPr>
  </w:style>
  <w:style w:type="paragraph" w:styleId="Heading8">
    <w:name w:val="heading 8"/>
    <w:basedOn w:val="Normal"/>
    <w:next w:val="Normal"/>
    <w:link w:val="Heading8Char"/>
    <w:uiPriority w:val="9"/>
    <w:semiHidden/>
    <w:unhideWhenUsed/>
    <w:qFormat/>
    <w:rsid w:val="00CF5194"/>
    <w:pPr>
      <w:keepNext/>
      <w:keepLines/>
      <w:numPr>
        <w:ilvl w:val="7"/>
        <w:numId w:val="6"/>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94"/>
    <w:pPr>
      <w:keepNext/>
      <w:keepLines/>
      <w:numPr>
        <w:ilvl w:val="8"/>
        <w:numId w:val="6"/>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A24FE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A24FE8"/>
    <w:rPr>
      <w:rFonts w:ascii="Calibri" w:hAnsi="Calibri"/>
      <w:sz w:val="20"/>
    </w:rPr>
  </w:style>
  <w:style w:type="paragraph" w:styleId="Title">
    <w:name w:val="Title"/>
    <w:basedOn w:val="Normal"/>
    <w:next w:val="Normal"/>
    <w:link w:val="TitleChar"/>
    <w:uiPriority w:val="10"/>
    <w:qFormat/>
    <w:rsid w:val="00F13E3A"/>
    <w:pPr>
      <w:pBdr>
        <w:bottom w:val="single" w:sz="8" w:space="1" w:color="005677" w:themeColor="accent1"/>
      </w:pBdr>
      <w:spacing w:before="240" w:after="240"/>
      <w:contextualSpacing/>
    </w:pPr>
    <w:rPr>
      <w:rFonts w:eastAsiaTheme="majorEastAsia" w:cstheme="majorBidi"/>
      <w:color w:val="005677"/>
      <w:spacing w:val="-10"/>
      <w:kern w:val="28"/>
      <w:sz w:val="44"/>
      <w:szCs w:val="56"/>
    </w:rPr>
  </w:style>
  <w:style w:type="character" w:customStyle="1" w:styleId="TitleChar">
    <w:name w:val="Title Char"/>
    <w:basedOn w:val="DefaultParagraphFont"/>
    <w:link w:val="Title"/>
    <w:uiPriority w:val="10"/>
    <w:rsid w:val="00F13E3A"/>
    <w:rPr>
      <w:rFonts w:ascii="Calibri" w:eastAsiaTheme="majorEastAsia" w:hAnsi="Calibri" w:cstheme="majorBidi"/>
      <w:color w:val="005677"/>
      <w:spacing w:val="-10"/>
      <w:kern w:val="28"/>
      <w:sz w:val="44"/>
      <w:szCs w:val="56"/>
    </w:rPr>
  </w:style>
  <w:style w:type="character" w:customStyle="1" w:styleId="Heading1Char">
    <w:name w:val="Heading 1 Char"/>
    <w:basedOn w:val="DefaultParagraphFont"/>
    <w:link w:val="Heading1"/>
    <w:uiPriority w:val="9"/>
    <w:rsid w:val="009D66A1"/>
    <w:rPr>
      <w:rFonts w:ascii="Calibri" w:eastAsiaTheme="majorEastAsia" w:hAnsi="Calibri" w:cstheme="majorBidi"/>
      <w:color w:val="005677" w:themeColor="accent1"/>
      <w:sz w:val="28"/>
      <w:szCs w:val="32"/>
    </w:rPr>
  </w:style>
  <w:style w:type="character" w:customStyle="1" w:styleId="Heading2Char">
    <w:name w:val="Heading 2 Char"/>
    <w:basedOn w:val="DefaultParagraphFont"/>
    <w:link w:val="Heading2"/>
    <w:uiPriority w:val="9"/>
    <w:rsid w:val="00CF5194"/>
    <w:rPr>
      <w:rFonts w:ascii="Calibri" w:eastAsiaTheme="majorEastAsia" w:hAnsi="Calibri" w:cstheme="majorBidi"/>
      <w:color w:val="005677" w:themeColor="accent1"/>
      <w:sz w:val="36"/>
      <w:szCs w:val="26"/>
    </w:rPr>
  </w:style>
  <w:style w:type="character" w:customStyle="1" w:styleId="Heading3Char">
    <w:name w:val="Heading 3 Char"/>
    <w:basedOn w:val="DefaultParagraphFont"/>
    <w:link w:val="Heading3"/>
    <w:uiPriority w:val="9"/>
    <w:rsid w:val="008B0D46"/>
    <w:rPr>
      <w:rFonts w:ascii="Calibri" w:eastAsiaTheme="majorEastAsia" w:hAnsi="Calibri" w:cstheme="majorBidi"/>
      <w:color w:val="00283E"/>
      <w:sz w:val="36"/>
      <w:szCs w:val="24"/>
    </w:rPr>
  </w:style>
  <w:style w:type="character" w:customStyle="1" w:styleId="Heading4Char">
    <w:name w:val="Heading 4 Char"/>
    <w:basedOn w:val="DefaultParagraphFont"/>
    <w:link w:val="Heading4"/>
    <w:uiPriority w:val="9"/>
    <w:rsid w:val="001768A9"/>
    <w:rPr>
      <w:rFonts w:ascii="Calibri" w:eastAsiaTheme="majorEastAsia" w:hAnsi="Calibri" w:cstheme="majorBidi"/>
      <w:iCs/>
      <w:color w:val="00283E"/>
      <w:sz w:val="28"/>
    </w:rPr>
  </w:style>
  <w:style w:type="character" w:customStyle="1" w:styleId="Heading5Char">
    <w:name w:val="Heading 5 Char"/>
    <w:basedOn w:val="DefaultParagraphFont"/>
    <w:link w:val="Heading5"/>
    <w:uiPriority w:val="9"/>
    <w:rsid w:val="001768A9"/>
    <w:rPr>
      <w:rFonts w:ascii="Calibri" w:eastAsiaTheme="majorEastAsia" w:hAnsi="Calibri" w:cstheme="majorBidi"/>
      <w:b/>
      <w:color w:val="00283E"/>
      <w:sz w:val="24"/>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qFormat/>
    <w:rsid w:val="00527E00"/>
    <w:pPr>
      <w:numPr>
        <w:numId w:val="1"/>
      </w:numPr>
      <w:contextualSpacing/>
    </w:pPr>
  </w:style>
  <w:style w:type="paragraph" w:styleId="ListBullet">
    <w:name w:val="List Bullet"/>
    <w:basedOn w:val="ListParagraph"/>
    <w:uiPriority w:val="99"/>
    <w:unhideWhenUsed/>
    <w:rsid w:val="00CF5194"/>
    <w:pPr>
      <w:numPr>
        <w:numId w:val="2"/>
      </w:numPr>
      <w:spacing w:before="60" w:after="60"/>
      <w:ind w:left="357" w:hanging="357"/>
      <w:contextualSpacing w:val="0"/>
    </w:pPr>
  </w:style>
  <w:style w:type="paragraph" w:styleId="ListBullet2">
    <w:name w:val="List Bullet 2"/>
    <w:basedOn w:val="ListBullet"/>
    <w:uiPriority w:val="99"/>
    <w:unhideWhenUsed/>
    <w:rsid w:val="00CF5194"/>
    <w:pPr>
      <w:numPr>
        <w:numId w:val="7"/>
      </w:numPr>
      <w:spacing w:before="40" w:after="40"/>
      <w:ind w:left="357" w:hanging="357"/>
    </w:pPr>
  </w:style>
  <w:style w:type="paragraph" w:styleId="ListNumber">
    <w:name w:val="List Number"/>
    <w:basedOn w:val="ListParagraph"/>
    <w:uiPriority w:val="99"/>
    <w:unhideWhenUsed/>
    <w:rsid w:val="00F13E3A"/>
    <w:pPr>
      <w:numPr>
        <w:numId w:val="3"/>
      </w:numPr>
      <w:spacing w:before="60" w:after="60"/>
      <w:contextualSpacing w:val="0"/>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2"/>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719CA"/>
    <w:pPr>
      <w:shd w:val="clear" w:color="auto" w:fill="DFF3F3" w:themeFill="accent4" w:themeFillTint="33"/>
    </w:pPr>
    <w:rPr>
      <w:rFonts w:eastAsia="Times New Roman" w:cs="Times New Roman"/>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4"/>
      </w:numPr>
      <w:ind w:left="284" w:hanging="284"/>
    </w:pPr>
  </w:style>
  <w:style w:type="paragraph" w:customStyle="1" w:styleId="TableNumber">
    <w:name w:val="Table Number"/>
    <w:basedOn w:val="TableBody"/>
    <w:qFormat/>
    <w:rsid w:val="00AF3517"/>
    <w:pPr>
      <w:numPr>
        <w:numId w:val="5"/>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3E33FA"/>
    <w:pPr>
      <w:spacing w:before="120" w:after="0" w:line="240" w:lineRule="auto"/>
    </w:p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val="en-GB"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
    <w:name w:val="Unresolved Mention"/>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CommentSubject">
    <w:name w:val="annotation subject"/>
    <w:basedOn w:val="CommentText"/>
    <w:next w:val="CommentText"/>
    <w:link w:val="CommentSubjectChar"/>
    <w:uiPriority w:val="99"/>
    <w:semiHidden/>
    <w:unhideWhenUsed/>
    <w:rsid w:val="003E33FA"/>
    <w:rPr>
      <w:b/>
      <w:bCs/>
    </w:rPr>
  </w:style>
  <w:style w:type="character" w:customStyle="1" w:styleId="CommentSubjectChar">
    <w:name w:val="Comment Subject Char"/>
    <w:basedOn w:val="CommentTextChar"/>
    <w:link w:val="CommentSubject"/>
    <w:uiPriority w:val="99"/>
    <w:semiHidden/>
    <w:rsid w:val="003E33FA"/>
    <w:rPr>
      <w:rFonts w:ascii="Arial" w:hAnsi="Arial"/>
      <w:b/>
      <w:bCs/>
      <w:sz w:val="20"/>
      <w:szCs w:val="20"/>
    </w:rPr>
  </w:style>
  <w:style w:type="character" w:styleId="FollowedHyperlink">
    <w:name w:val="FollowedHyperlink"/>
    <w:basedOn w:val="DefaultParagraphFont"/>
    <w:uiPriority w:val="99"/>
    <w:semiHidden/>
    <w:unhideWhenUsed/>
    <w:rsid w:val="00C43635"/>
    <w:rPr>
      <w:color w:val="7030A0" w:themeColor="followedHyperlink"/>
      <w:u w:val="single"/>
    </w:rPr>
  </w:style>
  <w:style w:type="paragraph" w:customStyle="1" w:styleId="NormalHeaderrow">
    <w:name w:val="Normal + Header row"/>
    <w:basedOn w:val="Normal"/>
    <w:qFormat/>
    <w:rsid w:val="009E55DF"/>
    <w:rPr>
      <w:rFonts w:asciiTheme="minorHAnsi" w:eastAsiaTheme="minorEastAsia" w:hAnsiTheme="minorHAnsi"/>
      <w:color w:val="FFFFFF" w:themeColor="background1"/>
      <w:szCs w:val="24"/>
    </w:rPr>
  </w:style>
  <w:style w:type="paragraph" w:styleId="Revision">
    <w:name w:val="Revision"/>
    <w:hidden/>
    <w:uiPriority w:val="99"/>
    <w:semiHidden/>
    <w:rsid w:val="00803A89"/>
    <w:pPr>
      <w:spacing w:after="0" w:line="240" w:lineRule="auto"/>
    </w:pPr>
    <w:rPr>
      <w:rFonts w:ascii="Calibri" w:hAnsi="Calibri"/>
      <w:sz w:val="24"/>
    </w:rPr>
  </w:style>
  <w:style w:type="character" w:customStyle="1" w:styleId="Heading6Char">
    <w:name w:val="Heading 6 Char"/>
    <w:basedOn w:val="DefaultParagraphFont"/>
    <w:link w:val="Heading6"/>
    <w:uiPriority w:val="9"/>
    <w:semiHidden/>
    <w:rsid w:val="00CF5194"/>
    <w:rPr>
      <w:rFonts w:asciiTheme="majorHAnsi" w:eastAsiaTheme="majorEastAsia" w:hAnsiTheme="majorHAnsi" w:cstheme="majorBidi"/>
      <w:color w:val="002A3B" w:themeColor="accent1" w:themeShade="7F"/>
      <w:sz w:val="24"/>
    </w:rPr>
  </w:style>
  <w:style w:type="character" w:customStyle="1" w:styleId="Heading7Char">
    <w:name w:val="Heading 7 Char"/>
    <w:basedOn w:val="DefaultParagraphFont"/>
    <w:link w:val="Heading7"/>
    <w:uiPriority w:val="9"/>
    <w:semiHidden/>
    <w:rsid w:val="00CF5194"/>
    <w:rPr>
      <w:rFonts w:asciiTheme="majorHAnsi" w:eastAsiaTheme="majorEastAsia" w:hAnsiTheme="majorHAnsi" w:cstheme="majorBidi"/>
      <w:i/>
      <w:iCs/>
      <w:color w:val="002A3B" w:themeColor="accent1" w:themeShade="7F"/>
      <w:sz w:val="24"/>
    </w:rPr>
  </w:style>
  <w:style w:type="character" w:customStyle="1" w:styleId="Heading8Char">
    <w:name w:val="Heading 8 Char"/>
    <w:basedOn w:val="DefaultParagraphFont"/>
    <w:link w:val="Heading8"/>
    <w:uiPriority w:val="9"/>
    <w:semiHidden/>
    <w:rsid w:val="00CF51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194"/>
    <w:rPr>
      <w:rFonts w:asciiTheme="majorHAnsi" w:eastAsiaTheme="majorEastAsia" w:hAnsiTheme="majorHAnsi" w:cstheme="majorBidi"/>
      <w:i/>
      <w:iCs/>
      <w:color w:val="272727" w:themeColor="text1" w:themeTint="D8"/>
      <w:sz w:val="21"/>
      <w:szCs w:val="21"/>
    </w:rPr>
  </w:style>
  <w:style w:type="table" w:styleId="TableGridLight">
    <w:name w:val="Grid Table Light"/>
    <w:basedOn w:val="TableNormal"/>
    <w:uiPriority w:val="40"/>
    <w:rsid w:val="00C719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4626E"/>
    <w:rPr>
      <w:color w:val="808080"/>
    </w:rPr>
  </w:style>
  <w:style w:type="paragraph" w:customStyle="1" w:styleId="Body">
    <w:name w:val="Body"/>
    <w:rsid w:val="00D603B2"/>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customStyle="1" w:styleId="NormalExplanatorystatement">
    <w:name w:val="Normal + Explanatory statement"/>
    <w:basedOn w:val="Normal"/>
    <w:qFormat/>
    <w:rsid w:val="00007A20"/>
    <w:pPr>
      <w:spacing w:before="240" w:after="240" w:line="276" w:lineRule="auto"/>
    </w:pPr>
    <w:rPr>
      <w:rFonts w:ascii="Times New Roman" w:hAnsi="Times New Roman" w:cs="Times New Roman"/>
      <w:szCs w:val="24"/>
    </w:rPr>
  </w:style>
  <w:style w:type="paragraph" w:customStyle="1" w:styleId="normalexplanatorystatement0">
    <w:name w:val="normalexplanatorystatement"/>
    <w:basedOn w:val="Normal"/>
    <w:rsid w:val="0089588A"/>
    <w:pPr>
      <w:spacing w:before="100" w:beforeAutospacing="1" w:after="100" w:afterAutospacing="1" w:line="240" w:lineRule="auto"/>
    </w:pPr>
    <w:rPr>
      <w:rFonts w:ascii="Times New Roman" w:eastAsia="Times New Roman" w:hAnsi="Times New Roman" w:cs="Times New Roman"/>
      <w:szCs w:val="24"/>
      <w:lang w:eastAsia="zh-CN"/>
    </w:rPr>
  </w:style>
  <w:style w:type="paragraph" w:customStyle="1" w:styleId="CABNETParagraph">
    <w:name w:val="CABNET Paragraph."/>
    <w:basedOn w:val="Normal"/>
    <w:link w:val="CABNETParagraphChar"/>
    <w:uiPriority w:val="98"/>
    <w:qFormat/>
    <w:rsid w:val="00784871"/>
    <w:pPr>
      <w:spacing w:before="120" w:line="240" w:lineRule="auto"/>
    </w:pPr>
    <w:rPr>
      <w:rFonts w:ascii="Arial" w:hAnsi="Arial" w:cstheme="minorHAnsi"/>
      <w:sz w:val="22"/>
    </w:rPr>
  </w:style>
  <w:style w:type="character" w:customStyle="1" w:styleId="CABNETParagraphChar">
    <w:name w:val="CABNET Paragraph. Char"/>
    <w:basedOn w:val="DefaultParagraphFont"/>
    <w:link w:val="CABNETParagraph"/>
    <w:uiPriority w:val="98"/>
    <w:rsid w:val="00784871"/>
    <w:rPr>
      <w:rFonts w:ascii="Arial" w:hAnsi="Arial" w:cstheme="minorHAnsi"/>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qFormat/>
    <w:locked/>
    <w:rsid w:val="00784871"/>
    <w:rPr>
      <w:rFonts w:ascii="Calibri" w:hAnsi="Calibri"/>
      <w:sz w:val="24"/>
    </w:rPr>
  </w:style>
  <w:style w:type="paragraph" w:customStyle="1" w:styleId="NumberLevel1">
    <w:name w:val="Number Level 1"/>
    <w:aliases w:val="N1,hea Level 1"/>
    <w:basedOn w:val="Normal"/>
    <w:qFormat/>
    <w:rsid w:val="007E75D5"/>
    <w:pPr>
      <w:numPr>
        <w:numId w:val="18"/>
      </w:numPr>
      <w:spacing w:before="140" w:after="140"/>
    </w:pPr>
    <w:rPr>
      <w:rFonts w:ascii="Arial" w:eastAsia="Times New Roman" w:hAnsi="Arial" w:cs="Arial"/>
      <w:sz w:val="22"/>
      <w:lang w:eastAsia="en-AU"/>
    </w:rPr>
  </w:style>
  <w:style w:type="paragraph" w:customStyle="1" w:styleId="NumberLevel2">
    <w:name w:val="Number Level 2"/>
    <w:aliases w:val="N2"/>
    <w:basedOn w:val="Normal"/>
    <w:qFormat/>
    <w:rsid w:val="007E75D5"/>
    <w:pPr>
      <w:numPr>
        <w:ilvl w:val="1"/>
        <w:numId w:val="18"/>
      </w:numPr>
      <w:spacing w:before="140" w:after="140"/>
    </w:pPr>
    <w:rPr>
      <w:rFonts w:ascii="Arial" w:eastAsia="Times New Roman" w:hAnsi="Arial" w:cs="Arial"/>
      <w:sz w:val="22"/>
      <w:lang w:eastAsia="en-AU"/>
    </w:rPr>
  </w:style>
  <w:style w:type="paragraph" w:customStyle="1" w:styleId="NumberLevel3">
    <w:name w:val="Number Level 3"/>
    <w:aliases w:val="N3"/>
    <w:basedOn w:val="Normal"/>
    <w:qFormat/>
    <w:rsid w:val="007E75D5"/>
    <w:pPr>
      <w:numPr>
        <w:ilvl w:val="2"/>
        <w:numId w:val="18"/>
      </w:numPr>
      <w:spacing w:before="140" w:after="140"/>
    </w:pPr>
    <w:rPr>
      <w:rFonts w:ascii="Arial" w:eastAsia="Times New Roman" w:hAnsi="Arial" w:cs="Arial"/>
      <w:sz w:val="22"/>
      <w:lang w:eastAsia="en-AU"/>
    </w:rPr>
  </w:style>
  <w:style w:type="paragraph" w:customStyle="1" w:styleId="NumberLevel4">
    <w:name w:val="Number Level 4"/>
    <w:aliases w:val="N4,theNumber Level 4"/>
    <w:basedOn w:val="Normal"/>
    <w:qFormat/>
    <w:rsid w:val="007E75D5"/>
    <w:pPr>
      <w:numPr>
        <w:ilvl w:val="3"/>
        <w:numId w:val="18"/>
      </w:numPr>
      <w:spacing w:before="0" w:after="140"/>
    </w:pPr>
    <w:rPr>
      <w:rFonts w:ascii="Arial" w:eastAsia="Times New Roman" w:hAnsi="Arial" w:cs="Arial"/>
      <w:sz w:val="22"/>
      <w:lang w:eastAsia="en-AU"/>
    </w:rPr>
  </w:style>
  <w:style w:type="paragraph" w:customStyle="1" w:styleId="NumberLevel5">
    <w:name w:val="Number Level 5"/>
    <w:aliases w:val="N5"/>
    <w:basedOn w:val="Normal"/>
    <w:rsid w:val="007E75D5"/>
    <w:pPr>
      <w:numPr>
        <w:ilvl w:val="4"/>
        <w:numId w:val="18"/>
      </w:numPr>
      <w:spacing w:before="0" w:after="140"/>
    </w:pPr>
    <w:rPr>
      <w:rFonts w:ascii="Arial" w:eastAsia="Times New Roman" w:hAnsi="Arial" w:cs="Arial"/>
      <w:sz w:val="22"/>
      <w:lang w:eastAsia="en-AU"/>
    </w:rPr>
  </w:style>
  <w:style w:type="paragraph" w:customStyle="1" w:styleId="NumberLevel6">
    <w:name w:val="Number Level 6"/>
    <w:aliases w:val="N6"/>
    <w:basedOn w:val="NumberLevel5"/>
    <w:rsid w:val="007E75D5"/>
    <w:pPr>
      <w:numPr>
        <w:ilvl w:val="5"/>
      </w:numPr>
    </w:pPr>
  </w:style>
  <w:style w:type="paragraph" w:customStyle="1" w:styleId="NumberLevel7">
    <w:name w:val="Number Level 7"/>
    <w:aliases w:val="N7"/>
    <w:basedOn w:val="NumberLevel6"/>
    <w:rsid w:val="007E75D5"/>
    <w:pPr>
      <w:numPr>
        <w:ilvl w:val="6"/>
      </w:numPr>
    </w:pPr>
  </w:style>
  <w:style w:type="paragraph" w:customStyle="1" w:styleId="NumberLevel8">
    <w:name w:val="Number Level 8"/>
    <w:aliases w:val="N8"/>
    <w:basedOn w:val="NumberLevel7"/>
    <w:rsid w:val="007E75D5"/>
    <w:pPr>
      <w:numPr>
        <w:ilvl w:val="7"/>
      </w:numPr>
    </w:pPr>
  </w:style>
  <w:style w:type="paragraph" w:customStyle="1" w:styleId="NumberLevel9">
    <w:name w:val="Number Level 9"/>
    <w:aliases w:val="N9"/>
    <w:basedOn w:val="NumberLevel8"/>
    <w:rsid w:val="007E75D5"/>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3331">
      <w:bodyDiv w:val="1"/>
      <w:marLeft w:val="0"/>
      <w:marRight w:val="0"/>
      <w:marTop w:val="0"/>
      <w:marBottom w:val="0"/>
      <w:divBdr>
        <w:top w:val="none" w:sz="0" w:space="0" w:color="auto"/>
        <w:left w:val="none" w:sz="0" w:space="0" w:color="auto"/>
        <w:bottom w:val="none" w:sz="0" w:space="0" w:color="auto"/>
        <w:right w:val="none" w:sz="0" w:space="0" w:color="auto"/>
      </w:divBdr>
    </w:div>
    <w:div w:id="178279740">
      <w:bodyDiv w:val="1"/>
      <w:marLeft w:val="0"/>
      <w:marRight w:val="0"/>
      <w:marTop w:val="0"/>
      <w:marBottom w:val="0"/>
      <w:divBdr>
        <w:top w:val="none" w:sz="0" w:space="0" w:color="auto"/>
        <w:left w:val="none" w:sz="0" w:space="0" w:color="auto"/>
        <w:bottom w:val="none" w:sz="0" w:space="0" w:color="auto"/>
        <w:right w:val="none" w:sz="0" w:space="0" w:color="auto"/>
      </w:divBdr>
    </w:div>
    <w:div w:id="192311429">
      <w:bodyDiv w:val="1"/>
      <w:marLeft w:val="0"/>
      <w:marRight w:val="0"/>
      <w:marTop w:val="0"/>
      <w:marBottom w:val="0"/>
      <w:divBdr>
        <w:top w:val="none" w:sz="0" w:space="0" w:color="auto"/>
        <w:left w:val="none" w:sz="0" w:space="0" w:color="auto"/>
        <w:bottom w:val="none" w:sz="0" w:space="0" w:color="auto"/>
        <w:right w:val="none" w:sz="0" w:space="0" w:color="auto"/>
      </w:divBdr>
    </w:div>
    <w:div w:id="301733064">
      <w:bodyDiv w:val="1"/>
      <w:marLeft w:val="0"/>
      <w:marRight w:val="0"/>
      <w:marTop w:val="0"/>
      <w:marBottom w:val="0"/>
      <w:divBdr>
        <w:top w:val="none" w:sz="0" w:space="0" w:color="auto"/>
        <w:left w:val="none" w:sz="0" w:space="0" w:color="auto"/>
        <w:bottom w:val="none" w:sz="0" w:space="0" w:color="auto"/>
        <w:right w:val="none" w:sz="0" w:space="0" w:color="auto"/>
      </w:divBdr>
    </w:div>
    <w:div w:id="1075279041">
      <w:bodyDiv w:val="1"/>
      <w:marLeft w:val="0"/>
      <w:marRight w:val="0"/>
      <w:marTop w:val="0"/>
      <w:marBottom w:val="0"/>
      <w:divBdr>
        <w:top w:val="none" w:sz="0" w:space="0" w:color="auto"/>
        <w:left w:val="none" w:sz="0" w:space="0" w:color="auto"/>
        <w:bottom w:val="none" w:sz="0" w:space="0" w:color="auto"/>
        <w:right w:val="none" w:sz="0" w:space="0" w:color="auto"/>
      </w:divBdr>
    </w:div>
    <w:div w:id="1148669139">
      <w:bodyDiv w:val="1"/>
      <w:marLeft w:val="0"/>
      <w:marRight w:val="0"/>
      <w:marTop w:val="0"/>
      <w:marBottom w:val="0"/>
      <w:divBdr>
        <w:top w:val="none" w:sz="0" w:space="0" w:color="auto"/>
        <w:left w:val="none" w:sz="0" w:space="0" w:color="auto"/>
        <w:bottom w:val="none" w:sz="0" w:space="0" w:color="auto"/>
        <w:right w:val="none" w:sz="0" w:space="0" w:color="auto"/>
      </w:divBdr>
    </w:div>
    <w:div w:id="1233925903">
      <w:bodyDiv w:val="1"/>
      <w:marLeft w:val="0"/>
      <w:marRight w:val="0"/>
      <w:marTop w:val="0"/>
      <w:marBottom w:val="0"/>
      <w:divBdr>
        <w:top w:val="none" w:sz="0" w:space="0" w:color="auto"/>
        <w:left w:val="none" w:sz="0" w:space="0" w:color="auto"/>
        <w:bottom w:val="none" w:sz="0" w:space="0" w:color="auto"/>
        <w:right w:val="none" w:sz="0" w:space="0" w:color="auto"/>
      </w:divBdr>
      <w:divsChild>
        <w:div w:id="161166468">
          <w:marLeft w:val="0"/>
          <w:marRight w:val="0"/>
          <w:marTop w:val="0"/>
          <w:marBottom w:val="0"/>
          <w:divBdr>
            <w:top w:val="none" w:sz="0" w:space="0" w:color="auto"/>
            <w:left w:val="none" w:sz="0" w:space="0" w:color="auto"/>
            <w:bottom w:val="none" w:sz="0" w:space="0" w:color="auto"/>
            <w:right w:val="none" w:sz="0" w:space="0" w:color="auto"/>
          </w:divBdr>
          <w:divsChild>
            <w:div w:id="1070234289">
              <w:marLeft w:val="0"/>
              <w:marRight w:val="0"/>
              <w:marTop w:val="0"/>
              <w:marBottom w:val="0"/>
              <w:divBdr>
                <w:top w:val="none" w:sz="0" w:space="0" w:color="auto"/>
                <w:left w:val="none" w:sz="0" w:space="0" w:color="auto"/>
                <w:bottom w:val="none" w:sz="0" w:space="0" w:color="auto"/>
                <w:right w:val="none" w:sz="0" w:space="0" w:color="auto"/>
              </w:divBdr>
              <w:divsChild>
                <w:div w:id="768045496">
                  <w:marLeft w:val="0"/>
                  <w:marRight w:val="0"/>
                  <w:marTop w:val="0"/>
                  <w:marBottom w:val="0"/>
                  <w:divBdr>
                    <w:top w:val="none" w:sz="0" w:space="0" w:color="auto"/>
                    <w:left w:val="none" w:sz="0" w:space="0" w:color="auto"/>
                    <w:bottom w:val="none" w:sz="0" w:space="0" w:color="auto"/>
                    <w:right w:val="none" w:sz="0" w:space="0" w:color="auto"/>
                  </w:divBdr>
                  <w:divsChild>
                    <w:div w:id="677931473">
                      <w:marLeft w:val="0"/>
                      <w:marRight w:val="0"/>
                      <w:marTop w:val="0"/>
                      <w:marBottom w:val="0"/>
                      <w:divBdr>
                        <w:top w:val="none" w:sz="0" w:space="0" w:color="auto"/>
                        <w:left w:val="none" w:sz="0" w:space="0" w:color="auto"/>
                        <w:bottom w:val="none" w:sz="0" w:space="0" w:color="auto"/>
                        <w:right w:val="none" w:sz="0" w:space="0" w:color="auto"/>
                      </w:divBdr>
                      <w:divsChild>
                        <w:div w:id="139857118">
                          <w:marLeft w:val="0"/>
                          <w:marRight w:val="0"/>
                          <w:marTop w:val="0"/>
                          <w:marBottom w:val="0"/>
                          <w:divBdr>
                            <w:top w:val="none" w:sz="0" w:space="0" w:color="auto"/>
                            <w:left w:val="none" w:sz="0" w:space="0" w:color="auto"/>
                            <w:bottom w:val="none" w:sz="0" w:space="0" w:color="auto"/>
                            <w:right w:val="none" w:sz="0" w:space="0" w:color="auto"/>
                          </w:divBdr>
                          <w:divsChild>
                            <w:div w:id="192379439">
                              <w:marLeft w:val="0"/>
                              <w:marRight w:val="0"/>
                              <w:marTop w:val="0"/>
                              <w:marBottom w:val="0"/>
                              <w:divBdr>
                                <w:top w:val="none" w:sz="0" w:space="0" w:color="auto"/>
                                <w:left w:val="none" w:sz="0" w:space="0" w:color="auto"/>
                                <w:bottom w:val="none" w:sz="0" w:space="0" w:color="auto"/>
                                <w:right w:val="none" w:sz="0" w:space="0" w:color="auto"/>
                              </w:divBdr>
                              <w:divsChild>
                                <w:div w:id="645938481">
                                  <w:marLeft w:val="0"/>
                                  <w:marRight w:val="0"/>
                                  <w:marTop w:val="0"/>
                                  <w:marBottom w:val="0"/>
                                  <w:divBdr>
                                    <w:top w:val="none" w:sz="0" w:space="0" w:color="auto"/>
                                    <w:left w:val="none" w:sz="0" w:space="0" w:color="auto"/>
                                    <w:bottom w:val="none" w:sz="0" w:space="0" w:color="auto"/>
                                    <w:right w:val="none" w:sz="0" w:space="0" w:color="auto"/>
                                  </w:divBdr>
                                  <w:divsChild>
                                    <w:div w:id="564991108">
                                      <w:marLeft w:val="0"/>
                                      <w:marRight w:val="0"/>
                                      <w:marTop w:val="0"/>
                                      <w:marBottom w:val="0"/>
                                      <w:divBdr>
                                        <w:top w:val="none" w:sz="0" w:space="0" w:color="auto"/>
                                        <w:left w:val="none" w:sz="0" w:space="0" w:color="auto"/>
                                        <w:bottom w:val="none" w:sz="0" w:space="0" w:color="auto"/>
                                        <w:right w:val="none" w:sz="0" w:space="0" w:color="auto"/>
                                      </w:divBdr>
                                      <w:divsChild>
                                        <w:div w:id="2052919264">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0"/>
                                              <w:marTop w:val="0"/>
                                              <w:marBottom w:val="0"/>
                                              <w:divBdr>
                                                <w:top w:val="none" w:sz="0" w:space="0" w:color="auto"/>
                                                <w:left w:val="none" w:sz="0" w:space="0" w:color="auto"/>
                                                <w:bottom w:val="none" w:sz="0" w:space="0" w:color="auto"/>
                                                <w:right w:val="none" w:sz="0" w:space="0" w:color="auto"/>
                                              </w:divBdr>
                                              <w:divsChild>
                                                <w:div w:id="1882352430">
                                                  <w:marLeft w:val="0"/>
                                                  <w:marRight w:val="0"/>
                                                  <w:marTop w:val="0"/>
                                                  <w:marBottom w:val="0"/>
                                                  <w:divBdr>
                                                    <w:top w:val="none" w:sz="0" w:space="0" w:color="auto"/>
                                                    <w:left w:val="none" w:sz="0" w:space="0" w:color="auto"/>
                                                    <w:bottom w:val="none" w:sz="0" w:space="0" w:color="auto"/>
                                                    <w:right w:val="none" w:sz="0" w:space="0" w:color="auto"/>
                                                  </w:divBdr>
                                                  <w:divsChild>
                                                    <w:div w:id="295187592">
                                                      <w:marLeft w:val="0"/>
                                                      <w:marRight w:val="0"/>
                                                      <w:marTop w:val="0"/>
                                                      <w:marBottom w:val="0"/>
                                                      <w:divBdr>
                                                        <w:top w:val="none" w:sz="0" w:space="0" w:color="auto"/>
                                                        <w:left w:val="none" w:sz="0" w:space="0" w:color="auto"/>
                                                        <w:bottom w:val="none" w:sz="0" w:space="0" w:color="auto"/>
                                                        <w:right w:val="none" w:sz="0" w:space="0" w:color="auto"/>
                                                      </w:divBdr>
                                                      <w:divsChild>
                                                        <w:div w:id="13887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6032580">
      <w:bodyDiv w:val="1"/>
      <w:marLeft w:val="0"/>
      <w:marRight w:val="0"/>
      <w:marTop w:val="0"/>
      <w:marBottom w:val="0"/>
      <w:divBdr>
        <w:top w:val="none" w:sz="0" w:space="0" w:color="auto"/>
        <w:left w:val="none" w:sz="0" w:space="0" w:color="auto"/>
        <w:bottom w:val="none" w:sz="0" w:space="0" w:color="auto"/>
        <w:right w:val="none" w:sz="0" w:space="0" w:color="auto"/>
      </w:divBdr>
    </w:div>
    <w:div w:id="19128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gov.au/grants-and-programs/cyber-security-skills-partnership-innovation-fu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sites/default/files/2019-11/commonwealth-grants-rules-and-guidelin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942650F57D18B46ABDBB17F78763366" ma:contentTypeVersion="" ma:contentTypeDescription="PDMS Document Site Content Type" ma:contentTypeScope="" ma:versionID="0845553be66c72497793347b7800d4fe">
  <xsd:schema xmlns:xsd="http://www.w3.org/2001/XMLSchema" xmlns:xs="http://www.w3.org/2001/XMLSchema" xmlns:p="http://schemas.microsoft.com/office/2006/metadata/properties" xmlns:ns2="FA8864FA-9397-42EF-94D1-91F710615CDD" targetNamespace="http://schemas.microsoft.com/office/2006/metadata/properties" ma:root="true" ma:fieldsID="61dd69cf4cafcd3c3b26dff34eee4003" ns2:_="">
    <xsd:import namespace="FA8864FA-9397-42EF-94D1-91F710615C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64FA-9397-42EF-94D1-91F710615C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A8864FA-9397-42EF-94D1-91F710615C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54B6-EE19-4D95-BC86-14548F25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64FA-9397-42EF-94D1-91F71061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3.xml><?xml version="1.0" encoding="utf-8"?>
<ds:datastoreItem xmlns:ds="http://schemas.openxmlformats.org/officeDocument/2006/customXml" ds:itemID="{EFBF768A-BAD9-4239-BAF3-2DC780053EE6}">
  <ds:schemaRefs>
    <ds:schemaRef ds:uri="http://schemas.microsoft.com/office/2006/documentManagement/types"/>
    <ds:schemaRef ds:uri="FA8864FA-9397-42EF-94D1-91F710615CD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EEBDE30-5956-4E3D-B088-3F7B654D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3192</Words>
  <Characters>18200</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Drafting instructions - Legislative Instrument s 33 of IRD</vt:lpstr>
    </vt:vector>
  </TitlesOfParts>
  <Company>Department of Industry, Innovation and Science</Company>
  <LinksUpToDate>false</LinksUpToDate>
  <CharactersWithSpaces>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instructions - Legislative Instrument s 33 of IRD</dc:title>
  <dc:subject/>
  <dc:creator>Industry</dc:creator>
  <cp:keywords/>
  <dc:description/>
  <cp:lastModifiedBy>Osborne, Lea</cp:lastModifiedBy>
  <cp:revision>2</cp:revision>
  <cp:lastPrinted>2021-03-17T02:22:00Z</cp:lastPrinted>
  <dcterms:created xsi:type="dcterms:W3CDTF">2021-05-03T05:29:00Z</dcterms:created>
  <dcterms:modified xsi:type="dcterms:W3CDTF">2021-05-03T05:29:00Z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2351;#2021|712d5b50-1b62-44de-9d3e-74234783b265</vt:lpwstr>
  </property>
  <property fmtid="{D5CDD505-2E9C-101B-9397-08002B2CF9AE}" pid="3" name="DocHub_DocumentType">
    <vt:lpwstr>148;#Legislative Instrument|edbe159b-95f5-40e7-bf23-9dfb62f2e7f0</vt:lpwstr>
  </property>
  <property fmtid="{D5CDD505-2E9C-101B-9397-08002B2CF9AE}" pid="4" name="DocHub_SecurityClassification">
    <vt:lpwstr>1;#OFFICIAL|6106d03b-a1a0-4e30-9d91-d5e9fb4314f9</vt:lpwstr>
  </property>
  <property fmtid="{D5CDD505-2E9C-101B-9397-08002B2CF9AE}" pid="5" name="ContentTypeId">
    <vt:lpwstr>0x010100266966F133664895A6EE3632470D45F5001942650F57D18B46ABDBB17F78763366</vt:lpwstr>
  </property>
  <property fmtid="{D5CDD505-2E9C-101B-9397-08002B2CF9AE}" pid="6" name="DocHub_Keywords">
    <vt:lpwstr>2566;#Cyber Security Skills|aacb5b37-c129-4f74-b601-cb8a9a6c8dc0</vt:lpwstr>
  </property>
  <property fmtid="{D5CDD505-2E9C-101B-9397-08002B2CF9AE}" pid="7" name="DocHub_WorkActivity">
    <vt:lpwstr>1535;#Legislation and Regulation|6cbc66f5-f4a2-4565-a58b-d5f2d2ac9bd0</vt:lpwstr>
  </property>
  <property fmtid="{D5CDD505-2E9C-101B-9397-08002B2CF9AE}" pid="8" name="_dlc_DocIdItemGuid">
    <vt:lpwstr>2328c1ec-2ee4-4781-bf5c-9309165ddc49</vt:lpwstr>
  </property>
  <property fmtid="{D5CDD505-2E9C-101B-9397-08002B2CF9AE}" pid="9" name="DocHub_BGHProgramLifecyclePhase">
    <vt:lpwstr>20144;#2 - Design|76e3e0c9-05a6-427f-83fa-9e397d0131c3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BGHProgramLifecycleTask">
    <vt:lpwstr>28785;#Task 1 - Program Design|7c304e06-24a9-4180-8b77-0f4513b26fa8</vt:lpwstr>
  </property>
  <property fmtid="{D5CDD505-2E9C-101B-9397-08002B2CF9AE}" pid="13" name="DocHub_LegalKeywords">
    <vt:lpwstr/>
  </property>
  <property fmtid="{D5CDD505-2E9C-101B-9397-08002B2CF9AE}" pid="14" name="DocHub_LegalClient">
    <vt:lpwstr/>
  </property>
  <property fmtid="{D5CDD505-2E9C-101B-9397-08002B2CF9AE}" pid="15" name="DocHub_CyberSecurityNationalWorkforceGrowthProgramTopics">
    <vt:lpwstr>2680;#Cyber Skills Partnership Innovation Fund|93692016-3e54-46d6-88a6-a65b922ba7a9</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WSFooter">
    <vt:lpwstr>40714807</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_CopySource">
    <vt:lpwstr/>
  </property>
</Properties>
</file>