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966D" w14:textId="7044A6C1" w:rsidR="00FB5178" w:rsidRPr="00935020" w:rsidRDefault="00FB5178" w:rsidP="00FB5178">
      <w:pPr>
        <w:tabs>
          <w:tab w:val="right" w:pos="9072"/>
        </w:tabs>
        <w:ind w:right="91"/>
        <w:jc w:val="center"/>
        <w:rPr>
          <w:rFonts w:ascii="Times New Roman" w:hAnsi="Times New Roman"/>
          <w:b/>
        </w:rPr>
      </w:pPr>
      <w:r w:rsidRPr="00935020">
        <w:rPr>
          <w:rFonts w:ascii="Times New Roman" w:hAnsi="Times New Roman"/>
          <w:b/>
        </w:rPr>
        <w:t xml:space="preserve">EXPLANATORY </w:t>
      </w:r>
      <w:r w:rsidR="00706027" w:rsidRPr="00935020">
        <w:rPr>
          <w:rFonts w:ascii="Times New Roman" w:hAnsi="Times New Roman"/>
          <w:b/>
        </w:rPr>
        <w:t>STATEMENT</w:t>
      </w:r>
    </w:p>
    <w:p w14:paraId="14BE4050" w14:textId="5EBC2602" w:rsidR="009634C7" w:rsidRPr="00935020" w:rsidRDefault="009634C7" w:rsidP="00935020"/>
    <w:p w14:paraId="730B098B" w14:textId="650A27D5" w:rsidR="009634C7" w:rsidRPr="00935020" w:rsidRDefault="009634C7" w:rsidP="00FB5178">
      <w:pPr>
        <w:tabs>
          <w:tab w:val="right" w:pos="9072"/>
        </w:tabs>
        <w:ind w:right="91"/>
        <w:jc w:val="center"/>
        <w:rPr>
          <w:rFonts w:ascii="Times New Roman" w:hAnsi="Times New Roman"/>
        </w:rPr>
      </w:pPr>
      <w:r w:rsidRPr="00935020">
        <w:rPr>
          <w:rFonts w:ascii="Times New Roman" w:hAnsi="Times New Roman"/>
        </w:rPr>
        <w:t>Issued by the authority of the Minister for Health and Aged Care</w:t>
      </w:r>
    </w:p>
    <w:p w14:paraId="3B7BA532" w14:textId="77777777" w:rsidR="00FB5178" w:rsidRPr="00935020" w:rsidRDefault="00FB5178" w:rsidP="007C78F9"/>
    <w:p w14:paraId="08370658" w14:textId="4AE8E168" w:rsidR="00FB5178" w:rsidRPr="00935020" w:rsidRDefault="00FB5178" w:rsidP="009634C7">
      <w:pPr>
        <w:ind w:right="91"/>
        <w:jc w:val="center"/>
        <w:rPr>
          <w:rFonts w:ascii="Times New Roman" w:hAnsi="Times New Roman"/>
          <w:i/>
        </w:rPr>
      </w:pPr>
      <w:r w:rsidRPr="00935020">
        <w:rPr>
          <w:rFonts w:ascii="Times New Roman" w:hAnsi="Times New Roman"/>
          <w:i/>
        </w:rPr>
        <w:t>National Health Act 1953</w:t>
      </w:r>
    </w:p>
    <w:p w14:paraId="41FB1E2F" w14:textId="77777777" w:rsidR="00FB5178" w:rsidRPr="00935020" w:rsidRDefault="00FB5178" w:rsidP="007C78F9"/>
    <w:p w14:paraId="59C1BE19" w14:textId="4FC04F06" w:rsidR="00FB5178" w:rsidRPr="00935020" w:rsidRDefault="00FB5178" w:rsidP="008A7535">
      <w:pPr>
        <w:ind w:right="91"/>
        <w:jc w:val="center"/>
        <w:rPr>
          <w:rFonts w:ascii="Times New Roman" w:hAnsi="Times New Roman"/>
          <w:i/>
        </w:rPr>
      </w:pPr>
      <w:r w:rsidRPr="00935020">
        <w:rPr>
          <w:rFonts w:ascii="Times New Roman" w:hAnsi="Times New Roman"/>
          <w:i/>
        </w:rPr>
        <w:t>National Healt</w:t>
      </w:r>
      <w:r w:rsidR="007C78F9" w:rsidRPr="00935020">
        <w:rPr>
          <w:rFonts w:ascii="Times New Roman" w:hAnsi="Times New Roman"/>
          <w:i/>
        </w:rPr>
        <w:t>h (Pharmaceuticals and Vaccines</w:t>
      </w:r>
      <w:r w:rsidR="007C78F9" w:rsidRPr="00935020">
        <w:rPr>
          <w:rFonts w:ascii="Times New Roman" w:hAnsi="Times New Roman"/>
          <w:i/>
          <w:szCs w:val="24"/>
        </w:rPr>
        <w:t>—</w:t>
      </w:r>
      <w:r w:rsidRPr="00935020">
        <w:rPr>
          <w:rFonts w:ascii="Times New Roman" w:hAnsi="Times New Roman"/>
          <w:i/>
        </w:rPr>
        <w:t>Cost Recovery) Amendment (Fees) Regulations 2021</w:t>
      </w:r>
    </w:p>
    <w:p w14:paraId="679CA87B" w14:textId="50FCAAF3" w:rsidR="00FB5178" w:rsidRPr="00935020" w:rsidRDefault="00FB5178" w:rsidP="00FB5178">
      <w:pPr>
        <w:tabs>
          <w:tab w:val="left" w:pos="1701"/>
          <w:tab w:val="right" w:pos="9072"/>
        </w:tabs>
        <w:ind w:right="91"/>
        <w:rPr>
          <w:rFonts w:ascii="Times New Roman" w:hAnsi="Times New Roman"/>
          <w:i/>
        </w:rPr>
      </w:pPr>
    </w:p>
    <w:p w14:paraId="48298FCE" w14:textId="20A520DC" w:rsidR="00CC18C1" w:rsidRPr="00935020" w:rsidRDefault="00CC18C1" w:rsidP="008A0507">
      <w:pPr>
        <w:ind w:right="91"/>
        <w:rPr>
          <w:rFonts w:ascii="Times New Roman" w:hAnsi="Times New Roman"/>
          <w:i/>
        </w:rPr>
      </w:pPr>
      <w:r w:rsidRPr="00935020">
        <w:t xml:space="preserve">The </w:t>
      </w:r>
      <w:r w:rsidRPr="00935020">
        <w:rPr>
          <w:i/>
        </w:rPr>
        <w:t>National Health Act 1953</w:t>
      </w:r>
      <w:r w:rsidRPr="00935020">
        <w:t xml:space="preserve"> (the Act) makes provision in relation to pharmaceutical, sicknes</w:t>
      </w:r>
      <w:r w:rsidR="00C759DF" w:rsidRPr="00935020">
        <w:t xml:space="preserve">s and hospital benefits, and </w:t>
      </w:r>
      <w:r w:rsidRPr="00935020">
        <w:t>medical and dental services.</w:t>
      </w:r>
    </w:p>
    <w:p w14:paraId="4A5AB32F" w14:textId="77777777" w:rsidR="008A0507" w:rsidRPr="00935020" w:rsidRDefault="008A0507" w:rsidP="008A0507">
      <w:pPr>
        <w:pStyle w:val="PlainParagraph"/>
        <w:spacing w:before="0" w:after="0" w:line="240" w:lineRule="auto"/>
        <w:rPr>
          <w:rFonts w:ascii="Times New Roman" w:hAnsi="Times New Roman" w:cs="Times New Roman"/>
          <w:sz w:val="24"/>
          <w:szCs w:val="24"/>
        </w:rPr>
      </w:pPr>
    </w:p>
    <w:p w14:paraId="7D7EAEBE" w14:textId="1ABC717E" w:rsidR="00CC18C1" w:rsidRPr="00935020" w:rsidRDefault="00CC18C1" w:rsidP="008A0507">
      <w:pPr>
        <w:pStyle w:val="PlainParagraph"/>
        <w:spacing w:before="0" w:after="0" w:line="240" w:lineRule="auto"/>
        <w:rPr>
          <w:rFonts w:ascii="Times New Roman" w:hAnsi="Times New Roman" w:cs="Times New Roman"/>
          <w:sz w:val="24"/>
          <w:szCs w:val="24"/>
        </w:rPr>
      </w:pPr>
      <w:r w:rsidRPr="00935020">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 Subsection 99YBA(1) of the Act provides that the regulations may make provision in relation to services provided by the Commonwealth in relation to the exercise of a power by the Minister under the following provisions:</w:t>
      </w:r>
    </w:p>
    <w:p w14:paraId="0002B839" w14:textId="77777777" w:rsidR="00CC18C1" w:rsidRPr="00935020" w:rsidRDefault="00CC18C1" w:rsidP="00CC18C1">
      <w:pPr>
        <w:pStyle w:val="PlainParagraph"/>
        <w:numPr>
          <w:ilvl w:val="0"/>
          <w:numId w:val="27"/>
        </w:numPr>
        <w:spacing w:before="120" w:after="120" w:line="240" w:lineRule="auto"/>
        <w:ind w:left="714" w:hanging="357"/>
        <w:rPr>
          <w:rFonts w:ascii="Times New Roman" w:hAnsi="Times New Roman" w:cs="Times New Roman"/>
          <w:sz w:val="24"/>
          <w:szCs w:val="24"/>
        </w:rPr>
      </w:pPr>
      <w:r w:rsidRPr="00935020">
        <w:rPr>
          <w:rFonts w:ascii="Times New Roman" w:hAnsi="Times New Roman" w:cs="Times New Roman"/>
          <w:sz w:val="24"/>
          <w:szCs w:val="24"/>
        </w:rPr>
        <w:t>Section 9B of the Act, which provides that the Minister may provide, or arrange for the provision of, designated vaccines and goods and services associated with or incidental to the provision or administration of designated vaccines.</w:t>
      </w:r>
    </w:p>
    <w:p w14:paraId="0362064D" w14:textId="77777777" w:rsidR="00CC18C1" w:rsidRPr="00935020" w:rsidRDefault="00CC18C1" w:rsidP="00CC18C1">
      <w:pPr>
        <w:pStyle w:val="PlainParagraph"/>
        <w:numPr>
          <w:ilvl w:val="0"/>
          <w:numId w:val="27"/>
        </w:numPr>
        <w:spacing w:before="0" w:after="0" w:line="240" w:lineRule="auto"/>
        <w:ind w:left="714" w:hanging="357"/>
        <w:rPr>
          <w:rFonts w:ascii="Times New Roman" w:hAnsi="Times New Roman" w:cs="Times New Roman"/>
          <w:sz w:val="24"/>
          <w:szCs w:val="24"/>
        </w:rPr>
      </w:pPr>
      <w:r w:rsidRPr="00935020">
        <w:rPr>
          <w:rFonts w:ascii="Times New Roman" w:hAnsi="Times New Roman" w:cs="Times New Roman"/>
          <w:sz w:val="24"/>
          <w:szCs w:val="24"/>
        </w:rPr>
        <w:t>Part VII of the Act, which concerns pharmaceutical benefits and deals with matters including the supply of and payments concerning pharmaceutical benefits and the PBS.</w:t>
      </w:r>
    </w:p>
    <w:p w14:paraId="6298762A" w14:textId="77777777" w:rsidR="00CC18C1" w:rsidRPr="00935020" w:rsidRDefault="00CC18C1" w:rsidP="008A0507">
      <w:pPr>
        <w:pStyle w:val="PlainParagraph"/>
        <w:spacing w:before="120" w:after="0" w:line="240" w:lineRule="auto"/>
      </w:pPr>
      <w:r w:rsidRPr="00935020">
        <w:rPr>
          <w:rFonts w:ascii="Times New Roman" w:hAnsi="Times New Roman" w:cs="Times New Roman"/>
          <w:sz w:val="24"/>
          <w:szCs w:val="24"/>
        </w:rPr>
        <w:t>Subsection 99YBA(2) of</w:t>
      </w:r>
      <w:r w:rsidRPr="00935020">
        <w:t xml:space="preserve"> the </w:t>
      </w:r>
      <w:r w:rsidRPr="00935020">
        <w:rPr>
          <w:rFonts w:ascii="Times New Roman" w:hAnsi="Times New Roman" w:cs="Times New Roman"/>
          <w:sz w:val="24"/>
          <w:szCs w:val="24"/>
        </w:rPr>
        <w:t>Act further provides that regulations may make provision in relation to matters including the prescribing of fees, the making of applications, and exemptions from the prescribed fees, in relation to the exercise of a power by the Minister under section 9B and Part VII of the Act.</w:t>
      </w:r>
    </w:p>
    <w:p w14:paraId="123E0194" w14:textId="77777777" w:rsidR="00FB5178" w:rsidRPr="00935020" w:rsidRDefault="00FB5178" w:rsidP="00FB5178">
      <w:pPr>
        <w:ind w:right="91"/>
        <w:rPr>
          <w:rFonts w:ascii="Times New Roman" w:hAnsi="Times New Roman"/>
        </w:rPr>
      </w:pPr>
    </w:p>
    <w:p w14:paraId="47DB0572" w14:textId="3BE51687" w:rsidR="0038041F" w:rsidRPr="00935020" w:rsidRDefault="0038041F" w:rsidP="008A0507">
      <w:pPr>
        <w:rPr>
          <w:rFonts w:ascii="Times New Roman" w:hAnsi="Times New Roman"/>
        </w:rPr>
      </w:pPr>
      <w:r w:rsidRPr="00935020">
        <w:rPr>
          <w:rFonts w:ascii="Times New Roman" w:hAnsi="Times New Roman"/>
          <w:szCs w:val="24"/>
        </w:rPr>
        <w:t xml:space="preserve">The </w:t>
      </w:r>
      <w:r w:rsidRPr="00935020">
        <w:rPr>
          <w:rFonts w:ascii="Times New Roman" w:hAnsi="Times New Roman"/>
          <w:i/>
          <w:szCs w:val="24"/>
        </w:rPr>
        <w:t>National Heal</w:t>
      </w:r>
      <w:r w:rsidR="007C78F9" w:rsidRPr="00935020">
        <w:rPr>
          <w:rFonts w:ascii="Times New Roman" w:hAnsi="Times New Roman"/>
          <w:i/>
          <w:szCs w:val="24"/>
        </w:rPr>
        <w:t>th (Pharmaceutical and Vaccines</w:t>
      </w:r>
      <w:r w:rsidR="000013A4" w:rsidRPr="00935020">
        <w:rPr>
          <w:rFonts w:ascii="Times New Roman" w:hAnsi="Times New Roman"/>
          <w:i/>
          <w:szCs w:val="24"/>
        </w:rPr>
        <w:t>—</w:t>
      </w:r>
      <w:r w:rsidRPr="00935020">
        <w:rPr>
          <w:rFonts w:ascii="Times New Roman" w:hAnsi="Times New Roman"/>
          <w:i/>
          <w:szCs w:val="24"/>
        </w:rPr>
        <w:t>Cost</w:t>
      </w:r>
      <w:r w:rsidR="007C78F9" w:rsidRPr="00935020">
        <w:rPr>
          <w:rFonts w:ascii="Times New Roman" w:hAnsi="Times New Roman"/>
          <w:i/>
          <w:szCs w:val="24"/>
        </w:rPr>
        <w:t xml:space="preserve"> </w:t>
      </w:r>
      <w:r w:rsidRPr="00935020">
        <w:rPr>
          <w:rFonts w:ascii="Times New Roman" w:hAnsi="Times New Roman"/>
          <w:i/>
          <w:szCs w:val="24"/>
        </w:rPr>
        <w:t xml:space="preserve">Recovery) Regulations 2009 </w:t>
      </w:r>
      <w:r w:rsidRPr="00935020">
        <w:rPr>
          <w:rFonts w:ascii="Times New Roman" w:hAnsi="Times New Roman"/>
          <w:szCs w:val="24"/>
        </w:rPr>
        <w:t>(the Principal Regulations) prescribe fees and matters relating to the making of applications for services provided by the Commonwealth in relation to the exercise of a power by the Minister under section 9B and Part VII of the Act.</w:t>
      </w:r>
      <w:r w:rsidRPr="00935020">
        <w:rPr>
          <w:rFonts w:ascii="Times New Roman" w:hAnsi="Times New Roman"/>
        </w:rPr>
        <w:t xml:space="preserve"> Much of the assessment work is out-sourced to external evaluators at a cost to Government, and the regulations implement cost-recovery arrangements whereby these evaluation costs and the costs the Department itself incurs in PBS approval and management are recouped from industry through fees provided in the regulations. </w:t>
      </w:r>
    </w:p>
    <w:p w14:paraId="6C07DC93" w14:textId="6C577192" w:rsidR="00667F41" w:rsidRPr="00935020" w:rsidRDefault="00667F41" w:rsidP="008A0507">
      <w:pPr>
        <w:rPr>
          <w:rFonts w:ascii="Times New Roman" w:hAnsi="Times New Roman"/>
        </w:rPr>
      </w:pPr>
    </w:p>
    <w:p w14:paraId="578341DC" w14:textId="7DCE04E5" w:rsidR="00667F41" w:rsidRPr="00935020" w:rsidRDefault="00667F41" w:rsidP="008A0507">
      <w:pPr>
        <w:rPr>
          <w:rFonts w:ascii="Times New Roman" w:hAnsi="Times New Roman"/>
        </w:rPr>
      </w:pPr>
      <w:r w:rsidRPr="00935020">
        <w:rPr>
          <w:rFonts w:ascii="Times New Roman" w:hAnsi="Times New Roman"/>
        </w:rPr>
        <w:t xml:space="preserve">The purpose of the </w:t>
      </w:r>
      <w:r w:rsidRPr="00935020">
        <w:rPr>
          <w:rFonts w:ascii="Times New Roman" w:hAnsi="Times New Roman"/>
          <w:i/>
        </w:rPr>
        <w:t>National Health (Pharmaceuticals and Vaccines</w:t>
      </w:r>
      <w:r w:rsidR="007C78F9" w:rsidRPr="00935020">
        <w:rPr>
          <w:rFonts w:ascii="Times New Roman" w:hAnsi="Times New Roman"/>
          <w:i/>
          <w:szCs w:val="24"/>
        </w:rPr>
        <w:t>—</w:t>
      </w:r>
      <w:r w:rsidRPr="00935020">
        <w:rPr>
          <w:rFonts w:ascii="Times New Roman" w:hAnsi="Times New Roman"/>
          <w:i/>
        </w:rPr>
        <w:t xml:space="preserve">Cost Recovery) Amendment (Fees) Regulations 2021 </w:t>
      </w:r>
      <w:r w:rsidRPr="00935020">
        <w:rPr>
          <w:rFonts w:ascii="Times New Roman" w:hAnsi="Times New Roman"/>
        </w:rPr>
        <w:t>(the Amendment Regulations) is to:</w:t>
      </w:r>
    </w:p>
    <w:p w14:paraId="71ACE805" w14:textId="511846E6" w:rsidR="00667F41" w:rsidRPr="00935020" w:rsidRDefault="00667F41" w:rsidP="0043166B">
      <w:pPr>
        <w:pStyle w:val="ListParagraph"/>
        <w:numPr>
          <w:ilvl w:val="0"/>
          <w:numId w:val="34"/>
        </w:numPr>
        <w:rPr>
          <w:rFonts w:ascii="Times New Roman" w:hAnsi="Times New Roman"/>
        </w:rPr>
      </w:pPr>
      <w:r w:rsidRPr="00935020">
        <w:rPr>
          <w:rFonts w:ascii="Times New Roman" w:hAnsi="Times New Roman"/>
        </w:rPr>
        <w:t>update cost recovery fees for the 2021-22 financial year in relation to applications for listing on the Pharmaceutical Benefits Scheme (PBS) and the National Immunisation Program (NIP); and</w:t>
      </w:r>
    </w:p>
    <w:p w14:paraId="2B64D773" w14:textId="098B1786" w:rsidR="00667F41" w:rsidRPr="00935020" w:rsidRDefault="00667F41" w:rsidP="0043166B">
      <w:pPr>
        <w:pStyle w:val="ListParagraph"/>
        <w:numPr>
          <w:ilvl w:val="0"/>
          <w:numId w:val="34"/>
        </w:numPr>
        <w:rPr>
          <w:rFonts w:ascii="Times New Roman" w:hAnsi="Times New Roman"/>
        </w:rPr>
      </w:pPr>
      <w:proofErr w:type="gramStart"/>
      <w:r w:rsidRPr="00935020">
        <w:rPr>
          <w:rFonts w:ascii="Times New Roman" w:hAnsi="Times New Roman"/>
        </w:rPr>
        <w:t>amend</w:t>
      </w:r>
      <w:proofErr w:type="gramEnd"/>
      <w:r w:rsidRPr="00935020">
        <w:rPr>
          <w:rFonts w:ascii="Times New Roman" w:hAnsi="Times New Roman"/>
        </w:rPr>
        <w:t xml:space="preserve"> the wording of Regulation 2.7 to include the words ‘medicinal preparation’ to enable applications that relate to medicinal foods to be submitted as a ‘Committee Secretariat’ category.</w:t>
      </w:r>
    </w:p>
    <w:p w14:paraId="624C8A92" w14:textId="77777777" w:rsidR="008A0507" w:rsidRPr="00935020" w:rsidRDefault="008A0507" w:rsidP="008A0507">
      <w:pPr>
        <w:rPr>
          <w:rFonts w:ascii="Times New Roman" w:hAnsi="Times New Roman"/>
        </w:rPr>
      </w:pPr>
    </w:p>
    <w:p w14:paraId="40AA3B1A" w14:textId="325D3ABA" w:rsidR="0038041F" w:rsidRPr="00935020" w:rsidRDefault="0038041F" w:rsidP="008A0507">
      <w:pPr>
        <w:rPr>
          <w:rFonts w:ascii="Times New Roman" w:hAnsi="Times New Roman"/>
        </w:rPr>
      </w:pPr>
      <w:r w:rsidRPr="00935020">
        <w:rPr>
          <w:rFonts w:ascii="Times New Roman" w:hAnsi="Times New Roman"/>
        </w:rPr>
        <w:lastRenderedPageBreak/>
        <w:t xml:space="preserve">In line with Australian Government Cost Recovery Guidelines, the </w:t>
      </w:r>
      <w:r w:rsidR="006C2542" w:rsidRPr="00935020">
        <w:rPr>
          <w:rFonts w:ascii="Times New Roman" w:hAnsi="Times New Roman"/>
        </w:rPr>
        <w:t xml:space="preserve">Principal </w:t>
      </w:r>
      <w:r w:rsidRPr="00935020">
        <w:rPr>
          <w:rFonts w:ascii="Times New Roman" w:hAnsi="Times New Roman"/>
        </w:rPr>
        <w:t xml:space="preserve">Regulations are updated annually to ensure they accurately reflect the efficient costs of providing services. </w:t>
      </w:r>
    </w:p>
    <w:p w14:paraId="5A888386" w14:textId="77777777" w:rsidR="008A0507" w:rsidRPr="00935020" w:rsidRDefault="008A0507" w:rsidP="008A0507">
      <w:pPr>
        <w:rPr>
          <w:rFonts w:ascii="Times New Roman" w:hAnsi="Times New Roman"/>
        </w:rPr>
      </w:pPr>
    </w:p>
    <w:p w14:paraId="649B01FD" w14:textId="77777777" w:rsidR="00D87E79" w:rsidRPr="00935020" w:rsidRDefault="00D87E79" w:rsidP="00D87E79">
      <w:r w:rsidRPr="00935020">
        <w:t xml:space="preserve">The Amendment Regulations carry on the arrangements made by the Principal Regulations which sunset on 1 April 2022.  </w:t>
      </w:r>
    </w:p>
    <w:p w14:paraId="1D9A03F9" w14:textId="77777777" w:rsidR="00D87E79" w:rsidRPr="00935020" w:rsidRDefault="00D87E79" w:rsidP="008A0507">
      <w:pPr>
        <w:tabs>
          <w:tab w:val="left" w:pos="6521"/>
        </w:tabs>
        <w:ind w:right="91"/>
        <w:rPr>
          <w:rFonts w:ascii="Times New Roman" w:hAnsi="Times New Roman"/>
        </w:rPr>
      </w:pPr>
    </w:p>
    <w:p w14:paraId="0FAEBCDC" w14:textId="493A8A7C" w:rsidR="00667F41" w:rsidRPr="00935020" w:rsidRDefault="00667F41" w:rsidP="00667F41">
      <w:pPr>
        <w:tabs>
          <w:tab w:val="left" w:pos="6521"/>
        </w:tabs>
        <w:ind w:right="91"/>
        <w:rPr>
          <w:rFonts w:ascii="Times New Roman" w:hAnsi="Times New Roman"/>
          <w:szCs w:val="24"/>
        </w:rPr>
      </w:pPr>
      <w:r w:rsidRPr="00935020">
        <w:rPr>
          <w:rFonts w:ascii="Times New Roman" w:hAnsi="Times New Roman"/>
          <w:szCs w:val="24"/>
        </w:rPr>
        <w:t xml:space="preserve">Details of the operation of the Amendment Regulations are provided in the </w:t>
      </w:r>
      <w:r w:rsidRPr="00935020">
        <w:rPr>
          <w:rFonts w:ascii="Times New Roman" w:hAnsi="Times New Roman"/>
          <w:szCs w:val="24"/>
          <w:u w:val="single"/>
        </w:rPr>
        <w:t>Attachment</w:t>
      </w:r>
      <w:r w:rsidRPr="00935020">
        <w:rPr>
          <w:rFonts w:ascii="Times New Roman" w:hAnsi="Times New Roman"/>
          <w:szCs w:val="24"/>
        </w:rPr>
        <w:t>.</w:t>
      </w:r>
    </w:p>
    <w:p w14:paraId="23DECFAD" w14:textId="77777777" w:rsidR="00667F41" w:rsidRPr="00935020" w:rsidRDefault="00667F41" w:rsidP="00667F41">
      <w:pPr>
        <w:tabs>
          <w:tab w:val="left" w:pos="6521"/>
        </w:tabs>
        <w:ind w:right="91"/>
        <w:rPr>
          <w:rFonts w:ascii="Times New Roman" w:hAnsi="Times New Roman"/>
          <w:szCs w:val="24"/>
        </w:rPr>
      </w:pPr>
    </w:p>
    <w:p w14:paraId="41D9AD97" w14:textId="6BA43640" w:rsidR="00667F41" w:rsidRPr="00935020" w:rsidRDefault="00667F41" w:rsidP="00667F41">
      <w:pPr>
        <w:tabs>
          <w:tab w:val="left" w:pos="6521"/>
        </w:tabs>
        <w:ind w:right="91"/>
        <w:rPr>
          <w:rFonts w:ascii="Times New Roman" w:hAnsi="Times New Roman"/>
        </w:rPr>
      </w:pPr>
      <w:r w:rsidRPr="00935020">
        <w:rPr>
          <w:rFonts w:ascii="Times New Roman" w:hAnsi="Times New Roman"/>
        </w:rPr>
        <w:t xml:space="preserve">The Amended Regulations commenced on 1 July 2021. </w:t>
      </w:r>
    </w:p>
    <w:p w14:paraId="04E09C18" w14:textId="77777777" w:rsidR="00667F41" w:rsidRPr="00935020" w:rsidRDefault="00667F41" w:rsidP="00667F41">
      <w:pPr>
        <w:tabs>
          <w:tab w:val="left" w:pos="6521"/>
        </w:tabs>
        <w:ind w:right="91"/>
        <w:rPr>
          <w:rFonts w:ascii="Times New Roman" w:hAnsi="Times New Roman"/>
        </w:rPr>
      </w:pPr>
    </w:p>
    <w:p w14:paraId="2D12DB94" w14:textId="0BB334D3" w:rsidR="0038041F" w:rsidRPr="00935020" w:rsidRDefault="0038041F" w:rsidP="008A0507">
      <w:pPr>
        <w:tabs>
          <w:tab w:val="left" w:pos="6521"/>
        </w:tabs>
        <w:ind w:right="91"/>
        <w:rPr>
          <w:rFonts w:ascii="Times New Roman" w:hAnsi="Times New Roman"/>
        </w:rPr>
      </w:pPr>
      <w:r w:rsidRPr="00935020">
        <w:rPr>
          <w:rFonts w:ascii="Times New Roman" w:hAnsi="Times New Roman"/>
        </w:rPr>
        <w:t xml:space="preserve">The </w:t>
      </w:r>
      <w:r w:rsidR="00667F41" w:rsidRPr="00935020">
        <w:rPr>
          <w:rFonts w:ascii="Times New Roman" w:hAnsi="Times New Roman"/>
        </w:rPr>
        <w:t xml:space="preserve">Principal </w:t>
      </w:r>
      <w:r w:rsidRPr="00935020">
        <w:rPr>
          <w:rFonts w:ascii="Times New Roman" w:hAnsi="Times New Roman"/>
        </w:rPr>
        <w:t xml:space="preserve">Regulations </w:t>
      </w:r>
      <w:r w:rsidR="00D87E79" w:rsidRPr="00935020">
        <w:rPr>
          <w:rFonts w:ascii="Times New Roman" w:hAnsi="Times New Roman"/>
        </w:rPr>
        <w:t>are</w:t>
      </w:r>
      <w:r w:rsidRPr="00935020">
        <w:rPr>
          <w:rFonts w:ascii="Times New Roman" w:hAnsi="Times New Roman"/>
        </w:rPr>
        <w:t xml:space="preserve"> a legislative instrument for the purposes of the </w:t>
      </w:r>
      <w:r w:rsidRPr="00935020">
        <w:rPr>
          <w:rFonts w:ascii="Times New Roman" w:hAnsi="Times New Roman"/>
          <w:i/>
        </w:rPr>
        <w:t>Legislation Act 2003</w:t>
      </w:r>
      <w:r w:rsidRPr="00935020">
        <w:rPr>
          <w:rFonts w:ascii="Times New Roman" w:hAnsi="Times New Roman"/>
        </w:rPr>
        <w:t>.</w:t>
      </w:r>
    </w:p>
    <w:p w14:paraId="2C3CD18C" w14:textId="77777777" w:rsidR="00350B3C" w:rsidRPr="00935020" w:rsidRDefault="00350B3C" w:rsidP="008A0507">
      <w:pPr>
        <w:tabs>
          <w:tab w:val="left" w:pos="6521"/>
        </w:tabs>
        <w:ind w:right="91"/>
        <w:rPr>
          <w:rFonts w:ascii="Times New Roman" w:hAnsi="Times New Roman"/>
        </w:rPr>
      </w:pPr>
    </w:p>
    <w:p w14:paraId="72081DFA" w14:textId="72F7D97E" w:rsidR="005A6CE3" w:rsidRPr="00935020" w:rsidRDefault="008A7535" w:rsidP="00D87E79">
      <w:pPr>
        <w:tabs>
          <w:tab w:val="left" w:pos="567"/>
        </w:tabs>
        <w:rPr>
          <w:szCs w:val="24"/>
        </w:rPr>
      </w:pPr>
      <w:r w:rsidRPr="00935020">
        <w:rPr>
          <w:szCs w:val="24"/>
        </w:rPr>
        <w:t xml:space="preserve">A Statement of Compatibility with Human Rights has been completed for the Amendment Regulation, in accordance with the </w:t>
      </w:r>
      <w:r w:rsidRPr="00935020">
        <w:rPr>
          <w:i/>
          <w:szCs w:val="24"/>
        </w:rPr>
        <w:t>Human Rights (Parliamentary Scrutiny) Act 2011</w:t>
      </w:r>
      <w:r w:rsidRPr="00935020">
        <w:rPr>
          <w:szCs w:val="24"/>
        </w:rPr>
        <w:t>. The Statement’s assessment is that the measures in the Amendment Regulations are compatible with human rights.</w:t>
      </w:r>
    </w:p>
    <w:p w14:paraId="52C08D7A" w14:textId="77777777" w:rsidR="00667F41" w:rsidRPr="00935020" w:rsidRDefault="00667F41">
      <w:pPr>
        <w:rPr>
          <w:b/>
        </w:rPr>
      </w:pPr>
    </w:p>
    <w:p w14:paraId="7732B6E0" w14:textId="77777777" w:rsidR="00667F41" w:rsidRPr="00935020" w:rsidRDefault="00667F41" w:rsidP="00667F41">
      <w:pPr>
        <w:rPr>
          <w:u w:val="single"/>
        </w:rPr>
      </w:pPr>
      <w:r w:rsidRPr="00935020">
        <w:rPr>
          <w:u w:val="single"/>
        </w:rPr>
        <w:t>Consultation</w:t>
      </w:r>
    </w:p>
    <w:p w14:paraId="6F9EB6B1" w14:textId="229C9CA6" w:rsidR="00667F41" w:rsidRPr="00935020" w:rsidRDefault="00667F41" w:rsidP="00667F41">
      <w:pPr>
        <w:rPr>
          <w:rFonts w:ascii="Times New Roman" w:hAnsi="Times New Roman"/>
        </w:rPr>
      </w:pPr>
      <w:r w:rsidRPr="00935020">
        <w:t xml:space="preserve">The changes in the Amendment Regulations have been discussed with representatives of Medicines Australia and the Generic and Biosimilar Medicines Association. </w:t>
      </w:r>
      <w:r w:rsidR="007502BC" w:rsidRPr="00935020">
        <w:t xml:space="preserve">Public consultation </w:t>
      </w:r>
      <w:r w:rsidR="00A140BE" w:rsidRPr="00935020">
        <w:t xml:space="preserve">was undertaken </w:t>
      </w:r>
      <w:r w:rsidR="007502BC" w:rsidRPr="00935020">
        <w:t xml:space="preserve">on the draft Cost Recovery Implementation Statement </w:t>
      </w:r>
      <w:r w:rsidR="00A140BE" w:rsidRPr="00935020">
        <w:t xml:space="preserve">to </w:t>
      </w:r>
      <w:r w:rsidR="007502BC" w:rsidRPr="00935020">
        <w:t>advise industry of the fee changes for the 2021-22 financial year</w:t>
      </w:r>
      <w:r w:rsidR="00A140BE" w:rsidRPr="00935020">
        <w:t>.</w:t>
      </w:r>
    </w:p>
    <w:p w14:paraId="1DAABE72" w14:textId="77777777" w:rsidR="00667F41" w:rsidRPr="00935020" w:rsidRDefault="00667F41">
      <w:pPr>
        <w:rPr>
          <w:b/>
        </w:rPr>
      </w:pPr>
    </w:p>
    <w:p w14:paraId="4184709E" w14:textId="3CC9037A" w:rsidR="00667F41" w:rsidRPr="00935020" w:rsidRDefault="00667F41">
      <w:pPr>
        <w:rPr>
          <w:b/>
        </w:rPr>
      </w:pPr>
      <w:r w:rsidRPr="00935020">
        <w:rPr>
          <w:b/>
        </w:rPr>
        <w:br w:type="page"/>
      </w:r>
    </w:p>
    <w:p w14:paraId="50D0B3D5" w14:textId="25AD3C15" w:rsidR="00BE29F3" w:rsidRPr="00935020" w:rsidRDefault="00BE29F3" w:rsidP="0043166B">
      <w:pPr>
        <w:jc w:val="right"/>
        <w:rPr>
          <w:rFonts w:ascii="Times New Roman" w:hAnsi="Times New Roman"/>
          <w:b/>
          <w:szCs w:val="24"/>
          <w:u w:val="single"/>
        </w:rPr>
      </w:pPr>
      <w:r w:rsidRPr="00935020">
        <w:rPr>
          <w:rFonts w:ascii="Times New Roman" w:hAnsi="Times New Roman"/>
          <w:b/>
          <w:szCs w:val="24"/>
          <w:u w:val="single"/>
        </w:rPr>
        <w:lastRenderedPageBreak/>
        <w:t>ATTACHMENT</w:t>
      </w:r>
    </w:p>
    <w:p w14:paraId="01E6A782" w14:textId="77777777" w:rsidR="00667F41" w:rsidRPr="00935020" w:rsidRDefault="00667F41" w:rsidP="000013A4"/>
    <w:p w14:paraId="718FC147" w14:textId="1FA90332" w:rsidR="00BE29F3" w:rsidRPr="00935020" w:rsidRDefault="00BE29F3" w:rsidP="00BE29F3">
      <w:pPr>
        <w:tabs>
          <w:tab w:val="left" w:pos="1701"/>
          <w:tab w:val="right" w:pos="9072"/>
        </w:tabs>
        <w:ind w:right="91"/>
        <w:rPr>
          <w:rFonts w:ascii="Times New Roman" w:hAnsi="Times New Roman"/>
          <w:b/>
          <w:i/>
          <w:u w:val="single"/>
        </w:rPr>
      </w:pPr>
      <w:r w:rsidRPr="00935020">
        <w:rPr>
          <w:rFonts w:ascii="Times New Roman" w:hAnsi="Times New Roman"/>
          <w:b/>
          <w:u w:val="single"/>
        </w:rPr>
        <w:t xml:space="preserve">Details of the proposed </w:t>
      </w:r>
      <w:r w:rsidRPr="00935020">
        <w:rPr>
          <w:rFonts w:ascii="Times New Roman" w:hAnsi="Times New Roman"/>
          <w:b/>
          <w:i/>
          <w:u w:val="single"/>
        </w:rPr>
        <w:t xml:space="preserve">National Health </w:t>
      </w:r>
      <w:r w:rsidR="007C78F9" w:rsidRPr="00935020">
        <w:rPr>
          <w:rFonts w:ascii="Times New Roman" w:hAnsi="Times New Roman"/>
          <w:b/>
          <w:i/>
          <w:u w:val="single"/>
        </w:rPr>
        <w:t>(Pharmaceuticals and Vaccines</w:t>
      </w:r>
      <w:r w:rsidR="007C78F9" w:rsidRPr="00935020">
        <w:rPr>
          <w:rFonts w:ascii="Times New Roman" w:hAnsi="Times New Roman"/>
          <w:b/>
          <w:i/>
          <w:u w:val="single"/>
        </w:rPr>
        <w:softHyphen/>
      </w:r>
      <w:r w:rsidR="000013A4" w:rsidRPr="00935020">
        <w:rPr>
          <w:rFonts w:ascii="Times New Roman" w:hAnsi="Times New Roman"/>
          <w:i/>
          <w:szCs w:val="24"/>
          <w:u w:val="single"/>
        </w:rPr>
        <w:t>—</w:t>
      </w:r>
      <w:r w:rsidRPr="00935020">
        <w:rPr>
          <w:rFonts w:ascii="Times New Roman" w:hAnsi="Times New Roman"/>
          <w:b/>
          <w:i/>
          <w:u w:val="single"/>
        </w:rPr>
        <w:t>Cost</w:t>
      </w:r>
      <w:r w:rsidR="007C78F9" w:rsidRPr="00935020">
        <w:rPr>
          <w:rFonts w:ascii="Times New Roman" w:hAnsi="Times New Roman"/>
          <w:b/>
          <w:i/>
          <w:u w:val="single"/>
        </w:rPr>
        <w:t xml:space="preserve"> </w:t>
      </w:r>
      <w:r w:rsidRPr="00935020">
        <w:rPr>
          <w:rFonts w:ascii="Times New Roman" w:hAnsi="Times New Roman"/>
          <w:b/>
          <w:i/>
          <w:u w:val="single"/>
        </w:rPr>
        <w:t>Recovery) Amendment (Fees) Regulations 2021</w:t>
      </w:r>
    </w:p>
    <w:p w14:paraId="3359F9FF" w14:textId="77777777" w:rsidR="006E0FD7" w:rsidRPr="00935020" w:rsidRDefault="006E0FD7" w:rsidP="006E0FD7"/>
    <w:p w14:paraId="1DD8687B" w14:textId="02CE0FD2" w:rsidR="006E0FD7" w:rsidRPr="00935020" w:rsidRDefault="00BE29F3" w:rsidP="0030583E">
      <w:pPr>
        <w:spacing w:after="120"/>
        <w:rPr>
          <w:b/>
        </w:rPr>
      </w:pPr>
      <w:r w:rsidRPr="00935020">
        <w:rPr>
          <w:u w:val="single"/>
        </w:rPr>
        <w:t xml:space="preserve">Section 1 – Name </w:t>
      </w:r>
    </w:p>
    <w:p w14:paraId="122CFD0B" w14:textId="4188BF1D" w:rsidR="006E0FD7" w:rsidRPr="00935020" w:rsidRDefault="006E0FD7" w:rsidP="006E0FD7">
      <w:r w:rsidRPr="00935020">
        <w:t xml:space="preserve">This </w:t>
      </w:r>
      <w:r w:rsidR="00BE29F3" w:rsidRPr="00935020">
        <w:t>section</w:t>
      </w:r>
      <w:r w:rsidRPr="00935020">
        <w:t xml:space="preserve"> </w:t>
      </w:r>
      <w:r w:rsidR="00332C68" w:rsidRPr="00935020">
        <w:t>provide</w:t>
      </w:r>
      <w:r w:rsidR="00374D01" w:rsidRPr="00935020">
        <w:t>s</w:t>
      </w:r>
      <w:r w:rsidRPr="00935020">
        <w:t xml:space="preserve"> that the</w:t>
      </w:r>
      <w:r w:rsidR="00132680" w:rsidRPr="00935020">
        <w:t xml:space="preserve"> title of the</w:t>
      </w:r>
      <w:r w:rsidRPr="00935020">
        <w:t xml:space="preserve"> Regulation</w:t>
      </w:r>
      <w:r w:rsidR="00A93219" w:rsidRPr="00935020">
        <w:t xml:space="preserve">s </w:t>
      </w:r>
      <w:r w:rsidR="00132680" w:rsidRPr="00935020">
        <w:t>is</w:t>
      </w:r>
      <w:r w:rsidRPr="00935020">
        <w:t xml:space="preserve"> the </w:t>
      </w:r>
      <w:r w:rsidRPr="00935020">
        <w:rPr>
          <w:i/>
        </w:rPr>
        <w:t>National Health (Pharmaceuticals and Vaccines</w:t>
      </w:r>
      <w:r w:rsidR="000013A4" w:rsidRPr="00935020">
        <w:rPr>
          <w:rFonts w:ascii="Times New Roman" w:hAnsi="Times New Roman"/>
          <w:i/>
          <w:szCs w:val="24"/>
        </w:rPr>
        <w:t>—</w:t>
      </w:r>
      <w:r w:rsidRPr="00935020">
        <w:rPr>
          <w:i/>
        </w:rPr>
        <w:t>Cost Recovery) Amendment (Fees) Regulations 2021.</w:t>
      </w:r>
    </w:p>
    <w:p w14:paraId="62F457F9" w14:textId="77777777" w:rsidR="006E0FD7" w:rsidRPr="00935020" w:rsidRDefault="006E0FD7" w:rsidP="006E0FD7"/>
    <w:p w14:paraId="36EA5481" w14:textId="77777777" w:rsidR="00493084" w:rsidRPr="00935020" w:rsidRDefault="00BE29F3" w:rsidP="006E0FD7">
      <w:pPr>
        <w:rPr>
          <w:u w:val="single"/>
        </w:rPr>
      </w:pPr>
      <w:r w:rsidRPr="00935020">
        <w:rPr>
          <w:u w:val="single"/>
        </w:rPr>
        <w:t xml:space="preserve">Section 2 – Commencement </w:t>
      </w:r>
    </w:p>
    <w:p w14:paraId="72E7C97F" w14:textId="3BECF6AF" w:rsidR="006E0FD7" w:rsidRPr="00935020" w:rsidRDefault="00A93219" w:rsidP="00493084">
      <w:pPr>
        <w:spacing w:before="120"/>
      </w:pPr>
      <w:r w:rsidRPr="00935020">
        <w:t>Th</w:t>
      </w:r>
      <w:r w:rsidR="00132680" w:rsidRPr="00935020">
        <w:t>is section provide</w:t>
      </w:r>
      <w:r w:rsidR="00374D01" w:rsidRPr="00935020">
        <w:t>s</w:t>
      </w:r>
      <w:r w:rsidR="00132680" w:rsidRPr="00935020">
        <w:t xml:space="preserve"> for the </w:t>
      </w:r>
      <w:r w:rsidR="00667F41" w:rsidRPr="00935020">
        <w:t xml:space="preserve">Amendment </w:t>
      </w:r>
      <w:r w:rsidR="00132680" w:rsidRPr="00935020">
        <w:t>Regulations to</w:t>
      </w:r>
      <w:r w:rsidR="00332C68" w:rsidRPr="00935020">
        <w:t xml:space="preserve"> commence</w:t>
      </w:r>
      <w:r w:rsidRPr="00935020">
        <w:t xml:space="preserve"> on 1 July 2021.</w:t>
      </w:r>
    </w:p>
    <w:p w14:paraId="026EB577" w14:textId="77777777" w:rsidR="006E0FD7" w:rsidRPr="00935020" w:rsidRDefault="006E0FD7" w:rsidP="006E0FD7"/>
    <w:p w14:paraId="3A88DD19" w14:textId="77777777" w:rsidR="00493084" w:rsidRPr="00935020" w:rsidRDefault="00BE29F3" w:rsidP="006E0FD7">
      <w:pPr>
        <w:rPr>
          <w:u w:val="single"/>
        </w:rPr>
      </w:pPr>
      <w:r w:rsidRPr="00935020">
        <w:rPr>
          <w:u w:val="single"/>
        </w:rPr>
        <w:t xml:space="preserve">Section 3 – Authority </w:t>
      </w:r>
    </w:p>
    <w:p w14:paraId="5AB6797F" w14:textId="2B8BCB11" w:rsidR="00A93219" w:rsidRPr="00935020" w:rsidRDefault="00A93219" w:rsidP="006E0FD7">
      <w:r w:rsidRPr="00935020">
        <w:t xml:space="preserve">This </w:t>
      </w:r>
      <w:r w:rsidR="00132680" w:rsidRPr="00935020">
        <w:t xml:space="preserve">section </w:t>
      </w:r>
      <w:r w:rsidR="00332C68" w:rsidRPr="00935020">
        <w:t>provide</w:t>
      </w:r>
      <w:r w:rsidR="00374D01" w:rsidRPr="00935020">
        <w:t>s</w:t>
      </w:r>
      <w:r w:rsidRPr="00935020">
        <w:t xml:space="preserve"> that the</w:t>
      </w:r>
      <w:r w:rsidR="00BE29F3" w:rsidRPr="00935020">
        <w:t xml:space="preserve"> </w:t>
      </w:r>
      <w:r w:rsidR="00667F41" w:rsidRPr="00935020">
        <w:t>Amendment Regulations</w:t>
      </w:r>
      <w:r w:rsidR="00BE29F3" w:rsidRPr="00935020">
        <w:rPr>
          <w:i/>
        </w:rPr>
        <w:t xml:space="preserve"> </w:t>
      </w:r>
      <w:r w:rsidR="00CF29B3" w:rsidRPr="00935020">
        <w:t>are</w:t>
      </w:r>
      <w:r w:rsidRPr="00935020">
        <w:t xml:space="preserve"> made under the </w:t>
      </w:r>
      <w:r w:rsidRPr="00935020">
        <w:rPr>
          <w:i/>
        </w:rPr>
        <w:t>National Health Act 1953</w:t>
      </w:r>
      <w:r w:rsidRPr="00935020">
        <w:t>.</w:t>
      </w:r>
    </w:p>
    <w:p w14:paraId="3051BF58" w14:textId="77777777" w:rsidR="00A93219" w:rsidRPr="00935020" w:rsidRDefault="00A93219" w:rsidP="006E0FD7">
      <w:pPr>
        <w:rPr>
          <w:b/>
        </w:rPr>
      </w:pPr>
    </w:p>
    <w:p w14:paraId="2E832B37" w14:textId="77777777" w:rsidR="0030583E" w:rsidRPr="00935020" w:rsidRDefault="00BE29F3" w:rsidP="00493084">
      <w:pPr>
        <w:keepNext/>
        <w:spacing w:line="280" w:lineRule="atLeast"/>
        <w:ind w:right="748"/>
        <w:rPr>
          <w:u w:val="single"/>
        </w:rPr>
      </w:pPr>
      <w:r w:rsidRPr="00935020">
        <w:rPr>
          <w:u w:val="single"/>
        </w:rPr>
        <w:t>Section 4 – Schedule(s)</w:t>
      </w:r>
    </w:p>
    <w:p w14:paraId="731C31BD" w14:textId="010EA7F8" w:rsidR="00527EEF" w:rsidRPr="00935020" w:rsidRDefault="00527EEF" w:rsidP="00493084">
      <w:pPr>
        <w:keepNext/>
        <w:spacing w:before="120" w:line="280" w:lineRule="atLeast"/>
        <w:ind w:right="748"/>
        <w:rPr>
          <w:rFonts w:ascii="Times New Roman" w:hAnsi="Times New Roman"/>
        </w:rPr>
      </w:pPr>
      <w:r w:rsidRPr="00935020">
        <w:rPr>
          <w:rFonts w:ascii="Times New Roman" w:hAnsi="Times New Roman"/>
        </w:rPr>
        <w:t>This section provide</w:t>
      </w:r>
      <w:r w:rsidR="00374D01" w:rsidRPr="00935020">
        <w:rPr>
          <w:rFonts w:ascii="Times New Roman" w:hAnsi="Times New Roman"/>
        </w:rPr>
        <w:t>s</w:t>
      </w:r>
      <w:r w:rsidRPr="00935020">
        <w:rPr>
          <w:rFonts w:ascii="Times New Roman" w:hAnsi="Times New Roman"/>
        </w:rPr>
        <w:t xml:space="preserve"> that each instrument specified in the Schedule is amended or repealed as set out in the applicable items in the Schedule and that any other item in the Schedule has effect according to its terms.</w:t>
      </w:r>
    </w:p>
    <w:p w14:paraId="5F089A2A" w14:textId="40C153D6" w:rsidR="006E0FD7" w:rsidRPr="00935020" w:rsidRDefault="006E0FD7" w:rsidP="00041539">
      <w:pPr>
        <w:rPr>
          <w:b/>
        </w:rPr>
      </w:pPr>
    </w:p>
    <w:p w14:paraId="21A03B76" w14:textId="4A231BAD" w:rsidR="00527EEF" w:rsidRPr="00935020" w:rsidRDefault="00527EEF" w:rsidP="00493084">
      <w:pPr>
        <w:rPr>
          <w:u w:val="single"/>
        </w:rPr>
      </w:pPr>
      <w:r w:rsidRPr="00935020">
        <w:rPr>
          <w:u w:val="single"/>
        </w:rPr>
        <w:t>Schedule 1 – Amendments</w:t>
      </w:r>
    </w:p>
    <w:p w14:paraId="0E5E38C4" w14:textId="70A99429" w:rsidR="0079486B" w:rsidRPr="00935020" w:rsidRDefault="0079486B" w:rsidP="0043166B">
      <w:pPr>
        <w:spacing w:before="240"/>
        <w:rPr>
          <w:b/>
        </w:rPr>
      </w:pPr>
      <w:r w:rsidRPr="00935020">
        <w:rPr>
          <w:b/>
        </w:rPr>
        <w:t xml:space="preserve">Item </w:t>
      </w:r>
      <w:r w:rsidR="00527EEF" w:rsidRPr="00935020">
        <w:rPr>
          <w:b/>
        </w:rPr>
        <w:t>[</w:t>
      </w:r>
      <w:r w:rsidRPr="00935020">
        <w:rPr>
          <w:b/>
        </w:rPr>
        <w:t>1</w:t>
      </w:r>
      <w:r w:rsidR="00527EEF" w:rsidRPr="00935020">
        <w:rPr>
          <w:b/>
        </w:rPr>
        <w:t>]</w:t>
      </w:r>
      <w:r w:rsidRPr="00935020">
        <w:rPr>
          <w:b/>
        </w:rPr>
        <w:t xml:space="preserve"> – </w:t>
      </w:r>
      <w:proofErr w:type="spellStart"/>
      <w:r w:rsidRPr="00935020">
        <w:rPr>
          <w:b/>
        </w:rPr>
        <w:t>Subregulation</w:t>
      </w:r>
      <w:proofErr w:type="spellEnd"/>
      <w:r w:rsidRPr="00935020">
        <w:rPr>
          <w:b/>
        </w:rPr>
        <w:t xml:space="preserve"> </w:t>
      </w:r>
      <w:proofErr w:type="gramStart"/>
      <w:r w:rsidRPr="00935020">
        <w:rPr>
          <w:b/>
        </w:rPr>
        <w:t>1A.1(</w:t>
      </w:r>
      <w:proofErr w:type="gramEnd"/>
      <w:r w:rsidRPr="00935020">
        <w:rPr>
          <w:b/>
        </w:rPr>
        <w:t>2)</w:t>
      </w:r>
    </w:p>
    <w:p w14:paraId="361A40C7" w14:textId="1DB654A5" w:rsidR="006C5E6A" w:rsidRPr="00935020" w:rsidRDefault="006C5E6A" w:rsidP="001A2BFE">
      <w:pPr>
        <w:spacing w:before="120" w:after="120"/>
      </w:pPr>
      <w:r w:rsidRPr="00935020">
        <w:t xml:space="preserve">This item </w:t>
      </w:r>
      <w:r w:rsidR="009D3505" w:rsidRPr="00935020">
        <w:t>substitute</w:t>
      </w:r>
      <w:r w:rsidR="00400F63" w:rsidRPr="00935020">
        <w:t>d</w:t>
      </w:r>
      <w:r w:rsidRPr="00935020">
        <w:t xml:space="preserve"> the ‘usual ATAGI fee’ amount</w:t>
      </w:r>
      <w:r w:rsidR="009F6C31" w:rsidRPr="00935020">
        <w:t xml:space="preserve"> </w:t>
      </w:r>
      <w:r w:rsidR="00F8373D" w:rsidRPr="00935020">
        <w:t>with</w:t>
      </w:r>
      <w:r w:rsidR="009F6C31" w:rsidRPr="00935020">
        <w:t>in the Principal Regulations</w:t>
      </w:r>
      <w:r w:rsidR="00977AB2" w:rsidRPr="00935020">
        <w:t xml:space="preserve"> </w:t>
      </w:r>
      <w:r w:rsidR="00F8373D" w:rsidRPr="00935020">
        <w:t xml:space="preserve">to </w:t>
      </w:r>
      <w:r w:rsidR="00977AB2" w:rsidRPr="00935020">
        <w:t xml:space="preserve">reflect the </w:t>
      </w:r>
      <w:r w:rsidR="00F8373D" w:rsidRPr="00935020">
        <w:t xml:space="preserve">revised </w:t>
      </w:r>
      <w:r w:rsidR="009A7839" w:rsidRPr="00935020">
        <w:t>fee</w:t>
      </w:r>
      <w:r w:rsidR="00F8373D" w:rsidRPr="00935020">
        <w:t>s</w:t>
      </w:r>
      <w:r w:rsidR="009A7839" w:rsidRPr="00935020">
        <w:t xml:space="preserve"> </w:t>
      </w:r>
      <w:r w:rsidR="00977AB2" w:rsidRPr="00935020">
        <w:t>for the 2021-22 financial year</w:t>
      </w:r>
      <w:r w:rsidRPr="00935020">
        <w:t>.</w:t>
      </w:r>
    </w:p>
    <w:p w14:paraId="6AC55193" w14:textId="4E800EED" w:rsidR="00441951" w:rsidRPr="00935020" w:rsidRDefault="00441951" w:rsidP="001A2BFE">
      <w:pPr>
        <w:spacing w:after="120"/>
      </w:pPr>
      <w:r w:rsidRPr="00935020">
        <w:t>This fee is charged by the Department of Health</w:t>
      </w:r>
      <w:r w:rsidR="009F6C31" w:rsidRPr="00935020">
        <w:t xml:space="preserve"> (the Department)</w:t>
      </w:r>
      <w:r w:rsidRPr="00935020">
        <w:t xml:space="preserve"> to recover the </w:t>
      </w:r>
      <w:r w:rsidR="001A2BFE" w:rsidRPr="00935020">
        <w:t xml:space="preserve">cost of providing </w:t>
      </w:r>
      <w:r w:rsidRPr="00935020">
        <w:t xml:space="preserve">services in response to a </w:t>
      </w:r>
      <w:r w:rsidR="009F6C31" w:rsidRPr="00935020">
        <w:t xml:space="preserve">‘complex’ </w:t>
      </w:r>
      <w:r w:rsidRPr="00935020">
        <w:t>application for</w:t>
      </w:r>
      <w:r w:rsidR="00CF29B3" w:rsidRPr="00935020">
        <w:t xml:space="preserve"> </w:t>
      </w:r>
      <w:r w:rsidRPr="00935020">
        <w:t>Australian Technical Advisory Group on Immunisation</w:t>
      </w:r>
      <w:r w:rsidR="00977AB2" w:rsidRPr="00935020">
        <w:t xml:space="preserve"> (ATAGI)</w:t>
      </w:r>
      <w:r w:rsidR="009F6C31" w:rsidRPr="00935020">
        <w:t xml:space="preserve"> </w:t>
      </w:r>
      <w:proofErr w:type="spellStart"/>
      <w:r w:rsidR="009F6C31" w:rsidRPr="00935020">
        <w:t>presubmission</w:t>
      </w:r>
      <w:proofErr w:type="spellEnd"/>
      <w:r w:rsidRPr="00935020">
        <w:t>.</w:t>
      </w:r>
    </w:p>
    <w:p w14:paraId="0FB55B5D" w14:textId="7EAB3AD7" w:rsidR="00977AB2" w:rsidRPr="00935020" w:rsidRDefault="00977AB2" w:rsidP="00977AB2">
      <w:pPr>
        <w:pStyle w:val="BodyText"/>
        <w:rPr>
          <w:rFonts w:ascii="Tms Rmn" w:hAnsi="Tms Rmn"/>
          <w:i w:val="0"/>
          <w:iCs w:val="0"/>
          <w:color w:val="auto"/>
          <w:szCs w:val="20"/>
          <w:lang w:eastAsia="en-AU"/>
        </w:rPr>
      </w:pPr>
      <w:r w:rsidRPr="00935020">
        <w:rPr>
          <w:rFonts w:ascii="Tms Rmn" w:hAnsi="Tms Rmn"/>
          <w:i w:val="0"/>
          <w:iCs w:val="0"/>
          <w:color w:val="auto"/>
          <w:szCs w:val="20"/>
          <w:lang w:eastAsia="en-AU"/>
        </w:rPr>
        <w:t>ATAGI provid</w:t>
      </w:r>
      <w:r w:rsidR="00F7602D" w:rsidRPr="00935020">
        <w:rPr>
          <w:rFonts w:ascii="Tms Rmn" w:hAnsi="Tms Rmn"/>
          <w:i w:val="0"/>
          <w:iCs w:val="0"/>
          <w:color w:val="auto"/>
          <w:szCs w:val="20"/>
          <w:lang w:eastAsia="en-AU"/>
        </w:rPr>
        <w:t>es</w:t>
      </w:r>
      <w:r w:rsidRPr="00935020">
        <w:rPr>
          <w:rFonts w:ascii="Tms Rmn" w:hAnsi="Tms Rmn"/>
          <w:i w:val="0"/>
          <w:iCs w:val="0"/>
          <w:color w:val="auto"/>
          <w:szCs w:val="20"/>
          <w:lang w:eastAsia="en-AU"/>
        </w:rPr>
        <w:t xml:space="preserve"> advice to support the P</w:t>
      </w:r>
      <w:r w:rsidR="00F7602D" w:rsidRPr="00935020">
        <w:rPr>
          <w:rFonts w:ascii="Tms Rmn" w:hAnsi="Tms Rmn"/>
          <w:i w:val="0"/>
          <w:iCs w:val="0"/>
          <w:color w:val="auto"/>
          <w:szCs w:val="20"/>
          <w:lang w:eastAsia="en-AU"/>
        </w:rPr>
        <w:t>harmaceutical Benefits Advisory Committee’s (P</w:t>
      </w:r>
      <w:r w:rsidRPr="00935020">
        <w:rPr>
          <w:rFonts w:ascii="Tms Rmn" w:hAnsi="Tms Rmn"/>
          <w:i w:val="0"/>
          <w:iCs w:val="0"/>
          <w:color w:val="auto"/>
          <w:szCs w:val="20"/>
          <w:lang w:eastAsia="en-AU"/>
        </w:rPr>
        <w:t>BAC’s</w:t>
      </w:r>
      <w:r w:rsidR="00F7602D" w:rsidRPr="00935020">
        <w:rPr>
          <w:rFonts w:ascii="Tms Rmn" w:hAnsi="Tms Rmn"/>
          <w:i w:val="0"/>
          <w:iCs w:val="0"/>
          <w:color w:val="auto"/>
          <w:szCs w:val="20"/>
          <w:lang w:eastAsia="en-AU"/>
        </w:rPr>
        <w:t>)</w:t>
      </w:r>
      <w:r w:rsidRPr="00935020">
        <w:rPr>
          <w:rFonts w:ascii="Tms Rmn" w:hAnsi="Tms Rmn"/>
          <w:i w:val="0"/>
          <w:iCs w:val="0"/>
          <w:color w:val="auto"/>
          <w:szCs w:val="20"/>
          <w:lang w:eastAsia="en-AU"/>
        </w:rPr>
        <w:t xml:space="preserve"> evaluation of vaccines for the National Immunisation Program (NIP), including on clinical, technical and implementation matters.</w:t>
      </w:r>
    </w:p>
    <w:p w14:paraId="0FD472CD" w14:textId="40A18914" w:rsidR="0079486B" w:rsidRPr="00935020" w:rsidRDefault="0079486B" w:rsidP="0048255C">
      <w:pPr>
        <w:spacing w:before="220"/>
        <w:rPr>
          <w:b/>
        </w:rPr>
      </w:pPr>
      <w:r w:rsidRPr="00935020">
        <w:rPr>
          <w:b/>
        </w:rPr>
        <w:t xml:space="preserve">Item </w:t>
      </w:r>
      <w:r w:rsidR="00527EEF" w:rsidRPr="00935020">
        <w:rPr>
          <w:b/>
        </w:rPr>
        <w:t>[</w:t>
      </w:r>
      <w:r w:rsidRPr="00935020">
        <w:rPr>
          <w:b/>
        </w:rPr>
        <w:t>2</w:t>
      </w:r>
      <w:r w:rsidR="00527EEF" w:rsidRPr="00935020">
        <w:rPr>
          <w:b/>
        </w:rPr>
        <w:t>]</w:t>
      </w:r>
      <w:r w:rsidRPr="00935020">
        <w:rPr>
          <w:b/>
        </w:rPr>
        <w:t xml:space="preserve"> – </w:t>
      </w:r>
      <w:proofErr w:type="spellStart"/>
      <w:r w:rsidRPr="00935020">
        <w:rPr>
          <w:b/>
        </w:rPr>
        <w:t>Subregulation</w:t>
      </w:r>
      <w:proofErr w:type="spellEnd"/>
      <w:r w:rsidRPr="00935020">
        <w:rPr>
          <w:b/>
        </w:rPr>
        <w:t xml:space="preserve"> </w:t>
      </w:r>
      <w:proofErr w:type="gramStart"/>
      <w:r w:rsidRPr="00935020">
        <w:rPr>
          <w:b/>
        </w:rPr>
        <w:t>1A.2(</w:t>
      </w:r>
      <w:proofErr w:type="gramEnd"/>
      <w:r w:rsidRPr="00935020">
        <w:rPr>
          <w:b/>
        </w:rPr>
        <w:t>3)</w:t>
      </w:r>
    </w:p>
    <w:p w14:paraId="5DE040E6" w14:textId="030A3AF3" w:rsidR="009F6C31" w:rsidRPr="00935020" w:rsidRDefault="009F6C31" w:rsidP="001A2BFE">
      <w:pPr>
        <w:spacing w:before="120" w:after="120"/>
      </w:pPr>
      <w:r w:rsidRPr="00935020">
        <w:t xml:space="preserve">This item </w:t>
      </w:r>
      <w:r w:rsidR="00400F63" w:rsidRPr="00935020">
        <w:t xml:space="preserve">substituted </w:t>
      </w:r>
      <w:r w:rsidRPr="00935020">
        <w:t xml:space="preserve">the </w:t>
      </w:r>
      <w:r w:rsidR="00977AB2" w:rsidRPr="00935020">
        <w:t>‘</w:t>
      </w:r>
      <w:r w:rsidRPr="00935020">
        <w:t>partially exempt</w:t>
      </w:r>
      <w:r w:rsidR="00977AB2" w:rsidRPr="00935020">
        <w:t>’</w:t>
      </w:r>
      <w:r w:rsidRPr="00935020">
        <w:t xml:space="preserve"> ATAGI fee amount </w:t>
      </w:r>
      <w:r w:rsidR="00F8373D" w:rsidRPr="00935020">
        <w:t>with</w:t>
      </w:r>
      <w:r w:rsidR="00977AB2" w:rsidRPr="00935020">
        <w:t xml:space="preserve">in the Principal Regulations </w:t>
      </w:r>
      <w:r w:rsidR="00F8373D" w:rsidRPr="00935020">
        <w:t xml:space="preserve">to </w:t>
      </w:r>
      <w:r w:rsidR="00977AB2" w:rsidRPr="00935020">
        <w:t xml:space="preserve">reflect the </w:t>
      </w:r>
      <w:r w:rsidR="00F8373D" w:rsidRPr="00935020">
        <w:t xml:space="preserve">revised </w:t>
      </w:r>
      <w:r w:rsidR="009A7839" w:rsidRPr="00935020">
        <w:t>fee</w:t>
      </w:r>
      <w:r w:rsidR="00F8373D" w:rsidRPr="00935020">
        <w:t>s</w:t>
      </w:r>
      <w:r w:rsidR="009A7839" w:rsidRPr="00935020">
        <w:t xml:space="preserve"> </w:t>
      </w:r>
      <w:r w:rsidR="00977AB2" w:rsidRPr="00935020">
        <w:t>for the 2021-22 financial year.</w:t>
      </w:r>
    </w:p>
    <w:p w14:paraId="07BE292F" w14:textId="3AD026CA" w:rsidR="009F6C31" w:rsidRPr="00935020" w:rsidRDefault="009F6C31" w:rsidP="009F6C31">
      <w:r w:rsidRPr="00935020">
        <w:t>This fee is charged by the Department to cost recover the services provided in response to a ‘simple’ application for A</w:t>
      </w:r>
      <w:r w:rsidR="00977AB2" w:rsidRPr="00935020">
        <w:t xml:space="preserve">TAGI </w:t>
      </w:r>
      <w:proofErr w:type="spellStart"/>
      <w:r w:rsidRPr="00935020">
        <w:t>presubmission</w:t>
      </w:r>
      <w:proofErr w:type="spellEnd"/>
      <w:r w:rsidR="00977AB2" w:rsidRPr="00935020">
        <w:t xml:space="preserve"> advice</w:t>
      </w:r>
      <w:r w:rsidRPr="00935020">
        <w:t>.</w:t>
      </w:r>
    </w:p>
    <w:p w14:paraId="6763395B" w14:textId="5D439144" w:rsidR="0079486B" w:rsidRPr="00935020" w:rsidRDefault="0079486B" w:rsidP="0048255C">
      <w:pPr>
        <w:spacing w:before="220"/>
      </w:pPr>
      <w:r w:rsidRPr="00935020">
        <w:rPr>
          <w:b/>
        </w:rPr>
        <w:t>Item</w:t>
      </w:r>
      <w:r w:rsidR="005459C4" w:rsidRPr="00935020">
        <w:rPr>
          <w:b/>
        </w:rPr>
        <w:t>s</w:t>
      </w:r>
      <w:r w:rsidRPr="00935020">
        <w:rPr>
          <w:b/>
        </w:rPr>
        <w:t xml:space="preserve"> </w:t>
      </w:r>
      <w:r w:rsidR="00527EEF" w:rsidRPr="00935020">
        <w:rPr>
          <w:b/>
        </w:rPr>
        <w:t>[</w:t>
      </w:r>
      <w:r w:rsidRPr="00935020">
        <w:rPr>
          <w:b/>
        </w:rPr>
        <w:t>3</w:t>
      </w:r>
      <w:r w:rsidR="00527EEF" w:rsidRPr="00935020">
        <w:rPr>
          <w:b/>
        </w:rPr>
        <w:t>]</w:t>
      </w:r>
      <w:r w:rsidR="005459C4" w:rsidRPr="00935020">
        <w:rPr>
          <w:b/>
        </w:rPr>
        <w:t xml:space="preserve"> and [4]</w:t>
      </w:r>
      <w:r w:rsidRPr="00935020">
        <w:rPr>
          <w:b/>
        </w:rPr>
        <w:t xml:space="preserve"> – </w:t>
      </w:r>
      <w:proofErr w:type="spellStart"/>
      <w:r w:rsidRPr="00935020">
        <w:rPr>
          <w:b/>
        </w:rPr>
        <w:t>Subregulation</w:t>
      </w:r>
      <w:proofErr w:type="spellEnd"/>
      <w:r w:rsidRPr="00935020">
        <w:rPr>
          <w:b/>
        </w:rPr>
        <w:t xml:space="preserve"> 1A.7 (table item</w:t>
      </w:r>
      <w:r w:rsidR="005459C4" w:rsidRPr="00935020">
        <w:rPr>
          <w:b/>
        </w:rPr>
        <w:t>s</w:t>
      </w:r>
      <w:r w:rsidRPr="00935020">
        <w:rPr>
          <w:b/>
        </w:rPr>
        <w:t xml:space="preserve"> 1</w:t>
      </w:r>
      <w:r w:rsidR="005459C4" w:rsidRPr="00935020">
        <w:rPr>
          <w:b/>
        </w:rPr>
        <w:t xml:space="preserve"> and 2</w:t>
      </w:r>
      <w:r w:rsidRPr="00935020">
        <w:rPr>
          <w:b/>
        </w:rPr>
        <w:t>)</w:t>
      </w:r>
      <w:r w:rsidR="005459C4" w:rsidRPr="00935020">
        <w:rPr>
          <w:b/>
        </w:rPr>
        <w:t xml:space="preserve"> </w:t>
      </w:r>
    </w:p>
    <w:p w14:paraId="02B9D667" w14:textId="25F08E33" w:rsidR="00441951" w:rsidRPr="00935020" w:rsidRDefault="00400F63" w:rsidP="001A2BFE">
      <w:pPr>
        <w:spacing w:before="120" w:after="120"/>
      </w:pPr>
      <w:r w:rsidRPr="00935020">
        <w:t>These items</w:t>
      </w:r>
      <w:r w:rsidR="002B402F" w:rsidRPr="00935020">
        <w:t xml:space="preserve"> </w:t>
      </w:r>
      <w:r w:rsidR="009D3505" w:rsidRPr="00935020">
        <w:t>substitute</w:t>
      </w:r>
      <w:r w:rsidRPr="00935020">
        <w:t>d</w:t>
      </w:r>
      <w:r w:rsidR="00F21FAC" w:rsidRPr="00935020">
        <w:t xml:space="preserve"> the</w:t>
      </w:r>
      <w:r w:rsidR="009A7839" w:rsidRPr="00935020">
        <w:t xml:space="preserve"> </w:t>
      </w:r>
      <w:r w:rsidR="002417CC" w:rsidRPr="00935020">
        <w:t>fee</w:t>
      </w:r>
      <w:r w:rsidR="002B402F" w:rsidRPr="00935020">
        <w:t xml:space="preserve"> amounts </w:t>
      </w:r>
      <w:r w:rsidR="002417CC" w:rsidRPr="00935020">
        <w:t>for a ‘</w:t>
      </w:r>
      <w:r w:rsidR="009A7839" w:rsidRPr="00935020">
        <w:t>first</w:t>
      </w:r>
      <w:r w:rsidR="002417CC" w:rsidRPr="00935020">
        <w:t>’</w:t>
      </w:r>
      <w:r w:rsidR="002B402F" w:rsidRPr="00935020">
        <w:t xml:space="preserve"> and ‘second’</w:t>
      </w:r>
      <w:r w:rsidR="002417CC" w:rsidRPr="00935020">
        <w:t xml:space="preserve"> PBAC </w:t>
      </w:r>
      <w:proofErr w:type="spellStart"/>
      <w:r w:rsidR="009A7839" w:rsidRPr="00935020">
        <w:t>presubmission</w:t>
      </w:r>
      <w:proofErr w:type="spellEnd"/>
      <w:r w:rsidR="009A7839" w:rsidRPr="00935020">
        <w:t xml:space="preserve"> meeting </w:t>
      </w:r>
      <w:r w:rsidR="00F8373D" w:rsidRPr="00935020">
        <w:t>with</w:t>
      </w:r>
      <w:r w:rsidR="009A7839" w:rsidRPr="00935020">
        <w:t>in the Principal Regulations</w:t>
      </w:r>
      <w:r w:rsidR="00F8373D" w:rsidRPr="00935020">
        <w:t xml:space="preserve"> to</w:t>
      </w:r>
      <w:r w:rsidR="009A7839" w:rsidRPr="00935020">
        <w:t xml:space="preserve"> reflect the </w:t>
      </w:r>
      <w:r w:rsidR="00F8373D" w:rsidRPr="00935020">
        <w:t xml:space="preserve">revised </w:t>
      </w:r>
      <w:r w:rsidR="009A7839" w:rsidRPr="00935020">
        <w:t>fee</w:t>
      </w:r>
      <w:r w:rsidR="00F8373D" w:rsidRPr="00935020">
        <w:t>s</w:t>
      </w:r>
      <w:r w:rsidR="009A7839" w:rsidRPr="00935020">
        <w:t xml:space="preserve"> for the </w:t>
      </w:r>
      <w:r w:rsidR="002B402F" w:rsidRPr="00935020">
        <w:t xml:space="preserve">2021-22 financial year. </w:t>
      </w:r>
    </w:p>
    <w:p w14:paraId="4591E610" w14:textId="2CA6A3E9" w:rsidR="002B402F" w:rsidRPr="00935020" w:rsidRDefault="002B402F" w:rsidP="00493084">
      <w:pPr>
        <w:spacing w:before="120"/>
      </w:pPr>
      <w:r w:rsidRPr="00935020">
        <w:lastRenderedPageBreak/>
        <w:t xml:space="preserve">These fees are charged by the Department to recover the </w:t>
      </w:r>
      <w:r w:rsidR="001A2BFE" w:rsidRPr="00935020">
        <w:t xml:space="preserve">cost of holding a </w:t>
      </w:r>
      <w:proofErr w:type="spellStart"/>
      <w:r w:rsidR="001A2BFE" w:rsidRPr="00935020">
        <w:t>presubmission</w:t>
      </w:r>
      <w:proofErr w:type="spellEnd"/>
      <w:r w:rsidR="001A2BFE" w:rsidRPr="00935020">
        <w:t xml:space="preserve"> meeting with a sponsor</w:t>
      </w:r>
      <w:r w:rsidRPr="00935020">
        <w:t xml:space="preserve"> to support development of their submission to the PBAC. </w:t>
      </w:r>
    </w:p>
    <w:p w14:paraId="3CC8EA26" w14:textId="36DBF754" w:rsidR="0079486B" w:rsidRPr="00935020" w:rsidRDefault="009F6BCF" w:rsidP="0048255C">
      <w:pPr>
        <w:pStyle w:val="ItemHead"/>
        <w:ind w:left="0" w:firstLine="0"/>
        <w:rPr>
          <w:rFonts w:ascii="Times New Roman" w:hAnsi="Times New Roman"/>
          <w:szCs w:val="24"/>
        </w:rPr>
      </w:pPr>
      <w:r w:rsidRPr="00935020">
        <w:rPr>
          <w:rFonts w:ascii="Times New Roman" w:hAnsi="Times New Roman"/>
          <w:szCs w:val="24"/>
        </w:rPr>
        <w:t>Item</w:t>
      </w:r>
      <w:r w:rsidR="005459C4" w:rsidRPr="00935020">
        <w:rPr>
          <w:rFonts w:ascii="Times New Roman" w:hAnsi="Times New Roman"/>
          <w:szCs w:val="24"/>
        </w:rPr>
        <w:t>s</w:t>
      </w:r>
      <w:r w:rsidRPr="00935020">
        <w:rPr>
          <w:rFonts w:ascii="Times New Roman" w:hAnsi="Times New Roman"/>
          <w:szCs w:val="24"/>
        </w:rPr>
        <w:t xml:space="preserve"> [</w:t>
      </w:r>
      <w:r w:rsidR="0079486B" w:rsidRPr="00935020">
        <w:rPr>
          <w:rFonts w:ascii="Times New Roman" w:hAnsi="Times New Roman"/>
          <w:szCs w:val="24"/>
        </w:rPr>
        <w:t>5</w:t>
      </w:r>
      <w:r w:rsidRPr="00935020">
        <w:rPr>
          <w:rFonts w:ascii="Times New Roman" w:hAnsi="Times New Roman"/>
          <w:szCs w:val="24"/>
        </w:rPr>
        <w:t>]</w:t>
      </w:r>
      <w:r w:rsidR="0079486B" w:rsidRPr="00935020">
        <w:rPr>
          <w:rFonts w:ascii="Times New Roman" w:hAnsi="Times New Roman"/>
          <w:szCs w:val="24"/>
        </w:rPr>
        <w:t xml:space="preserve"> </w:t>
      </w:r>
      <w:r w:rsidR="005459C4" w:rsidRPr="00935020">
        <w:rPr>
          <w:rFonts w:ascii="Times New Roman" w:hAnsi="Times New Roman"/>
          <w:szCs w:val="24"/>
        </w:rPr>
        <w:t xml:space="preserve">through [14] – </w:t>
      </w:r>
      <w:proofErr w:type="spellStart"/>
      <w:r w:rsidR="005459C4" w:rsidRPr="00935020">
        <w:rPr>
          <w:rFonts w:ascii="Times New Roman" w:hAnsi="Times New Roman"/>
          <w:szCs w:val="24"/>
        </w:rPr>
        <w:t>Subregulation</w:t>
      </w:r>
      <w:proofErr w:type="spellEnd"/>
      <w:r w:rsidR="005459C4" w:rsidRPr="00935020">
        <w:rPr>
          <w:rFonts w:ascii="Times New Roman" w:hAnsi="Times New Roman"/>
          <w:szCs w:val="24"/>
        </w:rPr>
        <w:t xml:space="preserve"> </w:t>
      </w:r>
      <w:r w:rsidR="0079486B" w:rsidRPr="00935020">
        <w:rPr>
          <w:rFonts w:ascii="Times New Roman" w:hAnsi="Times New Roman"/>
          <w:szCs w:val="24"/>
        </w:rPr>
        <w:t>2.2(1) (table item</w:t>
      </w:r>
      <w:r w:rsidR="00F21FAC" w:rsidRPr="00935020">
        <w:rPr>
          <w:rFonts w:ascii="Times New Roman" w:hAnsi="Times New Roman"/>
          <w:szCs w:val="24"/>
        </w:rPr>
        <w:t>s</w:t>
      </w:r>
      <w:r w:rsidR="0079486B" w:rsidRPr="00935020">
        <w:rPr>
          <w:rFonts w:ascii="Times New Roman" w:hAnsi="Times New Roman"/>
          <w:szCs w:val="24"/>
        </w:rPr>
        <w:t> 1</w:t>
      </w:r>
      <w:r w:rsidR="00F21FAC" w:rsidRPr="00935020">
        <w:rPr>
          <w:rFonts w:ascii="Times New Roman" w:hAnsi="Times New Roman"/>
          <w:szCs w:val="24"/>
        </w:rPr>
        <w:t xml:space="preserve"> through 10</w:t>
      </w:r>
      <w:r w:rsidR="00F37D78" w:rsidRPr="00935020">
        <w:rPr>
          <w:rFonts w:ascii="Times New Roman" w:hAnsi="Times New Roman"/>
          <w:szCs w:val="24"/>
        </w:rPr>
        <w:t>, column </w:t>
      </w:r>
      <w:r w:rsidR="0079486B" w:rsidRPr="00935020">
        <w:rPr>
          <w:rFonts w:ascii="Times New Roman" w:hAnsi="Times New Roman"/>
          <w:szCs w:val="24"/>
        </w:rPr>
        <w:t>2)</w:t>
      </w:r>
    </w:p>
    <w:p w14:paraId="64949E14" w14:textId="4D68EAD3" w:rsidR="00D20759" w:rsidRPr="00935020" w:rsidRDefault="00A440A6" w:rsidP="00493084">
      <w:pPr>
        <w:pStyle w:val="Item"/>
        <w:spacing w:before="120"/>
        <w:ind w:left="0"/>
        <w:rPr>
          <w:sz w:val="24"/>
          <w:szCs w:val="24"/>
        </w:rPr>
      </w:pPr>
      <w:r w:rsidRPr="00935020">
        <w:rPr>
          <w:sz w:val="24"/>
          <w:szCs w:val="24"/>
        </w:rPr>
        <w:t xml:space="preserve">These items </w:t>
      </w:r>
      <w:r w:rsidR="00CD24E5" w:rsidRPr="00935020">
        <w:rPr>
          <w:sz w:val="24"/>
          <w:szCs w:val="24"/>
        </w:rPr>
        <w:t>substitute</w:t>
      </w:r>
      <w:r w:rsidR="00400F63" w:rsidRPr="00935020">
        <w:rPr>
          <w:sz w:val="24"/>
          <w:szCs w:val="24"/>
        </w:rPr>
        <w:t>d</w:t>
      </w:r>
      <w:r w:rsidR="00CD24E5" w:rsidRPr="00935020">
        <w:rPr>
          <w:sz w:val="24"/>
          <w:szCs w:val="24"/>
        </w:rPr>
        <w:t xml:space="preserve"> the fee amounts </w:t>
      </w:r>
      <w:r w:rsidR="00726825" w:rsidRPr="00935020">
        <w:rPr>
          <w:sz w:val="24"/>
          <w:szCs w:val="24"/>
        </w:rPr>
        <w:t xml:space="preserve">currently </w:t>
      </w:r>
      <w:r w:rsidR="00F8373D" w:rsidRPr="00935020">
        <w:rPr>
          <w:sz w:val="24"/>
          <w:szCs w:val="24"/>
        </w:rPr>
        <w:t>provided for within t</w:t>
      </w:r>
      <w:r w:rsidR="00132680" w:rsidRPr="00935020">
        <w:t xml:space="preserve">he Principal Regulations </w:t>
      </w:r>
      <w:r w:rsidR="00726825" w:rsidRPr="00935020">
        <w:t xml:space="preserve">to </w:t>
      </w:r>
      <w:r w:rsidR="00132680" w:rsidRPr="00935020">
        <w:t xml:space="preserve">reflect the </w:t>
      </w:r>
      <w:r w:rsidR="00F8373D" w:rsidRPr="00935020">
        <w:t xml:space="preserve">revised fees for the </w:t>
      </w:r>
      <w:r w:rsidR="00132680" w:rsidRPr="00935020">
        <w:t>2021-22</w:t>
      </w:r>
      <w:r w:rsidR="00F8373D" w:rsidRPr="00935020">
        <w:t xml:space="preserve"> financial year</w:t>
      </w:r>
      <w:r w:rsidR="00132680" w:rsidRPr="00935020">
        <w:t>.</w:t>
      </w:r>
      <w:r w:rsidR="00F8373D" w:rsidRPr="00935020">
        <w:t xml:space="preserve"> </w:t>
      </w:r>
    </w:p>
    <w:p w14:paraId="5D1D4F7F" w14:textId="31F62C8B" w:rsidR="003955B4" w:rsidRPr="00935020" w:rsidRDefault="00D20759" w:rsidP="00493084">
      <w:pPr>
        <w:pStyle w:val="Item"/>
        <w:spacing w:before="120"/>
        <w:ind w:left="0"/>
        <w:rPr>
          <w:sz w:val="24"/>
          <w:szCs w:val="24"/>
        </w:rPr>
      </w:pPr>
      <w:r w:rsidRPr="00935020">
        <w:rPr>
          <w:sz w:val="24"/>
          <w:szCs w:val="24"/>
        </w:rPr>
        <w:t>The</w:t>
      </w:r>
      <w:r w:rsidR="0057508A" w:rsidRPr="00935020">
        <w:rPr>
          <w:sz w:val="24"/>
          <w:szCs w:val="24"/>
        </w:rPr>
        <w:t>se</w:t>
      </w:r>
      <w:r w:rsidRPr="00935020">
        <w:rPr>
          <w:sz w:val="24"/>
          <w:szCs w:val="24"/>
        </w:rPr>
        <w:t xml:space="preserve"> fees </w:t>
      </w:r>
      <w:r w:rsidR="0057508A" w:rsidRPr="00935020">
        <w:rPr>
          <w:sz w:val="24"/>
          <w:szCs w:val="24"/>
        </w:rPr>
        <w:t xml:space="preserve">are charged by the Department </w:t>
      </w:r>
      <w:r w:rsidR="003955B4" w:rsidRPr="00935020">
        <w:rPr>
          <w:sz w:val="24"/>
          <w:szCs w:val="24"/>
        </w:rPr>
        <w:t xml:space="preserve">to recover the costs of the services provided </w:t>
      </w:r>
      <w:r w:rsidR="0057508A" w:rsidRPr="00935020">
        <w:rPr>
          <w:sz w:val="24"/>
          <w:szCs w:val="24"/>
        </w:rPr>
        <w:t>in response to an application submission services</w:t>
      </w:r>
      <w:r w:rsidR="003955B4" w:rsidRPr="00935020">
        <w:rPr>
          <w:sz w:val="24"/>
          <w:szCs w:val="24"/>
        </w:rPr>
        <w:t>:</w:t>
      </w:r>
    </w:p>
    <w:p w14:paraId="6FE11B4B" w14:textId="13844677" w:rsidR="003955B4" w:rsidRPr="00935020" w:rsidRDefault="0057508A" w:rsidP="003955B4">
      <w:pPr>
        <w:pStyle w:val="Item"/>
        <w:numPr>
          <w:ilvl w:val="0"/>
          <w:numId w:val="29"/>
        </w:numPr>
        <w:spacing w:before="120"/>
        <w:rPr>
          <w:sz w:val="24"/>
          <w:szCs w:val="24"/>
        </w:rPr>
      </w:pPr>
      <w:r w:rsidRPr="00935020">
        <w:rPr>
          <w:sz w:val="24"/>
          <w:szCs w:val="24"/>
        </w:rPr>
        <w:t>for</w:t>
      </w:r>
      <w:r w:rsidR="00132680" w:rsidRPr="00935020">
        <w:rPr>
          <w:sz w:val="24"/>
          <w:szCs w:val="24"/>
        </w:rPr>
        <w:t xml:space="preserve"> the PBAC to </w:t>
      </w:r>
      <w:r w:rsidR="00CB5E24" w:rsidRPr="00935020">
        <w:rPr>
          <w:sz w:val="24"/>
          <w:szCs w:val="24"/>
        </w:rPr>
        <w:t>consider</w:t>
      </w:r>
      <w:r w:rsidR="003955B4" w:rsidRPr="00935020">
        <w:rPr>
          <w:sz w:val="24"/>
          <w:szCs w:val="24"/>
        </w:rPr>
        <w:t xml:space="preserve"> </w:t>
      </w:r>
      <w:r w:rsidR="00CB5E24" w:rsidRPr="00935020">
        <w:rPr>
          <w:sz w:val="24"/>
          <w:szCs w:val="24"/>
        </w:rPr>
        <w:t>making</w:t>
      </w:r>
      <w:r w:rsidR="003955B4" w:rsidRPr="00935020">
        <w:rPr>
          <w:sz w:val="24"/>
          <w:szCs w:val="24"/>
        </w:rPr>
        <w:t xml:space="preserve"> a recommendation that may enable, amend or cease the public funding of a pharmaceutical or vaccine;</w:t>
      </w:r>
      <w:r w:rsidR="00CB5E24" w:rsidRPr="00935020">
        <w:rPr>
          <w:sz w:val="24"/>
          <w:szCs w:val="24"/>
        </w:rPr>
        <w:t xml:space="preserve"> or</w:t>
      </w:r>
    </w:p>
    <w:p w14:paraId="35E3AA78" w14:textId="4D591159" w:rsidR="002A75C4" w:rsidRPr="00935020" w:rsidRDefault="0057508A" w:rsidP="002A75C4">
      <w:pPr>
        <w:pStyle w:val="Item"/>
        <w:numPr>
          <w:ilvl w:val="0"/>
          <w:numId w:val="29"/>
        </w:numPr>
        <w:spacing w:before="120"/>
        <w:rPr>
          <w:sz w:val="24"/>
          <w:szCs w:val="24"/>
        </w:rPr>
      </w:pPr>
      <w:proofErr w:type="gramStart"/>
      <w:r w:rsidRPr="00935020">
        <w:rPr>
          <w:sz w:val="24"/>
          <w:szCs w:val="24"/>
        </w:rPr>
        <w:t>to</w:t>
      </w:r>
      <w:proofErr w:type="gramEnd"/>
      <w:r w:rsidRPr="00935020">
        <w:rPr>
          <w:sz w:val="24"/>
          <w:szCs w:val="24"/>
        </w:rPr>
        <w:t xml:space="preserve"> </w:t>
      </w:r>
      <w:r w:rsidR="00CB5E24" w:rsidRPr="00935020">
        <w:rPr>
          <w:sz w:val="24"/>
          <w:szCs w:val="24"/>
        </w:rPr>
        <w:t>assist</w:t>
      </w:r>
      <w:r w:rsidR="003955B4" w:rsidRPr="00935020">
        <w:rPr>
          <w:sz w:val="24"/>
          <w:szCs w:val="24"/>
        </w:rPr>
        <w:t xml:space="preserve"> the M</w:t>
      </w:r>
      <w:r w:rsidR="002A75C4" w:rsidRPr="00935020">
        <w:rPr>
          <w:sz w:val="24"/>
          <w:szCs w:val="24"/>
        </w:rPr>
        <w:t>i</w:t>
      </w:r>
      <w:r w:rsidR="003955B4" w:rsidRPr="00935020">
        <w:rPr>
          <w:sz w:val="24"/>
          <w:szCs w:val="24"/>
        </w:rPr>
        <w:t>nister to determine a brand of pharmaceutical item</w:t>
      </w:r>
      <w:r w:rsidR="00CB5E24" w:rsidRPr="00935020">
        <w:rPr>
          <w:sz w:val="24"/>
          <w:szCs w:val="24"/>
        </w:rPr>
        <w:t>.</w:t>
      </w:r>
    </w:p>
    <w:p w14:paraId="7F4571A0" w14:textId="5579AA22" w:rsidR="0089456B" w:rsidRPr="00935020" w:rsidRDefault="0089456B" w:rsidP="00FD6356">
      <w:pPr>
        <w:pStyle w:val="Item"/>
        <w:ind w:left="0"/>
        <w:rPr>
          <w:szCs w:val="24"/>
        </w:rPr>
      </w:pPr>
      <w:r w:rsidRPr="00935020">
        <w:rPr>
          <w:sz w:val="24"/>
          <w:szCs w:val="24"/>
        </w:rPr>
        <w:t>There are six submission categories and four resubmission pathways for submissions to the PBAC.</w:t>
      </w:r>
    </w:p>
    <w:p w14:paraId="6FA3E66B" w14:textId="1B9E448D" w:rsidR="0089456B" w:rsidRPr="00935020" w:rsidRDefault="0089456B" w:rsidP="0089456B">
      <w:pPr>
        <w:pStyle w:val="sotext"/>
        <w:shd w:val="clear" w:color="auto" w:fill="FFFFFF"/>
        <w:spacing w:before="120" w:beforeAutospacing="0" w:after="0" w:afterAutospacing="0"/>
      </w:pPr>
      <w:r w:rsidRPr="00935020">
        <w:t xml:space="preserve">Submission categories are determined based on the applicant’s request in their submission. With the exception of Standard Re-entry Pathway, resubmission pathways are nominated by the PBAC following a ‘not recommended’ PBAC outcome. Applicants nominate their submission category or resubmission pathway via the Intent to Apply form (prior notice). </w:t>
      </w:r>
    </w:p>
    <w:p w14:paraId="2AB16E27" w14:textId="1F8A495B" w:rsidR="009924EC" w:rsidRPr="00935020" w:rsidRDefault="00726825" w:rsidP="009924EC">
      <w:pPr>
        <w:pStyle w:val="ItemHead"/>
        <w:ind w:left="0" w:firstLine="0"/>
        <w:rPr>
          <w:sz w:val="28"/>
        </w:rPr>
      </w:pPr>
      <w:r w:rsidRPr="00935020">
        <w:rPr>
          <w:rFonts w:ascii="Times New Roman" w:hAnsi="Times New Roman"/>
          <w:b w:val="0"/>
          <w:kern w:val="0"/>
        </w:rPr>
        <w:t>Under the Principal Regulations, fees for submission services also include a non-refundable deposit amount (prior notice fee) of $430. This</w:t>
      </w:r>
      <w:r w:rsidR="0086221C" w:rsidRPr="00935020">
        <w:rPr>
          <w:rFonts w:ascii="Times New Roman" w:hAnsi="Times New Roman"/>
          <w:b w:val="0"/>
          <w:kern w:val="0"/>
        </w:rPr>
        <w:t xml:space="preserve"> fee</w:t>
      </w:r>
      <w:r w:rsidRPr="00935020">
        <w:rPr>
          <w:rFonts w:ascii="Times New Roman" w:hAnsi="Times New Roman"/>
          <w:b w:val="0"/>
          <w:kern w:val="0"/>
        </w:rPr>
        <w:t xml:space="preserve"> remains unchanged.</w:t>
      </w:r>
    </w:p>
    <w:p w14:paraId="23831223" w14:textId="35B9A89E" w:rsidR="0079486B" w:rsidRPr="00935020" w:rsidRDefault="009F6BCF" w:rsidP="0048255C">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15</w:t>
      </w:r>
      <w:r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 xml:space="preserve">– </w:t>
      </w:r>
      <w:proofErr w:type="spellStart"/>
      <w:r w:rsidR="0079486B" w:rsidRPr="00935020">
        <w:rPr>
          <w:rFonts w:ascii="Times New Roman" w:hAnsi="Times New Roman"/>
          <w:szCs w:val="24"/>
        </w:rPr>
        <w:t>Subregulation</w:t>
      </w:r>
      <w:proofErr w:type="spellEnd"/>
      <w:r w:rsidR="00EA2C13" w:rsidRPr="00935020">
        <w:rPr>
          <w:rFonts w:ascii="Times New Roman" w:hAnsi="Times New Roman"/>
          <w:szCs w:val="24"/>
        </w:rPr>
        <w:t xml:space="preserve"> </w:t>
      </w:r>
      <w:r w:rsidR="0079486B" w:rsidRPr="00935020">
        <w:rPr>
          <w:rFonts w:ascii="Times New Roman" w:hAnsi="Times New Roman"/>
          <w:szCs w:val="24"/>
        </w:rPr>
        <w:t>2.7(2) (heading)</w:t>
      </w:r>
    </w:p>
    <w:p w14:paraId="76ED3480" w14:textId="5D4EA0A0" w:rsidR="00DE157F" w:rsidRPr="00935020" w:rsidRDefault="00C13D64" w:rsidP="00C13D64">
      <w:pPr>
        <w:pStyle w:val="Item"/>
        <w:ind w:left="0"/>
        <w:rPr>
          <w:sz w:val="24"/>
          <w:szCs w:val="24"/>
        </w:rPr>
      </w:pPr>
      <w:r w:rsidRPr="00935020">
        <w:rPr>
          <w:sz w:val="24"/>
          <w:szCs w:val="24"/>
        </w:rPr>
        <w:t xml:space="preserve">This item </w:t>
      </w:r>
      <w:r w:rsidR="000E7EC8" w:rsidRPr="00935020">
        <w:rPr>
          <w:sz w:val="24"/>
          <w:szCs w:val="24"/>
        </w:rPr>
        <w:t>amen</w:t>
      </w:r>
      <w:r w:rsidR="00332C68" w:rsidRPr="00935020">
        <w:rPr>
          <w:sz w:val="24"/>
          <w:szCs w:val="24"/>
        </w:rPr>
        <w:t>d</w:t>
      </w:r>
      <w:r w:rsidR="00400F63" w:rsidRPr="00935020">
        <w:rPr>
          <w:sz w:val="24"/>
          <w:szCs w:val="24"/>
        </w:rPr>
        <w:t>ed</w:t>
      </w:r>
      <w:r w:rsidR="008F067B" w:rsidRPr="00935020">
        <w:rPr>
          <w:sz w:val="24"/>
          <w:szCs w:val="24"/>
        </w:rPr>
        <w:t xml:space="preserve"> the wording of the heading of this paragraph to add the words </w:t>
      </w:r>
      <w:r w:rsidRPr="00935020">
        <w:rPr>
          <w:sz w:val="24"/>
          <w:szCs w:val="24"/>
        </w:rPr>
        <w:t xml:space="preserve">‘medicinal preparations’ after </w:t>
      </w:r>
      <w:r w:rsidR="00DE157F" w:rsidRPr="00935020">
        <w:rPr>
          <w:sz w:val="24"/>
          <w:szCs w:val="24"/>
        </w:rPr>
        <w:t>‘</w:t>
      </w:r>
      <w:r w:rsidRPr="00935020">
        <w:rPr>
          <w:sz w:val="24"/>
          <w:szCs w:val="24"/>
        </w:rPr>
        <w:t>listed drugs</w:t>
      </w:r>
      <w:r w:rsidR="00DE157F" w:rsidRPr="00935020">
        <w:rPr>
          <w:sz w:val="24"/>
          <w:szCs w:val="24"/>
        </w:rPr>
        <w:t>’</w:t>
      </w:r>
      <w:r w:rsidRPr="00935020">
        <w:rPr>
          <w:sz w:val="24"/>
          <w:szCs w:val="24"/>
        </w:rPr>
        <w:t>.</w:t>
      </w:r>
      <w:r w:rsidR="00DE157F" w:rsidRPr="00935020">
        <w:rPr>
          <w:sz w:val="24"/>
          <w:szCs w:val="24"/>
        </w:rPr>
        <w:t xml:space="preserve"> </w:t>
      </w:r>
      <w:r w:rsidR="008F067B" w:rsidRPr="00935020">
        <w:rPr>
          <w:sz w:val="24"/>
          <w:szCs w:val="24"/>
        </w:rPr>
        <w:t>This maintains consistency with changes to paragraph 2.7(2</w:t>
      </w:r>
      <w:proofErr w:type="gramStart"/>
      <w:r w:rsidR="008F067B" w:rsidRPr="00935020">
        <w:rPr>
          <w:sz w:val="24"/>
          <w:szCs w:val="24"/>
        </w:rPr>
        <w:t>)(</w:t>
      </w:r>
      <w:proofErr w:type="gramEnd"/>
      <w:r w:rsidR="008F067B" w:rsidRPr="00935020">
        <w:rPr>
          <w:sz w:val="24"/>
          <w:szCs w:val="24"/>
        </w:rPr>
        <w:t>b)</w:t>
      </w:r>
      <w:r w:rsidR="007536A3" w:rsidRPr="00935020">
        <w:rPr>
          <w:sz w:val="24"/>
          <w:szCs w:val="24"/>
        </w:rPr>
        <w:t xml:space="preserve"> – refer item 16</w:t>
      </w:r>
      <w:r w:rsidR="008F067B" w:rsidRPr="00935020">
        <w:rPr>
          <w:sz w:val="24"/>
          <w:szCs w:val="24"/>
        </w:rPr>
        <w:t>.</w:t>
      </w:r>
    </w:p>
    <w:p w14:paraId="2F5032A5" w14:textId="4B8F65EE" w:rsidR="0079486B" w:rsidRPr="00935020" w:rsidRDefault="009F6BCF" w:rsidP="0079486B">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16</w:t>
      </w:r>
      <w:r w:rsidRPr="00935020">
        <w:rPr>
          <w:rFonts w:ascii="Times New Roman" w:hAnsi="Times New Roman"/>
          <w:szCs w:val="24"/>
        </w:rPr>
        <w:t>]</w:t>
      </w:r>
      <w:r w:rsidR="00EA2C13" w:rsidRPr="00935020">
        <w:rPr>
          <w:rFonts w:ascii="Times New Roman" w:hAnsi="Times New Roman"/>
          <w:szCs w:val="24"/>
        </w:rPr>
        <w:t xml:space="preserve"> –</w:t>
      </w:r>
      <w:r w:rsidR="0079486B" w:rsidRPr="00935020">
        <w:rPr>
          <w:rFonts w:ascii="Times New Roman" w:hAnsi="Times New Roman"/>
          <w:szCs w:val="24"/>
        </w:rPr>
        <w:t xml:space="preserve"> Paragraph</w:t>
      </w:r>
      <w:r w:rsidR="00EA2C13" w:rsidRPr="00935020">
        <w:rPr>
          <w:rFonts w:ascii="Times New Roman" w:hAnsi="Times New Roman"/>
          <w:szCs w:val="24"/>
        </w:rPr>
        <w:t xml:space="preserve"> </w:t>
      </w:r>
      <w:r w:rsidR="0079486B" w:rsidRPr="00935020">
        <w:rPr>
          <w:rFonts w:ascii="Times New Roman" w:hAnsi="Times New Roman"/>
          <w:szCs w:val="24"/>
        </w:rPr>
        <w:t>2.7(2</w:t>
      </w:r>
      <w:proofErr w:type="gramStart"/>
      <w:r w:rsidR="0079486B" w:rsidRPr="00935020">
        <w:rPr>
          <w:rFonts w:ascii="Times New Roman" w:hAnsi="Times New Roman"/>
          <w:szCs w:val="24"/>
        </w:rPr>
        <w:t>)(</w:t>
      </w:r>
      <w:proofErr w:type="gramEnd"/>
      <w:r w:rsidR="0079486B" w:rsidRPr="00935020">
        <w:rPr>
          <w:rFonts w:ascii="Times New Roman" w:hAnsi="Times New Roman"/>
          <w:szCs w:val="24"/>
        </w:rPr>
        <w:t>b)</w:t>
      </w:r>
    </w:p>
    <w:p w14:paraId="2D2909E7" w14:textId="3FF0125F" w:rsidR="00332C68" w:rsidRPr="00935020" w:rsidRDefault="00332C68" w:rsidP="002C12BB">
      <w:pPr>
        <w:pStyle w:val="Item"/>
        <w:ind w:left="0"/>
        <w:rPr>
          <w:sz w:val="24"/>
          <w:szCs w:val="24"/>
        </w:rPr>
      </w:pPr>
      <w:r w:rsidRPr="00935020">
        <w:rPr>
          <w:sz w:val="24"/>
          <w:szCs w:val="24"/>
        </w:rPr>
        <w:t>This item add</w:t>
      </w:r>
      <w:r w:rsidR="00400F63" w:rsidRPr="00935020">
        <w:rPr>
          <w:sz w:val="24"/>
          <w:szCs w:val="24"/>
        </w:rPr>
        <w:t>ed</w:t>
      </w:r>
      <w:r w:rsidRPr="00935020">
        <w:rPr>
          <w:sz w:val="24"/>
          <w:szCs w:val="24"/>
        </w:rPr>
        <w:t xml:space="preserve"> the words ‘medicinal preparations’ after ‘listed drugs’</w:t>
      </w:r>
      <w:r w:rsidR="002C12BB" w:rsidRPr="00935020">
        <w:rPr>
          <w:sz w:val="24"/>
          <w:szCs w:val="24"/>
        </w:rPr>
        <w:t>, to provide for applications in relation to</w:t>
      </w:r>
      <w:r w:rsidR="008F067B" w:rsidRPr="00935020">
        <w:rPr>
          <w:sz w:val="24"/>
          <w:szCs w:val="24"/>
        </w:rPr>
        <w:t xml:space="preserve"> medicinal foods </w:t>
      </w:r>
      <w:r w:rsidR="002C12BB" w:rsidRPr="00935020">
        <w:rPr>
          <w:sz w:val="24"/>
          <w:szCs w:val="24"/>
        </w:rPr>
        <w:t xml:space="preserve">to be submitted as a </w:t>
      </w:r>
      <w:r w:rsidR="008F067B" w:rsidRPr="00935020">
        <w:rPr>
          <w:sz w:val="24"/>
          <w:szCs w:val="24"/>
        </w:rPr>
        <w:t>‘Committee Secretariat’ category.</w:t>
      </w:r>
    </w:p>
    <w:p w14:paraId="338D3E74" w14:textId="1D8F1A85" w:rsidR="0079486B" w:rsidRPr="00935020" w:rsidRDefault="009F6BCF" w:rsidP="0079486B">
      <w:pPr>
        <w:pStyle w:val="ItemHead"/>
        <w:rPr>
          <w:rFonts w:ascii="Times New Roman" w:hAnsi="Times New Roman"/>
          <w:szCs w:val="24"/>
        </w:rPr>
      </w:pPr>
      <w:r w:rsidRPr="00935020">
        <w:rPr>
          <w:rFonts w:ascii="Times New Roman" w:hAnsi="Times New Roman"/>
          <w:szCs w:val="24"/>
        </w:rPr>
        <w:t>Item</w:t>
      </w:r>
      <w:r w:rsidR="00F21FAC" w:rsidRPr="00935020">
        <w:rPr>
          <w:rFonts w:ascii="Times New Roman" w:hAnsi="Times New Roman"/>
          <w:szCs w:val="24"/>
        </w:rPr>
        <w:t>s</w:t>
      </w:r>
      <w:r w:rsidRPr="00935020">
        <w:rPr>
          <w:rFonts w:ascii="Times New Roman" w:hAnsi="Times New Roman"/>
          <w:szCs w:val="24"/>
        </w:rPr>
        <w:t xml:space="preserve"> [</w:t>
      </w:r>
      <w:r w:rsidR="0079486B" w:rsidRPr="00935020">
        <w:rPr>
          <w:rFonts w:ascii="Times New Roman" w:hAnsi="Times New Roman"/>
          <w:szCs w:val="24"/>
        </w:rPr>
        <w:t>17</w:t>
      </w:r>
      <w:r w:rsidRPr="00935020">
        <w:rPr>
          <w:rFonts w:ascii="Times New Roman" w:hAnsi="Times New Roman"/>
          <w:szCs w:val="24"/>
        </w:rPr>
        <w:t>]</w:t>
      </w:r>
      <w:r w:rsidR="00F21FAC" w:rsidRPr="00935020">
        <w:rPr>
          <w:rFonts w:ascii="Times New Roman" w:hAnsi="Times New Roman"/>
          <w:szCs w:val="24"/>
        </w:rPr>
        <w:t xml:space="preserve"> through [21]</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w:t>
      </w:r>
      <w:proofErr w:type="spellStart"/>
      <w:r w:rsidR="0079486B" w:rsidRPr="00935020">
        <w:rPr>
          <w:rFonts w:ascii="Times New Roman" w:hAnsi="Times New Roman"/>
          <w:szCs w:val="24"/>
        </w:rPr>
        <w:t>Subregulation</w:t>
      </w:r>
      <w:proofErr w:type="spellEnd"/>
      <w:r w:rsidR="00EA2C13" w:rsidRPr="00935020">
        <w:rPr>
          <w:rFonts w:ascii="Times New Roman" w:hAnsi="Times New Roman"/>
          <w:szCs w:val="24"/>
        </w:rPr>
        <w:t xml:space="preserve"> </w:t>
      </w:r>
      <w:r w:rsidR="0079486B" w:rsidRPr="00935020">
        <w:rPr>
          <w:rFonts w:ascii="Times New Roman" w:hAnsi="Times New Roman"/>
          <w:szCs w:val="24"/>
        </w:rPr>
        <w:t>3.3(1) (table item</w:t>
      </w:r>
      <w:r w:rsidR="00F21FAC" w:rsidRPr="00935020">
        <w:rPr>
          <w:rFonts w:ascii="Times New Roman" w:hAnsi="Times New Roman"/>
          <w:szCs w:val="24"/>
        </w:rPr>
        <w:t>s</w:t>
      </w:r>
      <w:r w:rsidR="0079486B" w:rsidRPr="00935020">
        <w:rPr>
          <w:rFonts w:ascii="Times New Roman" w:hAnsi="Times New Roman"/>
          <w:szCs w:val="24"/>
        </w:rPr>
        <w:t> 1</w:t>
      </w:r>
      <w:r w:rsidR="00F21FAC" w:rsidRPr="00935020">
        <w:rPr>
          <w:rFonts w:ascii="Times New Roman" w:hAnsi="Times New Roman"/>
          <w:szCs w:val="24"/>
        </w:rPr>
        <w:t xml:space="preserve"> through 5</w:t>
      </w:r>
      <w:r w:rsidR="0079486B" w:rsidRPr="00935020">
        <w:rPr>
          <w:rFonts w:ascii="Times New Roman" w:hAnsi="Times New Roman"/>
          <w:szCs w:val="24"/>
        </w:rPr>
        <w:t>)</w:t>
      </w:r>
    </w:p>
    <w:p w14:paraId="02B9C3A4" w14:textId="311E03F8" w:rsidR="00D20759" w:rsidRPr="00935020" w:rsidRDefault="00A440A6" w:rsidP="00FE44D0">
      <w:pPr>
        <w:pStyle w:val="Item"/>
        <w:ind w:left="0"/>
        <w:rPr>
          <w:sz w:val="24"/>
          <w:szCs w:val="24"/>
        </w:rPr>
      </w:pPr>
      <w:r w:rsidRPr="00935020">
        <w:rPr>
          <w:sz w:val="24"/>
          <w:szCs w:val="24"/>
        </w:rPr>
        <w:t>These i</w:t>
      </w:r>
      <w:r w:rsidR="00D20759" w:rsidRPr="00935020">
        <w:rPr>
          <w:sz w:val="24"/>
          <w:szCs w:val="24"/>
        </w:rPr>
        <w:t>tem</w:t>
      </w:r>
      <w:r w:rsidR="00726825" w:rsidRPr="00935020">
        <w:rPr>
          <w:sz w:val="24"/>
          <w:szCs w:val="24"/>
        </w:rPr>
        <w:t>s</w:t>
      </w:r>
      <w:r w:rsidR="002A75C4" w:rsidRPr="00935020">
        <w:rPr>
          <w:sz w:val="24"/>
          <w:szCs w:val="24"/>
        </w:rPr>
        <w:t xml:space="preserve"> </w:t>
      </w:r>
      <w:r w:rsidR="009D3505" w:rsidRPr="00935020">
        <w:rPr>
          <w:sz w:val="24"/>
          <w:szCs w:val="24"/>
        </w:rPr>
        <w:t>substitute</w:t>
      </w:r>
      <w:r w:rsidR="00400F63" w:rsidRPr="00935020">
        <w:rPr>
          <w:sz w:val="24"/>
          <w:szCs w:val="24"/>
        </w:rPr>
        <w:t>d</w:t>
      </w:r>
      <w:r w:rsidR="002A75C4" w:rsidRPr="00935020">
        <w:rPr>
          <w:sz w:val="24"/>
          <w:szCs w:val="24"/>
        </w:rPr>
        <w:t xml:space="preserve"> the fee</w:t>
      </w:r>
      <w:r w:rsidR="009D3505" w:rsidRPr="00935020">
        <w:rPr>
          <w:sz w:val="24"/>
          <w:szCs w:val="24"/>
        </w:rPr>
        <w:t xml:space="preserve"> amounts</w:t>
      </w:r>
      <w:r w:rsidR="00D20759" w:rsidRPr="00935020">
        <w:rPr>
          <w:sz w:val="24"/>
          <w:szCs w:val="24"/>
        </w:rPr>
        <w:t xml:space="preserve"> </w:t>
      </w:r>
      <w:r w:rsidR="00726825" w:rsidRPr="00935020">
        <w:rPr>
          <w:sz w:val="24"/>
          <w:szCs w:val="24"/>
        </w:rPr>
        <w:t xml:space="preserve">currently </w:t>
      </w:r>
      <w:r w:rsidR="00F8373D" w:rsidRPr="00935020">
        <w:rPr>
          <w:sz w:val="24"/>
          <w:szCs w:val="24"/>
        </w:rPr>
        <w:t xml:space="preserve">provided for within </w:t>
      </w:r>
      <w:r w:rsidR="00726825" w:rsidRPr="00935020">
        <w:t xml:space="preserve">the Principal Regulations to reflect the </w:t>
      </w:r>
      <w:r w:rsidR="00F8373D" w:rsidRPr="00935020">
        <w:t xml:space="preserve">revised fees for the </w:t>
      </w:r>
      <w:r w:rsidR="00726825" w:rsidRPr="00935020">
        <w:t>2021-22 financial year.</w:t>
      </w:r>
    </w:p>
    <w:p w14:paraId="34B850DC" w14:textId="428A7C2A" w:rsidR="0057508A" w:rsidRPr="00935020" w:rsidRDefault="00D20759" w:rsidP="00C6769D">
      <w:pPr>
        <w:pStyle w:val="Item"/>
        <w:ind w:left="0"/>
        <w:rPr>
          <w:kern w:val="28"/>
          <w:sz w:val="24"/>
          <w:szCs w:val="24"/>
        </w:rPr>
      </w:pPr>
      <w:r w:rsidRPr="00935020">
        <w:rPr>
          <w:sz w:val="24"/>
          <w:szCs w:val="24"/>
        </w:rPr>
        <w:t>The</w:t>
      </w:r>
      <w:r w:rsidR="0057508A" w:rsidRPr="00935020">
        <w:rPr>
          <w:sz w:val="24"/>
          <w:szCs w:val="24"/>
        </w:rPr>
        <w:t>se</w:t>
      </w:r>
      <w:r w:rsidRPr="00935020">
        <w:rPr>
          <w:sz w:val="24"/>
          <w:szCs w:val="24"/>
        </w:rPr>
        <w:t xml:space="preserve"> fees </w:t>
      </w:r>
      <w:r w:rsidR="0057508A" w:rsidRPr="00935020">
        <w:rPr>
          <w:sz w:val="24"/>
          <w:szCs w:val="24"/>
        </w:rPr>
        <w:t xml:space="preserve">are charged by the Department </w:t>
      </w:r>
      <w:r w:rsidRPr="00935020">
        <w:rPr>
          <w:sz w:val="24"/>
          <w:szCs w:val="24"/>
        </w:rPr>
        <w:t xml:space="preserve">to </w:t>
      </w:r>
      <w:r w:rsidR="002A75C4" w:rsidRPr="00935020">
        <w:rPr>
          <w:sz w:val="24"/>
          <w:szCs w:val="24"/>
        </w:rPr>
        <w:t xml:space="preserve">recover the costs of the services provided </w:t>
      </w:r>
      <w:r w:rsidR="0057508A" w:rsidRPr="00935020">
        <w:rPr>
          <w:sz w:val="24"/>
          <w:szCs w:val="24"/>
        </w:rPr>
        <w:t xml:space="preserve">in response to an application for </w:t>
      </w:r>
      <w:r w:rsidR="002A75C4" w:rsidRPr="00935020">
        <w:rPr>
          <w:sz w:val="24"/>
          <w:szCs w:val="24"/>
        </w:rPr>
        <w:t>pricing services</w:t>
      </w:r>
      <w:r w:rsidR="00C6769D" w:rsidRPr="00935020">
        <w:rPr>
          <w:sz w:val="24"/>
          <w:szCs w:val="24"/>
        </w:rPr>
        <w:t>.</w:t>
      </w:r>
    </w:p>
    <w:p w14:paraId="2458EC5F" w14:textId="1C40FB17" w:rsidR="00F8373D" w:rsidRPr="00935020" w:rsidRDefault="00F8373D" w:rsidP="00F8373D">
      <w:pPr>
        <w:pStyle w:val="sotext"/>
        <w:shd w:val="clear" w:color="auto" w:fill="FFFFFF"/>
        <w:spacing w:before="120"/>
      </w:pPr>
      <w:r w:rsidRPr="00935020">
        <w:t>There are five different pricing pathways (pricing application categories) to progress a positive PBAC recommendation</w:t>
      </w:r>
      <w:r w:rsidR="00400F63" w:rsidRPr="00935020">
        <w:t xml:space="preserve"> – Pricing Pathway A; Pricing Pathway B (new deed); Pricing Pathway C (existing deed); Pricing Pathway D (no deed); and Pricing Secretariat.</w:t>
      </w:r>
    </w:p>
    <w:p w14:paraId="11C32722" w14:textId="21940C40" w:rsidR="00F8373D" w:rsidRPr="00935020" w:rsidRDefault="00F8373D" w:rsidP="00FD6356">
      <w:pPr>
        <w:pStyle w:val="sotext"/>
        <w:shd w:val="clear" w:color="auto" w:fill="FFFFFF"/>
        <w:spacing w:before="120" w:beforeAutospacing="0" w:after="0" w:afterAutospacing="0"/>
      </w:pPr>
      <w:r w:rsidRPr="00935020">
        <w:t>Pricing Pathway A requires the PBAC to recommend that it is appropriate for a submission</w:t>
      </w:r>
      <w:r w:rsidR="00A440A6" w:rsidRPr="00935020">
        <w:t xml:space="preserve"> </w:t>
      </w:r>
      <w:r w:rsidRPr="00935020">
        <w:t xml:space="preserve">to follow this pathway. All other pricing pathways are determined based </w:t>
      </w:r>
      <w:r w:rsidRPr="00935020">
        <w:lastRenderedPageBreak/>
        <w:t>on the listing</w:t>
      </w:r>
      <w:r w:rsidR="00A440A6" w:rsidRPr="00935020">
        <w:t xml:space="preserve"> </w:t>
      </w:r>
      <w:r w:rsidRPr="00935020">
        <w:t>arrangements required. Applicants nominate their pricing pathway via the Notice of</w:t>
      </w:r>
      <w:r w:rsidR="00A440A6" w:rsidRPr="00935020">
        <w:t xml:space="preserve"> </w:t>
      </w:r>
      <w:r w:rsidRPr="00935020">
        <w:t xml:space="preserve">Intent for </w:t>
      </w:r>
      <w:proofErr w:type="gramStart"/>
      <w:r w:rsidRPr="00935020">
        <w:t>Pricing</w:t>
      </w:r>
      <w:proofErr w:type="gramEnd"/>
      <w:r w:rsidRPr="00935020">
        <w:t xml:space="preserve"> form</w:t>
      </w:r>
      <w:r w:rsidR="00A440A6" w:rsidRPr="00935020">
        <w:t xml:space="preserve"> (prior notice)</w:t>
      </w:r>
      <w:r w:rsidRPr="00935020">
        <w:t xml:space="preserve">. </w:t>
      </w:r>
    </w:p>
    <w:p w14:paraId="4DEAC030" w14:textId="53B64007" w:rsidR="0086221C" w:rsidRPr="00935020" w:rsidRDefault="0086221C" w:rsidP="00FD6356">
      <w:pPr>
        <w:pStyle w:val="sotext"/>
        <w:shd w:val="clear" w:color="auto" w:fill="FFFFFF"/>
        <w:spacing w:before="120" w:beforeAutospacing="0" w:after="0" w:afterAutospacing="0"/>
        <w:rPr>
          <w:szCs w:val="19"/>
        </w:rPr>
      </w:pPr>
      <w:r w:rsidRPr="00935020">
        <w:t>Under the Principal Regulations, fees for submission services also include a non-refundable deposit amount (prior notice fee) of $430. This fee remains unchanged.</w:t>
      </w:r>
    </w:p>
    <w:p w14:paraId="24D08AC7" w14:textId="00A3D0DC" w:rsidR="0079486B" w:rsidRPr="00935020" w:rsidRDefault="009F6BCF" w:rsidP="0079486B">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22</w:t>
      </w:r>
      <w:r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Paragraph</w:t>
      </w:r>
      <w:r w:rsidR="00EA2C13" w:rsidRPr="00935020">
        <w:rPr>
          <w:rFonts w:ascii="Times New Roman" w:hAnsi="Times New Roman"/>
          <w:szCs w:val="24"/>
        </w:rPr>
        <w:t xml:space="preserve"> </w:t>
      </w:r>
      <w:r w:rsidR="0079486B" w:rsidRPr="00935020">
        <w:rPr>
          <w:rFonts w:ascii="Times New Roman" w:hAnsi="Times New Roman"/>
          <w:szCs w:val="24"/>
        </w:rPr>
        <w:t>3.3(3</w:t>
      </w:r>
      <w:proofErr w:type="gramStart"/>
      <w:r w:rsidR="0079486B" w:rsidRPr="00935020">
        <w:rPr>
          <w:rFonts w:ascii="Times New Roman" w:hAnsi="Times New Roman"/>
          <w:szCs w:val="24"/>
        </w:rPr>
        <w:t>)(</w:t>
      </w:r>
      <w:proofErr w:type="gramEnd"/>
      <w:r w:rsidR="0079486B" w:rsidRPr="00935020">
        <w:rPr>
          <w:rFonts w:ascii="Times New Roman" w:hAnsi="Times New Roman"/>
          <w:szCs w:val="24"/>
        </w:rPr>
        <w:t>a)</w:t>
      </w:r>
    </w:p>
    <w:p w14:paraId="37275391" w14:textId="3065DE55" w:rsidR="00F21FAC" w:rsidRPr="00935020" w:rsidRDefault="00FE44D0" w:rsidP="00A440A6">
      <w:pPr>
        <w:pStyle w:val="Item"/>
        <w:ind w:left="0"/>
        <w:rPr>
          <w:sz w:val="24"/>
        </w:rPr>
      </w:pPr>
      <w:r w:rsidRPr="00935020">
        <w:rPr>
          <w:sz w:val="24"/>
          <w:szCs w:val="24"/>
        </w:rPr>
        <w:t xml:space="preserve">This item </w:t>
      </w:r>
      <w:r w:rsidR="009D3505" w:rsidRPr="00935020">
        <w:rPr>
          <w:sz w:val="24"/>
          <w:szCs w:val="24"/>
        </w:rPr>
        <w:t>substitute</w:t>
      </w:r>
      <w:r w:rsidR="00400F63" w:rsidRPr="00935020">
        <w:rPr>
          <w:sz w:val="24"/>
          <w:szCs w:val="24"/>
        </w:rPr>
        <w:t>d</w:t>
      </w:r>
      <w:r w:rsidR="009D3505" w:rsidRPr="00935020">
        <w:rPr>
          <w:sz w:val="24"/>
          <w:szCs w:val="24"/>
        </w:rPr>
        <w:t xml:space="preserve"> the </w:t>
      </w:r>
      <w:r w:rsidR="00C25D47" w:rsidRPr="00935020">
        <w:rPr>
          <w:sz w:val="24"/>
          <w:szCs w:val="24"/>
        </w:rPr>
        <w:t xml:space="preserve">refund </w:t>
      </w:r>
      <w:r w:rsidR="0048255C" w:rsidRPr="00935020">
        <w:rPr>
          <w:sz w:val="24"/>
          <w:szCs w:val="24"/>
        </w:rPr>
        <w:t xml:space="preserve">amount </w:t>
      </w:r>
      <w:r w:rsidR="00A440A6" w:rsidRPr="00935020">
        <w:rPr>
          <w:sz w:val="24"/>
          <w:szCs w:val="24"/>
        </w:rPr>
        <w:t xml:space="preserve">currently provided for within </w:t>
      </w:r>
      <w:r w:rsidR="00A440A6" w:rsidRPr="00935020">
        <w:t xml:space="preserve">the Principal Regulations </w:t>
      </w:r>
      <w:r w:rsidR="00C25D47" w:rsidRPr="00935020">
        <w:rPr>
          <w:sz w:val="24"/>
          <w:szCs w:val="24"/>
        </w:rPr>
        <w:t xml:space="preserve">relating to </w:t>
      </w:r>
      <w:r w:rsidR="0048255C" w:rsidRPr="00935020">
        <w:rPr>
          <w:sz w:val="24"/>
          <w:szCs w:val="24"/>
        </w:rPr>
        <w:t xml:space="preserve">the </w:t>
      </w:r>
      <w:r w:rsidR="00C25D47" w:rsidRPr="00935020">
        <w:rPr>
          <w:sz w:val="24"/>
          <w:szCs w:val="24"/>
        </w:rPr>
        <w:t xml:space="preserve">Pricing Pathway A </w:t>
      </w:r>
      <w:r w:rsidR="00F21FAC" w:rsidRPr="00935020">
        <w:rPr>
          <w:sz w:val="24"/>
        </w:rPr>
        <w:t xml:space="preserve">where a deed is not entered into because a sponsor withdraws their pricing application or there has been no active negotiation for 26 weeks.  Only the rebate management component of the </w:t>
      </w:r>
      <w:r w:rsidR="00A440A6" w:rsidRPr="00935020">
        <w:rPr>
          <w:sz w:val="24"/>
        </w:rPr>
        <w:t xml:space="preserve">pricing pathway </w:t>
      </w:r>
      <w:r w:rsidR="00F21FAC" w:rsidRPr="00935020">
        <w:rPr>
          <w:sz w:val="24"/>
        </w:rPr>
        <w:t>fee is refunded.</w:t>
      </w:r>
    </w:p>
    <w:p w14:paraId="1DF0371E" w14:textId="6FEEEB6E" w:rsidR="0079486B" w:rsidRPr="00935020" w:rsidRDefault="009F6BCF" w:rsidP="0079486B">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23</w:t>
      </w:r>
      <w:r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Paragraph</w:t>
      </w:r>
      <w:r w:rsidR="00EA2C13" w:rsidRPr="00935020">
        <w:rPr>
          <w:rFonts w:ascii="Times New Roman" w:hAnsi="Times New Roman"/>
          <w:szCs w:val="24"/>
        </w:rPr>
        <w:t xml:space="preserve"> </w:t>
      </w:r>
      <w:r w:rsidR="0079486B" w:rsidRPr="00935020">
        <w:rPr>
          <w:rFonts w:ascii="Times New Roman" w:hAnsi="Times New Roman"/>
          <w:szCs w:val="24"/>
        </w:rPr>
        <w:t>3.3(3</w:t>
      </w:r>
      <w:proofErr w:type="gramStart"/>
      <w:r w:rsidR="0079486B" w:rsidRPr="00935020">
        <w:rPr>
          <w:rFonts w:ascii="Times New Roman" w:hAnsi="Times New Roman"/>
          <w:szCs w:val="24"/>
        </w:rPr>
        <w:t>)(</w:t>
      </w:r>
      <w:proofErr w:type="gramEnd"/>
      <w:r w:rsidR="0079486B" w:rsidRPr="00935020">
        <w:rPr>
          <w:rFonts w:ascii="Times New Roman" w:hAnsi="Times New Roman"/>
          <w:szCs w:val="24"/>
        </w:rPr>
        <w:t>b)</w:t>
      </w:r>
    </w:p>
    <w:p w14:paraId="3B7F585F" w14:textId="38BACD57" w:rsidR="00F21FAC" w:rsidRPr="00935020" w:rsidRDefault="009D3505" w:rsidP="00A440A6">
      <w:pPr>
        <w:pStyle w:val="Item"/>
        <w:ind w:left="0"/>
        <w:rPr>
          <w:sz w:val="24"/>
        </w:rPr>
      </w:pPr>
      <w:r w:rsidRPr="00935020">
        <w:rPr>
          <w:sz w:val="24"/>
          <w:szCs w:val="24"/>
        </w:rPr>
        <w:t>This item substitute</w:t>
      </w:r>
      <w:r w:rsidR="00400F63" w:rsidRPr="00935020">
        <w:rPr>
          <w:sz w:val="24"/>
          <w:szCs w:val="24"/>
        </w:rPr>
        <w:t>d</w:t>
      </w:r>
      <w:r w:rsidR="00C25D47" w:rsidRPr="00935020">
        <w:rPr>
          <w:sz w:val="24"/>
          <w:szCs w:val="24"/>
        </w:rPr>
        <w:t xml:space="preserve"> the refund </w:t>
      </w:r>
      <w:r w:rsidR="0048255C" w:rsidRPr="00935020">
        <w:rPr>
          <w:sz w:val="24"/>
          <w:szCs w:val="24"/>
        </w:rPr>
        <w:t xml:space="preserve">amount </w:t>
      </w:r>
      <w:r w:rsidR="00A440A6" w:rsidRPr="00935020">
        <w:rPr>
          <w:sz w:val="24"/>
          <w:szCs w:val="24"/>
        </w:rPr>
        <w:t xml:space="preserve">currently provided for within </w:t>
      </w:r>
      <w:r w:rsidR="00A440A6" w:rsidRPr="00935020">
        <w:t xml:space="preserve">the Principal Regulations </w:t>
      </w:r>
      <w:r w:rsidR="00C25D47" w:rsidRPr="00935020">
        <w:rPr>
          <w:sz w:val="24"/>
          <w:szCs w:val="24"/>
        </w:rPr>
        <w:t>relating to</w:t>
      </w:r>
      <w:r w:rsidR="0048255C" w:rsidRPr="00935020">
        <w:rPr>
          <w:sz w:val="24"/>
          <w:szCs w:val="24"/>
        </w:rPr>
        <w:t xml:space="preserve"> the</w:t>
      </w:r>
      <w:r w:rsidR="00C25D47" w:rsidRPr="00935020">
        <w:rPr>
          <w:sz w:val="24"/>
          <w:szCs w:val="24"/>
        </w:rPr>
        <w:t xml:space="preserve"> Pricing Pathway B </w:t>
      </w:r>
      <w:r w:rsidR="00F21FAC" w:rsidRPr="00935020">
        <w:rPr>
          <w:sz w:val="24"/>
        </w:rPr>
        <w:t xml:space="preserve">where a deed is not entered into because a sponsor withdraws their pricing application or there has been no active negotiation for 26 weeks.  Only the rebate management component of the </w:t>
      </w:r>
      <w:r w:rsidR="00A440A6" w:rsidRPr="00935020">
        <w:rPr>
          <w:sz w:val="24"/>
        </w:rPr>
        <w:t xml:space="preserve">pricing pathway </w:t>
      </w:r>
      <w:r w:rsidR="00F21FAC" w:rsidRPr="00935020">
        <w:rPr>
          <w:sz w:val="24"/>
        </w:rPr>
        <w:t>fee is refunded.</w:t>
      </w:r>
    </w:p>
    <w:p w14:paraId="654C5BE2" w14:textId="13874F7F" w:rsidR="0079486B" w:rsidRPr="00935020" w:rsidRDefault="009F6BCF" w:rsidP="0079486B">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24</w:t>
      </w:r>
      <w:r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Paragraph</w:t>
      </w:r>
      <w:r w:rsidR="00EA2C13" w:rsidRPr="00935020">
        <w:rPr>
          <w:rFonts w:ascii="Times New Roman" w:hAnsi="Times New Roman"/>
          <w:szCs w:val="24"/>
        </w:rPr>
        <w:t xml:space="preserve"> </w:t>
      </w:r>
      <w:r w:rsidR="0079486B" w:rsidRPr="00935020">
        <w:rPr>
          <w:rFonts w:ascii="Times New Roman" w:hAnsi="Times New Roman"/>
          <w:szCs w:val="24"/>
        </w:rPr>
        <w:t>3.3(3</w:t>
      </w:r>
      <w:proofErr w:type="gramStart"/>
      <w:r w:rsidR="0079486B" w:rsidRPr="00935020">
        <w:rPr>
          <w:rFonts w:ascii="Times New Roman" w:hAnsi="Times New Roman"/>
          <w:szCs w:val="24"/>
        </w:rPr>
        <w:t>)(</w:t>
      </w:r>
      <w:proofErr w:type="gramEnd"/>
      <w:r w:rsidR="0079486B" w:rsidRPr="00935020">
        <w:rPr>
          <w:rFonts w:ascii="Times New Roman" w:hAnsi="Times New Roman"/>
          <w:szCs w:val="24"/>
        </w:rPr>
        <w:t>c)</w:t>
      </w:r>
    </w:p>
    <w:p w14:paraId="75A80B50" w14:textId="2CED251A" w:rsidR="00F21FAC" w:rsidRPr="00935020" w:rsidRDefault="00C25D47" w:rsidP="00A440A6">
      <w:pPr>
        <w:pStyle w:val="Item"/>
        <w:ind w:left="0"/>
        <w:rPr>
          <w:sz w:val="24"/>
        </w:rPr>
      </w:pPr>
      <w:r w:rsidRPr="00935020">
        <w:rPr>
          <w:sz w:val="24"/>
          <w:szCs w:val="24"/>
        </w:rPr>
        <w:t xml:space="preserve">This item </w:t>
      </w:r>
      <w:r w:rsidR="00950881" w:rsidRPr="00935020">
        <w:rPr>
          <w:sz w:val="24"/>
          <w:szCs w:val="24"/>
        </w:rPr>
        <w:t>substitute</w:t>
      </w:r>
      <w:r w:rsidR="00400F63" w:rsidRPr="00935020">
        <w:rPr>
          <w:sz w:val="24"/>
          <w:szCs w:val="24"/>
        </w:rPr>
        <w:t>d</w:t>
      </w:r>
      <w:r w:rsidRPr="00935020">
        <w:rPr>
          <w:sz w:val="24"/>
          <w:szCs w:val="24"/>
        </w:rPr>
        <w:t xml:space="preserve"> the refund </w:t>
      </w:r>
      <w:r w:rsidR="0048255C" w:rsidRPr="00935020">
        <w:rPr>
          <w:sz w:val="24"/>
          <w:szCs w:val="24"/>
        </w:rPr>
        <w:t>amount</w:t>
      </w:r>
      <w:r w:rsidR="00A440A6" w:rsidRPr="00935020">
        <w:rPr>
          <w:sz w:val="24"/>
          <w:szCs w:val="24"/>
        </w:rPr>
        <w:t xml:space="preserve"> currently provided for within </w:t>
      </w:r>
      <w:r w:rsidR="00A440A6" w:rsidRPr="00935020">
        <w:t>the Principal Regulations</w:t>
      </w:r>
      <w:r w:rsidR="0048255C" w:rsidRPr="00935020">
        <w:rPr>
          <w:sz w:val="24"/>
          <w:szCs w:val="24"/>
        </w:rPr>
        <w:t xml:space="preserve"> </w:t>
      </w:r>
      <w:r w:rsidRPr="00935020">
        <w:rPr>
          <w:sz w:val="24"/>
          <w:szCs w:val="24"/>
        </w:rPr>
        <w:t xml:space="preserve">relating to </w:t>
      </w:r>
      <w:r w:rsidR="0048255C" w:rsidRPr="00935020">
        <w:rPr>
          <w:sz w:val="24"/>
          <w:szCs w:val="24"/>
        </w:rPr>
        <w:t xml:space="preserve">the </w:t>
      </w:r>
      <w:r w:rsidRPr="00935020">
        <w:rPr>
          <w:sz w:val="24"/>
          <w:szCs w:val="24"/>
        </w:rPr>
        <w:t xml:space="preserve">Pricing Pathway C </w:t>
      </w:r>
      <w:r w:rsidR="00F21FAC" w:rsidRPr="00935020">
        <w:rPr>
          <w:sz w:val="24"/>
        </w:rPr>
        <w:t xml:space="preserve">where a deed is not entered into because a sponsor withdraws their pricing application or there has been no active negotiation for 26 weeks.  Only the rebate management component of the </w:t>
      </w:r>
      <w:r w:rsidR="00A440A6" w:rsidRPr="00935020">
        <w:rPr>
          <w:sz w:val="24"/>
        </w:rPr>
        <w:t xml:space="preserve">pricing pathway </w:t>
      </w:r>
      <w:r w:rsidR="00F21FAC" w:rsidRPr="00935020">
        <w:rPr>
          <w:sz w:val="24"/>
        </w:rPr>
        <w:t>fee is refunded.</w:t>
      </w:r>
    </w:p>
    <w:p w14:paraId="3BB46C57" w14:textId="72F45425" w:rsidR="0079486B" w:rsidRPr="00935020" w:rsidRDefault="009F6BCF" w:rsidP="0079486B">
      <w:pPr>
        <w:pStyle w:val="ItemHead"/>
        <w:rPr>
          <w:rFonts w:ascii="Times New Roman" w:hAnsi="Times New Roman"/>
          <w:szCs w:val="24"/>
        </w:rPr>
      </w:pPr>
      <w:r w:rsidRPr="00935020">
        <w:rPr>
          <w:rFonts w:ascii="Times New Roman" w:hAnsi="Times New Roman"/>
          <w:szCs w:val="24"/>
        </w:rPr>
        <w:t>Item</w:t>
      </w:r>
      <w:r w:rsidR="00EA2C13" w:rsidRPr="00935020">
        <w:rPr>
          <w:rFonts w:ascii="Times New Roman" w:hAnsi="Times New Roman"/>
          <w:szCs w:val="24"/>
        </w:rPr>
        <w:t>s</w:t>
      </w:r>
      <w:r w:rsidRPr="00935020">
        <w:rPr>
          <w:rFonts w:ascii="Times New Roman" w:hAnsi="Times New Roman"/>
          <w:szCs w:val="24"/>
        </w:rPr>
        <w:t xml:space="preserve"> [</w:t>
      </w:r>
      <w:r w:rsidR="0079486B" w:rsidRPr="00935020">
        <w:rPr>
          <w:rFonts w:ascii="Times New Roman" w:hAnsi="Times New Roman"/>
          <w:szCs w:val="24"/>
        </w:rPr>
        <w:t>25</w:t>
      </w:r>
      <w:r w:rsidRPr="00935020">
        <w:rPr>
          <w:rFonts w:ascii="Times New Roman" w:hAnsi="Times New Roman"/>
          <w:szCs w:val="24"/>
        </w:rPr>
        <w:t>]</w:t>
      </w:r>
      <w:r w:rsidR="00EA2C13" w:rsidRPr="00935020">
        <w:rPr>
          <w:rFonts w:ascii="Times New Roman" w:hAnsi="Times New Roman"/>
          <w:szCs w:val="24"/>
        </w:rPr>
        <w:t xml:space="preserve"> through [28]</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w:t>
      </w:r>
      <w:proofErr w:type="spellStart"/>
      <w:r w:rsidR="0079486B" w:rsidRPr="00935020">
        <w:rPr>
          <w:rFonts w:ascii="Times New Roman" w:hAnsi="Times New Roman"/>
          <w:szCs w:val="24"/>
        </w:rPr>
        <w:t>Subregulation</w:t>
      </w:r>
      <w:proofErr w:type="spellEnd"/>
      <w:r w:rsidR="00EA2C13" w:rsidRPr="00935020">
        <w:rPr>
          <w:rFonts w:ascii="Times New Roman" w:hAnsi="Times New Roman"/>
          <w:szCs w:val="24"/>
        </w:rPr>
        <w:t xml:space="preserve"> </w:t>
      </w:r>
      <w:proofErr w:type="gramStart"/>
      <w:r w:rsidR="0079486B" w:rsidRPr="00935020">
        <w:rPr>
          <w:rFonts w:ascii="Times New Roman" w:hAnsi="Times New Roman"/>
          <w:szCs w:val="24"/>
        </w:rPr>
        <w:t>3A.1(</w:t>
      </w:r>
      <w:proofErr w:type="gramEnd"/>
      <w:r w:rsidR="0079486B" w:rsidRPr="00935020">
        <w:rPr>
          <w:rFonts w:ascii="Times New Roman" w:hAnsi="Times New Roman"/>
          <w:szCs w:val="24"/>
        </w:rPr>
        <w:t>1) (table item</w:t>
      </w:r>
      <w:r w:rsidR="00EA2C13" w:rsidRPr="00935020">
        <w:rPr>
          <w:rFonts w:ascii="Times New Roman" w:hAnsi="Times New Roman"/>
          <w:szCs w:val="24"/>
        </w:rPr>
        <w:t>s</w:t>
      </w:r>
      <w:r w:rsidR="0079486B" w:rsidRPr="00935020">
        <w:rPr>
          <w:rFonts w:ascii="Times New Roman" w:hAnsi="Times New Roman"/>
          <w:szCs w:val="24"/>
        </w:rPr>
        <w:t> 1</w:t>
      </w:r>
      <w:r w:rsidR="00EA2C13" w:rsidRPr="00935020">
        <w:rPr>
          <w:rFonts w:ascii="Times New Roman" w:hAnsi="Times New Roman"/>
          <w:szCs w:val="24"/>
        </w:rPr>
        <w:t xml:space="preserve"> through 4</w:t>
      </w:r>
      <w:r w:rsidR="0079486B" w:rsidRPr="00935020">
        <w:rPr>
          <w:rFonts w:ascii="Times New Roman" w:hAnsi="Times New Roman"/>
          <w:szCs w:val="24"/>
        </w:rPr>
        <w:t>)</w:t>
      </w:r>
    </w:p>
    <w:p w14:paraId="60F6DC9A" w14:textId="2F8FE83A" w:rsidR="00A440A6" w:rsidRPr="00935020" w:rsidRDefault="00A440A6" w:rsidP="00A440A6">
      <w:pPr>
        <w:pStyle w:val="Item"/>
        <w:ind w:left="0"/>
        <w:rPr>
          <w:sz w:val="24"/>
          <w:szCs w:val="24"/>
        </w:rPr>
      </w:pPr>
      <w:r w:rsidRPr="00935020">
        <w:rPr>
          <w:sz w:val="24"/>
        </w:rPr>
        <w:t>These i</w:t>
      </w:r>
      <w:r w:rsidRPr="00935020">
        <w:rPr>
          <w:sz w:val="24"/>
          <w:szCs w:val="24"/>
        </w:rPr>
        <w:t>tems substitute</w:t>
      </w:r>
      <w:r w:rsidR="00400F63" w:rsidRPr="00935020">
        <w:rPr>
          <w:sz w:val="24"/>
          <w:szCs w:val="24"/>
        </w:rPr>
        <w:t xml:space="preserve">d </w:t>
      </w:r>
      <w:r w:rsidRPr="00935020">
        <w:rPr>
          <w:sz w:val="24"/>
          <w:szCs w:val="24"/>
        </w:rPr>
        <w:t>the fee amounts currently provided for within the Principal Regulations to reflect the revised fees for the 2021-22 financial year.</w:t>
      </w:r>
    </w:p>
    <w:p w14:paraId="2277AC2A" w14:textId="5C69E4EF" w:rsidR="00D20759" w:rsidRPr="00935020" w:rsidRDefault="00A440A6" w:rsidP="00FD6356">
      <w:pPr>
        <w:pStyle w:val="Item"/>
        <w:spacing w:before="120" w:after="120"/>
        <w:ind w:left="0"/>
        <w:rPr>
          <w:sz w:val="24"/>
        </w:rPr>
      </w:pPr>
      <w:r w:rsidRPr="00935020">
        <w:rPr>
          <w:sz w:val="24"/>
          <w:szCs w:val="24"/>
        </w:rPr>
        <w:t>These fees are charged by the Department to recover the costs of the services provided in response to an application for list management services.</w:t>
      </w:r>
      <w:r w:rsidR="006B104A" w:rsidRPr="00935020">
        <w:rPr>
          <w:sz w:val="24"/>
          <w:szCs w:val="24"/>
        </w:rPr>
        <w:t xml:space="preserve"> </w:t>
      </w:r>
      <w:r w:rsidR="00D20759" w:rsidRPr="00935020">
        <w:rPr>
          <w:sz w:val="24"/>
        </w:rPr>
        <w:t xml:space="preserve">List management services includes activities that are directly requested by sponsors seeking to manage their listing on the PBS. </w:t>
      </w:r>
    </w:p>
    <w:p w14:paraId="64149A20" w14:textId="4F323ADE" w:rsidR="00D20759" w:rsidRPr="00935020" w:rsidRDefault="00D20759" w:rsidP="0031093A">
      <w:pPr>
        <w:pStyle w:val="Item"/>
        <w:spacing w:before="0"/>
        <w:ind w:left="0"/>
        <w:rPr>
          <w:sz w:val="24"/>
        </w:rPr>
      </w:pPr>
      <w:r w:rsidRPr="00935020">
        <w:rPr>
          <w:sz w:val="24"/>
        </w:rPr>
        <w:t>List management options include:</w:t>
      </w:r>
    </w:p>
    <w:p w14:paraId="0569B9C9" w14:textId="088F963A" w:rsidR="00D20759" w:rsidRPr="00935020" w:rsidRDefault="00D20759" w:rsidP="0031093A">
      <w:pPr>
        <w:pStyle w:val="Item"/>
        <w:numPr>
          <w:ilvl w:val="0"/>
          <w:numId w:val="30"/>
        </w:numPr>
        <w:ind w:left="720" w:hanging="357"/>
        <w:rPr>
          <w:sz w:val="24"/>
          <w:szCs w:val="24"/>
        </w:rPr>
      </w:pPr>
      <w:r w:rsidRPr="00935020">
        <w:rPr>
          <w:sz w:val="24"/>
          <w:szCs w:val="24"/>
        </w:rPr>
        <w:t>Price increase requests including brand premium requests;</w:t>
      </w:r>
    </w:p>
    <w:p w14:paraId="440906AC" w14:textId="7A5B8FCF" w:rsidR="00D20759" w:rsidRPr="00935020" w:rsidRDefault="00D20759" w:rsidP="0031093A">
      <w:pPr>
        <w:pStyle w:val="Item"/>
        <w:numPr>
          <w:ilvl w:val="0"/>
          <w:numId w:val="30"/>
        </w:numPr>
        <w:ind w:left="720" w:hanging="357"/>
        <w:rPr>
          <w:sz w:val="24"/>
          <w:szCs w:val="24"/>
        </w:rPr>
      </w:pPr>
      <w:r w:rsidRPr="00935020">
        <w:rPr>
          <w:sz w:val="24"/>
          <w:szCs w:val="24"/>
        </w:rPr>
        <w:t>Ministerial discretion requests;</w:t>
      </w:r>
    </w:p>
    <w:p w14:paraId="2951C63C" w14:textId="1105A0FA" w:rsidR="00D20759" w:rsidRPr="00935020" w:rsidRDefault="00D20759" w:rsidP="0031093A">
      <w:pPr>
        <w:pStyle w:val="Item"/>
        <w:numPr>
          <w:ilvl w:val="0"/>
          <w:numId w:val="30"/>
        </w:numPr>
        <w:ind w:left="720" w:hanging="357"/>
        <w:rPr>
          <w:sz w:val="24"/>
          <w:szCs w:val="24"/>
        </w:rPr>
      </w:pPr>
      <w:r w:rsidRPr="00935020">
        <w:rPr>
          <w:sz w:val="24"/>
          <w:szCs w:val="24"/>
        </w:rPr>
        <w:t>Deed renewal requests; and</w:t>
      </w:r>
    </w:p>
    <w:p w14:paraId="16A6EC24" w14:textId="4C265FE8" w:rsidR="00D20759" w:rsidRPr="00935020" w:rsidRDefault="00D20759" w:rsidP="0031093A">
      <w:pPr>
        <w:pStyle w:val="Item"/>
        <w:numPr>
          <w:ilvl w:val="0"/>
          <w:numId w:val="30"/>
        </w:numPr>
        <w:ind w:left="709" w:hanging="357"/>
        <w:rPr>
          <w:sz w:val="24"/>
          <w:szCs w:val="24"/>
        </w:rPr>
      </w:pPr>
      <w:r w:rsidRPr="00935020">
        <w:rPr>
          <w:sz w:val="24"/>
          <w:szCs w:val="24"/>
        </w:rPr>
        <w:t>Deed variation requests.</w:t>
      </w:r>
    </w:p>
    <w:p w14:paraId="3E1F5EED" w14:textId="74774D9A" w:rsidR="0079486B" w:rsidRPr="00935020" w:rsidRDefault="0048255C" w:rsidP="0079486B">
      <w:pPr>
        <w:pStyle w:val="ItemHead"/>
        <w:rPr>
          <w:rFonts w:ascii="Times New Roman" w:hAnsi="Times New Roman"/>
          <w:szCs w:val="24"/>
        </w:rPr>
      </w:pPr>
      <w:r w:rsidRPr="00935020">
        <w:rPr>
          <w:rFonts w:ascii="Times New Roman" w:hAnsi="Times New Roman"/>
          <w:szCs w:val="24"/>
        </w:rPr>
        <w:t>I</w:t>
      </w:r>
      <w:r w:rsidR="009F6BCF" w:rsidRPr="00935020">
        <w:rPr>
          <w:rFonts w:ascii="Times New Roman" w:hAnsi="Times New Roman"/>
          <w:szCs w:val="24"/>
        </w:rPr>
        <w:t>tem [</w:t>
      </w:r>
      <w:r w:rsidR="0079486B" w:rsidRPr="00935020">
        <w:rPr>
          <w:rFonts w:ascii="Times New Roman" w:hAnsi="Times New Roman"/>
          <w:szCs w:val="24"/>
        </w:rPr>
        <w:t>29</w:t>
      </w:r>
      <w:r w:rsidR="009F6BCF"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w:t>
      </w:r>
      <w:proofErr w:type="spellStart"/>
      <w:r w:rsidR="0079486B" w:rsidRPr="00935020">
        <w:rPr>
          <w:rFonts w:ascii="Times New Roman" w:hAnsi="Times New Roman"/>
          <w:szCs w:val="24"/>
        </w:rPr>
        <w:t>Subregulation</w:t>
      </w:r>
      <w:proofErr w:type="spellEnd"/>
      <w:r w:rsidR="00EA2C13" w:rsidRPr="00935020">
        <w:rPr>
          <w:rFonts w:ascii="Times New Roman" w:hAnsi="Times New Roman"/>
          <w:szCs w:val="24"/>
        </w:rPr>
        <w:t xml:space="preserve"> </w:t>
      </w:r>
      <w:proofErr w:type="gramStart"/>
      <w:r w:rsidR="0079486B" w:rsidRPr="00935020">
        <w:rPr>
          <w:rFonts w:ascii="Times New Roman" w:hAnsi="Times New Roman"/>
          <w:szCs w:val="24"/>
        </w:rPr>
        <w:t>3A.5(</w:t>
      </w:r>
      <w:proofErr w:type="gramEnd"/>
      <w:r w:rsidR="0079486B" w:rsidRPr="00935020">
        <w:rPr>
          <w:rFonts w:ascii="Times New Roman" w:hAnsi="Times New Roman"/>
          <w:szCs w:val="24"/>
        </w:rPr>
        <w:t>2)</w:t>
      </w:r>
    </w:p>
    <w:p w14:paraId="5489920F" w14:textId="4448320A" w:rsidR="0079486B" w:rsidRPr="00935020" w:rsidRDefault="00FE44D0" w:rsidP="00FE44D0">
      <w:pPr>
        <w:pStyle w:val="Item"/>
        <w:ind w:left="0"/>
        <w:rPr>
          <w:sz w:val="24"/>
          <w:szCs w:val="24"/>
        </w:rPr>
      </w:pPr>
      <w:r w:rsidRPr="00935020">
        <w:rPr>
          <w:sz w:val="24"/>
          <w:szCs w:val="24"/>
        </w:rPr>
        <w:t xml:space="preserve">This item </w:t>
      </w:r>
      <w:r w:rsidR="00950881" w:rsidRPr="00935020">
        <w:rPr>
          <w:sz w:val="24"/>
          <w:szCs w:val="24"/>
        </w:rPr>
        <w:t>substitute</w:t>
      </w:r>
      <w:r w:rsidR="00400F63" w:rsidRPr="00935020">
        <w:rPr>
          <w:sz w:val="24"/>
          <w:szCs w:val="24"/>
        </w:rPr>
        <w:t>d</w:t>
      </w:r>
      <w:r w:rsidRPr="00935020">
        <w:rPr>
          <w:sz w:val="24"/>
          <w:szCs w:val="24"/>
        </w:rPr>
        <w:t xml:space="preserve"> the amount</w:t>
      </w:r>
      <w:r w:rsidR="00CD4E81" w:rsidRPr="00935020">
        <w:rPr>
          <w:sz w:val="24"/>
          <w:szCs w:val="24"/>
        </w:rPr>
        <w:t xml:space="preserve"> </w:t>
      </w:r>
      <w:r w:rsidR="00A440A6" w:rsidRPr="00935020">
        <w:rPr>
          <w:sz w:val="24"/>
          <w:szCs w:val="24"/>
        </w:rPr>
        <w:t xml:space="preserve">currently provided for within </w:t>
      </w:r>
      <w:r w:rsidR="00A440A6" w:rsidRPr="00935020">
        <w:t xml:space="preserve">the Principal Regulations which is </w:t>
      </w:r>
      <w:r w:rsidR="00CD4E81" w:rsidRPr="00935020">
        <w:rPr>
          <w:sz w:val="24"/>
          <w:szCs w:val="24"/>
        </w:rPr>
        <w:t xml:space="preserve">refunded </w:t>
      </w:r>
      <w:r w:rsidR="00A440A6" w:rsidRPr="00935020">
        <w:rPr>
          <w:sz w:val="24"/>
          <w:szCs w:val="24"/>
        </w:rPr>
        <w:t>by the Department where an applicant withdraws their deed renewal application and a deed arrangement has not been entered into.</w:t>
      </w:r>
      <w:r w:rsidR="00CD4E81" w:rsidRPr="00935020">
        <w:rPr>
          <w:sz w:val="24"/>
          <w:szCs w:val="24"/>
        </w:rPr>
        <w:t xml:space="preserve">  </w:t>
      </w:r>
    </w:p>
    <w:p w14:paraId="3CB53772" w14:textId="66047D9E" w:rsidR="0079486B" w:rsidRPr="00935020" w:rsidRDefault="009F6BCF" w:rsidP="0079486B">
      <w:pPr>
        <w:pStyle w:val="ItemHead"/>
        <w:rPr>
          <w:rFonts w:ascii="Times New Roman" w:hAnsi="Times New Roman"/>
          <w:szCs w:val="24"/>
        </w:rPr>
      </w:pPr>
      <w:r w:rsidRPr="00935020">
        <w:rPr>
          <w:rFonts w:ascii="Times New Roman" w:hAnsi="Times New Roman"/>
          <w:szCs w:val="24"/>
        </w:rPr>
        <w:t>Item [</w:t>
      </w:r>
      <w:r w:rsidR="0079486B" w:rsidRPr="00935020">
        <w:rPr>
          <w:rFonts w:ascii="Times New Roman" w:hAnsi="Times New Roman"/>
          <w:szCs w:val="24"/>
        </w:rPr>
        <w:t>30</w:t>
      </w:r>
      <w:r w:rsidRPr="00935020">
        <w:rPr>
          <w:rFonts w:ascii="Times New Roman" w:hAnsi="Times New Roman"/>
          <w:szCs w:val="24"/>
        </w:rPr>
        <w:t>]</w:t>
      </w:r>
      <w:r w:rsidR="0079486B" w:rsidRPr="00935020">
        <w:rPr>
          <w:rFonts w:ascii="Times New Roman" w:hAnsi="Times New Roman"/>
          <w:szCs w:val="24"/>
        </w:rPr>
        <w:t xml:space="preserve"> </w:t>
      </w:r>
      <w:r w:rsidR="00EA2C13" w:rsidRPr="00935020">
        <w:rPr>
          <w:rFonts w:ascii="Times New Roman" w:hAnsi="Times New Roman"/>
          <w:szCs w:val="24"/>
        </w:rPr>
        <w:t>–</w:t>
      </w:r>
      <w:r w:rsidR="0079486B" w:rsidRPr="00935020">
        <w:rPr>
          <w:rFonts w:ascii="Times New Roman" w:hAnsi="Times New Roman"/>
          <w:szCs w:val="24"/>
        </w:rPr>
        <w:t xml:space="preserve"> In</w:t>
      </w:r>
      <w:r w:rsidR="00EA2C13" w:rsidRPr="00935020">
        <w:rPr>
          <w:rFonts w:ascii="Times New Roman" w:hAnsi="Times New Roman"/>
          <w:szCs w:val="24"/>
        </w:rPr>
        <w:t xml:space="preserve"> </w:t>
      </w:r>
      <w:r w:rsidR="0079486B" w:rsidRPr="00935020">
        <w:rPr>
          <w:rFonts w:ascii="Times New Roman" w:hAnsi="Times New Roman"/>
          <w:szCs w:val="24"/>
        </w:rPr>
        <w:t>the appropriate position in Part 7</w:t>
      </w:r>
    </w:p>
    <w:p w14:paraId="199F1087" w14:textId="1C111632" w:rsidR="003B7C42" w:rsidRPr="00935020" w:rsidRDefault="003D583D" w:rsidP="00254D5A">
      <w:pPr>
        <w:rPr>
          <w:szCs w:val="24"/>
        </w:rPr>
      </w:pPr>
      <w:r w:rsidRPr="00935020">
        <w:rPr>
          <w:szCs w:val="24"/>
        </w:rPr>
        <w:t>This item i</w:t>
      </w:r>
      <w:r w:rsidR="0079486B" w:rsidRPr="00935020">
        <w:rPr>
          <w:szCs w:val="24"/>
        </w:rPr>
        <w:t>nsert</w:t>
      </w:r>
      <w:r w:rsidR="00400F63" w:rsidRPr="00935020">
        <w:rPr>
          <w:szCs w:val="24"/>
        </w:rPr>
        <w:t>ed</w:t>
      </w:r>
      <w:r w:rsidRPr="00935020">
        <w:rPr>
          <w:szCs w:val="24"/>
        </w:rPr>
        <w:t xml:space="preserve"> an application provision </w:t>
      </w:r>
      <w:r w:rsidR="00DE6569" w:rsidRPr="00935020">
        <w:rPr>
          <w:szCs w:val="24"/>
        </w:rPr>
        <w:t xml:space="preserve">to clarify that the revised fees apply to all </w:t>
      </w:r>
      <w:r w:rsidRPr="00935020">
        <w:rPr>
          <w:szCs w:val="24"/>
        </w:rPr>
        <w:t>applications</w:t>
      </w:r>
      <w:r w:rsidR="00EA2C13" w:rsidRPr="00935020">
        <w:rPr>
          <w:szCs w:val="24"/>
        </w:rPr>
        <w:t xml:space="preserve"> for which notification is given </w:t>
      </w:r>
      <w:r w:rsidRPr="00935020">
        <w:rPr>
          <w:szCs w:val="24"/>
        </w:rPr>
        <w:t>on or after 1 July 2021.</w:t>
      </w:r>
    </w:p>
    <w:p w14:paraId="5C4BE047" w14:textId="749FDA6D" w:rsidR="003B7C42" w:rsidRPr="00935020" w:rsidRDefault="003B7C42" w:rsidP="00BA3412">
      <w:pPr>
        <w:jc w:val="center"/>
        <w:rPr>
          <w:rFonts w:ascii="Times New Roman" w:hAnsi="Times New Roman"/>
          <w:i/>
          <w:szCs w:val="24"/>
        </w:rPr>
      </w:pPr>
      <w:r w:rsidRPr="00935020">
        <w:rPr>
          <w:szCs w:val="24"/>
        </w:rPr>
        <w:br w:type="page"/>
      </w:r>
      <w:r w:rsidRPr="00935020">
        <w:rPr>
          <w:rFonts w:ascii="Times New Roman" w:hAnsi="Times New Roman"/>
          <w:b/>
          <w:szCs w:val="24"/>
        </w:rPr>
        <w:lastRenderedPageBreak/>
        <w:t>Statement of Compatibility with Human Rights</w:t>
      </w:r>
    </w:p>
    <w:p w14:paraId="65E7E86B" w14:textId="77777777" w:rsidR="003B7C42" w:rsidRPr="00935020" w:rsidRDefault="003B7C42" w:rsidP="003B7C42">
      <w:pPr>
        <w:pStyle w:val="PlainParagraph"/>
        <w:spacing w:after="280"/>
        <w:jc w:val="center"/>
        <w:rPr>
          <w:rFonts w:ascii="Times New Roman" w:hAnsi="Times New Roman" w:cs="Times New Roman"/>
          <w:i/>
          <w:sz w:val="24"/>
          <w:szCs w:val="24"/>
          <w:u w:val="single"/>
        </w:rPr>
      </w:pPr>
      <w:r w:rsidRPr="00935020">
        <w:rPr>
          <w:rFonts w:ascii="Times New Roman" w:hAnsi="Times New Roman" w:cs="Times New Roman"/>
          <w:i/>
          <w:sz w:val="24"/>
          <w:szCs w:val="24"/>
        </w:rPr>
        <w:t>Prepared in accordance with Part 3 of the Human Rights (Parliamentary Scrutiny) Act 2011</w:t>
      </w:r>
    </w:p>
    <w:p w14:paraId="14FBBB54" w14:textId="3AD04DFE" w:rsidR="003B7C42" w:rsidRPr="00935020" w:rsidRDefault="001F1BC1" w:rsidP="003B7C42">
      <w:pPr>
        <w:jc w:val="center"/>
      </w:pPr>
      <w:r w:rsidRPr="00935020">
        <w:rPr>
          <w:rFonts w:ascii="Times New Roman" w:hAnsi="Times New Roman"/>
          <w:i/>
        </w:rPr>
        <w:t>National Health (Pharmaceuticals and Vaccines</w:t>
      </w:r>
      <w:r w:rsidR="000013A4" w:rsidRPr="00935020">
        <w:rPr>
          <w:rFonts w:ascii="Times New Roman" w:hAnsi="Times New Roman"/>
          <w:i/>
          <w:szCs w:val="24"/>
        </w:rPr>
        <w:t>—</w:t>
      </w:r>
      <w:r w:rsidRPr="00935020">
        <w:rPr>
          <w:rFonts w:ascii="Times New Roman" w:hAnsi="Times New Roman"/>
          <w:i/>
        </w:rPr>
        <w:t xml:space="preserve">Cost Recovery) Amendment (Fees) Regulations 2021 </w:t>
      </w:r>
      <w:r w:rsidRPr="00935020">
        <w:t xml:space="preserve"> </w:t>
      </w:r>
    </w:p>
    <w:p w14:paraId="20B62E8D" w14:textId="77777777" w:rsidR="001F1BC1" w:rsidRPr="00935020" w:rsidRDefault="001F1BC1" w:rsidP="003B7C42">
      <w:pPr>
        <w:jc w:val="center"/>
        <w:rPr>
          <w:i/>
        </w:rPr>
      </w:pPr>
    </w:p>
    <w:p w14:paraId="184E3CF7" w14:textId="0AC6C853" w:rsidR="003B7C42" w:rsidRPr="00935020" w:rsidRDefault="003B7C42" w:rsidP="001F1BC1">
      <w:pPr>
        <w:ind w:right="91"/>
        <w:rPr>
          <w:szCs w:val="24"/>
        </w:rPr>
      </w:pPr>
      <w:r w:rsidRPr="00935020">
        <w:rPr>
          <w:szCs w:val="24"/>
        </w:rPr>
        <w:t xml:space="preserve">The </w:t>
      </w:r>
      <w:r w:rsidR="001F1BC1" w:rsidRPr="00935020">
        <w:rPr>
          <w:rFonts w:ascii="Times New Roman" w:hAnsi="Times New Roman"/>
          <w:i/>
        </w:rPr>
        <w:t>National Health (Pharmaceuticals and Vaccines</w:t>
      </w:r>
      <w:r w:rsidR="000013A4" w:rsidRPr="00935020">
        <w:rPr>
          <w:rFonts w:ascii="Times New Roman" w:hAnsi="Times New Roman"/>
          <w:i/>
          <w:szCs w:val="24"/>
        </w:rPr>
        <w:t>—</w:t>
      </w:r>
      <w:r w:rsidR="001F1BC1" w:rsidRPr="00935020">
        <w:rPr>
          <w:rFonts w:ascii="Times New Roman" w:hAnsi="Times New Roman"/>
          <w:i/>
        </w:rPr>
        <w:t xml:space="preserve">Cost Recovery) Amendment (Fees) Regulations 2021 </w:t>
      </w:r>
      <w:r w:rsidRPr="00935020">
        <w:t>(the Amendment Regulations)</w:t>
      </w:r>
      <w:r w:rsidRPr="00935020">
        <w:rPr>
          <w:i/>
        </w:rPr>
        <w:t xml:space="preserve"> </w:t>
      </w:r>
      <w:r w:rsidRPr="00935020">
        <w:t>are</w:t>
      </w:r>
      <w:r w:rsidRPr="00935020">
        <w:rPr>
          <w:szCs w:val="24"/>
        </w:rPr>
        <w:t xml:space="preserve"> compatible with the human rights and freedoms recognised or declared in the international instruments listed in section 3 of the </w:t>
      </w:r>
      <w:r w:rsidRPr="00935020">
        <w:rPr>
          <w:i/>
          <w:szCs w:val="24"/>
        </w:rPr>
        <w:t>Human Rights (Parliamentary Scrutiny) Act 2011</w:t>
      </w:r>
      <w:r w:rsidRPr="00935020">
        <w:rPr>
          <w:szCs w:val="24"/>
        </w:rPr>
        <w:t>.</w:t>
      </w:r>
    </w:p>
    <w:p w14:paraId="0C859318" w14:textId="77777777" w:rsidR="003B7C42" w:rsidRPr="00935020" w:rsidRDefault="003B7C42" w:rsidP="003B7C42">
      <w:pPr>
        <w:rPr>
          <w:b/>
          <w:szCs w:val="24"/>
        </w:rPr>
      </w:pPr>
    </w:p>
    <w:p w14:paraId="7B68BE81" w14:textId="77777777" w:rsidR="003B7C42" w:rsidRPr="00935020" w:rsidRDefault="003B7C42" w:rsidP="003B7C42">
      <w:pPr>
        <w:rPr>
          <w:b/>
          <w:szCs w:val="24"/>
        </w:rPr>
      </w:pPr>
      <w:r w:rsidRPr="00935020">
        <w:rPr>
          <w:b/>
          <w:szCs w:val="24"/>
        </w:rPr>
        <w:t>Overview of the Regulations</w:t>
      </w:r>
    </w:p>
    <w:p w14:paraId="7C61634E" w14:textId="064720B3" w:rsidR="003B7C42" w:rsidRPr="00935020" w:rsidRDefault="003B7C42" w:rsidP="003B7C42">
      <w:pPr>
        <w:tabs>
          <w:tab w:val="left" w:pos="1701"/>
          <w:tab w:val="right" w:pos="9072"/>
        </w:tabs>
        <w:ind w:right="91"/>
        <w:outlineLvl w:val="2"/>
      </w:pPr>
      <w:r w:rsidRPr="00935020">
        <w:t xml:space="preserve">The Amendment Regulations </w:t>
      </w:r>
      <w:r w:rsidR="001F1BC1" w:rsidRPr="00935020">
        <w:rPr>
          <w:rFonts w:ascii="Times New Roman" w:hAnsi="Times New Roman"/>
        </w:rPr>
        <w:t>update cost recovery fees for the 2021-22 financial year in relation to applications for listing on the Pharmaceutical Benefits Scheme (PBS) and the National Immunisation Program (NIP).</w:t>
      </w:r>
      <w:r w:rsidRPr="00935020" w:rsidDel="004F7F9A">
        <w:t xml:space="preserve"> </w:t>
      </w:r>
    </w:p>
    <w:p w14:paraId="3F2B9EB2" w14:textId="77777777" w:rsidR="003B7C42" w:rsidRPr="00935020" w:rsidRDefault="003B7C42" w:rsidP="003B7C42">
      <w:pPr>
        <w:tabs>
          <w:tab w:val="left" w:pos="1701"/>
          <w:tab w:val="right" w:pos="9072"/>
        </w:tabs>
        <w:ind w:right="91"/>
        <w:outlineLvl w:val="2"/>
      </w:pPr>
    </w:p>
    <w:p w14:paraId="0773FA25" w14:textId="77777777" w:rsidR="003B7C42" w:rsidRPr="00935020" w:rsidRDefault="003B7C42" w:rsidP="003B7C42">
      <w:pPr>
        <w:tabs>
          <w:tab w:val="left" w:pos="1701"/>
          <w:tab w:val="right" w:pos="9072"/>
        </w:tabs>
        <w:ind w:right="91"/>
        <w:outlineLvl w:val="2"/>
      </w:pPr>
      <w:r w:rsidRPr="00935020">
        <w:rPr>
          <w:szCs w:val="24"/>
        </w:rPr>
        <w:t xml:space="preserve">The Amendment Regulations are made under section 140 of the </w:t>
      </w:r>
      <w:r w:rsidRPr="00935020">
        <w:rPr>
          <w:i/>
          <w:szCs w:val="24"/>
        </w:rPr>
        <w:t>National Health Act 1953</w:t>
      </w:r>
      <w:r w:rsidRPr="00935020">
        <w:rPr>
          <w:szCs w:val="24"/>
        </w:rPr>
        <w:t xml:space="preserve"> (the Act). Section 140 provides that the Governor-General may make regulations, not inconsistent with the Act, prescribing all matters, which by the Act are required or permitted to be prescribed, or which are necessary or convenient to be prescribed for carrying out or giving effect to the Act.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 </w:t>
      </w:r>
    </w:p>
    <w:p w14:paraId="07500B00" w14:textId="77777777" w:rsidR="003B7C42" w:rsidRPr="00935020" w:rsidRDefault="003B7C42" w:rsidP="003B7C42">
      <w:pPr>
        <w:tabs>
          <w:tab w:val="left" w:pos="1701"/>
          <w:tab w:val="right" w:pos="9072"/>
        </w:tabs>
        <w:ind w:right="91"/>
        <w:outlineLvl w:val="2"/>
      </w:pPr>
    </w:p>
    <w:p w14:paraId="24C2C343" w14:textId="77777777" w:rsidR="003B7C42" w:rsidRPr="00935020" w:rsidRDefault="003B7C42" w:rsidP="003B7C42">
      <w:pPr>
        <w:tabs>
          <w:tab w:val="left" w:pos="1701"/>
          <w:tab w:val="right" w:pos="9072"/>
        </w:tabs>
        <w:ind w:right="91"/>
        <w:outlineLvl w:val="2"/>
      </w:pPr>
      <w:r w:rsidRPr="00935020">
        <w:rPr>
          <w:szCs w:val="24"/>
        </w:rPr>
        <w:t xml:space="preserve">The Amendment Regulations amend the </w:t>
      </w:r>
      <w:r w:rsidRPr="00935020">
        <w:rPr>
          <w:i/>
          <w:iCs/>
          <w:szCs w:val="24"/>
        </w:rPr>
        <w:t xml:space="preserve">National Health (Pharmaceuticals and Vaccines—Cost Recovery) Regulations 2009 </w:t>
      </w:r>
      <w:r w:rsidRPr="00935020">
        <w:rPr>
          <w:szCs w:val="24"/>
        </w:rPr>
        <w:t>(the Principal Regulations)</w:t>
      </w:r>
      <w:r w:rsidRPr="00935020">
        <w:rPr>
          <w:i/>
          <w:iCs/>
          <w:szCs w:val="24"/>
        </w:rPr>
        <w:t xml:space="preserve">. </w:t>
      </w:r>
      <w:r w:rsidRPr="00935020">
        <w:rPr>
          <w:szCs w:val="24"/>
        </w:rPr>
        <w:t>The Amendment Regulations provide for fees for services provided by the Commonwealth in relation to an exercise of power by the Minister under section 9B or Part VII of the Act:</w:t>
      </w:r>
    </w:p>
    <w:p w14:paraId="5EC9A706" w14:textId="77777777" w:rsidR="003B7C42" w:rsidRPr="00935020" w:rsidRDefault="003B7C42" w:rsidP="0043166B">
      <w:pPr>
        <w:pStyle w:val="ListParagraph"/>
        <w:numPr>
          <w:ilvl w:val="0"/>
          <w:numId w:val="33"/>
        </w:numPr>
        <w:shd w:val="clear" w:color="auto" w:fill="FFFFFF"/>
        <w:spacing w:before="120"/>
        <w:ind w:left="714" w:hanging="357"/>
        <w:contextualSpacing w:val="0"/>
        <w:rPr>
          <w:szCs w:val="24"/>
          <w:lang w:val="en-US"/>
        </w:rPr>
      </w:pPr>
      <w:r w:rsidRPr="00935020">
        <w:rPr>
          <w:szCs w:val="24"/>
        </w:rPr>
        <w:t>The Minister’s powers under section 9B of the Act broadly relate to the National Immunisation Program (NIP).</w:t>
      </w:r>
    </w:p>
    <w:p w14:paraId="7919682B" w14:textId="77777777" w:rsidR="003B7C42" w:rsidRPr="00935020" w:rsidRDefault="003B7C42">
      <w:pPr>
        <w:pStyle w:val="ListParagraph"/>
        <w:numPr>
          <w:ilvl w:val="0"/>
          <w:numId w:val="33"/>
        </w:numPr>
        <w:shd w:val="clear" w:color="auto" w:fill="FFFFFF"/>
        <w:spacing w:before="120"/>
        <w:ind w:left="714" w:hanging="357"/>
        <w:contextualSpacing w:val="0"/>
        <w:rPr>
          <w:szCs w:val="24"/>
          <w:lang w:val="en-US"/>
        </w:rPr>
      </w:pPr>
      <w:r w:rsidRPr="00935020">
        <w:rPr>
          <w:szCs w:val="24"/>
        </w:rPr>
        <w:t>The Minister’s powers under Part VII broadly concern the listing process for applications for pharmaceuticals to be included in the Pharmaceutical Benefits Scheme (PBS).</w:t>
      </w:r>
    </w:p>
    <w:p w14:paraId="5EBE3567" w14:textId="77777777" w:rsidR="003B7C42" w:rsidRPr="00935020" w:rsidRDefault="003B7C42" w:rsidP="003B7C42">
      <w:pPr>
        <w:rPr>
          <w:b/>
          <w:szCs w:val="24"/>
        </w:rPr>
      </w:pPr>
    </w:p>
    <w:p w14:paraId="42138CF4" w14:textId="77777777" w:rsidR="003B7C42" w:rsidRPr="00935020" w:rsidRDefault="003B7C42" w:rsidP="003B7C42">
      <w:pPr>
        <w:rPr>
          <w:b/>
          <w:szCs w:val="24"/>
        </w:rPr>
      </w:pPr>
      <w:r w:rsidRPr="00935020">
        <w:rPr>
          <w:b/>
          <w:szCs w:val="24"/>
        </w:rPr>
        <w:t>Human rights implications</w:t>
      </w:r>
    </w:p>
    <w:p w14:paraId="031352FF" w14:textId="3C6F5893" w:rsidR="003B7C42" w:rsidRPr="00935020" w:rsidRDefault="003B7C42" w:rsidP="003B7C42">
      <w:pPr>
        <w:pStyle w:val="Default"/>
      </w:pPr>
      <w:r w:rsidRPr="00935020">
        <w:t>The Amendment Regulations engage Article 2 and Article 12 of the International Covenant on Economic, Social and Cultural Rights by assisting with the progressive realisation by all appropriate means of the right of everyone to the enjoyment of the highest attainable standard of physical and mental health.</w:t>
      </w:r>
    </w:p>
    <w:p w14:paraId="1763B8C3" w14:textId="77777777" w:rsidR="003B7C42" w:rsidRPr="00935020" w:rsidRDefault="003B7C42" w:rsidP="003B7C42">
      <w:pPr>
        <w:pStyle w:val="Default"/>
      </w:pPr>
    </w:p>
    <w:p w14:paraId="67B3C630" w14:textId="2724BE70" w:rsidR="003B7C42" w:rsidRPr="00935020" w:rsidRDefault="003B7C42" w:rsidP="003B7C42">
      <w:pPr>
        <w:pStyle w:val="Default"/>
        <w:rPr>
          <w:color w:val="FF0000"/>
        </w:rPr>
      </w:pPr>
      <w:r w:rsidRPr="00935020">
        <w:t xml:space="preserve">The PBS and NIP are benefit schemes, which assist with advancement of this human right by providing </w:t>
      </w:r>
      <w:r w:rsidR="00DC0C38" w:rsidRPr="00935020">
        <w:t xml:space="preserve">patients with </w:t>
      </w:r>
      <w:r w:rsidRPr="00935020">
        <w:t xml:space="preserve">subsidised access </w:t>
      </w:r>
      <w:r w:rsidR="00DC0C38" w:rsidRPr="00935020">
        <w:t xml:space="preserve">to </w:t>
      </w:r>
      <w:r w:rsidRPr="00935020">
        <w:t xml:space="preserve">medicines. </w:t>
      </w:r>
      <w:r w:rsidR="00DC0C38" w:rsidRPr="00935020">
        <w:t>By accurately recovering the costs of assessing applications for subsidy, the Commonwealth ensures that the medicine and vaccine assessment process remains financially sustainable and contributes to a viable and well-functioning PBS</w:t>
      </w:r>
      <w:r w:rsidRPr="00935020">
        <w:t xml:space="preserve">. This </w:t>
      </w:r>
      <w:r w:rsidR="00DC0C38" w:rsidRPr="00935020">
        <w:t xml:space="preserve">mean that </w:t>
      </w:r>
      <w:r w:rsidRPr="00935020">
        <w:t xml:space="preserve">Australians </w:t>
      </w:r>
      <w:r w:rsidR="00B809DF" w:rsidRPr="00935020">
        <w:t xml:space="preserve">will </w:t>
      </w:r>
      <w:r w:rsidR="00DC0C38" w:rsidRPr="00935020">
        <w:lastRenderedPageBreak/>
        <w:t>continue to have access to safe, effective medicines</w:t>
      </w:r>
      <w:r w:rsidRPr="00935020">
        <w:t xml:space="preserve"> which, in turn, promotes the various rights to health in the Conventions.  </w:t>
      </w:r>
    </w:p>
    <w:p w14:paraId="76C71CDD" w14:textId="77777777" w:rsidR="003B7C42" w:rsidRPr="00935020" w:rsidRDefault="003B7C42" w:rsidP="003B7C42">
      <w:pPr>
        <w:pStyle w:val="Default"/>
        <w:rPr>
          <w:b/>
          <w:bCs/>
        </w:rPr>
      </w:pPr>
    </w:p>
    <w:p w14:paraId="4FAB4D09" w14:textId="77777777" w:rsidR="003B7C42" w:rsidRPr="00935020" w:rsidRDefault="003B7C42" w:rsidP="003B7C42">
      <w:pPr>
        <w:pStyle w:val="Default"/>
      </w:pPr>
      <w:r w:rsidRPr="00935020">
        <w:rPr>
          <w:b/>
          <w:bCs/>
        </w:rPr>
        <w:t>Conclusion</w:t>
      </w:r>
    </w:p>
    <w:p w14:paraId="79B72AC2" w14:textId="119642F5" w:rsidR="003B7C42" w:rsidRPr="00935020" w:rsidRDefault="003B7C42" w:rsidP="003B7C42">
      <w:pPr>
        <w:rPr>
          <w:szCs w:val="24"/>
        </w:rPr>
      </w:pPr>
      <w:r w:rsidRPr="00935020">
        <w:rPr>
          <w:szCs w:val="24"/>
        </w:rPr>
        <w:t xml:space="preserve">This Legislative Instrument is compatible with human rights. Human rights continue to be protected by </w:t>
      </w:r>
      <w:r w:rsidR="00DC0C38" w:rsidRPr="00935020">
        <w:rPr>
          <w:szCs w:val="24"/>
        </w:rPr>
        <w:t>ensuring the</w:t>
      </w:r>
      <w:r w:rsidRPr="00935020">
        <w:rPr>
          <w:szCs w:val="24"/>
        </w:rPr>
        <w:t xml:space="preserve"> PBS and NIP </w:t>
      </w:r>
      <w:r w:rsidR="00DC0C38" w:rsidRPr="00935020">
        <w:rPr>
          <w:szCs w:val="24"/>
        </w:rPr>
        <w:t xml:space="preserve">are financially sustainable and </w:t>
      </w:r>
      <w:r w:rsidR="00B809DF" w:rsidRPr="00935020">
        <w:rPr>
          <w:szCs w:val="24"/>
        </w:rPr>
        <w:t>will</w:t>
      </w:r>
      <w:r w:rsidR="00DC0C38" w:rsidRPr="00935020">
        <w:rPr>
          <w:szCs w:val="24"/>
        </w:rPr>
        <w:t xml:space="preserve"> continue to assess applications for subsidy of medicines and vaccines which benefit the health of Australian citizens.</w:t>
      </w:r>
    </w:p>
    <w:p w14:paraId="02F0422D" w14:textId="77777777" w:rsidR="003B7C42" w:rsidRPr="00935020" w:rsidRDefault="003B7C42" w:rsidP="003B7C42">
      <w:pPr>
        <w:rPr>
          <w:szCs w:val="24"/>
        </w:rPr>
      </w:pPr>
    </w:p>
    <w:p w14:paraId="562768D3" w14:textId="77777777" w:rsidR="003B7C42" w:rsidRPr="00935020" w:rsidRDefault="003B7C42" w:rsidP="003B7C42">
      <w:pPr>
        <w:rPr>
          <w:rFonts w:eastAsia="Calibri"/>
          <w:szCs w:val="24"/>
          <w:lang w:eastAsia="en-US"/>
        </w:rPr>
      </w:pPr>
    </w:p>
    <w:p w14:paraId="40ED5480" w14:textId="77777777" w:rsidR="003B7C42" w:rsidRPr="00935020" w:rsidRDefault="003B7C42" w:rsidP="003B7C42">
      <w:pPr>
        <w:rPr>
          <w:rFonts w:eastAsia="Calibri"/>
          <w:szCs w:val="24"/>
          <w:lang w:eastAsia="en-US"/>
        </w:rPr>
      </w:pPr>
    </w:p>
    <w:p w14:paraId="6BCF87EA" w14:textId="77777777" w:rsidR="003B7C42" w:rsidRPr="00935020" w:rsidRDefault="003B7C42" w:rsidP="003B7C42">
      <w:pPr>
        <w:spacing w:before="120" w:after="120" w:line="276" w:lineRule="auto"/>
        <w:jc w:val="center"/>
        <w:rPr>
          <w:rFonts w:eastAsia="Calibri"/>
          <w:b/>
          <w:szCs w:val="24"/>
          <w:lang w:eastAsia="en-US"/>
        </w:rPr>
      </w:pPr>
      <w:r w:rsidRPr="00935020">
        <w:rPr>
          <w:rFonts w:eastAsia="Calibri"/>
          <w:b/>
          <w:szCs w:val="24"/>
          <w:lang w:eastAsia="en-US"/>
        </w:rPr>
        <w:t>The Hon Greg Hunt MP</w:t>
      </w:r>
    </w:p>
    <w:p w14:paraId="139E1EE9" w14:textId="61B155CF" w:rsidR="003B7C42" w:rsidRDefault="003B7C42" w:rsidP="003B7C42">
      <w:pPr>
        <w:spacing w:before="120" w:after="120" w:line="276" w:lineRule="auto"/>
        <w:jc w:val="center"/>
        <w:rPr>
          <w:b/>
          <w:szCs w:val="24"/>
        </w:rPr>
      </w:pPr>
      <w:r w:rsidRPr="00935020">
        <w:rPr>
          <w:rFonts w:eastAsia="Calibri"/>
          <w:b/>
          <w:szCs w:val="24"/>
          <w:lang w:eastAsia="en-US"/>
        </w:rPr>
        <w:t>Minister for Health</w:t>
      </w:r>
      <w:r w:rsidR="00727ABD" w:rsidRPr="00935020">
        <w:rPr>
          <w:rFonts w:eastAsia="Calibri"/>
          <w:b/>
          <w:szCs w:val="24"/>
          <w:lang w:eastAsia="en-US"/>
        </w:rPr>
        <w:t xml:space="preserve"> and Aged Care</w:t>
      </w:r>
      <w:bookmarkStart w:id="0" w:name="_GoBack"/>
      <w:bookmarkEnd w:id="0"/>
    </w:p>
    <w:p w14:paraId="341490B6" w14:textId="77777777" w:rsidR="003B7C42" w:rsidRDefault="003B7C42" w:rsidP="003B7C42">
      <w:pPr>
        <w:autoSpaceDE w:val="0"/>
        <w:autoSpaceDN w:val="0"/>
        <w:adjustRightInd w:val="0"/>
        <w:spacing w:after="120"/>
        <w:rPr>
          <w:b/>
          <w:szCs w:val="24"/>
        </w:rPr>
      </w:pPr>
    </w:p>
    <w:p w14:paraId="774C498E" w14:textId="77777777" w:rsidR="00F27999" w:rsidRDefault="00F27999" w:rsidP="00254D5A">
      <w:pPr>
        <w:rPr>
          <w:b/>
        </w:rPr>
      </w:pPr>
    </w:p>
    <w:sectPr w:rsidR="00F27999" w:rsidSect="00706C58">
      <w:footerReference w:type="default" r:id="rId11"/>
      <w:footerReference w:type="first" r:id="rId12"/>
      <w:pgSz w:w="11907" w:h="16840" w:code="9"/>
      <w:pgMar w:top="1440" w:right="1797" w:bottom="1440" w:left="1797"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0692" w14:textId="77777777" w:rsidR="0027312E" w:rsidRDefault="0027312E">
      <w:r>
        <w:separator/>
      </w:r>
    </w:p>
  </w:endnote>
  <w:endnote w:type="continuationSeparator" w:id="0">
    <w:p w14:paraId="3BA6A0BA" w14:textId="77777777" w:rsidR="0027312E" w:rsidRDefault="0027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778296"/>
      <w:docPartObj>
        <w:docPartGallery w:val="Page Numbers (Bottom of Page)"/>
        <w:docPartUnique/>
      </w:docPartObj>
    </w:sdtPr>
    <w:sdtEndPr>
      <w:rPr>
        <w:noProof/>
      </w:rPr>
    </w:sdtEndPr>
    <w:sdtContent>
      <w:p w14:paraId="18982803" w14:textId="5FC4119C" w:rsidR="00706C58" w:rsidRDefault="00706C58">
        <w:pPr>
          <w:pStyle w:val="Footer"/>
          <w:jc w:val="center"/>
        </w:pPr>
        <w:r>
          <w:fldChar w:fldCharType="begin"/>
        </w:r>
        <w:r>
          <w:instrText xml:space="preserve"> PAGE   \* MERGEFORMAT </w:instrText>
        </w:r>
        <w:r>
          <w:fldChar w:fldCharType="separate"/>
        </w:r>
        <w:r w:rsidR="00935020">
          <w:rPr>
            <w:noProof/>
          </w:rPr>
          <w:t>6</w:t>
        </w:r>
        <w:r>
          <w:rPr>
            <w:noProof/>
          </w:rPr>
          <w:fldChar w:fldCharType="end"/>
        </w:r>
      </w:p>
    </w:sdtContent>
  </w:sdt>
  <w:p w14:paraId="06BF973E" w14:textId="5029FBB5" w:rsidR="0030014C" w:rsidRDefault="0030014C" w:rsidP="00457E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F225" w14:textId="58EB5E5B" w:rsidR="0030014C" w:rsidRDefault="0030014C"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C97A" w14:textId="77777777" w:rsidR="0027312E" w:rsidRDefault="0027312E">
      <w:r>
        <w:separator/>
      </w:r>
    </w:p>
  </w:footnote>
  <w:footnote w:type="continuationSeparator" w:id="0">
    <w:p w14:paraId="124A8C4E" w14:textId="77777777" w:rsidR="0027312E" w:rsidRDefault="0027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E06"/>
    <w:multiLevelType w:val="hybridMultilevel"/>
    <w:tmpl w:val="E5C2DF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620AF3"/>
    <w:multiLevelType w:val="hybridMultilevel"/>
    <w:tmpl w:val="882A4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377D3"/>
    <w:multiLevelType w:val="hybridMultilevel"/>
    <w:tmpl w:val="D56053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2278B0"/>
    <w:multiLevelType w:val="hybridMultilevel"/>
    <w:tmpl w:val="A7A4C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65013"/>
    <w:multiLevelType w:val="hybridMultilevel"/>
    <w:tmpl w:val="F10C0778"/>
    <w:lvl w:ilvl="0" w:tplc="F21A83F2">
      <w:start w:val="1"/>
      <w:numFmt w:val="lowerLetter"/>
      <w:lvlText w:val="%1)"/>
      <w:lvlJc w:val="left"/>
      <w:pPr>
        <w:ind w:left="720" w:hanging="360"/>
      </w:pPr>
      <w:rPr>
        <w:rFonts w:ascii="Times New Roman" w:hAnsi="Times New Roman"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31170"/>
    <w:multiLevelType w:val="hybridMultilevel"/>
    <w:tmpl w:val="6DC6D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3857F6"/>
    <w:multiLevelType w:val="hybridMultilevel"/>
    <w:tmpl w:val="6420A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EF5117"/>
    <w:multiLevelType w:val="hybridMultilevel"/>
    <w:tmpl w:val="4190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911209"/>
    <w:multiLevelType w:val="hybridMultilevel"/>
    <w:tmpl w:val="50FEA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E6E79E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6A4F92"/>
    <w:multiLevelType w:val="hybridMultilevel"/>
    <w:tmpl w:val="C86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C3A4F"/>
    <w:multiLevelType w:val="hybridMultilevel"/>
    <w:tmpl w:val="43F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A45B1"/>
    <w:multiLevelType w:val="hybridMultilevel"/>
    <w:tmpl w:val="6C96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4C879A4"/>
    <w:multiLevelType w:val="hybridMultilevel"/>
    <w:tmpl w:val="B142A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1309A"/>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580FD7"/>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AC18F1"/>
    <w:multiLevelType w:val="hybridMultilevel"/>
    <w:tmpl w:val="34F62A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8374F"/>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9C356C"/>
    <w:multiLevelType w:val="hybridMultilevel"/>
    <w:tmpl w:val="66567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017994"/>
    <w:multiLevelType w:val="hybridMultilevel"/>
    <w:tmpl w:val="C60658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6" w15:restartNumberingAfterBreak="0">
    <w:nsid w:val="678E069F"/>
    <w:multiLevelType w:val="hybridMultilevel"/>
    <w:tmpl w:val="5822882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69E37DBF"/>
    <w:multiLevelType w:val="hybridMultilevel"/>
    <w:tmpl w:val="3E0258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682152"/>
    <w:multiLevelType w:val="hybridMultilevel"/>
    <w:tmpl w:val="D87EF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2610C8"/>
    <w:multiLevelType w:val="hybridMultilevel"/>
    <w:tmpl w:val="FAEE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D81F34"/>
    <w:multiLevelType w:val="hybridMultilevel"/>
    <w:tmpl w:val="BDCA858E"/>
    <w:lvl w:ilvl="0" w:tplc="1F0087A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3C66EC"/>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25600B"/>
    <w:multiLevelType w:val="hybridMultilevel"/>
    <w:tmpl w:val="C44C0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E34633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num>
  <w:num w:numId="5">
    <w:abstractNumId w:val="22"/>
  </w:num>
  <w:num w:numId="6">
    <w:abstractNumId w:val="12"/>
  </w:num>
  <w:num w:numId="7">
    <w:abstractNumId w:val="15"/>
  </w:num>
  <w:num w:numId="8">
    <w:abstractNumId w:val="19"/>
  </w:num>
  <w:num w:numId="9">
    <w:abstractNumId w:val="33"/>
  </w:num>
  <w:num w:numId="10">
    <w:abstractNumId w:val="4"/>
  </w:num>
  <w:num w:numId="11">
    <w:abstractNumId w:val="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29"/>
  </w:num>
  <w:num w:numId="16">
    <w:abstractNumId w:val="30"/>
  </w:num>
  <w:num w:numId="17">
    <w:abstractNumId w:val="23"/>
  </w:num>
  <w:num w:numId="18">
    <w:abstractNumId w:val="13"/>
  </w:num>
  <w:num w:numId="19">
    <w:abstractNumId w:val="20"/>
  </w:num>
  <w:num w:numId="20">
    <w:abstractNumId w:val="1"/>
  </w:num>
  <w:num w:numId="21">
    <w:abstractNumId w:val="18"/>
  </w:num>
  <w:num w:numId="22">
    <w:abstractNumId w:val="31"/>
  </w:num>
  <w:num w:numId="23">
    <w:abstractNumId w:val="8"/>
  </w:num>
  <w:num w:numId="24">
    <w:abstractNumId w:val="24"/>
  </w:num>
  <w:num w:numId="25">
    <w:abstractNumId w:val="11"/>
  </w:num>
  <w:num w:numId="26">
    <w:abstractNumId w:val="17"/>
  </w:num>
  <w:num w:numId="27">
    <w:abstractNumId w:val="21"/>
  </w:num>
  <w:num w:numId="28">
    <w:abstractNumId w:val="26"/>
  </w:num>
  <w:num w:numId="29">
    <w:abstractNumId w:val="28"/>
  </w:num>
  <w:num w:numId="30">
    <w:abstractNumId w:val="3"/>
  </w:num>
  <w:num w:numId="31">
    <w:abstractNumId w:val="6"/>
  </w:num>
  <w:num w:numId="32">
    <w:abstractNumId w:val="27"/>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4A"/>
    <w:rsid w:val="000013A4"/>
    <w:rsid w:val="00012D69"/>
    <w:rsid w:val="00020209"/>
    <w:rsid w:val="00023FF9"/>
    <w:rsid w:val="000259E6"/>
    <w:rsid w:val="0003339B"/>
    <w:rsid w:val="00041539"/>
    <w:rsid w:val="00063450"/>
    <w:rsid w:val="00063F6F"/>
    <w:rsid w:val="00070783"/>
    <w:rsid w:val="000779E0"/>
    <w:rsid w:val="00083B60"/>
    <w:rsid w:val="000860D0"/>
    <w:rsid w:val="000977A2"/>
    <w:rsid w:val="000A7D8C"/>
    <w:rsid w:val="000B21F2"/>
    <w:rsid w:val="000B23D5"/>
    <w:rsid w:val="000C4B01"/>
    <w:rsid w:val="000C64EB"/>
    <w:rsid w:val="000C6CBE"/>
    <w:rsid w:val="000D4762"/>
    <w:rsid w:val="000D47FE"/>
    <w:rsid w:val="000E7EC8"/>
    <w:rsid w:val="00101124"/>
    <w:rsid w:val="00106F78"/>
    <w:rsid w:val="001072AE"/>
    <w:rsid w:val="001140FF"/>
    <w:rsid w:val="00116DB6"/>
    <w:rsid w:val="00132680"/>
    <w:rsid w:val="00143DC2"/>
    <w:rsid w:val="00143FA8"/>
    <w:rsid w:val="00147A6F"/>
    <w:rsid w:val="00150751"/>
    <w:rsid w:val="00150E6E"/>
    <w:rsid w:val="00162F27"/>
    <w:rsid w:val="00163308"/>
    <w:rsid w:val="00176990"/>
    <w:rsid w:val="0019294A"/>
    <w:rsid w:val="00192F34"/>
    <w:rsid w:val="00193802"/>
    <w:rsid w:val="00195D36"/>
    <w:rsid w:val="00197C1E"/>
    <w:rsid w:val="001A2BFE"/>
    <w:rsid w:val="001B53F9"/>
    <w:rsid w:val="001D4AEA"/>
    <w:rsid w:val="001D61BA"/>
    <w:rsid w:val="001D6D44"/>
    <w:rsid w:val="001F1BC1"/>
    <w:rsid w:val="00200530"/>
    <w:rsid w:val="00207341"/>
    <w:rsid w:val="00210330"/>
    <w:rsid w:val="0021742E"/>
    <w:rsid w:val="0022116A"/>
    <w:rsid w:val="00241214"/>
    <w:rsid w:val="002417CC"/>
    <w:rsid w:val="00243D10"/>
    <w:rsid w:val="002468B4"/>
    <w:rsid w:val="002509AB"/>
    <w:rsid w:val="00254D5A"/>
    <w:rsid w:val="00255BFB"/>
    <w:rsid w:val="00260CC2"/>
    <w:rsid w:val="00263FF5"/>
    <w:rsid w:val="0026717E"/>
    <w:rsid w:val="0027312E"/>
    <w:rsid w:val="00273CAB"/>
    <w:rsid w:val="002A2FF6"/>
    <w:rsid w:val="002A4CE1"/>
    <w:rsid w:val="002A75C4"/>
    <w:rsid w:val="002B402F"/>
    <w:rsid w:val="002C0B98"/>
    <w:rsid w:val="002C12BB"/>
    <w:rsid w:val="002D63F4"/>
    <w:rsid w:val="002E01E6"/>
    <w:rsid w:val="002E428A"/>
    <w:rsid w:val="0030014C"/>
    <w:rsid w:val="0030583E"/>
    <w:rsid w:val="0031093A"/>
    <w:rsid w:val="00315A03"/>
    <w:rsid w:val="003214EA"/>
    <w:rsid w:val="00324AE4"/>
    <w:rsid w:val="003270CD"/>
    <w:rsid w:val="00332C68"/>
    <w:rsid w:val="00334678"/>
    <w:rsid w:val="003370A2"/>
    <w:rsid w:val="00337CB8"/>
    <w:rsid w:val="00346BC5"/>
    <w:rsid w:val="00350B3C"/>
    <w:rsid w:val="003549D1"/>
    <w:rsid w:val="00357A60"/>
    <w:rsid w:val="0036175D"/>
    <w:rsid w:val="00374D01"/>
    <w:rsid w:val="00375B0C"/>
    <w:rsid w:val="00377888"/>
    <w:rsid w:val="0038041F"/>
    <w:rsid w:val="003955B4"/>
    <w:rsid w:val="00397117"/>
    <w:rsid w:val="003A3F1A"/>
    <w:rsid w:val="003A6018"/>
    <w:rsid w:val="003B287C"/>
    <w:rsid w:val="003B7C42"/>
    <w:rsid w:val="003C0B92"/>
    <w:rsid w:val="003D583D"/>
    <w:rsid w:val="003D5A68"/>
    <w:rsid w:val="003E11B3"/>
    <w:rsid w:val="003F0CAB"/>
    <w:rsid w:val="003F417A"/>
    <w:rsid w:val="003F5ECF"/>
    <w:rsid w:val="003F70E9"/>
    <w:rsid w:val="00400D73"/>
    <w:rsid w:val="00400F63"/>
    <w:rsid w:val="00401C22"/>
    <w:rsid w:val="00405334"/>
    <w:rsid w:val="00423A5F"/>
    <w:rsid w:val="004256C4"/>
    <w:rsid w:val="0043166B"/>
    <w:rsid w:val="00441951"/>
    <w:rsid w:val="00445991"/>
    <w:rsid w:val="00445A09"/>
    <w:rsid w:val="00450703"/>
    <w:rsid w:val="00457E4A"/>
    <w:rsid w:val="00462DC7"/>
    <w:rsid w:val="00462F8B"/>
    <w:rsid w:val="00472618"/>
    <w:rsid w:val="0048255C"/>
    <w:rsid w:val="00483861"/>
    <w:rsid w:val="00487DA1"/>
    <w:rsid w:val="00493084"/>
    <w:rsid w:val="0049735B"/>
    <w:rsid w:val="004A001C"/>
    <w:rsid w:val="004A1441"/>
    <w:rsid w:val="004A3FAB"/>
    <w:rsid w:val="004B2C7F"/>
    <w:rsid w:val="004C4C47"/>
    <w:rsid w:val="00505AF9"/>
    <w:rsid w:val="00527EEF"/>
    <w:rsid w:val="005355DF"/>
    <w:rsid w:val="00535ED8"/>
    <w:rsid w:val="005445B1"/>
    <w:rsid w:val="005459C4"/>
    <w:rsid w:val="00563674"/>
    <w:rsid w:val="0057508A"/>
    <w:rsid w:val="005835B6"/>
    <w:rsid w:val="00587C76"/>
    <w:rsid w:val="00590886"/>
    <w:rsid w:val="00590BD8"/>
    <w:rsid w:val="00592E46"/>
    <w:rsid w:val="00596EC5"/>
    <w:rsid w:val="005A1862"/>
    <w:rsid w:val="005A5459"/>
    <w:rsid w:val="005A6CE3"/>
    <w:rsid w:val="005B1175"/>
    <w:rsid w:val="005B245E"/>
    <w:rsid w:val="005B3FD9"/>
    <w:rsid w:val="005C2410"/>
    <w:rsid w:val="005D0D4E"/>
    <w:rsid w:val="005E19D4"/>
    <w:rsid w:val="005E3517"/>
    <w:rsid w:val="005E5381"/>
    <w:rsid w:val="005F6FD8"/>
    <w:rsid w:val="005F7571"/>
    <w:rsid w:val="00604FA2"/>
    <w:rsid w:val="00606205"/>
    <w:rsid w:val="0061638E"/>
    <w:rsid w:val="00631F66"/>
    <w:rsid w:val="00635055"/>
    <w:rsid w:val="00637B23"/>
    <w:rsid w:val="006410FC"/>
    <w:rsid w:val="006423B8"/>
    <w:rsid w:val="006443C0"/>
    <w:rsid w:val="006503E7"/>
    <w:rsid w:val="00665C6F"/>
    <w:rsid w:val="00667F41"/>
    <w:rsid w:val="00683053"/>
    <w:rsid w:val="00684D45"/>
    <w:rsid w:val="0068644E"/>
    <w:rsid w:val="00693B85"/>
    <w:rsid w:val="00696948"/>
    <w:rsid w:val="006B104A"/>
    <w:rsid w:val="006C2542"/>
    <w:rsid w:val="006C37DA"/>
    <w:rsid w:val="006C4484"/>
    <w:rsid w:val="006C5E6A"/>
    <w:rsid w:val="006C61DA"/>
    <w:rsid w:val="006D263A"/>
    <w:rsid w:val="006E0FD7"/>
    <w:rsid w:val="006E2DF5"/>
    <w:rsid w:val="006E2EAB"/>
    <w:rsid w:val="006F12D0"/>
    <w:rsid w:val="006F45F8"/>
    <w:rsid w:val="006F5807"/>
    <w:rsid w:val="00706027"/>
    <w:rsid w:val="00706C58"/>
    <w:rsid w:val="00711D79"/>
    <w:rsid w:val="00716EE7"/>
    <w:rsid w:val="00720E08"/>
    <w:rsid w:val="00723F84"/>
    <w:rsid w:val="00726825"/>
    <w:rsid w:val="00727ABD"/>
    <w:rsid w:val="007338B4"/>
    <w:rsid w:val="007502BC"/>
    <w:rsid w:val="007536A3"/>
    <w:rsid w:val="00753FA0"/>
    <w:rsid w:val="007603AA"/>
    <w:rsid w:val="00761881"/>
    <w:rsid w:val="007848C6"/>
    <w:rsid w:val="00785C34"/>
    <w:rsid w:val="00792114"/>
    <w:rsid w:val="0079486B"/>
    <w:rsid w:val="007C16FB"/>
    <w:rsid w:val="007C45EC"/>
    <w:rsid w:val="007C4C6B"/>
    <w:rsid w:val="007C64CD"/>
    <w:rsid w:val="007C78F9"/>
    <w:rsid w:val="007C7F6F"/>
    <w:rsid w:val="007D0865"/>
    <w:rsid w:val="007D420D"/>
    <w:rsid w:val="007E144E"/>
    <w:rsid w:val="007E3579"/>
    <w:rsid w:val="008125C1"/>
    <w:rsid w:val="0083560C"/>
    <w:rsid w:val="00844ACD"/>
    <w:rsid w:val="008458B9"/>
    <w:rsid w:val="00852CCB"/>
    <w:rsid w:val="0086221C"/>
    <w:rsid w:val="00864A66"/>
    <w:rsid w:val="00875F67"/>
    <w:rsid w:val="00881D70"/>
    <w:rsid w:val="0089456B"/>
    <w:rsid w:val="008967E9"/>
    <w:rsid w:val="008A0507"/>
    <w:rsid w:val="008A7535"/>
    <w:rsid w:val="008B0385"/>
    <w:rsid w:val="008B1227"/>
    <w:rsid w:val="008B278D"/>
    <w:rsid w:val="008C546E"/>
    <w:rsid w:val="008D162A"/>
    <w:rsid w:val="008F067B"/>
    <w:rsid w:val="008F6705"/>
    <w:rsid w:val="008F7290"/>
    <w:rsid w:val="00903596"/>
    <w:rsid w:val="0092640D"/>
    <w:rsid w:val="00935020"/>
    <w:rsid w:val="00947B45"/>
    <w:rsid w:val="00950881"/>
    <w:rsid w:val="009508D6"/>
    <w:rsid w:val="0095772C"/>
    <w:rsid w:val="0096281D"/>
    <w:rsid w:val="009634C7"/>
    <w:rsid w:val="00963FBD"/>
    <w:rsid w:val="00975178"/>
    <w:rsid w:val="00977AB2"/>
    <w:rsid w:val="009924EC"/>
    <w:rsid w:val="009A7839"/>
    <w:rsid w:val="009B617A"/>
    <w:rsid w:val="009B6571"/>
    <w:rsid w:val="009C275E"/>
    <w:rsid w:val="009D2475"/>
    <w:rsid w:val="009D3505"/>
    <w:rsid w:val="009D5939"/>
    <w:rsid w:val="009E3757"/>
    <w:rsid w:val="009F6BCF"/>
    <w:rsid w:val="009F6C31"/>
    <w:rsid w:val="00A03480"/>
    <w:rsid w:val="00A140BE"/>
    <w:rsid w:val="00A232B3"/>
    <w:rsid w:val="00A440A6"/>
    <w:rsid w:val="00A473B1"/>
    <w:rsid w:val="00A53A60"/>
    <w:rsid w:val="00A62166"/>
    <w:rsid w:val="00A72C37"/>
    <w:rsid w:val="00A81EF5"/>
    <w:rsid w:val="00A8295B"/>
    <w:rsid w:val="00A84E42"/>
    <w:rsid w:val="00A90DA4"/>
    <w:rsid w:val="00A93219"/>
    <w:rsid w:val="00A96AB1"/>
    <w:rsid w:val="00AA0001"/>
    <w:rsid w:val="00AA0508"/>
    <w:rsid w:val="00AB0743"/>
    <w:rsid w:val="00AB1378"/>
    <w:rsid w:val="00AB56AE"/>
    <w:rsid w:val="00AC53AB"/>
    <w:rsid w:val="00AE56C5"/>
    <w:rsid w:val="00AE6585"/>
    <w:rsid w:val="00AF3E4B"/>
    <w:rsid w:val="00AF461F"/>
    <w:rsid w:val="00AF5037"/>
    <w:rsid w:val="00B06BE2"/>
    <w:rsid w:val="00B165BB"/>
    <w:rsid w:val="00B2619C"/>
    <w:rsid w:val="00B30FF8"/>
    <w:rsid w:val="00B360BF"/>
    <w:rsid w:val="00B3706E"/>
    <w:rsid w:val="00B37C82"/>
    <w:rsid w:val="00B37D43"/>
    <w:rsid w:val="00B45B6E"/>
    <w:rsid w:val="00B64E5C"/>
    <w:rsid w:val="00B67917"/>
    <w:rsid w:val="00B809DF"/>
    <w:rsid w:val="00B9272B"/>
    <w:rsid w:val="00B95937"/>
    <w:rsid w:val="00BA2D1A"/>
    <w:rsid w:val="00BA3412"/>
    <w:rsid w:val="00BB17C1"/>
    <w:rsid w:val="00BB7375"/>
    <w:rsid w:val="00BC7266"/>
    <w:rsid w:val="00BD07C8"/>
    <w:rsid w:val="00BD7A42"/>
    <w:rsid w:val="00BE080D"/>
    <w:rsid w:val="00BE29F3"/>
    <w:rsid w:val="00BE341A"/>
    <w:rsid w:val="00BF3EB2"/>
    <w:rsid w:val="00C03F1B"/>
    <w:rsid w:val="00C05DA5"/>
    <w:rsid w:val="00C13A47"/>
    <w:rsid w:val="00C13D64"/>
    <w:rsid w:val="00C22837"/>
    <w:rsid w:val="00C25D47"/>
    <w:rsid w:val="00C56E7A"/>
    <w:rsid w:val="00C641C0"/>
    <w:rsid w:val="00C66E3E"/>
    <w:rsid w:val="00C6769D"/>
    <w:rsid w:val="00C729A1"/>
    <w:rsid w:val="00C73E92"/>
    <w:rsid w:val="00C759DF"/>
    <w:rsid w:val="00C77D70"/>
    <w:rsid w:val="00C85F96"/>
    <w:rsid w:val="00C876D8"/>
    <w:rsid w:val="00CA64F0"/>
    <w:rsid w:val="00CB10D8"/>
    <w:rsid w:val="00CB5CB7"/>
    <w:rsid w:val="00CB5E24"/>
    <w:rsid w:val="00CC18C1"/>
    <w:rsid w:val="00CD0975"/>
    <w:rsid w:val="00CD0C66"/>
    <w:rsid w:val="00CD24E5"/>
    <w:rsid w:val="00CD4318"/>
    <w:rsid w:val="00CD4E81"/>
    <w:rsid w:val="00CE3A70"/>
    <w:rsid w:val="00CE3D3E"/>
    <w:rsid w:val="00CE66FC"/>
    <w:rsid w:val="00CF29B3"/>
    <w:rsid w:val="00CF4731"/>
    <w:rsid w:val="00CF6000"/>
    <w:rsid w:val="00D00454"/>
    <w:rsid w:val="00D004D2"/>
    <w:rsid w:val="00D17F41"/>
    <w:rsid w:val="00D20759"/>
    <w:rsid w:val="00D212BB"/>
    <w:rsid w:val="00D21C40"/>
    <w:rsid w:val="00D21EEC"/>
    <w:rsid w:val="00D325DA"/>
    <w:rsid w:val="00D42757"/>
    <w:rsid w:val="00D65585"/>
    <w:rsid w:val="00D662E8"/>
    <w:rsid w:val="00D869E3"/>
    <w:rsid w:val="00D86C0A"/>
    <w:rsid w:val="00D87E79"/>
    <w:rsid w:val="00D90117"/>
    <w:rsid w:val="00D92202"/>
    <w:rsid w:val="00DA6631"/>
    <w:rsid w:val="00DC0C38"/>
    <w:rsid w:val="00DC3DE4"/>
    <w:rsid w:val="00DD75AA"/>
    <w:rsid w:val="00DE0FB8"/>
    <w:rsid w:val="00DE157F"/>
    <w:rsid w:val="00DE6569"/>
    <w:rsid w:val="00DF5177"/>
    <w:rsid w:val="00E01FF3"/>
    <w:rsid w:val="00E048FF"/>
    <w:rsid w:val="00E1272E"/>
    <w:rsid w:val="00E2134E"/>
    <w:rsid w:val="00E2510C"/>
    <w:rsid w:val="00E31650"/>
    <w:rsid w:val="00E4202C"/>
    <w:rsid w:val="00E43774"/>
    <w:rsid w:val="00E5036A"/>
    <w:rsid w:val="00E510F8"/>
    <w:rsid w:val="00E66BE6"/>
    <w:rsid w:val="00E7308B"/>
    <w:rsid w:val="00E74778"/>
    <w:rsid w:val="00E82F5C"/>
    <w:rsid w:val="00E83E49"/>
    <w:rsid w:val="00EA2C13"/>
    <w:rsid w:val="00EA42EB"/>
    <w:rsid w:val="00EA4A1B"/>
    <w:rsid w:val="00EA5D0B"/>
    <w:rsid w:val="00EC6948"/>
    <w:rsid w:val="00ED21BC"/>
    <w:rsid w:val="00ED7390"/>
    <w:rsid w:val="00EE1823"/>
    <w:rsid w:val="00EE4BBC"/>
    <w:rsid w:val="00EE669B"/>
    <w:rsid w:val="00EF38B8"/>
    <w:rsid w:val="00EF3BDD"/>
    <w:rsid w:val="00EF6181"/>
    <w:rsid w:val="00F00F09"/>
    <w:rsid w:val="00F02DFC"/>
    <w:rsid w:val="00F12F0C"/>
    <w:rsid w:val="00F219E5"/>
    <w:rsid w:val="00F21FAC"/>
    <w:rsid w:val="00F26186"/>
    <w:rsid w:val="00F27999"/>
    <w:rsid w:val="00F3036E"/>
    <w:rsid w:val="00F3351B"/>
    <w:rsid w:val="00F3519E"/>
    <w:rsid w:val="00F37D78"/>
    <w:rsid w:val="00F4287F"/>
    <w:rsid w:val="00F43473"/>
    <w:rsid w:val="00F6707B"/>
    <w:rsid w:val="00F71891"/>
    <w:rsid w:val="00F75CE6"/>
    <w:rsid w:val="00F7602D"/>
    <w:rsid w:val="00F766B7"/>
    <w:rsid w:val="00F8373D"/>
    <w:rsid w:val="00F867CB"/>
    <w:rsid w:val="00F87B6C"/>
    <w:rsid w:val="00FA1A5F"/>
    <w:rsid w:val="00FB0909"/>
    <w:rsid w:val="00FB5178"/>
    <w:rsid w:val="00FC2719"/>
    <w:rsid w:val="00FC2C09"/>
    <w:rsid w:val="00FC53AD"/>
    <w:rsid w:val="00FC654C"/>
    <w:rsid w:val="00FC7FEC"/>
    <w:rsid w:val="00FD6356"/>
    <w:rsid w:val="00FE44D0"/>
    <w:rsid w:val="00FE6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809C"/>
  <w15:docId w15:val="{693F61E1-1D36-4438-B0F3-91E773F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3">
    <w:name w:val="heading 3"/>
    <w:basedOn w:val="Normal"/>
    <w:next w:val="Normal"/>
    <w:link w:val="Heading3Char"/>
    <w:semiHidden/>
    <w:unhideWhenUsed/>
    <w:qFormat/>
    <w:rsid w:val="00FC65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rsid w:val="00457E4A"/>
  </w:style>
  <w:style w:type="paragraph" w:customStyle="1" w:styleId="CharCharCharCharCharCharCharCharCharCharCharCharChar">
    <w:name w:val="Char Char Char Char Char Char Char Char Char Char Char Char Char"/>
    <w:basedOn w:val="Normal"/>
    <w:rsid w:val="00457E4A"/>
    <w:pPr>
      <w:spacing w:after="160" w:line="240" w:lineRule="exact"/>
    </w:pPr>
    <w:rPr>
      <w:rFonts w:ascii="Verdana" w:hAnsi="Verdana" w:cs="Verdana"/>
      <w:sz w:val="20"/>
      <w:lang w:val="en-US" w:eastAsia="en-US"/>
    </w:rPr>
  </w:style>
  <w:style w:type="paragraph" w:customStyle="1" w:styleId="bids2heading">
    <w:name w:val="bids 2 heading"/>
    <w:basedOn w:val="Normal"/>
    <w:uiPriority w:val="99"/>
    <w:rsid w:val="00D21EEC"/>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D21EEC"/>
    <w:pPr>
      <w:autoSpaceDE w:val="0"/>
      <w:autoSpaceDN w:val="0"/>
      <w:spacing w:before="240"/>
    </w:pPr>
    <w:rPr>
      <w:rFonts w:ascii="Times" w:hAnsi="Times" w:cs="Times"/>
      <w:sz w:val="26"/>
      <w:szCs w:val="26"/>
      <w:lang w:eastAsia="en-US"/>
    </w:rPr>
  </w:style>
  <w:style w:type="character" w:styleId="CommentReference">
    <w:name w:val="annotation reference"/>
    <w:basedOn w:val="DefaultParagraphFont"/>
    <w:rsid w:val="00106F78"/>
    <w:rPr>
      <w:sz w:val="16"/>
      <w:szCs w:val="16"/>
    </w:rPr>
  </w:style>
  <w:style w:type="paragraph" w:styleId="CommentText">
    <w:name w:val="annotation text"/>
    <w:basedOn w:val="Normal"/>
    <w:link w:val="CommentTextChar"/>
    <w:rsid w:val="00106F78"/>
    <w:rPr>
      <w:sz w:val="20"/>
    </w:rPr>
  </w:style>
  <w:style w:type="character" w:customStyle="1" w:styleId="CommentTextChar">
    <w:name w:val="Comment Text Char"/>
    <w:basedOn w:val="DefaultParagraphFont"/>
    <w:link w:val="CommentText"/>
    <w:rsid w:val="00106F78"/>
    <w:rPr>
      <w:rFonts w:ascii="Tms Rmn" w:hAnsi="Tms Rmn"/>
    </w:rPr>
  </w:style>
  <w:style w:type="paragraph" w:styleId="CommentSubject">
    <w:name w:val="annotation subject"/>
    <w:basedOn w:val="CommentText"/>
    <w:next w:val="CommentText"/>
    <w:link w:val="CommentSubjectChar"/>
    <w:rsid w:val="00106F78"/>
    <w:rPr>
      <w:b/>
      <w:bCs/>
    </w:rPr>
  </w:style>
  <w:style w:type="character" w:customStyle="1" w:styleId="CommentSubjectChar">
    <w:name w:val="Comment Subject Char"/>
    <w:basedOn w:val="CommentTextChar"/>
    <w:link w:val="CommentSubject"/>
    <w:rsid w:val="00106F78"/>
    <w:rPr>
      <w:rFonts w:ascii="Tms Rmn" w:hAnsi="Tms Rmn"/>
      <w:b/>
      <w:bCs/>
    </w:rPr>
  </w:style>
  <w:style w:type="paragraph" w:styleId="BalloonText">
    <w:name w:val="Balloon Text"/>
    <w:basedOn w:val="Normal"/>
    <w:link w:val="BalloonTextChar"/>
    <w:rsid w:val="00106F78"/>
    <w:rPr>
      <w:rFonts w:ascii="Tahoma" w:hAnsi="Tahoma" w:cs="Tahoma"/>
      <w:sz w:val="16"/>
      <w:szCs w:val="16"/>
    </w:rPr>
  </w:style>
  <w:style w:type="character" w:customStyle="1" w:styleId="BalloonTextChar">
    <w:name w:val="Balloon Text Char"/>
    <w:basedOn w:val="DefaultParagraphFont"/>
    <w:link w:val="BalloonText"/>
    <w:rsid w:val="00106F78"/>
    <w:rPr>
      <w:rFonts w:ascii="Tahoma" w:hAnsi="Tahoma" w:cs="Tahoma"/>
      <w:sz w:val="16"/>
      <w:szCs w:val="16"/>
    </w:rPr>
  </w:style>
  <w:style w:type="character" w:styleId="Hyperlink">
    <w:name w:val="Hyperlink"/>
    <w:basedOn w:val="DefaultParagraphFont"/>
    <w:uiPriority w:val="99"/>
    <w:rsid w:val="00E01FF3"/>
    <w:rPr>
      <w:color w:val="0000FF" w:themeColor="hyperlink"/>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E7308B"/>
    <w:pPr>
      <w:ind w:left="720"/>
      <w:contextualSpacing/>
    </w:pPr>
  </w:style>
  <w:style w:type="character" w:styleId="FollowedHyperlink">
    <w:name w:val="FollowedHyperlink"/>
    <w:basedOn w:val="DefaultParagraphFont"/>
    <w:semiHidden/>
    <w:unhideWhenUsed/>
    <w:rsid w:val="0083560C"/>
    <w:rPr>
      <w:color w:val="800080" w:themeColor="followedHyperlink"/>
      <w:u w:val="single"/>
    </w:rPr>
  </w:style>
  <w:style w:type="character" w:customStyle="1" w:styleId="FooterChar">
    <w:name w:val="Footer Char"/>
    <w:basedOn w:val="DefaultParagraphFont"/>
    <w:link w:val="Footer"/>
    <w:uiPriority w:val="99"/>
    <w:rsid w:val="005D0D4E"/>
    <w:rPr>
      <w:rFonts w:ascii="Tms Rmn" w:hAnsi="Tms Rmn"/>
      <w:sz w:val="24"/>
    </w:rPr>
  </w:style>
  <w:style w:type="paragraph" w:customStyle="1" w:styleId="Default">
    <w:name w:val="Default"/>
    <w:rsid w:val="005D0D4E"/>
    <w:pPr>
      <w:autoSpaceDE w:val="0"/>
      <w:autoSpaceDN w:val="0"/>
      <w:adjustRightInd w:val="0"/>
    </w:pPr>
    <w:rPr>
      <w:rFonts w:eastAsiaTheme="minorHAnsi"/>
      <w:color w:val="000000"/>
      <w:sz w:val="24"/>
      <w:szCs w:val="24"/>
      <w:lang w:eastAsia="en-US"/>
    </w:rPr>
  </w:style>
  <w:style w:type="character" w:customStyle="1" w:styleId="Heading3Char">
    <w:name w:val="Heading 3 Char"/>
    <w:basedOn w:val="DefaultParagraphFont"/>
    <w:link w:val="Heading3"/>
    <w:semiHidden/>
    <w:rsid w:val="00FC654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FC654C"/>
    <w:rPr>
      <w:rFonts w:ascii="Tms Rmn" w:hAnsi="Tms Rmn"/>
      <w:sz w:val="24"/>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7CB8"/>
    <w:rPr>
      <w:rFonts w:ascii="Tms Rmn" w:hAnsi="Tms Rmn"/>
      <w:sz w:val="24"/>
    </w:rPr>
  </w:style>
  <w:style w:type="paragraph" w:customStyle="1" w:styleId="PlainParagraph">
    <w:name w:val="Plain Paragraph"/>
    <w:aliases w:val="PP"/>
    <w:basedOn w:val="Normal"/>
    <w:link w:val="PlainParagraphChar"/>
    <w:qFormat/>
    <w:rsid w:val="001D4AE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1D4AEA"/>
    <w:rPr>
      <w:rFonts w:ascii="Arial" w:hAnsi="Arial" w:cs="Arial"/>
      <w:sz w:val="22"/>
      <w:szCs w:val="22"/>
    </w:rPr>
  </w:style>
  <w:style w:type="paragraph" w:customStyle="1" w:styleId="ActHead3">
    <w:name w:val="ActHead 3"/>
    <w:aliases w:val="d"/>
    <w:basedOn w:val="Normal"/>
    <w:next w:val="Normal"/>
    <w:qFormat/>
    <w:rsid w:val="0079486B"/>
    <w:pPr>
      <w:keepNext/>
      <w:keepLines/>
      <w:spacing w:before="240"/>
      <w:ind w:left="1134" w:hanging="1134"/>
      <w:outlineLvl w:val="2"/>
    </w:pPr>
    <w:rPr>
      <w:rFonts w:ascii="Times New Roman" w:hAnsi="Times New Roman"/>
      <w:b/>
      <w:kern w:val="28"/>
      <w:sz w:val="28"/>
    </w:rPr>
  </w:style>
  <w:style w:type="paragraph" w:customStyle="1" w:styleId="ActHead5">
    <w:name w:val="ActHead 5"/>
    <w:aliases w:val="s"/>
    <w:basedOn w:val="Normal"/>
    <w:next w:val="subsection"/>
    <w:link w:val="ActHead5Char"/>
    <w:qFormat/>
    <w:rsid w:val="0079486B"/>
    <w:pPr>
      <w:keepNext/>
      <w:keepLines/>
      <w:spacing w:before="280"/>
      <w:ind w:left="1134" w:hanging="1134"/>
      <w:outlineLvl w:val="4"/>
    </w:pPr>
    <w:rPr>
      <w:rFonts w:ascii="Times New Roman" w:hAnsi="Times New Roman"/>
      <w:b/>
      <w:kern w:val="28"/>
    </w:rPr>
  </w:style>
  <w:style w:type="character" w:customStyle="1" w:styleId="CharDivNo">
    <w:name w:val="CharDivNo"/>
    <w:basedOn w:val="DefaultParagraphFont"/>
    <w:uiPriority w:val="1"/>
    <w:qFormat/>
    <w:rsid w:val="0079486B"/>
  </w:style>
  <w:style w:type="character" w:customStyle="1" w:styleId="CharDivText">
    <w:name w:val="CharDivText"/>
    <w:basedOn w:val="DefaultParagraphFont"/>
    <w:uiPriority w:val="1"/>
    <w:qFormat/>
    <w:rsid w:val="0079486B"/>
  </w:style>
  <w:style w:type="character" w:customStyle="1" w:styleId="CharSectno">
    <w:name w:val="CharSectno"/>
    <w:basedOn w:val="DefaultParagraphFont"/>
    <w:qFormat/>
    <w:rsid w:val="0079486B"/>
  </w:style>
  <w:style w:type="paragraph" w:customStyle="1" w:styleId="subsection">
    <w:name w:val="subsection"/>
    <w:aliases w:val="ss,Subsection"/>
    <w:basedOn w:val="Normal"/>
    <w:link w:val="subsectionChar"/>
    <w:rsid w:val="0079486B"/>
    <w:pPr>
      <w:tabs>
        <w:tab w:val="right" w:pos="1021"/>
      </w:tabs>
      <w:spacing w:before="180"/>
      <w:ind w:left="1134" w:hanging="1134"/>
    </w:pPr>
    <w:rPr>
      <w:rFonts w:ascii="Times New Roman" w:hAnsi="Times New Roman"/>
      <w:sz w:val="22"/>
    </w:rPr>
  </w:style>
  <w:style w:type="paragraph" w:customStyle="1" w:styleId="Item">
    <w:name w:val="Item"/>
    <w:aliases w:val="i"/>
    <w:basedOn w:val="Normal"/>
    <w:next w:val="ItemHead"/>
    <w:rsid w:val="0079486B"/>
    <w:pPr>
      <w:keepLines/>
      <w:spacing w:before="80"/>
      <w:ind w:left="709"/>
    </w:pPr>
    <w:rPr>
      <w:rFonts w:ascii="Times New Roman" w:hAnsi="Times New Roman"/>
      <w:sz w:val="22"/>
    </w:rPr>
  </w:style>
  <w:style w:type="paragraph" w:customStyle="1" w:styleId="ItemHead">
    <w:name w:val="ItemHead"/>
    <w:aliases w:val="ih"/>
    <w:basedOn w:val="Normal"/>
    <w:next w:val="Item"/>
    <w:rsid w:val="0079486B"/>
    <w:pPr>
      <w:keepNext/>
      <w:keepLines/>
      <w:spacing w:before="220"/>
      <w:ind w:left="709" w:hanging="709"/>
    </w:pPr>
    <w:rPr>
      <w:rFonts w:ascii="Arial" w:hAnsi="Arial"/>
      <w:b/>
      <w:kern w:val="28"/>
    </w:rPr>
  </w:style>
  <w:style w:type="character" w:customStyle="1" w:styleId="subsectionChar">
    <w:name w:val="subsection Char"/>
    <w:aliases w:val="ss Char"/>
    <w:basedOn w:val="DefaultParagraphFont"/>
    <w:link w:val="subsection"/>
    <w:locked/>
    <w:rsid w:val="0079486B"/>
    <w:rPr>
      <w:sz w:val="22"/>
    </w:rPr>
  </w:style>
  <w:style w:type="character" w:customStyle="1" w:styleId="ActHead5Char">
    <w:name w:val="ActHead 5 Char"/>
    <w:aliases w:val="s Char"/>
    <w:link w:val="ActHead5"/>
    <w:rsid w:val="0079486B"/>
    <w:rPr>
      <w:b/>
      <w:kern w:val="28"/>
      <w:sz w:val="24"/>
    </w:rPr>
  </w:style>
  <w:style w:type="paragraph" w:customStyle="1" w:styleId="Dot1">
    <w:name w:val="Dot1"/>
    <w:aliases w:val="DOT"/>
    <w:basedOn w:val="Normal"/>
    <w:link w:val="Dot1Char"/>
    <w:uiPriority w:val="2"/>
    <w:qFormat/>
    <w:rsid w:val="00143DC2"/>
    <w:pPr>
      <w:numPr>
        <w:ilvl w:val="1"/>
        <w:numId w:val="25"/>
      </w:numPr>
      <w:spacing w:after="140" w:line="280" w:lineRule="atLeast"/>
    </w:pPr>
    <w:rPr>
      <w:rFonts w:ascii="Arial" w:hAnsi="Arial" w:cs="Arial"/>
      <w:sz w:val="22"/>
      <w:szCs w:val="22"/>
    </w:rPr>
  </w:style>
  <w:style w:type="character" w:customStyle="1" w:styleId="Dot1Char">
    <w:name w:val="Dot1 Char"/>
    <w:aliases w:val="DOT Char"/>
    <w:basedOn w:val="DefaultParagraphFont"/>
    <w:link w:val="Dot1"/>
    <w:uiPriority w:val="2"/>
    <w:rsid w:val="00143DC2"/>
    <w:rPr>
      <w:rFonts w:ascii="Arial" w:hAnsi="Arial" w:cs="Arial"/>
      <w:sz w:val="22"/>
      <w:szCs w:val="22"/>
    </w:rPr>
  </w:style>
  <w:style w:type="paragraph" w:styleId="BodyText">
    <w:name w:val="Body Text"/>
    <w:basedOn w:val="Normal"/>
    <w:link w:val="BodyTextChar"/>
    <w:uiPriority w:val="99"/>
    <w:rsid w:val="00977AB2"/>
    <w:rPr>
      <w:rFonts w:ascii="Times New Roman" w:hAnsi="Times New Roman"/>
      <w:i/>
      <w:iCs/>
      <w:color w:val="999999"/>
      <w:szCs w:val="24"/>
      <w:lang w:eastAsia="en-US"/>
    </w:rPr>
  </w:style>
  <w:style w:type="character" w:customStyle="1" w:styleId="BodyTextChar">
    <w:name w:val="Body Text Char"/>
    <w:basedOn w:val="DefaultParagraphFont"/>
    <w:link w:val="BodyText"/>
    <w:uiPriority w:val="99"/>
    <w:rsid w:val="00977AB2"/>
    <w:rPr>
      <w:i/>
      <w:iCs/>
      <w:color w:val="999999"/>
      <w:sz w:val="24"/>
      <w:szCs w:val="24"/>
      <w:lang w:eastAsia="en-US"/>
    </w:rPr>
  </w:style>
  <w:style w:type="paragraph" w:customStyle="1" w:styleId="sotext">
    <w:name w:val="sotext"/>
    <w:basedOn w:val="Normal"/>
    <w:rsid w:val="003F5ECF"/>
    <w:pPr>
      <w:spacing w:before="100" w:beforeAutospacing="1" w:after="100" w:afterAutospacing="1"/>
    </w:pPr>
    <w:rPr>
      <w:rFonts w:ascii="Times New Roman" w:hAnsi="Times New Roman"/>
      <w:szCs w:val="24"/>
    </w:rPr>
  </w:style>
  <w:style w:type="table" w:styleId="TableGrid">
    <w:name w:val="Table Grid"/>
    <w:basedOn w:val="TableNormal"/>
    <w:rsid w:val="00CC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3115">
      <w:bodyDiv w:val="1"/>
      <w:marLeft w:val="0"/>
      <w:marRight w:val="0"/>
      <w:marTop w:val="0"/>
      <w:marBottom w:val="0"/>
      <w:divBdr>
        <w:top w:val="none" w:sz="0" w:space="0" w:color="auto"/>
        <w:left w:val="none" w:sz="0" w:space="0" w:color="auto"/>
        <w:bottom w:val="none" w:sz="0" w:space="0" w:color="auto"/>
        <w:right w:val="none" w:sz="0" w:space="0" w:color="auto"/>
      </w:divBdr>
    </w:div>
    <w:div w:id="486555159">
      <w:bodyDiv w:val="1"/>
      <w:marLeft w:val="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sChild>
            <w:div w:id="1529680911">
              <w:marLeft w:val="0"/>
              <w:marRight w:val="0"/>
              <w:marTop w:val="0"/>
              <w:marBottom w:val="0"/>
              <w:divBdr>
                <w:top w:val="none" w:sz="0" w:space="0" w:color="auto"/>
                <w:left w:val="none" w:sz="0" w:space="0" w:color="auto"/>
                <w:bottom w:val="none" w:sz="0" w:space="0" w:color="auto"/>
                <w:right w:val="none" w:sz="0" w:space="0" w:color="auto"/>
              </w:divBdr>
              <w:divsChild>
                <w:div w:id="296843258">
                  <w:marLeft w:val="0"/>
                  <w:marRight w:val="0"/>
                  <w:marTop w:val="0"/>
                  <w:marBottom w:val="0"/>
                  <w:divBdr>
                    <w:top w:val="none" w:sz="0" w:space="0" w:color="auto"/>
                    <w:left w:val="none" w:sz="0" w:space="0" w:color="auto"/>
                    <w:bottom w:val="none" w:sz="0" w:space="0" w:color="auto"/>
                    <w:right w:val="none" w:sz="0" w:space="0" w:color="auto"/>
                  </w:divBdr>
                  <w:divsChild>
                    <w:div w:id="1992445648">
                      <w:marLeft w:val="0"/>
                      <w:marRight w:val="0"/>
                      <w:marTop w:val="0"/>
                      <w:marBottom w:val="0"/>
                      <w:divBdr>
                        <w:top w:val="none" w:sz="0" w:space="0" w:color="auto"/>
                        <w:left w:val="none" w:sz="0" w:space="0" w:color="auto"/>
                        <w:bottom w:val="none" w:sz="0" w:space="0" w:color="auto"/>
                        <w:right w:val="none" w:sz="0" w:space="0" w:color="auto"/>
                      </w:divBdr>
                      <w:divsChild>
                        <w:div w:id="169367868">
                          <w:marLeft w:val="0"/>
                          <w:marRight w:val="0"/>
                          <w:marTop w:val="0"/>
                          <w:marBottom w:val="0"/>
                          <w:divBdr>
                            <w:top w:val="none" w:sz="0" w:space="0" w:color="auto"/>
                            <w:left w:val="none" w:sz="0" w:space="0" w:color="auto"/>
                            <w:bottom w:val="none" w:sz="0" w:space="0" w:color="auto"/>
                            <w:right w:val="none" w:sz="0" w:space="0" w:color="auto"/>
                          </w:divBdr>
                          <w:divsChild>
                            <w:div w:id="412432328">
                              <w:marLeft w:val="0"/>
                              <w:marRight w:val="0"/>
                              <w:marTop w:val="0"/>
                              <w:marBottom w:val="0"/>
                              <w:divBdr>
                                <w:top w:val="none" w:sz="0" w:space="0" w:color="auto"/>
                                <w:left w:val="none" w:sz="0" w:space="0" w:color="auto"/>
                                <w:bottom w:val="none" w:sz="0" w:space="0" w:color="auto"/>
                                <w:right w:val="none" w:sz="0" w:space="0" w:color="auto"/>
                              </w:divBdr>
                              <w:divsChild>
                                <w:div w:id="1536582663">
                                  <w:marLeft w:val="0"/>
                                  <w:marRight w:val="0"/>
                                  <w:marTop w:val="0"/>
                                  <w:marBottom w:val="0"/>
                                  <w:divBdr>
                                    <w:top w:val="none" w:sz="0" w:space="0" w:color="auto"/>
                                    <w:left w:val="none" w:sz="0" w:space="0" w:color="auto"/>
                                    <w:bottom w:val="none" w:sz="0" w:space="0" w:color="auto"/>
                                    <w:right w:val="none" w:sz="0" w:space="0" w:color="auto"/>
                                  </w:divBdr>
                                  <w:divsChild>
                                    <w:div w:id="1533037349">
                                      <w:marLeft w:val="0"/>
                                      <w:marRight w:val="0"/>
                                      <w:marTop w:val="0"/>
                                      <w:marBottom w:val="0"/>
                                      <w:divBdr>
                                        <w:top w:val="none" w:sz="0" w:space="0" w:color="auto"/>
                                        <w:left w:val="none" w:sz="0" w:space="0" w:color="auto"/>
                                        <w:bottom w:val="none" w:sz="0" w:space="0" w:color="auto"/>
                                        <w:right w:val="none" w:sz="0" w:space="0" w:color="auto"/>
                                      </w:divBdr>
                                      <w:divsChild>
                                        <w:div w:id="2090955186">
                                          <w:marLeft w:val="0"/>
                                          <w:marRight w:val="0"/>
                                          <w:marTop w:val="0"/>
                                          <w:marBottom w:val="0"/>
                                          <w:divBdr>
                                            <w:top w:val="none" w:sz="0" w:space="0" w:color="auto"/>
                                            <w:left w:val="none" w:sz="0" w:space="0" w:color="auto"/>
                                            <w:bottom w:val="none" w:sz="0" w:space="0" w:color="auto"/>
                                            <w:right w:val="none" w:sz="0" w:space="0" w:color="auto"/>
                                          </w:divBdr>
                                          <w:divsChild>
                                            <w:div w:id="192618511">
                                              <w:marLeft w:val="0"/>
                                              <w:marRight w:val="0"/>
                                              <w:marTop w:val="0"/>
                                              <w:marBottom w:val="0"/>
                                              <w:divBdr>
                                                <w:top w:val="none" w:sz="0" w:space="0" w:color="auto"/>
                                                <w:left w:val="none" w:sz="0" w:space="0" w:color="auto"/>
                                                <w:bottom w:val="none" w:sz="0" w:space="0" w:color="auto"/>
                                                <w:right w:val="none" w:sz="0" w:space="0" w:color="auto"/>
                                              </w:divBdr>
                                              <w:divsChild>
                                                <w:div w:id="107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810418">
      <w:bodyDiv w:val="1"/>
      <w:marLeft w:val="0"/>
      <w:marRight w:val="0"/>
      <w:marTop w:val="0"/>
      <w:marBottom w:val="0"/>
      <w:divBdr>
        <w:top w:val="none" w:sz="0" w:space="0" w:color="auto"/>
        <w:left w:val="none" w:sz="0" w:space="0" w:color="auto"/>
        <w:bottom w:val="none" w:sz="0" w:space="0" w:color="auto"/>
        <w:right w:val="none" w:sz="0" w:space="0" w:color="auto"/>
      </w:divBdr>
    </w:div>
    <w:div w:id="1500735492">
      <w:bodyDiv w:val="1"/>
      <w:marLeft w:val="0"/>
      <w:marRight w:val="0"/>
      <w:marTop w:val="0"/>
      <w:marBottom w:val="0"/>
      <w:divBdr>
        <w:top w:val="none" w:sz="0" w:space="0" w:color="auto"/>
        <w:left w:val="none" w:sz="0" w:space="0" w:color="auto"/>
        <w:bottom w:val="none" w:sz="0" w:space="0" w:color="auto"/>
        <w:right w:val="none" w:sz="0" w:space="0" w:color="auto"/>
      </w:divBdr>
      <w:divsChild>
        <w:div w:id="484052398">
          <w:marLeft w:val="0"/>
          <w:marRight w:val="0"/>
          <w:marTop w:val="0"/>
          <w:marBottom w:val="0"/>
          <w:divBdr>
            <w:top w:val="none" w:sz="0" w:space="0" w:color="auto"/>
            <w:left w:val="none" w:sz="0" w:space="0" w:color="auto"/>
            <w:bottom w:val="none" w:sz="0" w:space="0" w:color="auto"/>
            <w:right w:val="none" w:sz="0" w:space="0" w:color="auto"/>
          </w:divBdr>
          <w:divsChild>
            <w:div w:id="666637094">
              <w:marLeft w:val="0"/>
              <w:marRight w:val="0"/>
              <w:marTop w:val="0"/>
              <w:marBottom w:val="0"/>
              <w:divBdr>
                <w:top w:val="none" w:sz="0" w:space="0" w:color="auto"/>
                <w:left w:val="none" w:sz="0" w:space="0" w:color="auto"/>
                <w:bottom w:val="none" w:sz="0" w:space="0" w:color="auto"/>
                <w:right w:val="none" w:sz="0" w:space="0" w:color="auto"/>
              </w:divBdr>
              <w:divsChild>
                <w:div w:id="1063942487">
                  <w:marLeft w:val="0"/>
                  <w:marRight w:val="0"/>
                  <w:marTop w:val="0"/>
                  <w:marBottom w:val="0"/>
                  <w:divBdr>
                    <w:top w:val="none" w:sz="0" w:space="0" w:color="auto"/>
                    <w:left w:val="none" w:sz="0" w:space="0" w:color="auto"/>
                    <w:bottom w:val="none" w:sz="0" w:space="0" w:color="auto"/>
                    <w:right w:val="none" w:sz="0" w:space="0" w:color="auto"/>
                  </w:divBdr>
                  <w:divsChild>
                    <w:div w:id="1648165696">
                      <w:marLeft w:val="0"/>
                      <w:marRight w:val="0"/>
                      <w:marTop w:val="0"/>
                      <w:marBottom w:val="0"/>
                      <w:divBdr>
                        <w:top w:val="none" w:sz="0" w:space="0" w:color="auto"/>
                        <w:left w:val="none" w:sz="0" w:space="0" w:color="auto"/>
                        <w:bottom w:val="none" w:sz="0" w:space="0" w:color="auto"/>
                        <w:right w:val="none" w:sz="0" w:space="0" w:color="auto"/>
                      </w:divBdr>
                      <w:divsChild>
                        <w:div w:id="299766875">
                          <w:marLeft w:val="0"/>
                          <w:marRight w:val="0"/>
                          <w:marTop w:val="0"/>
                          <w:marBottom w:val="0"/>
                          <w:divBdr>
                            <w:top w:val="none" w:sz="0" w:space="0" w:color="auto"/>
                            <w:left w:val="none" w:sz="0" w:space="0" w:color="auto"/>
                            <w:bottom w:val="none" w:sz="0" w:space="0" w:color="auto"/>
                            <w:right w:val="none" w:sz="0" w:space="0" w:color="auto"/>
                          </w:divBdr>
                          <w:divsChild>
                            <w:div w:id="1167092614">
                              <w:marLeft w:val="0"/>
                              <w:marRight w:val="0"/>
                              <w:marTop w:val="0"/>
                              <w:marBottom w:val="0"/>
                              <w:divBdr>
                                <w:top w:val="none" w:sz="0" w:space="0" w:color="auto"/>
                                <w:left w:val="none" w:sz="0" w:space="0" w:color="auto"/>
                                <w:bottom w:val="none" w:sz="0" w:space="0" w:color="auto"/>
                                <w:right w:val="none" w:sz="0" w:space="0" w:color="auto"/>
                              </w:divBdr>
                              <w:divsChild>
                                <w:div w:id="1621959728">
                                  <w:marLeft w:val="0"/>
                                  <w:marRight w:val="0"/>
                                  <w:marTop w:val="0"/>
                                  <w:marBottom w:val="0"/>
                                  <w:divBdr>
                                    <w:top w:val="none" w:sz="0" w:space="0" w:color="auto"/>
                                    <w:left w:val="none" w:sz="0" w:space="0" w:color="auto"/>
                                    <w:bottom w:val="none" w:sz="0" w:space="0" w:color="auto"/>
                                    <w:right w:val="none" w:sz="0" w:space="0" w:color="auto"/>
                                  </w:divBdr>
                                  <w:divsChild>
                                    <w:div w:id="17969224">
                                      <w:marLeft w:val="0"/>
                                      <w:marRight w:val="0"/>
                                      <w:marTop w:val="0"/>
                                      <w:marBottom w:val="0"/>
                                      <w:divBdr>
                                        <w:top w:val="none" w:sz="0" w:space="0" w:color="auto"/>
                                        <w:left w:val="none" w:sz="0" w:space="0" w:color="auto"/>
                                        <w:bottom w:val="none" w:sz="0" w:space="0" w:color="auto"/>
                                        <w:right w:val="none" w:sz="0" w:space="0" w:color="auto"/>
                                      </w:divBdr>
                                      <w:divsChild>
                                        <w:div w:id="1629821994">
                                          <w:marLeft w:val="0"/>
                                          <w:marRight w:val="0"/>
                                          <w:marTop w:val="0"/>
                                          <w:marBottom w:val="0"/>
                                          <w:divBdr>
                                            <w:top w:val="none" w:sz="0" w:space="0" w:color="auto"/>
                                            <w:left w:val="none" w:sz="0" w:space="0" w:color="auto"/>
                                            <w:bottom w:val="none" w:sz="0" w:space="0" w:color="auto"/>
                                            <w:right w:val="none" w:sz="0" w:space="0" w:color="auto"/>
                                          </w:divBdr>
                                          <w:divsChild>
                                            <w:div w:id="366025876">
                                              <w:marLeft w:val="0"/>
                                              <w:marRight w:val="0"/>
                                              <w:marTop w:val="0"/>
                                              <w:marBottom w:val="0"/>
                                              <w:divBdr>
                                                <w:top w:val="none" w:sz="0" w:space="0" w:color="auto"/>
                                                <w:left w:val="none" w:sz="0" w:space="0" w:color="auto"/>
                                                <w:bottom w:val="none" w:sz="0" w:space="0" w:color="auto"/>
                                                <w:right w:val="none" w:sz="0" w:space="0" w:color="auto"/>
                                              </w:divBdr>
                                              <w:divsChild>
                                                <w:div w:id="215047819">
                                                  <w:marLeft w:val="0"/>
                                                  <w:marRight w:val="0"/>
                                                  <w:marTop w:val="0"/>
                                                  <w:marBottom w:val="0"/>
                                                  <w:divBdr>
                                                    <w:top w:val="none" w:sz="0" w:space="0" w:color="auto"/>
                                                    <w:left w:val="none" w:sz="0" w:space="0" w:color="auto"/>
                                                    <w:bottom w:val="none" w:sz="0" w:space="0" w:color="auto"/>
                                                    <w:right w:val="none" w:sz="0" w:space="0" w:color="auto"/>
                                                  </w:divBdr>
                                                  <w:divsChild>
                                                    <w:div w:id="1347832227">
                                                      <w:marLeft w:val="0"/>
                                                      <w:marRight w:val="0"/>
                                                      <w:marTop w:val="0"/>
                                                      <w:marBottom w:val="0"/>
                                                      <w:divBdr>
                                                        <w:top w:val="none" w:sz="0" w:space="0" w:color="auto"/>
                                                        <w:left w:val="none" w:sz="0" w:space="0" w:color="auto"/>
                                                        <w:bottom w:val="none" w:sz="0" w:space="0" w:color="auto"/>
                                                        <w:right w:val="none" w:sz="0" w:space="0" w:color="auto"/>
                                                      </w:divBdr>
                                                      <w:divsChild>
                                                        <w:div w:id="974214098">
                                                          <w:marLeft w:val="0"/>
                                                          <w:marRight w:val="0"/>
                                                          <w:marTop w:val="0"/>
                                                          <w:marBottom w:val="0"/>
                                                          <w:divBdr>
                                                            <w:top w:val="none" w:sz="0" w:space="0" w:color="auto"/>
                                                            <w:left w:val="none" w:sz="0" w:space="0" w:color="auto"/>
                                                            <w:bottom w:val="none" w:sz="0" w:space="0" w:color="auto"/>
                                                            <w:right w:val="none" w:sz="0" w:space="0" w:color="auto"/>
                                                          </w:divBdr>
                                                          <w:divsChild>
                                                            <w:div w:id="179420895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943564138">
      <w:bodyDiv w:val="1"/>
      <w:marLeft w:val="0"/>
      <w:marRight w:val="0"/>
      <w:marTop w:val="0"/>
      <w:marBottom w:val="0"/>
      <w:divBdr>
        <w:top w:val="none" w:sz="0" w:space="0" w:color="auto"/>
        <w:left w:val="none" w:sz="0" w:space="0" w:color="auto"/>
        <w:bottom w:val="none" w:sz="0" w:space="0" w:color="auto"/>
        <w:right w:val="none" w:sz="0" w:space="0" w:color="auto"/>
      </w:divBdr>
    </w:div>
    <w:div w:id="20892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4BCC4A2-74DC-4A9D-B231-BBDC8B4CED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08F66689D8894D81CE205046615D65" ma:contentTypeVersion="" ma:contentTypeDescription="PDMS Document Site Content Type" ma:contentTypeScope="" ma:versionID="6145ed7239aa445d1b67a33d15c02762">
  <xsd:schema xmlns:xsd="http://www.w3.org/2001/XMLSchema" xmlns:xs="http://www.w3.org/2001/XMLSchema" xmlns:p="http://schemas.microsoft.com/office/2006/metadata/properties" xmlns:ns2="14BCC4A2-74DC-4A9D-B231-BBDC8B4CED16" targetNamespace="http://schemas.microsoft.com/office/2006/metadata/properties" ma:root="true" ma:fieldsID="b94fc63a9c49d7b330a89d8b74bfae06" ns2:_="">
    <xsd:import namespace="14BCC4A2-74DC-4A9D-B231-BBDC8B4CED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CC4A2-74DC-4A9D-B231-BBDC8B4C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B36C-264C-4EFD-BB0B-56BB9202BCCC}">
  <ds:schemaRefs>
    <ds:schemaRef ds:uri="http://purl.org/dc/elements/1.1/"/>
    <ds:schemaRef ds:uri="http://schemas.microsoft.com/office/2006/metadata/properties"/>
    <ds:schemaRef ds:uri="http://purl.org/dc/terms/"/>
    <ds:schemaRef ds:uri="14BCC4A2-74DC-4A9D-B231-BBDC8B4CED1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CC7B3A-B287-48F4-B5C6-D937CECF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CC4A2-74DC-4A9D-B231-BBDC8B4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4AB58-DFF8-4CBD-970F-F08F969B7AB9}">
  <ds:schemaRefs>
    <ds:schemaRef ds:uri="http://schemas.microsoft.com/sharepoint/v3/contenttype/forms"/>
  </ds:schemaRefs>
</ds:datastoreItem>
</file>

<file path=customXml/itemProps4.xml><?xml version="1.0" encoding="utf-8"?>
<ds:datastoreItem xmlns:ds="http://schemas.openxmlformats.org/officeDocument/2006/customXml" ds:itemID="{8C2D5F1F-1774-490F-9FBD-A59C9185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vt:lpstr>
    </vt:vector>
  </TitlesOfParts>
  <Company>DEPT PRIME MINISTER AND CABINET</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GMartin</dc:creator>
  <cp:lastModifiedBy>NG, Jason</cp:lastModifiedBy>
  <cp:revision>3</cp:revision>
  <cp:lastPrinted>2000-01-25T01:38:00Z</cp:lastPrinted>
  <dcterms:created xsi:type="dcterms:W3CDTF">2021-05-04T05:05:00Z</dcterms:created>
  <dcterms:modified xsi:type="dcterms:W3CDTF">2021-05-04T05:49:00Z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0x010100266966F133664895A6EE3632470D45F5000808F66689D8894D81CE205046615D65</vt:lpwstr>
  </property>
</Properties>
</file>