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F36B6" w14:textId="77777777" w:rsidR="005A587A" w:rsidRPr="00202B58" w:rsidRDefault="005A587A" w:rsidP="005A587A">
      <w:pPr>
        <w:spacing w:after="600"/>
        <w:rPr>
          <w:sz w:val="28"/>
        </w:rPr>
      </w:pPr>
      <w:bookmarkStart w:id="0" w:name="_GoBack"/>
      <w:bookmarkEnd w:id="0"/>
      <w:r w:rsidRPr="00202B58">
        <w:rPr>
          <w:noProof/>
        </w:rPr>
        <w:drawing>
          <wp:inline distT="0" distB="0" distL="0" distR="0" wp14:anchorId="4BFB8EB9" wp14:editId="0C9F3AE2">
            <wp:extent cx="3542030" cy="756285"/>
            <wp:effectExtent l="0" t="0" r="1270" b="5715"/>
            <wp:docPr id="1" name="Picture 1" descr="Australian Securities and Investments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tralian Securities and Investments Commiss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52B14C" w14:textId="4036B1FE" w:rsidR="005A587A" w:rsidRPr="00202B58" w:rsidRDefault="005A587A" w:rsidP="005A587A">
      <w:pPr>
        <w:pStyle w:val="LI-Title"/>
        <w:pBdr>
          <w:bottom w:val="single" w:sz="4" w:space="1" w:color="auto"/>
        </w:pBdr>
      </w:pPr>
      <w:r w:rsidRPr="00202B58">
        <w:t>ASIC Corporations (Auditor Independence) Instrument 202</w:t>
      </w:r>
      <w:r w:rsidR="0007278E" w:rsidRPr="00202B58">
        <w:t>1</w:t>
      </w:r>
      <w:r w:rsidR="00795F42" w:rsidRPr="00202B58">
        <w:t>/75</w:t>
      </w:r>
    </w:p>
    <w:p w14:paraId="44686788" w14:textId="337BD1EC" w:rsidR="005A587A" w:rsidRPr="00202B58" w:rsidRDefault="005A587A" w:rsidP="005A587A">
      <w:pPr>
        <w:pStyle w:val="LI-Fronttext"/>
        <w:rPr>
          <w:sz w:val="24"/>
          <w:szCs w:val="24"/>
        </w:rPr>
      </w:pPr>
      <w:r w:rsidRPr="00202B58">
        <w:rPr>
          <w:sz w:val="24"/>
          <w:szCs w:val="24"/>
        </w:rPr>
        <w:t xml:space="preserve">I, </w:t>
      </w:r>
      <w:r w:rsidR="00774673" w:rsidRPr="00202B58">
        <w:rPr>
          <w:sz w:val="24"/>
          <w:szCs w:val="24"/>
        </w:rPr>
        <w:t>Grant Moodie</w:t>
      </w:r>
      <w:r w:rsidRPr="00202B58">
        <w:rPr>
          <w:sz w:val="24"/>
          <w:szCs w:val="24"/>
        </w:rPr>
        <w:t xml:space="preserve"> delegate of the Australian Securities and Investments Commission, make the following legislative instrument.</w:t>
      </w:r>
    </w:p>
    <w:p w14:paraId="7458ABB6" w14:textId="77777777" w:rsidR="005A587A" w:rsidRPr="00202B58" w:rsidRDefault="005A587A" w:rsidP="005A587A">
      <w:pPr>
        <w:pStyle w:val="LI-Fronttext"/>
      </w:pPr>
    </w:p>
    <w:p w14:paraId="08C0671F" w14:textId="7157F612" w:rsidR="005A587A" w:rsidRDefault="005A587A" w:rsidP="005A587A">
      <w:pPr>
        <w:pStyle w:val="LI-Fronttext"/>
        <w:rPr>
          <w:sz w:val="24"/>
          <w:szCs w:val="24"/>
        </w:rPr>
      </w:pPr>
      <w:r w:rsidRPr="00202B58">
        <w:rPr>
          <w:sz w:val="24"/>
          <w:szCs w:val="24"/>
        </w:rPr>
        <w:t>Date</w:t>
      </w:r>
      <w:r w:rsidRPr="00202B58">
        <w:rPr>
          <w:sz w:val="24"/>
          <w:szCs w:val="24"/>
        </w:rPr>
        <w:tab/>
      </w:r>
      <w:r w:rsidR="000815DE" w:rsidRPr="00202B58">
        <w:rPr>
          <w:sz w:val="24"/>
          <w:szCs w:val="24"/>
        </w:rPr>
        <w:t>26 April 2021</w:t>
      </w:r>
    </w:p>
    <w:p w14:paraId="56880281" w14:textId="3AD4F358" w:rsidR="000815DE" w:rsidRDefault="000815DE" w:rsidP="000815DE">
      <w:pPr>
        <w:rPr>
          <w:lang w:eastAsia="en-AU"/>
        </w:rPr>
      </w:pPr>
    </w:p>
    <w:p w14:paraId="168840B3" w14:textId="221F9A51" w:rsidR="000815DE" w:rsidRDefault="000815DE" w:rsidP="000815DE">
      <w:pPr>
        <w:rPr>
          <w:lang w:eastAsia="en-AU"/>
        </w:rPr>
      </w:pPr>
    </w:p>
    <w:p w14:paraId="316FCB00" w14:textId="5B33F2C7" w:rsidR="000815DE" w:rsidRDefault="000815DE" w:rsidP="000815DE">
      <w:pPr>
        <w:rPr>
          <w:lang w:eastAsia="en-AU"/>
        </w:rPr>
      </w:pPr>
    </w:p>
    <w:p w14:paraId="337CED6A" w14:textId="5AACC0BE" w:rsidR="000815DE" w:rsidRDefault="000815DE" w:rsidP="000815DE">
      <w:pPr>
        <w:rPr>
          <w:lang w:eastAsia="en-AU"/>
        </w:rPr>
      </w:pPr>
    </w:p>
    <w:p w14:paraId="306B0C92" w14:textId="77777777" w:rsidR="000815DE" w:rsidRDefault="000815DE" w:rsidP="000815DE">
      <w:pPr>
        <w:rPr>
          <w:lang w:eastAsia="en-AU"/>
        </w:rPr>
      </w:pPr>
    </w:p>
    <w:p w14:paraId="691B34F5" w14:textId="0B444D8F" w:rsidR="005A587A" w:rsidRPr="00BB5C17" w:rsidRDefault="00774673" w:rsidP="005A587A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Grant Moodie</w:t>
      </w:r>
    </w:p>
    <w:p w14:paraId="53CB85B3" w14:textId="77777777" w:rsidR="005A587A" w:rsidRPr="00F61B09" w:rsidRDefault="005A587A" w:rsidP="005A587A">
      <w:pPr>
        <w:pStyle w:val="Header"/>
      </w:pPr>
    </w:p>
    <w:p w14:paraId="41D5170B" w14:textId="77777777" w:rsidR="005A587A" w:rsidRPr="00F61B09" w:rsidRDefault="005A587A" w:rsidP="005A587A">
      <w:pPr>
        <w:sectPr w:rsidR="005A587A" w:rsidRPr="00F61B09" w:rsidSect="0087202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6E1D3DE" w14:textId="77777777" w:rsidR="005A587A" w:rsidRPr="00F61B09" w:rsidRDefault="005A587A" w:rsidP="005A587A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0F379696" w14:textId="58E915ED" w:rsidR="006D1120" w:rsidRDefault="005A587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70326616" w:history="1">
        <w:r w:rsidR="006D1120" w:rsidRPr="003D0ED3">
          <w:rPr>
            <w:rStyle w:val="Hyperlink"/>
            <w:noProof/>
          </w:rPr>
          <w:t>Part 1—Preliminary</w:t>
        </w:r>
        <w:r w:rsidR="006D1120">
          <w:rPr>
            <w:noProof/>
            <w:webHidden/>
          </w:rPr>
          <w:tab/>
        </w:r>
        <w:r w:rsidR="006D1120">
          <w:rPr>
            <w:noProof/>
            <w:webHidden/>
          </w:rPr>
          <w:fldChar w:fldCharType="begin"/>
        </w:r>
        <w:r w:rsidR="006D1120">
          <w:rPr>
            <w:noProof/>
            <w:webHidden/>
          </w:rPr>
          <w:instrText xml:space="preserve"> PAGEREF _Toc70326616 \h </w:instrText>
        </w:r>
        <w:r w:rsidR="006D1120">
          <w:rPr>
            <w:noProof/>
            <w:webHidden/>
          </w:rPr>
        </w:r>
        <w:r w:rsidR="006D1120">
          <w:rPr>
            <w:noProof/>
            <w:webHidden/>
          </w:rPr>
          <w:fldChar w:fldCharType="separate"/>
        </w:r>
        <w:r w:rsidR="006D1120">
          <w:rPr>
            <w:noProof/>
            <w:webHidden/>
          </w:rPr>
          <w:t>3</w:t>
        </w:r>
        <w:r w:rsidR="006D1120">
          <w:rPr>
            <w:noProof/>
            <w:webHidden/>
          </w:rPr>
          <w:fldChar w:fldCharType="end"/>
        </w:r>
      </w:hyperlink>
    </w:p>
    <w:p w14:paraId="6298A4B3" w14:textId="0B06CE55" w:rsidR="006D1120" w:rsidRDefault="00202B5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0326617" w:history="1">
        <w:r w:rsidR="006D1120" w:rsidRPr="003D0ED3">
          <w:rPr>
            <w:rStyle w:val="Hyperlink"/>
            <w:noProof/>
          </w:rPr>
          <w:t>1</w:t>
        </w:r>
        <w:r w:rsidR="006D1120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D1120" w:rsidRPr="003D0ED3">
          <w:rPr>
            <w:rStyle w:val="Hyperlink"/>
            <w:noProof/>
          </w:rPr>
          <w:t>Name of legislative instrument</w:t>
        </w:r>
        <w:r w:rsidR="006D1120">
          <w:rPr>
            <w:noProof/>
            <w:webHidden/>
          </w:rPr>
          <w:tab/>
        </w:r>
        <w:r w:rsidR="006D1120">
          <w:rPr>
            <w:noProof/>
            <w:webHidden/>
          </w:rPr>
          <w:fldChar w:fldCharType="begin"/>
        </w:r>
        <w:r w:rsidR="006D1120">
          <w:rPr>
            <w:noProof/>
            <w:webHidden/>
          </w:rPr>
          <w:instrText xml:space="preserve"> PAGEREF _Toc70326617 \h </w:instrText>
        </w:r>
        <w:r w:rsidR="006D1120">
          <w:rPr>
            <w:noProof/>
            <w:webHidden/>
          </w:rPr>
        </w:r>
        <w:r w:rsidR="006D1120">
          <w:rPr>
            <w:noProof/>
            <w:webHidden/>
          </w:rPr>
          <w:fldChar w:fldCharType="separate"/>
        </w:r>
        <w:r w:rsidR="006D1120">
          <w:rPr>
            <w:noProof/>
            <w:webHidden/>
          </w:rPr>
          <w:t>3</w:t>
        </w:r>
        <w:r w:rsidR="006D1120">
          <w:rPr>
            <w:noProof/>
            <w:webHidden/>
          </w:rPr>
          <w:fldChar w:fldCharType="end"/>
        </w:r>
      </w:hyperlink>
    </w:p>
    <w:p w14:paraId="14F34750" w14:textId="4A4E1333" w:rsidR="006D1120" w:rsidRDefault="00202B5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0326618" w:history="1">
        <w:r w:rsidR="006D1120" w:rsidRPr="003D0ED3">
          <w:rPr>
            <w:rStyle w:val="Hyperlink"/>
            <w:noProof/>
          </w:rPr>
          <w:t>2</w:t>
        </w:r>
        <w:r w:rsidR="006D1120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D1120" w:rsidRPr="003D0ED3">
          <w:rPr>
            <w:rStyle w:val="Hyperlink"/>
            <w:noProof/>
          </w:rPr>
          <w:t>Commencement</w:t>
        </w:r>
        <w:r w:rsidR="006D1120">
          <w:rPr>
            <w:noProof/>
            <w:webHidden/>
          </w:rPr>
          <w:tab/>
        </w:r>
        <w:r w:rsidR="006D1120">
          <w:rPr>
            <w:noProof/>
            <w:webHidden/>
          </w:rPr>
          <w:fldChar w:fldCharType="begin"/>
        </w:r>
        <w:r w:rsidR="006D1120">
          <w:rPr>
            <w:noProof/>
            <w:webHidden/>
          </w:rPr>
          <w:instrText xml:space="preserve"> PAGEREF _Toc70326618 \h </w:instrText>
        </w:r>
        <w:r w:rsidR="006D1120">
          <w:rPr>
            <w:noProof/>
            <w:webHidden/>
          </w:rPr>
        </w:r>
        <w:r w:rsidR="006D1120">
          <w:rPr>
            <w:noProof/>
            <w:webHidden/>
          </w:rPr>
          <w:fldChar w:fldCharType="separate"/>
        </w:r>
        <w:r w:rsidR="006D1120">
          <w:rPr>
            <w:noProof/>
            <w:webHidden/>
          </w:rPr>
          <w:t>3</w:t>
        </w:r>
        <w:r w:rsidR="006D1120">
          <w:rPr>
            <w:noProof/>
            <w:webHidden/>
          </w:rPr>
          <w:fldChar w:fldCharType="end"/>
        </w:r>
      </w:hyperlink>
    </w:p>
    <w:p w14:paraId="54038B33" w14:textId="460399E5" w:rsidR="006D1120" w:rsidRDefault="00202B5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0326619" w:history="1">
        <w:r w:rsidR="006D1120" w:rsidRPr="003D0ED3">
          <w:rPr>
            <w:rStyle w:val="Hyperlink"/>
            <w:noProof/>
          </w:rPr>
          <w:t>3</w:t>
        </w:r>
        <w:r w:rsidR="006D1120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D1120" w:rsidRPr="003D0ED3">
          <w:rPr>
            <w:rStyle w:val="Hyperlink"/>
            <w:noProof/>
          </w:rPr>
          <w:t>Authority</w:t>
        </w:r>
        <w:r w:rsidR="006D1120">
          <w:rPr>
            <w:noProof/>
            <w:webHidden/>
          </w:rPr>
          <w:tab/>
        </w:r>
        <w:r w:rsidR="006D1120">
          <w:rPr>
            <w:noProof/>
            <w:webHidden/>
          </w:rPr>
          <w:fldChar w:fldCharType="begin"/>
        </w:r>
        <w:r w:rsidR="006D1120">
          <w:rPr>
            <w:noProof/>
            <w:webHidden/>
          </w:rPr>
          <w:instrText xml:space="preserve"> PAGEREF _Toc70326619 \h </w:instrText>
        </w:r>
        <w:r w:rsidR="006D1120">
          <w:rPr>
            <w:noProof/>
            <w:webHidden/>
          </w:rPr>
        </w:r>
        <w:r w:rsidR="006D1120">
          <w:rPr>
            <w:noProof/>
            <w:webHidden/>
          </w:rPr>
          <w:fldChar w:fldCharType="separate"/>
        </w:r>
        <w:r w:rsidR="006D1120">
          <w:rPr>
            <w:noProof/>
            <w:webHidden/>
          </w:rPr>
          <w:t>3</w:t>
        </w:r>
        <w:r w:rsidR="006D1120">
          <w:rPr>
            <w:noProof/>
            <w:webHidden/>
          </w:rPr>
          <w:fldChar w:fldCharType="end"/>
        </w:r>
      </w:hyperlink>
    </w:p>
    <w:p w14:paraId="26FFF3C7" w14:textId="011DD851" w:rsidR="006D1120" w:rsidRDefault="00202B5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0326620" w:history="1">
        <w:r w:rsidR="006D1120" w:rsidRPr="003D0ED3">
          <w:rPr>
            <w:rStyle w:val="Hyperlink"/>
            <w:noProof/>
          </w:rPr>
          <w:t>4</w:t>
        </w:r>
        <w:r w:rsidR="006D1120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D1120" w:rsidRPr="003D0ED3">
          <w:rPr>
            <w:rStyle w:val="Hyperlink"/>
            <w:noProof/>
          </w:rPr>
          <w:t>Definitions</w:t>
        </w:r>
        <w:r w:rsidR="006D1120">
          <w:rPr>
            <w:noProof/>
            <w:webHidden/>
          </w:rPr>
          <w:tab/>
        </w:r>
        <w:r w:rsidR="006D1120">
          <w:rPr>
            <w:noProof/>
            <w:webHidden/>
          </w:rPr>
          <w:fldChar w:fldCharType="begin"/>
        </w:r>
        <w:r w:rsidR="006D1120">
          <w:rPr>
            <w:noProof/>
            <w:webHidden/>
          </w:rPr>
          <w:instrText xml:space="preserve"> PAGEREF _Toc70326620 \h </w:instrText>
        </w:r>
        <w:r w:rsidR="006D1120">
          <w:rPr>
            <w:noProof/>
            <w:webHidden/>
          </w:rPr>
        </w:r>
        <w:r w:rsidR="006D1120">
          <w:rPr>
            <w:noProof/>
            <w:webHidden/>
          </w:rPr>
          <w:fldChar w:fldCharType="separate"/>
        </w:r>
        <w:r w:rsidR="006D1120">
          <w:rPr>
            <w:noProof/>
            <w:webHidden/>
          </w:rPr>
          <w:t>3</w:t>
        </w:r>
        <w:r w:rsidR="006D1120">
          <w:rPr>
            <w:noProof/>
            <w:webHidden/>
          </w:rPr>
          <w:fldChar w:fldCharType="end"/>
        </w:r>
      </w:hyperlink>
    </w:p>
    <w:p w14:paraId="4437E160" w14:textId="2A0275D5" w:rsidR="006D1120" w:rsidRDefault="00202B58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70326621" w:history="1">
        <w:r w:rsidR="006D1120" w:rsidRPr="003D0ED3">
          <w:rPr>
            <w:rStyle w:val="Hyperlink"/>
            <w:noProof/>
          </w:rPr>
          <w:t>Part 2—Order</w:t>
        </w:r>
        <w:r w:rsidR="006D1120">
          <w:rPr>
            <w:noProof/>
            <w:webHidden/>
          </w:rPr>
          <w:tab/>
        </w:r>
        <w:r w:rsidR="006D1120">
          <w:rPr>
            <w:noProof/>
            <w:webHidden/>
          </w:rPr>
          <w:fldChar w:fldCharType="begin"/>
        </w:r>
        <w:r w:rsidR="006D1120">
          <w:rPr>
            <w:noProof/>
            <w:webHidden/>
          </w:rPr>
          <w:instrText xml:space="preserve"> PAGEREF _Toc70326621 \h </w:instrText>
        </w:r>
        <w:r w:rsidR="006D1120">
          <w:rPr>
            <w:noProof/>
            <w:webHidden/>
          </w:rPr>
        </w:r>
        <w:r w:rsidR="006D1120">
          <w:rPr>
            <w:noProof/>
            <w:webHidden/>
          </w:rPr>
          <w:fldChar w:fldCharType="separate"/>
        </w:r>
        <w:r w:rsidR="006D1120">
          <w:rPr>
            <w:noProof/>
            <w:webHidden/>
          </w:rPr>
          <w:t>4</w:t>
        </w:r>
        <w:r w:rsidR="006D1120">
          <w:rPr>
            <w:noProof/>
            <w:webHidden/>
          </w:rPr>
          <w:fldChar w:fldCharType="end"/>
        </w:r>
      </w:hyperlink>
    </w:p>
    <w:p w14:paraId="2ECDEFAD" w14:textId="7168FD8C" w:rsidR="006D1120" w:rsidRDefault="00202B5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0326622" w:history="1">
        <w:r w:rsidR="006D1120" w:rsidRPr="003D0ED3">
          <w:rPr>
            <w:rStyle w:val="Hyperlink"/>
            <w:noProof/>
          </w:rPr>
          <w:t>5</w:t>
        </w:r>
        <w:r w:rsidR="006D1120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D1120" w:rsidRPr="003D0ED3">
          <w:rPr>
            <w:rStyle w:val="Hyperlink"/>
            <w:noProof/>
          </w:rPr>
          <w:t>Auditor’s independence declaration</w:t>
        </w:r>
        <w:r w:rsidR="006D1120">
          <w:rPr>
            <w:noProof/>
            <w:webHidden/>
          </w:rPr>
          <w:tab/>
        </w:r>
        <w:r w:rsidR="006D1120">
          <w:rPr>
            <w:noProof/>
            <w:webHidden/>
          </w:rPr>
          <w:fldChar w:fldCharType="begin"/>
        </w:r>
        <w:r w:rsidR="006D1120">
          <w:rPr>
            <w:noProof/>
            <w:webHidden/>
          </w:rPr>
          <w:instrText xml:space="preserve"> PAGEREF _Toc70326622 \h </w:instrText>
        </w:r>
        <w:r w:rsidR="006D1120">
          <w:rPr>
            <w:noProof/>
            <w:webHidden/>
          </w:rPr>
        </w:r>
        <w:r w:rsidR="006D1120">
          <w:rPr>
            <w:noProof/>
            <w:webHidden/>
          </w:rPr>
          <w:fldChar w:fldCharType="separate"/>
        </w:r>
        <w:r w:rsidR="006D1120">
          <w:rPr>
            <w:noProof/>
            <w:webHidden/>
          </w:rPr>
          <w:t>4</w:t>
        </w:r>
        <w:r w:rsidR="006D1120">
          <w:rPr>
            <w:noProof/>
            <w:webHidden/>
          </w:rPr>
          <w:fldChar w:fldCharType="end"/>
        </w:r>
      </w:hyperlink>
    </w:p>
    <w:p w14:paraId="2D70847C" w14:textId="68EDD5C7" w:rsidR="006D1120" w:rsidRDefault="00202B58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70326623" w:history="1">
        <w:r w:rsidR="006D1120" w:rsidRPr="003D0ED3">
          <w:rPr>
            <w:rStyle w:val="Hyperlink"/>
            <w:noProof/>
          </w:rPr>
          <w:t>Part 3—Repeal</w:t>
        </w:r>
        <w:r w:rsidR="006D1120">
          <w:rPr>
            <w:noProof/>
            <w:webHidden/>
          </w:rPr>
          <w:tab/>
        </w:r>
        <w:r w:rsidR="006D1120">
          <w:rPr>
            <w:noProof/>
            <w:webHidden/>
          </w:rPr>
          <w:fldChar w:fldCharType="begin"/>
        </w:r>
        <w:r w:rsidR="006D1120">
          <w:rPr>
            <w:noProof/>
            <w:webHidden/>
          </w:rPr>
          <w:instrText xml:space="preserve"> PAGEREF _Toc70326623 \h </w:instrText>
        </w:r>
        <w:r w:rsidR="006D1120">
          <w:rPr>
            <w:noProof/>
            <w:webHidden/>
          </w:rPr>
        </w:r>
        <w:r w:rsidR="006D1120">
          <w:rPr>
            <w:noProof/>
            <w:webHidden/>
          </w:rPr>
          <w:fldChar w:fldCharType="separate"/>
        </w:r>
        <w:r w:rsidR="006D1120">
          <w:rPr>
            <w:noProof/>
            <w:webHidden/>
          </w:rPr>
          <w:t>5</w:t>
        </w:r>
        <w:r w:rsidR="006D1120">
          <w:rPr>
            <w:noProof/>
            <w:webHidden/>
          </w:rPr>
          <w:fldChar w:fldCharType="end"/>
        </w:r>
      </w:hyperlink>
    </w:p>
    <w:p w14:paraId="50974B35" w14:textId="304675A2" w:rsidR="006D1120" w:rsidRDefault="00202B5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70326624" w:history="1">
        <w:r w:rsidR="006D1120" w:rsidRPr="003D0ED3">
          <w:rPr>
            <w:rStyle w:val="Hyperlink"/>
            <w:noProof/>
          </w:rPr>
          <w:t>6</w:t>
        </w:r>
        <w:r w:rsidR="006D1120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D1120" w:rsidRPr="003D0ED3">
          <w:rPr>
            <w:rStyle w:val="Hyperlink"/>
            <w:noProof/>
          </w:rPr>
          <w:t>Repeal</w:t>
        </w:r>
        <w:r w:rsidR="006D1120">
          <w:rPr>
            <w:noProof/>
            <w:webHidden/>
          </w:rPr>
          <w:tab/>
        </w:r>
        <w:r w:rsidR="006D1120">
          <w:rPr>
            <w:noProof/>
            <w:webHidden/>
          </w:rPr>
          <w:fldChar w:fldCharType="begin"/>
        </w:r>
        <w:r w:rsidR="006D1120">
          <w:rPr>
            <w:noProof/>
            <w:webHidden/>
          </w:rPr>
          <w:instrText xml:space="preserve"> PAGEREF _Toc70326624 \h </w:instrText>
        </w:r>
        <w:r w:rsidR="006D1120">
          <w:rPr>
            <w:noProof/>
            <w:webHidden/>
          </w:rPr>
        </w:r>
        <w:r w:rsidR="006D1120">
          <w:rPr>
            <w:noProof/>
            <w:webHidden/>
          </w:rPr>
          <w:fldChar w:fldCharType="separate"/>
        </w:r>
        <w:r w:rsidR="006D1120">
          <w:rPr>
            <w:noProof/>
            <w:webHidden/>
          </w:rPr>
          <w:t>5</w:t>
        </w:r>
        <w:r w:rsidR="006D1120">
          <w:rPr>
            <w:noProof/>
            <w:webHidden/>
          </w:rPr>
          <w:fldChar w:fldCharType="end"/>
        </w:r>
      </w:hyperlink>
    </w:p>
    <w:p w14:paraId="1E04310E" w14:textId="572D1901" w:rsidR="005A587A" w:rsidRPr="00F61B09" w:rsidRDefault="005A587A" w:rsidP="005A587A">
      <w:r>
        <w:rPr>
          <w:rFonts w:eastAsia="Times New Roman"/>
          <w:kern w:val="28"/>
          <w:sz w:val="28"/>
        </w:rPr>
        <w:fldChar w:fldCharType="end"/>
      </w:r>
    </w:p>
    <w:p w14:paraId="21DAA3C1" w14:textId="77777777" w:rsidR="005A587A" w:rsidRDefault="005A587A" w:rsidP="005A587A"/>
    <w:p w14:paraId="5BC8E965" w14:textId="77777777" w:rsidR="005A587A" w:rsidRPr="00AE5C78" w:rsidRDefault="005A587A" w:rsidP="005A587A"/>
    <w:p w14:paraId="45AEB011" w14:textId="77777777" w:rsidR="005A587A" w:rsidRPr="00AE5C78" w:rsidRDefault="005A587A" w:rsidP="005A587A"/>
    <w:p w14:paraId="59A556FD" w14:textId="77777777" w:rsidR="005A587A" w:rsidRPr="00AE5C78" w:rsidRDefault="005A587A" w:rsidP="005A587A"/>
    <w:p w14:paraId="37070772" w14:textId="77777777" w:rsidR="005A587A" w:rsidRDefault="005A587A" w:rsidP="005A587A">
      <w:pPr>
        <w:jc w:val="center"/>
      </w:pPr>
    </w:p>
    <w:p w14:paraId="23B56A98" w14:textId="77777777" w:rsidR="005A587A" w:rsidRPr="00AE5C78" w:rsidRDefault="005A587A" w:rsidP="005A587A">
      <w:pPr>
        <w:tabs>
          <w:tab w:val="center" w:pos="4156"/>
        </w:tabs>
        <w:sectPr w:rsidR="005A587A" w:rsidRPr="00AE5C78" w:rsidSect="0087202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  <w:r>
        <w:tab/>
      </w:r>
    </w:p>
    <w:p w14:paraId="01C71C51" w14:textId="77777777" w:rsidR="005A587A" w:rsidRPr="00F61B09" w:rsidRDefault="005A587A" w:rsidP="005A587A">
      <w:pPr>
        <w:pStyle w:val="LI-Heading1"/>
      </w:pPr>
      <w:bookmarkStart w:id="2" w:name="BK_S3P1L1C1"/>
      <w:bookmarkStart w:id="3" w:name="_Toc70326616"/>
      <w:bookmarkEnd w:id="2"/>
      <w:r w:rsidRPr="006554FF">
        <w:lastRenderedPageBreak/>
        <w:t>Part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4E9613C3" w14:textId="77777777" w:rsidR="005A587A" w:rsidRDefault="005A587A" w:rsidP="005A587A">
      <w:pPr>
        <w:pStyle w:val="LI-Heading2"/>
        <w:rPr>
          <w:szCs w:val="24"/>
        </w:rPr>
      </w:pPr>
      <w:bookmarkStart w:id="4" w:name="_Toc70326617"/>
      <w:r w:rsidRPr="008C0F29">
        <w:rPr>
          <w:szCs w:val="24"/>
        </w:rPr>
        <w:t>1</w:t>
      </w:r>
      <w:r>
        <w:rPr>
          <w:szCs w:val="24"/>
        </w:rPr>
        <w:tab/>
      </w:r>
      <w:r w:rsidRPr="008C0F29">
        <w:rPr>
          <w:szCs w:val="24"/>
        </w:rPr>
        <w:t>Name of legislative instrument</w:t>
      </w:r>
      <w:bookmarkEnd w:id="4"/>
    </w:p>
    <w:p w14:paraId="6E80EC7E" w14:textId="1A94B3E2" w:rsidR="005A587A" w:rsidRDefault="005A587A" w:rsidP="005A587A">
      <w:pPr>
        <w:pStyle w:val="LI-BodyTextUnnumbered"/>
        <w:rPr>
          <w:szCs w:val="24"/>
        </w:rPr>
      </w:pPr>
      <w:r w:rsidRPr="008C0F29">
        <w:rPr>
          <w:szCs w:val="24"/>
        </w:rPr>
        <w:t>This is</w:t>
      </w:r>
      <w:r>
        <w:rPr>
          <w:szCs w:val="24"/>
        </w:rPr>
        <w:t xml:space="preserve"> the</w:t>
      </w:r>
      <w:r w:rsidRPr="008C0F29">
        <w:rPr>
          <w:szCs w:val="24"/>
        </w:rPr>
        <w:t xml:space="preserve"> </w:t>
      </w:r>
      <w:r w:rsidRPr="008C0F29">
        <w:rPr>
          <w:i/>
          <w:szCs w:val="24"/>
        </w:rPr>
        <w:t>A</w:t>
      </w:r>
      <w:r>
        <w:rPr>
          <w:i/>
          <w:szCs w:val="24"/>
        </w:rPr>
        <w:t xml:space="preserve">SIC Corporations </w:t>
      </w:r>
      <w:r w:rsidRPr="00774673">
        <w:rPr>
          <w:i/>
          <w:iCs/>
        </w:rPr>
        <w:t>(Auditor Independence) Instrument 202</w:t>
      </w:r>
      <w:r w:rsidR="00795F42" w:rsidRPr="00774673">
        <w:rPr>
          <w:i/>
          <w:iCs/>
        </w:rPr>
        <w:t>1/75</w:t>
      </w:r>
      <w:r w:rsidR="00795F42">
        <w:rPr>
          <w:i/>
          <w:iCs/>
        </w:rPr>
        <w:t>.</w:t>
      </w:r>
    </w:p>
    <w:p w14:paraId="62FD87A5" w14:textId="77777777" w:rsidR="005A587A" w:rsidRPr="008C0F29" w:rsidRDefault="005A587A" w:rsidP="005A587A">
      <w:pPr>
        <w:pStyle w:val="LI-Heading2"/>
        <w:rPr>
          <w:szCs w:val="24"/>
        </w:rPr>
      </w:pPr>
      <w:bookmarkStart w:id="5" w:name="_Toc70326618"/>
      <w:r w:rsidRPr="008C0F29">
        <w:rPr>
          <w:szCs w:val="24"/>
        </w:rPr>
        <w:t>2</w:t>
      </w:r>
      <w:r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3349B81B" w14:textId="77777777" w:rsidR="005A587A" w:rsidRPr="008C0F29" w:rsidRDefault="005A587A" w:rsidP="005A587A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>
        <w:rPr>
          <w:szCs w:val="24"/>
        </w:rPr>
        <w:t>after it is registered on the Federal Register of Legislation</w:t>
      </w:r>
      <w:r w:rsidRPr="008C0F29">
        <w:rPr>
          <w:szCs w:val="24"/>
        </w:rPr>
        <w:t>.</w:t>
      </w:r>
    </w:p>
    <w:p w14:paraId="2E28C49E" w14:textId="77777777" w:rsidR="005A587A" w:rsidRDefault="005A587A" w:rsidP="005A587A">
      <w:pPr>
        <w:pStyle w:val="LI-BodyTextNote"/>
      </w:pPr>
      <w:r w:rsidRPr="00F61B09">
        <w:t>Note:</w:t>
      </w:r>
      <w:r w:rsidRPr="00F61B09">
        <w:tab/>
      </w:r>
      <w:r>
        <w:t xml:space="preserve">The register </w:t>
      </w:r>
      <w:r w:rsidRPr="00572BB1">
        <w:t xml:space="preserve">may </w:t>
      </w:r>
      <w:r>
        <w:t xml:space="preserve">be accessed at </w:t>
      </w:r>
      <w:hyperlink r:id="rId22" w:history="1">
        <w:r w:rsidRPr="008B4C0E">
          <w:rPr>
            <w:rStyle w:val="Hyperlink"/>
          </w:rPr>
          <w:t>www.legislation.gov.au</w:t>
        </w:r>
      </w:hyperlink>
      <w:r>
        <w:t>.</w:t>
      </w:r>
    </w:p>
    <w:p w14:paraId="6D0BAEF2" w14:textId="77777777" w:rsidR="005A587A" w:rsidRPr="008C0F29" w:rsidRDefault="005A587A" w:rsidP="005A587A">
      <w:pPr>
        <w:pStyle w:val="LI-Heading2"/>
        <w:spacing w:before="240"/>
        <w:rPr>
          <w:szCs w:val="24"/>
        </w:rPr>
      </w:pPr>
      <w:bookmarkStart w:id="6" w:name="_Toc70326619"/>
      <w:r w:rsidRPr="008C0F29">
        <w:rPr>
          <w:szCs w:val="24"/>
        </w:rPr>
        <w:t>3</w:t>
      </w:r>
      <w:r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74437A0A" w14:textId="77777777" w:rsidR="005A587A" w:rsidRPr="008C0F29" w:rsidRDefault="005A587A" w:rsidP="005A587A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instrument is made under </w:t>
      </w:r>
      <w:r>
        <w:rPr>
          <w:szCs w:val="24"/>
        </w:rPr>
        <w:t xml:space="preserve">subsection 341(1) </w:t>
      </w:r>
      <w:r w:rsidRPr="005D3D41">
        <w:rPr>
          <w:szCs w:val="24"/>
        </w:rPr>
        <w:t xml:space="preserve">of </w:t>
      </w:r>
      <w:r>
        <w:rPr>
          <w:szCs w:val="24"/>
        </w:rPr>
        <w:t xml:space="preserve">the </w:t>
      </w:r>
      <w:r w:rsidRPr="00AD24B6">
        <w:rPr>
          <w:i/>
          <w:szCs w:val="24"/>
        </w:rPr>
        <w:t>Corporations A</w:t>
      </w:r>
      <w:r>
        <w:rPr>
          <w:i/>
          <w:szCs w:val="24"/>
        </w:rPr>
        <w:t>ct 2001</w:t>
      </w:r>
      <w:r w:rsidRPr="0058087A">
        <w:rPr>
          <w:i/>
          <w:szCs w:val="24"/>
        </w:rPr>
        <w:t>.</w:t>
      </w:r>
    </w:p>
    <w:p w14:paraId="5BADC2D9" w14:textId="77777777" w:rsidR="005A587A" w:rsidRPr="00BB5C17" w:rsidRDefault="005A587A" w:rsidP="005A587A">
      <w:pPr>
        <w:pStyle w:val="LI-Heading2"/>
        <w:spacing w:before="240"/>
        <w:rPr>
          <w:szCs w:val="24"/>
        </w:rPr>
      </w:pPr>
      <w:bookmarkStart w:id="7" w:name="_Toc70326620"/>
      <w:r w:rsidRPr="00BB5C17">
        <w:rPr>
          <w:szCs w:val="24"/>
        </w:rPr>
        <w:t>4</w:t>
      </w:r>
      <w:r>
        <w:rPr>
          <w:szCs w:val="24"/>
        </w:rPr>
        <w:tab/>
      </w:r>
      <w:r w:rsidRPr="00BB5C17">
        <w:rPr>
          <w:szCs w:val="24"/>
        </w:rPr>
        <w:t>Definitions</w:t>
      </w:r>
      <w:bookmarkEnd w:id="7"/>
    </w:p>
    <w:p w14:paraId="3FECEDA5" w14:textId="77777777" w:rsidR="005B1ED6" w:rsidRDefault="005B1ED6" w:rsidP="005B1ED6">
      <w:pPr>
        <w:pStyle w:val="LI-BodyTextUnnumbered"/>
        <w:spacing w:before="0"/>
        <w:rPr>
          <w:szCs w:val="24"/>
        </w:rPr>
      </w:pPr>
    </w:p>
    <w:p w14:paraId="3418EA5B" w14:textId="75D59941" w:rsidR="005A587A" w:rsidRPr="00651545" w:rsidRDefault="005A587A" w:rsidP="005B1ED6">
      <w:pPr>
        <w:pStyle w:val="LI-BodyTextUnnumbered"/>
        <w:spacing w:before="0"/>
        <w:rPr>
          <w:szCs w:val="24"/>
        </w:rPr>
      </w:pPr>
      <w:r w:rsidRPr="00651545">
        <w:rPr>
          <w:szCs w:val="24"/>
        </w:rPr>
        <w:t>In this instrument:</w:t>
      </w:r>
    </w:p>
    <w:p w14:paraId="1E654C86" w14:textId="77777777" w:rsidR="007F6883" w:rsidRPr="00651545" w:rsidRDefault="007F6883" w:rsidP="005B1ED6">
      <w:pPr>
        <w:pStyle w:val="LI-BodyTextUnnumbered"/>
        <w:spacing w:before="0"/>
        <w:rPr>
          <w:szCs w:val="24"/>
        </w:rPr>
      </w:pPr>
    </w:p>
    <w:p w14:paraId="3AE371A3" w14:textId="79AED858" w:rsidR="005A587A" w:rsidRPr="00651545" w:rsidRDefault="005A587A" w:rsidP="005B1ED6">
      <w:pPr>
        <w:pStyle w:val="LI-BodyTextUnnumbered"/>
        <w:spacing w:before="0"/>
        <w:rPr>
          <w:szCs w:val="24"/>
        </w:rPr>
      </w:pPr>
      <w:r w:rsidRPr="00651545">
        <w:rPr>
          <w:b/>
          <w:i/>
          <w:szCs w:val="24"/>
        </w:rPr>
        <w:t>Act</w:t>
      </w:r>
      <w:r w:rsidRPr="00651545">
        <w:rPr>
          <w:szCs w:val="24"/>
        </w:rPr>
        <w:t xml:space="preserve"> means the </w:t>
      </w:r>
      <w:r w:rsidRPr="00651545">
        <w:rPr>
          <w:i/>
          <w:szCs w:val="24"/>
        </w:rPr>
        <w:t>Corporations Act 2001</w:t>
      </w:r>
      <w:r w:rsidR="00795F42" w:rsidRPr="00651545">
        <w:rPr>
          <w:szCs w:val="24"/>
        </w:rPr>
        <w:t>.</w:t>
      </w:r>
    </w:p>
    <w:p w14:paraId="43AE98D0" w14:textId="77777777" w:rsidR="005B1ED6" w:rsidRPr="00651545" w:rsidRDefault="005B1ED6" w:rsidP="005B1ED6">
      <w:pPr>
        <w:pStyle w:val="LI-BodyTextUnnumbered"/>
        <w:spacing w:before="0"/>
        <w:rPr>
          <w:szCs w:val="24"/>
        </w:rPr>
      </w:pPr>
    </w:p>
    <w:p w14:paraId="428B461E" w14:textId="4BC5247B" w:rsidR="005A587A" w:rsidRDefault="005A587A" w:rsidP="005B1ED6">
      <w:pPr>
        <w:autoSpaceDE w:val="0"/>
        <w:autoSpaceDN w:val="0"/>
        <w:adjustRightInd w:val="0"/>
        <w:ind w:left="1134"/>
        <w:rPr>
          <w:rFonts w:ascii="Times New Roman" w:hAnsi="Times New Roman" w:cs="Times New Roman"/>
          <w:color w:val="005A88"/>
          <w:sz w:val="24"/>
          <w:szCs w:val="24"/>
        </w:rPr>
      </w:pPr>
      <w:r w:rsidRPr="00651545">
        <w:rPr>
          <w:rFonts w:ascii="Times New Roman" w:hAnsi="Times New Roman" w:cs="Times New Roman"/>
          <w:b/>
          <w:i/>
          <w:sz w:val="24"/>
          <w:szCs w:val="24"/>
        </w:rPr>
        <w:t>audit engagement team</w:t>
      </w:r>
      <w:r w:rsidR="007F6883">
        <w:rPr>
          <w:rFonts w:ascii="Times New Roman" w:hAnsi="Times New Roman" w:cs="Times New Roman"/>
          <w:sz w:val="24"/>
          <w:szCs w:val="24"/>
        </w:rPr>
        <w:t xml:space="preserve">, in relation to an audit or review of a financial report of a relevant entity for a relevant period, </w:t>
      </w:r>
      <w:r w:rsidRPr="00651545">
        <w:rPr>
          <w:rFonts w:ascii="Times New Roman" w:hAnsi="Times New Roman" w:cs="Times New Roman"/>
          <w:sz w:val="24"/>
          <w:szCs w:val="24"/>
        </w:rPr>
        <w:t xml:space="preserve">means </w:t>
      </w:r>
      <w:r w:rsidR="007F6883">
        <w:rPr>
          <w:rFonts w:ascii="Times New Roman" w:hAnsi="Times New Roman" w:cs="Times New Roman"/>
          <w:sz w:val="24"/>
          <w:szCs w:val="24"/>
        </w:rPr>
        <w:t xml:space="preserve">the </w:t>
      </w:r>
      <w:r w:rsidRPr="00651545">
        <w:rPr>
          <w:rFonts w:ascii="Times New Roman" w:hAnsi="Times New Roman" w:cs="Times New Roman"/>
          <w:color w:val="000000"/>
          <w:sz w:val="24"/>
          <w:szCs w:val="24"/>
        </w:rPr>
        <w:t xml:space="preserve">persons </w:t>
      </w:r>
      <w:bookmarkStart w:id="8" w:name="_Hlk7200174"/>
      <w:r w:rsidRPr="00651545">
        <w:rPr>
          <w:rFonts w:ascii="Times New Roman" w:hAnsi="Times New Roman" w:cs="Times New Roman"/>
          <w:color w:val="000000"/>
          <w:sz w:val="24"/>
          <w:szCs w:val="24"/>
        </w:rPr>
        <w:t xml:space="preserve">performing work on the audit or review of </w:t>
      </w:r>
      <w:r w:rsidR="007F6883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651545">
        <w:rPr>
          <w:rFonts w:ascii="Times New Roman" w:hAnsi="Times New Roman" w:cs="Times New Roman"/>
          <w:color w:val="000000"/>
          <w:sz w:val="24"/>
          <w:szCs w:val="24"/>
        </w:rPr>
        <w:t>financial report of the relevant entity for the relevant</w:t>
      </w:r>
      <w:r w:rsidR="007F68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1545">
        <w:rPr>
          <w:rFonts w:ascii="Times New Roman" w:hAnsi="Times New Roman" w:cs="Times New Roman"/>
          <w:color w:val="000000"/>
          <w:sz w:val="24"/>
          <w:szCs w:val="24"/>
        </w:rPr>
        <w:t>period</w:t>
      </w:r>
      <w:bookmarkEnd w:id="8"/>
      <w:r w:rsidR="007F68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7A70A2" w14:textId="77777777" w:rsidR="005B1ED6" w:rsidRPr="00651545" w:rsidRDefault="005B1ED6" w:rsidP="005B1ED6">
      <w:pPr>
        <w:pStyle w:val="ListB"/>
        <w:spacing w:before="0" w:after="0"/>
        <w:ind w:left="1134" w:firstLine="0"/>
        <w:rPr>
          <w:szCs w:val="24"/>
        </w:rPr>
      </w:pPr>
    </w:p>
    <w:p w14:paraId="46EA0BA0" w14:textId="77777777" w:rsidR="005B1ED6" w:rsidRDefault="005A587A" w:rsidP="005B1ED6">
      <w:pPr>
        <w:pStyle w:val="ListB"/>
        <w:spacing w:before="0" w:after="0"/>
        <w:ind w:left="1134" w:firstLine="0"/>
        <w:rPr>
          <w:szCs w:val="24"/>
        </w:rPr>
      </w:pPr>
      <w:r w:rsidRPr="00651545">
        <w:rPr>
          <w:b/>
          <w:i/>
          <w:szCs w:val="24"/>
        </w:rPr>
        <w:t>Code</w:t>
      </w:r>
      <w:r w:rsidRPr="00651545">
        <w:rPr>
          <w:i/>
          <w:szCs w:val="24"/>
        </w:rPr>
        <w:t xml:space="preserve"> </w:t>
      </w:r>
      <w:r w:rsidRPr="00651545">
        <w:rPr>
          <w:szCs w:val="24"/>
        </w:rPr>
        <w:t xml:space="preserve">means the </w:t>
      </w:r>
      <w:r w:rsidR="00E06BE1" w:rsidRPr="00651545">
        <w:rPr>
          <w:szCs w:val="24"/>
        </w:rPr>
        <w:t xml:space="preserve">APES 110 </w:t>
      </w:r>
      <w:r w:rsidR="00E06BE1" w:rsidRPr="00651545">
        <w:rPr>
          <w:i/>
          <w:szCs w:val="24"/>
        </w:rPr>
        <w:t>Code of Ethics for Professional Accountants (including Independence Standards)</w:t>
      </w:r>
      <w:r w:rsidR="00520832">
        <w:rPr>
          <w:szCs w:val="24"/>
        </w:rPr>
        <w:t xml:space="preserve"> as in force as at the date of this instrument</w:t>
      </w:r>
      <w:r w:rsidR="005B1ED6">
        <w:rPr>
          <w:szCs w:val="24"/>
        </w:rPr>
        <w:t>.</w:t>
      </w:r>
    </w:p>
    <w:p w14:paraId="4F90F234" w14:textId="1A6C46EF" w:rsidR="005A587A" w:rsidRPr="00651545" w:rsidRDefault="00520832" w:rsidP="005B1ED6">
      <w:pPr>
        <w:pStyle w:val="ListB"/>
        <w:spacing w:before="0" w:after="0"/>
        <w:ind w:left="1134" w:firstLine="0"/>
        <w:rPr>
          <w:szCs w:val="24"/>
        </w:rPr>
      </w:pPr>
      <w:r>
        <w:rPr>
          <w:szCs w:val="24"/>
        </w:rPr>
        <w:t xml:space="preserve">   </w:t>
      </w:r>
    </w:p>
    <w:p w14:paraId="06A88A3D" w14:textId="2C0BD4F9" w:rsidR="005A587A" w:rsidRPr="00126E2A" w:rsidRDefault="005A587A" w:rsidP="005B1ED6">
      <w:pPr>
        <w:pStyle w:val="ListB"/>
        <w:spacing w:before="0" w:after="0"/>
        <w:ind w:left="1134" w:firstLine="0"/>
        <w:rPr>
          <w:szCs w:val="24"/>
          <w:u w:val="single"/>
        </w:rPr>
      </w:pPr>
      <w:r w:rsidRPr="00651545">
        <w:rPr>
          <w:b/>
          <w:i/>
          <w:szCs w:val="24"/>
        </w:rPr>
        <w:t>control</w:t>
      </w:r>
      <w:r w:rsidRPr="00651545">
        <w:rPr>
          <w:i/>
          <w:szCs w:val="24"/>
        </w:rPr>
        <w:t xml:space="preserve"> </w:t>
      </w:r>
      <w:r w:rsidRPr="00651545">
        <w:rPr>
          <w:szCs w:val="24"/>
        </w:rPr>
        <w:t xml:space="preserve">has the same meaning as in accounting standard AASB 10 </w:t>
      </w:r>
      <w:r w:rsidRPr="00651545">
        <w:rPr>
          <w:i/>
          <w:szCs w:val="24"/>
        </w:rPr>
        <w:t>Consolidated financial statements</w:t>
      </w:r>
      <w:r w:rsidR="00795F42" w:rsidRPr="007F6883">
        <w:rPr>
          <w:szCs w:val="24"/>
        </w:rPr>
        <w:t>.</w:t>
      </w:r>
      <w:r w:rsidR="007F6883">
        <w:rPr>
          <w:i/>
          <w:szCs w:val="24"/>
        </w:rPr>
        <w:t xml:space="preserve"> </w:t>
      </w:r>
    </w:p>
    <w:p w14:paraId="08A10327" w14:textId="77777777" w:rsidR="005B1ED6" w:rsidRPr="00126E2A" w:rsidRDefault="005B1ED6" w:rsidP="005B1ED6">
      <w:pPr>
        <w:pStyle w:val="ListB"/>
        <w:spacing w:before="0" w:after="0"/>
        <w:ind w:left="1134" w:firstLine="0"/>
        <w:rPr>
          <w:szCs w:val="24"/>
          <w:u w:val="single"/>
        </w:rPr>
      </w:pPr>
    </w:p>
    <w:p w14:paraId="0ACBF55E" w14:textId="696DE468" w:rsidR="005A587A" w:rsidRPr="00126E2A" w:rsidRDefault="005A587A" w:rsidP="005B1ED6">
      <w:pPr>
        <w:pStyle w:val="ListB"/>
        <w:spacing w:before="0" w:after="0"/>
        <w:ind w:left="1134" w:firstLine="0"/>
        <w:rPr>
          <w:szCs w:val="24"/>
        </w:rPr>
      </w:pPr>
      <w:r w:rsidRPr="00126E2A">
        <w:rPr>
          <w:b/>
          <w:i/>
          <w:szCs w:val="24"/>
        </w:rPr>
        <w:t>controlled entity</w:t>
      </w:r>
      <w:r w:rsidR="005B1ED6">
        <w:rPr>
          <w:szCs w:val="24"/>
        </w:rPr>
        <w:t>, in relation to a relevant entity</w:t>
      </w:r>
      <w:r w:rsidR="007F6883">
        <w:rPr>
          <w:szCs w:val="24"/>
        </w:rPr>
        <w:t xml:space="preserve"> for a relevant period</w:t>
      </w:r>
      <w:r w:rsidR="005B1ED6">
        <w:rPr>
          <w:szCs w:val="24"/>
        </w:rPr>
        <w:t>,</w:t>
      </w:r>
      <w:r w:rsidRPr="00126E2A">
        <w:rPr>
          <w:szCs w:val="24"/>
        </w:rPr>
        <w:t xml:space="preserve"> means an entity controlled by the relevant entity during or since the relevant period</w:t>
      </w:r>
      <w:r w:rsidR="00795F42" w:rsidRPr="00126E2A">
        <w:rPr>
          <w:szCs w:val="24"/>
        </w:rPr>
        <w:t>.</w:t>
      </w:r>
    </w:p>
    <w:p w14:paraId="16374AB3" w14:textId="77777777" w:rsidR="005B1ED6" w:rsidRPr="00126E2A" w:rsidRDefault="005B1ED6" w:rsidP="005B1ED6">
      <w:pPr>
        <w:pStyle w:val="ListB"/>
        <w:spacing w:before="0" w:after="0"/>
        <w:ind w:left="1134" w:firstLine="0"/>
        <w:rPr>
          <w:szCs w:val="24"/>
        </w:rPr>
      </w:pPr>
    </w:p>
    <w:p w14:paraId="2B4B2DDF" w14:textId="4C2E890F" w:rsidR="004E6235" w:rsidRDefault="004E6235" w:rsidP="005A587A">
      <w:pPr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engagement partner </w:t>
      </w:r>
      <w:r w:rsidR="00DC7776">
        <w:rPr>
          <w:rFonts w:ascii="Times New Roman" w:hAnsi="Times New Roman" w:cs="Times New Roman"/>
          <w:iCs/>
          <w:sz w:val="24"/>
          <w:szCs w:val="24"/>
        </w:rPr>
        <w:t xml:space="preserve">has the meaning given by the Code. </w:t>
      </w:r>
    </w:p>
    <w:p w14:paraId="04F341C0" w14:textId="77777777" w:rsidR="004E6235" w:rsidRDefault="004E6235" w:rsidP="005A587A">
      <w:pPr>
        <w:autoSpaceDE w:val="0"/>
        <w:autoSpaceDN w:val="0"/>
        <w:adjustRightInd w:val="0"/>
        <w:ind w:left="1134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0FE92C1" w14:textId="77777777" w:rsidR="00DC7776" w:rsidRDefault="005A587A" w:rsidP="005B1ED6">
      <w:pPr>
        <w:autoSpaceDE w:val="0"/>
        <w:autoSpaceDN w:val="0"/>
        <w:adjustRightInd w:val="0"/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126E2A">
        <w:rPr>
          <w:rFonts w:ascii="Times New Roman" w:hAnsi="Times New Roman" w:cs="Times New Roman"/>
          <w:b/>
          <w:bCs/>
          <w:i/>
          <w:sz w:val="24"/>
          <w:szCs w:val="24"/>
        </w:rPr>
        <w:t>financial interest</w:t>
      </w:r>
      <w:r w:rsidRPr="00126E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6E2A">
        <w:rPr>
          <w:rFonts w:ascii="Times New Roman" w:hAnsi="Times New Roman" w:cs="Times New Roman"/>
          <w:bCs/>
          <w:sz w:val="24"/>
          <w:szCs w:val="24"/>
        </w:rPr>
        <w:t>means</w:t>
      </w:r>
      <w:r w:rsidR="00DC7776">
        <w:rPr>
          <w:rFonts w:ascii="Times New Roman" w:hAnsi="Times New Roman" w:cs="Times New Roman"/>
          <w:bCs/>
          <w:sz w:val="24"/>
          <w:szCs w:val="24"/>
        </w:rPr>
        <w:t>:</w:t>
      </w:r>
      <w:r w:rsidRPr="00126E2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8E48C2" w14:textId="77777777" w:rsidR="00DC7776" w:rsidRDefault="00DC7776" w:rsidP="005B1ED6">
      <w:pPr>
        <w:autoSpaceDE w:val="0"/>
        <w:autoSpaceDN w:val="0"/>
        <w:adjustRightInd w:val="0"/>
        <w:ind w:left="1134"/>
        <w:rPr>
          <w:rFonts w:ascii="Times New Roman" w:hAnsi="Times New Roman" w:cs="Times New Roman"/>
          <w:bCs/>
          <w:sz w:val="24"/>
          <w:szCs w:val="24"/>
        </w:rPr>
      </w:pPr>
    </w:p>
    <w:p w14:paraId="19BE3BD9" w14:textId="3CDC8D6A" w:rsidR="00DC7776" w:rsidRDefault="00DC7776" w:rsidP="00DC7776">
      <w:pPr>
        <w:autoSpaceDE w:val="0"/>
        <w:autoSpaceDN w:val="0"/>
        <w:adjustRightInd w:val="0"/>
        <w:ind w:left="1701" w:hanging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(a)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A587A" w:rsidRPr="00126E2A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‘direct financial interest’ within the meaning of the Code; or </w:t>
      </w:r>
    </w:p>
    <w:p w14:paraId="409071FB" w14:textId="77777777" w:rsidR="00DC7776" w:rsidRDefault="00DC7776" w:rsidP="00DC7776">
      <w:pPr>
        <w:autoSpaceDE w:val="0"/>
        <w:autoSpaceDN w:val="0"/>
        <w:adjustRightInd w:val="0"/>
        <w:ind w:left="1701" w:hanging="567"/>
        <w:rPr>
          <w:rFonts w:ascii="Times New Roman" w:hAnsi="Times New Roman" w:cs="Times New Roman"/>
          <w:bCs/>
          <w:sz w:val="24"/>
          <w:szCs w:val="24"/>
        </w:rPr>
      </w:pPr>
    </w:p>
    <w:p w14:paraId="4D90DB42" w14:textId="44C4916D" w:rsidR="005A587A" w:rsidRPr="00126E2A" w:rsidRDefault="00DC7776" w:rsidP="00DC7776">
      <w:pPr>
        <w:autoSpaceDE w:val="0"/>
        <w:autoSpaceDN w:val="0"/>
        <w:adjustRightInd w:val="0"/>
        <w:ind w:left="170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(b)</w:t>
      </w:r>
      <w:r>
        <w:rPr>
          <w:rFonts w:ascii="Times New Roman" w:hAnsi="Times New Roman" w:cs="Times New Roman"/>
          <w:bCs/>
          <w:sz w:val="24"/>
          <w:szCs w:val="24"/>
        </w:rPr>
        <w:tab/>
        <w:t>an ‘indirect financial interest’ within the meaning of the Code and which is material</w:t>
      </w:r>
      <w:r w:rsidR="00795F42" w:rsidRPr="00126E2A">
        <w:rPr>
          <w:rFonts w:ascii="Times New Roman" w:hAnsi="Times New Roman" w:cs="Times New Roman"/>
          <w:sz w:val="24"/>
          <w:szCs w:val="24"/>
        </w:rPr>
        <w:t>.</w:t>
      </w:r>
    </w:p>
    <w:p w14:paraId="14A70C08" w14:textId="77777777" w:rsidR="00C534DC" w:rsidRDefault="00C534DC" w:rsidP="005B1ED6">
      <w:pPr>
        <w:pStyle w:val="ListB"/>
        <w:spacing w:before="0" w:after="0"/>
        <w:ind w:left="1134" w:firstLine="0"/>
        <w:rPr>
          <w:szCs w:val="24"/>
          <w:lang w:eastAsia="en-AU"/>
        </w:rPr>
      </w:pPr>
    </w:p>
    <w:p w14:paraId="108B983B" w14:textId="494F1FC8" w:rsidR="005A587A" w:rsidRDefault="005B1ED6" w:rsidP="005B1ED6">
      <w:pPr>
        <w:pStyle w:val="ListB"/>
        <w:spacing w:before="0" w:after="0"/>
        <w:ind w:left="1134" w:firstLine="0"/>
      </w:pPr>
      <w:r w:rsidRPr="005B1ED6">
        <w:rPr>
          <w:b/>
          <w:bCs/>
          <w:i/>
          <w:iCs/>
          <w:szCs w:val="24"/>
          <w:lang w:eastAsia="en-AU"/>
        </w:rPr>
        <w:t>relevant entity</w:t>
      </w:r>
      <w:r>
        <w:rPr>
          <w:szCs w:val="24"/>
          <w:lang w:eastAsia="en-AU"/>
        </w:rPr>
        <w:t xml:space="preserve"> means a </w:t>
      </w:r>
      <w:r>
        <w:t>company, registered scheme or disclosing entity.</w:t>
      </w:r>
    </w:p>
    <w:p w14:paraId="7B8305D5" w14:textId="77777777" w:rsidR="005B1ED6" w:rsidRDefault="005B1ED6" w:rsidP="005B1ED6">
      <w:pPr>
        <w:pStyle w:val="ListB"/>
        <w:spacing w:before="0" w:after="0"/>
        <w:ind w:left="1134" w:firstLine="0"/>
      </w:pPr>
    </w:p>
    <w:p w14:paraId="7C61A927" w14:textId="51C8ADE1" w:rsidR="005B1ED6" w:rsidRDefault="005B1ED6" w:rsidP="005B1ED6">
      <w:pPr>
        <w:pStyle w:val="ListB"/>
        <w:spacing w:before="0" w:after="0"/>
        <w:ind w:left="1134" w:firstLine="0"/>
      </w:pPr>
      <w:r w:rsidRPr="005B1ED6">
        <w:rPr>
          <w:b/>
          <w:bCs/>
          <w:i/>
          <w:iCs/>
        </w:rPr>
        <w:t>relevant period</w:t>
      </w:r>
      <w:r>
        <w:t xml:space="preserve"> means a financial year or half-year of a relevant entity. </w:t>
      </w:r>
    </w:p>
    <w:p w14:paraId="1AC35F58" w14:textId="77777777" w:rsidR="005B1ED6" w:rsidRDefault="005B1ED6" w:rsidP="005B1ED6">
      <w:pPr>
        <w:pStyle w:val="ListB"/>
        <w:spacing w:before="0" w:after="0"/>
        <w:ind w:left="1134" w:firstLine="0"/>
      </w:pPr>
    </w:p>
    <w:p w14:paraId="43F92F03" w14:textId="56EE80E5" w:rsidR="005B1ED6" w:rsidRPr="00126E2A" w:rsidRDefault="005B1ED6" w:rsidP="005B1ED6">
      <w:pPr>
        <w:pStyle w:val="ListB"/>
        <w:spacing w:before="0" w:after="0"/>
        <w:ind w:left="1134" w:firstLine="0"/>
        <w:rPr>
          <w:szCs w:val="24"/>
          <w:lang w:eastAsia="en-AU"/>
        </w:rPr>
      </w:pPr>
      <w:r w:rsidRPr="005B1ED6">
        <w:rPr>
          <w:b/>
          <w:bCs/>
          <w:i/>
          <w:iCs/>
        </w:rPr>
        <w:t>relevant person</w:t>
      </w:r>
      <w:r>
        <w:t xml:space="preserve"> means a </w:t>
      </w:r>
      <w:r w:rsidRPr="005B1ED6">
        <w:t>person specified in paragraph R510.4(c) of the Code.</w:t>
      </w:r>
    </w:p>
    <w:p w14:paraId="64B77428" w14:textId="326D9113" w:rsidR="005A587A" w:rsidRPr="00AA63FC" w:rsidRDefault="005A587A" w:rsidP="005A587A">
      <w:pPr>
        <w:pStyle w:val="LI-Heading1"/>
        <w:ind w:left="1138" w:hanging="1138"/>
      </w:pPr>
      <w:bookmarkStart w:id="9" w:name="_Toc70326621"/>
      <w:r w:rsidRPr="00AA63FC">
        <w:t>Part 2—</w:t>
      </w:r>
      <w:r w:rsidR="00520832">
        <w:t>Order</w:t>
      </w:r>
      <w:bookmarkEnd w:id="9"/>
    </w:p>
    <w:p w14:paraId="46BF415E" w14:textId="61DA7809" w:rsidR="00145749" w:rsidRPr="00145749" w:rsidDel="00FB0932" w:rsidRDefault="005A587A" w:rsidP="00145749">
      <w:pPr>
        <w:pStyle w:val="LI-Heading2"/>
      </w:pPr>
      <w:bookmarkStart w:id="10" w:name="_Toc70326622"/>
      <w:r w:rsidRPr="00AA63FC">
        <w:t>5</w:t>
      </w:r>
      <w:r w:rsidRPr="00AA63FC">
        <w:tab/>
        <w:t>Auditor’s independence declaration</w:t>
      </w:r>
      <w:bookmarkEnd w:id="10"/>
      <w:r w:rsidRPr="00AA63FC">
        <w:t xml:space="preserve"> </w:t>
      </w:r>
    </w:p>
    <w:p w14:paraId="1B2DBC38" w14:textId="77777777" w:rsidR="004A087C" w:rsidRDefault="006646D3" w:rsidP="001513FA">
      <w:pPr>
        <w:pStyle w:val="LI-BodyTextNumbered"/>
        <w:rPr>
          <w:lang w:eastAsia="en-US"/>
        </w:rPr>
      </w:pPr>
      <w:r>
        <w:rPr>
          <w:lang w:eastAsia="en-US"/>
        </w:rPr>
        <w:t>(1)</w:t>
      </w:r>
      <w:r w:rsidR="004A087C">
        <w:rPr>
          <w:lang w:eastAsia="en-US"/>
        </w:rPr>
        <w:tab/>
        <w:t>This section applies in relation to an audit or review conducted by an audit firm or audit company of the financial report of a relevant entity for a relevant period.</w:t>
      </w:r>
    </w:p>
    <w:p w14:paraId="2735B61A" w14:textId="77777777" w:rsidR="00B13845" w:rsidRDefault="004A087C" w:rsidP="001513FA">
      <w:pPr>
        <w:pStyle w:val="LI-BodyTextNumbered"/>
      </w:pPr>
      <w:r>
        <w:rPr>
          <w:lang w:eastAsia="en-US"/>
        </w:rPr>
        <w:t>(2)</w:t>
      </w:r>
      <w:r>
        <w:rPr>
          <w:lang w:eastAsia="en-US"/>
        </w:rPr>
        <w:tab/>
        <w:t xml:space="preserve">The </w:t>
      </w:r>
      <w:r w:rsidR="00FB0932">
        <w:rPr>
          <w:lang w:eastAsia="en-US"/>
        </w:rPr>
        <w:t>lead auditor</w:t>
      </w:r>
      <w:r>
        <w:rPr>
          <w:lang w:eastAsia="en-US"/>
        </w:rPr>
        <w:t xml:space="preserve"> for the audit </w:t>
      </w:r>
      <w:r w:rsidR="00807D58">
        <w:rPr>
          <w:lang w:eastAsia="en-US"/>
        </w:rPr>
        <w:t xml:space="preserve">is relieved from the requirement to </w:t>
      </w:r>
      <w:r w:rsidR="007E0D0D">
        <w:rPr>
          <w:lang w:eastAsia="en-US"/>
        </w:rPr>
        <w:t xml:space="preserve">set out in a written </w:t>
      </w:r>
      <w:r w:rsidR="00FB0932">
        <w:rPr>
          <w:lang w:eastAsia="en-US"/>
        </w:rPr>
        <w:t xml:space="preserve">declaration under </w:t>
      </w:r>
      <w:r w:rsidR="00807D58">
        <w:rPr>
          <w:lang w:eastAsia="en-US"/>
        </w:rPr>
        <w:t>paragraph </w:t>
      </w:r>
      <w:r w:rsidR="00FB0932">
        <w:rPr>
          <w:lang w:eastAsia="en-US"/>
        </w:rPr>
        <w:t>307C(3)</w:t>
      </w:r>
      <w:r w:rsidR="00807D58">
        <w:rPr>
          <w:lang w:eastAsia="en-US"/>
        </w:rPr>
        <w:t>(d)</w:t>
      </w:r>
      <w:r w:rsidR="00FB0932">
        <w:rPr>
          <w:lang w:eastAsia="en-US"/>
        </w:rPr>
        <w:t xml:space="preserve"> of the Act </w:t>
      </w:r>
      <w:r w:rsidR="007E0D0D">
        <w:rPr>
          <w:lang w:eastAsia="en-US"/>
        </w:rPr>
        <w:t xml:space="preserve">details of a contravention </w:t>
      </w:r>
      <w:r w:rsidR="00BA59EC">
        <w:rPr>
          <w:lang w:eastAsia="en-US"/>
        </w:rPr>
        <w:t xml:space="preserve">of </w:t>
      </w:r>
      <w:r w:rsidR="00520832">
        <w:rPr>
          <w:lang w:eastAsia="en-US"/>
        </w:rPr>
        <w:t>paragraph </w:t>
      </w:r>
      <w:r w:rsidR="006646D3">
        <w:rPr>
          <w:lang w:eastAsia="en-US"/>
        </w:rPr>
        <w:t>R510.4(c) of the Code</w:t>
      </w:r>
      <w:r w:rsidR="00EC50D1">
        <w:rPr>
          <w:lang w:eastAsia="en-US"/>
        </w:rPr>
        <w:t xml:space="preserve"> in relation to a financial</w:t>
      </w:r>
      <w:r w:rsidR="005B1ED6">
        <w:rPr>
          <w:lang w:eastAsia="en-US"/>
        </w:rPr>
        <w:t xml:space="preserve"> </w:t>
      </w:r>
      <w:r w:rsidR="00EC50D1">
        <w:rPr>
          <w:lang w:eastAsia="en-US"/>
        </w:rPr>
        <w:t xml:space="preserve">interest </w:t>
      </w:r>
      <w:r w:rsidR="00520832">
        <w:rPr>
          <w:lang w:eastAsia="en-US"/>
        </w:rPr>
        <w:t xml:space="preserve">held by a </w:t>
      </w:r>
      <w:r w:rsidR="005B1ED6">
        <w:rPr>
          <w:lang w:eastAsia="en-US"/>
        </w:rPr>
        <w:t xml:space="preserve">relevant </w:t>
      </w:r>
      <w:r w:rsidR="00520832">
        <w:rPr>
          <w:lang w:eastAsia="en-US"/>
        </w:rPr>
        <w:t xml:space="preserve">person </w:t>
      </w:r>
      <w:r w:rsidR="005B1ED6">
        <w:rPr>
          <w:lang w:eastAsia="en-US"/>
        </w:rPr>
        <w:t>in the relevant entity</w:t>
      </w:r>
      <w:r w:rsidR="001051CF">
        <w:rPr>
          <w:lang w:eastAsia="en-US"/>
        </w:rPr>
        <w:t xml:space="preserve"> or a controlled entity</w:t>
      </w:r>
      <w:r w:rsidR="00B13845">
        <w:rPr>
          <w:lang w:eastAsia="en-US"/>
        </w:rPr>
        <w:t>.</w:t>
      </w:r>
      <w:r w:rsidR="004A773C" w:rsidRPr="004A773C">
        <w:t xml:space="preserve"> </w:t>
      </w:r>
    </w:p>
    <w:p w14:paraId="6CB33CD7" w14:textId="210F984D" w:rsidR="00807D58" w:rsidRDefault="00B13845" w:rsidP="001513FA">
      <w:pPr>
        <w:pStyle w:val="LI-BodyTextNumbered"/>
        <w:rPr>
          <w:lang w:eastAsia="en-US"/>
        </w:rPr>
      </w:pPr>
      <w:r>
        <w:t>(3)</w:t>
      </w:r>
      <w:r>
        <w:tab/>
        <w:t xml:space="preserve">The relief in subsection (2) applies </w:t>
      </w:r>
      <w:r w:rsidR="007E0D0D">
        <w:t xml:space="preserve">where </w:t>
      </w:r>
      <w:r w:rsidR="00807D58">
        <w:rPr>
          <w:lang w:eastAsia="en-US"/>
        </w:rPr>
        <w:t>all of the following are satisfied</w:t>
      </w:r>
      <w:r w:rsidR="00EC50D1">
        <w:rPr>
          <w:lang w:eastAsia="en-US"/>
        </w:rPr>
        <w:t>:</w:t>
      </w:r>
    </w:p>
    <w:p w14:paraId="263AE195" w14:textId="2342F1B3" w:rsidR="00B13845" w:rsidRDefault="00B13845" w:rsidP="00B13845">
      <w:pPr>
        <w:pStyle w:val="LI-BodyTextNumbered"/>
        <w:ind w:left="1701"/>
        <w:rPr>
          <w:szCs w:val="20"/>
          <w:lang w:eastAsia="en-US"/>
        </w:rPr>
      </w:pPr>
      <w:r>
        <w:rPr>
          <w:szCs w:val="20"/>
          <w:lang w:eastAsia="en-US"/>
        </w:rPr>
        <w:t>(a)</w:t>
      </w:r>
      <w:r>
        <w:rPr>
          <w:szCs w:val="20"/>
          <w:lang w:eastAsia="en-US"/>
        </w:rPr>
        <w:tab/>
        <w:t>th</w:t>
      </w:r>
      <w:r w:rsidRPr="00655ECA">
        <w:rPr>
          <w:szCs w:val="20"/>
          <w:lang w:eastAsia="en-US"/>
        </w:rPr>
        <w:t xml:space="preserve">e fair value of the </w:t>
      </w:r>
      <w:r>
        <w:rPr>
          <w:szCs w:val="20"/>
          <w:lang w:eastAsia="en-US"/>
        </w:rPr>
        <w:t>f</w:t>
      </w:r>
      <w:r w:rsidRPr="00655ECA">
        <w:rPr>
          <w:szCs w:val="20"/>
          <w:lang w:eastAsia="en-US"/>
        </w:rPr>
        <w:t xml:space="preserve">inancial </w:t>
      </w:r>
      <w:r>
        <w:rPr>
          <w:szCs w:val="20"/>
          <w:lang w:eastAsia="en-US"/>
        </w:rPr>
        <w:t>i</w:t>
      </w:r>
      <w:r w:rsidRPr="00655ECA">
        <w:rPr>
          <w:szCs w:val="20"/>
          <w:lang w:eastAsia="en-US"/>
        </w:rPr>
        <w:t xml:space="preserve">nterest </w:t>
      </w:r>
      <w:r>
        <w:rPr>
          <w:szCs w:val="20"/>
          <w:lang w:eastAsia="en-US"/>
        </w:rPr>
        <w:t xml:space="preserve">has not </w:t>
      </w:r>
      <w:r w:rsidRPr="00655ECA">
        <w:rPr>
          <w:szCs w:val="20"/>
          <w:lang w:eastAsia="en-US"/>
        </w:rPr>
        <w:t>exceed</w:t>
      </w:r>
      <w:r>
        <w:rPr>
          <w:szCs w:val="20"/>
          <w:lang w:eastAsia="en-US"/>
        </w:rPr>
        <w:t>ed</w:t>
      </w:r>
      <w:r w:rsidRPr="00655ECA">
        <w:rPr>
          <w:szCs w:val="20"/>
          <w:lang w:eastAsia="en-US"/>
        </w:rPr>
        <w:t xml:space="preserve"> $10</w:t>
      </w:r>
      <w:r>
        <w:rPr>
          <w:szCs w:val="20"/>
          <w:lang w:eastAsia="en-US"/>
        </w:rPr>
        <w:t>,</w:t>
      </w:r>
      <w:r w:rsidRPr="00655ECA">
        <w:rPr>
          <w:szCs w:val="20"/>
          <w:lang w:eastAsia="en-US"/>
        </w:rPr>
        <w:t xml:space="preserve">000 at any time during or </w:t>
      </w:r>
      <w:r w:rsidRPr="001051CF">
        <w:rPr>
          <w:szCs w:val="20"/>
          <w:lang w:eastAsia="en-US"/>
        </w:rPr>
        <w:t>since the relevant period</w:t>
      </w:r>
      <w:r w:rsidRPr="00655ECA">
        <w:rPr>
          <w:szCs w:val="20"/>
          <w:lang w:eastAsia="en-US"/>
        </w:rPr>
        <w:t>;</w:t>
      </w:r>
    </w:p>
    <w:p w14:paraId="047C996E" w14:textId="06AD9D2A" w:rsidR="003E1081" w:rsidRPr="003E1081" w:rsidRDefault="003E1081" w:rsidP="003E1081">
      <w:pPr>
        <w:pStyle w:val="LI-BodyTextNumbered"/>
        <w:ind w:left="1701"/>
        <w:rPr>
          <w:szCs w:val="20"/>
          <w:lang w:eastAsia="en-US"/>
        </w:rPr>
      </w:pPr>
      <w:r>
        <w:rPr>
          <w:szCs w:val="20"/>
          <w:lang w:eastAsia="en-US"/>
        </w:rPr>
        <w:t>(b)</w:t>
      </w:r>
      <w:r>
        <w:rPr>
          <w:szCs w:val="20"/>
          <w:lang w:eastAsia="en-US"/>
        </w:rPr>
        <w:tab/>
      </w:r>
      <w:r w:rsidRPr="003E1081">
        <w:rPr>
          <w:szCs w:val="20"/>
          <w:lang w:eastAsia="en-US"/>
        </w:rPr>
        <w:t>the engagement partner is satisfied that the financial interest was not material to the relevant person;</w:t>
      </w:r>
    </w:p>
    <w:p w14:paraId="51CCAB30" w14:textId="193F0A0A" w:rsidR="005A587A" w:rsidRPr="00655ECA" w:rsidRDefault="005A587A" w:rsidP="00B13845">
      <w:pPr>
        <w:pStyle w:val="LI-BodyTextNumbered"/>
        <w:ind w:left="1701"/>
      </w:pPr>
      <w:r w:rsidRPr="00D33F5B">
        <w:t>(</w:t>
      </w:r>
      <w:r w:rsidR="003E1081">
        <w:t>c</w:t>
      </w:r>
      <w:r w:rsidRPr="00D33F5B">
        <w:t xml:space="preserve">) </w:t>
      </w:r>
      <w:r w:rsidRPr="00D33F5B">
        <w:tab/>
        <w:t xml:space="preserve">the </w:t>
      </w:r>
      <w:r w:rsidR="005B1ED6">
        <w:t xml:space="preserve">relevant person </w:t>
      </w:r>
      <w:r w:rsidRPr="00D33F5B">
        <w:t xml:space="preserve">has </w:t>
      </w:r>
      <w:r w:rsidR="00B13845">
        <w:t xml:space="preserve">given a written </w:t>
      </w:r>
      <w:r w:rsidRPr="00D33F5B">
        <w:t>confirm</w:t>
      </w:r>
      <w:r w:rsidR="00B13845">
        <w:t xml:space="preserve">ation </w:t>
      </w:r>
      <w:r w:rsidRPr="00D33F5B">
        <w:t>to the lead auditor that the</w:t>
      </w:r>
      <w:r w:rsidR="005B1ED6">
        <w:t xml:space="preserve"> financial interest</w:t>
      </w:r>
      <w:r w:rsidRPr="00655ECA">
        <w:t>:</w:t>
      </w:r>
    </w:p>
    <w:p w14:paraId="614D609D" w14:textId="37DB71BC" w:rsidR="007E0D0D" w:rsidRDefault="007E0D0D" w:rsidP="007E0D0D">
      <w:pPr>
        <w:pStyle w:val="LI-BodyTextNumbered"/>
        <w:ind w:left="2268"/>
      </w:pPr>
      <w:r>
        <w:t>(i)</w:t>
      </w:r>
      <w:r>
        <w:tab/>
      </w:r>
      <w:r w:rsidR="001051CF">
        <w:t xml:space="preserve">began to be held by the relevant person </w:t>
      </w:r>
      <w:r w:rsidR="005A587A" w:rsidRPr="00655ECA">
        <w:t xml:space="preserve">without </w:t>
      </w:r>
      <w:r w:rsidR="001051CF">
        <w:t xml:space="preserve">the relevant person </w:t>
      </w:r>
      <w:r w:rsidR="005A587A" w:rsidRPr="00655ECA">
        <w:t xml:space="preserve">knowing that it was a financial interest in the relevant entity or </w:t>
      </w:r>
      <w:r w:rsidR="007A637D">
        <w:t>a controlled entity</w:t>
      </w:r>
      <w:r w:rsidR="005A587A" w:rsidRPr="00655ECA">
        <w:t>; and</w:t>
      </w:r>
    </w:p>
    <w:p w14:paraId="5781EE78" w14:textId="7F57AB23" w:rsidR="005A587A" w:rsidRPr="00655ECA" w:rsidRDefault="005A587A" w:rsidP="007E0D0D">
      <w:pPr>
        <w:pStyle w:val="LI-BodyTextNumbered"/>
        <w:ind w:left="2268"/>
      </w:pPr>
      <w:r>
        <w:t>(ii)</w:t>
      </w:r>
      <w:r>
        <w:tab/>
      </w:r>
      <w:r w:rsidRPr="00655ECA">
        <w:t xml:space="preserve">was divested as soon as possible, and no later than 7 days, after </w:t>
      </w:r>
      <w:r w:rsidR="001051CF">
        <w:t xml:space="preserve">the relevant person </w:t>
      </w:r>
      <w:r w:rsidRPr="00655ECA">
        <w:t>bec</w:t>
      </w:r>
      <w:r w:rsidR="001051CF">
        <w:t>ame</w:t>
      </w:r>
      <w:r w:rsidRPr="00655ECA">
        <w:t xml:space="preserve"> aware that it was a financial interest in the relevant entity or a </w:t>
      </w:r>
      <w:r>
        <w:t xml:space="preserve">controlled </w:t>
      </w:r>
      <w:r w:rsidRPr="00655ECA">
        <w:t>entity;</w:t>
      </w:r>
    </w:p>
    <w:p w14:paraId="0CB83AA7" w14:textId="4EDB3F55" w:rsidR="003E1081" w:rsidRDefault="005A587A" w:rsidP="00DC7776">
      <w:pPr>
        <w:pStyle w:val="LI-BodyTextNumbered"/>
        <w:ind w:left="1701"/>
        <w:rPr>
          <w:szCs w:val="20"/>
          <w:lang w:eastAsia="en-US"/>
        </w:rPr>
      </w:pPr>
      <w:r>
        <w:rPr>
          <w:szCs w:val="20"/>
          <w:lang w:eastAsia="en-US"/>
        </w:rPr>
        <w:t>(</w:t>
      </w:r>
      <w:r w:rsidR="00DC7776">
        <w:rPr>
          <w:szCs w:val="20"/>
          <w:lang w:eastAsia="en-US"/>
        </w:rPr>
        <w:t>d</w:t>
      </w:r>
      <w:r>
        <w:rPr>
          <w:szCs w:val="20"/>
          <w:lang w:eastAsia="en-US"/>
        </w:rPr>
        <w:t xml:space="preserve">) </w:t>
      </w:r>
      <w:r>
        <w:rPr>
          <w:szCs w:val="20"/>
          <w:lang w:eastAsia="en-US"/>
        </w:rPr>
        <w:tab/>
      </w:r>
      <w:r w:rsidRPr="00655ECA">
        <w:rPr>
          <w:szCs w:val="20"/>
          <w:lang w:eastAsia="en-US"/>
        </w:rPr>
        <w:t xml:space="preserve">the </w:t>
      </w:r>
      <w:r w:rsidR="003E1081">
        <w:rPr>
          <w:szCs w:val="20"/>
          <w:lang w:eastAsia="en-US"/>
        </w:rPr>
        <w:t xml:space="preserve">lead auditor has given a written report to the directors of the relevant entity stating that the relevant person held the financial interest </w:t>
      </w:r>
      <w:r w:rsidRPr="00655ECA">
        <w:rPr>
          <w:szCs w:val="20"/>
          <w:lang w:eastAsia="en-US"/>
        </w:rPr>
        <w:t xml:space="preserve">in </w:t>
      </w:r>
      <w:r w:rsidR="00B13845">
        <w:rPr>
          <w:szCs w:val="20"/>
          <w:lang w:eastAsia="en-US"/>
        </w:rPr>
        <w:t xml:space="preserve">contravention </w:t>
      </w:r>
      <w:r w:rsidRPr="00655ECA">
        <w:rPr>
          <w:szCs w:val="20"/>
          <w:lang w:eastAsia="en-US"/>
        </w:rPr>
        <w:t xml:space="preserve">of </w:t>
      </w:r>
      <w:r w:rsidR="007E0D0D">
        <w:rPr>
          <w:lang w:eastAsia="en-US"/>
        </w:rPr>
        <w:t xml:space="preserve">paragraph R510.4(c) of </w:t>
      </w:r>
      <w:r w:rsidRPr="00655ECA">
        <w:rPr>
          <w:szCs w:val="20"/>
          <w:lang w:eastAsia="en-US"/>
        </w:rPr>
        <w:t>the Code</w:t>
      </w:r>
      <w:r w:rsidR="003E1081">
        <w:rPr>
          <w:szCs w:val="20"/>
          <w:lang w:eastAsia="en-US"/>
        </w:rPr>
        <w:t>;</w:t>
      </w:r>
      <w:r w:rsidRPr="00655ECA">
        <w:rPr>
          <w:szCs w:val="20"/>
          <w:lang w:eastAsia="en-US"/>
        </w:rPr>
        <w:t xml:space="preserve"> </w:t>
      </w:r>
    </w:p>
    <w:p w14:paraId="1E021614" w14:textId="64FAE2E7" w:rsidR="005A587A" w:rsidRPr="00655ECA" w:rsidRDefault="005A587A" w:rsidP="00DC7776">
      <w:pPr>
        <w:pStyle w:val="LI-BodyTextNumbered"/>
        <w:ind w:left="1701"/>
        <w:rPr>
          <w:szCs w:val="20"/>
          <w:lang w:eastAsia="en-US"/>
        </w:rPr>
      </w:pPr>
      <w:r>
        <w:rPr>
          <w:szCs w:val="20"/>
          <w:lang w:eastAsia="en-US"/>
        </w:rPr>
        <w:t>(</w:t>
      </w:r>
      <w:r w:rsidR="00DC7776">
        <w:rPr>
          <w:szCs w:val="20"/>
          <w:lang w:eastAsia="en-US"/>
        </w:rPr>
        <w:t>e</w:t>
      </w:r>
      <w:r>
        <w:rPr>
          <w:szCs w:val="20"/>
          <w:lang w:eastAsia="en-US"/>
        </w:rPr>
        <w:t xml:space="preserve">) </w:t>
      </w:r>
      <w:r>
        <w:rPr>
          <w:szCs w:val="20"/>
          <w:lang w:eastAsia="en-US"/>
        </w:rPr>
        <w:tab/>
      </w:r>
      <w:r w:rsidRPr="00655ECA">
        <w:rPr>
          <w:szCs w:val="20"/>
          <w:lang w:eastAsia="en-US"/>
        </w:rPr>
        <w:t xml:space="preserve">the directors of the relevant entity </w:t>
      </w:r>
      <w:r w:rsidR="00A2675C">
        <w:rPr>
          <w:szCs w:val="20"/>
          <w:lang w:eastAsia="en-US"/>
        </w:rPr>
        <w:t xml:space="preserve">have </w:t>
      </w:r>
      <w:r w:rsidR="00586609">
        <w:rPr>
          <w:szCs w:val="20"/>
          <w:lang w:eastAsia="en-US"/>
        </w:rPr>
        <w:t xml:space="preserve">passed a resolution to the effect that </w:t>
      </w:r>
      <w:r w:rsidRPr="00655ECA">
        <w:rPr>
          <w:szCs w:val="20"/>
          <w:lang w:eastAsia="en-US"/>
        </w:rPr>
        <w:t xml:space="preserve">the holding of the </w:t>
      </w:r>
      <w:r>
        <w:rPr>
          <w:szCs w:val="20"/>
          <w:lang w:eastAsia="en-US"/>
        </w:rPr>
        <w:t>f</w:t>
      </w:r>
      <w:r w:rsidRPr="00655ECA">
        <w:rPr>
          <w:szCs w:val="20"/>
          <w:lang w:eastAsia="en-US"/>
        </w:rPr>
        <w:t xml:space="preserve">inancial </w:t>
      </w:r>
      <w:r>
        <w:rPr>
          <w:szCs w:val="20"/>
          <w:lang w:eastAsia="en-US"/>
        </w:rPr>
        <w:t>i</w:t>
      </w:r>
      <w:r w:rsidRPr="00655ECA">
        <w:rPr>
          <w:szCs w:val="20"/>
          <w:lang w:eastAsia="en-US"/>
        </w:rPr>
        <w:t xml:space="preserve">nterest </w:t>
      </w:r>
      <w:r w:rsidR="00586609">
        <w:rPr>
          <w:szCs w:val="20"/>
          <w:lang w:eastAsia="en-US"/>
        </w:rPr>
        <w:t xml:space="preserve">by the relevant person did not </w:t>
      </w:r>
      <w:r w:rsidRPr="00655ECA">
        <w:rPr>
          <w:szCs w:val="20"/>
          <w:lang w:eastAsia="en-US"/>
        </w:rPr>
        <w:t>affect the independence and objectivity of the audit firm, lead auditor, review auditor or any member of the audit engagement team; and</w:t>
      </w:r>
    </w:p>
    <w:p w14:paraId="07997C37" w14:textId="669A7045" w:rsidR="004A087C" w:rsidRDefault="003E1081" w:rsidP="00A2675C">
      <w:pPr>
        <w:pStyle w:val="LI-BodyTextNumbered"/>
        <w:ind w:left="1701"/>
        <w:rPr>
          <w:szCs w:val="20"/>
          <w:lang w:eastAsia="en-US"/>
        </w:rPr>
      </w:pPr>
      <w:r>
        <w:rPr>
          <w:szCs w:val="20"/>
          <w:lang w:eastAsia="en-US"/>
        </w:rPr>
        <w:t>(</w:t>
      </w:r>
      <w:r w:rsidR="00A2675C">
        <w:rPr>
          <w:szCs w:val="20"/>
          <w:lang w:eastAsia="en-US"/>
        </w:rPr>
        <w:t>f</w:t>
      </w:r>
      <w:r>
        <w:rPr>
          <w:szCs w:val="20"/>
          <w:lang w:eastAsia="en-US"/>
        </w:rPr>
        <w:t xml:space="preserve">) </w:t>
      </w:r>
      <w:r>
        <w:rPr>
          <w:szCs w:val="20"/>
          <w:lang w:eastAsia="en-US"/>
        </w:rPr>
        <w:tab/>
        <w:t xml:space="preserve">as at the time </w:t>
      </w:r>
      <w:r w:rsidRPr="00655ECA">
        <w:rPr>
          <w:szCs w:val="20"/>
          <w:lang w:eastAsia="en-US"/>
        </w:rPr>
        <w:t>the lead</w:t>
      </w:r>
      <w:r>
        <w:rPr>
          <w:szCs w:val="20"/>
          <w:lang w:eastAsia="en-US"/>
        </w:rPr>
        <w:t xml:space="preserve"> </w:t>
      </w:r>
      <w:r w:rsidRPr="00655ECA">
        <w:rPr>
          <w:szCs w:val="20"/>
          <w:lang w:eastAsia="en-US"/>
        </w:rPr>
        <w:t>auditor signs the auditor’s independence declaration</w:t>
      </w:r>
      <w:r>
        <w:rPr>
          <w:szCs w:val="20"/>
          <w:lang w:eastAsia="en-US"/>
        </w:rPr>
        <w:t xml:space="preserve"> in accordance with paragraph 307C(5)(b) of the Act</w:t>
      </w:r>
      <w:r w:rsidRPr="00655ECA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 xml:space="preserve">in relation to the </w:t>
      </w:r>
      <w:r>
        <w:rPr>
          <w:lang w:eastAsia="en-US"/>
        </w:rPr>
        <w:t xml:space="preserve">relevant entity for the relevant period, </w:t>
      </w:r>
      <w:r w:rsidRPr="00655ECA">
        <w:rPr>
          <w:szCs w:val="20"/>
          <w:lang w:eastAsia="en-US"/>
        </w:rPr>
        <w:t xml:space="preserve">the </w:t>
      </w:r>
      <w:r w:rsidR="00A2675C">
        <w:rPr>
          <w:szCs w:val="20"/>
          <w:lang w:eastAsia="en-US"/>
        </w:rPr>
        <w:t xml:space="preserve">relevant person does not hold the </w:t>
      </w:r>
      <w:r>
        <w:rPr>
          <w:szCs w:val="20"/>
          <w:lang w:eastAsia="en-US"/>
        </w:rPr>
        <w:t>f</w:t>
      </w:r>
      <w:r w:rsidRPr="00655ECA">
        <w:rPr>
          <w:szCs w:val="20"/>
          <w:lang w:eastAsia="en-US"/>
        </w:rPr>
        <w:t xml:space="preserve">inancial </w:t>
      </w:r>
      <w:r>
        <w:rPr>
          <w:szCs w:val="20"/>
          <w:lang w:eastAsia="en-US"/>
        </w:rPr>
        <w:t>i</w:t>
      </w:r>
      <w:r w:rsidRPr="00655ECA">
        <w:rPr>
          <w:szCs w:val="20"/>
          <w:lang w:eastAsia="en-US"/>
        </w:rPr>
        <w:t>nterest</w:t>
      </w:r>
      <w:r w:rsidR="00A2675C">
        <w:rPr>
          <w:szCs w:val="20"/>
          <w:lang w:eastAsia="en-US"/>
        </w:rPr>
        <w:t>.</w:t>
      </w:r>
    </w:p>
    <w:p w14:paraId="4DD1F8CF" w14:textId="2E4BD0D1" w:rsidR="00456D0C" w:rsidRDefault="00456D0C" w:rsidP="00A2675C">
      <w:pPr>
        <w:pStyle w:val="LI-BodyTextNumbered"/>
        <w:ind w:left="1701"/>
        <w:rPr>
          <w:szCs w:val="20"/>
          <w:lang w:eastAsia="en-US"/>
        </w:rPr>
      </w:pPr>
    </w:p>
    <w:p w14:paraId="53B76911" w14:textId="2DC0855F" w:rsidR="00456D0C" w:rsidRPr="00AA63FC" w:rsidRDefault="00456D0C" w:rsidP="00456D0C">
      <w:pPr>
        <w:pStyle w:val="LI-Heading1"/>
        <w:ind w:left="1138" w:hanging="1138"/>
      </w:pPr>
      <w:bookmarkStart w:id="11" w:name="_Toc70326623"/>
      <w:r w:rsidRPr="00AA63FC">
        <w:lastRenderedPageBreak/>
        <w:t xml:space="preserve">Part </w:t>
      </w:r>
      <w:r>
        <w:t>3</w:t>
      </w:r>
      <w:r w:rsidRPr="00AA63FC">
        <w:t>—</w:t>
      </w:r>
      <w:r>
        <w:t>Repeal</w:t>
      </w:r>
      <w:bookmarkEnd w:id="11"/>
    </w:p>
    <w:p w14:paraId="3E46932F" w14:textId="1F1F72C5" w:rsidR="00456D0C" w:rsidRPr="00145749" w:rsidRDefault="00456D0C" w:rsidP="00456D0C">
      <w:pPr>
        <w:pStyle w:val="LI-Heading2"/>
      </w:pPr>
      <w:bookmarkStart w:id="12" w:name="_Toc70326624"/>
      <w:r>
        <w:t>6</w:t>
      </w:r>
      <w:r w:rsidRPr="00AA63FC">
        <w:tab/>
      </w:r>
      <w:r>
        <w:t>Repeal</w:t>
      </w:r>
      <w:bookmarkEnd w:id="12"/>
      <w:r w:rsidRPr="00AA63FC">
        <w:t xml:space="preserve"> </w:t>
      </w:r>
    </w:p>
    <w:p w14:paraId="2D96A2D1" w14:textId="3973C3E3" w:rsidR="00A548A8" w:rsidRDefault="00456D0C" w:rsidP="00456D0C">
      <w:pPr>
        <w:pStyle w:val="LI-BodyTextNumbered"/>
        <w:ind w:left="567" w:firstLine="0"/>
      </w:pPr>
      <w:r w:rsidRPr="00456D0C">
        <w:t xml:space="preserve">This instrument is repealed on </w:t>
      </w:r>
      <w:r w:rsidR="000815DE">
        <w:t>30 April 2026.</w:t>
      </w:r>
    </w:p>
    <w:sectPr w:rsidR="00A54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2ED44" w14:textId="77777777" w:rsidR="0087202C" w:rsidRDefault="0087202C" w:rsidP="005A587A">
      <w:r>
        <w:separator/>
      </w:r>
    </w:p>
  </w:endnote>
  <w:endnote w:type="continuationSeparator" w:id="0">
    <w:p w14:paraId="1116C5E4" w14:textId="77777777" w:rsidR="0087202C" w:rsidRDefault="0087202C" w:rsidP="005A587A">
      <w:r>
        <w:continuationSeparator/>
      </w:r>
    </w:p>
  </w:endnote>
  <w:endnote w:type="continuationNotice" w:id="1">
    <w:p w14:paraId="2924E9D1" w14:textId="77777777" w:rsidR="005F2A7E" w:rsidRDefault="005F2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87202C" w:rsidRPr="00081794" w14:paraId="3A663B02" w14:textId="77777777" w:rsidTr="0087202C">
      <w:tc>
        <w:tcPr>
          <w:tcW w:w="8472" w:type="dxa"/>
          <w:shd w:val="clear" w:color="auto" w:fill="auto"/>
        </w:tcPr>
        <w:p w14:paraId="6EC5EEC7" w14:textId="4A7E0DE6" w:rsidR="0087202C" w:rsidRPr="00081794" w:rsidRDefault="0087202C" w:rsidP="0087202C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1" locked="0" layoutInCell="1" allowOverlap="1" wp14:anchorId="68D0DF50" wp14:editId="4BC11CE3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1098AE" w14:textId="77777777" w:rsidR="0087202C" w:rsidRPr="00284719" w:rsidRDefault="0087202C" w:rsidP="0087202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>Error! Unknown document property name.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D0DF5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X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" stroked="f">
                    <v:stroke joinstyle="round"/>
                    <v:path arrowok="t"/>
                    <v:textbox>
                      <w:txbxContent>
                        <w:p w14:paraId="671098AE" w14:textId="77777777" w:rsidR="0087202C" w:rsidRPr="00284719" w:rsidRDefault="0087202C" w:rsidP="0087202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7EF29929" w14:textId="77777777" w:rsidR="0087202C" w:rsidRPr="007500C8" w:rsidRDefault="0087202C" w:rsidP="008720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35365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41AE3A0" w14:textId="77777777" w:rsidR="0087202C" w:rsidRPr="00F05780" w:rsidRDefault="0087202C">
        <w:pPr>
          <w:pStyle w:val="Footer"/>
          <w:jc w:val="center"/>
          <w:rPr>
            <w:rFonts w:ascii="Times New Roman" w:hAnsi="Times New Roman" w:cs="Times New Roman"/>
          </w:rPr>
        </w:pPr>
        <w:r w:rsidRPr="00F05780">
          <w:rPr>
            <w:rFonts w:ascii="Times New Roman" w:hAnsi="Times New Roman" w:cs="Times New Roman"/>
          </w:rPr>
          <w:fldChar w:fldCharType="begin"/>
        </w:r>
        <w:r w:rsidRPr="00F05780">
          <w:rPr>
            <w:rFonts w:ascii="Times New Roman" w:hAnsi="Times New Roman" w:cs="Times New Roman"/>
          </w:rPr>
          <w:instrText xml:space="preserve"> PAGE   \* MERGEFORMAT </w:instrText>
        </w:r>
        <w:r w:rsidRPr="00F05780">
          <w:rPr>
            <w:rFonts w:ascii="Times New Roman" w:hAnsi="Times New Roman" w:cs="Times New Roman"/>
          </w:rPr>
          <w:fldChar w:fldCharType="separate"/>
        </w:r>
        <w:r w:rsidRPr="00F05780">
          <w:rPr>
            <w:rFonts w:ascii="Times New Roman" w:hAnsi="Times New Roman" w:cs="Times New Roman"/>
            <w:noProof/>
          </w:rPr>
          <w:t>2</w:t>
        </w:r>
        <w:r w:rsidRPr="00F0578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69B38E9" w14:textId="77777777" w:rsidR="0087202C" w:rsidRPr="007500C8" w:rsidRDefault="0087202C" w:rsidP="008720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AC339" w14:textId="77777777" w:rsidR="0087202C" w:rsidRPr="00ED79B6" w:rsidRDefault="0087202C" w:rsidP="0087202C">
    <w:pPr>
      <w:pStyle w:val="Footer"/>
      <w:tabs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9F1EC" w14:textId="77777777" w:rsidR="0087202C" w:rsidRPr="00E2168B" w:rsidRDefault="0087202C" w:rsidP="0087202C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A66D" w14:textId="77777777" w:rsidR="0087202C" w:rsidRPr="00E33C1C" w:rsidRDefault="0087202C" w:rsidP="0087202C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3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23483" w14:textId="77777777" w:rsidR="0087202C" w:rsidRDefault="0087202C" w:rsidP="005A587A">
      <w:r>
        <w:separator/>
      </w:r>
    </w:p>
  </w:footnote>
  <w:footnote w:type="continuationSeparator" w:id="0">
    <w:p w14:paraId="13D41823" w14:textId="77777777" w:rsidR="0087202C" w:rsidRDefault="0087202C" w:rsidP="005A587A">
      <w:r>
        <w:continuationSeparator/>
      </w:r>
    </w:p>
  </w:footnote>
  <w:footnote w:type="continuationNotice" w:id="1">
    <w:p w14:paraId="2B05DCFD" w14:textId="77777777" w:rsidR="005F2A7E" w:rsidRDefault="005F2A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BFF98" w14:textId="480E3F20" w:rsidR="0087202C" w:rsidRPr="005F1388" w:rsidRDefault="0087202C" w:rsidP="008720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1841547" wp14:editId="26D8039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013F8D9" w14:textId="77777777" w:rsidR="0087202C" w:rsidRPr="00284719" w:rsidRDefault="0087202C" w:rsidP="0087202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84154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H+uH6WVAgAAOwUAAA4AAAAAAAAAAAAAAAAALgIAAGRycy9lMm9Eb2MueG1s&#10;UEsBAi0AFAAGAAgAAAAhAOYK37rcAAAABgEAAA8AAAAAAAAAAAAAAAAA7wQAAGRycy9kb3ducmV2&#10;LnhtbFBLBQYAAAAABAAEAPMAAAD4BQAAAAA=&#10;" stroked="f">
              <v:stroke joinstyle="round"/>
              <v:path arrowok="t"/>
              <v:textbox>
                <w:txbxContent>
                  <w:p w14:paraId="3013F8D9" w14:textId="77777777" w:rsidR="0087202C" w:rsidRPr="00284719" w:rsidRDefault="0087202C" w:rsidP="0087202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93B30" w14:textId="45CD52BA" w:rsidR="0087202C" w:rsidRPr="005F1388" w:rsidRDefault="0087202C" w:rsidP="008720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330F917" wp14:editId="26487C1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B3C0317" w14:textId="77777777" w:rsidR="0087202C" w:rsidRPr="00284719" w:rsidRDefault="0087202C" w:rsidP="0087202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30F91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wo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" stroked="f">
              <v:stroke joinstyle="round"/>
              <v:path arrowok="t"/>
              <v:textbox>
                <w:txbxContent>
                  <w:p w14:paraId="3B3C0317" w14:textId="77777777" w:rsidR="0087202C" w:rsidRPr="00284719" w:rsidRDefault="0087202C" w:rsidP="0087202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A1429" w14:textId="77777777" w:rsidR="0087202C" w:rsidRPr="00BB4705" w:rsidRDefault="0087202C" w:rsidP="0087202C">
    <w:pPr>
      <w:pStyle w:val="Header"/>
      <w:pBdr>
        <w:bottom w:val="single" w:sz="4" w:space="1" w:color="117DC7"/>
      </w:pBdr>
      <w:jc w:val="right"/>
      <w:rPr>
        <w:rFonts w:ascii="Arial" w:hAnsi="Arial" w:cs="Arial"/>
        <w:color w:val="4472C4" w:themeColor="accent1"/>
        <w:sz w:val="18"/>
        <w:szCs w:val="18"/>
        <w:lang w:val="en-US"/>
      </w:rPr>
    </w:pPr>
    <w:r>
      <w:rPr>
        <w:rFonts w:ascii="Arial" w:hAnsi="Arial" w:cs="Arial"/>
        <w:color w:val="117DC7"/>
        <w:sz w:val="18"/>
        <w:szCs w:val="18"/>
        <w:lang w:val="en-US"/>
      </w:rPr>
      <w:t xml:space="preserve">RPG submission: </w:t>
    </w:r>
    <w:r w:rsidRPr="00BB4705">
      <w:rPr>
        <w:noProof/>
        <w:color w:val="4472C4" w:themeColor="accent1"/>
      </w:rPr>
      <w:t>Proposed relief from reporting minor audit independence breaches</w:t>
    </w:r>
  </w:p>
  <w:p w14:paraId="0C842990" w14:textId="77777777" w:rsidR="0087202C" w:rsidRPr="005F1388" w:rsidRDefault="0087202C" w:rsidP="0087202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DC233" w14:textId="77777777" w:rsidR="0087202C" w:rsidRDefault="0087202C" w:rsidP="0087202C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87202C" w:rsidRPr="00E40FF8" w14:paraId="62F5C096" w14:textId="77777777" w:rsidTr="0087202C">
      <w:tc>
        <w:tcPr>
          <w:tcW w:w="6804" w:type="dxa"/>
          <w:shd w:val="clear" w:color="auto" w:fill="auto"/>
        </w:tcPr>
        <w:p w14:paraId="4B6618B5" w14:textId="777E0AE9" w:rsidR="0087202C" w:rsidRDefault="0087202C" w:rsidP="0087202C">
          <w:pPr>
            <w:pStyle w:val="LI-Header"/>
            <w:pBdr>
              <w:bottom w:val="none" w:sz="0" w:space="0" w:color="auto"/>
            </w:pBdr>
            <w:jc w:val="lef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"LI - Title" </w:instrText>
          </w:r>
          <w:r>
            <w:rPr>
              <w:noProof/>
            </w:rPr>
            <w:fldChar w:fldCharType="separate"/>
          </w:r>
          <w:r w:rsidR="00202B58">
            <w:rPr>
              <w:noProof/>
            </w:rPr>
            <w:t>ASIC Corporations (Auditor Independence) Instrument 2021/75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26CEB4AB" w14:textId="77777777" w:rsidR="0087202C" w:rsidRDefault="0087202C" w:rsidP="0087202C">
          <w:pPr>
            <w:pStyle w:val="LI-Header"/>
            <w:pBdr>
              <w:bottom w:val="none" w:sz="0" w:space="0" w:color="auto"/>
            </w:pBdr>
          </w:pPr>
        </w:p>
      </w:tc>
    </w:tr>
  </w:tbl>
  <w:p w14:paraId="08EA2ABD" w14:textId="77777777" w:rsidR="0087202C" w:rsidRPr="008945E0" w:rsidRDefault="0087202C" w:rsidP="0087202C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F4279" w14:textId="77777777" w:rsidR="0087202C" w:rsidRPr="00ED79B6" w:rsidRDefault="0087202C" w:rsidP="00872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87A1F"/>
    <w:multiLevelType w:val="hybridMultilevel"/>
    <w:tmpl w:val="6DEE9EC4"/>
    <w:lvl w:ilvl="0" w:tplc="A52406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3702E6"/>
    <w:multiLevelType w:val="hybridMultilevel"/>
    <w:tmpl w:val="FB3A68D2"/>
    <w:lvl w:ilvl="0" w:tplc="08BA04A4">
      <w:start w:val="1"/>
      <w:numFmt w:val="decimal"/>
      <w:lvlText w:val="(%1)"/>
      <w:lvlJc w:val="left"/>
      <w:pPr>
        <w:ind w:left="15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13" w:hanging="360"/>
      </w:pPr>
    </w:lvl>
    <w:lvl w:ilvl="2" w:tplc="0C09001B" w:tentative="1">
      <w:start w:val="1"/>
      <w:numFmt w:val="lowerRoman"/>
      <w:lvlText w:val="%3."/>
      <w:lvlJc w:val="right"/>
      <w:pPr>
        <w:ind w:left="3033" w:hanging="180"/>
      </w:pPr>
    </w:lvl>
    <w:lvl w:ilvl="3" w:tplc="0C09000F" w:tentative="1">
      <w:start w:val="1"/>
      <w:numFmt w:val="decimal"/>
      <w:lvlText w:val="%4."/>
      <w:lvlJc w:val="left"/>
      <w:pPr>
        <w:ind w:left="3753" w:hanging="360"/>
      </w:pPr>
    </w:lvl>
    <w:lvl w:ilvl="4" w:tplc="0C090019" w:tentative="1">
      <w:start w:val="1"/>
      <w:numFmt w:val="lowerLetter"/>
      <w:lvlText w:val="%5."/>
      <w:lvlJc w:val="left"/>
      <w:pPr>
        <w:ind w:left="4473" w:hanging="360"/>
      </w:pPr>
    </w:lvl>
    <w:lvl w:ilvl="5" w:tplc="0C09001B" w:tentative="1">
      <w:start w:val="1"/>
      <w:numFmt w:val="lowerRoman"/>
      <w:lvlText w:val="%6."/>
      <w:lvlJc w:val="right"/>
      <w:pPr>
        <w:ind w:left="5193" w:hanging="180"/>
      </w:pPr>
    </w:lvl>
    <w:lvl w:ilvl="6" w:tplc="0C09000F" w:tentative="1">
      <w:start w:val="1"/>
      <w:numFmt w:val="decimal"/>
      <w:lvlText w:val="%7."/>
      <w:lvlJc w:val="left"/>
      <w:pPr>
        <w:ind w:left="5913" w:hanging="360"/>
      </w:pPr>
    </w:lvl>
    <w:lvl w:ilvl="7" w:tplc="0C090019" w:tentative="1">
      <w:start w:val="1"/>
      <w:numFmt w:val="lowerLetter"/>
      <w:lvlText w:val="%8."/>
      <w:lvlJc w:val="left"/>
      <w:pPr>
        <w:ind w:left="6633" w:hanging="360"/>
      </w:pPr>
    </w:lvl>
    <w:lvl w:ilvl="8" w:tplc="0C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2" w15:restartNumberingAfterBreak="0">
    <w:nsid w:val="48EB1E3A"/>
    <w:multiLevelType w:val="hybridMultilevel"/>
    <w:tmpl w:val="6792EB5E"/>
    <w:lvl w:ilvl="0" w:tplc="0AAA7D1E">
      <w:start w:val="1"/>
      <w:numFmt w:val="lowerRoman"/>
      <w:lvlText w:val="(%1)"/>
      <w:lvlJc w:val="left"/>
      <w:pPr>
        <w:ind w:left="196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25" w:hanging="360"/>
      </w:pPr>
    </w:lvl>
    <w:lvl w:ilvl="2" w:tplc="0C09001B" w:tentative="1">
      <w:start w:val="1"/>
      <w:numFmt w:val="lowerRoman"/>
      <w:lvlText w:val="%3."/>
      <w:lvlJc w:val="right"/>
      <w:pPr>
        <w:ind w:left="3045" w:hanging="180"/>
      </w:pPr>
    </w:lvl>
    <w:lvl w:ilvl="3" w:tplc="0C09000F" w:tentative="1">
      <w:start w:val="1"/>
      <w:numFmt w:val="decimal"/>
      <w:lvlText w:val="%4."/>
      <w:lvlJc w:val="left"/>
      <w:pPr>
        <w:ind w:left="3765" w:hanging="360"/>
      </w:pPr>
    </w:lvl>
    <w:lvl w:ilvl="4" w:tplc="0C090019" w:tentative="1">
      <w:start w:val="1"/>
      <w:numFmt w:val="lowerLetter"/>
      <w:lvlText w:val="%5."/>
      <w:lvlJc w:val="left"/>
      <w:pPr>
        <w:ind w:left="4485" w:hanging="360"/>
      </w:pPr>
    </w:lvl>
    <w:lvl w:ilvl="5" w:tplc="0C09001B" w:tentative="1">
      <w:start w:val="1"/>
      <w:numFmt w:val="lowerRoman"/>
      <w:lvlText w:val="%6."/>
      <w:lvlJc w:val="right"/>
      <w:pPr>
        <w:ind w:left="5205" w:hanging="180"/>
      </w:pPr>
    </w:lvl>
    <w:lvl w:ilvl="6" w:tplc="0C09000F" w:tentative="1">
      <w:start w:val="1"/>
      <w:numFmt w:val="decimal"/>
      <w:lvlText w:val="%7."/>
      <w:lvlJc w:val="left"/>
      <w:pPr>
        <w:ind w:left="5925" w:hanging="360"/>
      </w:pPr>
    </w:lvl>
    <w:lvl w:ilvl="7" w:tplc="0C090019" w:tentative="1">
      <w:start w:val="1"/>
      <w:numFmt w:val="lowerLetter"/>
      <w:lvlText w:val="%8."/>
      <w:lvlJc w:val="left"/>
      <w:pPr>
        <w:ind w:left="6645" w:hanging="360"/>
      </w:pPr>
    </w:lvl>
    <w:lvl w:ilvl="8" w:tplc="0C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5DA00509"/>
    <w:multiLevelType w:val="hybridMultilevel"/>
    <w:tmpl w:val="95D82B4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B35E7"/>
    <w:multiLevelType w:val="hybridMultilevel"/>
    <w:tmpl w:val="598CBD6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D47E4"/>
    <w:multiLevelType w:val="hybridMultilevel"/>
    <w:tmpl w:val="42425138"/>
    <w:lvl w:ilvl="0" w:tplc="08BA04A4">
      <w:start w:val="1"/>
      <w:numFmt w:val="decimal"/>
      <w:lvlText w:val="(%1)"/>
      <w:lvlJc w:val="left"/>
      <w:pPr>
        <w:ind w:left="612" w:hanging="1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77" w:hanging="360"/>
      </w:pPr>
    </w:lvl>
    <w:lvl w:ilvl="2" w:tplc="0C09001B" w:tentative="1">
      <w:start w:val="1"/>
      <w:numFmt w:val="lowerRoman"/>
      <w:lvlText w:val="%3."/>
      <w:lvlJc w:val="right"/>
      <w:pPr>
        <w:ind w:left="2397" w:hanging="180"/>
      </w:pPr>
    </w:lvl>
    <w:lvl w:ilvl="3" w:tplc="0C09000F" w:tentative="1">
      <w:start w:val="1"/>
      <w:numFmt w:val="decimal"/>
      <w:lvlText w:val="%4."/>
      <w:lvlJc w:val="left"/>
      <w:pPr>
        <w:ind w:left="3117" w:hanging="360"/>
      </w:pPr>
    </w:lvl>
    <w:lvl w:ilvl="4" w:tplc="0C090019" w:tentative="1">
      <w:start w:val="1"/>
      <w:numFmt w:val="lowerLetter"/>
      <w:lvlText w:val="%5."/>
      <w:lvlJc w:val="left"/>
      <w:pPr>
        <w:ind w:left="3837" w:hanging="360"/>
      </w:pPr>
    </w:lvl>
    <w:lvl w:ilvl="5" w:tplc="0C09001B" w:tentative="1">
      <w:start w:val="1"/>
      <w:numFmt w:val="lowerRoman"/>
      <w:lvlText w:val="%6."/>
      <w:lvlJc w:val="right"/>
      <w:pPr>
        <w:ind w:left="4557" w:hanging="180"/>
      </w:pPr>
    </w:lvl>
    <w:lvl w:ilvl="6" w:tplc="0C09000F" w:tentative="1">
      <w:start w:val="1"/>
      <w:numFmt w:val="decimal"/>
      <w:lvlText w:val="%7."/>
      <w:lvlJc w:val="left"/>
      <w:pPr>
        <w:ind w:left="5277" w:hanging="360"/>
      </w:pPr>
    </w:lvl>
    <w:lvl w:ilvl="7" w:tplc="0C090019" w:tentative="1">
      <w:start w:val="1"/>
      <w:numFmt w:val="lowerLetter"/>
      <w:lvlText w:val="%8."/>
      <w:lvlJc w:val="left"/>
      <w:pPr>
        <w:ind w:left="5997" w:hanging="360"/>
      </w:pPr>
    </w:lvl>
    <w:lvl w:ilvl="8" w:tplc="0C09001B" w:tentative="1">
      <w:start w:val="1"/>
      <w:numFmt w:val="lowerRoman"/>
      <w:lvlText w:val="%9."/>
      <w:lvlJc w:val="right"/>
      <w:pPr>
        <w:ind w:left="671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7A"/>
    <w:rsid w:val="00066DE2"/>
    <w:rsid w:val="0007278E"/>
    <w:rsid w:val="000815DE"/>
    <w:rsid w:val="000F2DA6"/>
    <w:rsid w:val="001051CF"/>
    <w:rsid w:val="00120EAA"/>
    <w:rsid w:val="00126E2A"/>
    <w:rsid w:val="00145749"/>
    <w:rsid w:val="001513FA"/>
    <w:rsid w:val="001A591A"/>
    <w:rsid w:val="001B56AD"/>
    <w:rsid w:val="001D366C"/>
    <w:rsid w:val="00202B58"/>
    <w:rsid w:val="00233C94"/>
    <w:rsid w:val="002E227F"/>
    <w:rsid w:val="003E1081"/>
    <w:rsid w:val="003E58AE"/>
    <w:rsid w:val="00431991"/>
    <w:rsid w:val="00456D0C"/>
    <w:rsid w:val="004A087C"/>
    <w:rsid w:val="004A773C"/>
    <w:rsid w:val="004E6235"/>
    <w:rsid w:val="005078D2"/>
    <w:rsid w:val="00520832"/>
    <w:rsid w:val="00586609"/>
    <w:rsid w:val="005A587A"/>
    <w:rsid w:val="005B1ED6"/>
    <w:rsid w:val="005D369B"/>
    <w:rsid w:val="005F2A7E"/>
    <w:rsid w:val="006436E0"/>
    <w:rsid w:val="00651545"/>
    <w:rsid w:val="006646D3"/>
    <w:rsid w:val="006D1120"/>
    <w:rsid w:val="00774673"/>
    <w:rsid w:val="00795F42"/>
    <w:rsid w:val="007A637D"/>
    <w:rsid w:val="007E0D0D"/>
    <w:rsid w:val="007E25CD"/>
    <w:rsid w:val="007F6883"/>
    <w:rsid w:val="00807D58"/>
    <w:rsid w:val="0087202C"/>
    <w:rsid w:val="00885973"/>
    <w:rsid w:val="009351B4"/>
    <w:rsid w:val="00967CC2"/>
    <w:rsid w:val="00A2675C"/>
    <w:rsid w:val="00A548A8"/>
    <w:rsid w:val="00AA4FFF"/>
    <w:rsid w:val="00B13845"/>
    <w:rsid w:val="00B938DF"/>
    <w:rsid w:val="00BA59EC"/>
    <w:rsid w:val="00BB18F4"/>
    <w:rsid w:val="00C534DC"/>
    <w:rsid w:val="00D62AE3"/>
    <w:rsid w:val="00D844DA"/>
    <w:rsid w:val="00DC7776"/>
    <w:rsid w:val="00E06BE1"/>
    <w:rsid w:val="00E726DD"/>
    <w:rsid w:val="00EA1227"/>
    <w:rsid w:val="00EC50D1"/>
    <w:rsid w:val="00FA01FB"/>
    <w:rsid w:val="00FB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9CAEC"/>
  <w15:chartTrackingRefBased/>
  <w15:docId w15:val="{AE43003C-0298-471A-93A6-39AA3C7F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87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8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587A"/>
    <w:pPr>
      <w:tabs>
        <w:tab w:val="center" w:pos="4513"/>
        <w:tab w:val="right" w:pos="9026"/>
      </w:tabs>
    </w:pPr>
    <w:rPr>
      <w:rFonts w:eastAsiaTheme="minorEastAsia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5A587A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A587A"/>
    <w:pPr>
      <w:tabs>
        <w:tab w:val="center" w:pos="4513"/>
        <w:tab w:val="right" w:pos="9026"/>
      </w:tabs>
    </w:pPr>
    <w:rPr>
      <w:rFonts w:eastAsiaTheme="minorEastAsia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5A587A"/>
    <w:rPr>
      <w:rFonts w:eastAsiaTheme="minorEastAsia"/>
      <w:lang w:eastAsia="en-AU"/>
    </w:rPr>
  </w:style>
  <w:style w:type="paragraph" w:customStyle="1" w:styleId="LI-BodyTextParaa">
    <w:name w:val="LI - Body Text Para (a)"/>
    <w:basedOn w:val="Normal"/>
    <w:link w:val="LI-BodyTextParaaChar"/>
    <w:rsid w:val="005A587A"/>
    <w:pPr>
      <w:spacing w:before="240"/>
      <w:ind w:left="1701" w:hanging="567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ParaaChar">
    <w:name w:val="LI - Body Text Para (a) Char"/>
    <w:link w:val="LI-BodyTextParaa"/>
    <w:rsid w:val="005A587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Normal"/>
    <w:link w:val="LI-BodyTextNumberedChar"/>
    <w:qFormat/>
    <w:rsid w:val="005A587A"/>
    <w:pPr>
      <w:spacing w:before="240"/>
      <w:ind w:left="1134" w:hanging="567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NumberedChar">
    <w:name w:val="LI - Body Text Numbered Char"/>
    <w:link w:val="LI-BodyTextNumbered"/>
    <w:rsid w:val="005A587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Title">
    <w:name w:val="LI - Title"/>
    <w:basedOn w:val="Normal"/>
    <w:next w:val="Normal"/>
    <w:qFormat/>
    <w:rsid w:val="005A587A"/>
    <w:pPr>
      <w:pBdr>
        <w:top w:val="single" w:sz="4" w:space="1" w:color="auto"/>
      </w:pBdr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LI-Heading1">
    <w:name w:val="LI - Heading 1"/>
    <w:basedOn w:val="Normal"/>
    <w:next w:val="Normal"/>
    <w:qFormat/>
    <w:rsid w:val="005A587A"/>
    <w:pPr>
      <w:keepNext/>
      <w:keepLines/>
      <w:spacing w:before="280"/>
      <w:ind w:left="1134" w:hanging="1134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5A587A"/>
    <w:pPr>
      <w:keepNext/>
      <w:keepLines/>
      <w:spacing w:before="360"/>
      <w:ind w:left="567" w:hanging="567"/>
      <w:outlineLvl w:val="1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5A587A"/>
    <w:pPr>
      <w:spacing w:before="240"/>
      <w:ind w:left="1134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TOC1">
    <w:name w:val="toc 1"/>
    <w:basedOn w:val="Normal"/>
    <w:next w:val="Normal"/>
    <w:uiPriority w:val="39"/>
    <w:unhideWhenUsed/>
    <w:rsid w:val="005A587A"/>
    <w:pPr>
      <w:keepNext/>
      <w:keepLines/>
      <w:tabs>
        <w:tab w:val="right" w:pos="8278"/>
      </w:tabs>
      <w:spacing w:before="120"/>
      <w:ind w:left="1474" w:right="567" w:hanging="147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TOC2">
    <w:name w:val="toc 2"/>
    <w:basedOn w:val="Normal"/>
    <w:next w:val="Normal"/>
    <w:uiPriority w:val="39"/>
    <w:unhideWhenUsed/>
    <w:rsid w:val="005A587A"/>
    <w:pPr>
      <w:keepNext/>
      <w:keepLines/>
      <w:tabs>
        <w:tab w:val="right" w:leader="dot" w:pos="8278"/>
      </w:tabs>
      <w:spacing w:before="120"/>
      <w:ind w:left="851" w:hanging="284"/>
    </w:pPr>
    <w:rPr>
      <w:rFonts w:ascii="Times New Roman" w:eastAsia="Times New Roman" w:hAnsi="Times New Roman" w:cs="Times New Roman"/>
      <w:kern w:val="28"/>
      <w:sz w:val="24"/>
      <w:szCs w:val="20"/>
      <w:lang w:eastAsia="en-AU"/>
    </w:rPr>
  </w:style>
  <w:style w:type="paragraph" w:customStyle="1" w:styleId="LI-Fronttext">
    <w:name w:val="LI - Front text"/>
    <w:basedOn w:val="Normal"/>
    <w:next w:val="Normal"/>
    <w:rsid w:val="005A587A"/>
    <w:pPr>
      <w:spacing w:before="240" w:line="26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5A587A"/>
    <w:pPr>
      <w:spacing w:before="200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Footer">
    <w:name w:val="LI - Footer"/>
    <w:basedOn w:val="Normal"/>
    <w:link w:val="LI-FooterChar"/>
    <w:qFormat/>
    <w:rsid w:val="005A587A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rFonts w:ascii="Times New Roman" w:eastAsia="Calibri" w:hAnsi="Times New Roman" w:cs="Times New Roman"/>
      <w:i/>
      <w:sz w:val="18"/>
      <w:szCs w:val="20"/>
    </w:rPr>
  </w:style>
  <w:style w:type="character" w:customStyle="1" w:styleId="LI-BodyTextUnnumberedChar">
    <w:name w:val="LI - Body Text Unnumbered Char"/>
    <w:link w:val="LI-BodyTextUnnumbered"/>
    <w:rsid w:val="005A587A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FooterChar">
    <w:name w:val="LI - Footer Char"/>
    <w:link w:val="LI-Footer"/>
    <w:rsid w:val="005A587A"/>
    <w:rPr>
      <w:rFonts w:ascii="Times New Roman" w:eastAsia="Calibri" w:hAnsi="Times New Roman" w:cs="Times New Roman"/>
      <w:i/>
      <w:sz w:val="18"/>
      <w:szCs w:val="20"/>
    </w:rPr>
  </w:style>
  <w:style w:type="character" w:customStyle="1" w:styleId="LI-BodyTextNoteChar">
    <w:name w:val="LI - Body Text Note Char"/>
    <w:link w:val="LI-BodyTextNote"/>
    <w:rsid w:val="005A587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stB">
    <w:name w:val="ListB"/>
    <w:rsid w:val="005A587A"/>
    <w:pPr>
      <w:overflowPunct w:val="0"/>
      <w:autoSpaceDE w:val="0"/>
      <w:autoSpaceDN w:val="0"/>
      <w:adjustRightInd w:val="0"/>
      <w:spacing w:before="120" w:after="120" w:line="240" w:lineRule="auto"/>
      <w:ind w:left="850" w:hanging="425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-Header">
    <w:name w:val="LI - Header"/>
    <w:basedOn w:val="LI-Footer"/>
    <w:link w:val="LI-HeaderChar"/>
    <w:qFormat/>
    <w:rsid w:val="005A587A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5A587A"/>
    <w:rPr>
      <w:rFonts w:ascii="Times New Roman" w:eastAsia="Calibri" w:hAnsi="Times New Roman" w:cs="Times New Roman"/>
      <w:i/>
      <w:sz w:val="1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587A"/>
    <w:rPr>
      <w:rFonts w:eastAsiaTheme="minorEastAsia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587A"/>
    <w:rPr>
      <w:rFonts w:eastAsiaTheme="minorEastAsia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5A587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D3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6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6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63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://www.legislation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8e83bb0dc901e30dd4bddba9d405a43b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498df3a669fe9a849b24f0bdbdb11869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-1;#OFFICIAL - Sensitive|6eccc17f-024b-41b0-b6b1-faf98d2aff85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R20210000046497</RecordNumber>
    <ObjectiveID xmlns="da7a9ac0-bc47-4684-84e6-3a8e9ac80c12" xsi:nil="true"/>
    <IconOverlay xmlns="http://schemas.microsoft.com/sharepoint/v4" xsi:nil="true"/>
    <TaxCatchAll xmlns="6fdf923d-1605-456d-9034-49e4c2a6593d">
      <Value>11</Value>
    </TaxCatchAll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k274875fb6994245bc6e4e8c07243a23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5087C4-2672-4F6C-B22B-8F9393575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6fdf923d-1605-456d-9034-49e4c2a6593d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95FB91-0E7E-48F6-BCC5-F67C73F262CB}">
  <ds:schemaRefs>
    <ds:schemaRef ds:uri="http://purl.org/dc/elements/1.1/"/>
    <ds:schemaRef ds:uri="http://purl.org/dc/terms/"/>
    <ds:schemaRef ds:uri="da7a9ac0-bc47-4684-84e6-3a8e9ac80c12"/>
    <ds:schemaRef ds:uri="http://schemas.microsoft.com/office/2006/documentManagement/types"/>
    <ds:schemaRef ds:uri="http://schemas.microsoft.com/sharepoint/v4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7f478ab-373e-4295-9ff0-9b833ad01319"/>
    <ds:schemaRef ds:uri="6fdf923d-1605-456d-9034-49e4c2a6593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B578D21-BD4C-4087-BF1A-BF83BD0FD7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717</Words>
  <Characters>4088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Janani Lawson</dc:creator>
  <cp:keywords/>
  <dc:description/>
  <cp:lastModifiedBy>Narelle Kane</cp:lastModifiedBy>
  <cp:revision>2</cp:revision>
  <dcterms:created xsi:type="dcterms:W3CDTF">2021-05-04T23:17:00Z</dcterms:created>
  <dcterms:modified xsi:type="dcterms:W3CDTF">2021-05-04T23:17:00Z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0x010100B5F685A1365F544391EF8C813B164F3A003FC3A1FB886AA841B1151906BEDCBCDF</vt:lpwstr>
  </property>
  <property fmtid="{D5CDD505-2E9C-101B-9397-08002B2CF9AE}" pid="3" name="SecurityClassification">
    <vt:lpwstr>11;#OFFICIAL - Sensitive|6eccc17f-024b-41b0-b6b1-faf98d2aff85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UniqueId">
    <vt:lpwstr>{f5f9f3cf-5be2-429d-bde8-2b74be31fbdd}</vt:lpwstr>
  </property>
  <property fmtid="{D5CDD505-2E9C-101B-9397-08002B2CF9AE}" pid="6" name="RecordPoint_SubmissionCompleted">
    <vt:lpwstr>2021-04-26T10:56:34.7612952+10:00</vt:lpwstr>
  </property>
  <property fmtid="{D5CDD505-2E9C-101B-9397-08002B2CF9AE}" pid="7" name="RecordPoint_ActiveItemListId">
    <vt:lpwstr>{e8634c1b-1868-4a02-8de8-ef4b1316a551}</vt:lpwstr>
  </property>
  <property fmtid="{D5CDD505-2E9C-101B-9397-08002B2CF9AE}" pid="8" name="RecordPoint_ActiveItemWebId">
    <vt:lpwstr>{6fdf923d-1605-456d-9034-49e4c2a6593d}</vt:lpwstr>
  </property>
  <property fmtid="{D5CDD505-2E9C-101B-9397-08002B2CF9AE}" pid="9" name="RecordPoint_ActiveItemSiteId">
    <vt:lpwstr>{fa96e6fb-4129-44b7-b105-10ec3844cb78}</vt:lpwstr>
  </property>
  <property fmtid="{D5CDD505-2E9C-101B-9397-08002B2CF9AE}" pid="10" name="RecordPoint_SubmissionDate">
    <vt:lpwstr/>
  </property>
  <property fmtid="{D5CDD505-2E9C-101B-9397-08002B2CF9AE}" pid="11" name="RecordPoint_RecordNumberSubmitted">
    <vt:lpwstr>R20210000046497</vt:lpwstr>
  </property>
  <property fmtid="{D5CDD505-2E9C-101B-9397-08002B2CF9AE}" pid="12" name="RecordPoint_RecordFormat">
    <vt:lpwstr/>
  </property>
</Properties>
</file>