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EA2A4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0622182" w14:textId="77777777" w:rsidR="000342A9" w:rsidRPr="00EE2640" w:rsidRDefault="00D61B74">
      <w:pPr>
        <w:spacing w:line="200" w:lineRule="atLeast"/>
        <w:ind w:left="148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EE264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E2B2DA" wp14:editId="6AF43434">
            <wp:extent cx="3529379" cy="7440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379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C26FB" w14:textId="77777777" w:rsidR="000342A9" w:rsidRPr="00EE2640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05237" w14:textId="77777777" w:rsidR="000342A9" w:rsidRPr="00EE2640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3EC079" w14:textId="77777777" w:rsidR="000342A9" w:rsidRPr="00EE2640" w:rsidRDefault="000342A9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0E6AE084" w14:textId="77777777" w:rsidR="000342A9" w:rsidRPr="00EE2640" w:rsidRDefault="00D61B74">
      <w:pPr>
        <w:spacing w:before="49"/>
        <w:ind w:left="1881" w:right="1876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1" w:name="Bookmarks"/>
      <w:bookmarkEnd w:id="1"/>
      <w:r w:rsidRPr="00EE2640">
        <w:rPr>
          <w:rFonts w:ascii="Times New Roman"/>
          <w:b/>
          <w:spacing w:val="-1"/>
          <w:sz w:val="40"/>
        </w:rPr>
        <w:t>Explanatory</w:t>
      </w:r>
      <w:r w:rsidRPr="00EE2640">
        <w:rPr>
          <w:rFonts w:ascii="Times New Roman"/>
          <w:b/>
          <w:sz w:val="40"/>
        </w:rPr>
        <w:t xml:space="preserve"> </w:t>
      </w:r>
      <w:r w:rsidRPr="00EE2640">
        <w:rPr>
          <w:rFonts w:ascii="Times New Roman"/>
          <w:b/>
          <w:spacing w:val="-1"/>
          <w:sz w:val="40"/>
        </w:rPr>
        <w:t>Statement</w:t>
      </w:r>
    </w:p>
    <w:p w14:paraId="08C93278" w14:textId="08EEEA53" w:rsidR="00B86F16" w:rsidRPr="00EE2640" w:rsidRDefault="00B86F16" w:rsidP="003E3857">
      <w:pPr>
        <w:spacing w:before="232"/>
        <w:ind w:left="118"/>
        <w:jc w:val="center"/>
        <w:rPr>
          <w:rFonts w:ascii="Times New Roman"/>
          <w:b/>
          <w:bCs/>
          <w:i/>
          <w:iCs/>
          <w:sz w:val="28"/>
          <w:szCs w:val="28"/>
        </w:rPr>
      </w:pPr>
      <w:r w:rsidRPr="00EE2640">
        <w:rPr>
          <w:rFonts w:ascii="Times New Roman"/>
          <w:b/>
          <w:bCs/>
          <w:i/>
          <w:iCs/>
          <w:sz w:val="28"/>
          <w:szCs w:val="28"/>
        </w:rPr>
        <w:t>ASIC (Amendment) Instrument 2021/</w:t>
      </w:r>
      <w:r w:rsidR="00C8230E" w:rsidRPr="00EE2640">
        <w:rPr>
          <w:rFonts w:ascii="Times New Roman"/>
          <w:b/>
          <w:bCs/>
          <w:i/>
          <w:iCs/>
          <w:sz w:val="28"/>
          <w:szCs w:val="28"/>
        </w:rPr>
        <w:t>344</w:t>
      </w:r>
    </w:p>
    <w:p w14:paraId="20452A58" w14:textId="0E72E840" w:rsidR="000342A9" w:rsidRPr="00EE2640" w:rsidRDefault="00D61B74" w:rsidP="00131B0C">
      <w:pPr>
        <w:spacing w:before="232"/>
        <w:ind w:left="118"/>
        <w:rPr>
          <w:rFonts w:ascii="Times New Roman"/>
          <w:i/>
          <w:spacing w:val="-1"/>
          <w:sz w:val="24"/>
        </w:rPr>
      </w:pPr>
      <w:r w:rsidRPr="00EE2640">
        <w:rPr>
          <w:rFonts w:ascii="Times New Roman"/>
          <w:sz w:val="24"/>
        </w:rPr>
        <w:t>This</w:t>
      </w:r>
      <w:r w:rsidRPr="00EE2640">
        <w:rPr>
          <w:rFonts w:ascii="Times New Roman"/>
          <w:spacing w:val="-6"/>
          <w:sz w:val="24"/>
        </w:rPr>
        <w:t xml:space="preserve"> </w:t>
      </w:r>
      <w:r w:rsidRPr="00EE2640">
        <w:rPr>
          <w:rFonts w:ascii="Times New Roman"/>
          <w:sz w:val="24"/>
        </w:rPr>
        <w:t>is</w:t>
      </w:r>
      <w:r w:rsidRPr="00EE2640">
        <w:rPr>
          <w:rFonts w:ascii="Times New Roman"/>
          <w:spacing w:val="-6"/>
          <w:sz w:val="24"/>
        </w:rPr>
        <w:t xml:space="preserve"> </w:t>
      </w:r>
      <w:r w:rsidRPr="00EE2640">
        <w:rPr>
          <w:rFonts w:ascii="Times New Roman"/>
          <w:sz w:val="24"/>
        </w:rPr>
        <w:t>the</w:t>
      </w:r>
      <w:r w:rsidRPr="00EE2640">
        <w:rPr>
          <w:rFonts w:ascii="Times New Roman"/>
          <w:spacing w:val="-6"/>
          <w:sz w:val="24"/>
        </w:rPr>
        <w:t xml:space="preserve"> </w:t>
      </w:r>
      <w:r w:rsidRPr="00EE2640">
        <w:rPr>
          <w:rFonts w:ascii="Times New Roman"/>
          <w:sz w:val="24"/>
        </w:rPr>
        <w:t>Explanatory</w:t>
      </w:r>
      <w:r w:rsidRPr="00EE2640">
        <w:rPr>
          <w:rFonts w:ascii="Times New Roman"/>
          <w:spacing w:val="-12"/>
          <w:sz w:val="24"/>
        </w:rPr>
        <w:t xml:space="preserve"> </w:t>
      </w:r>
      <w:r w:rsidRPr="00EE2640">
        <w:rPr>
          <w:rFonts w:ascii="Times New Roman"/>
          <w:sz w:val="24"/>
        </w:rPr>
        <w:t>Statement</w:t>
      </w:r>
      <w:r w:rsidRPr="00EE2640">
        <w:rPr>
          <w:rFonts w:ascii="Times New Roman"/>
          <w:spacing w:val="-6"/>
          <w:sz w:val="24"/>
        </w:rPr>
        <w:t xml:space="preserve"> </w:t>
      </w:r>
      <w:r w:rsidRPr="00EE2640">
        <w:rPr>
          <w:rFonts w:ascii="Times New Roman"/>
          <w:spacing w:val="-1"/>
          <w:sz w:val="24"/>
        </w:rPr>
        <w:t>for</w:t>
      </w:r>
      <w:r w:rsidRPr="00EE2640">
        <w:rPr>
          <w:rFonts w:ascii="Times New Roman"/>
          <w:spacing w:val="-4"/>
          <w:sz w:val="24"/>
        </w:rPr>
        <w:t xml:space="preserve"> </w:t>
      </w:r>
      <w:r w:rsidRPr="00EE2640">
        <w:rPr>
          <w:rFonts w:ascii="Times New Roman"/>
          <w:i/>
          <w:spacing w:val="-1"/>
          <w:sz w:val="24"/>
        </w:rPr>
        <w:t>ASIC</w:t>
      </w:r>
      <w:r w:rsidRPr="00EE2640">
        <w:rPr>
          <w:rFonts w:ascii="Times New Roman"/>
          <w:i/>
          <w:spacing w:val="-3"/>
          <w:sz w:val="24"/>
        </w:rPr>
        <w:t xml:space="preserve"> </w:t>
      </w:r>
      <w:r w:rsidRPr="00EE2640">
        <w:rPr>
          <w:rFonts w:ascii="Times New Roman"/>
          <w:i/>
          <w:spacing w:val="-1"/>
          <w:sz w:val="24"/>
        </w:rPr>
        <w:t>(Amendment)</w:t>
      </w:r>
      <w:r w:rsidRPr="00EE2640">
        <w:rPr>
          <w:rFonts w:ascii="Times New Roman"/>
          <w:i/>
          <w:spacing w:val="-8"/>
          <w:sz w:val="24"/>
        </w:rPr>
        <w:t xml:space="preserve"> </w:t>
      </w:r>
      <w:r w:rsidRPr="00EE2640">
        <w:rPr>
          <w:rFonts w:ascii="Times New Roman"/>
          <w:i/>
          <w:spacing w:val="-1"/>
          <w:sz w:val="24"/>
        </w:rPr>
        <w:t>Instrument</w:t>
      </w:r>
      <w:r w:rsidR="004D2510" w:rsidRPr="00EE2640">
        <w:rPr>
          <w:rFonts w:ascii="Times New Roman"/>
          <w:i/>
          <w:spacing w:val="-1"/>
          <w:sz w:val="24"/>
        </w:rPr>
        <w:t xml:space="preserve"> 2021/</w:t>
      </w:r>
      <w:r w:rsidR="00C8230E" w:rsidRPr="00EE2640">
        <w:rPr>
          <w:rFonts w:ascii="Times New Roman"/>
          <w:i/>
          <w:spacing w:val="-1"/>
          <w:sz w:val="24"/>
        </w:rPr>
        <w:t>344</w:t>
      </w:r>
      <w:r w:rsidRPr="00EE2640">
        <w:rPr>
          <w:rFonts w:ascii="Times New Roman"/>
          <w:sz w:val="24"/>
        </w:rPr>
        <w:t>.</w:t>
      </w:r>
    </w:p>
    <w:p w14:paraId="187633D5" w14:textId="77777777" w:rsidR="000342A9" w:rsidRPr="00EE2640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9AF3F42" w14:textId="77777777" w:rsidR="000342A9" w:rsidRDefault="00D61B74">
      <w:pPr>
        <w:pStyle w:val="BodyText"/>
        <w:ind w:left="118" w:right="460" w:firstLine="0"/>
      </w:pPr>
      <w:r w:rsidRPr="00EE2640">
        <w:rPr>
          <w:spacing w:val="-1"/>
        </w:rPr>
        <w:t>The</w:t>
      </w:r>
      <w:r w:rsidRPr="00EE2640">
        <w:rPr>
          <w:spacing w:val="-6"/>
        </w:rPr>
        <w:t xml:space="preserve"> </w:t>
      </w:r>
      <w:r w:rsidRPr="00EE2640">
        <w:t>Explanatory</w:t>
      </w:r>
      <w:r w:rsidRPr="00EE2640">
        <w:rPr>
          <w:spacing w:val="-9"/>
        </w:rPr>
        <w:t xml:space="preserve"> </w:t>
      </w:r>
      <w:r w:rsidRPr="00EE2640">
        <w:t>Statement</w:t>
      </w:r>
      <w:r w:rsidRPr="00EE2640">
        <w:rPr>
          <w:spacing w:val="-4"/>
        </w:rPr>
        <w:t xml:space="preserve"> </w:t>
      </w:r>
      <w:r w:rsidRPr="00EE2640">
        <w:t>is</w:t>
      </w:r>
      <w:r w:rsidRPr="00EE2640">
        <w:rPr>
          <w:spacing w:val="-5"/>
        </w:rPr>
        <w:t xml:space="preserve"> </w:t>
      </w:r>
      <w:r w:rsidRPr="00EE2640">
        <w:rPr>
          <w:spacing w:val="-1"/>
        </w:rPr>
        <w:t>approved</w:t>
      </w:r>
      <w:r w:rsidRPr="00EE2640">
        <w:rPr>
          <w:spacing w:val="-4"/>
        </w:rPr>
        <w:t xml:space="preserve"> </w:t>
      </w:r>
      <w:r w:rsidRPr="00EE2640">
        <w:rPr>
          <w:spacing w:val="2"/>
        </w:rPr>
        <w:t>by</w:t>
      </w:r>
      <w:r w:rsidRPr="00EE2640">
        <w:rPr>
          <w:spacing w:val="-9"/>
        </w:rPr>
        <w:t xml:space="preserve"> </w:t>
      </w:r>
      <w:r w:rsidRPr="00EE2640">
        <w:t>the</w:t>
      </w:r>
      <w:r w:rsidRPr="00EE2640">
        <w:rPr>
          <w:spacing w:val="-3"/>
        </w:rPr>
        <w:t xml:space="preserve"> </w:t>
      </w:r>
      <w:r w:rsidRPr="00EE2640">
        <w:rPr>
          <w:spacing w:val="-1"/>
        </w:rPr>
        <w:t>Chairperson</w:t>
      </w:r>
      <w:r w:rsidRPr="00EE2640">
        <w:rPr>
          <w:spacing w:val="-5"/>
        </w:rPr>
        <w:t xml:space="preserve"> </w:t>
      </w:r>
      <w:r w:rsidRPr="00EE2640">
        <w:t>of</w:t>
      </w:r>
      <w:r w:rsidRPr="00EE2640">
        <w:rPr>
          <w:spacing w:val="-7"/>
        </w:rPr>
        <w:t xml:space="preserve"> </w:t>
      </w:r>
      <w:r w:rsidRPr="00EE2640">
        <w:t>the</w:t>
      </w:r>
      <w:r w:rsidRPr="00EE2640">
        <w:rPr>
          <w:spacing w:val="-5"/>
        </w:rPr>
        <w:t xml:space="preserve"> </w:t>
      </w:r>
      <w:r w:rsidRPr="00EE2640">
        <w:rPr>
          <w:spacing w:val="-1"/>
        </w:rPr>
        <w:t>Australian</w:t>
      </w:r>
      <w:r w:rsidRPr="00EE2640">
        <w:rPr>
          <w:spacing w:val="41"/>
        </w:rPr>
        <w:t xml:space="preserve"> </w:t>
      </w:r>
      <w:r w:rsidRPr="00EE2640">
        <w:rPr>
          <w:spacing w:val="-1"/>
        </w:rPr>
        <w:t>Securities</w:t>
      </w:r>
      <w:r w:rsidRPr="00EE2640">
        <w:rPr>
          <w:spacing w:val="-7"/>
        </w:rPr>
        <w:t xml:space="preserve"> </w:t>
      </w:r>
      <w:r w:rsidRPr="00EE2640">
        <w:rPr>
          <w:spacing w:val="-1"/>
        </w:rPr>
        <w:t>and</w:t>
      </w:r>
      <w:r w:rsidRPr="00EE2640">
        <w:rPr>
          <w:spacing w:val="-6"/>
        </w:rPr>
        <w:t xml:space="preserve"> </w:t>
      </w:r>
      <w:r w:rsidRPr="00EE2640">
        <w:rPr>
          <w:spacing w:val="-1"/>
        </w:rPr>
        <w:t>Investments</w:t>
      </w:r>
      <w:r w:rsidRPr="00EE2640">
        <w:rPr>
          <w:spacing w:val="-5"/>
        </w:rPr>
        <w:t xml:space="preserve"> </w:t>
      </w:r>
      <w:r w:rsidRPr="00EE2640">
        <w:rPr>
          <w:spacing w:val="-1"/>
        </w:rPr>
        <w:t>Commission</w:t>
      </w:r>
      <w:r w:rsidRPr="00EE2640">
        <w:rPr>
          <w:spacing w:val="-8"/>
        </w:rPr>
        <w:t xml:space="preserve"> </w:t>
      </w:r>
      <w:r w:rsidRPr="00EE2640">
        <w:rPr>
          <w:spacing w:val="-1"/>
        </w:rPr>
        <w:t>(</w:t>
      </w:r>
      <w:r w:rsidRPr="00EE2640">
        <w:rPr>
          <w:b/>
          <w:i/>
          <w:spacing w:val="-1"/>
        </w:rPr>
        <w:t>ASIC</w:t>
      </w:r>
      <w:r w:rsidRPr="00EE2640">
        <w:rPr>
          <w:spacing w:val="-1"/>
        </w:rPr>
        <w:t>).</w:t>
      </w:r>
    </w:p>
    <w:p w14:paraId="231A8864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4BEF2DC2" w14:textId="77777777" w:rsidR="000342A9" w:rsidRDefault="00D61B74">
      <w:pPr>
        <w:pStyle w:val="Heading1"/>
        <w:ind w:left="118"/>
        <w:rPr>
          <w:b w:val="0"/>
          <w:bCs w:val="0"/>
        </w:rPr>
      </w:pPr>
      <w:r>
        <w:rPr>
          <w:spacing w:val="-1"/>
        </w:rPr>
        <w:t>Summary</w:t>
      </w:r>
    </w:p>
    <w:p w14:paraId="31BB459E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0E2980" w14:textId="037E02E2" w:rsidR="00FE7A20" w:rsidRDefault="00D61B74" w:rsidP="00FE7A20">
      <w:pPr>
        <w:numPr>
          <w:ilvl w:val="0"/>
          <w:numId w:val="2"/>
        </w:numPr>
        <w:tabs>
          <w:tab w:val="left" w:pos="685"/>
        </w:tabs>
        <w:ind w:right="460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ASIC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(Senior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Members—Determination)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Instrument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2019/117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instrument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048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determining </w:t>
      </w:r>
      <w:r w:rsidR="00504818">
        <w:rPr>
          <w:rFonts w:ascii="Times New Roman" w:eastAsia="Times New Roman" w:hAnsi="Times New Roman" w:cs="Times New Roman"/>
          <w:sz w:val="24"/>
          <w:szCs w:val="24"/>
        </w:rPr>
        <w:t>certain new positions to be</w:t>
      </w:r>
      <w:r w:rsidR="00504818" w:rsidRPr="003E3857">
        <w:rPr>
          <w:rFonts w:ascii="Times New Roman" w:eastAsia="Times New Roman" w:hAnsi="Times New Roman" w:cs="Times New Roman"/>
          <w:sz w:val="24"/>
          <w:szCs w:val="24"/>
        </w:rPr>
        <w:t xml:space="preserve"> ‘senior staff member</w:t>
      </w:r>
      <w:r w:rsidR="00504818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4818" w:rsidRPr="003E3857">
        <w:rPr>
          <w:rFonts w:ascii="Times New Roman" w:eastAsia="Times New Roman" w:hAnsi="Times New Roman" w:cs="Times New Roman"/>
          <w:sz w:val="24"/>
          <w:szCs w:val="24"/>
        </w:rPr>
        <w:t xml:space="preserve">’ for the </w:t>
      </w:r>
      <w:r w:rsidR="00504818">
        <w:rPr>
          <w:rFonts w:ascii="Times New Roman" w:eastAsia="Times New Roman" w:hAnsi="Times New Roman" w:cs="Times New Roman"/>
          <w:sz w:val="24"/>
          <w:szCs w:val="24"/>
        </w:rPr>
        <w:t xml:space="preserve">limited </w:t>
      </w:r>
      <w:r w:rsidR="00504818" w:rsidRPr="003E3857">
        <w:rPr>
          <w:rFonts w:ascii="Times New Roman" w:eastAsia="Times New Roman" w:hAnsi="Times New Roman" w:cs="Times New Roman"/>
          <w:sz w:val="24"/>
          <w:szCs w:val="24"/>
        </w:rPr>
        <w:t xml:space="preserve">purposes of certain delegation provisions relating to the employment of ASIC staff under section 120 of the </w:t>
      </w:r>
      <w:r w:rsidR="004A743C">
        <w:rPr>
          <w:rFonts w:ascii="Times New Roman" w:eastAsia="Times New Roman" w:hAnsi="Times New Roman" w:cs="Times New Roman"/>
          <w:i/>
          <w:sz w:val="24"/>
          <w:szCs w:val="24"/>
        </w:rPr>
        <w:t>Australian</w:t>
      </w:r>
      <w:r w:rsidR="004A743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4A743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Securities</w:t>
      </w:r>
      <w:r w:rsidR="004A743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4A743C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4A743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4A743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Investments</w:t>
      </w:r>
      <w:r w:rsidR="004A743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4A743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Commission</w:t>
      </w:r>
      <w:r w:rsidR="004A743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4A743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Act</w:t>
      </w:r>
      <w:r w:rsidR="004A743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4A743C">
        <w:rPr>
          <w:rFonts w:ascii="Times New Roman" w:eastAsia="Times New Roman" w:hAnsi="Times New Roman" w:cs="Times New Roman"/>
          <w:i/>
          <w:sz w:val="24"/>
          <w:szCs w:val="24"/>
        </w:rPr>
        <w:t>2001</w:t>
      </w:r>
      <w:r w:rsidR="004A743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4A743C">
        <w:rPr>
          <w:rFonts w:ascii="Times New Roman" w:eastAsia="Times New Roman" w:hAnsi="Times New Roman" w:cs="Times New Roman"/>
          <w:sz w:val="24"/>
          <w:szCs w:val="24"/>
        </w:rPr>
        <w:t>(the</w:t>
      </w:r>
      <w:r w:rsidR="004A74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A743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ASIC</w:t>
      </w:r>
      <w:r w:rsidR="004A743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="004A743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Act</w:t>
      </w:r>
      <w:r w:rsidR="004A743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504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936E09" w14:textId="77777777" w:rsidR="000342A9" w:rsidRPr="00FE7A20" w:rsidRDefault="000342A9" w:rsidP="00FE7A20">
      <w:pPr>
        <w:tabs>
          <w:tab w:val="left" w:pos="685"/>
        </w:tabs>
        <w:ind w:left="684" w:right="460"/>
        <w:rPr>
          <w:rFonts w:ascii="Times New Roman" w:eastAsia="Times New Roman" w:hAnsi="Times New Roman" w:cs="Times New Roman"/>
          <w:sz w:val="24"/>
          <w:szCs w:val="24"/>
        </w:rPr>
      </w:pPr>
    </w:p>
    <w:p w14:paraId="17F11F12" w14:textId="77777777" w:rsidR="000342A9" w:rsidRDefault="00D61B74">
      <w:pPr>
        <w:pStyle w:val="Heading1"/>
        <w:ind w:left="118"/>
        <w:rPr>
          <w:b w:val="0"/>
          <w:bCs w:val="0"/>
        </w:rPr>
      </w:pPr>
      <w:r>
        <w:rPr>
          <w:spacing w:val="-1"/>
        </w:rP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</w:p>
    <w:p w14:paraId="1841BA2D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22EDFA" w14:textId="765C9FD6" w:rsidR="000342A9" w:rsidRPr="003E3857" w:rsidRDefault="00D61B74" w:rsidP="003E3857">
      <w:pPr>
        <w:pStyle w:val="BodyText"/>
        <w:numPr>
          <w:ilvl w:val="0"/>
          <w:numId w:val="2"/>
        </w:numPr>
        <w:tabs>
          <w:tab w:val="left" w:pos="685"/>
        </w:tabs>
        <w:ind w:right="673" w:hanging="566"/>
        <w:rPr>
          <w:rFonts w:cs="Times New Roman"/>
          <w:sz w:val="20"/>
          <w:szCs w:val="20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instrument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CA7C12" w:rsidRPr="00CA7C12">
        <w:rPr>
          <w:rFonts w:cs="Times New Roman"/>
          <w:spacing w:val="-2"/>
        </w:rPr>
        <w:t>facilitate the delegation of employment powers to certain staff within ASIC’s People and Development</w:t>
      </w:r>
      <w:r w:rsidR="00A37C65">
        <w:rPr>
          <w:rFonts w:cs="Times New Roman"/>
          <w:spacing w:val="-2"/>
        </w:rPr>
        <w:t>, Information Technology</w:t>
      </w:r>
      <w:r w:rsidR="00CB678F">
        <w:rPr>
          <w:rFonts w:cs="Times New Roman"/>
          <w:spacing w:val="-2"/>
        </w:rPr>
        <w:t xml:space="preserve"> </w:t>
      </w:r>
      <w:r w:rsidR="00A37C65">
        <w:rPr>
          <w:rFonts w:cs="Times New Roman"/>
          <w:spacing w:val="-2"/>
        </w:rPr>
        <w:t xml:space="preserve">and </w:t>
      </w:r>
      <w:r w:rsidR="004A743C">
        <w:rPr>
          <w:rFonts w:cs="Times New Roman"/>
          <w:spacing w:val="-2"/>
        </w:rPr>
        <w:t xml:space="preserve">Office of </w:t>
      </w:r>
      <w:r w:rsidR="00A37C65">
        <w:rPr>
          <w:rFonts w:cs="Times New Roman"/>
          <w:spacing w:val="-2"/>
        </w:rPr>
        <w:t>Enforcement</w:t>
      </w:r>
      <w:r w:rsidR="00CA7C12" w:rsidRPr="00CA7C12">
        <w:rPr>
          <w:rFonts w:cs="Times New Roman"/>
          <w:spacing w:val="-2"/>
        </w:rPr>
        <w:t xml:space="preserve"> </w:t>
      </w:r>
      <w:r w:rsidR="00A37C65">
        <w:rPr>
          <w:rFonts w:cs="Times New Roman"/>
          <w:spacing w:val="-2"/>
        </w:rPr>
        <w:t>t</w:t>
      </w:r>
      <w:r w:rsidR="00CA7C12" w:rsidRPr="00CA7C12">
        <w:rPr>
          <w:rFonts w:cs="Times New Roman"/>
          <w:spacing w:val="-2"/>
        </w:rPr>
        <w:t>eam</w:t>
      </w:r>
      <w:r w:rsidR="00A37C65">
        <w:rPr>
          <w:rFonts w:cs="Times New Roman"/>
          <w:spacing w:val="-2"/>
        </w:rPr>
        <w:t>s</w:t>
      </w:r>
      <w:r>
        <w:rPr>
          <w:rFonts w:cs="Times New Roman"/>
        </w:rPr>
        <w:t>.</w:t>
      </w:r>
    </w:p>
    <w:p w14:paraId="3C12D219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912D9C8" w14:textId="77777777" w:rsidR="000342A9" w:rsidRDefault="00D61B74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Consultation</w:t>
      </w:r>
    </w:p>
    <w:p w14:paraId="23399930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B67D82" w14:textId="77777777" w:rsidR="000342A9" w:rsidRDefault="00D61B74">
      <w:pPr>
        <w:numPr>
          <w:ilvl w:val="0"/>
          <w:numId w:val="2"/>
        </w:numPr>
        <w:tabs>
          <w:tab w:val="left" w:pos="705"/>
        </w:tabs>
        <w:ind w:left="704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17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Legislation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2003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before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</w:p>
    <w:p w14:paraId="3AF9D179" w14:textId="77777777" w:rsidR="000342A9" w:rsidRDefault="00D61B74" w:rsidP="003E3857">
      <w:pPr>
        <w:pStyle w:val="BodyText"/>
        <w:tabs>
          <w:tab w:val="left" w:pos="685"/>
        </w:tabs>
        <w:ind w:left="684" w:right="673" w:firstLine="0"/>
      </w:pPr>
      <w:r>
        <w:rPr>
          <w:spacing w:val="-1"/>
        </w:rPr>
        <w:t>legislative</w:t>
      </w:r>
      <w:r>
        <w:rPr>
          <w:spacing w:val="-7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made,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rule-maker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satisfied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undertaken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rule-maker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71"/>
          <w:w w:val="99"/>
        </w:rPr>
        <w:t xml:space="preserve"> </w:t>
      </w:r>
      <w:r>
        <w:rPr>
          <w:spacing w:val="-1"/>
        </w:rPr>
        <w:t>appropriate,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reasonably</w:t>
      </w:r>
      <w:r>
        <w:rPr>
          <w:spacing w:val="-10"/>
        </w:rPr>
        <w:t xml:space="preserve"> </w:t>
      </w:r>
      <w:r>
        <w:rPr>
          <w:spacing w:val="-1"/>
        </w:rPr>
        <w:t>practicable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undertake.</w:t>
      </w:r>
    </w:p>
    <w:p w14:paraId="1CE5E281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A2F36A5" w14:textId="77777777" w:rsidR="000342A9" w:rsidRDefault="00D61B74">
      <w:pPr>
        <w:pStyle w:val="BodyText"/>
        <w:numPr>
          <w:ilvl w:val="0"/>
          <w:numId w:val="2"/>
        </w:numPr>
        <w:tabs>
          <w:tab w:val="left" w:pos="705"/>
        </w:tabs>
        <w:ind w:left="704" w:right="201" w:hanging="566"/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t>determining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consultation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undertaken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rule-maker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matter,</w:t>
      </w:r>
      <w:r>
        <w:rPr>
          <w:spacing w:val="-4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to</w:t>
      </w:r>
      <w:r>
        <w:rPr>
          <w:spacing w:val="46"/>
          <w:w w:val="99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t>drew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37"/>
          <w:w w:val="99"/>
        </w:rPr>
        <w:t xml:space="preserve"> </w:t>
      </w:r>
      <w:r>
        <w:rPr>
          <w:spacing w:val="-1"/>
        </w:rPr>
        <w:t>fields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1"/>
        </w:rPr>
        <w:t>instrument.</w:t>
      </w:r>
    </w:p>
    <w:p w14:paraId="4050323B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B6AC640" w14:textId="0E32B5AE" w:rsidR="000342A9" w:rsidRPr="008916A2" w:rsidRDefault="00D61B74" w:rsidP="008916A2">
      <w:pPr>
        <w:pStyle w:val="BodyText"/>
        <w:numPr>
          <w:ilvl w:val="0"/>
          <w:numId w:val="2"/>
        </w:numPr>
        <w:tabs>
          <w:tab w:val="left" w:pos="705"/>
        </w:tabs>
        <w:ind w:left="704" w:right="201" w:hanging="566"/>
        <w:rPr>
          <w:spacing w:val="-2"/>
        </w:rPr>
      </w:pPr>
      <w:r w:rsidRPr="008916A2">
        <w:rPr>
          <w:spacing w:val="-2"/>
        </w:rPr>
        <w:t xml:space="preserve">No consultation was undertaken prior to the making of this amending legislative instrument. The reason why no consultation was undertaken is because consultation would be inappropriate given the </w:t>
      </w:r>
      <w:r w:rsidR="00D94A60">
        <w:rPr>
          <w:spacing w:val="-2"/>
        </w:rPr>
        <w:t>mechanical</w:t>
      </w:r>
      <w:r w:rsidR="00D94A60" w:rsidRPr="008916A2">
        <w:rPr>
          <w:spacing w:val="-2"/>
        </w:rPr>
        <w:t xml:space="preserve"> </w:t>
      </w:r>
      <w:r w:rsidRPr="008916A2">
        <w:rPr>
          <w:spacing w:val="-2"/>
        </w:rPr>
        <w:t>nature of this</w:t>
      </w:r>
      <w:r w:rsidR="00A37C65" w:rsidRPr="008916A2">
        <w:rPr>
          <w:spacing w:val="-2"/>
        </w:rPr>
        <w:t xml:space="preserve"> </w:t>
      </w:r>
      <w:r w:rsidRPr="008916A2">
        <w:rPr>
          <w:spacing w:val="-2"/>
        </w:rPr>
        <w:t xml:space="preserve">legislative instrument. This legislative instrument deals with the identification of certain staff members in </w:t>
      </w:r>
      <w:r w:rsidRPr="00A37C65">
        <w:rPr>
          <w:spacing w:val="-2"/>
        </w:rPr>
        <w:t>ASIC</w:t>
      </w:r>
      <w:r w:rsidRPr="008916A2">
        <w:rPr>
          <w:spacing w:val="-2"/>
        </w:rPr>
        <w:t xml:space="preserve"> who are</w:t>
      </w:r>
      <w:r w:rsidRPr="00A37C65">
        <w:rPr>
          <w:spacing w:val="-2"/>
        </w:rPr>
        <w:t xml:space="preserve"> </w:t>
      </w:r>
      <w:r w:rsidRPr="008916A2">
        <w:rPr>
          <w:spacing w:val="-2"/>
        </w:rPr>
        <w:t>considered appropriate to be delegated</w:t>
      </w:r>
      <w:r w:rsidR="002865E1" w:rsidRPr="008916A2">
        <w:rPr>
          <w:spacing w:val="-2"/>
        </w:rPr>
        <w:t xml:space="preserve"> certain</w:t>
      </w:r>
      <w:r w:rsidRPr="008916A2">
        <w:rPr>
          <w:spacing w:val="-2"/>
        </w:rPr>
        <w:t xml:space="preserve"> powers that have been conferred on</w:t>
      </w:r>
      <w:r w:rsidR="000B3849" w:rsidRPr="008916A2">
        <w:rPr>
          <w:spacing w:val="-2"/>
        </w:rPr>
        <w:t xml:space="preserve"> ASIC,</w:t>
      </w:r>
      <w:r w:rsidRPr="008916A2">
        <w:rPr>
          <w:spacing w:val="-2"/>
        </w:rPr>
        <w:t xml:space="preserve"> ASIC’s Chairperson</w:t>
      </w:r>
      <w:r w:rsidR="000B3849" w:rsidRPr="008916A2">
        <w:rPr>
          <w:spacing w:val="-2"/>
        </w:rPr>
        <w:t xml:space="preserve"> and the relevant Minister</w:t>
      </w:r>
      <w:r w:rsidRPr="008916A2">
        <w:rPr>
          <w:spacing w:val="-2"/>
        </w:rPr>
        <w:t>.</w:t>
      </w:r>
    </w:p>
    <w:p w14:paraId="3A4455B9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A997731" w14:textId="77777777" w:rsidR="000342A9" w:rsidRDefault="00D61B74">
      <w:pPr>
        <w:pStyle w:val="Heading1"/>
        <w:rPr>
          <w:b w:val="0"/>
          <w:bCs w:val="0"/>
        </w:rPr>
      </w:pPr>
      <w:r>
        <w:rPr>
          <w:spacing w:val="-1"/>
        </w:rP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</w:p>
    <w:p w14:paraId="1C7E7C9A" w14:textId="77777777" w:rsidR="000342A9" w:rsidRDefault="000342A9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FD5E40" w14:textId="51EAF811" w:rsidR="00FE57BB" w:rsidRPr="00510984" w:rsidRDefault="00FE57BB" w:rsidP="00FE57BB">
      <w:pPr>
        <w:pStyle w:val="BodyText"/>
        <w:numPr>
          <w:ilvl w:val="0"/>
          <w:numId w:val="2"/>
        </w:numPr>
        <w:tabs>
          <w:tab w:val="left" w:pos="705"/>
        </w:tabs>
        <w:ind w:left="704" w:right="234" w:hanging="566"/>
      </w:pPr>
      <w:r w:rsidRPr="00FE57BB">
        <w:lastRenderedPageBreak/>
        <w:t xml:space="preserve">Item </w:t>
      </w:r>
      <w:r w:rsidR="004068B2">
        <w:t>1</w:t>
      </w:r>
      <w:r w:rsidRPr="00FE57BB">
        <w:t xml:space="preserve"> of Schedule 1 to the amending legislative instrument determines that staff holding particular positions, being Heads within ASIC’s People and Development </w:t>
      </w:r>
      <w:r w:rsidR="00125123">
        <w:t xml:space="preserve">and Information Technology </w:t>
      </w:r>
      <w:r w:rsidR="00B2390F">
        <w:t>t</w:t>
      </w:r>
      <w:r w:rsidRPr="00FE57BB">
        <w:t>eam</w:t>
      </w:r>
      <w:r w:rsidR="00125123">
        <w:t>s and Group Senior Managers in ASIC’s Office of Enforcement</w:t>
      </w:r>
      <w:r w:rsidRPr="00FE57BB">
        <w:t>, are ‘senior staff members’ for purposes relating to the employment of ASIC staff under section 120 of the ASIC Act</w:t>
      </w:r>
      <w:r w:rsidRPr="00510984">
        <w:t xml:space="preserve">. The determination is considered appropriate because it </w:t>
      </w:r>
      <w:r w:rsidR="00510984" w:rsidRPr="00C730A6">
        <w:t>ensures that following internal restructure</w:t>
      </w:r>
      <w:r w:rsidR="008F6DAC">
        <w:t>s</w:t>
      </w:r>
      <w:r w:rsidR="00510984" w:rsidRPr="00C730A6">
        <w:t xml:space="preserve"> within ASIC, certain staff members </w:t>
      </w:r>
      <w:r w:rsidR="008F6DAC" w:rsidRPr="008F6DAC">
        <w:t>at an appropriate level of seniority can perform human resources functions including signing, varying and terminating employment contracts.</w:t>
      </w:r>
    </w:p>
    <w:p w14:paraId="35E8C529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DE0937B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Commencement</w:t>
      </w:r>
    </w:p>
    <w:p w14:paraId="6B86AA80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847E205" w14:textId="6969E290" w:rsidR="000342A9" w:rsidRDefault="00D61B74">
      <w:pPr>
        <w:pStyle w:val="BodyText"/>
        <w:numPr>
          <w:ilvl w:val="0"/>
          <w:numId w:val="2"/>
        </w:numPr>
        <w:tabs>
          <w:tab w:val="left" w:pos="705"/>
        </w:tabs>
        <w:spacing w:before="69"/>
        <w:ind w:left="704" w:right="645" w:hanging="566"/>
      </w:pPr>
      <w:r>
        <w:t>This</w:t>
      </w:r>
      <w:r>
        <w:rPr>
          <w:spacing w:val="-6"/>
        </w:rPr>
        <w:t xml:space="preserve"> </w:t>
      </w:r>
      <w:r w:rsidR="008625EF">
        <w:rPr>
          <w:spacing w:val="-6"/>
        </w:rPr>
        <w:t xml:space="preserve">legislative </w:t>
      </w:r>
      <w:r>
        <w:t>instrument</w:t>
      </w:r>
      <w:r>
        <w:rPr>
          <w:spacing w:val="-6"/>
        </w:rPr>
        <w:t xml:space="preserve"> </w:t>
      </w:r>
      <w:r>
        <w:rPr>
          <w:spacing w:val="-1"/>
        </w:rPr>
        <w:t>commences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day</w:t>
      </w:r>
      <w:r>
        <w:rPr>
          <w:spacing w:val="-10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 w:rsidR="000B5D9A">
        <w:rPr>
          <w:spacing w:val="-5"/>
        </w:rPr>
        <w:t xml:space="preserve">it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registered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Register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Legislation</w:t>
      </w:r>
      <w:r>
        <w:t>.</w:t>
      </w:r>
    </w:p>
    <w:p w14:paraId="68B6947C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F6B3B81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Incorporation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by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reference</w:t>
      </w:r>
    </w:p>
    <w:p w14:paraId="0FD69144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872EE76" w14:textId="24E5B334" w:rsidR="000342A9" w:rsidRDefault="00D61B74" w:rsidP="003E3857">
      <w:pPr>
        <w:pStyle w:val="BodyText"/>
        <w:numPr>
          <w:ilvl w:val="0"/>
          <w:numId w:val="2"/>
        </w:numPr>
        <w:tabs>
          <w:tab w:val="left" w:pos="705"/>
        </w:tabs>
        <w:spacing w:before="69"/>
        <w:ind w:left="704" w:hanging="566"/>
        <w:rPr>
          <w:sz w:val="18"/>
          <w:szCs w:val="18"/>
        </w:rPr>
      </w:pPr>
      <w:r>
        <w:t>This</w:t>
      </w:r>
      <w:r>
        <w:rPr>
          <w:spacing w:val="-8"/>
        </w:rPr>
        <w:t xml:space="preserve"> </w:t>
      </w:r>
      <w:r>
        <w:rPr>
          <w:spacing w:val="-1"/>
        </w:rPr>
        <w:t>legislative</w:t>
      </w:r>
      <w:r>
        <w:rPr>
          <w:spacing w:val="-7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incorporate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reference.</w:t>
      </w:r>
    </w:p>
    <w:p w14:paraId="26FA1530" w14:textId="77777777" w:rsidR="000342A9" w:rsidRDefault="000342A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630B87EF" w14:textId="77777777" w:rsidR="000342A9" w:rsidRDefault="00D61B74">
      <w:pPr>
        <w:pStyle w:val="BodyText"/>
        <w:spacing w:before="69"/>
        <w:ind w:left="138" w:firstLine="0"/>
      </w:pPr>
      <w:r>
        <w:rPr>
          <w:spacing w:val="-1"/>
          <w:u w:val="single" w:color="000000"/>
        </w:rPr>
        <w:t>Retrospective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application</w:t>
      </w:r>
    </w:p>
    <w:p w14:paraId="4C6AD030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8C19EA6" w14:textId="77777777" w:rsidR="000342A9" w:rsidRDefault="00D61B74">
      <w:pPr>
        <w:pStyle w:val="BodyText"/>
        <w:numPr>
          <w:ilvl w:val="0"/>
          <w:numId w:val="2"/>
        </w:numPr>
        <w:tabs>
          <w:tab w:val="left" w:pos="705"/>
        </w:tabs>
        <w:spacing w:before="69"/>
        <w:ind w:left="704" w:hanging="566"/>
      </w:pPr>
      <w:r>
        <w:t>This</w:t>
      </w:r>
      <w:r>
        <w:rPr>
          <w:spacing w:val="-9"/>
        </w:rPr>
        <w:t xml:space="preserve"> </w:t>
      </w:r>
      <w:r>
        <w:rPr>
          <w:spacing w:val="-1"/>
        </w:rPr>
        <w:t>legislative</w:t>
      </w:r>
      <w:r>
        <w:rPr>
          <w:spacing w:val="-8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t>retrospective</w:t>
      </w:r>
      <w:r>
        <w:rPr>
          <w:spacing w:val="-8"/>
        </w:rPr>
        <w:t xml:space="preserve"> </w:t>
      </w:r>
      <w:r>
        <w:rPr>
          <w:spacing w:val="-1"/>
        </w:rPr>
        <w:t>application.</w:t>
      </w:r>
    </w:p>
    <w:p w14:paraId="76F01EA4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74D47FB2" w14:textId="77777777" w:rsidR="000342A9" w:rsidRDefault="00D61B74">
      <w:pPr>
        <w:pStyle w:val="Heading1"/>
        <w:rPr>
          <w:b w:val="0"/>
          <w:bCs w:val="0"/>
        </w:rPr>
      </w:pPr>
      <w:r>
        <w:t>Legislative</w:t>
      </w:r>
      <w:r>
        <w:rPr>
          <w:spacing w:val="-16"/>
        </w:rPr>
        <w:t xml:space="preserve"> </w:t>
      </w:r>
      <w:r>
        <w:rPr>
          <w:spacing w:val="-1"/>
        </w:rPr>
        <w:t>authority</w:t>
      </w:r>
    </w:p>
    <w:p w14:paraId="1733D544" w14:textId="77777777" w:rsidR="000342A9" w:rsidRDefault="000342A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794F06" w14:textId="207B3DB5" w:rsidR="00D91427" w:rsidRDefault="00D61B74" w:rsidP="00664092">
      <w:pPr>
        <w:pStyle w:val="BodyText"/>
        <w:numPr>
          <w:ilvl w:val="0"/>
          <w:numId w:val="2"/>
        </w:numPr>
        <w:tabs>
          <w:tab w:val="left" w:pos="705"/>
        </w:tabs>
        <w:ind w:left="704" w:right="345" w:hanging="566"/>
      </w:pPr>
      <w:r>
        <w:t>This</w:t>
      </w:r>
      <w:r w:rsidRPr="003E3857">
        <w:t xml:space="preserve"> legislative </w:t>
      </w:r>
      <w:r>
        <w:t>instrument</w:t>
      </w:r>
      <w:r w:rsidRPr="003E3857">
        <w:t xml:space="preserve"> </w:t>
      </w:r>
      <w:r>
        <w:t>is</w:t>
      </w:r>
      <w:r w:rsidRPr="003E3857">
        <w:t xml:space="preserve"> </w:t>
      </w:r>
      <w:r>
        <w:t>made</w:t>
      </w:r>
      <w:r w:rsidRPr="003E3857">
        <w:t xml:space="preserve"> </w:t>
      </w:r>
      <w:r>
        <w:t>under</w:t>
      </w:r>
      <w:r w:rsidRPr="003E3857">
        <w:t xml:space="preserve"> section </w:t>
      </w:r>
      <w:r>
        <w:t>122A</w:t>
      </w:r>
      <w:r w:rsidRPr="003E3857">
        <w:t xml:space="preserve"> </w:t>
      </w:r>
      <w:r>
        <w:t>of</w:t>
      </w:r>
      <w:r w:rsidRPr="003E3857">
        <w:t xml:space="preserve"> </w:t>
      </w:r>
      <w:r>
        <w:t>the</w:t>
      </w:r>
      <w:r w:rsidRPr="003E3857">
        <w:t xml:space="preserve"> ASIC Act. </w:t>
      </w:r>
    </w:p>
    <w:p w14:paraId="32FB0F90" w14:textId="77777777" w:rsidR="00664092" w:rsidRPr="003E3857" w:rsidRDefault="00664092" w:rsidP="003E3857">
      <w:pPr>
        <w:pStyle w:val="BodyText"/>
        <w:tabs>
          <w:tab w:val="left" w:pos="705"/>
        </w:tabs>
        <w:ind w:right="345" w:firstLine="0"/>
      </w:pPr>
    </w:p>
    <w:p w14:paraId="5F2B718F" w14:textId="48EE083E" w:rsidR="00664092" w:rsidRPr="003E3857" w:rsidRDefault="00664092" w:rsidP="003E3857">
      <w:pPr>
        <w:pStyle w:val="BodyText"/>
        <w:numPr>
          <w:ilvl w:val="0"/>
          <w:numId w:val="2"/>
        </w:numPr>
        <w:tabs>
          <w:tab w:val="left" w:pos="705"/>
        </w:tabs>
        <w:ind w:left="704" w:right="345" w:hanging="566"/>
      </w:pPr>
      <w:r w:rsidRPr="003E3857">
        <w:t xml:space="preserve">This legislative instrument is also an amending instrument. Subsection 33(3) of the </w:t>
      </w:r>
      <w:r>
        <w:rPr>
          <w:i/>
          <w:iCs/>
        </w:rPr>
        <w:t>Acts Interpretation Act 1901</w:t>
      </w:r>
      <w:r w:rsidRPr="003E3857">
        <w:rPr>
          <w:rStyle w:val="FootnoteReference"/>
        </w:rPr>
        <w:footnoteReference w:id="1"/>
      </w:r>
      <w:r w:rsidRPr="003E3857">
        <w:t xml:space="preserve"> states that where an Act confers a power to make an instrument, the power is to be construed as including a power exercisable in the like manner and subject to the like conditions (if any) to amend any such instrument.</w:t>
      </w:r>
    </w:p>
    <w:p w14:paraId="5C4CB36D" w14:textId="77777777" w:rsidR="000342A9" w:rsidRDefault="000342A9" w:rsidP="00B86F16">
      <w:pPr>
        <w:pStyle w:val="BodyText"/>
        <w:tabs>
          <w:tab w:val="left" w:pos="705"/>
        </w:tabs>
        <w:spacing w:line="276" w:lineRule="exact"/>
        <w:ind w:left="117" w:right="645" w:firstLine="0"/>
        <w:rPr>
          <w:rFonts w:cs="Times New Roman"/>
          <w:sz w:val="21"/>
          <w:szCs w:val="21"/>
        </w:rPr>
      </w:pPr>
    </w:p>
    <w:p w14:paraId="058C37B7" w14:textId="77777777" w:rsidR="000342A9" w:rsidRDefault="00D61B74">
      <w:pPr>
        <w:pStyle w:val="Heading1"/>
        <w:rPr>
          <w:b w:val="0"/>
          <w:bCs w:val="0"/>
        </w:rPr>
      </w:pPr>
      <w:r>
        <w:rPr>
          <w:spacing w:val="-1"/>
        </w:rP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compatibility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human</w:t>
      </w:r>
      <w:r>
        <w:rPr>
          <w:spacing w:val="-4"/>
        </w:rPr>
        <w:t xml:space="preserve"> </w:t>
      </w:r>
      <w:r>
        <w:t>rights</w:t>
      </w:r>
    </w:p>
    <w:p w14:paraId="6F421629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5902F4" w14:textId="77777777" w:rsidR="000342A9" w:rsidRDefault="00D61B74">
      <w:pPr>
        <w:pStyle w:val="BodyText"/>
        <w:numPr>
          <w:ilvl w:val="0"/>
          <w:numId w:val="2"/>
        </w:numPr>
        <w:tabs>
          <w:tab w:val="left" w:pos="705"/>
        </w:tabs>
        <w:ind w:left="704" w:hanging="566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Compatibility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  <w:u w:val="single" w:color="000000"/>
        </w:rPr>
        <w:t>Attachment</w:t>
      </w:r>
      <w:r>
        <w:rPr>
          <w:spacing w:val="-1"/>
        </w:rPr>
        <w:t>.</w:t>
      </w:r>
    </w:p>
    <w:p w14:paraId="52D31F62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0BA3CA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9751B9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F15DE3" w14:textId="77777777" w:rsidR="000342A9" w:rsidRDefault="000342A9" w:rsidP="003E3857">
      <w:pPr>
        <w:rPr>
          <w:rFonts w:ascii="Times New Roman" w:eastAsia="Times New Roman" w:hAnsi="Times New Roman" w:cs="Times New Roman"/>
        </w:rPr>
        <w:sectPr w:rsidR="000342A9">
          <w:footerReference w:type="default" r:id="rId9"/>
          <w:pgSz w:w="11910" w:h="16840"/>
          <w:pgMar w:top="1260" w:right="1680" w:bottom="560" w:left="1660" w:header="1075" w:footer="363" w:gutter="0"/>
          <w:cols w:space="720"/>
        </w:sectPr>
      </w:pPr>
    </w:p>
    <w:p w14:paraId="3BB4D654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38F31CE" w14:textId="77777777" w:rsidR="000342A9" w:rsidRDefault="00D61B74" w:rsidP="003E3857">
      <w:pPr>
        <w:ind w:left="138" w:right="201"/>
        <w:jc w:val="right"/>
      </w:pPr>
      <w:r w:rsidRPr="003E3857">
        <w:rPr>
          <w:rFonts w:ascii="Times New Roman"/>
          <w:sz w:val="24"/>
          <w:u w:val="single"/>
        </w:rPr>
        <w:t>Attachment</w:t>
      </w:r>
    </w:p>
    <w:p w14:paraId="4776703F" w14:textId="77777777" w:rsidR="000342A9" w:rsidRDefault="000342A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5BCF482" w14:textId="77777777" w:rsidR="000342A9" w:rsidRDefault="00D61B74">
      <w:pPr>
        <w:spacing w:before="64"/>
        <w:ind w:left="14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Statement</w:t>
      </w:r>
      <w:r>
        <w:rPr>
          <w:rFonts w:ascii="Times New Roman"/>
          <w:b/>
          <w:sz w:val="28"/>
        </w:rPr>
        <w:t xml:space="preserve"> of </w:t>
      </w:r>
      <w:r>
        <w:rPr>
          <w:rFonts w:ascii="Times New Roman"/>
          <w:b/>
          <w:spacing w:val="-2"/>
          <w:sz w:val="28"/>
        </w:rPr>
        <w:t>Compatibility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with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Human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Rights</w:t>
      </w:r>
    </w:p>
    <w:p w14:paraId="5CFCEDFA" w14:textId="77777777" w:rsidR="000342A9" w:rsidRDefault="000342A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4265FC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14:paraId="044F7068" w14:textId="77777777" w:rsidR="000342A9" w:rsidRDefault="00D61B74">
      <w:pPr>
        <w:ind w:left="138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Statement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Compatibility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Human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Rights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prepared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20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Human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Rights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(Parliamentary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Scrutiny)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2011</w:t>
      </w:r>
      <w:r>
        <w:rPr>
          <w:rFonts w:ascii="Times New Roman"/>
          <w:sz w:val="24"/>
        </w:rPr>
        <w:t>.</w:t>
      </w:r>
    </w:p>
    <w:p w14:paraId="769802FF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40B7D9D6" w14:textId="358DD31C" w:rsidR="000342A9" w:rsidRDefault="00D61B74">
      <w:pPr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ASIC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(Amendment)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Instrument</w:t>
      </w:r>
      <w:r>
        <w:rPr>
          <w:rFonts w:ascii="Times New Roman"/>
          <w:b/>
          <w:i/>
          <w:spacing w:val="-6"/>
          <w:sz w:val="24"/>
        </w:rPr>
        <w:t xml:space="preserve"> </w:t>
      </w:r>
      <w:r w:rsidR="000261CC" w:rsidRPr="000261CC">
        <w:rPr>
          <w:rFonts w:ascii="Times New Roman"/>
          <w:b/>
          <w:i/>
          <w:spacing w:val="-6"/>
          <w:sz w:val="24"/>
        </w:rPr>
        <w:t>2021/</w:t>
      </w:r>
      <w:r w:rsidR="00C8230E">
        <w:rPr>
          <w:rFonts w:ascii="Times New Roman"/>
          <w:b/>
          <w:i/>
          <w:spacing w:val="-6"/>
          <w:sz w:val="24"/>
        </w:rPr>
        <w:t>344</w:t>
      </w:r>
    </w:p>
    <w:p w14:paraId="682CC17A" w14:textId="77777777" w:rsidR="000342A9" w:rsidRDefault="000342A9">
      <w:pPr>
        <w:spacing w:before="6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8076440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Overview</w:t>
      </w:r>
    </w:p>
    <w:p w14:paraId="6E9DB98C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3C8BA43" w14:textId="6B5AE4C1" w:rsidR="004A743C" w:rsidRDefault="00D61B74" w:rsidP="008916A2">
      <w:pPr>
        <w:numPr>
          <w:ilvl w:val="0"/>
          <w:numId w:val="3"/>
        </w:numPr>
        <w:tabs>
          <w:tab w:val="left" w:pos="685"/>
        </w:tabs>
        <w:ind w:righ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ASIC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(Senior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Members—Determination)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Instrument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2019/117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="00FE57BB" w:rsidRPr="00FE57BB">
        <w:rPr>
          <w:rFonts w:ascii="Times New Roman" w:eastAsia="Times New Roman" w:hAnsi="Times New Roman" w:cs="Times New Roman"/>
          <w:sz w:val="24"/>
          <w:szCs w:val="24"/>
        </w:rPr>
        <w:t xml:space="preserve"> determining </w:t>
      </w:r>
      <w:r w:rsidR="00B2390F">
        <w:rPr>
          <w:rFonts w:ascii="Times New Roman" w:eastAsia="Times New Roman" w:hAnsi="Times New Roman" w:cs="Times New Roman"/>
          <w:sz w:val="24"/>
          <w:szCs w:val="24"/>
        </w:rPr>
        <w:t xml:space="preserve">certain </w:t>
      </w:r>
      <w:r w:rsidR="00FE57BB" w:rsidRPr="00FE57BB">
        <w:rPr>
          <w:rFonts w:ascii="Times New Roman" w:eastAsia="Times New Roman" w:hAnsi="Times New Roman" w:cs="Times New Roman"/>
          <w:sz w:val="24"/>
          <w:szCs w:val="24"/>
        </w:rPr>
        <w:t xml:space="preserve">positions in ASIC's People and </w:t>
      </w:r>
      <w:r w:rsidR="00510984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57BB" w:rsidRPr="00FE57BB">
        <w:rPr>
          <w:rFonts w:ascii="Times New Roman" w:eastAsia="Times New Roman" w:hAnsi="Times New Roman" w:cs="Times New Roman"/>
          <w:sz w:val="24"/>
          <w:szCs w:val="24"/>
        </w:rPr>
        <w:t>evelopment</w:t>
      </w:r>
      <w:r w:rsidR="00301D3F">
        <w:rPr>
          <w:rFonts w:ascii="Times New Roman" w:eastAsia="Times New Roman" w:hAnsi="Times New Roman" w:cs="Times New Roman"/>
          <w:sz w:val="24"/>
          <w:szCs w:val="24"/>
        </w:rPr>
        <w:t xml:space="preserve">, Information Technology and </w:t>
      </w:r>
      <w:r w:rsidR="004A743C">
        <w:rPr>
          <w:rFonts w:ascii="Times New Roman" w:eastAsia="Times New Roman" w:hAnsi="Times New Roman" w:cs="Times New Roman"/>
          <w:sz w:val="24"/>
          <w:szCs w:val="24"/>
        </w:rPr>
        <w:t xml:space="preserve">Office of </w:t>
      </w:r>
      <w:r w:rsidR="00301D3F">
        <w:rPr>
          <w:rFonts w:ascii="Times New Roman" w:eastAsia="Times New Roman" w:hAnsi="Times New Roman" w:cs="Times New Roman"/>
          <w:sz w:val="24"/>
          <w:szCs w:val="24"/>
        </w:rPr>
        <w:t>Enforcement</w:t>
      </w:r>
      <w:r w:rsidR="00FE57BB" w:rsidRPr="00FE5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57BB" w:rsidRPr="00FE57BB">
        <w:rPr>
          <w:rFonts w:ascii="Times New Roman" w:eastAsia="Times New Roman" w:hAnsi="Times New Roman" w:cs="Times New Roman"/>
          <w:sz w:val="24"/>
          <w:szCs w:val="24"/>
        </w:rPr>
        <w:t>eam</w:t>
      </w:r>
      <w:r w:rsidR="00301D3F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57BB" w:rsidRPr="00FE57BB">
        <w:rPr>
          <w:rFonts w:ascii="Times New Roman" w:eastAsia="Times New Roman" w:hAnsi="Times New Roman" w:cs="Times New Roman"/>
          <w:sz w:val="24"/>
          <w:szCs w:val="24"/>
        </w:rPr>
        <w:t xml:space="preserve"> to be 'senior staff members' </w:t>
      </w:r>
      <w:r w:rsidR="0051098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FE57BB" w:rsidRPr="00FE57BB">
        <w:rPr>
          <w:rFonts w:ascii="Times New Roman" w:eastAsia="Times New Roman" w:hAnsi="Times New Roman" w:cs="Times New Roman"/>
          <w:sz w:val="24"/>
          <w:szCs w:val="24"/>
        </w:rPr>
        <w:t>purposes relating to the employment of ASIC staff under section 120 of the</w:t>
      </w:r>
      <w:r w:rsidR="00301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i/>
          <w:sz w:val="24"/>
          <w:szCs w:val="24"/>
        </w:rPr>
        <w:t>Australian</w:t>
      </w:r>
      <w:r w:rsidR="00301D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Securities</w:t>
      </w:r>
      <w:r w:rsidR="00301D3F">
        <w:rPr>
          <w:rFonts w:ascii="Times New Roman" w:eastAsia="Times New Roman" w:hAnsi="Times New Roman" w:cs="Times New Roman"/>
          <w:i/>
          <w:spacing w:val="61"/>
          <w:w w:val="99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="00301D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Investments</w:t>
      </w:r>
      <w:r w:rsidR="00301D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Commission</w:t>
      </w:r>
      <w:r w:rsidR="00301D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i/>
          <w:sz w:val="24"/>
          <w:szCs w:val="24"/>
        </w:rPr>
        <w:t>Act</w:t>
      </w:r>
      <w:r w:rsidR="00301D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i/>
          <w:sz w:val="24"/>
          <w:szCs w:val="24"/>
        </w:rPr>
        <w:t>2001</w:t>
      </w:r>
      <w:r w:rsidR="00301D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sz w:val="24"/>
          <w:szCs w:val="24"/>
        </w:rPr>
        <w:t>(the</w:t>
      </w:r>
      <w:r w:rsidR="00301D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ASIC</w:t>
      </w:r>
      <w:r w:rsidR="00301D3F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="00301D3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Act</w:t>
      </w:r>
      <w:r w:rsidR="00301D3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A7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E428F2" w14:textId="369E6B17" w:rsidR="000342A9" w:rsidRDefault="000342A9" w:rsidP="008916A2">
      <w:pPr>
        <w:tabs>
          <w:tab w:val="left" w:pos="705"/>
        </w:tabs>
        <w:spacing w:before="69" w:line="239" w:lineRule="auto"/>
        <w:ind w:left="704" w:right="236"/>
        <w:rPr>
          <w:rFonts w:ascii="Times New Roman" w:eastAsia="Times New Roman" w:hAnsi="Times New Roman" w:cs="Times New Roman"/>
          <w:sz w:val="24"/>
          <w:szCs w:val="24"/>
        </w:rPr>
      </w:pPr>
    </w:p>
    <w:p w14:paraId="530393C5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B48CDD3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Assessment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human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rights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implications</w:t>
      </w:r>
    </w:p>
    <w:p w14:paraId="430CE8A6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1460FB4" w14:textId="1906BD05" w:rsidR="000342A9" w:rsidRDefault="00D61B74" w:rsidP="008916A2">
      <w:pPr>
        <w:pStyle w:val="BodyText"/>
        <w:numPr>
          <w:ilvl w:val="0"/>
          <w:numId w:val="3"/>
        </w:numPr>
        <w:tabs>
          <w:tab w:val="left" w:pos="705"/>
        </w:tabs>
        <w:spacing w:before="69"/>
        <w:ind w:right="115"/>
      </w:pPr>
      <w:r>
        <w:t>The</w:t>
      </w:r>
      <w:r>
        <w:rPr>
          <w:spacing w:val="-3"/>
        </w:rPr>
        <w:t xml:space="preserve"> </w:t>
      </w:r>
      <w:r w:rsidR="00DA6DE8">
        <w:rPr>
          <w:spacing w:val="-3"/>
        </w:rPr>
        <w:t xml:space="preserve">determination </w:t>
      </w:r>
      <w:r w:rsidR="008A4F16">
        <w:rPr>
          <w:spacing w:val="-3"/>
        </w:rPr>
        <w:t xml:space="preserve">of </w:t>
      </w:r>
      <w:r w:rsidR="00B2390F">
        <w:rPr>
          <w:spacing w:val="-3"/>
        </w:rPr>
        <w:t xml:space="preserve">certain </w:t>
      </w:r>
      <w:r w:rsidR="00FE57BB">
        <w:rPr>
          <w:spacing w:val="-3"/>
        </w:rPr>
        <w:t xml:space="preserve">positions </w:t>
      </w:r>
      <w:r w:rsidR="00DA6DE8">
        <w:rPr>
          <w:spacing w:val="-3"/>
        </w:rPr>
        <w:t>to be</w:t>
      </w:r>
      <w:r w:rsidR="008A4F16">
        <w:rPr>
          <w:spacing w:val="-3"/>
        </w:rPr>
        <w:t xml:space="preserve"> </w:t>
      </w:r>
      <w:r>
        <w:rPr>
          <w:rFonts w:cs="Times New Roman"/>
          <w:spacing w:val="-1"/>
        </w:rPr>
        <w:t xml:space="preserve">‘senior </w:t>
      </w:r>
      <w:r>
        <w:rPr>
          <w:rFonts w:cs="Times New Roman"/>
        </w:rPr>
        <w:t>staff</w:t>
      </w:r>
      <w:r>
        <w:rPr>
          <w:rFonts w:cs="Times New Roman"/>
          <w:spacing w:val="-1"/>
        </w:rPr>
        <w:t xml:space="preserve"> member</w:t>
      </w:r>
      <w:r w:rsidR="00FE57BB">
        <w:rPr>
          <w:rFonts w:cs="Times New Roman"/>
          <w:spacing w:val="-1"/>
        </w:rPr>
        <w:t>s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merely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facilitates</w:t>
      </w:r>
      <w:r>
        <w:rPr>
          <w:rFonts w:cs="Times New Roman"/>
          <w:spacing w:val="3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delegation</w:t>
      </w:r>
      <w:r>
        <w:rPr>
          <w:spacing w:val="-4"/>
        </w:rPr>
        <w:t xml:space="preserve"> </w:t>
      </w:r>
      <w:r w:rsidR="00FF7D66">
        <w:rPr>
          <w:spacing w:val="-4"/>
        </w:rPr>
        <w:t xml:space="preserve">of powers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7"/>
        </w:rPr>
        <w:t xml:space="preserve"> </w:t>
      </w:r>
      <w:r w:rsidR="008A4F16">
        <w:rPr>
          <w:rFonts w:cs="Times New Roman"/>
          <w:spacing w:val="-7"/>
        </w:rPr>
        <w:t xml:space="preserve">ASIC, </w:t>
      </w:r>
      <w:r>
        <w:rPr>
          <w:rFonts w:cs="Times New Roman"/>
          <w:spacing w:val="-1"/>
        </w:rPr>
        <w:t>ASIC’s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Chairperson</w:t>
      </w:r>
      <w:r>
        <w:rPr>
          <w:rFonts w:cs="Times New Roman"/>
          <w:spacing w:val="-3"/>
        </w:rPr>
        <w:t xml:space="preserve"> </w:t>
      </w:r>
      <w:r w:rsidR="008A4F16">
        <w:rPr>
          <w:rFonts w:cs="Times New Roman"/>
          <w:spacing w:val="-3"/>
        </w:rPr>
        <w:t>and</w:t>
      </w:r>
      <w:r w:rsidR="00510984">
        <w:rPr>
          <w:rFonts w:cs="Times New Roman"/>
          <w:spacing w:val="-3"/>
        </w:rPr>
        <w:t>/or</w:t>
      </w:r>
      <w:r w:rsidR="008A4F16">
        <w:rPr>
          <w:rFonts w:cs="Times New Roman"/>
          <w:spacing w:val="-3"/>
        </w:rPr>
        <w:t xml:space="preserve"> the relevant Minister </w:t>
      </w:r>
      <w:r>
        <w:t>to</w:t>
      </w:r>
      <w:r w:rsidR="008A4F16">
        <w:t xml:space="preserve"> </w:t>
      </w:r>
      <w:r w:rsidR="00FE57BB">
        <w:t>ASIC staff members holding the specified positions</w:t>
      </w:r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Accordingly,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instrument</w:t>
      </w:r>
      <w:r>
        <w:rPr>
          <w:spacing w:val="55"/>
          <w:w w:val="99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engage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applicable rights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freedoms.</w:t>
      </w:r>
    </w:p>
    <w:p w14:paraId="57D55FB4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FC56B23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Conclusion</w:t>
      </w:r>
    </w:p>
    <w:p w14:paraId="43ABE306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43137B2" w14:textId="77777777" w:rsidR="000342A9" w:rsidRDefault="00D61B74" w:rsidP="008916A2">
      <w:pPr>
        <w:numPr>
          <w:ilvl w:val="0"/>
          <w:numId w:val="3"/>
        </w:numPr>
        <w:tabs>
          <w:tab w:val="left" w:pos="705"/>
        </w:tabs>
        <w:spacing w:before="69"/>
        <w:ind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instrument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compatible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human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rights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freedoms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recognised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declared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international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instruments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listed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section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Human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Rights</w:t>
      </w:r>
      <w:r>
        <w:rPr>
          <w:rFonts w:ascii="Times New Roman"/>
          <w:i/>
          <w:spacing w:val="57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(Parliamentary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Scrutiny)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2011</w:t>
      </w:r>
      <w:r>
        <w:rPr>
          <w:rFonts w:ascii="Times New Roman"/>
          <w:sz w:val="24"/>
        </w:rPr>
        <w:t>.</w:t>
      </w:r>
    </w:p>
    <w:p w14:paraId="5F326B53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4C29D1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ED0887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6CCF1A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1EACC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A944A1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A8C46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A428F6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4717C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426F4D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49ADD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A5EB79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475CF8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C67208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CCCD09" w14:textId="06091E70" w:rsidR="000342A9" w:rsidRDefault="000342A9">
      <w:pPr>
        <w:spacing w:before="72"/>
        <w:ind w:left="4221" w:right="4196"/>
        <w:jc w:val="center"/>
        <w:rPr>
          <w:rFonts w:ascii="Times New Roman" w:eastAsia="Times New Roman" w:hAnsi="Times New Roman" w:cs="Times New Roman"/>
        </w:rPr>
      </w:pPr>
    </w:p>
    <w:sectPr w:rsidR="000342A9">
      <w:pgSz w:w="11910" w:h="16840"/>
      <w:pgMar w:top="1260" w:right="1680" w:bottom="560" w:left="1660" w:header="1075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AE4E3" w14:textId="77777777" w:rsidR="001E3DE3" w:rsidRDefault="001E3DE3">
      <w:r>
        <w:separator/>
      </w:r>
    </w:p>
  </w:endnote>
  <w:endnote w:type="continuationSeparator" w:id="0">
    <w:p w14:paraId="00977DDC" w14:textId="77777777" w:rsidR="001E3DE3" w:rsidRDefault="001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975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2E7BED" w14:textId="456C177A" w:rsidR="008F63A8" w:rsidRPr="003E3857" w:rsidRDefault="008F63A8">
        <w:pPr>
          <w:pStyle w:val="Footer"/>
          <w:jc w:val="center"/>
          <w:rPr>
            <w:rFonts w:ascii="Times New Roman" w:hAnsi="Times New Roman" w:cs="Times New Roman"/>
          </w:rPr>
        </w:pPr>
        <w:r w:rsidRPr="003E3857">
          <w:rPr>
            <w:rFonts w:ascii="Times New Roman" w:hAnsi="Times New Roman" w:cs="Times New Roman"/>
          </w:rPr>
          <w:fldChar w:fldCharType="begin"/>
        </w:r>
        <w:r w:rsidRPr="003E3857">
          <w:rPr>
            <w:rFonts w:ascii="Times New Roman" w:hAnsi="Times New Roman" w:cs="Times New Roman"/>
          </w:rPr>
          <w:instrText xml:space="preserve"> PAGE   \* MERGEFORMAT </w:instrText>
        </w:r>
        <w:r w:rsidRPr="003E3857">
          <w:rPr>
            <w:rFonts w:ascii="Times New Roman" w:hAnsi="Times New Roman" w:cs="Times New Roman"/>
          </w:rPr>
          <w:fldChar w:fldCharType="separate"/>
        </w:r>
        <w:r w:rsidRPr="003E3857">
          <w:rPr>
            <w:rFonts w:ascii="Times New Roman" w:hAnsi="Times New Roman" w:cs="Times New Roman"/>
            <w:noProof/>
          </w:rPr>
          <w:t>2</w:t>
        </w:r>
        <w:r w:rsidRPr="003E385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C5A3AA1" w14:textId="77777777" w:rsidR="008F63A8" w:rsidRDefault="008F6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8A237" w14:textId="77777777" w:rsidR="001E3DE3" w:rsidRDefault="001E3DE3">
      <w:r>
        <w:separator/>
      </w:r>
    </w:p>
  </w:footnote>
  <w:footnote w:type="continuationSeparator" w:id="0">
    <w:p w14:paraId="1CECC245" w14:textId="77777777" w:rsidR="001E3DE3" w:rsidRDefault="001E3DE3">
      <w:r>
        <w:continuationSeparator/>
      </w:r>
    </w:p>
  </w:footnote>
  <w:footnote w:id="1">
    <w:p w14:paraId="6EBF016C" w14:textId="3A4EC182" w:rsidR="00664092" w:rsidRPr="003E3857" w:rsidRDefault="00664092">
      <w:pPr>
        <w:pStyle w:val="FootnoteText"/>
        <w:rPr>
          <w:rFonts w:ascii="Times New Roman" w:hAnsi="Times New Roman" w:cs="Times New Roman"/>
          <w:i/>
          <w:iCs/>
          <w:lang w:val="en-AU"/>
        </w:rPr>
      </w:pPr>
      <w:r w:rsidRPr="003E3857">
        <w:rPr>
          <w:rStyle w:val="FootnoteReference"/>
          <w:rFonts w:ascii="Times New Roman" w:hAnsi="Times New Roman" w:cs="Times New Roman"/>
        </w:rPr>
        <w:footnoteRef/>
      </w:r>
      <w:r w:rsidRPr="003E3857">
        <w:rPr>
          <w:rFonts w:ascii="Times New Roman" w:hAnsi="Times New Roman" w:cs="Times New Roman"/>
        </w:rPr>
        <w:t xml:space="preserve"> The </w:t>
      </w:r>
      <w:r w:rsidRPr="003E3857">
        <w:rPr>
          <w:rFonts w:ascii="Times New Roman" w:hAnsi="Times New Roman" w:cs="Times New Roman"/>
          <w:i/>
          <w:iCs/>
        </w:rPr>
        <w:t xml:space="preserve">Acts Interpretation Act 1901 </w:t>
      </w:r>
      <w:r w:rsidRPr="003E3857">
        <w:rPr>
          <w:rFonts w:ascii="Times New Roman" w:hAnsi="Times New Roman" w:cs="Times New Roman"/>
        </w:rPr>
        <w:t>as in force on 1 January 2005 applies to the ASIC Act: see section 5A of the ASIC 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26C8C"/>
    <w:multiLevelType w:val="hybridMultilevel"/>
    <w:tmpl w:val="233AD95C"/>
    <w:lvl w:ilvl="0" w:tplc="5AC6DD1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F87687D2">
      <w:start w:val="1"/>
      <w:numFmt w:val="bullet"/>
      <w:lvlText w:val="•"/>
      <w:lvlJc w:val="left"/>
      <w:pPr>
        <w:ind w:left="1470" w:hanging="567"/>
      </w:pPr>
      <w:rPr>
        <w:rFonts w:hint="default"/>
      </w:rPr>
    </w:lvl>
    <w:lvl w:ilvl="2" w:tplc="1A0E0064">
      <w:start w:val="1"/>
      <w:numFmt w:val="bullet"/>
      <w:lvlText w:val="•"/>
      <w:lvlJc w:val="left"/>
      <w:pPr>
        <w:ind w:left="2256" w:hanging="567"/>
      </w:pPr>
      <w:rPr>
        <w:rFonts w:hint="default"/>
      </w:rPr>
    </w:lvl>
    <w:lvl w:ilvl="3" w:tplc="55065614">
      <w:start w:val="1"/>
      <w:numFmt w:val="bullet"/>
      <w:lvlText w:val="•"/>
      <w:lvlJc w:val="left"/>
      <w:pPr>
        <w:ind w:left="3043" w:hanging="567"/>
      </w:pPr>
      <w:rPr>
        <w:rFonts w:hint="default"/>
      </w:rPr>
    </w:lvl>
    <w:lvl w:ilvl="4" w:tplc="A5D8E522">
      <w:start w:val="1"/>
      <w:numFmt w:val="bullet"/>
      <w:lvlText w:val="•"/>
      <w:lvlJc w:val="left"/>
      <w:pPr>
        <w:ind w:left="3829" w:hanging="567"/>
      </w:pPr>
      <w:rPr>
        <w:rFonts w:hint="default"/>
      </w:rPr>
    </w:lvl>
    <w:lvl w:ilvl="5" w:tplc="E3BE7B0C">
      <w:start w:val="1"/>
      <w:numFmt w:val="bullet"/>
      <w:lvlText w:val="•"/>
      <w:lvlJc w:val="left"/>
      <w:pPr>
        <w:ind w:left="4615" w:hanging="567"/>
      </w:pPr>
      <w:rPr>
        <w:rFonts w:hint="default"/>
      </w:rPr>
    </w:lvl>
    <w:lvl w:ilvl="6" w:tplc="19180752">
      <w:start w:val="1"/>
      <w:numFmt w:val="bullet"/>
      <w:lvlText w:val="•"/>
      <w:lvlJc w:val="left"/>
      <w:pPr>
        <w:ind w:left="5401" w:hanging="567"/>
      </w:pPr>
      <w:rPr>
        <w:rFonts w:hint="default"/>
      </w:rPr>
    </w:lvl>
    <w:lvl w:ilvl="7" w:tplc="43625348">
      <w:start w:val="1"/>
      <w:numFmt w:val="bullet"/>
      <w:lvlText w:val="•"/>
      <w:lvlJc w:val="left"/>
      <w:pPr>
        <w:ind w:left="6187" w:hanging="567"/>
      </w:pPr>
      <w:rPr>
        <w:rFonts w:hint="default"/>
      </w:rPr>
    </w:lvl>
    <w:lvl w:ilvl="8" w:tplc="487628EE">
      <w:start w:val="1"/>
      <w:numFmt w:val="bullet"/>
      <w:lvlText w:val="•"/>
      <w:lvlJc w:val="left"/>
      <w:pPr>
        <w:ind w:left="6974" w:hanging="567"/>
      </w:pPr>
      <w:rPr>
        <w:rFonts w:hint="default"/>
      </w:rPr>
    </w:lvl>
  </w:abstractNum>
  <w:abstractNum w:abstractNumId="1" w15:restartNumberingAfterBreak="0">
    <w:nsid w:val="786E6FCB"/>
    <w:multiLevelType w:val="hybridMultilevel"/>
    <w:tmpl w:val="3E465CF6"/>
    <w:lvl w:ilvl="0" w:tplc="5AC6DD1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F87687D2">
      <w:start w:val="1"/>
      <w:numFmt w:val="bullet"/>
      <w:lvlText w:val="•"/>
      <w:lvlJc w:val="left"/>
      <w:pPr>
        <w:ind w:left="1470" w:hanging="567"/>
      </w:pPr>
      <w:rPr>
        <w:rFonts w:hint="default"/>
      </w:rPr>
    </w:lvl>
    <w:lvl w:ilvl="2" w:tplc="1A0E0064">
      <w:start w:val="1"/>
      <w:numFmt w:val="bullet"/>
      <w:lvlText w:val="•"/>
      <w:lvlJc w:val="left"/>
      <w:pPr>
        <w:ind w:left="2256" w:hanging="567"/>
      </w:pPr>
      <w:rPr>
        <w:rFonts w:hint="default"/>
      </w:rPr>
    </w:lvl>
    <w:lvl w:ilvl="3" w:tplc="55065614">
      <w:start w:val="1"/>
      <w:numFmt w:val="bullet"/>
      <w:lvlText w:val="•"/>
      <w:lvlJc w:val="left"/>
      <w:pPr>
        <w:ind w:left="3043" w:hanging="567"/>
      </w:pPr>
      <w:rPr>
        <w:rFonts w:hint="default"/>
      </w:rPr>
    </w:lvl>
    <w:lvl w:ilvl="4" w:tplc="A5D8E522">
      <w:start w:val="1"/>
      <w:numFmt w:val="bullet"/>
      <w:lvlText w:val="•"/>
      <w:lvlJc w:val="left"/>
      <w:pPr>
        <w:ind w:left="3829" w:hanging="567"/>
      </w:pPr>
      <w:rPr>
        <w:rFonts w:hint="default"/>
      </w:rPr>
    </w:lvl>
    <w:lvl w:ilvl="5" w:tplc="E3BE7B0C">
      <w:start w:val="1"/>
      <w:numFmt w:val="bullet"/>
      <w:lvlText w:val="•"/>
      <w:lvlJc w:val="left"/>
      <w:pPr>
        <w:ind w:left="4615" w:hanging="567"/>
      </w:pPr>
      <w:rPr>
        <w:rFonts w:hint="default"/>
      </w:rPr>
    </w:lvl>
    <w:lvl w:ilvl="6" w:tplc="19180752">
      <w:start w:val="1"/>
      <w:numFmt w:val="bullet"/>
      <w:lvlText w:val="•"/>
      <w:lvlJc w:val="left"/>
      <w:pPr>
        <w:ind w:left="5401" w:hanging="567"/>
      </w:pPr>
      <w:rPr>
        <w:rFonts w:hint="default"/>
      </w:rPr>
    </w:lvl>
    <w:lvl w:ilvl="7" w:tplc="43625348">
      <w:start w:val="1"/>
      <w:numFmt w:val="bullet"/>
      <w:lvlText w:val="•"/>
      <w:lvlJc w:val="left"/>
      <w:pPr>
        <w:ind w:left="6187" w:hanging="567"/>
      </w:pPr>
      <w:rPr>
        <w:rFonts w:hint="default"/>
      </w:rPr>
    </w:lvl>
    <w:lvl w:ilvl="8" w:tplc="487628EE">
      <w:start w:val="1"/>
      <w:numFmt w:val="bullet"/>
      <w:lvlText w:val="•"/>
      <w:lvlJc w:val="left"/>
      <w:pPr>
        <w:ind w:left="6974" w:hanging="567"/>
      </w:pPr>
      <w:rPr>
        <w:rFonts w:hint="default"/>
      </w:rPr>
    </w:lvl>
  </w:abstractNum>
  <w:abstractNum w:abstractNumId="2" w15:restartNumberingAfterBreak="0">
    <w:nsid w:val="7EDB5E36"/>
    <w:multiLevelType w:val="hybridMultilevel"/>
    <w:tmpl w:val="FC5E4102"/>
    <w:lvl w:ilvl="0" w:tplc="36A23620">
      <w:start w:val="1"/>
      <w:numFmt w:val="decimal"/>
      <w:lvlText w:val="%1."/>
      <w:lvlJc w:val="left"/>
      <w:pPr>
        <w:ind w:left="704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DEB8F9B8">
      <w:start w:val="1"/>
      <w:numFmt w:val="bullet"/>
      <w:lvlText w:val="•"/>
      <w:lvlJc w:val="left"/>
      <w:pPr>
        <w:ind w:left="1490" w:hanging="567"/>
      </w:pPr>
      <w:rPr>
        <w:rFonts w:hint="default"/>
      </w:rPr>
    </w:lvl>
    <w:lvl w:ilvl="2" w:tplc="B4247044">
      <w:start w:val="1"/>
      <w:numFmt w:val="bullet"/>
      <w:lvlText w:val="•"/>
      <w:lvlJc w:val="left"/>
      <w:pPr>
        <w:ind w:left="2276" w:hanging="567"/>
      </w:pPr>
      <w:rPr>
        <w:rFonts w:hint="default"/>
      </w:rPr>
    </w:lvl>
    <w:lvl w:ilvl="3" w:tplc="62723C20">
      <w:start w:val="1"/>
      <w:numFmt w:val="bullet"/>
      <w:lvlText w:val="•"/>
      <w:lvlJc w:val="left"/>
      <w:pPr>
        <w:ind w:left="3063" w:hanging="567"/>
      </w:pPr>
      <w:rPr>
        <w:rFonts w:hint="default"/>
      </w:rPr>
    </w:lvl>
    <w:lvl w:ilvl="4" w:tplc="2A00BD5E">
      <w:start w:val="1"/>
      <w:numFmt w:val="bullet"/>
      <w:lvlText w:val="•"/>
      <w:lvlJc w:val="left"/>
      <w:pPr>
        <w:ind w:left="3849" w:hanging="567"/>
      </w:pPr>
      <w:rPr>
        <w:rFonts w:hint="default"/>
      </w:rPr>
    </w:lvl>
    <w:lvl w:ilvl="5" w:tplc="77961272">
      <w:start w:val="1"/>
      <w:numFmt w:val="bullet"/>
      <w:lvlText w:val="•"/>
      <w:lvlJc w:val="left"/>
      <w:pPr>
        <w:ind w:left="4635" w:hanging="567"/>
      </w:pPr>
      <w:rPr>
        <w:rFonts w:hint="default"/>
      </w:rPr>
    </w:lvl>
    <w:lvl w:ilvl="6" w:tplc="DBF4BCCA">
      <w:start w:val="1"/>
      <w:numFmt w:val="bullet"/>
      <w:lvlText w:val="•"/>
      <w:lvlJc w:val="left"/>
      <w:pPr>
        <w:ind w:left="5421" w:hanging="567"/>
      </w:pPr>
      <w:rPr>
        <w:rFonts w:hint="default"/>
      </w:rPr>
    </w:lvl>
    <w:lvl w:ilvl="7" w:tplc="1056F0B6">
      <w:start w:val="1"/>
      <w:numFmt w:val="bullet"/>
      <w:lvlText w:val="•"/>
      <w:lvlJc w:val="left"/>
      <w:pPr>
        <w:ind w:left="6207" w:hanging="567"/>
      </w:pPr>
      <w:rPr>
        <w:rFonts w:hint="default"/>
      </w:rPr>
    </w:lvl>
    <w:lvl w:ilvl="8" w:tplc="FC0E4116">
      <w:start w:val="1"/>
      <w:numFmt w:val="bullet"/>
      <w:lvlText w:val="•"/>
      <w:lvlJc w:val="left"/>
      <w:pPr>
        <w:ind w:left="6994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A9"/>
    <w:rsid w:val="000261CC"/>
    <w:rsid w:val="000342A9"/>
    <w:rsid w:val="00083EB7"/>
    <w:rsid w:val="000B3849"/>
    <w:rsid w:val="000B4EC7"/>
    <w:rsid w:val="000B5D9A"/>
    <w:rsid w:val="000E65FF"/>
    <w:rsid w:val="00106082"/>
    <w:rsid w:val="00122873"/>
    <w:rsid w:val="00125123"/>
    <w:rsid w:val="00131B0C"/>
    <w:rsid w:val="0016216A"/>
    <w:rsid w:val="0016422F"/>
    <w:rsid w:val="00176CB0"/>
    <w:rsid w:val="001822F5"/>
    <w:rsid w:val="001A741A"/>
    <w:rsid w:val="001E3DE3"/>
    <w:rsid w:val="002865E1"/>
    <w:rsid w:val="00286D8A"/>
    <w:rsid w:val="00294629"/>
    <w:rsid w:val="002D140E"/>
    <w:rsid w:val="002D2388"/>
    <w:rsid w:val="00301D3F"/>
    <w:rsid w:val="003A7403"/>
    <w:rsid w:val="003E3857"/>
    <w:rsid w:val="004068B2"/>
    <w:rsid w:val="004425D7"/>
    <w:rsid w:val="004A743C"/>
    <w:rsid w:val="004D2510"/>
    <w:rsid w:val="00504818"/>
    <w:rsid w:val="00510984"/>
    <w:rsid w:val="0053408F"/>
    <w:rsid w:val="005653CD"/>
    <w:rsid w:val="005F2923"/>
    <w:rsid w:val="00613906"/>
    <w:rsid w:val="00633F01"/>
    <w:rsid w:val="00661150"/>
    <w:rsid w:val="00664092"/>
    <w:rsid w:val="00730035"/>
    <w:rsid w:val="008625EF"/>
    <w:rsid w:val="008916A2"/>
    <w:rsid w:val="008A4F16"/>
    <w:rsid w:val="008F50D9"/>
    <w:rsid w:val="008F63A8"/>
    <w:rsid w:val="008F6DAC"/>
    <w:rsid w:val="00912C7D"/>
    <w:rsid w:val="00A37C65"/>
    <w:rsid w:val="00A70AED"/>
    <w:rsid w:val="00AE443F"/>
    <w:rsid w:val="00B2390F"/>
    <w:rsid w:val="00B45DF2"/>
    <w:rsid w:val="00B86F16"/>
    <w:rsid w:val="00B95B38"/>
    <w:rsid w:val="00BD14D8"/>
    <w:rsid w:val="00C07FF6"/>
    <w:rsid w:val="00C13E88"/>
    <w:rsid w:val="00C730A6"/>
    <w:rsid w:val="00C8230E"/>
    <w:rsid w:val="00CA7C12"/>
    <w:rsid w:val="00CB678F"/>
    <w:rsid w:val="00D61B74"/>
    <w:rsid w:val="00D91427"/>
    <w:rsid w:val="00D94A60"/>
    <w:rsid w:val="00DA6DE8"/>
    <w:rsid w:val="00DE79E7"/>
    <w:rsid w:val="00E10C18"/>
    <w:rsid w:val="00E96966"/>
    <w:rsid w:val="00EE2640"/>
    <w:rsid w:val="00FE57BB"/>
    <w:rsid w:val="00FE7A2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EB499"/>
  <w15:docId w15:val="{65665C35-93BD-477C-8279-3FD619B0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4" w:hanging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2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1CC"/>
  </w:style>
  <w:style w:type="paragraph" w:styleId="Footer">
    <w:name w:val="footer"/>
    <w:basedOn w:val="Normal"/>
    <w:link w:val="FooterChar"/>
    <w:uiPriority w:val="99"/>
    <w:unhideWhenUsed/>
    <w:rsid w:val="00026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1CC"/>
  </w:style>
  <w:style w:type="paragraph" w:styleId="FootnoteText">
    <w:name w:val="footnote text"/>
    <w:basedOn w:val="Normal"/>
    <w:link w:val="FootnoteTextChar"/>
    <w:uiPriority w:val="99"/>
    <w:semiHidden/>
    <w:unhideWhenUsed/>
    <w:rsid w:val="006640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0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0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0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28DD-1045-41F4-A452-316CA70A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Wong</dc:creator>
  <cp:keywords/>
  <dc:description/>
  <cp:lastModifiedBy>Narelle Kane</cp:lastModifiedBy>
  <cp:revision>4</cp:revision>
  <dcterms:created xsi:type="dcterms:W3CDTF">2021-05-07T04:34:00Z</dcterms:created>
  <dcterms:modified xsi:type="dcterms:W3CDTF">2021-05-07T04:34:00Z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2021-02-24T00:00:00Z</vt:filetime>
  </property>
</Properties>
</file>