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0A8A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5F4E17D6" w14:textId="2517FBBC" w:rsidR="0057002B" w:rsidRPr="008B24C8" w:rsidRDefault="0057002B" w:rsidP="00E52F9A">
      <w:pPr>
        <w:pStyle w:val="ESTitleDecisionMaker"/>
        <w:ind w:hanging="11"/>
      </w:pPr>
      <w:r w:rsidRPr="008B24C8">
        <w:t xml:space="preserve">Issued by authority of the </w:t>
      </w:r>
      <w:r w:rsidR="002D48FC">
        <w:t>Minister for Immigration, Citizenship, Migrant Services and Multicultural Affairs</w:t>
      </w:r>
    </w:p>
    <w:p w14:paraId="51F5666D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4E673CD6" w14:textId="2E992B36" w:rsidR="0057002B" w:rsidRPr="008B24C8" w:rsidRDefault="0028617D" w:rsidP="00BB0CF2">
      <w:pPr>
        <w:pStyle w:val="ESTitleInstrumentName"/>
      </w:pPr>
      <w:r>
        <w:t>Migration (</w:t>
      </w:r>
      <w:r w:rsidR="00B911EE">
        <w:t>COVID</w:t>
      </w:r>
      <w:r>
        <w:t>-19 Pandemic event for Subclass 408 (Temporary Activity) and nil VAC for Temporary Activity (Class CG) visa) Amendment Instrument (LIN 21/038)</w:t>
      </w:r>
      <w:r w:rsidR="00B911EE">
        <w:t xml:space="preserve"> </w:t>
      </w:r>
      <w:r>
        <w:t>2021</w:t>
      </w:r>
    </w:p>
    <w:p w14:paraId="6995C464" w14:textId="1636DBF7" w:rsidR="0057002B" w:rsidRPr="008B24C8" w:rsidRDefault="0057002B" w:rsidP="00864904">
      <w:pPr>
        <w:pStyle w:val="ESSubparaHeader"/>
        <w:keepNext w:val="0"/>
        <w:ind w:left="567" w:hanging="567"/>
      </w:pPr>
      <w:r w:rsidRPr="008B24C8">
        <w:t>The inst</w:t>
      </w:r>
      <w:r w:rsidR="0028617D">
        <w:t xml:space="preserve">rument, Departmental reference </w:t>
      </w:r>
      <w:r w:rsidRPr="008B24C8">
        <w:t>LIN</w:t>
      </w:r>
      <w:r w:rsidR="0028617D">
        <w:t xml:space="preserve"> 21/038, is made under subregulation 2.07(5) and paragraph</w:t>
      </w:r>
      <w:r w:rsidR="00B911EE">
        <w:t>s</w:t>
      </w:r>
      <w:r w:rsidR="0028617D">
        <w:t xml:space="preserve"> 408.229(b) and (c) of Schedule 2 to the </w:t>
      </w:r>
      <w:r w:rsidRPr="008B24C8">
        <w:rPr>
          <w:i/>
        </w:rPr>
        <w:t>Migration Regulations 1994</w:t>
      </w:r>
      <w:r w:rsidR="0028617D">
        <w:t xml:space="preserve"> (the Migration Regulations)</w:t>
      </w:r>
      <w:r w:rsidRPr="008B24C8">
        <w:t xml:space="preserve">.  </w:t>
      </w:r>
    </w:p>
    <w:p w14:paraId="319C2AB0" w14:textId="144AA969" w:rsidR="00EA12C9" w:rsidRPr="008B24C8" w:rsidRDefault="00EA12C9" w:rsidP="00864904">
      <w:pPr>
        <w:pStyle w:val="ESSubparaHeader"/>
        <w:keepNext w:val="0"/>
        <w:ind w:left="567" w:hanging="567"/>
      </w:pPr>
      <w:r w:rsidRPr="008B24C8">
        <w:t xml:space="preserve">The instrument </w:t>
      </w:r>
      <w:r w:rsidR="001B02EF">
        <w:t xml:space="preserve">amends </w:t>
      </w:r>
      <w:r w:rsidR="001B02EF" w:rsidRPr="00864904">
        <w:t>the</w:t>
      </w:r>
      <w:r w:rsidR="001B02EF">
        <w:rPr>
          <w:i/>
        </w:rPr>
        <w:t xml:space="preserve"> Migration (LIN 20/229: COVID-19 Pandemic event for </w:t>
      </w:r>
      <w:r w:rsidR="00BF4F5C">
        <w:rPr>
          <w:i/>
        </w:rPr>
        <w:t>Subclass</w:t>
      </w:r>
      <w:r w:rsidR="001B02EF">
        <w:rPr>
          <w:i/>
        </w:rPr>
        <w:t xml:space="preserve"> 408 (Temporary Activity) visa and visa application charge for Temporary activity (Class CG) visa) Instrument 2020 (F2020L01145)</w:t>
      </w:r>
      <w:r w:rsidR="00B75478">
        <w:t xml:space="preserve"> </w:t>
      </w:r>
      <w:r w:rsidR="00B911EE">
        <w:t xml:space="preserve">(LIN 20/229)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Pr="008B24C8">
        <w:t xml:space="preserve">.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4F1E6D2A" w14:textId="77777777" w:rsidR="00BD598E" w:rsidRPr="008B24C8" w:rsidRDefault="00AA4557" w:rsidP="00BF4F5C">
      <w:pPr>
        <w:pStyle w:val="ESSubparaHeader"/>
        <w:keepNext w:val="0"/>
        <w:ind w:left="567" w:hanging="567"/>
      </w:pPr>
      <w:r>
        <w:t>The instrument commences</w:t>
      </w:r>
      <w:r w:rsidR="00C06006">
        <w:t xml:space="preserve"> on the day after this instrument is registered on the</w:t>
      </w:r>
      <w:r w:rsidR="00134C18">
        <w:t xml:space="preserve"> Federal R</w:t>
      </w:r>
      <w:r w:rsidR="00F51111">
        <w:t>egister of Legislation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5D4ECC2F" w14:textId="77777777" w:rsidR="00EA12C9" w:rsidRPr="00BF4F5C" w:rsidRDefault="00BD598E" w:rsidP="00100DFC">
      <w:pPr>
        <w:pStyle w:val="ESHeading"/>
      </w:pPr>
      <w:r w:rsidRPr="00D1035C">
        <w:t>Purpose</w:t>
      </w:r>
      <w:r w:rsidR="00BB0CF2" w:rsidRPr="00D1035C">
        <w:t xml:space="preserve"> </w:t>
      </w:r>
    </w:p>
    <w:p w14:paraId="502CE55D" w14:textId="5B03E3B1" w:rsidR="00B911EE" w:rsidRDefault="00B911EE" w:rsidP="00864904">
      <w:pPr>
        <w:pStyle w:val="ESSubparaHeader"/>
        <w:keepNext w:val="0"/>
        <w:ind w:left="567" w:hanging="567"/>
      </w:pPr>
      <w:r>
        <w:t>In response to the COVID</w:t>
      </w:r>
      <w:r w:rsidR="00F679A4">
        <w:t xml:space="preserve">-19 pandemic, LIN 20/229 has specified that the pandemic declared by the World Health Organisation is an ‘Australian Government endorsed event’ for the purpose of paragraph 408.229(b) of Schedule 2 to the Migration Regulations. This means that a Subclass 408 visa </w:t>
      </w:r>
      <w:r w:rsidR="00D1035C">
        <w:t>may</w:t>
      </w:r>
      <w:r w:rsidR="00F679A4">
        <w:t xml:space="preserve"> be granted to a visa applicant if: </w:t>
      </w:r>
    </w:p>
    <w:p w14:paraId="085D06F3" w14:textId="6B2F021B" w:rsidR="0090003A" w:rsidRDefault="00F679A4" w:rsidP="00864904">
      <w:pPr>
        <w:pStyle w:val="ESSubparaList"/>
      </w:pPr>
      <w:r>
        <w:t>t</w:t>
      </w:r>
      <w:r w:rsidR="0090003A">
        <w:t>he applicant seeks to enter or remain in Australia to undertake work directly associated with an event (paragraph 408.229(a))</w:t>
      </w:r>
      <w:r>
        <w:t xml:space="preserve">; and </w:t>
      </w:r>
    </w:p>
    <w:p w14:paraId="01D7B97C" w14:textId="7E7E5EC1" w:rsidR="0090003A" w:rsidRDefault="00F679A4" w:rsidP="00864904">
      <w:pPr>
        <w:pStyle w:val="ESSubparaList"/>
      </w:pPr>
      <w:r>
        <w:t>t</w:t>
      </w:r>
      <w:r w:rsidR="0090003A">
        <w:t xml:space="preserve">he applicant is in a class of persons specified in </w:t>
      </w:r>
      <w:r w:rsidR="00E52F9A">
        <w:t>LIN 20/229</w:t>
      </w:r>
      <w:r w:rsidR="0090003A">
        <w:t xml:space="preserve"> in relation to the event</w:t>
      </w:r>
      <w:r>
        <w:t xml:space="preserve"> (paragraph 408.229(b))</w:t>
      </w:r>
      <w:r w:rsidR="0090003A">
        <w:t xml:space="preserve">. </w:t>
      </w:r>
    </w:p>
    <w:p w14:paraId="08DF1F71" w14:textId="62B8A3E4" w:rsidR="00D1035C" w:rsidRDefault="00D1035C" w:rsidP="00BF4F5C">
      <w:pPr>
        <w:pStyle w:val="ESSubparaHeader"/>
        <w:keepNext w:val="0"/>
        <w:ind w:left="567" w:hanging="567"/>
      </w:pPr>
      <w:r>
        <w:t xml:space="preserve">LIN 20/229 specifies three different classes of persons for the purpose of paragraph 408.229(b) of Schedule 2, in subsections 8(1), (2) and (3) respectively.  </w:t>
      </w:r>
    </w:p>
    <w:p w14:paraId="607443E8" w14:textId="05734EF9" w:rsidR="00D1035C" w:rsidRDefault="00D1035C" w:rsidP="00D847D5">
      <w:pPr>
        <w:pStyle w:val="ESSubparaHeader"/>
        <w:keepNext w:val="0"/>
        <w:ind w:left="567" w:hanging="567"/>
      </w:pPr>
      <w:r>
        <w:t xml:space="preserve">Subsection 8(1) provides that a person is in a specified class where they are in Australia, unable to depart as a result of the COVID-19 pandemic, the holder of a substantive temporary visa that is 28 days or less from ceasing to be in effect (or was the holder of such a visa that ceased to be in effect not more than 28 days before making the application), and is unable to make </w:t>
      </w:r>
      <w:r w:rsidR="00D847D5">
        <w:t xml:space="preserve">a valid application, or meet the criteria in Schedule 2 of the Regulation for another Subclass 408 visa, or </w:t>
      </w:r>
      <w:r>
        <w:t>an application for another substantive temporary visa of any Subclass other than Subclass 408</w:t>
      </w:r>
      <w:r w:rsidR="00D847D5">
        <w:t xml:space="preserve"> visa</w:t>
      </w:r>
      <w:r>
        <w:t xml:space="preserve">.  </w:t>
      </w:r>
    </w:p>
    <w:p w14:paraId="1B76962E" w14:textId="5FB66DD9" w:rsidR="00D1035C" w:rsidRDefault="00D1035C" w:rsidP="00D847D5">
      <w:pPr>
        <w:pStyle w:val="ESSubparaHeader"/>
        <w:keepNext w:val="0"/>
        <w:ind w:left="567" w:hanging="567"/>
      </w:pPr>
      <w:r>
        <w:t xml:space="preserve">A person is in a class under subsection 8(2) where they are in Australia, unable to depart Australia as a result of the COVID-19 </w:t>
      </w:r>
      <w:r w:rsidR="000E113D">
        <w:t>pandemic</w:t>
      </w:r>
      <w:r w:rsidR="00864904">
        <w:t>, the holder of a substantive temporary visa, which has a condition attached prohibiting the holder from working in Australia</w:t>
      </w:r>
      <w:r w:rsidR="00932D01">
        <w:t xml:space="preserve">; or the holder of a substantive temporary visa </w:t>
      </w:r>
      <w:r w:rsidR="00932D01">
        <w:lastRenderedPageBreak/>
        <w:t>that is 90 days or less from ceasing to be in effect; (or was the holder of a substantive temporary vi</w:t>
      </w:r>
      <w:r w:rsidR="00BF4F5C">
        <w:t>sa that has</w:t>
      </w:r>
      <w:r w:rsidR="00932D01">
        <w:t xml:space="preserve"> ceased to be in effect not more than 28 days before the application for a Subclass 408 visa is made) and is in receipt of an offer of employment from an approved provider or a service provider of a </w:t>
      </w:r>
      <w:r w:rsidR="00E024C4">
        <w:t>Commonwealth-funded</w:t>
      </w:r>
      <w:r w:rsidR="00932D01">
        <w:t xml:space="preserve"> aged care service to undertake work in the aged care sect</w:t>
      </w:r>
      <w:r w:rsidR="00BA604F">
        <w:t>or.</w:t>
      </w:r>
      <w:r w:rsidR="00932D01">
        <w:t xml:space="preserve"> </w:t>
      </w:r>
    </w:p>
    <w:p w14:paraId="1C5EA373" w14:textId="29DE2409" w:rsidR="000E113D" w:rsidRPr="00D1035C" w:rsidRDefault="000E113D" w:rsidP="00D847D5">
      <w:pPr>
        <w:pStyle w:val="ESSubparaHeader"/>
        <w:keepNext w:val="0"/>
        <w:ind w:left="567" w:hanging="567"/>
      </w:pPr>
      <w:r>
        <w:t>The specified class in subsection 8(3) captures people who are in Australia,</w:t>
      </w:r>
      <w:r w:rsidR="00932D01">
        <w:t xml:space="preserve"> and the holder of a substantive temporary visa that is 90 days or less from ceasing to be in effect (or was the holder of a substantive temporary visa that ceased to be in effect not more than 28 days before the application for a Subclass 408 visa is made) and is employed by, or in receipt of an offer of employment from, an emp</w:t>
      </w:r>
      <w:r w:rsidR="00D847D5">
        <w:t>loyer in the</w:t>
      </w:r>
      <w:r w:rsidR="00932D01">
        <w:t xml:space="preserve"> aged care sector; agriculture sector; or childcare sector; or disability sect</w:t>
      </w:r>
      <w:r w:rsidR="00E024C4">
        <w:t>or</w:t>
      </w:r>
      <w:r w:rsidR="00932D01">
        <w:t xml:space="preserve">; or food processing sector; or health care sector; and is unable to make a valid application, </w:t>
      </w:r>
      <w:r w:rsidR="00D847D5">
        <w:t>or meet the criteria in Schedule 2 of the Regulations for another Subclass 408 visa, or a substantive temporary visa of another Subclass other than a Sub</w:t>
      </w:r>
      <w:r w:rsidR="00BF4F5C">
        <w:t>c</w:t>
      </w:r>
      <w:r w:rsidR="00D847D5">
        <w:t xml:space="preserve">lass 408 visa. </w:t>
      </w:r>
    </w:p>
    <w:p w14:paraId="5210E7D2" w14:textId="68A141EE" w:rsidR="000E113D" w:rsidRDefault="000E113D" w:rsidP="00D847D5">
      <w:pPr>
        <w:pStyle w:val="ESSubparaHeader"/>
        <w:keepNext w:val="0"/>
        <w:ind w:left="567" w:hanging="567"/>
      </w:pPr>
      <w:r>
        <w:t xml:space="preserve">The class specified in subsection 8(3) of LIN 20/229 is intended to capture persons who are, or will be, employed in industries that have been particularly impacted by the COVID-19 pandemic.  </w:t>
      </w:r>
    </w:p>
    <w:p w14:paraId="11993113" w14:textId="75DF0BFF" w:rsidR="00D1035C" w:rsidRDefault="00D1035C" w:rsidP="00BF4F5C">
      <w:pPr>
        <w:pStyle w:val="ESSubparaHeader"/>
        <w:keepNext w:val="0"/>
        <w:ind w:left="567" w:hanging="567"/>
      </w:pPr>
      <w:r>
        <w:t>The purpose of this instrument is to:</w:t>
      </w:r>
    </w:p>
    <w:p w14:paraId="65DEF6F6" w14:textId="6F91DFE9" w:rsidR="000E113D" w:rsidRPr="00D1035C" w:rsidRDefault="000E113D" w:rsidP="000E113D">
      <w:pPr>
        <w:pStyle w:val="ESSubparaList"/>
      </w:pPr>
      <w:r>
        <w:t>expand the class of persons specified in subsection 8(3) to capture people who are employed</w:t>
      </w:r>
      <w:r w:rsidR="00283E06">
        <w:t xml:space="preserve"> by</w:t>
      </w:r>
      <w:r>
        <w:t xml:space="preserve">, or in receipt of an offer of employment from, an employer in the tourism and hospitality sector (see item 3 of Schedule 1 to the instrument); and </w:t>
      </w:r>
    </w:p>
    <w:p w14:paraId="38823C48" w14:textId="409749EB" w:rsidR="000E113D" w:rsidRPr="00BF4F5C" w:rsidRDefault="00D1035C" w:rsidP="00BF4F5C">
      <w:pPr>
        <w:pStyle w:val="ESSubparaList"/>
      </w:pPr>
      <w:r>
        <w:t>amend the class of persons specified in subsection 8(1) to allow for an application for a Subclass 408 visa to be made if the person holds a substantive temporary visa that is 90 days or less from ceasing to be in effect</w:t>
      </w:r>
      <w:r w:rsidR="000E113D">
        <w:t xml:space="preserve"> (see item 2)</w:t>
      </w:r>
      <w:r>
        <w:t xml:space="preserve">.  </w:t>
      </w:r>
    </w:p>
    <w:p w14:paraId="32A1FA63" w14:textId="2E49F9C7" w:rsidR="00BA604F" w:rsidRDefault="00BA604F" w:rsidP="00BF4F5C">
      <w:pPr>
        <w:pStyle w:val="ESSubparaHeader"/>
        <w:keepNext w:val="0"/>
        <w:ind w:left="567" w:hanging="567"/>
      </w:pPr>
      <w:r>
        <w:t>For the p</w:t>
      </w:r>
      <w:r w:rsidR="004E7D16">
        <w:t xml:space="preserve">urposes of this instrument, an employer in the </w:t>
      </w:r>
      <w:r>
        <w:t>‘tourism and hospitality</w:t>
      </w:r>
      <w:r w:rsidR="004E7D16">
        <w:t xml:space="preserve"> sector</w:t>
      </w:r>
      <w:r>
        <w:t xml:space="preserve">’ </w:t>
      </w:r>
      <w:r w:rsidR="004E7D16">
        <w:t>is</w:t>
      </w:r>
      <w:r>
        <w:t xml:space="preserve"> </w:t>
      </w:r>
      <w:r w:rsidR="004E7D16">
        <w:t xml:space="preserve">intended to be </w:t>
      </w:r>
      <w:r>
        <w:t>defined with reference to the Australian and New Zealand Standard I</w:t>
      </w:r>
      <w:r w:rsidR="007B6385">
        <w:t>ndustrial Classification (ANZSIC</w:t>
      </w:r>
      <w:r>
        <w:t>) system under the Division of Accommodation and Food Services. This will also include work for employers whose primary purpose is to directly provide a serv</w:t>
      </w:r>
      <w:r w:rsidR="00CB400A">
        <w:t>ice to tourists</w:t>
      </w:r>
      <w:r>
        <w:t>, when their activities are not listed in the Division of Accommodation and Food Services</w:t>
      </w:r>
      <w:r w:rsidR="007B6385">
        <w:t xml:space="preserve"> under the ANZSIC</w:t>
      </w:r>
      <w:r>
        <w:t xml:space="preserve"> system. </w:t>
      </w:r>
    </w:p>
    <w:p w14:paraId="4BF370A2" w14:textId="7DD4AD7D" w:rsidR="00F51111" w:rsidRPr="00F51111" w:rsidRDefault="00D1035C" w:rsidP="00BF4F5C">
      <w:pPr>
        <w:pStyle w:val="ESSubparaHeader"/>
        <w:keepNext w:val="0"/>
        <w:ind w:left="567" w:hanging="567"/>
      </w:pPr>
      <w:r>
        <w:t>LIN 20/229 also specifies</w:t>
      </w:r>
      <w:r w:rsidR="00E52F9A">
        <w:t xml:space="preserve"> that the</w:t>
      </w:r>
      <w:r w:rsidRPr="00F51111">
        <w:t xml:space="preserve"> </w:t>
      </w:r>
      <w:r w:rsidR="00F51111">
        <w:t xml:space="preserve">visa application charge (VAC) amount is nil </w:t>
      </w:r>
      <w:r w:rsidR="00320FF3">
        <w:t>for</w:t>
      </w:r>
      <w:r>
        <w:t xml:space="preserve"> visa applications </w:t>
      </w:r>
      <w:r w:rsidR="00320FF3">
        <w:t xml:space="preserve">captured by LIN 20/229 </w:t>
      </w:r>
      <w:r>
        <w:t>for the purpose of subparagraph 1237(2)(a)(i) of Schedule 1 to the Migration Regulations</w:t>
      </w:r>
      <w:r w:rsidR="00F51111">
        <w:t xml:space="preserve">. </w:t>
      </w:r>
      <w:r>
        <w:t xml:space="preserve">The instrument does not make any changes to VAC </w:t>
      </w:r>
      <w:r w:rsidR="00320FF3">
        <w:t>arrangements, and nil VAC continues to be payable for any application captured by LIN 20/229</w:t>
      </w:r>
      <w:r>
        <w:t xml:space="preserve">.  </w:t>
      </w:r>
    </w:p>
    <w:p w14:paraId="1274AF0D" w14:textId="29385A69" w:rsidR="00E52F9A" w:rsidRDefault="00045DB6" w:rsidP="00BF4F5C">
      <w:pPr>
        <w:pStyle w:val="ESSubparaHeader"/>
        <w:keepNext w:val="0"/>
        <w:ind w:left="567" w:hanging="567"/>
      </w:pPr>
      <w:r>
        <w:t xml:space="preserve">New section </w:t>
      </w:r>
      <w:r w:rsidR="00E161B7">
        <w:t xml:space="preserve">6B </w:t>
      </w:r>
      <w:r w:rsidR="00E52F9A">
        <w:t>clarifies that the amendments made by the instrument to LIN 20/229 apply</w:t>
      </w:r>
      <w:r>
        <w:t xml:space="preserve"> to </w:t>
      </w:r>
      <w:r w:rsidR="00350D78">
        <w:t xml:space="preserve">a </w:t>
      </w:r>
      <w:r w:rsidR="00807336">
        <w:t xml:space="preserve">Subclass 408 visa </w:t>
      </w:r>
      <w:r>
        <w:t>application</w:t>
      </w:r>
      <w:r w:rsidR="00807336">
        <w:t xml:space="preserve"> </w:t>
      </w:r>
      <w:r>
        <w:t xml:space="preserve">made, but not finally determined, before the commencement of the instrument </w:t>
      </w:r>
      <w:r w:rsidR="00EB6E0C">
        <w:t xml:space="preserve">and an application made on or after the commencement of the instrument. </w:t>
      </w:r>
      <w:r w:rsidR="00E52F9A">
        <w:t xml:space="preserve">This means that: </w:t>
      </w:r>
    </w:p>
    <w:p w14:paraId="240D8F31" w14:textId="0E402296" w:rsidR="00E52F9A" w:rsidRDefault="00E52F9A" w:rsidP="00BF4F5C">
      <w:pPr>
        <w:pStyle w:val="ESSubparaList"/>
        <w:ind w:left="1276" w:hanging="425"/>
      </w:pPr>
      <w:r>
        <w:t xml:space="preserve">if a person has applied for a visa as part of the class of persons specified in subsection 8(1) before the commencement of the instrument, they will be captured under subsection 8(1); and </w:t>
      </w:r>
    </w:p>
    <w:p w14:paraId="7472DF88" w14:textId="0743F42A" w:rsidR="005C115D" w:rsidRPr="00EB6E0C" w:rsidRDefault="007B6385" w:rsidP="005C115D">
      <w:pPr>
        <w:pStyle w:val="ESSubparaList"/>
        <w:ind w:left="1276" w:hanging="425"/>
      </w:pPr>
      <w:r>
        <w:t>if a</w:t>
      </w:r>
      <w:r w:rsidR="00E52F9A">
        <w:t xml:space="preserve"> person has </w:t>
      </w:r>
      <w:r w:rsidR="00283E06">
        <w:t>made a visa application</w:t>
      </w:r>
      <w:r w:rsidR="00E52F9A">
        <w:t xml:space="preserve"> whilst being engaged in, or with an offer for, work in the</w:t>
      </w:r>
      <w:r>
        <w:t xml:space="preserve"> tourism and hospitality sector</w:t>
      </w:r>
      <w:r w:rsidR="00E52F9A">
        <w:t xml:space="preserve"> they will be captured in the class specified in subsection 8(3).   </w:t>
      </w:r>
    </w:p>
    <w:p w14:paraId="3453E350" w14:textId="66F291F4" w:rsidR="005C115D" w:rsidRDefault="00FA7680" w:rsidP="005C115D">
      <w:pPr>
        <w:pStyle w:val="ESSubparaHeader"/>
        <w:keepNext w:val="0"/>
        <w:ind w:left="567" w:hanging="567"/>
      </w:pPr>
      <w:r>
        <w:t>For the purposes</w:t>
      </w:r>
      <w:r w:rsidR="007B6385">
        <w:t xml:space="preserve"> </w:t>
      </w:r>
      <w:r>
        <w:t>of this amendment</w:t>
      </w:r>
      <w:r w:rsidR="007B6385">
        <w:t>,</w:t>
      </w:r>
      <w:r>
        <w:t xml:space="preserve"> an application </w:t>
      </w:r>
      <w:r w:rsidR="007333FE">
        <w:t>has</w:t>
      </w:r>
      <w:r>
        <w:t xml:space="preserve"> not </w:t>
      </w:r>
      <w:r w:rsidR="007333FE">
        <w:t xml:space="preserve">been </w:t>
      </w:r>
      <w:r>
        <w:t xml:space="preserve">finally </w:t>
      </w:r>
      <w:r w:rsidR="00483A2E">
        <w:t xml:space="preserve">determined, if a valid application has been made and a decision is not yet made on the application, or </w:t>
      </w:r>
      <w:r>
        <w:t xml:space="preserve">if a delegate has made a </w:t>
      </w:r>
      <w:r>
        <w:lastRenderedPageBreak/>
        <w:t>decision</w:t>
      </w:r>
      <w:r w:rsidR="00483A2E">
        <w:t>,</w:t>
      </w:r>
      <w:r>
        <w:t xml:space="preserve"> the decision is reviewable under Part 5 or Part 7 of the Migration Act. Where a decision is reviewable, </w:t>
      </w:r>
      <w:r w:rsidR="007333FE">
        <w:t xml:space="preserve">the application has been finally determined if </w:t>
      </w:r>
      <w:r>
        <w:t>either the timeframe for making an application for review has lapsed without</w:t>
      </w:r>
      <w:r w:rsidR="00AE4E00">
        <w:t xml:space="preserve"> a review application being made,</w:t>
      </w:r>
      <w:r>
        <w:t xml:space="preserve"> or the decision is reviewed by a reviewing body and a decision has been made, which does not include remitting the decision back to the Department. </w:t>
      </w:r>
    </w:p>
    <w:p w14:paraId="62F49D9B" w14:textId="3BC0862A" w:rsidR="005C115D" w:rsidRPr="005C115D" w:rsidRDefault="005C115D" w:rsidP="005C115D">
      <w:pPr>
        <w:pStyle w:val="ESHeading"/>
      </w:pPr>
      <w:r w:rsidRPr="008B24C8">
        <w:t>Consultation</w:t>
      </w:r>
    </w:p>
    <w:p w14:paraId="561FBFAC" w14:textId="7916026B" w:rsidR="008B24C8" w:rsidRDefault="000E113D" w:rsidP="00BF4F5C">
      <w:pPr>
        <w:pStyle w:val="ESSubparaHeader"/>
        <w:keepNext w:val="0"/>
        <w:ind w:left="567" w:hanging="567"/>
      </w:pPr>
      <w:r>
        <w:t>Before making the instrument, the Department consulted with</w:t>
      </w:r>
      <w:r w:rsidR="006B096D">
        <w:t xml:space="preserve"> the Department of Prime Minister and Cabinet, Attorney General, Austrade and the Department of Education, Skills and Employment</w:t>
      </w:r>
      <w:r>
        <w:t xml:space="preserve"> about the expansion of subsection 8(3)</w:t>
      </w:r>
      <w:r w:rsidR="006B096D">
        <w:t xml:space="preserve">. </w:t>
      </w:r>
      <w:r>
        <w:t xml:space="preserve"> </w:t>
      </w:r>
      <w:r w:rsidR="00483A2E">
        <w:t xml:space="preserve">The </w:t>
      </w:r>
      <w:r w:rsidR="006C5E90">
        <w:t xml:space="preserve">consultations were </w:t>
      </w:r>
      <w:r w:rsidR="00483A2E">
        <w:t>part of broader discussions to support the</w:t>
      </w:r>
      <w:r w:rsidR="007B6385">
        <w:t xml:space="preserve"> Tourism and Hospitality sector</w:t>
      </w:r>
      <w:r w:rsidR="00483A2E">
        <w:t xml:space="preserve"> and the consulted agencies agreed to the expansion of the class to include workers in the Tourism and Hospitality sector. </w:t>
      </w:r>
    </w:p>
    <w:p w14:paraId="1B091D1A" w14:textId="5A31F1CB" w:rsidR="008B24C8" w:rsidRPr="008B24C8" w:rsidRDefault="008B24C8" w:rsidP="00BF4F5C">
      <w:pPr>
        <w:pStyle w:val="ESSubparaHeader"/>
        <w:keepNext w:val="0"/>
        <w:ind w:left="567" w:hanging="567"/>
      </w:pPr>
      <w:r w:rsidRPr="008B24C8">
        <w:t>The Office of Best Practice Regulation (OBPR) was also consulted and considered that the instrument dealt with m</w:t>
      </w:r>
      <w:r w:rsidR="006B096D">
        <w:t xml:space="preserve">atters of a minor or machinery </w:t>
      </w:r>
      <w:r w:rsidRPr="008B24C8">
        <w:t xml:space="preserve">nature and no regulatory impact statement was required.  </w:t>
      </w:r>
      <w:r>
        <w:t>The OBPR re</w:t>
      </w:r>
      <w:r w:rsidR="006B096D">
        <w:t xml:space="preserve">ference number is 44060. </w:t>
      </w:r>
    </w:p>
    <w:p w14:paraId="47AE2C56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7FE7BA6D" w14:textId="77777777" w:rsidR="00AA4557" w:rsidRDefault="00AA4557" w:rsidP="00BF4F5C">
      <w:pPr>
        <w:pStyle w:val="ESSubparaHeader"/>
        <w:keepNext w:val="0"/>
        <w:ind w:left="567" w:hanging="567"/>
      </w:pPr>
      <w:r>
        <w:t>Section 1 sets out</w:t>
      </w:r>
      <w:r w:rsidR="00E03DCC">
        <w:t xml:space="preserve"> the name of the instrument. </w:t>
      </w:r>
    </w:p>
    <w:p w14:paraId="77E7E9F8" w14:textId="616C61F3" w:rsidR="00AA4557" w:rsidRDefault="00AA4557" w:rsidP="00BF4F5C">
      <w:pPr>
        <w:pStyle w:val="ESSubparaHeader"/>
        <w:keepNext w:val="0"/>
        <w:ind w:left="567" w:hanging="567"/>
      </w:pPr>
      <w:r>
        <w:t xml:space="preserve">Section 2 provides for the commencement of the instrument on </w:t>
      </w:r>
      <w:r w:rsidR="006B096D">
        <w:t xml:space="preserve">the day after it is registered on the </w:t>
      </w:r>
      <w:r w:rsidR="00283E06">
        <w:t xml:space="preserve">Federal Register </w:t>
      </w:r>
      <w:r w:rsidR="006B096D">
        <w:t xml:space="preserve">of Legislation. </w:t>
      </w:r>
    </w:p>
    <w:p w14:paraId="1707D166" w14:textId="5E2CC3C8" w:rsidR="00E03DCC" w:rsidRDefault="00331112" w:rsidP="00BF4F5C">
      <w:pPr>
        <w:pStyle w:val="ESSubparaHeader"/>
        <w:keepNext w:val="0"/>
        <w:ind w:left="567" w:hanging="567"/>
      </w:pPr>
      <w:r>
        <w:t xml:space="preserve">Section 3 states that the instrument amends </w:t>
      </w:r>
      <w:r>
        <w:rPr>
          <w:i/>
        </w:rPr>
        <w:t>Migration (LIN 20/229: COVID-19 Pandemic event for Subclass 408 (Temporary Activity) visa and visa application charge for Temporary Activity (Class CG visa) Instrument 2020</w:t>
      </w:r>
      <w:r w:rsidR="00E161B7">
        <w:rPr>
          <w:i/>
        </w:rPr>
        <w:t>.</w:t>
      </w:r>
    </w:p>
    <w:p w14:paraId="21F8E4BD" w14:textId="53892D66" w:rsidR="00E03DCC" w:rsidRDefault="00320FF3" w:rsidP="00BF4F5C">
      <w:pPr>
        <w:pStyle w:val="ESSubparaHeader"/>
        <w:keepNext w:val="0"/>
        <w:ind w:left="567" w:hanging="567"/>
      </w:pPr>
      <w:r>
        <w:t>Item 1 of Schedule 1</w:t>
      </w:r>
      <w:r w:rsidR="00331112">
        <w:t xml:space="preserve"> inserts </w:t>
      </w:r>
      <w:r>
        <w:t>new section 6B into LIN 20/229</w:t>
      </w:r>
      <w:r w:rsidR="00331112">
        <w:t xml:space="preserve">. </w:t>
      </w:r>
      <w:r>
        <w:t>This section</w:t>
      </w:r>
      <w:r w:rsidR="00331112">
        <w:t xml:space="preserve"> provides that the amendments made by LIN 21/038 apply to an application made for the Subclass 408 visa, but not finally determined, before the commencement of that instrument; and an application made on or after the commencement of that instrument. </w:t>
      </w:r>
    </w:p>
    <w:p w14:paraId="646BE05A" w14:textId="7DDE4A04" w:rsidR="00331112" w:rsidRDefault="00320FF3" w:rsidP="00BF4F5C">
      <w:pPr>
        <w:pStyle w:val="ESSubparaHeader"/>
        <w:keepNext w:val="0"/>
        <w:ind w:left="567" w:hanging="567"/>
      </w:pPr>
      <w:r>
        <w:t>Item 2 of Schedule 1</w:t>
      </w:r>
      <w:r w:rsidR="00331112">
        <w:t xml:space="preserve"> amends </w:t>
      </w:r>
      <w:r w:rsidR="00E161B7">
        <w:t>subparagraph 8</w:t>
      </w:r>
      <w:r w:rsidR="00331112">
        <w:t>(</w:t>
      </w:r>
      <w:r w:rsidR="00887D39">
        <w:t>1</w:t>
      </w:r>
      <w:r w:rsidR="00331112">
        <w:t>)(</w:t>
      </w:r>
      <w:r w:rsidR="00887D39">
        <w:t>c</w:t>
      </w:r>
      <w:r w:rsidR="00331112">
        <w:t xml:space="preserve">)(i) in LIN 20/229 </w:t>
      </w:r>
      <w:r w:rsidR="007D1AFC">
        <w:t xml:space="preserve">to include in the class of persons, who are able to apply for a Subclass 408 visa, the holder of a substantive temporary visa that is 90 </w:t>
      </w:r>
      <w:r w:rsidR="00E024C4">
        <w:t>days or</w:t>
      </w:r>
      <w:r w:rsidR="007D1AFC">
        <w:t xml:space="preserve"> less from ceasing to be in effect. </w:t>
      </w:r>
    </w:p>
    <w:p w14:paraId="198AD7A8" w14:textId="06B590AB" w:rsidR="00331112" w:rsidRDefault="00E52F9A" w:rsidP="00BF4F5C">
      <w:pPr>
        <w:pStyle w:val="ESSubparaHeader"/>
        <w:keepNext w:val="0"/>
        <w:ind w:left="567" w:hanging="567"/>
      </w:pPr>
      <w:r>
        <w:t>Item 3 of Schedule 1, in effect,</w:t>
      </w:r>
      <w:r w:rsidR="00FA7BEB">
        <w:t xml:space="preserve"> inserts</w:t>
      </w:r>
      <w:r>
        <w:t xml:space="preserve"> a reference to the</w:t>
      </w:r>
      <w:r w:rsidR="00FA7BEB">
        <w:t xml:space="preserve"> ‘tourism and hospitality sector’ and</w:t>
      </w:r>
      <w:r w:rsidR="00E161B7">
        <w:t xml:space="preserve"> in </w:t>
      </w:r>
      <w:r>
        <w:t xml:space="preserve">new </w:t>
      </w:r>
      <w:r w:rsidR="00E161B7">
        <w:t>subparagraph</w:t>
      </w:r>
      <w:r w:rsidR="00FA7BEB">
        <w:t xml:space="preserve"> 8(3)(c)(vi</w:t>
      </w:r>
      <w:r w:rsidR="00E161B7">
        <w:t>i</w:t>
      </w:r>
      <w:r w:rsidR="00FA7BEB">
        <w:t xml:space="preserve">).  This change adds applicants working in the tourism and hospitality sector as an additional class of persons for the purpose of paragraph 408.229(c) of Schedule 2 to the Regulations. </w:t>
      </w:r>
      <w:r>
        <w:t xml:space="preserve"> Technical amendments to subparagraph 8(3)(c)(vi) are also included to give effect to this change.  </w:t>
      </w:r>
    </w:p>
    <w:p w14:paraId="7E7FFE47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0F4AD71E" w14:textId="082B5A19" w:rsidR="00E03DCC" w:rsidRDefault="00E03DCC" w:rsidP="00BF4F5C">
      <w:pPr>
        <w:pStyle w:val="ESSubparaHeader"/>
        <w:keepNext w:val="0"/>
        <w:ind w:left="567" w:hanging="567"/>
      </w:pPr>
      <w:r>
        <w:t xml:space="preserve">The instrument is exempt from disallowance under section 42 of the Legislation Act.  This is because </w:t>
      </w:r>
      <w:r w:rsidR="00E52F9A">
        <w:t xml:space="preserve">the powers to make the instrument are prescribed in </w:t>
      </w:r>
      <w:r w:rsidR="00FA7BEB">
        <w:t xml:space="preserve">item 20 of the table in section 10 of the </w:t>
      </w:r>
      <w:r w:rsidR="00FA7BEB">
        <w:rPr>
          <w:i/>
        </w:rPr>
        <w:t xml:space="preserve">Legislation (Exemptions and Other Matters) </w:t>
      </w:r>
      <w:r w:rsidR="00E52F9A">
        <w:rPr>
          <w:i/>
        </w:rPr>
        <w:t>R</w:t>
      </w:r>
      <w:r w:rsidR="00FA7BEB">
        <w:rPr>
          <w:i/>
        </w:rPr>
        <w:t xml:space="preserve">egulation 2015. </w:t>
      </w:r>
    </w:p>
    <w:p w14:paraId="452B4DF9" w14:textId="46C96EFF" w:rsidR="00B75478" w:rsidRDefault="00B75478" w:rsidP="00BF4F5C">
      <w:pPr>
        <w:pStyle w:val="ESSubparaHeader"/>
        <w:keepNext w:val="0"/>
        <w:ind w:left="567" w:hanging="567"/>
      </w:pPr>
      <w:r w:rsidRPr="00B75478">
        <w:lastRenderedPageBreak/>
        <w:t xml:space="preserve">The </w:t>
      </w:r>
      <w:r>
        <w:t>instrument was made by</w:t>
      </w:r>
      <w:r w:rsidR="00B911EE">
        <w:t xml:space="preserve"> a </w:t>
      </w:r>
      <w:r w:rsidR="006A146D">
        <w:t>Senior Executive Service Band One</w:t>
      </w:r>
      <w:r w:rsidR="00283E06">
        <w:t xml:space="preserve"> in the</w:t>
      </w:r>
      <w:r w:rsidR="006A146D">
        <w:t xml:space="preserve"> </w:t>
      </w:r>
      <w:r w:rsidR="00F83824">
        <w:t xml:space="preserve">Immigration Programs Division </w:t>
      </w:r>
      <w:r w:rsidR="00283E06">
        <w:t xml:space="preserve">of the Department </w:t>
      </w:r>
      <w:r w:rsidR="00B911EE">
        <w:t xml:space="preserve">who has been delegated the powers to make the instrument by the Minister for Home Affairs.  </w:t>
      </w:r>
      <w:r w:rsidR="00F83824">
        <w:rPr>
          <w:i/>
        </w:rPr>
        <w:t xml:space="preserve"> </w:t>
      </w:r>
    </w:p>
    <w:p w14:paraId="3AF3A08C" w14:textId="3AB77CFB" w:rsidR="00915032" w:rsidRPr="00E161B7" w:rsidRDefault="00915032" w:rsidP="00E161B7">
      <w:pPr>
        <w:rPr>
          <w:rFonts w:ascii="Times New Roman" w:hAnsi="Times New Roman" w:cs="Times New Roman"/>
        </w:rPr>
      </w:pPr>
    </w:p>
    <w:sectPr w:rsidR="00915032" w:rsidRPr="00E161B7" w:rsidSect="004F5CE4"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1561" w14:textId="77777777" w:rsidR="00095B20" w:rsidRDefault="00095B20" w:rsidP="002D48FC">
      <w:pPr>
        <w:spacing w:after="0" w:line="240" w:lineRule="auto"/>
      </w:pPr>
      <w:r>
        <w:separator/>
      </w:r>
    </w:p>
  </w:endnote>
  <w:endnote w:type="continuationSeparator" w:id="0">
    <w:p w14:paraId="56026532" w14:textId="77777777" w:rsidR="00095B20" w:rsidRDefault="00095B20" w:rsidP="002D48FC">
      <w:pPr>
        <w:spacing w:after="0" w:line="240" w:lineRule="auto"/>
      </w:pPr>
      <w:r>
        <w:continuationSeparator/>
      </w:r>
    </w:p>
  </w:endnote>
  <w:endnote w:type="continuationNotice" w:id="1">
    <w:p w14:paraId="3A2970A7" w14:textId="77777777" w:rsidR="00095B20" w:rsidRDefault="00095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116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83DF00" w14:textId="07DDD817" w:rsidR="002D48FC" w:rsidRPr="006B2999" w:rsidRDefault="002D48FC">
        <w:pPr>
          <w:pStyle w:val="Footer"/>
          <w:jc w:val="center"/>
          <w:rPr>
            <w:rFonts w:ascii="Times New Roman" w:hAnsi="Times New Roman" w:cs="Times New Roman"/>
          </w:rPr>
        </w:pPr>
        <w:r w:rsidRPr="006B2999">
          <w:rPr>
            <w:rFonts w:ascii="Times New Roman" w:hAnsi="Times New Roman" w:cs="Times New Roman"/>
          </w:rPr>
          <w:fldChar w:fldCharType="begin"/>
        </w:r>
        <w:r w:rsidRPr="006B2999">
          <w:rPr>
            <w:rFonts w:ascii="Times New Roman" w:hAnsi="Times New Roman" w:cs="Times New Roman"/>
          </w:rPr>
          <w:instrText xml:space="preserve"> PAGE   \* MERGEFORMAT </w:instrText>
        </w:r>
        <w:r w:rsidRPr="006B2999">
          <w:rPr>
            <w:rFonts w:ascii="Times New Roman" w:hAnsi="Times New Roman" w:cs="Times New Roman"/>
          </w:rPr>
          <w:fldChar w:fldCharType="separate"/>
        </w:r>
        <w:r w:rsidR="001E4B1B">
          <w:rPr>
            <w:rFonts w:ascii="Times New Roman" w:hAnsi="Times New Roman" w:cs="Times New Roman"/>
            <w:noProof/>
          </w:rPr>
          <w:t>1</w:t>
        </w:r>
        <w:r w:rsidRPr="006B29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D97721" w14:textId="1DFD466F" w:rsidR="002D48FC" w:rsidRDefault="002D4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D2B1" w14:textId="77777777" w:rsidR="00095B20" w:rsidRDefault="00095B20" w:rsidP="002D48FC">
      <w:pPr>
        <w:spacing w:after="0" w:line="240" w:lineRule="auto"/>
      </w:pPr>
      <w:r>
        <w:separator/>
      </w:r>
    </w:p>
  </w:footnote>
  <w:footnote w:type="continuationSeparator" w:id="0">
    <w:p w14:paraId="041E072F" w14:textId="77777777" w:rsidR="00095B20" w:rsidRDefault="00095B20" w:rsidP="002D48FC">
      <w:pPr>
        <w:spacing w:after="0" w:line="240" w:lineRule="auto"/>
      </w:pPr>
      <w:r>
        <w:continuationSeparator/>
      </w:r>
    </w:p>
  </w:footnote>
  <w:footnote w:type="continuationNotice" w:id="1">
    <w:p w14:paraId="48BBCDA9" w14:textId="77777777" w:rsidR="00095B20" w:rsidRDefault="00095B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50BB"/>
    <w:multiLevelType w:val="hybridMultilevel"/>
    <w:tmpl w:val="DBFABAD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comments" w:enforcement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D"/>
    <w:rsid w:val="00005935"/>
    <w:rsid w:val="00014D5B"/>
    <w:rsid w:val="00016DCA"/>
    <w:rsid w:val="00045DB6"/>
    <w:rsid w:val="00064F91"/>
    <w:rsid w:val="00095B20"/>
    <w:rsid w:val="000D014F"/>
    <w:rsid w:val="000D32B9"/>
    <w:rsid w:val="000E113D"/>
    <w:rsid w:val="00100DFC"/>
    <w:rsid w:val="00134C18"/>
    <w:rsid w:val="00174C70"/>
    <w:rsid w:val="0019164E"/>
    <w:rsid w:val="001B02EF"/>
    <w:rsid w:val="001D411D"/>
    <w:rsid w:val="001E2807"/>
    <w:rsid w:val="001E4B1B"/>
    <w:rsid w:val="002402E0"/>
    <w:rsid w:val="002557B7"/>
    <w:rsid w:val="00283E06"/>
    <w:rsid w:val="0028617D"/>
    <w:rsid w:val="002D167E"/>
    <w:rsid w:val="002D3B8B"/>
    <w:rsid w:val="002D48FC"/>
    <w:rsid w:val="002F0C4C"/>
    <w:rsid w:val="00320FF3"/>
    <w:rsid w:val="00331112"/>
    <w:rsid w:val="00333C15"/>
    <w:rsid w:val="00350D78"/>
    <w:rsid w:val="003765D2"/>
    <w:rsid w:val="00410AC5"/>
    <w:rsid w:val="00423A96"/>
    <w:rsid w:val="00440A26"/>
    <w:rsid w:val="0044651C"/>
    <w:rsid w:val="0045091D"/>
    <w:rsid w:val="00457D4A"/>
    <w:rsid w:val="00464080"/>
    <w:rsid w:val="00482288"/>
    <w:rsid w:val="00483A2E"/>
    <w:rsid w:val="00493B09"/>
    <w:rsid w:val="004E7D16"/>
    <w:rsid w:val="004F5CE4"/>
    <w:rsid w:val="00521993"/>
    <w:rsid w:val="00560B24"/>
    <w:rsid w:val="00564B96"/>
    <w:rsid w:val="0057002B"/>
    <w:rsid w:val="005C115D"/>
    <w:rsid w:val="005F6A06"/>
    <w:rsid w:val="00604E06"/>
    <w:rsid w:val="00627E0D"/>
    <w:rsid w:val="00653D59"/>
    <w:rsid w:val="006570F3"/>
    <w:rsid w:val="006A146D"/>
    <w:rsid w:val="006B096D"/>
    <w:rsid w:val="006B2999"/>
    <w:rsid w:val="006C0354"/>
    <w:rsid w:val="006C25DC"/>
    <w:rsid w:val="006C59D3"/>
    <w:rsid w:val="006C5E90"/>
    <w:rsid w:val="00704CF3"/>
    <w:rsid w:val="007333FE"/>
    <w:rsid w:val="00754A41"/>
    <w:rsid w:val="00764BFE"/>
    <w:rsid w:val="007B6385"/>
    <w:rsid w:val="007D1AFC"/>
    <w:rsid w:val="007E4691"/>
    <w:rsid w:val="00807336"/>
    <w:rsid w:val="00821248"/>
    <w:rsid w:val="00864904"/>
    <w:rsid w:val="0088407D"/>
    <w:rsid w:val="00887D39"/>
    <w:rsid w:val="008B24C8"/>
    <w:rsid w:val="0090003A"/>
    <w:rsid w:val="00915032"/>
    <w:rsid w:val="00932D01"/>
    <w:rsid w:val="009348C6"/>
    <w:rsid w:val="00940536"/>
    <w:rsid w:val="009429EE"/>
    <w:rsid w:val="00970C4F"/>
    <w:rsid w:val="009A6572"/>
    <w:rsid w:val="009E21B6"/>
    <w:rsid w:val="00A36C49"/>
    <w:rsid w:val="00A76A13"/>
    <w:rsid w:val="00AA4557"/>
    <w:rsid w:val="00AA7A35"/>
    <w:rsid w:val="00AE4E00"/>
    <w:rsid w:val="00B31ABA"/>
    <w:rsid w:val="00B445D9"/>
    <w:rsid w:val="00B5111F"/>
    <w:rsid w:val="00B65A06"/>
    <w:rsid w:val="00B75478"/>
    <w:rsid w:val="00B911EE"/>
    <w:rsid w:val="00BA604F"/>
    <w:rsid w:val="00BB0CF2"/>
    <w:rsid w:val="00BD598E"/>
    <w:rsid w:val="00BF4F5C"/>
    <w:rsid w:val="00C06006"/>
    <w:rsid w:val="00C1281D"/>
    <w:rsid w:val="00C4557C"/>
    <w:rsid w:val="00C81A5E"/>
    <w:rsid w:val="00C930F2"/>
    <w:rsid w:val="00CB400A"/>
    <w:rsid w:val="00CB635D"/>
    <w:rsid w:val="00D1035C"/>
    <w:rsid w:val="00D40E1E"/>
    <w:rsid w:val="00D846E8"/>
    <w:rsid w:val="00D847D5"/>
    <w:rsid w:val="00D930B5"/>
    <w:rsid w:val="00E024C4"/>
    <w:rsid w:val="00E03DCC"/>
    <w:rsid w:val="00E161B7"/>
    <w:rsid w:val="00E45FE2"/>
    <w:rsid w:val="00E510FC"/>
    <w:rsid w:val="00E52F9A"/>
    <w:rsid w:val="00E744B2"/>
    <w:rsid w:val="00EA12C9"/>
    <w:rsid w:val="00EB6E0C"/>
    <w:rsid w:val="00F205AC"/>
    <w:rsid w:val="00F51111"/>
    <w:rsid w:val="00F679A4"/>
    <w:rsid w:val="00F83824"/>
    <w:rsid w:val="00F85211"/>
    <w:rsid w:val="00FA7680"/>
    <w:rsid w:val="00FA7BEB"/>
    <w:rsid w:val="00FD5614"/>
    <w:rsid w:val="00FE0FEE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8AB005"/>
  <w15:chartTrackingRefBased/>
  <w15:docId w15:val="{4B6C0F16-F27E-4809-B5A0-D943FCC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customStyle="1" w:styleId="LDP1a">
    <w:name w:val="LDP1(a)"/>
    <w:link w:val="LDP1aChar"/>
    <w:rsid w:val="00045DB6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45DB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6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FC"/>
  </w:style>
  <w:style w:type="paragraph" w:styleId="Footer">
    <w:name w:val="footer"/>
    <w:basedOn w:val="Normal"/>
    <w:link w:val="FooterChar"/>
    <w:uiPriority w:val="99"/>
    <w:unhideWhenUsed/>
    <w:rsid w:val="002D4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FC"/>
  </w:style>
  <w:style w:type="paragraph" w:customStyle="1" w:styleId="subsection">
    <w:name w:val="subsection"/>
    <w:basedOn w:val="Normal"/>
    <w:rsid w:val="0075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5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75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765D2"/>
    <w:rPr>
      <w:color w:val="0563C1"/>
      <w:u w:val="single"/>
    </w:rPr>
  </w:style>
  <w:style w:type="paragraph" w:styleId="Revision">
    <w:name w:val="Revision"/>
    <w:hidden/>
    <w:uiPriority w:val="99"/>
    <w:semiHidden/>
    <w:rsid w:val="005F6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BF3-2B6C-4EB3-BC55-612E657A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Deng</dc:creator>
  <cp:keywords/>
  <dc:description/>
  <cp:lastModifiedBy>Christine DENG</cp:lastModifiedBy>
  <cp:revision>2</cp:revision>
  <dcterms:created xsi:type="dcterms:W3CDTF">2021-05-13T06:59:00Z</dcterms:created>
  <dcterms:modified xsi:type="dcterms:W3CDTF">2021-05-13T06:59:00Z</dcterms:modified>
</cp:coreProperties>
</file>