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CB931" w14:textId="77777777" w:rsidR="00F109D4" w:rsidRPr="004E28C4" w:rsidRDefault="00F109D4" w:rsidP="00647BB7">
      <w:pPr>
        <w:pStyle w:val="Heading1"/>
        <w:spacing w:after="360"/>
        <w:rPr>
          <w:rFonts w:ascii="Times New Roman" w:hAnsi="Times New Roman"/>
          <w:sz w:val="24"/>
          <w:szCs w:val="24"/>
        </w:rPr>
      </w:pPr>
      <w:r w:rsidRPr="004E28C4">
        <w:rPr>
          <w:rFonts w:ascii="Times New Roman" w:hAnsi="Times New Roman"/>
          <w:sz w:val="24"/>
          <w:szCs w:val="24"/>
        </w:rPr>
        <w:t>EXPLANATORY STATEMENT</w:t>
      </w:r>
    </w:p>
    <w:p w14:paraId="62494692" w14:textId="0D540D91" w:rsidR="007662C7" w:rsidRPr="004E28C4" w:rsidRDefault="00F109D4" w:rsidP="003E1CE3">
      <w:pPr>
        <w:pStyle w:val="Heading2"/>
        <w:jc w:val="center"/>
        <w:rPr>
          <w:sz w:val="24"/>
          <w:szCs w:val="24"/>
        </w:rPr>
      </w:pPr>
      <w:r w:rsidRPr="004E28C4">
        <w:rPr>
          <w:sz w:val="24"/>
          <w:szCs w:val="24"/>
        </w:rPr>
        <w:t>Issued by authority of the</w:t>
      </w:r>
      <w:r w:rsidR="00076178" w:rsidRPr="004E28C4">
        <w:rPr>
          <w:sz w:val="24"/>
          <w:szCs w:val="24"/>
        </w:rPr>
        <w:t xml:space="preserve"> </w:t>
      </w:r>
      <w:sdt>
        <w:sdtPr>
          <w:rPr>
            <w:sz w:val="24"/>
            <w:szCs w:val="24"/>
          </w:rPr>
          <w:id w:val="435951383"/>
          <w:placeholder>
            <w:docPart w:val="04236AD986804806828553B4E903A430"/>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E27382" w:rsidRPr="004E28C4">
            <w:rPr>
              <w:sz w:val="24"/>
              <w:szCs w:val="24"/>
            </w:rPr>
            <w:t>Assistant Minister for Superannuation, Financial Services and Financial Technology</w:t>
          </w:r>
        </w:sdtContent>
      </w:sdt>
    </w:p>
    <w:p w14:paraId="30252A9A" w14:textId="36F76DE3" w:rsidR="00F109D4" w:rsidRPr="004E28C4" w:rsidRDefault="00BD0AA1" w:rsidP="003C7907">
      <w:pPr>
        <w:spacing w:before="240" w:after="240"/>
        <w:jc w:val="center"/>
        <w:rPr>
          <w:i/>
        </w:rPr>
      </w:pPr>
      <w:r w:rsidRPr="004E28C4">
        <w:rPr>
          <w:i/>
        </w:rPr>
        <w:t>Corporations Act 2001</w:t>
      </w:r>
    </w:p>
    <w:p w14:paraId="50514122" w14:textId="77777777" w:rsidR="0071569E" w:rsidRPr="004E28C4" w:rsidRDefault="0071569E" w:rsidP="0071569E">
      <w:pPr>
        <w:spacing w:before="240" w:after="240"/>
        <w:jc w:val="center"/>
        <w:rPr>
          <w:i/>
        </w:rPr>
      </w:pPr>
      <w:r w:rsidRPr="004E28C4">
        <w:rPr>
          <w:i/>
        </w:rPr>
        <w:t>Electronic Transactions Act 1999</w:t>
      </w:r>
    </w:p>
    <w:p w14:paraId="6D76755B" w14:textId="78AFB40D" w:rsidR="00FF0168" w:rsidRPr="004E28C4" w:rsidRDefault="00FF0168" w:rsidP="00FF0168">
      <w:pPr>
        <w:tabs>
          <w:tab w:val="left" w:pos="1418"/>
        </w:tabs>
        <w:spacing w:before="0" w:after="240"/>
        <w:jc w:val="center"/>
        <w:rPr>
          <w:i/>
        </w:rPr>
      </w:pPr>
      <w:bookmarkStart w:id="0" w:name="_Hlk66864733"/>
      <w:r w:rsidRPr="004E28C4">
        <w:rPr>
          <w:i/>
        </w:rPr>
        <w:t>Financial Sector Reform (Hayne Royal Commission Response –</w:t>
      </w:r>
      <w:r w:rsidR="00BB6177" w:rsidRPr="004E28C4">
        <w:rPr>
          <w:i/>
        </w:rPr>
        <w:t xml:space="preserve"> </w:t>
      </w:r>
      <w:r w:rsidRPr="004E28C4">
        <w:rPr>
          <w:i/>
        </w:rPr>
        <w:t>Advice Fees) Regulations 2021</w:t>
      </w:r>
    </w:p>
    <w:bookmarkEnd w:id="0"/>
    <w:p w14:paraId="5F624605" w14:textId="1EA3AB49" w:rsidR="00F109D4" w:rsidRPr="004E28C4" w:rsidRDefault="00C55D29" w:rsidP="00647BB7">
      <w:pPr>
        <w:spacing w:before="240"/>
      </w:pPr>
      <w:r w:rsidRPr="004E28C4">
        <w:t xml:space="preserve">Section </w:t>
      </w:r>
      <w:r w:rsidR="00BD0AA1" w:rsidRPr="004E28C4">
        <w:t>1364</w:t>
      </w:r>
      <w:r w:rsidR="005E4BAC" w:rsidRPr="004E28C4">
        <w:t xml:space="preserve"> </w:t>
      </w:r>
      <w:r w:rsidR="00F109D4" w:rsidRPr="004E28C4">
        <w:t xml:space="preserve">of the </w:t>
      </w:r>
      <w:r w:rsidR="00BD0AA1" w:rsidRPr="004E28C4">
        <w:rPr>
          <w:i/>
        </w:rPr>
        <w:t>Corporations Act</w:t>
      </w:r>
      <w:r w:rsidR="0071569E" w:rsidRPr="004E28C4">
        <w:rPr>
          <w:i/>
        </w:rPr>
        <w:t xml:space="preserve"> 2001</w:t>
      </w:r>
      <w:r w:rsidR="00F109D4" w:rsidRPr="004E28C4">
        <w:t xml:space="preserve"> </w:t>
      </w:r>
      <w:r w:rsidR="0071569E" w:rsidRPr="004E28C4">
        <w:t xml:space="preserve">and section 16 of the </w:t>
      </w:r>
      <w:r w:rsidR="0071569E" w:rsidRPr="004E28C4">
        <w:rPr>
          <w:i/>
        </w:rPr>
        <w:t>Electronic Transactions Act 1999</w:t>
      </w:r>
      <w:r w:rsidR="0071569E" w:rsidRPr="004E28C4">
        <w:t xml:space="preserve"> </w:t>
      </w:r>
      <w:r w:rsidR="00F109D4" w:rsidRPr="004E28C4">
        <w:t>provide that the Governor-General may make regulations prescribing matters required or permitted by the</w:t>
      </w:r>
      <w:r w:rsidR="0071569E" w:rsidRPr="004E28C4">
        <w:t xml:space="preserve"> respective Acts</w:t>
      </w:r>
      <w:r w:rsidR="00F109D4" w:rsidRPr="004E28C4">
        <w:t xml:space="preserve"> to be prescribed, or necessary or convenient to be prescribed for carrying out or giving effect to </w:t>
      </w:r>
      <w:r w:rsidR="0071569E" w:rsidRPr="004E28C4">
        <w:t>those</w:t>
      </w:r>
      <w:r w:rsidR="00F109D4" w:rsidRPr="004E28C4">
        <w:t xml:space="preserve"> Act</w:t>
      </w:r>
      <w:r w:rsidR="0071569E" w:rsidRPr="004E28C4">
        <w:t>s</w:t>
      </w:r>
      <w:r w:rsidR="00F109D4" w:rsidRPr="004E28C4">
        <w:t>.</w:t>
      </w:r>
    </w:p>
    <w:p w14:paraId="0061D6CB" w14:textId="3944D3D9" w:rsidR="0028532F" w:rsidRPr="004E28C4" w:rsidRDefault="0028532F" w:rsidP="0028532F">
      <w:pPr>
        <w:tabs>
          <w:tab w:val="left" w:pos="1418"/>
        </w:tabs>
        <w:spacing w:before="0" w:after="240"/>
      </w:pPr>
      <w:r w:rsidRPr="004E28C4">
        <w:t>Schedule 1 to the</w:t>
      </w:r>
      <w:r w:rsidR="00BD0AA1" w:rsidRPr="004E28C4">
        <w:t xml:space="preserve"> </w:t>
      </w:r>
      <w:r w:rsidR="00FF0168" w:rsidRPr="004E28C4">
        <w:rPr>
          <w:i/>
        </w:rPr>
        <w:t>Financial Sector Reform (Hayne Royal Commission Response –Advice Fees) Regulations 2021</w:t>
      </w:r>
      <w:r w:rsidR="00116D56" w:rsidRPr="004E28C4">
        <w:rPr>
          <w:i/>
        </w:rPr>
        <w:t xml:space="preserve"> </w:t>
      </w:r>
      <w:r w:rsidR="00131D6D" w:rsidRPr="004E28C4">
        <w:t xml:space="preserve">(the Regulations) </w:t>
      </w:r>
      <w:r w:rsidR="008373D1" w:rsidRPr="004E28C4">
        <w:t>support</w:t>
      </w:r>
      <w:r w:rsidRPr="004E28C4">
        <w:t>s</w:t>
      </w:r>
      <w:r w:rsidR="008373D1" w:rsidRPr="004E28C4">
        <w:t xml:space="preserve"> the operation of </w:t>
      </w:r>
      <w:r w:rsidR="0047182A" w:rsidRPr="004E28C4">
        <w:t>Schedule 1</w:t>
      </w:r>
      <w:r w:rsidR="00BD0AA1" w:rsidRPr="004E28C4">
        <w:t xml:space="preserve"> to the </w:t>
      </w:r>
      <w:r w:rsidR="00BD0AA1" w:rsidRPr="004E28C4">
        <w:rPr>
          <w:i/>
        </w:rPr>
        <w:t xml:space="preserve">Financial Sector Reform (Hayne Royal Commission Response </w:t>
      </w:r>
      <w:r w:rsidR="00A8137E" w:rsidRPr="004E28C4">
        <w:rPr>
          <w:i/>
        </w:rPr>
        <w:t>No. 2</w:t>
      </w:r>
      <w:r w:rsidR="008610C8" w:rsidRPr="004E28C4">
        <w:rPr>
          <w:i/>
        </w:rPr>
        <w:t>)</w:t>
      </w:r>
      <w:r w:rsidR="00A8137E" w:rsidRPr="004E28C4">
        <w:rPr>
          <w:i/>
        </w:rPr>
        <w:t xml:space="preserve"> Act 2021 </w:t>
      </w:r>
      <w:r w:rsidRPr="004E28C4">
        <w:t xml:space="preserve">(the Act) </w:t>
      </w:r>
      <w:r w:rsidR="008373D1" w:rsidRPr="004E28C4">
        <w:t>which implements the ongoing fee arrangement changes</w:t>
      </w:r>
      <w:r w:rsidRPr="004E28C4">
        <w:t xml:space="preserve"> from recommendation 2.1</w:t>
      </w:r>
      <w:r w:rsidR="004D5555" w:rsidRPr="004E28C4">
        <w:t xml:space="preserve"> </w:t>
      </w:r>
      <w:r w:rsidRPr="004E28C4">
        <w:t>of t</w:t>
      </w:r>
      <w:r w:rsidR="00582EE4" w:rsidRPr="004E28C4">
        <w:t xml:space="preserve">he Final Report </w:t>
      </w:r>
      <w:r w:rsidR="0085517D" w:rsidRPr="004E28C4">
        <w:t>of the Royal Commission into Misconduct in the Banking, Superannuation and Financial Services Industry</w:t>
      </w:r>
      <w:r w:rsidR="00014B60" w:rsidRPr="004E28C4">
        <w:t xml:space="preserve"> (Financial Services Royal Commission)</w:t>
      </w:r>
      <w:r w:rsidRPr="004E28C4">
        <w:t>.</w:t>
      </w:r>
      <w:r w:rsidR="0085517D" w:rsidRPr="004E28C4">
        <w:t xml:space="preserve"> </w:t>
      </w:r>
    </w:p>
    <w:p w14:paraId="55F58542" w14:textId="783C6B8F" w:rsidR="00867DB5" w:rsidRPr="004E28C4" w:rsidRDefault="00867DB5" w:rsidP="00867DB5">
      <w:pPr>
        <w:tabs>
          <w:tab w:val="left" w:pos="1418"/>
        </w:tabs>
        <w:spacing w:before="0" w:after="240"/>
      </w:pPr>
      <w:r w:rsidRPr="004E28C4">
        <w:t xml:space="preserve">The amendments in </w:t>
      </w:r>
      <w:r w:rsidR="0047182A" w:rsidRPr="004E28C4">
        <w:t>Schedule 1</w:t>
      </w:r>
      <w:r w:rsidRPr="004E28C4">
        <w:t xml:space="preserve"> to the Act require </w:t>
      </w:r>
      <w:r w:rsidR="003878F2" w:rsidRPr="004E28C4">
        <w:t xml:space="preserve">that </w:t>
      </w:r>
      <w:r w:rsidRPr="004E28C4">
        <w:t xml:space="preserve">ongoing fee arrangements be renewed annually by clients, provide for an enhanced fee disclosure regime and require written consent from clients to be renewed annually. Schedule 1 to the Regulations supports the amendments in </w:t>
      </w:r>
      <w:r w:rsidR="0047182A" w:rsidRPr="004E28C4">
        <w:t>Schedule 1</w:t>
      </w:r>
      <w:r w:rsidRPr="004E28C4">
        <w:t xml:space="preserve"> to the Act by specifying the records that fee recipients must keep to evidence compliance with the</w:t>
      </w:r>
      <w:r w:rsidR="0047182A" w:rsidRPr="004E28C4">
        <w:t xml:space="preserve"> obligations </w:t>
      </w:r>
      <w:r w:rsidRPr="004E28C4">
        <w:t>for ongoing arrangements.</w:t>
      </w:r>
    </w:p>
    <w:p w14:paraId="2A24DF32" w14:textId="20CA1E67" w:rsidR="00867DB5" w:rsidRPr="004E28C4" w:rsidRDefault="00867DB5" w:rsidP="00867DB5">
      <w:pPr>
        <w:spacing w:before="240"/>
      </w:pPr>
      <w:r w:rsidRPr="004E28C4">
        <w:t xml:space="preserve">Schedule 2 to the Regulations supports the operation of Schedule 3 to the Act, which amended the </w:t>
      </w:r>
      <w:r w:rsidRPr="004E28C4">
        <w:rPr>
          <w:i/>
        </w:rPr>
        <w:t>Superannuation Industry (Supervision) Act 199</w:t>
      </w:r>
      <w:r w:rsidR="00352DAF" w:rsidRPr="004E28C4">
        <w:rPr>
          <w:i/>
        </w:rPr>
        <w:t>3</w:t>
      </w:r>
      <w:r w:rsidRPr="004E28C4">
        <w:rPr>
          <w:i/>
        </w:rPr>
        <w:t xml:space="preserve"> </w:t>
      </w:r>
      <w:r w:rsidRPr="004E28C4">
        <w:t xml:space="preserve">to </w:t>
      </w:r>
      <w:r w:rsidR="00352DAF" w:rsidRPr="004E28C4">
        <w:t xml:space="preserve">implement the Government’s response to recommendations 3.2 and </w:t>
      </w:r>
      <w:r w:rsidR="004D5555" w:rsidRPr="004E28C4">
        <w:t xml:space="preserve">3.3 of the </w:t>
      </w:r>
      <w:r w:rsidR="005266F1" w:rsidRPr="004E28C4">
        <w:t xml:space="preserve">Financial Services Royal Commission </w:t>
      </w:r>
      <w:r w:rsidR="004D5555" w:rsidRPr="004E28C4">
        <w:t>Final Report</w:t>
      </w:r>
      <w:r w:rsidRPr="004E28C4">
        <w:t xml:space="preserve">. The amendments in Schedule 2 to the Regulations amend the </w:t>
      </w:r>
      <w:r w:rsidRPr="004E28C4">
        <w:rPr>
          <w:i/>
        </w:rPr>
        <w:t xml:space="preserve">Electronic Transactions Regulations 2020 </w:t>
      </w:r>
      <w:r w:rsidRPr="004E28C4">
        <w:t xml:space="preserve">to enable written consents in relation to financial product advice fees paid out of a superannuation interest to be provided electronically and make consequential amendments. </w:t>
      </w:r>
    </w:p>
    <w:p w14:paraId="17A08105" w14:textId="72F5A3EC" w:rsidR="0088467C" w:rsidRPr="004E28C4" w:rsidRDefault="00EB6D60" w:rsidP="00647BB7">
      <w:pPr>
        <w:spacing w:before="240"/>
      </w:pPr>
      <w:r w:rsidRPr="004E28C4">
        <w:t xml:space="preserve">The </w:t>
      </w:r>
      <w:r w:rsidR="0032738C" w:rsidRPr="004E28C4">
        <w:t>amendments in Schedule 1 to the R</w:t>
      </w:r>
      <w:r w:rsidRPr="004E28C4">
        <w:t xml:space="preserve">egulations were released for public consultation for </w:t>
      </w:r>
      <w:r w:rsidR="0033524D" w:rsidRPr="004E28C4">
        <w:t>four</w:t>
      </w:r>
      <w:r w:rsidRPr="004E28C4">
        <w:t xml:space="preserve"> weeks, from 31</w:t>
      </w:r>
      <w:r w:rsidR="0033524D" w:rsidRPr="004E28C4">
        <w:t> </w:t>
      </w:r>
      <w:r w:rsidRPr="004E28C4">
        <w:t>January</w:t>
      </w:r>
      <w:r w:rsidR="00FF1113" w:rsidRPr="004E28C4">
        <w:t> </w:t>
      </w:r>
      <w:r w:rsidRPr="004E28C4">
        <w:t xml:space="preserve">2020 to 28 February 2020 alongside the draft changes </w:t>
      </w:r>
      <w:r w:rsidR="0047182A" w:rsidRPr="004E28C4">
        <w:t>in Schedule 1 to the Act</w:t>
      </w:r>
      <w:r w:rsidRPr="004E28C4">
        <w:t xml:space="preserve">. </w:t>
      </w:r>
      <w:r w:rsidR="00F52C0F" w:rsidRPr="004E28C4">
        <w:t xml:space="preserve">None of the submissions raised issues in relation to the </w:t>
      </w:r>
      <w:r w:rsidR="00896EC6" w:rsidRPr="004E28C4">
        <w:t xml:space="preserve">amendments in Schedule 1 to </w:t>
      </w:r>
      <w:r w:rsidR="00F52C0F" w:rsidRPr="004E28C4">
        <w:t>Regulations</w:t>
      </w:r>
      <w:r w:rsidRPr="004E28C4">
        <w:t>. Direct consultation with ASIC and APRA was undertaken at the same time.</w:t>
      </w:r>
    </w:p>
    <w:p w14:paraId="5D87FA50" w14:textId="549E913A" w:rsidR="00295E09" w:rsidRPr="004E28C4" w:rsidRDefault="00295E09" w:rsidP="00295E09">
      <w:pPr>
        <w:spacing w:before="240"/>
      </w:pPr>
      <w:r w:rsidRPr="004E28C4">
        <w:t xml:space="preserve">Consistent with the requirements of the </w:t>
      </w:r>
      <w:r w:rsidRPr="004E28C4">
        <w:rPr>
          <w:i/>
        </w:rPr>
        <w:t xml:space="preserve">Legislation Act 2003, </w:t>
      </w:r>
      <w:r w:rsidRPr="004E28C4">
        <w:t xml:space="preserve">the amendments in Schedule 2 to the Regulations have been informed by consultation with the government agencies that have policy responsibility for the legislation specified in the Regulations. The amendments in Schedule 2 to the Regulations have also been </w:t>
      </w:r>
      <w:r w:rsidRPr="004E28C4">
        <w:lastRenderedPageBreak/>
        <w:t xml:space="preserve">informed by feedback received from industry during consultations on the related changes to the primary law. These changes are wholly beneficial to industry as they provide greater flexibility in obtaining consents. </w:t>
      </w:r>
    </w:p>
    <w:p w14:paraId="42914A5B" w14:textId="3D3064F3" w:rsidR="002C226C" w:rsidRPr="004E28C4" w:rsidRDefault="002C226C" w:rsidP="002C226C">
      <w:pPr>
        <w:spacing w:before="240"/>
      </w:pPr>
      <w:r w:rsidRPr="004E28C4">
        <w:t xml:space="preserve">Details of the </w:t>
      </w:r>
      <w:r w:rsidR="00EB2AEF" w:rsidRPr="004E28C4">
        <w:t>Regulations are set out in</w:t>
      </w:r>
      <w:r w:rsidRPr="004E28C4">
        <w:t xml:space="preserve"> </w:t>
      </w:r>
      <w:r w:rsidRPr="004E28C4">
        <w:rPr>
          <w:u w:val="single"/>
        </w:rPr>
        <w:t>Attachment</w:t>
      </w:r>
      <w:r w:rsidR="00EB2AEF" w:rsidRPr="004E28C4">
        <w:rPr>
          <w:u w:val="single"/>
        </w:rPr>
        <w:t xml:space="preserve"> </w:t>
      </w:r>
      <w:r w:rsidR="00094D0F" w:rsidRPr="004E28C4">
        <w:rPr>
          <w:u w:val="single"/>
        </w:rPr>
        <w:t>A</w:t>
      </w:r>
      <w:r w:rsidR="00295E09" w:rsidRPr="004E28C4">
        <w:t>.</w:t>
      </w:r>
    </w:p>
    <w:p w14:paraId="3F0A4297" w14:textId="215BDF00" w:rsidR="00F13116" w:rsidRPr="004E28C4" w:rsidRDefault="00F13116" w:rsidP="00F13116">
      <w:pPr>
        <w:spacing w:before="240"/>
      </w:pPr>
      <w:r w:rsidRPr="004E28C4">
        <w:t xml:space="preserve">The </w:t>
      </w:r>
      <w:r w:rsidRPr="004E28C4">
        <w:rPr>
          <w:i/>
        </w:rPr>
        <w:t>Corporations Act 2001</w:t>
      </w:r>
      <w:r w:rsidRPr="004E28C4">
        <w:t xml:space="preserve"> </w:t>
      </w:r>
      <w:r w:rsidR="00295E09" w:rsidRPr="004E28C4">
        <w:t>and</w:t>
      </w:r>
      <w:r w:rsidR="008C2DDF" w:rsidRPr="004E28C4">
        <w:t xml:space="preserve"> the</w:t>
      </w:r>
      <w:r w:rsidR="00295E09" w:rsidRPr="004E28C4">
        <w:t xml:space="preserve"> </w:t>
      </w:r>
      <w:r w:rsidR="00295E09" w:rsidRPr="004E28C4">
        <w:rPr>
          <w:i/>
        </w:rPr>
        <w:t>Electronic Transactions Act 1999</w:t>
      </w:r>
      <w:r w:rsidR="00295E09" w:rsidRPr="004E28C4">
        <w:t xml:space="preserve"> do</w:t>
      </w:r>
      <w:r w:rsidRPr="004E28C4">
        <w:t xml:space="preserve"> not specify any conditions that need to be met before the power to make the Regulations is exercised.</w:t>
      </w:r>
    </w:p>
    <w:p w14:paraId="5ADE5EAC" w14:textId="56FD4AC4" w:rsidR="002C226C" w:rsidRPr="004E28C4" w:rsidRDefault="002C226C" w:rsidP="00647BB7">
      <w:pPr>
        <w:spacing w:before="240"/>
      </w:pPr>
      <w:r w:rsidRPr="004E28C4">
        <w:t xml:space="preserve">The Regulations are a legislative instrument for the purposes of the </w:t>
      </w:r>
      <w:r w:rsidRPr="004E28C4">
        <w:rPr>
          <w:i/>
        </w:rPr>
        <w:t>Legislation Act</w:t>
      </w:r>
      <w:r w:rsidR="00295E09" w:rsidRPr="004E28C4">
        <w:rPr>
          <w:i/>
        </w:rPr>
        <w:t> </w:t>
      </w:r>
      <w:r w:rsidRPr="004E28C4">
        <w:rPr>
          <w:i/>
        </w:rPr>
        <w:t>2003</w:t>
      </w:r>
      <w:r w:rsidRPr="004E28C4">
        <w:t>.</w:t>
      </w:r>
    </w:p>
    <w:p w14:paraId="1FE2CF9E" w14:textId="46A5A0C8" w:rsidR="009143A0" w:rsidRPr="004E28C4" w:rsidRDefault="00295E09" w:rsidP="00647BB7">
      <w:pPr>
        <w:spacing w:before="240"/>
        <w:rPr>
          <w:i/>
        </w:rPr>
      </w:pPr>
      <w:r w:rsidRPr="004E28C4">
        <w:t xml:space="preserve">Schedule 1 to the </w:t>
      </w:r>
      <w:r w:rsidR="00F109D4" w:rsidRPr="004E28C4">
        <w:t xml:space="preserve">Regulations commenced on </w:t>
      </w:r>
      <w:r w:rsidR="00FF0168" w:rsidRPr="004E28C4">
        <w:t>the later of 1 July 2021</w:t>
      </w:r>
      <w:r w:rsidRPr="004E28C4">
        <w:t xml:space="preserve"> or the day after registration and Schedule 2 to the Regulations commenced on 1 July 2021.</w:t>
      </w:r>
    </w:p>
    <w:p w14:paraId="79F23A7E" w14:textId="77777777" w:rsidR="007523C1" w:rsidRPr="004E28C4" w:rsidRDefault="007523C1" w:rsidP="007523C1">
      <w:pPr>
        <w:pStyle w:val="Heading3"/>
        <w:rPr>
          <w:b w:val="0"/>
        </w:rPr>
      </w:pPr>
      <w:r w:rsidRPr="004E28C4">
        <w:rPr>
          <w:b w:val="0"/>
        </w:rPr>
        <w:t xml:space="preserve">The Financial Services Royal Commission Final Report has been certified as being informed by a process and analysis equivalent to a Regulation Impact Statement for the purposes of the Government decision to implement this reform. </w:t>
      </w:r>
    </w:p>
    <w:p w14:paraId="5CBAF7CC" w14:textId="1698006A" w:rsidR="007523C1" w:rsidRPr="004E28C4" w:rsidRDefault="007523C1" w:rsidP="007523C1">
      <w:pPr>
        <w:pStyle w:val="base-text-paragraph"/>
        <w:ind w:left="0"/>
      </w:pPr>
      <w:r w:rsidRPr="004E28C4">
        <w:t xml:space="preserve">The Financial Services Royal Commission Final Report can be found at this link: </w:t>
      </w:r>
      <w:hyperlink r:id="rId13" w:history="1">
        <w:r w:rsidR="00F93946" w:rsidRPr="004E28C4">
          <w:rPr>
            <w:rStyle w:val="Hyperlink"/>
            <w:color w:val="auto"/>
          </w:rPr>
          <w:t>https://financialservices.royalcommission.gov.au/Pages/reports.html</w:t>
        </w:r>
      </w:hyperlink>
      <w:r w:rsidRPr="004E28C4">
        <w:t xml:space="preserve"> </w:t>
      </w:r>
    </w:p>
    <w:p w14:paraId="4D62D4C7" w14:textId="32524C92" w:rsidR="00EB2AEF" w:rsidRPr="004E28C4" w:rsidRDefault="00EB2AEF" w:rsidP="00647BB7">
      <w:pPr>
        <w:spacing w:before="240"/>
      </w:pPr>
      <w:r w:rsidRPr="004E28C4">
        <w:t xml:space="preserve">A statement of Compatibility with Human Rights is at </w:t>
      </w:r>
      <w:r w:rsidRPr="004E28C4">
        <w:rPr>
          <w:u w:val="single"/>
        </w:rPr>
        <w:t xml:space="preserve">Attachment </w:t>
      </w:r>
      <w:r w:rsidR="00094D0F" w:rsidRPr="004E28C4">
        <w:rPr>
          <w:u w:val="single"/>
        </w:rPr>
        <w:t>B</w:t>
      </w:r>
      <w:r w:rsidR="00D621F5" w:rsidRPr="004E28C4">
        <w:t>.</w:t>
      </w:r>
    </w:p>
    <w:p w14:paraId="6389A437" w14:textId="4C0055FE" w:rsidR="00EA4DD8" w:rsidRPr="004E28C4" w:rsidRDefault="00EA4DD8" w:rsidP="00EA4DD8">
      <w:pPr>
        <w:pageBreakBefore/>
        <w:spacing w:before="240"/>
        <w:jc w:val="right"/>
        <w:rPr>
          <w:b/>
          <w:u w:val="single"/>
        </w:rPr>
      </w:pPr>
      <w:r w:rsidRPr="004E28C4">
        <w:rPr>
          <w:b/>
          <w:u w:val="single"/>
        </w:rPr>
        <w:lastRenderedPageBreak/>
        <w:t xml:space="preserve">ATTACHMENT </w:t>
      </w:r>
      <w:r w:rsidR="00094D0F" w:rsidRPr="004E28C4">
        <w:rPr>
          <w:b/>
          <w:u w:val="single"/>
        </w:rPr>
        <w:t>A</w:t>
      </w:r>
    </w:p>
    <w:p w14:paraId="326DCE96" w14:textId="1F0E95DF" w:rsidR="00EA4DD8" w:rsidRPr="004E28C4" w:rsidRDefault="00EA4DD8" w:rsidP="00EA4DD8">
      <w:pPr>
        <w:spacing w:before="240"/>
        <w:ind w:right="91"/>
        <w:rPr>
          <w:b/>
          <w:bCs/>
          <w:szCs w:val="24"/>
          <w:u w:val="single"/>
        </w:rPr>
      </w:pPr>
      <w:r w:rsidRPr="004E28C4">
        <w:rPr>
          <w:b/>
          <w:bCs/>
          <w:u w:val="single"/>
        </w:rPr>
        <w:t xml:space="preserve">Details of the </w:t>
      </w:r>
      <w:r w:rsidR="005A0D9B" w:rsidRPr="004E28C4">
        <w:rPr>
          <w:b/>
          <w:i/>
          <w:u w:val="single"/>
        </w:rPr>
        <w:t>Financial Sector Reform (Hayne Royal Commission Response – Advice Fees) Regulations 2021</w:t>
      </w:r>
    </w:p>
    <w:p w14:paraId="399B2CF4" w14:textId="77777777" w:rsidR="00EA4DD8" w:rsidRPr="004E28C4" w:rsidRDefault="00EA4DD8" w:rsidP="00EA4DD8">
      <w:pPr>
        <w:spacing w:before="240"/>
        <w:rPr>
          <w:rFonts w:ascii="Calibri" w:hAnsi="Calibri"/>
          <w:sz w:val="22"/>
          <w:szCs w:val="22"/>
          <w:u w:val="single"/>
          <w:lang w:eastAsia="en-US"/>
        </w:rPr>
      </w:pPr>
      <w:r w:rsidRPr="004E28C4">
        <w:rPr>
          <w:u w:val="single"/>
        </w:rPr>
        <w:t>Section 1 – Name of the Regulations</w:t>
      </w:r>
    </w:p>
    <w:p w14:paraId="11186C07" w14:textId="55460852" w:rsidR="00EA4DD8" w:rsidRPr="004E28C4" w:rsidRDefault="00EA4DD8" w:rsidP="00EA4DD8">
      <w:pPr>
        <w:spacing w:before="240"/>
      </w:pPr>
      <w:r w:rsidRPr="004E28C4">
        <w:t xml:space="preserve">This section provides that the name of the Regulations is the </w:t>
      </w:r>
      <w:r w:rsidR="005A0D9B" w:rsidRPr="004E28C4">
        <w:rPr>
          <w:i/>
        </w:rPr>
        <w:t>Financial Sector Reform (Hayne Royal Commission Response – Advice Fees) Regulations 2021</w:t>
      </w:r>
      <w:r w:rsidR="00AA1975" w:rsidRPr="004E28C4">
        <w:t xml:space="preserve"> </w:t>
      </w:r>
      <w:r w:rsidRPr="004E28C4">
        <w:t>(the Regulations).</w:t>
      </w:r>
    </w:p>
    <w:p w14:paraId="70F504C8" w14:textId="77777777" w:rsidR="00EA4DD8" w:rsidRPr="004E28C4" w:rsidRDefault="00EA4DD8" w:rsidP="00EA4DD8">
      <w:pPr>
        <w:spacing w:before="240"/>
        <w:ind w:right="91"/>
        <w:rPr>
          <w:u w:val="single"/>
        </w:rPr>
      </w:pPr>
      <w:r w:rsidRPr="004E28C4">
        <w:rPr>
          <w:u w:val="single"/>
        </w:rPr>
        <w:t>Section 2 – Commencement</w:t>
      </w:r>
    </w:p>
    <w:p w14:paraId="17171DA0" w14:textId="1344F9F9" w:rsidR="00CF5B17" w:rsidRPr="004E28C4" w:rsidRDefault="00EA4DD8" w:rsidP="008E2102">
      <w:pPr>
        <w:spacing w:before="240"/>
        <w:ind w:right="91"/>
      </w:pPr>
      <w:r w:rsidRPr="004E28C4">
        <w:t>Schedule 1</w:t>
      </w:r>
      <w:r w:rsidR="00973A68" w:rsidRPr="004E28C4">
        <w:t xml:space="preserve"> to the Regulations commence</w:t>
      </w:r>
      <w:r w:rsidR="00AE044A" w:rsidRPr="004E28C4">
        <w:t>d</w:t>
      </w:r>
      <w:r w:rsidR="00973A68" w:rsidRPr="004E28C4">
        <w:t xml:space="preserve"> </w:t>
      </w:r>
      <w:r w:rsidR="008A4C94" w:rsidRPr="004E28C4">
        <w:t xml:space="preserve">on the later of the day after registration and 1 July 2021 (being the time that </w:t>
      </w:r>
      <w:r w:rsidR="0047182A" w:rsidRPr="004E28C4">
        <w:t>Schedule 1</w:t>
      </w:r>
      <w:r w:rsidR="00973A68" w:rsidRPr="004E28C4">
        <w:t xml:space="preserve"> </w:t>
      </w:r>
      <w:r w:rsidR="008A4C94" w:rsidRPr="004E28C4">
        <w:t>to</w:t>
      </w:r>
      <w:r w:rsidR="00973A68" w:rsidRPr="004E28C4">
        <w:t xml:space="preserve"> the </w:t>
      </w:r>
      <w:r w:rsidR="00973A68" w:rsidRPr="004E28C4">
        <w:rPr>
          <w:i/>
        </w:rPr>
        <w:t xml:space="preserve">Financial Sector Reform (Hayne Royal Commission Response </w:t>
      </w:r>
      <w:r w:rsidR="003E43CE" w:rsidRPr="004E28C4">
        <w:rPr>
          <w:i/>
        </w:rPr>
        <w:t>No.</w:t>
      </w:r>
      <w:r w:rsidR="0097567E" w:rsidRPr="004E28C4">
        <w:rPr>
          <w:i/>
        </w:rPr>
        <w:t> </w:t>
      </w:r>
      <w:r w:rsidR="003E43CE" w:rsidRPr="004E28C4">
        <w:rPr>
          <w:i/>
        </w:rPr>
        <w:t>2</w:t>
      </w:r>
      <w:r w:rsidR="0097567E" w:rsidRPr="004E28C4">
        <w:rPr>
          <w:i/>
        </w:rPr>
        <w:t>)</w:t>
      </w:r>
      <w:r w:rsidR="00CA59CA" w:rsidRPr="004E28C4">
        <w:rPr>
          <w:i/>
        </w:rPr>
        <w:t xml:space="preserve"> Act 2021 </w:t>
      </w:r>
      <w:r w:rsidR="00AE044A" w:rsidRPr="004E28C4">
        <w:t>commenced</w:t>
      </w:r>
      <w:r w:rsidR="008A4C94" w:rsidRPr="004E28C4">
        <w:t xml:space="preserve">). </w:t>
      </w:r>
    </w:p>
    <w:p w14:paraId="3C22531F" w14:textId="58369302" w:rsidR="008A4C94" w:rsidRPr="004E28C4" w:rsidRDefault="008A4C94" w:rsidP="008E2102">
      <w:pPr>
        <w:spacing w:before="240"/>
        <w:ind w:right="91"/>
        <w:rPr>
          <w:i/>
        </w:rPr>
      </w:pPr>
      <w:r w:rsidRPr="004E28C4">
        <w:t>Schedule 2 to the Regulations commence</w:t>
      </w:r>
      <w:r w:rsidR="00AE044A" w:rsidRPr="004E28C4">
        <w:t>d</w:t>
      </w:r>
      <w:r w:rsidRPr="004E28C4">
        <w:t xml:space="preserve"> on 1 July 2021.</w:t>
      </w:r>
    </w:p>
    <w:p w14:paraId="6B278314" w14:textId="77777777" w:rsidR="00EA4DD8" w:rsidRPr="004E28C4" w:rsidRDefault="00EA4DD8" w:rsidP="00EA4DD8">
      <w:pPr>
        <w:spacing w:before="240"/>
        <w:ind w:right="91"/>
        <w:rPr>
          <w:u w:val="single"/>
        </w:rPr>
      </w:pPr>
      <w:r w:rsidRPr="004E28C4">
        <w:rPr>
          <w:u w:val="single"/>
        </w:rPr>
        <w:t>Section 3 – Authority</w:t>
      </w:r>
    </w:p>
    <w:p w14:paraId="65DC974B" w14:textId="4D66905D" w:rsidR="00EA4DD8" w:rsidRPr="004E28C4" w:rsidRDefault="00EA4DD8" w:rsidP="00EA4DD8">
      <w:pPr>
        <w:spacing w:before="240"/>
        <w:ind w:right="91"/>
      </w:pPr>
      <w:r w:rsidRPr="004E28C4">
        <w:t xml:space="preserve">The Regulations are made under the </w:t>
      </w:r>
      <w:r w:rsidR="00973A68" w:rsidRPr="004E28C4">
        <w:rPr>
          <w:i/>
        </w:rPr>
        <w:t>Corporations Act 2001</w:t>
      </w:r>
      <w:r w:rsidR="008C2DDF" w:rsidRPr="004E28C4">
        <w:rPr>
          <w:i/>
        </w:rPr>
        <w:t xml:space="preserve"> </w:t>
      </w:r>
      <w:r w:rsidR="008C2DDF" w:rsidRPr="004E28C4">
        <w:t xml:space="preserve">and the </w:t>
      </w:r>
      <w:r w:rsidR="008C2DDF" w:rsidRPr="004E28C4">
        <w:rPr>
          <w:i/>
        </w:rPr>
        <w:t>Electronic Transactions Act 1999</w:t>
      </w:r>
      <w:r w:rsidRPr="004E28C4">
        <w:t>.</w:t>
      </w:r>
    </w:p>
    <w:p w14:paraId="5AA500EB" w14:textId="1DA77E57" w:rsidR="00EA4DD8" w:rsidRPr="004E28C4" w:rsidRDefault="00EA4DD8" w:rsidP="00EA4DD8">
      <w:pPr>
        <w:spacing w:before="240"/>
        <w:ind w:right="91"/>
        <w:rPr>
          <w:u w:val="single"/>
        </w:rPr>
      </w:pPr>
      <w:r w:rsidRPr="004E28C4">
        <w:rPr>
          <w:u w:val="single"/>
        </w:rPr>
        <w:t>Section 4 – Schedule</w:t>
      </w:r>
      <w:r w:rsidR="00C31B93" w:rsidRPr="004E28C4">
        <w:rPr>
          <w:u w:val="single"/>
        </w:rPr>
        <w:t>s</w:t>
      </w:r>
    </w:p>
    <w:p w14:paraId="07212E10" w14:textId="403DD3BE" w:rsidR="00EA4DD8" w:rsidRPr="004E28C4" w:rsidRDefault="00EA4DD8" w:rsidP="00EA4DD8">
      <w:pPr>
        <w:spacing w:before="240" w:after="200"/>
        <w:ind w:right="91"/>
        <w:rPr>
          <w:u w:val="single"/>
        </w:rPr>
      </w:pPr>
      <w:r w:rsidRPr="004E28C4">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15AF2E2E" w14:textId="01D5AF62" w:rsidR="00EA4DD8" w:rsidRPr="004E28C4" w:rsidRDefault="00EA4DD8" w:rsidP="00973A68">
      <w:pPr>
        <w:spacing w:after="0"/>
        <w:ind w:right="91"/>
        <w:rPr>
          <w:color w:val="FF0000"/>
          <w:u w:val="single"/>
        </w:rPr>
      </w:pPr>
      <w:r w:rsidRPr="004E28C4">
        <w:rPr>
          <w:u w:val="single"/>
        </w:rPr>
        <w:t xml:space="preserve">Schedule 1 – </w:t>
      </w:r>
      <w:r w:rsidR="001F239D" w:rsidRPr="004E28C4">
        <w:rPr>
          <w:u w:val="single"/>
        </w:rPr>
        <w:t>ongoing fee arrangements</w:t>
      </w:r>
      <w:r w:rsidRPr="004E28C4">
        <w:rPr>
          <w:u w:val="single"/>
        </w:rPr>
        <w:t xml:space="preserve"> </w:t>
      </w:r>
    </w:p>
    <w:p w14:paraId="37F71347" w14:textId="77777777" w:rsidR="00973A68" w:rsidRPr="004E28C4" w:rsidRDefault="00973A68" w:rsidP="00EA4DD8">
      <w:pPr>
        <w:spacing w:before="0" w:after="0"/>
      </w:pPr>
    </w:p>
    <w:p w14:paraId="72D53062" w14:textId="384572F5" w:rsidR="00725073" w:rsidRPr="004E28C4" w:rsidRDefault="00973A68" w:rsidP="00EA4DD8">
      <w:pPr>
        <w:spacing w:before="0" w:after="0"/>
      </w:pPr>
      <w:r w:rsidRPr="004E28C4">
        <w:rPr>
          <w:b/>
        </w:rPr>
        <w:t>Item</w:t>
      </w:r>
      <w:r w:rsidR="00725073" w:rsidRPr="004E28C4">
        <w:rPr>
          <w:b/>
        </w:rPr>
        <w:t>s</w:t>
      </w:r>
      <w:r w:rsidRPr="004E28C4">
        <w:rPr>
          <w:b/>
        </w:rPr>
        <w:t xml:space="preserve"> 1</w:t>
      </w:r>
      <w:r w:rsidR="00725073" w:rsidRPr="004E28C4">
        <w:rPr>
          <w:b/>
        </w:rPr>
        <w:t xml:space="preserve"> and 3 – consequential amendments</w:t>
      </w:r>
      <w:r w:rsidRPr="004E28C4">
        <w:t xml:space="preserve"> </w:t>
      </w:r>
    </w:p>
    <w:p w14:paraId="6710CD5B" w14:textId="71547A8F" w:rsidR="009E42CF" w:rsidRPr="004E28C4" w:rsidRDefault="00725073" w:rsidP="00756AF6">
      <w:pPr>
        <w:spacing w:before="240"/>
      </w:pPr>
      <w:r w:rsidRPr="004E28C4">
        <w:t xml:space="preserve">Items 1 and 3 of the </w:t>
      </w:r>
      <w:r w:rsidR="00014B60" w:rsidRPr="004E28C4">
        <w:t>R</w:t>
      </w:r>
      <w:r w:rsidRPr="004E28C4">
        <w:t>egulations amend</w:t>
      </w:r>
      <w:r w:rsidR="00573AB4" w:rsidRPr="004E28C4">
        <w:t xml:space="preserve"> the references in</w:t>
      </w:r>
      <w:r w:rsidR="00973A68" w:rsidRPr="004E28C4">
        <w:t xml:space="preserve"> </w:t>
      </w:r>
      <w:proofErr w:type="spellStart"/>
      <w:r w:rsidR="00973A68" w:rsidRPr="004E28C4">
        <w:t>subregulation</w:t>
      </w:r>
      <w:proofErr w:type="spellEnd"/>
      <w:r w:rsidR="00973A68" w:rsidRPr="004E28C4">
        <w:t xml:space="preserve"> 7.7A.11(2) </w:t>
      </w:r>
      <w:r w:rsidRPr="004E28C4">
        <w:t xml:space="preserve">and paragraph 9.4AB.02(2)(f) </w:t>
      </w:r>
      <w:r w:rsidR="006453E3" w:rsidRPr="004E28C4">
        <w:t xml:space="preserve">of the Corporations Regulations 2001 </w:t>
      </w:r>
      <w:r w:rsidR="00BC6F55" w:rsidRPr="004E28C4">
        <w:t xml:space="preserve">to reflect the </w:t>
      </w:r>
      <w:r w:rsidR="00573AB4" w:rsidRPr="004E28C4">
        <w:t>updated ongoing fee arrangement rules.</w:t>
      </w:r>
      <w:r w:rsidR="006A0CCA" w:rsidRPr="004E28C4">
        <w:t xml:space="preserve"> </w:t>
      </w:r>
    </w:p>
    <w:p w14:paraId="462A4780" w14:textId="77777777" w:rsidR="00573AB4" w:rsidRPr="004E28C4" w:rsidRDefault="00573AB4" w:rsidP="00EA4DD8">
      <w:pPr>
        <w:spacing w:before="0" w:after="0"/>
      </w:pPr>
    </w:p>
    <w:p w14:paraId="4CD16C58" w14:textId="77777777" w:rsidR="00573AB4" w:rsidRPr="004E28C4" w:rsidRDefault="00573AB4" w:rsidP="00EA4DD8">
      <w:pPr>
        <w:spacing w:before="0" w:after="0"/>
        <w:rPr>
          <w:b/>
        </w:rPr>
      </w:pPr>
      <w:r w:rsidRPr="004E28C4">
        <w:rPr>
          <w:b/>
        </w:rPr>
        <w:t>Item 2 – compliance records required to be kept by fee recipients</w:t>
      </w:r>
    </w:p>
    <w:p w14:paraId="20D03779" w14:textId="71DDA74D" w:rsidR="004A0782" w:rsidRPr="004E28C4" w:rsidRDefault="00573AB4" w:rsidP="00F93FD6">
      <w:pPr>
        <w:spacing w:before="240"/>
      </w:pPr>
      <w:r w:rsidRPr="004E28C4">
        <w:t xml:space="preserve">Item 2 </w:t>
      </w:r>
      <w:r w:rsidR="00BF38C0" w:rsidRPr="004E28C4">
        <w:t xml:space="preserve">inserts regulation 7.7A.11AA </w:t>
      </w:r>
      <w:r w:rsidR="006453E3" w:rsidRPr="004E28C4">
        <w:t xml:space="preserve">in the </w:t>
      </w:r>
      <w:r w:rsidR="006453E3" w:rsidRPr="004E28C4">
        <w:rPr>
          <w:i/>
        </w:rPr>
        <w:t xml:space="preserve">Corporations Regulations 2001, </w:t>
      </w:r>
      <w:r w:rsidR="00BF38C0" w:rsidRPr="004E28C4">
        <w:t xml:space="preserve">which sets out the compliance records that fee recipients are required to keep for the purposes of meeting the new record keeping requirement in section 962X of the </w:t>
      </w:r>
      <w:r w:rsidR="00B16A91" w:rsidRPr="004E28C4">
        <w:rPr>
          <w:i/>
        </w:rPr>
        <w:t xml:space="preserve">Corporations </w:t>
      </w:r>
      <w:r w:rsidR="00BF38C0" w:rsidRPr="004E28C4">
        <w:rPr>
          <w:i/>
        </w:rPr>
        <w:t>Act</w:t>
      </w:r>
      <w:r w:rsidR="00B16A91" w:rsidRPr="004E28C4">
        <w:rPr>
          <w:i/>
        </w:rPr>
        <w:t xml:space="preserve"> 2001</w:t>
      </w:r>
      <w:r w:rsidR="00BF38C0" w:rsidRPr="004E28C4">
        <w:t xml:space="preserve">. </w:t>
      </w:r>
    </w:p>
    <w:p w14:paraId="1F8290DF" w14:textId="35F07FCE" w:rsidR="0073695D" w:rsidRPr="004E28C4" w:rsidRDefault="0073695D" w:rsidP="00F93FD6">
      <w:pPr>
        <w:spacing w:before="240"/>
      </w:pPr>
      <w:r w:rsidRPr="004E28C4">
        <w:t xml:space="preserve">Subsection 962X(1) requires financial service providers that receive fees (‘fee recipients’) to keep records sufficient to ascertain their compliance with the </w:t>
      </w:r>
      <w:r w:rsidR="0085517D" w:rsidRPr="004E28C4">
        <w:t xml:space="preserve">new requirements </w:t>
      </w:r>
      <w:r w:rsidRPr="004E28C4">
        <w:t xml:space="preserve">in relation to ongoing fee arrangements. A failure to </w:t>
      </w:r>
      <w:r w:rsidR="0085517D" w:rsidRPr="004E28C4">
        <w:t xml:space="preserve">keep the required records </w:t>
      </w:r>
      <w:r w:rsidRPr="004E28C4">
        <w:t>attracts a maximum penalty of up to 5 years’ imprisonment and/or a fine of up to 600 p</w:t>
      </w:r>
      <w:r w:rsidR="0085517D" w:rsidRPr="004E28C4">
        <w:t xml:space="preserve">enalty units for an individual </w:t>
      </w:r>
      <w:r w:rsidR="007A72D8" w:rsidRPr="004E28C4">
        <w:t>and</w:t>
      </w:r>
      <w:r w:rsidRPr="004E28C4">
        <w:t xml:space="preserve"> 6,</w:t>
      </w:r>
      <w:r w:rsidR="00F97C99" w:rsidRPr="004E28C4">
        <w:t>000 </w:t>
      </w:r>
      <w:r w:rsidRPr="004E28C4">
        <w:t>pe</w:t>
      </w:r>
      <w:r w:rsidR="0085517D" w:rsidRPr="004E28C4">
        <w:t xml:space="preserve">nalty units for a corporation </w:t>
      </w:r>
      <w:r w:rsidRPr="004E28C4">
        <w:t xml:space="preserve">(calculated in accordance with the existing rules regarding penalties in sections 1311B </w:t>
      </w:r>
      <w:r w:rsidRPr="004E28C4">
        <w:lastRenderedPageBreak/>
        <w:t xml:space="preserve">and 1311C of the </w:t>
      </w:r>
      <w:r w:rsidRPr="004E28C4">
        <w:rPr>
          <w:i/>
          <w:iCs/>
        </w:rPr>
        <w:t>Corporations Act 2001</w:t>
      </w:r>
      <w:r w:rsidRPr="004E28C4">
        <w:t xml:space="preserve">). </w:t>
      </w:r>
      <w:r w:rsidR="009227BB" w:rsidRPr="004E28C4">
        <w:t>Provision is also made for the regulations to specify the records which fee recipients must keep to fulfil these obligations</w:t>
      </w:r>
      <w:r w:rsidR="009227BB" w:rsidRPr="004E28C4">
        <w:rPr>
          <w:i/>
        </w:rPr>
        <w:t>.</w:t>
      </w:r>
    </w:p>
    <w:p w14:paraId="70F574D1" w14:textId="57EC62D6" w:rsidR="0085517D" w:rsidRPr="004E28C4" w:rsidRDefault="0085517D" w:rsidP="00F93FD6">
      <w:pPr>
        <w:spacing w:before="240"/>
      </w:pPr>
      <w:r w:rsidRPr="004E28C4">
        <w:t xml:space="preserve">These new requirements </w:t>
      </w:r>
      <w:r w:rsidR="00834D87" w:rsidRPr="004E28C4">
        <w:t xml:space="preserve">for ongoing fee arrangements </w:t>
      </w:r>
      <w:r w:rsidRPr="004E28C4">
        <w:t xml:space="preserve">implement </w:t>
      </w:r>
      <w:r w:rsidR="00F64C3F" w:rsidRPr="004E28C4">
        <w:t>r</w:t>
      </w:r>
      <w:r w:rsidRPr="004E28C4">
        <w:t>ecommendation</w:t>
      </w:r>
      <w:r w:rsidR="00834D87" w:rsidRPr="004E28C4">
        <w:t> </w:t>
      </w:r>
      <w:r w:rsidRPr="004E28C4">
        <w:t>2.1 of the</w:t>
      </w:r>
      <w:r w:rsidR="000C0D5E" w:rsidRPr="004E28C4">
        <w:t xml:space="preserve"> Final Report of the</w:t>
      </w:r>
      <w:r w:rsidRPr="004E28C4">
        <w:t xml:space="preserve"> Royal Commission into Misconduct in the Banking, Superannuation </w:t>
      </w:r>
      <w:r w:rsidR="000C0D5E" w:rsidRPr="004E28C4">
        <w:t>and Financial Services Industry. Recommendation 2.1</w:t>
      </w:r>
      <w:r w:rsidRPr="004E28C4">
        <w:t xml:space="preserve"> </w:t>
      </w:r>
      <w:r w:rsidR="000C0D5E" w:rsidRPr="004E28C4">
        <w:t xml:space="preserve">addressed </w:t>
      </w:r>
      <w:r w:rsidRPr="004E28C4">
        <w:t xml:space="preserve">significant problems that were identified with clients being charged for services that were not provided (particularly in relation to ongoing fee arrangements). To address these issues, </w:t>
      </w:r>
      <w:r w:rsidR="007A72D8" w:rsidRPr="004E28C4">
        <w:t xml:space="preserve">amendments enacted through </w:t>
      </w:r>
      <w:r w:rsidR="0047182A" w:rsidRPr="004E28C4">
        <w:t>Schedule 1</w:t>
      </w:r>
      <w:r w:rsidR="007A72D8" w:rsidRPr="004E28C4">
        <w:t xml:space="preserve"> to the </w:t>
      </w:r>
      <w:r w:rsidR="00CF5B17" w:rsidRPr="004E28C4">
        <w:rPr>
          <w:i/>
        </w:rPr>
        <w:t xml:space="preserve">Financial Sector Reform (Hayne Royal Commission Response No. 2) Act 2021 </w:t>
      </w:r>
      <w:r w:rsidR="007A72D8" w:rsidRPr="004E28C4">
        <w:t>impose</w:t>
      </w:r>
      <w:r w:rsidRPr="004E28C4">
        <w:t xml:space="preserve"> a range of obligations on fee recipients – including in relation to the information provided to a client about the services provided under an ongoing fee arrangement and the frequency with which clients must opt-in to such arrangements.</w:t>
      </w:r>
    </w:p>
    <w:p w14:paraId="138F65A6" w14:textId="4F71F164" w:rsidR="0085517D" w:rsidRPr="004E28C4" w:rsidRDefault="0085517D" w:rsidP="00F93FD6">
      <w:pPr>
        <w:spacing w:before="240"/>
      </w:pPr>
      <w:r w:rsidRPr="004E28C4">
        <w:t xml:space="preserve">The new obligation to keep sufficient compliance records is integral to the legal framework </w:t>
      </w:r>
      <w:r w:rsidR="00F97C99" w:rsidRPr="004E28C4">
        <w:t xml:space="preserve">to address </w:t>
      </w:r>
      <w:r w:rsidRPr="004E28C4">
        <w:t xml:space="preserve">the problems identified with ongoing fee arrangements. </w:t>
      </w:r>
      <w:r w:rsidR="009227BB" w:rsidRPr="004E28C4">
        <w:t>Keeping sufficient compliance records ensures the</w:t>
      </w:r>
      <w:r w:rsidR="004340AF" w:rsidRPr="004E28C4">
        <w:t>re is a minimum level of information available to the</w:t>
      </w:r>
      <w:r w:rsidR="009227BB" w:rsidRPr="004E28C4">
        <w:t xml:space="preserve"> </w:t>
      </w:r>
      <w:r w:rsidRPr="004E28C4">
        <w:t>Australian Securities and Investments Commission when undertaking compliance and enforcement work. A contravention of this obligation is the only contravention in the new law regulating ongoing fee arrangements that gives rise to a potential criminal offence, highlighting its importance to the o</w:t>
      </w:r>
      <w:r w:rsidR="009227BB" w:rsidRPr="004E28C4">
        <w:t>verall integrity of the regime.</w:t>
      </w:r>
    </w:p>
    <w:p w14:paraId="7F3B3E2F" w14:textId="77777777" w:rsidR="0085517D" w:rsidRPr="004E28C4" w:rsidRDefault="0085517D" w:rsidP="00F93FD6">
      <w:pPr>
        <w:spacing w:before="240"/>
      </w:pPr>
      <w:r w:rsidRPr="004E28C4">
        <w:t xml:space="preserve">Additionally, this penalty is in line with penalties for breaching other record keeping provisions, including the requirement to keep financial records in subsection 988A(1) of the </w:t>
      </w:r>
      <w:r w:rsidRPr="004E28C4">
        <w:rPr>
          <w:i/>
        </w:rPr>
        <w:t>Corporations Act 2001</w:t>
      </w:r>
      <w:r w:rsidRPr="004E28C4">
        <w:t xml:space="preserve">. </w:t>
      </w:r>
    </w:p>
    <w:p w14:paraId="0092B953" w14:textId="54E35BBD" w:rsidR="0085517D" w:rsidRPr="004E28C4" w:rsidRDefault="00DF6700" w:rsidP="00F93FD6">
      <w:pPr>
        <w:spacing w:before="240"/>
      </w:pPr>
      <w:r w:rsidRPr="004E28C4">
        <w:t>T</w:t>
      </w:r>
      <w:r w:rsidR="004B5C41" w:rsidRPr="004E28C4">
        <w:t xml:space="preserve">he </w:t>
      </w:r>
      <w:r w:rsidR="00014B60" w:rsidRPr="004E28C4">
        <w:t>R</w:t>
      </w:r>
      <w:r w:rsidR="004B5C41" w:rsidRPr="004E28C4">
        <w:t xml:space="preserve">egulations provide that the fee recipient must keep a record of any fee disclosure statements that they give to clients under an ongoing fee arrangement as well as documents relating to the receipt, variation or withdrawal of consent to make or arrange a deduction of an amount for an ongoing fee from a client account. </w:t>
      </w:r>
    </w:p>
    <w:p w14:paraId="7F5B1AAE" w14:textId="2D29D9CB" w:rsidR="005B246B" w:rsidRPr="004E28C4" w:rsidRDefault="00DF6700" w:rsidP="00DF6700">
      <w:r w:rsidRPr="004E28C4">
        <w:t xml:space="preserve">Specifically, </w:t>
      </w:r>
      <w:proofErr w:type="spellStart"/>
      <w:r w:rsidRPr="004E28C4">
        <w:t>s</w:t>
      </w:r>
      <w:r w:rsidR="005B246B" w:rsidRPr="004E28C4">
        <w:t>ubregulation</w:t>
      </w:r>
      <w:proofErr w:type="spellEnd"/>
      <w:r w:rsidR="005B246B" w:rsidRPr="004E28C4">
        <w:t xml:space="preserve"> 7.7A</w:t>
      </w:r>
      <w:r w:rsidR="00C0598D" w:rsidRPr="004E28C4">
        <w:t>.</w:t>
      </w:r>
      <w:r w:rsidR="005B246B" w:rsidRPr="004E28C4">
        <w:t>11</w:t>
      </w:r>
      <w:proofErr w:type="gramStart"/>
      <w:r w:rsidR="005B246B" w:rsidRPr="004E28C4">
        <w:t>AA(</w:t>
      </w:r>
      <w:proofErr w:type="gramEnd"/>
      <w:r w:rsidR="005B246B" w:rsidRPr="004E28C4">
        <w:t>2) provides that a fee recipient must keep records of:</w:t>
      </w:r>
    </w:p>
    <w:p w14:paraId="0AF5582F" w14:textId="7E1C464F" w:rsidR="005B246B" w:rsidRPr="004E28C4" w:rsidRDefault="00850ABA" w:rsidP="005B246B">
      <w:pPr>
        <w:pStyle w:val="Bullet"/>
      </w:pPr>
      <w:r w:rsidRPr="004E28C4">
        <w:t>e</w:t>
      </w:r>
      <w:r w:rsidR="005B246B" w:rsidRPr="004E28C4">
        <w:t>ach fee disclosure statement that they provide to a client as well as a record of the date on which the documents were provided to the client and the manner in which they were given;</w:t>
      </w:r>
    </w:p>
    <w:p w14:paraId="0073E445" w14:textId="7745DDD6" w:rsidR="00C0598D" w:rsidRPr="004E28C4" w:rsidRDefault="00850ABA" w:rsidP="005B246B">
      <w:pPr>
        <w:pStyle w:val="Bullet"/>
      </w:pPr>
      <w:r w:rsidRPr="004E28C4">
        <w:t>a</w:t>
      </w:r>
      <w:r w:rsidR="0091226F" w:rsidRPr="004E28C4">
        <w:t>ny</w:t>
      </w:r>
      <w:r w:rsidR="005B246B" w:rsidRPr="004E28C4">
        <w:t xml:space="preserve"> notification that a client wishes to renew,</w:t>
      </w:r>
      <w:r w:rsidR="00E00988" w:rsidRPr="004E28C4">
        <w:t xml:space="preserve"> terminate, or not renew </w:t>
      </w:r>
      <w:r w:rsidR="005B246B" w:rsidRPr="004E28C4">
        <w:t>an ongoing fee arrangement</w:t>
      </w:r>
      <w:r w:rsidR="00E00988" w:rsidRPr="004E28C4">
        <w:t xml:space="preserve">, as well as the </w:t>
      </w:r>
      <w:r w:rsidR="00C0598D" w:rsidRPr="004E28C4">
        <w:t xml:space="preserve">date that the notification was </w:t>
      </w:r>
      <w:r w:rsidR="00467206" w:rsidRPr="004E28C4">
        <w:t>given</w:t>
      </w:r>
      <w:r w:rsidR="00C0598D" w:rsidRPr="004E28C4">
        <w:t>; and</w:t>
      </w:r>
    </w:p>
    <w:p w14:paraId="3F87E677" w14:textId="4161C3CC" w:rsidR="00C0598D" w:rsidRPr="004E28C4" w:rsidRDefault="00850ABA" w:rsidP="005B246B">
      <w:pPr>
        <w:pStyle w:val="Bullet"/>
      </w:pPr>
      <w:r w:rsidRPr="004E28C4">
        <w:t>i</w:t>
      </w:r>
      <w:r w:rsidR="00C0598D" w:rsidRPr="004E28C4">
        <w:t>f an ongoing fee arrangement is terminated, the date on which it was terminated and the basis on which it was terminated.</w:t>
      </w:r>
    </w:p>
    <w:p w14:paraId="09E3FADA" w14:textId="343A16F5" w:rsidR="00EA4DD8" w:rsidRPr="004E28C4" w:rsidRDefault="00C0598D" w:rsidP="00C0598D">
      <w:pPr>
        <w:pStyle w:val="Bullet"/>
        <w:numPr>
          <w:ilvl w:val="0"/>
          <w:numId w:val="0"/>
        </w:numPr>
      </w:pPr>
      <w:proofErr w:type="spellStart"/>
      <w:r w:rsidRPr="004E28C4">
        <w:t>Subregulation</w:t>
      </w:r>
      <w:proofErr w:type="spellEnd"/>
      <w:r w:rsidRPr="004E28C4">
        <w:t xml:space="preserve"> 7.7A.11</w:t>
      </w:r>
      <w:proofErr w:type="gramStart"/>
      <w:r w:rsidRPr="004E28C4">
        <w:t>AA(</w:t>
      </w:r>
      <w:proofErr w:type="gramEnd"/>
      <w:r w:rsidRPr="004E28C4">
        <w:t>3) further provides that the fee recipient must keep a record of:</w:t>
      </w:r>
    </w:p>
    <w:p w14:paraId="338F8E78" w14:textId="7C022C94" w:rsidR="00C0598D" w:rsidRPr="004E28C4" w:rsidRDefault="0091226F" w:rsidP="00C0598D">
      <w:pPr>
        <w:pStyle w:val="Bullet"/>
      </w:pPr>
      <w:r w:rsidRPr="004E28C4">
        <w:t>e</w:t>
      </w:r>
      <w:r w:rsidR="00C0598D" w:rsidRPr="004E28C4">
        <w:t xml:space="preserve">ach consent for the deduction of fees from a </w:t>
      </w:r>
      <w:r w:rsidR="00053008" w:rsidRPr="004E28C4">
        <w:t>client’s</w:t>
      </w:r>
      <w:r w:rsidR="00C0598D" w:rsidRPr="004E28C4">
        <w:t xml:space="preserve"> account that a fee recipient receives under sections 962R and 962S of the </w:t>
      </w:r>
      <w:r w:rsidR="00F97C99" w:rsidRPr="004E28C4">
        <w:rPr>
          <w:i/>
        </w:rPr>
        <w:t xml:space="preserve">Corporations </w:t>
      </w:r>
      <w:r w:rsidR="00B61687" w:rsidRPr="004E28C4">
        <w:rPr>
          <w:i/>
        </w:rPr>
        <w:t xml:space="preserve">Act </w:t>
      </w:r>
      <w:r w:rsidR="00F97C99" w:rsidRPr="004E28C4">
        <w:rPr>
          <w:i/>
        </w:rPr>
        <w:t>2001</w:t>
      </w:r>
      <w:r w:rsidR="008B5E9A" w:rsidRPr="004E28C4">
        <w:t>,</w:t>
      </w:r>
      <w:r w:rsidR="00C0598D" w:rsidRPr="004E28C4">
        <w:t xml:space="preserve"> and the date on which the consent was given to the fee recipient;</w:t>
      </w:r>
    </w:p>
    <w:p w14:paraId="22BFEEE7" w14:textId="7A75162F" w:rsidR="00C0598D" w:rsidRPr="004E28C4" w:rsidRDefault="0091226F" w:rsidP="00C0598D">
      <w:pPr>
        <w:pStyle w:val="Bullet"/>
      </w:pPr>
      <w:r w:rsidRPr="004E28C4">
        <w:lastRenderedPageBreak/>
        <w:t>e</w:t>
      </w:r>
      <w:r w:rsidR="00C0598D" w:rsidRPr="004E28C4">
        <w:t xml:space="preserve">ach notice from a client in relation to the variation or withdrawal of a consent in accordance with section 962U of the </w:t>
      </w:r>
      <w:r w:rsidR="00CA5EAA" w:rsidRPr="004E28C4">
        <w:rPr>
          <w:i/>
        </w:rPr>
        <w:t>Corporations Act 2001</w:t>
      </w:r>
      <w:r w:rsidR="00CF107E" w:rsidRPr="004E28C4">
        <w:t>,</w:t>
      </w:r>
      <w:r w:rsidR="00C0598D" w:rsidRPr="004E28C4">
        <w:t xml:space="preserve"> and the date that the client provided the notice to the fee recipient;</w:t>
      </w:r>
    </w:p>
    <w:p w14:paraId="0F3D116D" w14:textId="67DB8A7E" w:rsidR="00C0598D" w:rsidRPr="004E28C4" w:rsidRDefault="0091226F" w:rsidP="00C0598D">
      <w:pPr>
        <w:pStyle w:val="Bullet"/>
      </w:pPr>
      <w:r w:rsidRPr="004E28C4">
        <w:t>e</w:t>
      </w:r>
      <w:r w:rsidR="00C0598D" w:rsidRPr="004E28C4">
        <w:t xml:space="preserve">ach confirmation of receipt of a notice to withdraw or vary consent </w:t>
      </w:r>
      <w:r w:rsidR="00990193" w:rsidRPr="004E28C4">
        <w:t>and the date that the fee recipient provided the confirmation;</w:t>
      </w:r>
    </w:p>
    <w:p w14:paraId="43845B27" w14:textId="52641002" w:rsidR="00990193" w:rsidRPr="004E28C4" w:rsidRDefault="0091226F" w:rsidP="00C0598D">
      <w:pPr>
        <w:pStyle w:val="Bullet"/>
      </w:pPr>
      <w:r w:rsidRPr="004E28C4">
        <w:t>a</w:t>
      </w:r>
      <w:r w:rsidR="00990193" w:rsidRPr="004E28C4">
        <w:t xml:space="preserve"> copy of any communication with a third party account provider </w:t>
      </w:r>
      <w:r w:rsidR="002F7248" w:rsidRPr="004E28C4">
        <w:t>in relation to</w:t>
      </w:r>
      <w:r w:rsidR="00990193" w:rsidRPr="004E28C4">
        <w:t xml:space="preserve"> the client</w:t>
      </w:r>
      <w:r w:rsidR="00EA6389" w:rsidRPr="004E28C4">
        <w:t>’</w:t>
      </w:r>
      <w:r w:rsidR="00990193" w:rsidRPr="004E28C4">
        <w:t>s consent for the deduction of fees</w:t>
      </w:r>
      <w:r w:rsidR="002F7248" w:rsidRPr="004E28C4">
        <w:t xml:space="preserve">, including the cessation of </w:t>
      </w:r>
      <w:r w:rsidR="00116D56" w:rsidRPr="004E28C4">
        <w:t>consent, and</w:t>
      </w:r>
      <w:r w:rsidR="00990193" w:rsidRPr="004E28C4">
        <w:t xml:space="preserve"> the date of the communication; and</w:t>
      </w:r>
    </w:p>
    <w:p w14:paraId="1DE5EE10" w14:textId="4847AB42" w:rsidR="00990193" w:rsidRPr="004E28C4" w:rsidRDefault="0091226F" w:rsidP="00C0598D">
      <w:pPr>
        <w:pStyle w:val="Bullet"/>
      </w:pPr>
      <w:r w:rsidRPr="004E28C4">
        <w:t>t</w:t>
      </w:r>
      <w:r w:rsidR="00990193" w:rsidRPr="004E28C4">
        <w:t xml:space="preserve">he details of any arrangement with a </w:t>
      </w:r>
      <w:proofErr w:type="gramStart"/>
      <w:r w:rsidR="00990193" w:rsidRPr="004E28C4">
        <w:t>third party</w:t>
      </w:r>
      <w:proofErr w:type="gramEnd"/>
      <w:r w:rsidR="00990193" w:rsidRPr="004E28C4">
        <w:t xml:space="preserve"> account provider in relation to the deduction of an amount for the payment of fees under an ongoing fee arrangement.</w:t>
      </w:r>
    </w:p>
    <w:p w14:paraId="2E2F8A0E" w14:textId="43D6EBD5" w:rsidR="001F239D" w:rsidRPr="004E28C4" w:rsidRDefault="001F239D" w:rsidP="001F239D">
      <w:pPr>
        <w:pStyle w:val="Bullet"/>
        <w:numPr>
          <w:ilvl w:val="0"/>
          <w:numId w:val="0"/>
        </w:numPr>
        <w:rPr>
          <w:color w:val="FF0000"/>
          <w:u w:val="single"/>
        </w:rPr>
      </w:pPr>
      <w:r w:rsidRPr="004E28C4">
        <w:rPr>
          <w:u w:val="single"/>
        </w:rPr>
        <w:t>Schedule 2 – Electronic Transactions</w:t>
      </w:r>
    </w:p>
    <w:p w14:paraId="0B82941B" w14:textId="768972FA" w:rsidR="001F239D" w:rsidRPr="004E28C4" w:rsidRDefault="001F239D" w:rsidP="001F239D">
      <w:pPr>
        <w:spacing w:before="240"/>
      </w:pPr>
      <w:r w:rsidRPr="004E28C4">
        <w:t xml:space="preserve">Schedule 3 to the </w:t>
      </w:r>
      <w:r w:rsidRPr="004E28C4">
        <w:rPr>
          <w:i/>
        </w:rPr>
        <w:t>Financial Sector Reform (Hayne Royal Commission Response No</w:t>
      </w:r>
      <w:r w:rsidR="004E3032" w:rsidRPr="004E28C4">
        <w:rPr>
          <w:i/>
        </w:rPr>
        <w:t>. </w:t>
      </w:r>
      <w:r w:rsidRPr="004E28C4">
        <w:rPr>
          <w:i/>
        </w:rPr>
        <w:t xml:space="preserve">2) Act 2021 </w:t>
      </w:r>
      <w:r w:rsidRPr="004E28C4">
        <w:t xml:space="preserve">amended the </w:t>
      </w:r>
      <w:r w:rsidRPr="004E28C4">
        <w:rPr>
          <w:i/>
        </w:rPr>
        <w:t>Superannuation Industry (Supervision) Act 199</w:t>
      </w:r>
      <w:r w:rsidR="003D4585" w:rsidRPr="004E28C4">
        <w:rPr>
          <w:i/>
        </w:rPr>
        <w:t>3</w:t>
      </w:r>
      <w:r w:rsidRPr="004E28C4">
        <w:t xml:space="preserve"> to provide greater protection for superannuation members against paying fees for no services. Section 99FA(1) </w:t>
      </w:r>
      <w:r w:rsidR="00125FD4" w:rsidRPr="004E28C4">
        <w:t xml:space="preserve">of the </w:t>
      </w:r>
      <w:r w:rsidR="00125FD4" w:rsidRPr="004E28C4">
        <w:rPr>
          <w:i/>
        </w:rPr>
        <w:t>Superannuation Industry (Supervision) Act 199</w:t>
      </w:r>
      <w:r w:rsidR="003D4585" w:rsidRPr="004E28C4">
        <w:rPr>
          <w:i/>
        </w:rPr>
        <w:t>3</w:t>
      </w:r>
      <w:r w:rsidR="00125FD4" w:rsidRPr="004E28C4">
        <w:t xml:space="preserve"> </w:t>
      </w:r>
      <w:r w:rsidRPr="004E28C4">
        <w:t>provides that superannuation trustees can only pass on the cost of providing financial product advice to a member in accordance with the terms of a written consent of</w:t>
      </w:r>
      <w:r w:rsidR="00FF4538" w:rsidRPr="004E28C4">
        <w:t xml:space="preserve"> that member.</w:t>
      </w:r>
    </w:p>
    <w:p w14:paraId="70D712DD" w14:textId="2DF631BA" w:rsidR="001F239D" w:rsidRPr="004E28C4" w:rsidRDefault="001F239D" w:rsidP="001F239D">
      <w:pPr>
        <w:spacing w:before="240"/>
      </w:pPr>
      <w:r w:rsidRPr="004E28C4">
        <w:t xml:space="preserve">The </w:t>
      </w:r>
      <w:r w:rsidR="001F542B" w:rsidRPr="004E28C4">
        <w:rPr>
          <w:i/>
        </w:rPr>
        <w:t>Electronic Transactions Act 1999</w:t>
      </w:r>
      <w:r w:rsidR="001F542B" w:rsidRPr="004E28C4">
        <w:t xml:space="preserve"> </w:t>
      </w:r>
      <w:r w:rsidRPr="004E28C4">
        <w:t xml:space="preserve">applies to all Commonwealth laws unless, pursuant to section 7A of </w:t>
      </w:r>
      <w:r w:rsidR="001F542B" w:rsidRPr="004E28C4">
        <w:t>that</w:t>
      </w:r>
      <w:r w:rsidRPr="004E28C4">
        <w:t xml:space="preserve"> Act, they are specifically exempted by regulations, or another exemption applies. Schedule 1 to the </w:t>
      </w:r>
      <w:r w:rsidR="001F542B" w:rsidRPr="004E28C4">
        <w:rPr>
          <w:i/>
        </w:rPr>
        <w:t xml:space="preserve">Electronic Transactions Regulations 2020 </w:t>
      </w:r>
      <w:r w:rsidRPr="004E28C4">
        <w:t xml:space="preserve">contains a list of Commonwealth laws that are exempt from the application of the </w:t>
      </w:r>
      <w:r w:rsidR="001F542B" w:rsidRPr="004E28C4">
        <w:rPr>
          <w:i/>
        </w:rPr>
        <w:t>Electronic Transactions Act 1999</w:t>
      </w:r>
      <w:r w:rsidRPr="004E28C4">
        <w:t>. Exemptions are necessary to account for circumstances where it is not appropriate to provide information, documents or signatures</w:t>
      </w:r>
      <w:r w:rsidR="00FF4538" w:rsidRPr="004E28C4">
        <w:t xml:space="preserve"> electronically.</w:t>
      </w:r>
    </w:p>
    <w:p w14:paraId="05FB9B87" w14:textId="1C84B1E5" w:rsidR="001F239D" w:rsidRPr="004E28C4" w:rsidRDefault="001F239D" w:rsidP="001F239D">
      <w:pPr>
        <w:spacing w:before="240"/>
      </w:pPr>
      <w:r w:rsidRPr="004E28C4">
        <w:t xml:space="preserve">Item 89 of the table in Section 1 of Schedule 1 </w:t>
      </w:r>
      <w:r w:rsidR="00BB5FD2" w:rsidRPr="004E28C4">
        <w:t xml:space="preserve">to the </w:t>
      </w:r>
      <w:r w:rsidR="00BB5FD2" w:rsidRPr="004E28C4">
        <w:rPr>
          <w:i/>
        </w:rPr>
        <w:t xml:space="preserve">Electronic Transactions Regulations 2020 </w:t>
      </w:r>
      <w:r w:rsidRPr="004E28C4">
        <w:t xml:space="preserve">exempts the whole of the </w:t>
      </w:r>
      <w:r w:rsidR="00BB5FD2" w:rsidRPr="004E28C4">
        <w:rPr>
          <w:i/>
        </w:rPr>
        <w:t>Superannuation Industry (Supervision) Act 199</w:t>
      </w:r>
      <w:r w:rsidR="00595499" w:rsidRPr="004E28C4">
        <w:rPr>
          <w:i/>
        </w:rPr>
        <w:t>3</w:t>
      </w:r>
      <w:r w:rsidR="00BB5FD2" w:rsidRPr="004E28C4">
        <w:t xml:space="preserve"> </w:t>
      </w:r>
      <w:r w:rsidRPr="004E28C4">
        <w:t>from certain provisions of</w:t>
      </w:r>
      <w:r w:rsidR="00BB5FD2" w:rsidRPr="004E28C4">
        <w:t xml:space="preserve"> the</w:t>
      </w:r>
      <w:r w:rsidRPr="004E28C4">
        <w:t xml:space="preserve"> </w:t>
      </w:r>
      <w:r w:rsidR="00BB5FD2" w:rsidRPr="004E28C4">
        <w:rPr>
          <w:i/>
        </w:rPr>
        <w:t>Electronic Transactions Act 1999</w:t>
      </w:r>
      <w:r w:rsidRPr="004E28C4">
        <w:t xml:space="preserve">, except for certain provisions </w:t>
      </w:r>
      <w:r w:rsidR="00F021C8" w:rsidRPr="004E28C4">
        <w:t>that are</w:t>
      </w:r>
      <w:r w:rsidRPr="004E28C4">
        <w:t xml:space="preserve"> listed in that</w:t>
      </w:r>
      <w:r w:rsidR="00FF4538" w:rsidRPr="004E28C4">
        <w:t xml:space="preserve"> item.</w:t>
      </w:r>
    </w:p>
    <w:p w14:paraId="31B3A014" w14:textId="3797BD45" w:rsidR="00B77A61" w:rsidRPr="004E28C4" w:rsidRDefault="00B77A61" w:rsidP="001F239D">
      <w:pPr>
        <w:spacing w:before="240"/>
      </w:pPr>
      <w:r w:rsidRPr="004E28C4">
        <w:t>The amendments in Schedule 2 to the R</w:t>
      </w:r>
      <w:r w:rsidR="001F239D" w:rsidRPr="004E28C4">
        <w:t xml:space="preserve">egulations apply the </w:t>
      </w:r>
      <w:r w:rsidRPr="004E28C4">
        <w:rPr>
          <w:i/>
        </w:rPr>
        <w:t>Electronic Transactions Act 1999</w:t>
      </w:r>
      <w:r w:rsidRPr="004E28C4">
        <w:t xml:space="preserve"> </w:t>
      </w:r>
      <w:r w:rsidR="001F239D" w:rsidRPr="004E28C4">
        <w:t xml:space="preserve">to section 99FA(1) of the </w:t>
      </w:r>
      <w:r w:rsidRPr="004E28C4">
        <w:rPr>
          <w:i/>
        </w:rPr>
        <w:t>Superannuation Industry (Supervision) Act 199</w:t>
      </w:r>
      <w:r w:rsidR="00595499" w:rsidRPr="004E28C4">
        <w:rPr>
          <w:i/>
        </w:rPr>
        <w:t>3</w:t>
      </w:r>
      <w:r w:rsidRPr="004E28C4">
        <w:t xml:space="preserve"> </w:t>
      </w:r>
      <w:r w:rsidR="001F239D" w:rsidRPr="004E28C4">
        <w:t xml:space="preserve">so that consents in relation to financial product advice fees can be provided electronically. </w:t>
      </w:r>
    </w:p>
    <w:p w14:paraId="208A4B9C" w14:textId="5B0EB7A6" w:rsidR="001F239D" w:rsidRPr="004E28C4" w:rsidRDefault="001F239D" w:rsidP="001F239D">
      <w:pPr>
        <w:spacing w:before="240"/>
      </w:pPr>
      <w:r w:rsidRPr="004E28C4">
        <w:t xml:space="preserve">The </w:t>
      </w:r>
      <w:r w:rsidR="00595499" w:rsidRPr="004E28C4">
        <w:t>R</w:t>
      </w:r>
      <w:r w:rsidRPr="004E28C4">
        <w:t xml:space="preserve">egulations also omit provisions of the </w:t>
      </w:r>
      <w:r w:rsidR="00B77A61" w:rsidRPr="004E28C4">
        <w:rPr>
          <w:i/>
        </w:rPr>
        <w:t>Superannuation Industry (Supervision) Act</w:t>
      </w:r>
      <w:r w:rsidR="00373D11" w:rsidRPr="004E28C4">
        <w:rPr>
          <w:i/>
        </w:rPr>
        <w:t> </w:t>
      </w:r>
      <w:r w:rsidR="00B77A61" w:rsidRPr="004E28C4">
        <w:rPr>
          <w:i/>
        </w:rPr>
        <w:t>199</w:t>
      </w:r>
      <w:r w:rsidR="00595499" w:rsidRPr="004E28C4">
        <w:rPr>
          <w:i/>
        </w:rPr>
        <w:t>3</w:t>
      </w:r>
      <w:r w:rsidR="00B77A61" w:rsidRPr="004E28C4">
        <w:t xml:space="preserve"> </w:t>
      </w:r>
      <w:r w:rsidRPr="004E28C4">
        <w:t xml:space="preserve">from items 89 and item 90 in the table that were repealed by the </w:t>
      </w:r>
      <w:r w:rsidRPr="004E28C4">
        <w:rPr>
          <w:i/>
        </w:rPr>
        <w:t>Financial Sector Reform (Hayne Royal</w:t>
      </w:r>
      <w:r w:rsidR="007367C1" w:rsidRPr="004E28C4">
        <w:rPr>
          <w:i/>
        </w:rPr>
        <w:t xml:space="preserve"> Commission Response) Act 2020.</w:t>
      </w:r>
    </w:p>
    <w:p w14:paraId="0081DE65" w14:textId="77777777" w:rsidR="001F239D" w:rsidRPr="004E28C4" w:rsidRDefault="001F239D" w:rsidP="001F239D">
      <w:pPr>
        <w:pStyle w:val="Bullet"/>
        <w:numPr>
          <w:ilvl w:val="0"/>
          <w:numId w:val="0"/>
        </w:numPr>
      </w:pPr>
    </w:p>
    <w:p w14:paraId="0A1B2AFB" w14:textId="13621567" w:rsidR="007A55A7" w:rsidRPr="004E28C4" w:rsidRDefault="007A55A7" w:rsidP="00013390">
      <w:pPr>
        <w:pageBreakBefore/>
        <w:spacing w:before="240"/>
        <w:jc w:val="right"/>
        <w:rPr>
          <w:b/>
          <w:u w:val="single"/>
        </w:rPr>
      </w:pPr>
      <w:r w:rsidRPr="004E28C4">
        <w:rPr>
          <w:b/>
          <w:u w:val="single"/>
        </w:rPr>
        <w:lastRenderedPageBreak/>
        <w:t xml:space="preserve">ATTACHMENT </w:t>
      </w:r>
      <w:r w:rsidR="00094D0F" w:rsidRPr="004E28C4">
        <w:rPr>
          <w:b/>
          <w:u w:val="single"/>
        </w:rPr>
        <w:t>B</w:t>
      </w:r>
    </w:p>
    <w:p w14:paraId="4F4C91FC" w14:textId="77777777" w:rsidR="00E4438C" w:rsidRPr="004E28C4" w:rsidRDefault="00E4438C" w:rsidP="003E1CE3">
      <w:pPr>
        <w:pStyle w:val="Heading3"/>
      </w:pPr>
      <w:r w:rsidRPr="004E28C4">
        <w:t>Statement of Compatibility with Human Rights</w:t>
      </w:r>
    </w:p>
    <w:p w14:paraId="4789503B" w14:textId="59DCE118" w:rsidR="00E4438C" w:rsidRPr="004E28C4" w:rsidRDefault="00E4438C" w:rsidP="00AC1D15">
      <w:pPr>
        <w:spacing w:before="240"/>
        <w:jc w:val="center"/>
        <w:rPr>
          <w:i/>
        </w:rPr>
      </w:pPr>
      <w:r w:rsidRPr="004E28C4">
        <w:rPr>
          <w:i/>
        </w:rPr>
        <w:t>Prepared in accordance with Part 3 of the Human Rights (Parliamentary Scrutiny) Act 2011</w:t>
      </w:r>
    </w:p>
    <w:p w14:paraId="4BA09C94" w14:textId="34191301" w:rsidR="00990193" w:rsidRPr="004E28C4" w:rsidRDefault="00DE7B92" w:rsidP="00990193">
      <w:pPr>
        <w:pStyle w:val="Heading3"/>
        <w:jc w:val="center"/>
      </w:pPr>
      <w:r w:rsidRPr="004E28C4">
        <w:t>Financial Sector Reform (Hayne Royal Commission Response – Advice Fees) Regulations 2021</w:t>
      </w:r>
    </w:p>
    <w:p w14:paraId="64DC4F13" w14:textId="77777777" w:rsidR="00E4438C" w:rsidRPr="004E28C4" w:rsidRDefault="00E4438C" w:rsidP="00647BB7">
      <w:pPr>
        <w:spacing w:before="240"/>
      </w:pPr>
      <w:r w:rsidRPr="004E28C4">
        <w:t xml:space="preserve">This Legislative Instrument is compatible with the human rights and freedoms recognised or declared in the international instruments listed in section 3 of the </w:t>
      </w:r>
      <w:r w:rsidRPr="004E28C4">
        <w:rPr>
          <w:i/>
        </w:rPr>
        <w:t>Human Rights (Parliamentary Scrutiny) Act 2011</w:t>
      </w:r>
      <w:r w:rsidRPr="004E28C4">
        <w:t>.</w:t>
      </w:r>
    </w:p>
    <w:p w14:paraId="72D2776C" w14:textId="77777777" w:rsidR="00E4438C" w:rsidRPr="004E28C4" w:rsidRDefault="00E4438C" w:rsidP="003E1CE3">
      <w:pPr>
        <w:pStyle w:val="Heading3"/>
      </w:pPr>
      <w:r w:rsidRPr="004E28C4">
        <w:t>Overview of the Legislative Instrument</w:t>
      </w:r>
    </w:p>
    <w:p w14:paraId="417A23F6" w14:textId="6BA1BA9A" w:rsidR="00EB085A" w:rsidRPr="004E28C4" w:rsidRDefault="009B6604" w:rsidP="00F93FD6">
      <w:pPr>
        <w:spacing w:before="240"/>
      </w:pPr>
      <w:r w:rsidRPr="004E28C4">
        <w:t xml:space="preserve">Schedule 1 to the Regulations supports the amendments in </w:t>
      </w:r>
      <w:r w:rsidR="0047182A" w:rsidRPr="004E28C4">
        <w:t>Schedule 1</w:t>
      </w:r>
      <w:r w:rsidRPr="004E28C4">
        <w:t xml:space="preserve"> </w:t>
      </w:r>
      <w:r w:rsidR="00EB085A" w:rsidRPr="004E28C4">
        <w:t xml:space="preserve">to the </w:t>
      </w:r>
      <w:r w:rsidR="00EB085A" w:rsidRPr="004E28C4">
        <w:rPr>
          <w:i/>
        </w:rPr>
        <w:t xml:space="preserve">Financial Sector Reform (Hayne Royal Commission Response </w:t>
      </w:r>
      <w:r w:rsidR="003E43CE" w:rsidRPr="004E28C4">
        <w:rPr>
          <w:i/>
        </w:rPr>
        <w:t>No. 2</w:t>
      </w:r>
      <w:r w:rsidR="00A450CD" w:rsidRPr="004E28C4">
        <w:rPr>
          <w:i/>
        </w:rPr>
        <w:t>)</w:t>
      </w:r>
      <w:r w:rsidR="003E43CE" w:rsidRPr="004E28C4">
        <w:rPr>
          <w:i/>
        </w:rPr>
        <w:t xml:space="preserve"> Act 2021</w:t>
      </w:r>
      <w:r w:rsidRPr="004E28C4">
        <w:t>,</w:t>
      </w:r>
      <w:r w:rsidR="00EB085A" w:rsidRPr="004E28C4">
        <w:rPr>
          <w:i/>
        </w:rPr>
        <w:t xml:space="preserve"> </w:t>
      </w:r>
      <w:r w:rsidR="00EB085A" w:rsidRPr="004E28C4">
        <w:t>which implement</w:t>
      </w:r>
      <w:r w:rsidRPr="004E28C4">
        <w:t>ed</w:t>
      </w:r>
      <w:r w:rsidR="00EB085A" w:rsidRPr="004E28C4">
        <w:t xml:space="preserve"> recommendation 2.1 of the </w:t>
      </w:r>
      <w:r w:rsidR="005266F1" w:rsidRPr="004E28C4">
        <w:t xml:space="preserve">Final Report of the Royal Commission into Misconduct in the Banking, Superannuation and Financial Services Industry </w:t>
      </w:r>
      <w:r w:rsidR="0050449B" w:rsidRPr="004E28C4">
        <w:t>(</w:t>
      </w:r>
      <w:r w:rsidR="00EB085A" w:rsidRPr="004E28C4">
        <w:t>Financial Services Royal Commission</w:t>
      </w:r>
      <w:r w:rsidR="0050449B" w:rsidRPr="004E28C4">
        <w:t>)</w:t>
      </w:r>
      <w:r w:rsidR="00EB085A" w:rsidRPr="004E28C4">
        <w:t xml:space="preserve"> in relation to ongoing fee arrangements.</w:t>
      </w:r>
    </w:p>
    <w:p w14:paraId="0EAA76DE" w14:textId="5495DACA" w:rsidR="003776B4" w:rsidRPr="004E28C4" w:rsidRDefault="00053008" w:rsidP="00F93FD6">
      <w:pPr>
        <w:spacing w:before="240"/>
      </w:pPr>
      <w:r w:rsidRPr="004E28C4">
        <w:t xml:space="preserve">Section 962X of the </w:t>
      </w:r>
      <w:r w:rsidRPr="004E28C4">
        <w:rPr>
          <w:i/>
        </w:rPr>
        <w:t>Corporations Act 2001</w:t>
      </w:r>
      <w:r w:rsidRPr="004E28C4">
        <w:t xml:space="preserve"> provides that a fee recipient must keep records which demonstrate their compliance with the ongoing fee arrangement rules.</w:t>
      </w:r>
      <w:r w:rsidR="00EB085A" w:rsidRPr="004E28C4">
        <w:t xml:space="preserve"> The </w:t>
      </w:r>
      <w:r w:rsidR="007B2153" w:rsidRPr="004E28C4">
        <w:t>R</w:t>
      </w:r>
      <w:r w:rsidR="00EB085A" w:rsidRPr="004E28C4">
        <w:t xml:space="preserve">egulations specify the records which fee recipients must </w:t>
      </w:r>
      <w:r w:rsidR="007B2153" w:rsidRPr="004E28C4">
        <w:t xml:space="preserve">keep </w:t>
      </w:r>
      <w:r w:rsidR="00EB085A" w:rsidRPr="004E28C4">
        <w:t xml:space="preserve">in order to fulfil their record keeping obligation under section 962X of the </w:t>
      </w:r>
      <w:r w:rsidR="00EB085A" w:rsidRPr="004E28C4">
        <w:rPr>
          <w:i/>
        </w:rPr>
        <w:t xml:space="preserve">Corporations Act 2001. </w:t>
      </w:r>
      <w:r w:rsidRPr="004E28C4">
        <w:t>Specifically, the regulations provide that the fee recipient must keep a record of any fee disclosure statements that they give to clients under an ongoing fee arrangement as well as documents relating to the receipt, variation or withdrawal of consent to make or arrange a deduction of an amount for an ongoing fee from a client account.</w:t>
      </w:r>
    </w:p>
    <w:p w14:paraId="0F3C5D2D" w14:textId="0D95576C" w:rsidR="00E4438C" w:rsidRPr="004E28C4" w:rsidRDefault="00157C3F" w:rsidP="00F93FD6">
      <w:pPr>
        <w:spacing w:before="240"/>
      </w:pPr>
      <w:r w:rsidRPr="004E28C4">
        <w:t>The new obligation to keep sufficient compliance records is integral to the legal framework in addressing the problems identified with ongoing fee arrangements. Keeping sufficient compliance records ensures the</w:t>
      </w:r>
      <w:r w:rsidR="00A92ECB" w:rsidRPr="004E28C4">
        <w:t>re is a minimum level of information available to the</w:t>
      </w:r>
      <w:r w:rsidRPr="004E28C4">
        <w:t xml:space="preserve"> Australian Securities and Investments Commission when undertaking compliance and enforcement work</w:t>
      </w:r>
      <w:r w:rsidR="00A80E85" w:rsidRPr="004E28C4">
        <w:t>.</w:t>
      </w:r>
    </w:p>
    <w:p w14:paraId="155EB662" w14:textId="1BA0A86D" w:rsidR="004D5555" w:rsidRPr="004E28C4" w:rsidRDefault="000362E8" w:rsidP="00F93FD6">
      <w:pPr>
        <w:spacing w:before="240"/>
      </w:pPr>
      <w:r w:rsidRPr="004E28C4">
        <w:t>Schedule 2 to the Regulations enable</w:t>
      </w:r>
      <w:r w:rsidR="0050449B" w:rsidRPr="004E28C4">
        <w:t>s</w:t>
      </w:r>
      <w:r w:rsidRPr="004E28C4">
        <w:t xml:space="preserve"> written consents in relation to financial product advice fees paid out of a superannuation interest to be provided electronically</w:t>
      </w:r>
      <w:r w:rsidR="006B25A7" w:rsidRPr="004E28C4">
        <w:t>.</w:t>
      </w:r>
      <w:r w:rsidR="004D5555" w:rsidRPr="004E28C4">
        <w:t xml:space="preserve"> This Schedule supports the amendments in Schedule 3 to the </w:t>
      </w:r>
      <w:r w:rsidR="004D5555" w:rsidRPr="004E28C4">
        <w:rPr>
          <w:i/>
        </w:rPr>
        <w:t>Financial Sector Reform (Hayne Royal Commission Response No. 2) Act 2021</w:t>
      </w:r>
      <w:r w:rsidR="004D5555" w:rsidRPr="004E28C4">
        <w:t>,</w:t>
      </w:r>
      <w:r w:rsidR="004D5555" w:rsidRPr="004E28C4">
        <w:rPr>
          <w:i/>
        </w:rPr>
        <w:t xml:space="preserve"> </w:t>
      </w:r>
      <w:r w:rsidR="004D5555" w:rsidRPr="004E28C4">
        <w:t xml:space="preserve">which implemented </w:t>
      </w:r>
      <w:r w:rsidR="0050449B" w:rsidRPr="004E28C4">
        <w:t xml:space="preserve">the Government’s response to </w:t>
      </w:r>
      <w:r w:rsidR="004D5555" w:rsidRPr="004E28C4">
        <w:t>recommendation</w:t>
      </w:r>
      <w:r w:rsidR="0050449B" w:rsidRPr="004E28C4">
        <w:t>s 3.2 and</w:t>
      </w:r>
      <w:r w:rsidR="004D5555" w:rsidRPr="004E28C4">
        <w:t xml:space="preserve"> 3.3 of the Financial Services Royal Commission </w:t>
      </w:r>
      <w:r w:rsidR="0050449B" w:rsidRPr="004E28C4">
        <w:t>Final report</w:t>
      </w:r>
      <w:r w:rsidR="004D5555" w:rsidRPr="004E28C4">
        <w:t>.</w:t>
      </w:r>
    </w:p>
    <w:p w14:paraId="19CF5367" w14:textId="77777777" w:rsidR="00E4438C" w:rsidRPr="004E28C4" w:rsidRDefault="00E4438C" w:rsidP="003E1CE3">
      <w:pPr>
        <w:pStyle w:val="Heading3"/>
      </w:pPr>
      <w:r w:rsidRPr="004E28C4">
        <w:t>Human rights implications</w:t>
      </w:r>
    </w:p>
    <w:p w14:paraId="41BF57E8" w14:textId="77777777" w:rsidR="00E4438C" w:rsidRPr="004E28C4" w:rsidRDefault="00E4438C" w:rsidP="00647BB7">
      <w:pPr>
        <w:spacing w:before="240"/>
      </w:pPr>
      <w:r w:rsidRPr="004E28C4">
        <w:t>This Legislative Instrument does not engage any of the applicable rights or freedoms.</w:t>
      </w:r>
    </w:p>
    <w:p w14:paraId="649C2FAD" w14:textId="77777777" w:rsidR="00E4438C" w:rsidRPr="004E28C4" w:rsidRDefault="00E4438C" w:rsidP="003E1CE3">
      <w:pPr>
        <w:pStyle w:val="Heading3"/>
      </w:pPr>
      <w:r w:rsidRPr="004E28C4">
        <w:t>Conclusion</w:t>
      </w:r>
    </w:p>
    <w:p w14:paraId="1D222AFE" w14:textId="7145E82D" w:rsidR="00482B81" w:rsidRPr="00EA4DD8" w:rsidRDefault="00E4438C" w:rsidP="00A0308F">
      <w:pPr>
        <w:spacing w:before="240"/>
      </w:pPr>
      <w:r w:rsidRPr="004E28C4">
        <w:t>This Legislative Instrument is compatible with human rights as it does not raise any human rights issues.</w:t>
      </w:r>
    </w:p>
    <w:sectPr w:rsidR="00482B81" w:rsidRPr="00EA4DD8"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73E4D" w14:textId="77777777" w:rsidR="00751B13" w:rsidRDefault="00751B13" w:rsidP="00954679">
      <w:pPr>
        <w:spacing w:before="0" w:after="0"/>
      </w:pPr>
      <w:r>
        <w:separator/>
      </w:r>
    </w:p>
  </w:endnote>
  <w:endnote w:type="continuationSeparator" w:id="0">
    <w:p w14:paraId="3A8B7D10" w14:textId="77777777" w:rsidR="00751B13" w:rsidRDefault="00751B13" w:rsidP="00954679">
      <w:pPr>
        <w:spacing w:before="0" w:after="0"/>
      </w:pPr>
      <w:r>
        <w:continuationSeparator/>
      </w:r>
    </w:p>
  </w:endnote>
  <w:endnote w:type="continuationNotice" w:id="1">
    <w:p w14:paraId="6A2DF0F3" w14:textId="77777777" w:rsidR="00751B13" w:rsidRDefault="00751B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E77090C" w14:textId="09D093C9" w:rsidR="00463E85" w:rsidRDefault="00463E85"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246532">
              <w:rPr>
                <w:bCs/>
                <w:noProof/>
              </w:rPr>
              <w:t>6</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246532">
              <w:rPr>
                <w:bCs/>
                <w:noProof/>
              </w:rPr>
              <w:t>6</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75084" w14:textId="77777777" w:rsidR="00751B13" w:rsidRDefault="00751B13" w:rsidP="00954679">
      <w:pPr>
        <w:spacing w:before="0" w:after="0"/>
      </w:pPr>
      <w:r>
        <w:separator/>
      </w:r>
    </w:p>
  </w:footnote>
  <w:footnote w:type="continuationSeparator" w:id="0">
    <w:p w14:paraId="236D26FC" w14:textId="77777777" w:rsidR="00751B13" w:rsidRDefault="00751B13" w:rsidP="00954679">
      <w:pPr>
        <w:spacing w:before="0" w:after="0"/>
      </w:pPr>
      <w:r>
        <w:continuationSeparator/>
      </w:r>
    </w:p>
  </w:footnote>
  <w:footnote w:type="continuationNotice" w:id="1">
    <w:p w14:paraId="3CFE2420" w14:textId="77777777" w:rsidR="00751B13" w:rsidRDefault="00751B1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0ED4EE2"/>
    <w:multiLevelType w:val="hybridMultilevel"/>
    <w:tmpl w:val="FF0645C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D714D4B"/>
    <w:multiLevelType w:val="multilevel"/>
    <w:tmpl w:val="2EACE996"/>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5DF6494"/>
    <w:multiLevelType w:val="multilevel"/>
    <w:tmpl w:val="2EACE996"/>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7A43C0B"/>
    <w:multiLevelType w:val="multilevel"/>
    <w:tmpl w:val="D5A49F06"/>
    <w:name w:val="StandardBulletedList"/>
    <w:lvl w:ilvl="0">
      <w:start w:val="1"/>
      <w:numFmt w:val="bullet"/>
      <w:pStyle w:val="Bullet"/>
      <w:lvlText w:val="•"/>
      <w:lvlJc w:val="left"/>
      <w:pPr>
        <w:tabs>
          <w:tab w:val="num" w:pos="567"/>
        </w:tabs>
        <w:ind w:left="567" w:hanging="567"/>
      </w:pPr>
      <w:rPr>
        <w:rFonts w:ascii="Times New Roman" w:hAnsi="Times New Roman" w:cs="Times New Roman" w:hint="default"/>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150" w:hanging="36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6"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5"/>
  </w:num>
  <w:num w:numId="3">
    <w:abstractNumId w:val="0"/>
  </w:num>
  <w:num w:numId="4">
    <w:abstractNumId w:val="6"/>
  </w:num>
  <w:num w:numId="5">
    <w:abstractNumId w:val="3"/>
  </w:num>
  <w:num w:numId="6">
    <w:abstractNumId w:val="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844"/>
          </w:tabs>
          <w:ind w:left="993"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A1"/>
    <w:rsid w:val="0000416E"/>
    <w:rsid w:val="00010A36"/>
    <w:rsid w:val="00013390"/>
    <w:rsid w:val="00014B60"/>
    <w:rsid w:val="00016EA2"/>
    <w:rsid w:val="00021DA9"/>
    <w:rsid w:val="000362E8"/>
    <w:rsid w:val="000502C3"/>
    <w:rsid w:val="00053008"/>
    <w:rsid w:val="00071924"/>
    <w:rsid w:val="00076178"/>
    <w:rsid w:val="00094D0F"/>
    <w:rsid w:val="00095211"/>
    <w:rsid w:val="000A3873"/>
    <w:rsid w:val="000B39A1"/>
    <w:rsid w:val="000B4C9E"/>
    <w:rsid w:val="000C0D5E"/>
    <w:rsid w:val="000C10DF"/>
    <w:rsid w:val="000C4C8D"/>
    <w:rsid w:val="000C55B7"/>
    <w:rsid w:val="000C6935"/>
    <w:rsid w:val="000F45B1"/>
    <w:rsid w:val="00113B45"/>
    <w:rsid w:val="00116D56"/>
    <w:rsid w:val="00120DB9"/>
    <w:rsid w:val="00125FD4"/>
    <w:rsid w:val="00131D6D"/>
    <w:rsid w:val="00157C3F"/>
    <w:rsid w:val="00192CB9"/>
    <w:rsid w:val="001B7535"/>
    <w:rsid w:val="001C0F1B"/>
    <w:rsid w:val="001E19A5"/>
    <w:rsid w:val="001E6A74"/>
    <w:rsid w:val="001F239D"/>
    <w:rsid w:val="001F41D0"/>
    <w:rsid w:val="001F47FD"/>
    <w:rsid w:val="001F542B"/>
    <w:rsid w:val="00220AB8"/>
    <w:rsid w:val="00220F16"/>
    <w:rsid w:val="00226553"/>
    <w:rsid w:val="00233D66"/>
    <w:rsid w:val="00246532"/>
    <w:rsid w:val="00254C5B"/>
    <w:rsid w:val="00261AC9"/>
    <w:rsid w:val="00266D4F"/>
    <w:rsid w:val="00284AC4"/>
    <w:rsid w:val="0028532F"/>
    <w:rsid w:val="00295E09"/>
    <w:rsid w:val="002A78CE"/>
    <w:rsid w:val="002A7E1F"/>
    <w:rsid w:val="002C226C"/>
    <w:rsid w:val="002D21AE"/>
    <w:rsid w:val="002D5D97"/>
    <w:rsid w:val="002F7248"/>
    <w:rsid w:val="00303BC8"/>
    <w:rsid w:val="003041FA"/>
    <w:rsid w:val="00305EA5"/>
    <w:rsid w:val="0031281D"/>
    <w:rsid w:val="00313901"/>
    <w:rsid w:val="0032738C"/>
    <w:rsid w:val="003342CD"/>
    <w:rsid w:val="00335042"/>
    <w:rsid w:val="0033524D"/>
    <w:rsid w:val="00336E0F"/>
    <w:rsid w:val="003469E5"/>
    <w:rsid w:val="00352DAF"/>
    <w:rsid w:val="0035357C"/>
    <w:rsid w:val="00356BB0"/>
    <w:rsid w:val="00361595"/>
    <w:rsid w:val="00362B70"/>
    <w:rsid w:val="003707C5"/>
    <w:rsid w:val="003728D6"/>
    <w:rsid w:val="00373D11"/>
    <w:rsid w:val="003776B4"/>
    <w:rsid w:val="003878F2"/>
    <w:rsid w:val="00392BBA"/>
    <w:rsid w:val="00393832"/>
    <w:rsid w:val="003954FD"/>
    <w:rsid w:val="003A0DC9"/>
    <w:rsid w:val="003C4AC3"/>
    <w:rsid w:val="003C7907"/>
    <w:rsid w:val="003D4585"/>
    <w:rsid w:val="003D60D7"/>
    <w:rsid w:val="003E1CE3"/>
    <w:rsid w:val="003E43CE"/>
    <w:rsid w:val="00406A46"/>
    <w:rsid w:val="004340AF"/>
    <w:rsid w:val="004407CE"/>
    <w:rsid w:val="004433A7"/>
    <w:rsid w:val="00446AC5"/>
    <w:rsid w:val="0045708F"/>
    <w:rsid w:val="00462095"/>
    <w:rsid w:val="00463E85"/>
    <w:rsid w:val="00467206"/>
    <w:rsid w:val="0047182A"/>
    <w:rsid w:val="00482B81"/>
    <w:rsid w:val="00482D4C"/>
    <w:rsid w:val="00486325"/>
    <w:rsid w:val="004A0782"/>
    <w:rsid w:val="004B3C0F"/>
    <w:rsid w:val="004B5C41"/>
    <w:rsid w:val="004C02E5"/>
    <w:rsid w:val="004C05E4"/>
    <w:rsid w:val="004D5555"/>
    <w:rsid w:val="004E28C4"/>
    <w:rsid w:val="004E3032"/>
    <w:rsid w:val="004E39E1"/>
    <w:rsid w:val="004F56D0"/>
    <w:rsid w:val="00502A64"/>
    <w:rsid w:val="0050343B"/>
    <w:rsid w:val="00503E44"/>
    <w:rsid w:val="0050449B"/>
    <w:rsid w:val="00515283"/>
    <w:rsid w:val="005266F1"/>
    <w:rsid w:val="00527EF1"/>
    <w:rsid w:val="00533926"/>
    <w:rsid w:val="0053641E"/>
    <w:rsid w:val="00555B04"/>
    <w:rsid w:val="0055675D"/>
    <w:rsid w:val="00566E8F"/>
    <w:rsid w:val="00573AB4"/>
    <w:rsid w:val="0057422E"/>
    <w:rsid w:val="00582EE4"/>
    <w:rsid w:val="005833BE"/>
    <w:rsid w:val="00595499"/>
    <w:rsid w:val="005A0D9B"/>
    <w:rsid w:val="005B246B"/>
    <w:rsid w:val="005B262C"/>
    <w:rsid w:val="005D7D5A"/>
    <w:rsid w:val="005E3A89"/>
    <w:rsid w:val="005E4BAC"/>
    <w:rsid w:val="0060130D"/>
    <w:rsid w:val="0061136F"/>
    <w:rsid w:val="0064129F"/>
    <w:rsid w:val="00643E24"/>
    <w:rsid w:val="006453E3"/>
    <w:rsid w:val="00647BB7"/>
    <w:rsid w:val="00680297"/>
    <w:rsid w:val="006873CE"/>
    <w:rsid w:val="00695F53"/>
    <w:rsid w:val="006A0786"/>
    <w:rsid w:val="006A0CCA"/>
    <w:rsid w:val="006A431B"/>
    <w:rsid w:val="006B233B"/>
    <w:rsid w:val="006B25A7"/>
    <w:rsid w:val="006C1756"/>
    <w:rsid w:val="006E796C"/>
    <w:rsid w:val="00704AAD"/>
    <w:rsid w:val="00710E94"/>
    <w:rsid w:val="0071569E"/>
    <w:rsid w:val="00725073"/>
    <w:rsid w:val="00727D8A"/>
    <w:rsid w:val="00731FEA"/>
    <w:rsid w:val="007367C1"/>
    <w:rsid w:val="0073695D"/>
    <w:rsid w:val="00736F61"/>
    <w:rsid w:val="00742253"/>
    <w:rsid w:val="00751B13"/>
    <w:rsid w:val="007523C1"/>
    <w:rsid w:val="00753D69"/>
    <w:rsid w:val="00756AF6"/>
    <w:rsid w:val="007662C7"/>
    <w:rsid w:val="00776306"/>
    <w:rsid w:val="007A55A7"/>
    <w:rsid w:val="007A6E6D"/>
    <w:rsid w:val="007A72D8"/>
    <w:rsid w:val="007B1F10"/>
    <w:rsid w:val="007B2153"/>
    <w:rsid w:val="007B335E"/>
    <w:rsid w:val="007B60F8"/>
    <w:rsid w:val="007B74AD"/>
    <w:rsid w:val="007E018D"/>
    <w:rsid w:val="007F04E9"/>
    <w:rsid w:val="007F1B71"/>
    <w:rsid w:val="007F3E3D"/>
    <w:rsid w:val="00807E7D"/>
    <w:rsid w:val="00831675"/>
    <w:rsid w:val="00832E62"/>
    <w:rsid w:val="00834028"/>
    <w:rsid w:val="00834D87"/>
    <w:rsid w:val="00836B7F"/>
    <w:rsid w:val="008373D1"/>
    <w:rsid w:val="00850ABA"/>
    <w:rsid w:val="0085517D"/>
    <w:rsid w:val="00855C84"/>
    <w:rsid w:val="008610C8"/>
    <w:rsid w:val="00867DB5"/>
    <w:rsid w:val="0087686E"/>
    <w:rsid w:val="0088467C"/>
    <w:rsid w:val="00887367"/>
    <w:rsid w:val="00894579"/>
    <w:rsid w:val="00896EC6"/>
    <w:rsid w:val="008A4C94"/>
    <w:rsid w:val="008A5B67"/>
    <w:rsid w:val="008B5E9A"/>
    <w:rsid w:val="008C2DDF"/>
    <w:rsid w:val="008D16F7"/>
    <w:rsid w:val="008D5662"/>
    <w:rsid w:val="008E1427"/>
    <w:rsid w:val="008E2102"/>
    <w:rsid w:val="008E6538"/>
    <w:rsid w:val="009046CC"/>
    <w:rsid w:val="00910E46"/>
    <w:rsid w:val="0091226F"/>
    <w:rsid w:val="009143A0"/>
    <w:rsid w:val="009227BB"/>
    <w:rsid w:val="009237E3"/>
    <w:rsid w:val="00936902"/>
    <w:rsid w:val="00954679"/>
    <w:rsid w:val="00973A68"/>
    <w:rsid w:val="0097567E"/>
    <w:rsid w:val="0098124C"/>
    <w:rsid w:val="00990193"/>
    <w:rsid w:val="009939A5"/>
    <w:rsid w:val="009B6604"/>
    <w:rsid w:val="009B773E"/>
    <w:rsid w:val="009B7CC1"/>
    <w:rsid w:val="009C6A1E"/>
    <w:rsid w:val="009E2F86"/>
    <w:rsid w:val="009E42CF"/>
    <w:rsid w:val="009E7FAC"/>
    <w:rsid w:val="00A0308F"/>
    <w:rsid w:val="00A04C29"/>
    <w:rsid w:val="00A1144C"/>
    <w:rsid w:val="00A12209"/>
    <w:rsid w:val="00A27E35"/>
    <w:rsid w:val="00A27E6C"/>
    <w:rsid w:val="00A34F20"/>
    <w:rsid w:val="00A36DF3"/>
    <w:rsid w:val="00A450CD"/>
    <w:rsid w:val="00A51888"/>
    <w:rsid w:val="00A532DD"/>
    <w:rsid w:val="00A80BCF"/>
    <w:rsid w:val="00A80E85"/>
    <w:rsid w:val="00A8137E"/>
    <w:rsid w:val="00A8369C"/>
    <w:rsid w:val="00A92ECB"/>
    <w:rsid w:val="00AA1689"/>
    <w:rsid w:val="00AA1975"/>
    <w:rsid w:val="00AA5770"/>
    <w:rsid w:val="00AC1D15"/>
    <w:rsid w:val="00AC3C8C"/>
    <w:rsid w:val="00AC4829"/>
    <w:rsid w:val="00AE044A"/>
    <w:rsid w:val="00AE5509"/>
    <w:rsid w:val="00B07B0C"/>
    <w:rsid w:val="00B16A91"/>
    <w:rsid w:val="00B25563"/>
    <w:rsid w:val="00B26D48"/>
    <w:rsid w:val="00B32696"/>
    <w:rsid w:val="00B42EE1"/>
    <w:rsid w:val="00B53661"/>
    <w:rsid w:val="00B61687"/>
    <w:rsid w:val="00B77A61"/>
    <w:rsid w:val="00B8293D"/>
    <w:rsid w:val="00B92478"/>
    <w:rsid w:val="00BA6188"/>
    <w:rsid w:val="00BB0FD4"/>
    <w:rsid w:val="00BB5FD2"/>
    <w:rsid w:val="00BB6177"/>
    <w:rsid w:val="00BC25D6"/>
    <w:rsid w:val="00BC38D6"/>
    <w:rsid w:val="00BC6F55"/>
    <w:rsid w:val="00BC7A31"/>
    <w:rsid w:val="00BD0AA1"/>
    <w:rsid w:val="00BD292E"/>
    <w:rsid w:val="00BD61A2"/>
    <w:rsid w:val="00BE484D"/>
    <w:rsid w:val="00BF38C0"/>
    <w:rsid w:val="00C0598D"/>
    <w:rsid w:val="00C31B93"/>
    <w:rsid w:val="00C37E05"/>
    <w:rsid w:val="00C4292A"/>
    <w:rsid w:val="00C55D29"/>
    <w:rsid w:val="00C71FB1"/>
    <w:rsid w:val="00C946C8"/>
    <w:rsid w:val="00CA0BE9"/>
    <w:rsid w:val="00CA138D"/>
    <w:rsid w:val="00CA59CA"/>
    <w:rsid w:val="00CA5EAA"/>
    <w:rsid w:val="00CA6010"/>
    <w:rsid w:val="00CB453D"/>
    <w:rsid w:val="00CC7641"/>
    <w:rsid w:val="00CE2B29"/>
    <w:rsid w:val="00CF107E"/>
    <w:rsid w:val="00CF5B17"/>
    <w:rsid w:val="00D13794"/>
    <w:rsid w:val="00D21CF2"/>
    <w:rsid w:val="00D24052"/>
    <w:rsid w:val="00D24386"/>
    <w:rsid w:val="00D31575"/>
    <w:rsid w:val="00D34626"/>
    <w:rsid w:val="00D34FB4"/>
    <w:rsid w:val="00D35174"/>
    <w:rsid w:val="00D4257A"/>
    <w:rsid w:val="00D46FF5"/>
    <w:rsid w:val="00D55E90"/>
    <w:rsid w:val="00D621F5"/>
    <w:rsid w:val="00D62665"/>
    <w:rsid w:val="00D71C9B"/>
    <w:rsid w:val="00D74AF1"/>
    <w:rsid w:val="00D763D7"/>
    <w:rsid w:val="00D77035"/>
    <w:rsid w:val="00D82E47"/>
    <w:rsid w:val="00DA698C"/>
    <w:rsid w:val="00DC0CDE"/>
    <w:rsid w:val="00DC4D72"/>
    <w:rsid w:val="00DE7B92"/>
    <w:rsid w:val="00DF5E60"/>
    <w:rsid w:val="00DF6700"/>
    <w:rsid w:val="00E00988"/>
    <w:rsid w:val="00E04F1A"/>
    <w:rsid w:val="00E0624D"/>
    <w:rsid w:val="00E22F20"/>
    <w:rsid w:val="00E25A94"/>
    <w:rsid w:val="00E27382"/>
    <w:rsid w:val="00E3078E"/>
    <w:rsid w:val="00E4438C"/>
    <w:rsid w:val="00E457F3"/>
    <w:rsid w:val="00E53BE9"/>
    <w:rsid w:val="00E97F62"/>
    <w:rsid w:val="00EA4DD8"/>
    <w:rsid w:val="00EA6389"/>
    <w:rsid w:val="00EB085A"/>
    <w:rsid w:val="00EB2AEF"/>
    <w:rsid w:val="00EB3E08"/>
    <w:rsid w:val="00EB6D60"/>
    <w:rsid w:val="00EB7E71"/>
    <w:rsid w:val="00EF462D"/>
    <w:rsid w:val="00F021C8"/>
    <w:rsid w:val="00F06117"/>
    <w:rsid w:val="00F06E78"/>
    <w:rsid w:val="00F109D4"/>
    <w:rsid w:val="00F13116"/>
    <w:rsid w:val="00F15EE9"/>
    <w:rsid w:val="00F47585"/>
    <w:rsid w:val="00F524C3"/>
    <w:rsid w:val="00F52C0F"/>
    <w:rsid w:val="00F64C3F"/>
    <w:rsid w:val="00F73D7E"/>
    <w:rsid w:val="00F81FD6"/>
    <w:rsid w:val="00F825F3"/>
    <w:rsid w:val="00F85E6F"/>
    <w:rsid w:val="00F93946"/>
    <w:rsid w:val="00F93FD6"/>
    <w:rsid w:val="00F9703D"/>
    <w:rsid w:val="00F97C99"/>
    <w:rsid w:val="00FB1A53"/>
    <w:rsid w:val="00FC5A1C"/>
    <w:rsid w:val="00FD5B07"/>
    <w:rsid w:val="00FE04E4"/>
    <w:rsid w:val="00FE73F9"/>
    <w:rsid w:val="00FF0168"/>
    <w:rsid w:val="00FF1057"/>
    <w:rsid w:val="00FF1113"/>
    <w:rsid w:val="00FF3E25"/>
    <w:rsid w:val="00FF4538"/>
    <w:rsid w:val="00FF6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3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numbering" w:styleId="1ai">
    <w:name w:val="Outline List 1"/>
    <w:basedOn w:val="NoList"/>
    <w:semiHidden/>
    <w:rsid w:val="00582EE4"/>
    <w:pPr>
      <w:numPr>
        <w:numId w:val="4"/>
      </w:numPr>
    </w:pPr>
  </w:style>
  <w:style w:type="character" w:customStyle="1" w:styleId="base-text-paragraphChar">
    <w:name w:val="base-text-paragraph Char"/>
    <w:basedOn w:val="DefaultParagraphFont"/>
    <w:link w:val="base-text-paragraph"/>
    <w:rsid w:val="00582EE4"/>
    <w:rPr>
      <w:sz w:val="24"/>
    </w:rPr>
  </w:style>
  <w:style w:type="paragraph" w:customStyle="1" w:styleId="base-text-paragraphnonumbers">
    <w:name w:val="base-text-paragraph no numbers"/>
    <w:basedOn w:val="Normal"/>
    <w:qFormat/>
    <w:rsid w:val="00582EE4"/>
    <w:pPr>
      <w:ind w:left="1134"/>
    </w:pPr>
    <w:rPr>
      <w:sz w:val="22"/>
    </w:rPr>
  </w:style>
  <w:style w:type="paragraph" w:customStyle="1" w:styleId="ChapterHeading">
    <w:name w:val="Chapter Heading"/>
    <w:next w:val="Heading2"/>
    <w:rsid w:val="00582EE4"/>
    <w:pPr>
      <w:pBdr>
        <w:top w:val="single" w:sz="4" w:space="1" w:color="auto"/>
        <w:bottom w:val="single" w:sz="4" w:space="1" w:color="auto"/>
      </w:pBdr>
      <w:tabs>
        <w:tab w:val="num" w:pos="1134"/>
      </w:tabs>
      <w:spacing w:before="240" w:after="360" w:line="260" w:lineRule="atLeast"/>
    </w:pPr>
    <w:rPr>
      <w:rFonts w:ascii="Helvetica" w:hAnsi="Helvetica"/>
      <w:b/>
      <w:i/>
      <w:sz w:val="38"/>
    </w:rPr>
  </w:style>
  <w:style w:type="numbering" w:customStyle="1" w:styleId="ChapterList">
    <w:name w:val="ChapterList"/>
    <w:uiPriority w:val="99"/>
    <w:rsid w:val="00582EE4"/>
    <w:pPr>
      <w:numPr>
        <w:numId w:val="5"/>
      </w:numPr>
    </w:pPr>
  </w:style>
  <w:style w:type="paragraph" w:customStyle="1" w:styleId="Diagram">
    <w:name w:val="Diagram"/>
    <w:basedOn w:val="Normal"/>
    <w:next w:val="base-text-paragraphnonumbers"/>
    <w:rsid w:val="00582EE4"/>
    <w:pPr>
      <w:keepNext/>
      <w:spacing w:before="0" w:after="0"/>
      <w:ind w:left="1134"/>
    </w:pPr>
    <w:rPr>
      <w:b/>
      <w:sz w:val="22"/>
    </w:rPr>
  </w:style>
  <w:style w:type="paragraph" w:customStyle="1" w:styleId="ExampleHeading">
    <w:name w:val="Example Heading"/>
    <w:basedOn w:val="Normal"/>
    <w:next w:val="Normal"/>
    <w:rsid w:val="00582EE4"/>
    <w:pPr>
      <w:keepNext/>
      <w:ind w:left="1134"/>
    </w:pPr>
    <w:rPr>
      <w:b/>
      <w:sz w:val="22"/>
    </w:rPr>
  </w:style>
  <w:style w:type="paragraph" w:customStyle="1" w:styleId="TableHeadingoutsidetable">
    <w:name w:val="Table Heading (outside table)"/>
    <w:basedOn w:val="Heading4"/>
    <w:rsid w:val="00582EE4"/>
    <w:pPr>
      <w:tabs>
        <w:tab w:val="clear" w:pos="1987"/>
        <w:tab w:val="num" w:pos="360"/>
      </w:tabs>
      <w:spacing w:after="200"/>
      <w:ind w:left="1134"/>
    </w:pPr>
    <w:rPr>
      <w:kern w:val="0"/>
      <w:sz w:val="22"/>
    </w:rPr>
  </w:style>
  <w:style w:type="paragraph" w:styleId="FootnoteText">
    <w:name w:val="footnote text"/>
    <w:basedOn w:val="Normal"/>
    <w:link w:val="FootnoteTextChar"/>
    <w:uiPriority w:val="99"/>
    <w:semiHidden/>
    <w:unhideWhenUsed/>
    <w:rsid w:val="00CB453D"/>
    <w:pPr>
      <w:spacing w:before="0" w:after="0"/>
    </w:pPr>
    <w:rPr>
      <w:sz w:val="20"/>
    </w:rPr>
  </w:style>
  <w:style w:type="character" w:customStyle="1" w:styleId="FootnoteTextChar">
    <w:name w:val="Footnote Text Char"/>
    <w:basedOn w:val="DefaultParagraphFont"/>
    <w:link w:val="FootnoteText"/>
    <w:uiPriority w:val="99"/>
    <w:semiHidden/>
    <w:rsid w:val="00CB453D"/>
  </w:style>
  <w:style w:type="character" w:styleId="FootnoteReference">
    <w:name w:val="footnote reference"/>
    <w:basedOn w:val="DefaultParagraphFont"/>
    <w:uiPriority w:val="99"/>
    <w:semiHidden/>
    <w:unhideWhenUsed/>
    <w:rsid w:val="00CB453D"/>
    <w:rPr>
      <w:vertAlign w:val="superscript"/>
    </w:rPr>
  </w:style>
  <w:style w:type="character" w:customStyle="1" w:styleId="UnresolvedMention1">
    <w:name w:val="Unresolved Mention1"/>
    <w:basedOn w:val="DefaultParagraphFont"/>
    <w:uiPriority w:val="99"/>
    <w:semiHidden/>
    <w:unhideWhenUsed/>
    <w:rsid w:val="00014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282189">
      <w:bodyDiv w:val="1"/>
      <w:marLeft w:val="0"/>
      <w:marRight w:val="0"/>
      <w:marTop w:val="0"/>
      <w:marBottom w:val="0"/>
      <w:divBdr>
        <w:top w:val="none" w:sz="0" w:space="0" w:color="auto"/>
        <w:left w:val="none" w:sz="0" w:space="0" w:color="auto"/>
        <w:bottom w:val="none" w:sz="0" w:space="0" w:color="auto"/>
        <w:right w:val="none" w:sz="0" w:space="0" w:color="auto"/>
      </w:divBdr>
    </w:div>
    <w:div w:id="990211304">
      <w:bodyDiv w:val="1"/>
      <w:marLeft w:val="0"/>
      <w:marRight w:val="0"/>
      <w:marTop w:val="0"/>
      <w:marBottom w:val="0"/>
      <w:divBdr>
        <w:top w:val="none" w:sz="0" w:space="0" w:color="auto"/>
        <w:left w:val="none" w:sz="0" w:space="0" w:color="auto"/>
        <w:bottom w:val="none" w:sz="0" w:space="0" w:color="auto"/>
        <w:right w:val="none" w:sz="0" w:space="0" w:color="auto"/>
      </w:divBdr>
    </w:div>
    <w:div w:id="1166556286">
      <w:bodyDiv w:val="1"/>
      <w:marLeft w:val="0"/>
      <w:marRight w:val="0"/>
      <w:marTop w:val="0"/>
      <w:marBottom w:val="0"/>
      <w:divBdr>
        <w:top w:val="none" w:sz="0" w:space="0" w:color="auto"/>
        <w:left w:val="none" w:sz="0" w:space="0" w:color="auto"/>
        <w:bottom w:val="none" w:sz="0" w:space="0" w:color="auto"/>
        <w:right w:val="none" w:sz="0" w:space="0" w:color="auto"/>
      </w:divBdr>
    </w:div>
    <w:div w:id="1583248920">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inancialservices.royalcommission.gov.au/Pages/reports.htm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4236AD986804806828553B4E903A430"/>
        <w:category>
          <w:name w:val="General"/>
          <w:gallery w:val="placeholder"/>
        </w:category>
        <w:types>
          <w:type w:val="bbPlcHdr"/>
        </w:types>
        <w:behaviors>
          <w:behavior w:val="content"/>
        </w:behaviors>
        <w:guid w:val="{EFE6E053-844F-4739-9D77-4E3803F7E532}"/>
      </w:docPartPr>
      <w:docPartBody>
        <w:p w:rsidR="004C06D7" w:rsidRDefault="004C06D7">
          <w:pPr>
            <w:pStyle w:val="04236AD986804806828553B4E903A430"/>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D7"/>
    <w:rsid w:val="00222E6F"/>
    <w:rsid w:val="003147E0"/>
    <w:rsid w:val="004A60C2"/>
    <w:rsid w:val="004C06D7"/>
    <w:rsid w:val="008025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E6F"/>
    <w:rPr>
      <w:color w:val="808080"/>
    </w:rPr>
  </w:style>
  <w:style w:type="paragraph" w:customStyle="1" w:styleId="04236AD986804806828553B4E903A430">
    <w:name w:val="04236AD986804806828553B4E903A430"/>
  </w:style>
  <w:style w:type="paragraph" w:customStyle="1" w:styleId="FFD3D9576FD24D1FB7B9BF8A59F9723E">
    <w:name w:val="FFD3D9576FD24D1FB7B9BF8A59F9723E"/>
  </w:style>
  <w:style w:type="paragraph" w:customStyle="1" w:styleId="91C8603BC8E64281934A6E5CE3BE8E1D">
    <w:name w:val="91C8603BC8E64281934A6E5CE3BE8E1D"/>
  </w:style>
  <w:style w:type="paragraph" w:customStyle="1" w:styleId="B976F5671566461BA6030E3F7C578EF2">
    <w:name w:val="B976F5671566461BA6030E3F7C578EF2"/>
  </w:style>
  <w:style w:type="paragraph" w:customStyle="1" w:styleId="98B35F7B1E2C4012A819D3990793D4FF">
    <w:name w:val="98B35F7B1E2C4012A819D3990793D4FF"/>
    <w:rsid w:val="00222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7793" ma:contentTypeDescription=" " ma:contentTypeScope="" ma:versionID="748c24f6cb233f9b19ee1a9c57ba7c05">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11</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6880fa62fd2465ea894b48b45824d1c xmlns="9f7bc583-7cbe-45b9-a2bd-8bbb6543b37e">
      <Terms xmlns="http://schemas.microsoft.com/office/infopath/2007/PartnerControls"/>
    </i6880fa62fd2465ea894b48b45824d1c>
    <_dlc_DocId xmlns="0f563589-9cf9-4143-b1eb-fb0534803d38">2021RG-111-18908</_dlc_DocId>
    <_dlc_DocIdUrl xmlns="0f563589-9cf9-4143-b1eb-fb0534803d38">
      <Url>http://tweb/sites/rg/ldp/lmu/_layouts/15/DocIdRedir.aspx?ID=2021RG-111-18908</Url>
      <Description>2021RG-111-18908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8978C-5959-483D-B613-7A1E86DDD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B1F55-EAE5-4216-AD33-28AF1273DDB1}">
  <ds:schemaRefs>
    <ds:schemaRef ds:uri="http://schemas.microsoft.com/sharepoint/events"/>
  </ds:schemaRefs>
</ds:datastoreItem>
</file>

<file path=customXml/itemProps3.xml><?xml version="1.0" encoding="utf-8"?>
<ds:datastoreItem xmlns:ds="http://schemas.openxmlformats.org/officeDocument/2006/customXml" ds:itemID="{A25AF398-F6FB-4A81-A3E5-4A4F9ADB71E4}">
  <ds:schemaRefs>
    <ds:schemaRef ds:uri="office.server.policy"/>
  </ds:schemaRefs>
</ds:datastoreItem>
</file>

<file path=customXml/itemProps4.xml><?xml version="1.0" encoding="utf-8"?>
<ds:datastoreItem xmlns:ds="http://schemas.openxmlformats.org/officeDocument/2006/customXml" ds:itemID="{C8A75CA8-E1C5-4DC1-BCA0-4D3A5633A748}">
  <ds:schemaRefs>
    <ds:schemaRef ds:uri="http://schemas.microsoft.com/sharepoint/v3/contenttype/forms"/>
  </ds:schemaRefs>
</ds:datastoreItem>
</file>

<file path=customXml/itemProps5.xml><?xml version="1.0" encoding="utf-8"?>
<ds:datastoreItem xmlns:ds="http://schemas.openxmlformats.org/officeDocument/2006/customXml" ds:itemID="{834576D3-C2F1-4FD5-BC81-9B888F8DCBDC}">
  <ds:schemaRefs>
    <ds:schemaRef ds:uri="http://schemas.microsoft.com/office/2006/metadata/properties"/>
    <ds:schemaRef ds:uri="http://schemas.microsoft.com/office/infopath/2007/PartnerControls"/>
    <ds:schemaRef ds:uri="http://schemas.microsoft.com/sharepoint/v4"/>
    <ds:schemaRef ds:uri="0f563589-9cf9-4143-b1eb-fb0534803d38"/>
    <ds:schemaRef ds:uri="9f7bc583-7cbe-45b9-a2bd-8bbb6543b37e"/>
  </ds:schemaRefs>
</ds:datastoreItem>
</file>

<file path=customXml/itemProps6.xml><?xml version="1.0" encoding="utf-8"?>
<ds:datastoreItem xmlns:ds="http://schemas.openxmlformats.org/officeDocument/2006/customXml" ds:itemID="{BDA48E3F-00E1-439B-8DD1-FD794D18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EXPLANATORY MEMORANDUM</vt:lpstr>
    </vt:vector>
  </TitlesOfParts>
  <Manager/>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
  <cp:keywords/>
  <cp:lastModifiedBy/>
  <cp:revision>1</cp:revision>
  <dcterms:created xsi:type="dcterms:W3CDTF">2021-04-22T00:32:00Z</dcterms:created>
  <dcterms:modified xsi:type="dcterms:W3CDTF">2021-05-11T00:22:00Z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_dlc_DocIdItemGuid">
    <vt:lpwstr>48c584d5-ed0c-45bc-947f-c6c51b22961b</vt:lpwstr>
  </property>
  <property fmtid="{D5CDD505-2E9C-101B-9397-08002B2CF9AE}" pid="4" name="TSYTopic">
    <vt:lpwstr/>
  </property>
  <property fmtid="{D5CDD505-2E9C-101B-9397-08002B2CF9AE}" pid="5" name="TSYRecordClass">
    <vt:lpwstr>11;#TSY RA-9237 - Destroy 5 years after action completed|9f1a030e-81bf-44c5-98eb-4d5d869a40d5</vt:lpwstr>
  </property>
  <property fmtid="{D5CDD505-2E9C-101B-9397-08002B2CF9AE}" pid="6" name="RecordPoint_WorkflowType">
    <vt:lpwstr>ActiveSubmitStub</vt:lpwstr>
  </property>
  <property fmtid="{D5CDD505-2E9C-101B-9397-08002B2CF9AE}" pid="7" name="RecordPoint_ActiveItemListId">
    <vt:lpwstr>{f8917204-5194-4305-af5f-50f79f95ec18}</vt:lpwstr>
  </property>
  <property fmtid="{D5CDD505-2E9C-101B-9397-08002B2CF9AE}" pid="8" name="RecordPoint_ActiveItemUniqueId">
    <vt:lpwstr>{1aacf6f7-79a5-4ed1-9976-db55e00da681}</vt:lpwstr>
  </property>
  <property fmtid="{D5CDD505-2E9C-101B-9397-08002B2CF9AE}" pid="9" name="RecordPoint_ActiveItemWebId">
    <vt:lpwstr>{4242e178-a68c-4500-ad85-6dccb0609c1f}</vt:lpwstr>
  </property>
  <property fmtid="{D5CDD505-2E9C-101B-9397-08002B2CF9AE}" pid="10" name="RecordPoint_ActiveItemSiteId">
    <vt:lpwstr>{1ced5a6e-20fd-4413-9b75-50f3c53bb358}</vt:lpwstr>
  </property>
  <property fmtid="{D5CDD505-2E9C-101B-9397-08002B2CF9AE}" pid="11" name="SecurityClassification">
    <vt:lpwstr>17;#OFFICIAL|cffd3088-7a74-4edb-8c9e-fbf79371a422</vt:lpwstr>
  </property>
  <property fmtid="{D5CDD505-2E9C-101B-9397-08002B2CF9AE}" pid="12" name="RecordPoint_SubmissionCompleted">
    <vt:lpwstr>2021-04-21T09:14:33.9999063+10:00</vt:lpwstr>
  </property>
  <property fmtid="{D5CDD505-2E9C-101B-9397-08002B2CF9AE}" pid="13" name="RecordPoint_RecordNumberSubmitted">
    <vt:lpwstr>R20210000287399</vt:lpwstr>
  </property>
</Properties>
</file>